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D3889">
      <w:pPr>
        <w:spacing w:before="480" w:beforeLines="200" w:line="360" w:lineRule="auto"/>
        <w:jc w:val="center"/>
        <w:outlineLvl w:val="0"/>
        <w:rPr>
          <w:rFonts w:hint="eastAsia" w:ascii="宋体" w:hAnsi="宋体" w:cs="宋体"/>
          <w:b/>
          <w:bCs/>
          <w:color w:val="000000" w:themeColor="text1"/>
          <w:sz w:val="60"/>
          <w:szCs w:val="60"/>
          <w:highlight w:val="none"/>
          <w:lang w:eastAsia="zh-CN"/>
          <w14:textFill>
            <w14:solidFill>
              <w14:schemeClr w14:val="tx1"/>
            </w14:solidFill>
          </w14:textFill>
        </w:rPr>
      </w:pPr>
      <w:r>
        <w:rPr>
          <w:rFonts w:hint="eastAsia" w:ascii="宋体" w:hAnsi="宋体" w:cs="宋体"/>
          <w:b/>
          <w:bCs/>
          <w:color w:val="000000" w:themeColor="text1"/>
          <w:sz w:val="56"/>
          <w:szCs w:val="56"/>
          <w:highlight w:val="none"/>
          <w:lang w:eastAsia="zh-CN"/>
          <w14:textFill>
            <w14:solidFill>
              <w14:schemeClr w14:val="tx1"/>
            </w14:solidFill>
          </w14:textFill>
        </w:rPr>
        <w:t>云南省第一人民医院彩色多普勒超声诊断仪采购项目</w:t>
      </w:r>
    </w:p>
    <w:p w14:paraId="4E801F64">
      <w:pPr>
        <w:spacing w:before="480" w:beforeLines="200" w:line="360" w:lineRule="auto"/>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6AAAD582">
      <w:pPr>
        <w:spacing w:before="480" w:beforeLines="200" w:line="360" w:lineRule="auto"/>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2FDB1B30">
      <w:pPr>
        <w:tabs>
          <w:tab w:val="center" w:pos="4379"/>
          <w:tab w:val="right" w:pos="8640"/>
        </w:tabs>
        <w:spacing w:line="360" w:lineRule="auto"/>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color w:val="000000" w:themeColor="text1"/>
          <w:sz w:val="96"/>
          <w:szCs w:val="84"/>
          <w:highlight w:val="none"/>
          <w:lang w:eastAsia="zh-CN"/>
          <w14:textFill>
            <w14:solidFill>
              <w14:schemeClr w14:val="tx1"/>
            </w14:solidFill>
          </w14:textFill>
        </w:rPr>
        <w:tab/>
      </w:r>
      <w:r>
        <w:rPr>
          <w:rFonts w:hint="eastAsia" w:ascii="宋体" w:hAnsi="宋体" w:eastAsia="宋体" w:cs="宋体"/>
          <w:b/>
          <w:color w:val="000000" w:themeColor="text1"/>
          <w:sz w:val="96"/>
          <w:szCs w:val="84"/>
          <w:highlight w:val="none"/>
          <w14:textFill>
            <w14:solidFill>
              <w14:schemeClr w14:val="tx1"/>
            </w14:solidFill>
          </w14:textFill>
        </w:rPr>
        <w:t>招 标 文 件</w:t>
      </w:r>
    </w:p>
    <w:p w14:paraId="70215E67">
      <w:pPr>
        <w:spacing w:before="480" w:beforeLines="200" w:line="360" w:lineRule="auto"/>
        <w:jc w:val="center"/>
        <w:outlineLvl w:val="0"/>
        <w:rPr>
          <w:rFonts w:hint="eastAsia" w:ascii="宋体" w:hAnsi="宋体" w:eastAsia="宋体" w:cs="宋体"/>
          <w:b/>
          <w:bCs/>
          <w:color w:val="auto"/>
          <w:sz w:val="28"/>
          <w:szCs w:val="28"/>
          <w:highlight w:val="none"/>
          <w:lang w:eastAsia="zh-CN"/>
        </w:rPr>
      </w:pPr>
      <w:bookmarkStart w:id="0" w:name="_Toc1039"/>
      <w:bookmarkStart w:id="1" w:name="_Toc25790"/>
      <w:bookmarkStart w:id="2" w:name="_Toc14712"/>
      <w:r>
        <w:rPr>
          <w:rFonts w:hint="eastAsia" w:ascii="宋体" w:hAnsi="宋体" w:eastAsia="宋体" w:cs="宋体"/>
          <w:b/>
          <w:bCs/>
          <w:color w:val="000000" w:themeColor="text1"/>
          <w:sz w:val="28"/>
          <w:szCs w:val="28"/>
          <w:highlight w:val="none"/>
          <w:lang w:eastAsia="zh-CN"/>
          <w14:textFill>
            <w14:solidFill>
              <w14:schemeClr w14:val="tx1"/>
            </w14:solidFill>
          </w14:textFill>
        </w:rPr>
        <w:t>项目编号：</w:t>
      </w:r>
      <w:bookmarkEnd w:id="0"/>
      <w:bookmarkEnd w:id="1"/>
      <w:bookmarkEnd w:id="2"/>
      <w:r>
        <w:rPr>
          <w:rFonts w:hint="eastAsia" w:ascii="宋体" w:hAnsi="宋体" w:cs="宋体"/>
          <w:b/>
          <w:bCs/>
          <w:color w:val="auto"/>
          <w:sz w:val="28"/>
          <w:szCs w:val="28"/>
          <w:highlight w:val="none"/>
          <w:lang w:val="en-US" w:eastAsia="zh-CN"/>
        </w:rPr>
        <w:t>YNZC2026-G1-02314-YNGR-0174</w:t>
      </w:r>
    </w:p>
    <w:p w14:paraId="4314E997">
      <w:pPr>
        <w:spacing w:before="480" w:beforeLines="200" w:line="360" w:lineRule="auto"/>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3" w:name="_Toc15767"/>
    </w:p>
    <w:p w14:paraId="616D6CB1">
      <w:pPr>
        <w:spacing w:before="480" w:beforeLines="200" w:line="360" w:lineRule="auto"/>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26DFA6CA">
      <w:pPr>
        <w:spacing w:before="480" w:beforeLines="200" w:line="360" w:lineRule="auto"/>
        <w:jc w:val="center"/>
        <w:outlineLvl w:val="0"/>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4" w:name="_Toc26131"/>
      <w:bookmarkStart w:id="5" w:name="_Toc25552"/>
      <w:r>
        <w:rPr>
          <w:rFonts w:hint="eastAsia" w:ascii="宋体" w:hAnsi="宋体" w:eastAsia="宋体" w:cs="宋体"/>
          <w:b/>
          <w:bCs/>
          <w:color w:val="000000" w:themeColor="text1"/>
          <w:sz w:val="28"/>
          <w:szCs w:val="28"/>
          <w:highlight w:val="none"/>
          <w14:textFill>
            <w14:solidFill>
              <w14:schemeClr w14:val="tx1"/>
            </w14:solidFill>
          </w14:textFill>
        </w:rPr>
        <w:t>采购人：</w:t>
      </w:r>
      <w:bookmarkEnd w:id="3"/>
      <w:r>
        <w:rPr>
          <w:rFonts w:hint="eastAsia" w:ascii="宋体" w:hAnsi="宋体" w:cs="宋体"/>
          <w:b/>
          <w:bCs/>
          <w:color w:val="000000" w:themeColor="text1"/>
          <w:sz w:val="28"/>
          <w:szCs w:val="28"/>
          <w:highlight w:val="none"/>
          <w:lang w:eastAsia="zh-CN"/>
          <w14:textFill>
            <w14:solidFill>
              <w14:schemeClr w14:val="tx1"/>
            </w14:solidFill>
          </w14:textFill>
        </w:rPr>
        <w:t>云南省第一人民医院</w:t>
      </w:r>
      <w:bookmarkEnd w:id="4"/>
      <w:bookmarkEnd w:id="5"/>
    </w:p>
    <w:p w14:paraId="0E701077">
      <w:pPr>
        <w:spacing w:before="240" w:beforeLines="100" w:line="360" w:lineRule="auto"/>
        <w:jc w:val="center"/>
        <w:outlineLvl w:val="0"/>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6" w:name="_Toc137"/>
      <w:bookmarkStart w:id="7" w:name="_Toc3817"/>
      <w:bookmarkStart w:id="8" w:name="_Toc13568"/>
      <w:r>
        <w:rPr>
          <w:rFonts w:hint="eastAsia" w:ascii="宋体" w:hAnsi="宋体" w:eastAsia="宋体" w:cs="宋体"/>
          <w:b/>
          <w:color w:val="000000" w:themeColor="text1"/>
          <w:sz w:val="28"/>
          <w:szCs w:val="28"/>
          <w:highlight w:val="none"/>
          <w14:textFill>
            <w14:solidFill>
              <w14:schemeClr w14:val="tx1"/>
            </w14:solidFill>
          </w14:textFill>
        </w:rPr>
        <w:t>采购代理机构：</w:t>
      </w:r>
      <w:bookmarkEnd w:id="6"/>
      <w:r>
        <w:rPr>
          <w:rFonts w:hint="eastAsia" w:ascii="宋体" w:hAnsi="宋体" w:eastAsia="宋体" w:cs="宋体"/>
          <w:b/>
          <w:bCs/>
          <w:color w:val="000000" w:themeColor="text1"/>
          <w:sz w:val="28"/>
          <w:szCs w:val="28"/>
          <w:highlight w:val="none"/>
          <w:lang w:eastAsia="zh-CN"/>
          <w14:textFill>
            <w14:solidFill>
              <w14:schemeClr w14:val="tx1"/>
            </w14:solidFill>
          </w14:textFill>
        </w:rPr>
        <w:t>云南冠睿咨询有限公司</w:t>
      </w:r>
      <w:bookmarkEnd w:id="7"/>
      <w:bookmarkEnd w:id="8"/>
    </w:p>
    <w:p w14:paraId="317A124E">
      <w:pPr>
        <w:spacing w:before="240" w:beforeLines="100" w:line="360" w:lineRule="auto"/>
        <w:jc w:val="center"/>
        <w:rPr>
          <w:rFonts w:hint="eastAsia" w:ascii="宋体" w:hAnsi="宋体" w:eastAsia="宋体" w:cs="宋体"/>
          <w:b/>
          <w:bCs/>
          <w:color w:val="000000" w:themeColor="text1"/>
          <w:spacing w:val="20"/>
          <w:sz w:val="28"/>
          <w:szCs w:val="28"/>
          <w:highlight w:val="none"/>
          <w14:textFill>
            <w14:solidFill>
              <w14:schemeClr w14:val="tx1"/>
            </w14:solidFill>
          </w14:textFill>
        </w:rPr>
      </w:pPr>
      <w:r>
        <w:rPr>
          <w:rFonts w:hint="eastAsia" w:ascii="宋体" w:hAnsi="宋体" w:eastAsia="宋体" w:cs="宋体"/>
          <w:b/>
          <w:bCs/>
          <w:color w:val="000000" w:themeColor="text1"/>
          <w:spacing w:val="20"/>
          <w:sz w:val="28"/>
          <w:szCs w:val="28"/>
          <w:highlight w:val="none"/>
          <w14:textFill>
            <w14:solidFill>
              <w14:schemeClr w14:val="tx1"/>
            </w14:solidFill>
          </w14:textFill>
        </w:rPr>
        <w:t>202</w:t>
      </w:r>
      <w:r>
        <w:rPr>
          <w:rFonts w:hint="eastAsia" w:ascii="宋体" w:hAnsi="宋体" w:cs="宋体"/>
          <w:b/>
          <w:bCs/>
          <w:color w:val="000000" w:themeColor="text1"/>
          <w:spacing w:val="20"/>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pacing w:val="20"/>
          <w:sz w:val="28"/>
          <w:szCs w:val="28"/>
          <w:highlight w:val="none"/>
          <w14:textFill>
            <w14:solidFill>
              <w14:schemeClr w14:val="tx1"/>
            </w14:solidFill>
          </w14:textFill>
        </w:rPr>
        <w:t>年</w:t>
      </w:r>
      <w:r>
        <w:rPr>
          <w:rFonts w:hint="eastAsia" w:ascii="宋体" w:hAnsi="宋体" w:cs="宋体"/>
          <w:b/>
          <w:bCs/>
          <w:color w:val="000000" w:themeColor="text1"/>
          <w:spacing w:val="20"/>
          <w:sz w:val="28"/>
          <w:szCs w:val="28"/>
          <w:highlight w:val="none"/>
          <w:lang w:val="en-US" w:eastAsia="zh-CN"/>
          <w14:textFill>
            <w14:solidFill>
              <w14:schemeClr w14:val="tx1"/>
            </w14:solidFill>
          </w14:textFill>
        </w:rPr>
        <w:t>05</w:t>
      </w:r>
      <w:r>
        <w:rPr>
          <w:rFonts w:hint="eastAsia" w:ascii="宋体" w:hAnsi="宋体" w:eastAsia="宋体" w:cs="宋体"/>
          <w:b/>
          <w:bCs/>
          <w:color w:val="000000" w:themeColor="text1"/>
          <w:spacing w:val="20"/>
          <w:sz w:val="28"/>
          <w:szCs w:val="28"/>
          <w:highlight w:val="none"/>
          <w14:textFill>
            <w14:solidFill>
              <w14:schemeClr w14:val="tx1"/>
            </w14:solidFill>
          </w14:textFill>
        </w:rPr>
        <w:t>月</w:t>
      </w:r>
      <w:bookmarkStart w:id="9" w:name="_Toc25875"/>
    </w:p>
    <w:p w14:paraId="39C874D7">
      <w:pPr>
        <w:rPr>
          <w:rFonts w:hint="eastAsia" w:ascii="宋体" w:hAnsi="宋体" w:eastAsia="宋体" w:cs="宋体"/>
          <w:color w:val="000000" w:themeColor="text1"/>
          <w:sz w:val="40"/>
          <w:szCs w:val="36"/>
          <w:highlight w:val="none"/>
          <w:lang w:val="en-US" w:eastAsia="zh-CN"/>
          <w14:textFill>
            <w14:solidFill>
              <w14:schemeClr w14:val="tx1"/>
            </w14:solidFill>
          </w14:textFill>
        </w:rPr>
      </w:pPr>
      <w:r>
        <w:rPr>
          <w:rFonts w:hint="eastAsia" w:ascii="宋体" w:hAnsi="宋体" w:eastAsia="宋体" w:cs="宋体"/>
          <w:color w:val="000000" w:themeColor="text1"/>
          <w:sz w:val="40"/>
          <w:szCs w:val="36"/>
          <w:highlight w:val="none"/>
          <w:lang w:val="en-US" w:eastAsia="zh-CN"/>
          <w14:textFill>
            <w14:solidFill>
              <w14:schemeClr w14:val="tx1"/>
            </w14:solidFill>
          </w14:textFill>
        </w:rPr>
        <w:br w:type="page"/>
      </w:r>
    </w:p>
    <w:sdt>
      <w:sdtPr>
        <w:rPr>
          <w:rFonts w:ascii="宋体" w:hAnsi="宋体" w:eastAsia="宋体" w:cs="Times New Roman"/>
          <w:b/>
          <w:bCs/>
          <w:kern w:val="2"/>
          <w:sz w:val="40"/>
          <w:szCs w:val="36"/>
          <w:lang w:val="en-US" w:eastAsia="zh-CN" w:bidi="ar-SA"/>
        </w:rPr>
        <w:id w:val="147481547"/>
        <w15:color w:val="DBDBDB"/>
        <w:docPartObj>
          <w:docPartGallery w:val="Table of Contents"/>
          <w:docPartUnique/>
        </w:docPartObj>
      </w:sdtPr>
      <w:sdtEndP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sdtEndPr>
      <w:sdtContent>
        <w:p w14:paraId="48CD498B">
          <w:pPr>
            <w:spacing w:before="0" w:beforeLines="0" w:after="0" w:afterLines="0" w:line="240" w:lineRule="auto"/>
            <w:ind w:left="0" w:leftChars="0" w:right="0" w:rightChars="0" w:firstLine="0" w:firstLineChars="0"/>
            <w:jc w:val="center"/>
            <w:rPr>
              <w:rFonts w:ascii="宋体" w:hAnsi="宋体" w:eastAsia="宋体" w:cs="Times New Roman"/>
              <w:b/>
              <w:bCs/>
              <w:kern w:val="2"/>
              <w:sz w:val="40"/>
              <w:szCs w:val="36"/>
              <w:lang w:val="en-US" w:eastAsia="zh-CN" w:bidi="ar-SA"/>
            </w:rPr>
          </w:pPr>
        </w:p>
        <w:p w14:paraId="34D7797D">
          <w:pPr>
            <w:spacing w:before="0" w:beforeLines="0" w:after="0" w:afterLines="0" w:line="240" w:lineRule="auto"/>
            <w:ind w:left="0" w:leftChars="0" w:right="0" w:rightChars="0" w:firstLine="0" w:firstLineChars="0"/>
            <w:jc w:val="center"/>
            <w:rPr>
              <w:rFonts w:ascii="宋体" w:hAnsi="宋体" w:eastAsia="宋体"/>
              <w:b/>
              <w:bCs/>
              <w:sz w:val="40"/>
              <w:szCs w:val="36"/>
            </w:rPr>
          </w:pPr>
          <w:r>
            <w:rPr>
              <w:rFonts w:ascii="宋体" w:hAnsi="宋体" w:eastAsia="宋体"/>
              <w:b/>
              <w:bCs/>
              <w:sz w:val="40"/>
              <w:szCs w:val="36"/>
            </w:rPr>
            <w:t>目录</w:t>
          </w:r>
        </w:p>
        <w:p w14:paraId="4B91887D">
          <w:pPr>
            <w:spacing w:before="0" w:beforeLines="0" w:after="0" w:afterLines="0" w:line="240" w:lineRule="auto"/>
            <w:ind w:left="0" w:leftChars="0" w:right="0" w:rightChars="0" w:firstLine="0" w:firstLineChars="0"/>
            <w:jc w:val="center"/>
            <w:rPr>
              <w:rFonts w:ascii="宋体" w:hAnsi="宋体" w:eastAsia="宋体"/>
              <w:b/>
              <w:bCs/>
              <w:sz w:val="40"/>
              <w:szCs w:val="36"/>
            </w:rPr>
          </w:pPr>
        </w:p>
        <w:p w14:paraId="2983656F">
          <w:pPr>
            <w:pStyle w:val="30"/>
            <w:tabs>
              <w:tab w:val="right" w:leader="dot" w:pos="8640"/>
              <w:tab w:val="clear" w:pos="9663"/>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TOC \o "1-2" \h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_Toc31010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_Toc31010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86FDEC8">
          <w:pPr>
            <w:pStyle w:val="30"/>
            <w:tabs>
              <w:tab w:val="right" w:leader="dot" w:pos="8640"/>
              <w:tab w:val="clear" w:pos="9663"/>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_Toc13371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_Toc13371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781A67A">
          <w:pPr>
            <w:pStyle w:val="35"/>
            <w:tabs>
              <w:tab w:val="right" w:leader="dot" w:pos="8640"/>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_Toc17861 </w:instrText>
          </w:r>
          <w:r>
            <w:rPr>
              <w:rFonts w:hint="eastAsia" w:ascii="宋体" w:hAnsi="宋体" w:eastAsia="宋体" w:cs="宋体"/>
              <w:sz w:val="24"/>
              <w:szCs w:val="24"/>
              <w:highlight w:val="none"/>
            </w:rPr>
            <w:fldChar w:fldCharType="separate"/>
          </w:r>
          <w:r>
            <w:rPr>
              <w:rFonts w:hint="eastAsia" w:ascii="宋体" w:hAnsi="宋体" w:eastAsia="宋体" w:cs="宋体"/>
              <w:spacing w:val="0"/>
              <w:kern w:val="0"/>
              <w:sz w:val="24"/>
              <w:szCs w:val="24"/>
              <w:highlight w:val="none"/>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21DBA82">
          <w:pPr>
            <w:pStyle w:val="30"/>
            <w:tabs>
              <w:tab w:val="right" w:leader="dot" w:pos="8640"/>
              <w:tab w:val="clear" w:pos="9663"/>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_Toc32183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政府采购合同专用条款及合同书样式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_Toc32183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7481EF1">
          <w:pPr>
            <w:pStyle w:val="35"/>
            <w:tabs>
              <w:tab w:val="right" w:leader="dot" w:pos="8640"/>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_Toc20855 </w:instrText>
          </w:r>
          <w:r>
            <w:rPr>
              <w:rFonts w:hint="eastAsia" w:ascii="宋体" w:hAnsi="宋体" w:eastAsia="宋体" w:cs="宋体"/>
              <w:sz w:val="24"/>
              <w:szCs w:val="24"/>
              <w:highlight w:val="none"/>
            </w:rPr>
            <w:fldChar w:fldCharType="separate"/>
          </w:r>
          <w:r>
            <w:rPr>
              <w:rFonts w:hint="eastAsia" w:ascii="宋体" w:hAnsi="宋体" w:eastAsia="宋体" w:cs="宋体"/>
              <w:spacing w:val="0"/>
              <w:kern w:val="0"/>
              <w:sz w:val="24"/>
              <w:szCs w:val="24"/>
              <w:highlight w:val="none"/>
              <w:lang w:val="en-US" w:eastAsia="zh-CN"/>
            </w:rPr>
            <w:t>政府采购合同专用条款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_Toc20855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47F1D68">
          <w:pPr>
            <w:pStyle w:val="30"/>
            <w:tabs>
              <w:tab w:val="right" w:leader="dot" w:pos="8640"/>
              <w:tab w:val="clear" w:pos="9663"/>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_Toc28900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_Toc28900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AE9F726">
          <w:pPr>
            <w:pStyle w:val="30"/>
            <w:tabs>
              <w:tab w:val="right" w:leader="dot" w:pos="8640"/>
              <w:tab w:val="clear" w:pos="9663"/>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_Toc7169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_Toc7169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58BB7156">
          <w:pPr>
            <w:pStyle w:val="30"/>
            <w:tabs>
              <w:tab w:val="right" w:leader="dot" w:pos="8640"/>
              <w:tab w:val="clear" w:pos="9663"/>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_Toc16369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资格审查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_Toc16369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D99DE41">
          <w:pPr>
            <w:pStyle w:val="35"/>
            <w:tabs>
              <w:tab w:val="right" w:leader="dot" w:pos="8640"/>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_Toc20258 </w:instrText>
          </w:r>
          <w:r>
            <w:rPr>
              <w:rFonts w:hint="eastAsia" w:ascii="宋体" w:hAnsi="宋体" w:eastAsia="宋体" w:cs="宋体"/>
              <w:sz w:val="24"/>
              <w:szCs w:val="24"/>
              <w:highlight w:val="none"/>
            </w:rPr>
            <w:fldChar w:fldCharType="separate"/>
          </w:r>
          <w:r>
            <w:rPr>
              <w:rFonts w:hint="eastAsia" w:ascii="宋体" w:hAnsi="宋体" w:eastAsia="宋体" w:cs="宋体"/>
              <w:spacing w:val="0"/>
              <w:kern w:val="0"/>
              <w:sz w:val="24"/>
              <w:szCs w:val="24"/>
              <w:highlight w:val="none"/>
              <w:lang w:val="en-US" w:eastAsia="zh-CN"/>
            </w:rPr>
            <w:t>投标人资格要求前附表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_Toc20258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C036C55">
          <w:pPr>
            <w:pStyle w:val="30"/>
            <w:tabs>
              <w:tab w:val="right" w:leader="dot" w:pos="8640"/>
              <w:tab w:val="clear" w:pos="9663"/>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_Toc18290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第七章 评标方法（综合评分法）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_Toc18290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6C38DB7">
          <w:pPr>
            <w:pStyle w:val="35"/>
            <w:tabs>
              <w:tab w:val="right" w:leader="dot" w:pos="8640"/>
            </w:tabs>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_Toc3151 </w:instrText>
          </w:r>
          <w:r>
            <w:rPr>
              <w:rFonts w:hint="eastAsia" w:ascii="宋体" w:hAnsi="宋体" w:eastAsia="宋体" w:cs="宋体"/>
              <w:sz w:val="24"/>
              <w:szCs w:val="24"/>
              <w:highlight w:val="none"/>
            </w:rPr>
            <w:fldChar w:fldCharType="separate"/>
          </w:r>
          <w:r>
            <w:rPr>
              <w:rFonts w:hint="eastAsia" w:ascii="宋体" w:hAnsi="宋体" w:eastAsia="宋体" w:cs="宋体"/>
              <w:spacing w:val="0"/>
              <w:kern w:val="0"/>
              <w:sz w:val="24"/>
              <w:szCs w:val="24"/>
              <w:highlight w:val="none"/>
              <w:lang w:val="en-US" w:eastAsia="zh-CN"/>
            </w:rPr>
            <w:t>评标方法前附表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58C7CF5">
          <w:pPr>
            <w:spacing w:line="360" w:lineRule="auto"/>
            <w:rPr>
              <w:rFonts w:hint="eastAsia" w:ascii="宋体" w:hAnsi="宋体" w:eastAsia="宋体" w:cs="宋体"/>
              <w:color w:val="000000" w:themeColor="text1"/>
              <w:sz w:val="22"/>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sdtContent>
    </w:sdt>
    <w:p w14:paraId="02E3D889">
      <w:pPr>
        <w:pStyle w:val="2"/>
        <w:pageBreakBefore w:val="0"/>
        <w:kinsoku/>
        <w:overflowPunct/>
        <w:topLinePunct w:val="0"/>
        <w:autoSpaceDE/>
        <w:autoSpaceDN/>
        <w:bidi w:val="0"/>
        <w:adjustRightInd/>
        <w:snapToGrid/>
        <w:spacing w:before="0" w:beforeAutospacing="0" w:after="0" w:afterAutospacing="0" w:line="480" w:lineRule="exact"/>
        <w:rPr>
          <w:rFonts w:hint="eastAsia" w:ascii="宋体" w:hAnsi="宋体" w:eastAsia="宋体" w:cs="宋体"/>
          <w:color w:val="000000" w:themeColor="text1"/>
          <w:sz w:val="32"/>
          <w:szCs w:val="32"/>
          <w:highlight w:val="none"/>
          <w14:textFill>
            <w14:solidFill>
              <w14:schemeClr w14:val="tx1"/>
            </w14:solidFill>
          </w14:textFill>
        </w:rPr>
        <w:sectPr>
          <w:headerReference r:id="rId3" w:type="default"/>
          <w:footerReference r:id="rId4" w:type="default"/>
          <w:pgSz w:w="12240" w:h="15840"/>
          <w:pgMar w:top="1440" w:right="1800" w:bottom="1440" w:left="1800" w:header="567" w:footer="567" w:gutter="0"/>
          <w:pgNumType w:fmt="decimal"/>
          <w:cols w:space="720" w:num="1"/>
        </w:sectPr>
      </w:pPr>
    </w:p>
    <w:p w14:paraId="2D220E0C">
      <w:pPr>
        <w:pStyle w:val="2"/>
        <w:pageBreakBefore w:val="0"/>
        <w:kinsoku/>
        <w:overflowPunct/>
        <w:topLinePunct w:val="0"/>
        <w:autoSpaceDE/>
        <w:autoSpaceDN/>
        <w:bidi w:val="0"/>
        <w:adjustRightInd/>
        <w:snapToGrid/>
        <w:spacing w:before="0" w:beforeAutospacing="0" w:after="0" w:afterAutospacing="0" w:line="480" w:lineRule="exact"/>
        <w:rPr>
          <w:rFonts w:hint="eastAsia" w:ascii="宋体" w:hAnsi="宋体" w:eastAsia="宋体" w:cs="宋体"/>
          <w:color w:val="000000" w:themeColor="text1"/>
          <w:sz w:val="32"/>
          <w:szCs w:val="32"/>
          <w:highlight w:val="none"/>
          <w14:textFill>
            <w14:solidFill>
              <w14:schemeClr w14:val="tx1"/>
            </w14:solidFill>
          </w14:textFill>
        </w:rPr>
      </w:pPr>
      <w:bookmarkStart w:id="10" w:name="_Toc31010"/>
      <w:r>
        <w:rPr>
          <w:rFonts w:hint="eastAsia" w:ascii="宋体" w:hAnsi="宋体" w:eastAsia="宋体" w:cs="宋体"/>
          <w:color w:val="000000" w:themeColor="text1"/>
          <w:sz w:val="32"/>
          <w:szCs w:val="32"/>
          <w:highlight w:val="none"/>
          <w14:textFill>
            <w14:solidFill>
              <w14:schemeClr w14:val="tx1"/>
            </w14:solidFill>
          </w14:textFill>
        </w:rPr>
        <w:t>第一章 招标公告</w:t>
      </w:r>
      <w:bookmarkEnd w:id="10"/>
    </w:p>
    <w:p w14:paraId="4E52CE2E">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beforeAutospacing="0" w:afterAutospacing="0" w:line="480" w:lineRule="exact"/>
        <w:ind w:firstLine="420" w:firstLineChars="20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项目概况</w:t>
      </w:r>
    </w:p>
    <w:p w14:paraId="442448F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beforeAutospacing="0" w:afterAutospacing="0" w:line="480" w:lineRule="exact"/>
        <w:ind w:firstLine="420" w:firstLineChars="200"/>
        <w:rPr>
          <w:rFonts w:hint="eastAsia" w:ascii="宋体" w:hAnsi="宋体" w:eastAsia="宋体" w:cs="宋体"/>
          <w:b w:val="0"/>
          <w:bCs w:val="0"/>
          <w:color w:val="000000" w:themeColor="text1"/>
          <w:szCs w:val="21"/>
          <w:highlight w:val="none"/>
          <w:u w:val="none"/>
          <w14:textFill>
            <w14:solidFill>
              <w14:schemeClr w14:val="tx1"/>
            </w14:solidFill>
          </w14:textFill>
        </w:rPr>
      </w:pPr>
      <w:r>
        <w:rPr>
          <w:rFonts w:hint="eastAsia" w:ascii="宋体" w:hAnsi="宋体" w:cs="宋体"/>
          <w:b w:val="0"/>
          <w:bCs w:val="0"/>
          <w:color w:val="000000" w:themeColor="text1"/>
          <w:szCs w:val="21"/>
          <w:highlight w:val="none"/>
          <w:u w:val="none"/>
          <w:lang w:eastAsia="zh-CN"/>
          <w14:textFill>
            <w14:solidFill>
              <w14:schemeClr w14:val="tx1"/>
            </w14:solidFill>
          </w14:textFill>
        </w:rPr>
        <w:t>云南省第一人民医院彩色多普勒超声诊断仪采购项目</w:t>
      </w:r>
      <w:r>
        <w:rPr>
          <w:rFonts w:hint="eastAsia" w:ascii="宋体" w:hAnsi="宋体" w:eastAsia="宋体" w:cs="宋体"/>
          <w:b w:val="0"/>
          <w:bCs w:val="0"/>
          <w:color w:val="000000" w:themeColor="text1"/>
          <w:szCs w:val="21"/>
          <w:highlight w:val="none"/>
          <w:u w:val="none"/>
          <w14:textFill>
            <w14:solidFill>
              <w14:schemeClr w14:val="tx1"/>
            </w14:solidFill>
          </w14:textFill>
        </w:rPr>
        <w:t>的潜在投标人应在政采云平台（https://www.zcygov.cn/）获取招标文件，并于</w:t>
      </w:r>
      <w:r>
        <w:rPr>
          <w:rFonts w:hint="eastAsia" w:ascii="宋体" w:hAnsi="宋体" w:cs="宋体"/>
          <w:color w:val="000000" w:themeColor="text1"/>
          <w:kern w:val="0"/>
          <w:szCs w:val="21"/>
          <w:highlight w:val="none"/>
          <w:lang w:eastAsia="zh-CN"/>
          <w14:textFill>
            <w14:solidFill>
              <w14:schemeClr w14:val="tx1"/>
            </w14:solidFill>
          </w14:textFill>
        </w:rPr>
        <w:t>202</w:t>
      </w:r>
      <w:r>
        <w:rPr>
          <w:rFonts w:hint="eastAsia" w:ascii="宋体" w:hAnsi="宋体" w:eastAsia="宋体" w:cs="宋体"/>
          <w:b w:val="0"/>
          <w:bCs w:val="0"/>
          <w:color w:val="000000" w:themeColor="text1"/>
          <w:szCs w:val="21"/>
          <w:highlight w:val="none"/>
          <w:u w:val="none"/>
          <w:lang w:eastAsia="zh-CN"/>
          <w14:textFill>
            <w14:solidFill>
              <w14:schemeClr w14:val="tx1"/>
            </w14:solidFill>
          </w14:textFill>
        </w:rPr>
        <w:t>6年</w:t>
      </w:r>
      <w:r>
        <w:rPr>
          <w:rFonts w:hint="eastAsia" w:ascii="宋体" w:hAnsi="宋体" w:eastAsia="宋体" w:cs="宋体"/>
          <w:b w:val="0"/>
          <w:bCs w:val="0"/>
          <w:color w:val="000000" w:themeColor="text1"/>
          <w:szCs w:val="21"/>
          <w:highlight w:val="none"/>
          <w:u w:val="none"/>
          <w:lang w:val="en-US" w:eastAsia="zh-CN"/>
          <w14:textFill>
            <w14:solidFill>
              <w14:schemeClr w14:val="tx1"/>
            </w14:solidFill>
          </w14:textFill>
        </w:rPr>
        <w:t>06月03日09点30分</w:t>
      </w:r>
      <w:r>
        <w:rPr>
          <w:rFonts w:hint="eastAsia" w:ascii="宋体" w:hAnsi="宋体" w:eastAsia="宋体" w:cs="宋体"/>
          <w:b w:val="0"/>
          <w:bCs w:val="0"/>
          <w:color w:val="000000" w:themeColor="text1"/>
          <w:szCs w:val="21"/>
          <w:highlight w:val="none"/>
          <w:u w:val="none"/>
          <w14:textFill>
            <w14:solidFill>
              <w14:schemeClr w14:val="tx1"/>
            </w14:solidFill>
          </w14:textFill>
        </w:rPr>
        <w:t>（北京时间）前递交投标文件。</w:t>
      </w:r>
    </w:p>
    <w:p w14:paraId="3C3DBE96">
      <w:pPr>
        <w:pageBreakBefore w:val="0"/>
        <w:kinsoku/>
        <w:overflowPunct/>
        <w:topLinePunct w:val="0"/>
        <w:autoSpaceDE/>
        <w:autoSpaceDN/>
        <w:bidi w:val="0"/>
        <w:adjustRightInd/>
        <w:snapToGrid/>
        <w:spacing w:before="0" w:beforeAutospacing="0" w:afterAutospacing="0" w:line="480" w:lineRule="exact"/>
        <w:outlineLvl w:val="1"/>
        <w:rPr>
          <w:rFonts w:hint="eastAsia" w:ascii="宋体" w:hAnsi="宋体" w:eastAsia="宋体" w:cs="宋体"/>
          <w:b/>
          <w:bCs w:val="0"/>
          <w:color w:val="000000" w:themeColor="text1"/>
          <w:spacing w:val="0"/>
          <w:sz w:val="28"/>
          <w:szCs w:val="28"/>
          <w:highlight w:val="none"/>
          <w14:textFill>
            <w14:solidFill>
              <w14:schemeClr w14:val="tx1"/>
            </w14:solidFill>
          </w14:textFill>
        </w:rPr>
      </w:pPr>
      <w:bookmarkStart w:id="11" w:name="_Toc2713"/>
      <w:bookmarkStart w:id="12" w:name="_Toc13734"/>
      <w:r>
        <w:rPr>
          <w:rFonts w:hint="eastAsia" w:ascii="宋体" w:hAnsi="宋体" w:eastAsia="宋体" w:cs="宋体"/>
          <w:b/>
          <w:bCs w:val="0"/>
          <w:color w:val="000000" w:themeColor="text1"/>
          <w:spacing w:val="0"/>
          <w:sz w:val="28"/>
          <w:szCs w:val="28"/>
          <w:highlight w:val="none"/>
          <w14:textFill>
            <w14:solidFill>
              <w14:schemeClr w14:val="tx1"/>
            </w14:solidFill>
          </w14:textFill>
        </w:rPr>
        <w:t>一、项目基本情况</w:t>
      </w:r>
      <w:bookmarkEnd w:id="11"/>
      <w:bookmarkEnd w:id="12"/>
    </w:p>
    <w:p w14:paraId="3133AC40">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1.项目编号：</w:t>
      </w:r>
      <w:r>
        <w:rPr>
          <w:rFonts w:hint="eastAsia" w:ascii="宋体" w:hAnsi="宋体" w:cs="宋体"/>
          <w:color w:val="000000" w:themeColor="text1"/>
          <w:szCs w:val="21"/>
          <w:highlight w:val="none"/>
          <w:lang w:eastAsia="zh-CN"/>
          <w14:textFill>
            <w14:solidFill>
              <w14:schemeClr w14:val="tx1"/>
            </w14:solidFill>
          </w14:textFill>
        </w:rPr>
        <w:t>YNZC2026-G1-02314-YNGR-0174</w:t>
      </w:r>
    </w:p>
    <w:p w14:paraId="0BD4ECBC">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eastAsia="zh-CN"/>
        </w:rPr>
        <w:t>云南省第一人民医院彩色多普勒超声诊断仪采购项目</w:t>
      </w:r>
    </w:p>
    <w:p w14:paraId="21B62699">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3.预算金额：</w:t>
      </w:r>
      <w:r>
        <w:rPr>
          <w:rFonts w:hint="eastAsia" w:ascii="宋体" w:hAnsi="宋体" w:cs="宋体"/>
          <w:color w:val="auto"/>
          <w:szCs w:val="21"/>
          <w:highlight w:val="none"/>
          <w:lang w:val="en-US" w:eastAsia="zh-CN"/>
        </w:rPr>
        <w:t>6000000.00</w:t>
      </w:r>
      <w:r>
        <w:rPr>
          <w:rFonts w:hint="eastAsia" w:ascii="宋体" w:hAnsi="宋体" w:cs="宋体"/>
          <w:color w:val="auto"/>
          <w:szCs w:val="21"/>
          <w:highlight w:val="none"/>
          <w:lang w:eastAsia="zh-CN"/>
        </w:rPr>
        <w:t>元</w:t>
      </w:r>
      <w:r>
        <w:rPr>
          <w:rFonts w:hint="eastAsia" w:ascii="宋体" w:hAnsi="宋体" w:cs="宋体"/>
          <w:color w:val="auto"/>
          <w:szCs w:val="21"/>
          <w:highlight w:val="none"/>
          <w:lang w:val="en-US" w:eastAsia="zh-CN"/>
        </w:rPr>
        <w:t>；</w:t>
      </w:r>
    </w:p>
    <w:p w14:paraId="01D4AD0F">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4.最高限价：</w:t>
      </w:r>
      <w:r>
        <w:rPr>
          <w:rFonts w:hint="eastAsia" w:ascii="宋体" w:hAnsi="宋体" w:cs="宋体"/>
          <w:color w:val="auto"/>
          <w:szCs w:val="21"/>
          <w:highlight w:val="none"/>
          <w:lang w:val="en-US" w:eastAsia="zh-CN"/>
        </w:rPr>
        <w:t>5400000.00</w:t>
      </w:r>
      <w:r>
        <w:rPr>
          <w:rFonts w:hint="eastAsia" w:ascii="宋体" w:hAnsi="宋体" w:cs="宋体"/>
          <w:color w:val="auto"/>
          <w:szCs w:val="21"/>
          <w:highlight w:val="none"/>
          <w:lang w:eastAsia="zh-CN"/>
        </w:rPr>
        <w:t>元</w:t>
      </w:r>
      <w:r>
        <w:rPr>
          <w:rFonts w:hint="eastAsia" w:ascii="宋体" w:hAnsi="宋体" w:cs="宋体"/>
          <w:color w:val="auto"/>
          <w:szCs w:val="21"/>
          <w:highlight w:val="none"/>
          <w:lang w:val="en-US" w:eastAsia="zh-CN"/>
        </w:rPr>
        <w:t>；</w:t>
      </w:r>
    </w:p>
    <w:p w14:paraId="59AF0317">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5.采购需求：</w:t>
      </w:r>
    </w:p>
    <w:tbl>
      <w:tblPr>
        <w:tblStyle w:val="40"/>
        <w:tblW w:w="77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914"/>
        <w:gridCol w:w="4422"/>
        <w:gridCol w:w="1020"/>
        <w:gridCol w:w="1417"/>
      </w:tblGrid>
      <w:tr w14:paraId="2ECB1D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914" w:type="dxa"/>
            <w:tcBorders>
              <w:tl2br w:val="nil"/>
              <w:tr2bl w:val="nil"/>
            </w:tcBorders>
            <w:tcMar>
              <w:top w:w="0" w:type="dxa"/>
              <w:left w:w="108" w:type="dxa"/>
              <w:bottom w:w="0" w:type="dxa"/>
              <w:right w:w="108" w:type="dxa"/>
            </w:tcMar>
            <w:vAlign w:val="center"/>
          </w:tcPr>
          <w:p w14:paraId="69C6CEFD">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序号</w:t>
            </w:r>
          </w:p>
        </w:tc>
        <w:tc>
          <w:tcPr>
            <w:tcW w:w="4422" w:type="dxa"/>
            <w:tcBorders>
              <w:tl2br w:val="nil"/>
              <w:tr2bl w:val="nil"/>
            </w:tcBorders>
            <w:tcMar>
              <w:top w:w="0" w:type="dxa"/>
              <w:left w:w="108" w:type="dxa"/>
              <w:bottom w:w="0" w:type="dxa"/>
              <w:right w:w="108" w:type="dxa"/>
            </w:tcMar>
            <w:vAlign w:val="center"/>
          </w:tcPr>
          <w:p w14:paraId="3EF8C594">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产品（项目）名称</w:t>
            </w:r>
          </w:p>
        </w:tc>
        <w:tc>
          <w:tcPr>
            <w:tcW w:w="1020" w:type="dxa"/>
            <w:tcBorders>
              <w:tl2br w:val="nil"/>
              <w:tr2bl w:val="nil"/>
            </w:tcBorders>
            <w:tcMar>
              <w:top w:w="0" w:type="dxa"/>
              <w:left w:w="108" w:type="dxa"/>
              <w:bottom w:w="0" w:type="dxa"/>
              <w:right w:w="108" w:type="dxa"/>
            </w:tcMar>
            <w:vAlign w:val="center"/>
          </w:tcPr>
          <w:p w14:paraId="13FA56C9">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Style w:val="43"/>
                <w:rFonts w:hint="eastAsia" w:ascii="宋体" w:hAnsi="宋体" w:eastAsia="宋体" w:cs="宋体"/>
                <w:color w:val="000000" w:themeColor="text1"/>
                <w:sz w:val="21"/>
                <w:szCs w:val="21"/>
                <w:highlight w:val="none"/>
                <w14:textFill>
                  <w14:solidFill>
                    <w14:schemeClr w14:val="tx1"/>
                  </w14:solidFill>
                </w14:textFill>
              </w:rPr>
              <w:t>数量</w:t>
            </w:r>
          </w:p>
        </w:tc>
        <w:tc>
          <w:tcPr>
            <w:tcW w:w="1417" w:type="dxa"/>
            <w:tcBorders>
              <w:tl2br w:val="nil"/>
              <w:tr2bl w:val="nil"/>
            </w:tcBorders>
            <w:tcMar>
              <w:top w:w="0" w:type="dxa"/>
              <w:left w:w="108" w:type="dxa"/>
              <w:bottom w:w="0" w:type="dxa"/>
              <w:right w:w="108" w:type="dxa"/>
            </w:tcMar>
            <w:vAlign w:val="center"/>
          </w:tcPr>
          <w:p w14:paraId="1EFBE666">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outlineLvl w:val="9"/>
              <w:rPr>
                <w:rFonts w:hint="eastAsia" w:ascii="宋体" w:hAnsi="宋体" w:eastAsia="宋体" w:cs="宋体"/>
                <w:color w:val="000000" w:themeColor="text1"/>
                <w:sz w:val="21"/>
                <w:szCs w:val="21"/>
                <w:highlight w:val="none"/>
                <w14:textFill>
                  <w14:solidFill>
                    <w14:schemeClr w14:val="tx1"/>
                  </w14:solidFill>
                </w14:textFill>
              </w:rPr>
            </w:pPr>
            <w:r>
              <w:rPr>
                <w:rStyle w:val="43"/>
                <w:rFonts w:hint="eastAsia" w:ascii="宋体" w:hAnsi="宋体" w:eastAsia="宋体" w:cs="宋体"/>
                <w:color w:val="000000" w:themeColor="text1"/>
                <w:sz w:val="21"/>
                <w:szCs w:val="21"/>
                <w:highlight w:val="none"/>
                <w14:textFill>
                  <w14:solidFill>
                    <w14:schemeClr w14:val="tx1"/>
                  </w14:solidFill>
                </w14:textFill>
              </w:rPr>
              <w:t>计量单位</w:t>
            </w:r>
          </w:p>
        </w:tc>
      </w:tr>
      <w:tr w14:paraId="7C007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914" w:type="dxa"/>
            <w:tcBorders>
              <w:tl2br w:val="nil"/>
              <w:tr2bl w:val="nil"/>
            </w:tcBorders>
            <w:tcMar>
              <w:top w:w="0" w:type="dxa"/>
              <w:left w:w="108" w:type="dxa"/>
              <w:bottom w:w="0" w:type="dxa"/>
              <w:right w:w="108" w:type="dxa"/>
            </w:tcMar>
            <w:vAlign w:val="center"/>
          </w:tcPr>
          <w:p w14:paraId="3EF134D5">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p>
        </w:tc>
        <w:tc>
          <w:tcPr>
            <w:tcW w:w="4422" w:type="dxa"/>
            <w:tcBorders>
              <w:tl2br w:val="nil"/>
              <w:tr2bl w:val="nil"/>
            </w:tcBorders>
            <w:tcMar>
              <w:top w:w="0" w:type="dxa"/>
              <w:left w:w="108" w:type="dxa"/>
              <w:bottom w:w="0" w:type="dxa"/>
              <w:right w:w="108" w:type="dxa"/>
            </w:tcMar>
            <w:vAlign w:val="center"/>
          </w:tcPr>
          <w:p w14:paraId="3925DFEF">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彩色多普勒超声诊断仪</w:t>
            </w:r>
          </w:p>
        </w:tc>
        <w:tc>
          <w:tcPr>
            <w:tcW w:w="1020" w:type="dxa"/>
            <w:tcBorders>
              <w:tl2br w:val="nil"/>
              <w:tr2bl w:val="nil"/>
            </w:tcBorders>
            <w:shd w:val="clear" w:color="auto" w:fill="auto"/>
            <w:tcMar>
              <w:top w:w="0" w:type="dxa"/>
              <w:left w:w="108" w:type="dxa"/>
              <w:bottom w:w="0" w:type="dxa"/>
              <w:right w:w="108" w:type="dxa"/>
            </w:tcMar>
            <w:vAlign w:val="center"/>
          </w:tcPr>
          <w:p w14:paraId="569388C3">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eastAsia"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w:t>
            </w:r>
          </w:p>
        </w:tc>
        <w:tc>
          <w:tcPr>
            <w:tcW w:w="1417" w:type="dxa"/>
            <w:tcBorders>
              <w:tl2br w:val="nil"/>
              <w:tr2bl w:val="nil"/>
            </w:tcBorders>
            <w:shd w:val="clear" w:color="auto" w:fill="auto"/>
            <w:tcMar>
              <w:top w:w="0" w:type="dxa"/>
              <w:left w:w="108" w:type="dxa"/>
              <w:bottom w:w="0" w:type="dxa"/>
              <w:right w:w="108" w:type="dxa"/>
            </w:tcMar>
            <w:vAlign w:val="center"/>
          </w:tcPr>
          <w:p w14:paraId="4810A964">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套</w:t>
            </w:r>
          </w:p>
        </w:tc>
      </w:tr>
    </w:tbl>
    <w:p w14:paraId="0E6A6390">
      <w:pPr>
        <w:pageBreakBefore w:val="0"/>
        <w:kinsoku/>
        <w:overflowPunct/>
        <w:topLinePunct w:val="0"/>
        <w:autoSpaceDE/>
        <w:autoSpaceDN/>
        <w:bidi w:val="0"/>
        <w:adjustRightInd/>
        <w:snapToGrid/>
        <w:spacing w:beforeAutospacing="0" w:afterAutospacing="0" w:line="480" w:lineRule="exact"/>
        <w:ind w:firstLine="422"/>
        <w:outlineLvl w:val="9"/>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注：本项目共设</w:t>
      </w:r>
      <w:r>
        <w:rPr>
          <w:rFonts w:hint="eastAsia" w:ascii="宋体" w:hAnsi="宋体" w:cs="宋体"/>
          <w:b w:val="0"/>
          <w:bCs/>
          <w:color w:val="000000" w:themeColor="text1"/>
          <w:szCs w:val="21"/>
          <w:highlight w:val="none"/>
          <w:lang w:val="en-US" w:eastAsia="zh-CN"/>
          <w14:textFill>
            <w14:solidFill>
              <w14:schemeClr w14:val="tx1"/>
            </w14:solidFill>
          </w14:textFill>
        </w:rPr>
        <w:t>一</w:t>
      </w:r>
      <w:r>
        <w:rPr>
          <w:rFonts w:hint="eastAsia" w:ascii="宋体" w:hAnsi="宋体" w:eastAsia="宋体" w:cs="宋体"/>
          <w:b w:val="0"/>
          <w:bCs/>
          <w:color w:val="000000" w:themeColor="text1"/>
          <w:szCs w:val="21"/>
          <w:highlight w:val="none"/>
          <w14:textFill>
            <w14:solidFill>
              <w14:schemeClr w14:val="tx1"/>
            </w14:solidFill>
          </w14:textFill>
        </w:rPr>
        <w:t>个标段。投标人必须对</w:t>
      </w:r>
      <w:r>
        <w:rPr>
          <w:rFonts w:hint="eastAsia" w:ascii="宋体" w:hAnsi="宋体" w:cs="宋体"/>
          <w:b w:val="0"/>
          <w:bCs/>
          <w:color w:val="000000" w:themeColor="text1"/>
          <w:szCs w:val="21"/>
          <w:highlight w:val="none"/>
          <w:lang w:val="en-US" w:eastAsia="zh-CN"/>
          <w14:textFill>
            <w14:solidFill>
              <w14:schemeClr w14:val="tx1"/>
            </w14:solidFill>
          </w14:textFill>
        </w:rPr>
        <w:t>本项目</w:t>
      </w:r>
      <w:r>
        <w:rPr>
          <w:rFonts w:hint="eastAsia" w:ascii="宋体" w:hAnsi="宋体" w:eastAsia="宋体" w:cs="宋体"/>
          <w:b w:val="0"/>
          <w:bCs/>
          <w:color w:val="000000" w:themeColor="text1"/>
          <w:szCs w:val="21"/>
          <w:highlight w:val="none"/>
          <w14:textFill>
            <w14:solidFill>
              <w14:schemeClr w14:val="tx1"/>
            </w14:solidFill>
          </w14:textFill>
        </w:rPr>
        <w:t>所有内容作出完整唯一的投标报价，不得出现缺项、漏项或无报价情况，否则投标文件将按无效处理，具体要求等详见本招标文件第五章《采购需求》。</w:t>
      </w:r>
    </w:p>
    <w:p w14:paraId="0E286403">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交货期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合同签订后接采购人通知30个日历天内完成交货及安装调试并交付使用。</w:t>
      </w:r>
    </w:p>
    <w:p w14:paraId="223D0328">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交货地点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云南省第一人民医院</w:t>
      </w:r>
      <w:r>
        <w:rPr>
          <w:rFonts w:hint="eastAsia" w:ascii="宋体" w:hAnsi="宋体" w:eastAsia="宋体" w:cs="宋体"/>
          <w:color w:val="000000" w:themeColor="text1"/>
          <w:szCs w:val="21"/>
          <w:highlight w:val="none"/>
          <w14:textFill>
            <w14:solidFill>
              <w14:schemeClr w14:val="tx1"/>
            </w14:solidFill>
          </w14:textFill>
        </w:rPr>
        <w:t>指定地点。</w:t>
      </w:r>
    </w:p>
    <w:p w14:paraId="37CB599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合同履行期限：</w:t>
      </w:r>
      <w:r>
        <w:rPr>
          <w:rFonts w:hint="eastAsia" w:ascii="宋体" w:hAnsi="宋体" w:cs="宋体"/>
          <w:color w:val="000000" w:themeColor="text1"/>
          <w:szCs w:val="21"/>
          <w:highlight w:val="none"/>
          <w:lang w:eastAsia="zh-CN"/>
          <w14:textFill>
            <w14:solidFill>
              <w14:schemeClr w14:val="tx1"/>
            </w14:solidFill>
          </w14:textFill>
        </w:rPr>
        <w:t>合同签订后接采购人通知30个日历天内完成交货及安装调试并交付使用</w:t>
      </w:r>
      <w:r>
        <w:rPr>
          <w:rFonts w:hint="eastAsia" w:ascii="宋体" w:hAnsi="宋体" w:cs="宋体"/>
          <w:color w:val="auto"/>
          <w:szCs w:val="21"/>
          <w:highlight w:val="none"/>
          <w:lang w:eastAsia="zh-CN"/>
        </w:rPr>
        <w:t>，合同签订生效之日起至</w:t>
      </w:r>
      <w:r>
        <w:rPr>
          <w:rFonts w:hint="eastAsia" w:ascii="宋体" w:hAnsi="宋体" w:cs="宋体"/>
          <w:color w:val="auto"/>
          <w:szCs w:val="21"/>
          <w:highlight w:val="none"/>
          <w:lang w:val="en-US" w:eastAsia="zh-CN"/>
        </w:rPr>
        <w:t>合同履行完毕之</w:t>
      </w:r>
      <w:r>
        <w:rPr>
          <w:rFonts w:hint="eastAsia" w:ascii="宋体" w:hAnsi="宋体" w:cs="宋体"/>
          <w:color w:val="auto"/>
          <w:szCs w:val="21"/>
          <w:highlight w:val="none"/>
          <w:lang w:eastAsia="zh-CN"/>
        </w:rPr>
        <w:t>日止。</w:t>
      </w:r>
    </w:p>
    <w:p w14:paraId="64C4C664">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本次采购</w:t>
      </w:r>
      <w:r>
        <w:rPr>
          <w:rFonts w:hint="eastAsia" w:ascii="宋体" w:hAnsi="宋体" w:cs="宋体"/>
          <w:b/>
          <w:bCs/>
          <w:color w:val="auto"/>
          <w:szCs w:val="21"/>
          <w:highlight w:val="none"/>
          <w:u w:val="single"/>
          <w:lang w:val="en-US" w:eastAsia="zh-CN"/>
        </w:rPr>
        <w:t>不</w:t>
      </w:r>
      <w:r>
        <w:rPr>
          <w:rFonts w:hint="eastAsia" w:ascii="宋体" w:hAnsi="宋体" w:cs="宋体"/>
          <w:b/>
          <w:bCs/>
          <w:color w:val="auto"/>
          <w:szCs w:val="21"/>
          <w:highlight w:val="none"/>
          <w:u w:val="single"/>
        </w:rPr>
        <w:t>接受</w:t>
      </w:r>
      <w:r>
        <w:rPr>
          <w:rFonts w:hint="eastAsia" w:ascii="宋体" w:hAnsi="宋体" w:cs="宋体"/>
          <w:color w:val="auto"/>
          <w:szCs w:val="21"/>
          <w:highlight w:val="none"/>
        </w:rPr>
        <w:t>进口产品参加。进口产品是指通过中国海关报关验放进入中国境内且产自关境外的产品。</w:t>
      </w:r>
    </w:p>
    <w:p w14:paraId="66D40D52">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.本项目</w:t>
      </w:r>
      <w:r>
        <w:rPr>
          <w:rFonts w:hint="eastAsia" w:ascii="宋体" w:hAnsi="宋体" w:eastAsia="宋体" w:cs="宋体"/>
          <w:b/>
          <w:bCs/>
          <w:color w:val="000000" w:themeColor="text1"/>
          <w:szCs w:val="21"/>
          <w:highlight w:val="none"/>
          <w14:textFill>
            <w14:solidFill>
              <w14:schemeClr w14:val="tx1"/>
            </w14:solidFill>
          </w14:textFill>
        </w:rPr>
        <w:t>不接受</w:t>
      </w:r>
      <w:r>
        <w:rPr>
          <w:rFonts w:hint="eastAsia" w:ascii="宋体" w:hAnsi="宋体" w:eastAsia="宋体" w:cs="宋体"/>
          <w:color w:val="000000" w:themeColor="text1"/>
          <w:szCs w:val="21"/>
          <w:highlight w:val="none"/>
          <w14:textFill>
            <w14:solidFill>
              <w14:schemeClr w14:val="tx1"/>
            </w14:solidFill>
          </w14:textFill>
        </w:rPr>
        <w:t>联合体投标。</w:t>
      </w:r>
    </w:p>
    <w:p w14:paraId="493A54D5">
      <w:pPr>
        <w:pageBreakBefore w:val="0"/>
        <w:kinsoku/>
        <w:overflowPunct/>
        <w:topLinePunct w:val="0"/>
        <w:autoSpaceDE/>
        <w:autoSpaceDN/>
        <w:bidi w:val="0"/>
        <w:adjustRightInd/>
        <w:snapToGrid/>
        <w:spacing w:before="0" w:beforeAutospacing="0" w:afterAutospacing="0" w:line="480" w:lineRule="exact"/>
        <w:outlineLvl w:val="1"/>
        <w:rPr>
          <w:rFonts w:hint="eastAsia" w:ascii="宋体" w:hAnsi="宋体" w:eastAsia="宋体" w:cs="宋体"/>
          <w:b/>
          <w:bCs w:val="0"/>
          <w:color w:val="000000" w:themeColor="text1"/>
          <w:spacing w:val="0"/>
          <w:sz w:val="28"/>
          <w:szCs w:val="28"/>
          <w:highlight w:val="none"/>
          <w14:textFill>
            <w14:solidFill>
              <w14:schemeClr w14:val="tx1"/>
            </w14:solidFill>
          </w14:textFill>
        </w:rPr>
      </w:pPr>
      <w:bookmarkStart w:id="13" w:name="_Toc11134"/>
      <w:bookmarkStart w:id="14" w:name="_Toc28096"/>
      <w:r>
        <w:rPr>
          <w:rFonts w:hint="eastAsia" w:ascii="宋体" w:hAnsi="宋体" w:eastAsia="宋体" w:cs="宋体"/>
          <w:b/>
          <w:bCs w:val="0"/>
          <w:color w:val="000000" w:themeColor="text1"/>
          <w:spacing w:val="0"/>
          <w:sz w:val="28"/>
          <w:szCs w:val="28"/>
          <w:highlight w:val="none"/>
          <w14:textFill>
            <w14:solidFill>
              <w14:schemeClr w14:val="tx1"/>
            </w14:solidFill>
          </w14:textFill>
        </w:rPr>
        <w:t>二、</w:t>
      </w:r>
      <w:r>
        <w:rPr>
          <w:rFonts w:hint="eastAsia" w:ascii="宋体" w:hAnsi="宋体" w:eastAsia="宋体" w:cs="宋体"/>
          <w:b/>
          <w:bCs w:val="0"/>
          <w:color w:val="000000" w:themeColor="text1"/>
          <w:spacing w:val="0"/>
          <w:sz w:val="28"/>
          <w:szCs w:val="28"/>
          <w:highlight w:val="none"/>
          <w:lang w:eastAsia="zh-CN"/>
          <w14:textFill>
            <w14:solidFill>
              <w14:schemeClr w14:val="tx1"/>
            </w14:solidFill>
          </w14:textFill>
        </w:rPr>
        <w:t>投标人</w:t>
      </w:r>
      <w:r>
        <w:rPr>
          <w:rFonts w:hint="eastAsia" w:ascii="宋体" w:hAnsi="宋体" w:eastAsia="宋体" w:cs="宋体"/>
          <w:b/>
          <w:bCs w:val="0"/>
          <w:color w:val="000000" w:themeColor="text1"/>
          <w:spacing w:val="0"/>
          <w:sz w:val="28"/>
          <w:szCs w:val="28"/>
          <w:highlight w:val="none"/>
          <w14:textFill>
            <w14:solidFill>
              <w14:schemeClr w14:val="tx1"/>
            </w14:solidFill>
          </w14:textFill>
        </w:rPr>
        <w:t>的资格要求</w:t>
      </w:r>
      <w:bookmarkEnd w:id="13"/>
      <w:bookmarkEnd w:id="14"/>
    </w:p>
    <w:p w14:paraId="107F34C0">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6FE2940F">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lang w:eastAsia="zh-CN"/>
          <w14:textFill>
            <w14:solidFill>
              <w14:schemeClr w14:val="tx1"/>
            </w14:solidFill>
          </w14:textFill>
        </w:rPr>
        <w:t>具有独立承担民事责任的能力</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投标人须在中华人民共和国境内注册，提供市场监督管理部门核发的有效的三证合一营业执照或其他组织形式的相关主体资格证明材料（扫描件加盖投标人电子公章）</w:t>
      </w:r>
      <w:r>
        <w:rPr>
          <w:rFonts w:hint="eastAsia" w:ascii="宋体" w:hAnsi="宋体" w:eastAsia="宋体" w:cs="宋体"/>
          <w:color w:val="000000" w:themeColor="text1"/>
          <w:szCs w:val="21"/>
          <w:highlight w:val="none"/>
          <w:lang w:eastAsia="zh-CN"/>
          <w14:textFill>
            <w14:solidFill>
              <w14:schemeClr w14:val="tx1"/>
            </w14:solidFill>
          </w14:textFill>
        </w:rPr>
        <w:t>；</w:t>
      </w:r>
    </w:p>
    <w:p w14:paraId="0F402E5F">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lang w:eastAsia="zh-CN"/>
          <w14:textFill>
            <w14:solidFill>
              <w14:schemeClr w14:val="tx1"/>
            </w14:solidFill>
          </w14:textFill>
        </w:rPr>
        <w:t>具有良好的商业信誉和健全的财务会计制度</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提供</w:t>
      </w:r>
      <w:r>
        <w:rPr>
          <w:rFonts w:hint="eastAsia" w:ascii="宋体" w:hAnsi="宋体" w:cs="宋体"/>
          <w:color w:val="000000" w:themeColor="text1"/>
          <w:szCs w:val="21"/>
          <w:highlight w:val="none"/>
          <w:lang w:eastAsia="zh-CN"/>
          <w14:textFill>
            <w14:solidFill>
              <w14:schemeClr w14:val="tx1"/>
            </w14:solidFill>
          </w14:textFill>
        </w:rPr>
        <w:t>投标人2024年度或2025年度经第三方审计</w:t>
      </w:r>
      <w:r>
        <w:rPr>
          <w:rFonts w:hint="eastAsia" w:ascii="宋体" w:hAnsi="宋体" w:eastAsia="宋体" w:cs="宋体"/>
          <w:color w:val="000000" w:themeColor="text1"/>
          <w:szCs w:val="21"/>
          <w:highlight w:val="none"/>
          <w:lang w:eastAsia="zh-CN"/>
          <w14:textFill>
            <w14:solidFill>
              <w14:schemeClr w14:val="tx1"/>
            </w14:solidFill>
          </w14:textFill>
        </w:rPr>
        <w:t>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r>
        <w:rPr>
          <w:rFonts w:hint="eastAsia" w:ascii="宋体" w:hAnsi="宋体" w:eastAsia="宋体" w:cs="宋体"/>
          <w:color w:val="000000" w:themeColor="text1"/>
          <w:szCs w:val="21"/>
          <w:highlight w:val="none"/>
          <w14:textFill>
            <w14:solidFill>
              <w14:schemeClr w14:val="tx1"/>
            </w14:solidFill>
          </w14:textFill>
        </w:rPr>
        <w:t>；</w:t>
      </w:r>
    </w:p>
    <w:p w14:paraId="344A149F">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lang w:eastAsia="zh-CN"/>
          <w14:textFill>
            <w14:solidFill>
              <w14:schemeClr w14:val="tx1"/>
            </w14:solidFill>
          </w14:textFill>
        </w:rPr>
        <w:t>具有履行合同所必需的设备和专业技术能力</w:t>
      </w:r>
      <w:r>
        <w:rPr>
          <w:rFonts w:hint="eastAsia" w:ascii="宋体" w:hAnsi="宋体" w:eastAsia="宋体" w:cs="宋体"/>
          <w:color w:val="000000" w:themeColor="text1"/>
          <w:szCs w:val="21"/>
          <w:highlight w:val="none"/>
          <w:lang w:eastAsia="zh-CN"/>
          <w14:textFill>
            <w14:solidFill>
              <w14:schemeClr w14:val="tx1"/>
            </w14:solidFill>
          </w14:textFill>
        </w:rPr>
        <w:t>：提供投标人</w:t>
      </w:r>
      <w:r>
        <w:rPr>
          <w:rFonts w:hint="eastAsia" w:ascii="宋体" w:hAnsi="宋体" w:cs="宋体"/>
          <w:color w:val="000000" w:themeColor="text1"/>
          <w:szCs w:val="21"/>
          <w:highlight w:val="none"/>
          <w:lang w:eastAsia="zh-CN"/>
          <w14:textFill>
            <w14:solidFill>
              <w14:schemeClr w14:val="tx1"/>
            </w14:solidFill>
          </w14:textFill>
        </w:rPr>
        <w:t>具有履行合同所必需的设备和专业技术能力</w:t>
      </w:r>
      <w:r>
        <w:rPr>
          <w:rFonts w:hint="eastAsia" w:ascii="宋体" w:hAnsi="宋体" w:eastAsia="宋体" w:cs="宋体"/>
          <w:color w:val="000000" w:themeColor="text1"/>
          <w:szCs w:val="21"/>
          <w:highlight w:val="none"/>
          <w:lang w:eastAsia="zh-CN"/>
          <w14:textFill>
            <w14:solidFill>
              <w14:schemeClr w14:val="tx1"/>
            </w14:solidFill>
          </w14:textFill>
        </w:rPr>
        <w:t>证明材料（扫描件加盖投标人电子公章）或书面声明（加盖投标人电子公章）</w:t>
      </w:r>
      <w:r>
        <w:rPr>
          <w:rFonts w:hint="eastAsia" w:ascii="宋体" w:hAnsi="宋体" w:eastAsia="宋体" w:cs="宋体"/>
          <w:color w:val="000000" w:themeColor="text1"/>
          <w:szCs w:val="21"/>
          <w:highlight w:val="none"/>
          <w14:textFill>
            <w14:solidFill>
              <w14:schemeClr w14:val="tx1"/>
            </w14:solidFill>
          </w14:textFill>
        </w:rPr>
        <w:t>；</w:t>
      </w:r>
    </w:p>
    <w:p w14:paraId="4BA99AC9">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w:t>
      </w:r>
      <w:r>
        <w:rPr>
          <w:rFonts w:hint="eastAsia" w:ascii="宋体" w:hAnsi="宋体" w:cs="宋体"/>
          <w:color w:val="000000" w:themeColor="text1"/>
          <w:szCs w:val="21"/>
          <w:highlight w:val="none"/>
          <w:lang w:eastAsia="zh-CN"/>
          <w14:textFill>
            <w14:solidFill>
              <w14:schemeClr w14:val="tx1"/>
            </w14:solidFill>
          </w14:textFill>
        </w:rPr>
        <w:t>有依法缴纳税收和社会保障资金的良好记录</w:t>
      </w:r>
      <w:r>
        <w:rPr>
          <w:rFonts w:hint="eastAsia" w:ascii="宋体" w:hAnsi="宋体" w:eastAsia="宋体" w:cs="宋体"/>
          <w:color w:val="000000" w:themeColor="text1"/>
          <w:szCs w:val="21"/>
          <w:highlight w:val="none"/>
          <w14:textFill>
            <w14:solidFill>
              <w14:schemeClr w14:val="tx1"/>
            </w14:solidFill>
          </w14:textFill>
        </w:rPr>
        <w:t>：</w:t>
      </w:r>
    </w:p>
    <w:p w14:paraId="22A9D947">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w:t>
      </w:r>
      <w:r>
        <w:rPr>
          <w:rFonts w:hint="eastAsia" w:ascii="宋体" w:hAnsi="宋体" w:eastAsia="宋体" w:cs="宋体"/>
          <w:color w:val="000000" w:themeColor="text1"/>
          <w:szCs w:val="21"/>
          <w:highlight w:val="none"/>
          <w:lang w:eastAsia="zh-CN"/>
          <w14:textFill>
            <w14:solidFill>
              <w14:schemeClr w14:val="tx1"/>
            </w14:solidFill>
          </w14:textFill>
        </w:rPr>
        <w:t>提供投标人缴税所属时间在</w:t>
      </w:r>
      <w:r>
        <w:rPr>
          <w:rFonts w:hint="eastAsia" w:ascii="宋体" w:hAnsi="宋体" w:cs="宋体"/>
          <w:color w:val="000000" w:themeColor="text1"/>
          <w:szCs w:val="21"/>
          <w:highlight w:val="none"/>
          <w:lang w:eastAsia="zh-CN"/>
          <w14:textFill>
            <w14:solidFill>
              <w14:schemeClr w14:val="tx1"/>
            </w14:solidFill>
          </w14:textFill>
        </w:rPr>
        <w:t>2025年01月至</w:t>
      </w:r>
      <w:r>
        <w:rPr>
          <w:rFonts w:hint="eastAsia" w:ascii="宋体" w:hAnsi="宋体" w:eastAsia="宋体" w:cs="宋体"/>
          <w:color w:val="000000" w:themeColor="text1"/>
          <w:szCs w:val="21"/>
          <w:highlight w:val="none"/>
          <w:lang w:eastAsia="zh-CN"/>
          <w14:textFill>
            <w14:solidFill>
              <w14:schemeClr w14:val="tx1"/>
            </w14:solidFill>
          </w14:textFill>
        </w:rPr>
        <w:t>本项目提交投标文件截止时间前任意3个月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p w14:paraId="6303C1D4">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w:t>
      </w:r>
      <w:r>
        <w:rPr>
          <w:rFonts w:hint="eastAsia" w:ascii="宋体" w:hAnsi="宋体" w:eastAsia="宋体" w:cs="宋体"/>
          <w:color w:val="000000" w:themeColor="text1"/>
          <w:szCs w:val="21"/>
          <w:highlight w:val="none"/>
          <w:lang w:eastAsia="zh-CN"/>
          <w14:textFill>
            <w14:solidFill>
              <w14:schemeClr w14:val="tx1"/>
            </w14:solidFill>
          </w14:textFill>
        </w:rPr>
        <w:t>提供投标人缴费所属时间在</w:t>
      </w:r>
      <w:r>
        <w:rPr>
          <w:rFonts w:hint="eastAsia" w:ascii="宋体" w:hAnsi="宋体" w:cs="宋体"/>
          <w:color w:val="000000" w:themeColor="text1"/>
          <w:szCs w:val="21"/>
          <w:highlight w:val="none"/>
          <w:lang w:eastAsia="zh-CN"/>
          <w14:textFill>
            <w14:solidFill>
              <w14:schemeClr w14:val="tx1"/>
            </w14:solidFill>
          </w14:textFill>
        </w:rPr>
        <w:t>2025年01月至</w:t>
      </w:r>
      <w:r>
        <w:rPr>
          <w:rFonts w:hint="eastAsia" w:ascii="宋体" w:hAnsi="宋体" w:eastAsia="宋体" w:cs="宋体"/>
          <w:color w:val="000000" w:themeColor="text1"/>
          <w:szCs w:val="21"/>
          <w:highlight w:val="none"/>
          <w:lang w:eastAsia="zh-CN"/>
          <w14:textFill>
            <w14:solidFill>
              <w14:schemeClr w14:val="tx1"/>
            </w14:solidFill>
          </w14:textFill>
        </w:rPr>
        <w:t>本项目提交投标文件截止时间前任意3个月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p w14:paraId="1EE9C007">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lang w:eastAsia="zh-CN"/>
          <w14:textFill>
            <w14:solidFill>
              <w14:schemeClr w14:val="tx1"/>
            </w14:solidFill>
          </w14:textFill>
        </w:rPr>
        <w:t>参加政府采购活动前三年内，在经营活动中没有重大违法记录</w:t>
      </w:r>
      <w:r>
        <w:rPr>
          <w:rFonts w:hint="eastAsia" w:ascii="宋体" w:hAnsi="宋体" w:eastAsia="宋体" w:cs="宋体"/>
          <w:color w:val="000000" w:themeColor="text1"/>
          <w:szCs w:val="21"/>
          <w:highlight w:val="none"/>
          <w:lang w:eastAsia="zh-CN"/>
          <w14:textFill>
            <w14:solidFill>
              <w14:schemeClr w14:val="tx1"/>
            </w14:solidFill>
          </w14:textFill>
        </w:rPr>
        <w:t>：提供投标人</w:t>
      </w:r>
      <w:r>
        <w:rPr>
          <w:rFonts w:hint="eastAsia" w:ascii="宋体" w:hAnsi="宋体" w:cs="宋体"/>
          <w:color w:val="000000" w:themeColor="text1"/>
          <w:szCs w:val="21"/>
          <w:highlight w:val="none"/>
          <w:lang w:eastAsia="zh-CN"/>
          <w14:textFill>
            <w14:solidFill>
              <w14:schemeClr w14:val="tx1"/>
            </w14:solidFill>
          </w14:textFill>
        </w:rPr>
        <w:t>参加政府采购活动前三年内，在经营活动中没有重大违法记录</w:t>
      </w:r>
      <w:r>
        <w:rPr>
          <w:rFonts w:hint="eastAsia" w:ascii="宋体" w:hAnsi="宋体" w:eastAsia="宋体" w:cs="宋体"/>
          <w:color w:val="000000" w:themeColor="text1"/>
          <w:szCs w:val="21"/>
          <w:highlight w:val="none"/>
          <w:lang w:eastAsia="zh-CN"/>
          <w14:textFill>
            <w14:solidFill>
              <w14:schemeClr w14:val="tx1"/>
            </w14:solidFill>
          </w14:textFill>
        </w:rPr>
        <w:t>（重大违法记录，是指投标人因违法经营受到刑事处罚或者责令停产停业、吊销许可证或者执照、较大数额罚款等行政处罚）的书面声明（加盖投标人电子公章）</w:t>
      </w:r>
      <w:r>
        <w:rPr>
          <w:rFonts w:hint="eastAsia" w:ascii="宋体" w:hAnsi="宋体" w:eastAsia="宋体" w:cs="宋体"/>
          <w:color w:val="000000" w:themeColor="text1"/>
          <w:szCs w:val="21"/>
          <w:highlight w:val="none"/>
          <w14:textFill>
            <w14:solidFill>
              <w14:schemeClr w14:val="tx1"/>
            </w14:solidFill>
          </w14:textFill>
        </w:rPr>
        <w:t>；</w:t>
      </w:r>
    </w:p>
    <w:p w14:paraId="1E4E2DC7">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1.6法律、行政法规规定的其他条件：</w:t>
      </w:r>
    </w:p>
    <w:p w14:paraId="63F6B003">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投标人在“信用中国”网站（www.creditchina.gov.cn）中查询结果应未被列入失信被执行人（按网站要求链接到中国执行信息网（http://zxgk.court.gov.cn/shixin/）查询）、重大税收违法失信主体（查询时间为本公告发布之日起至提交投标文件截止之日止，查询结果以采购人、采购代理机构查询结果为准，并将查询记录和证据留存）</w:t>
      </w:r>
      <w:r>
        <w:rPr>
          <w:rFonts w:hint="eastAsia" w:ascii="宋体" w:hAnsi="宋体" w:eastAsia="宋体" w:cs="宋体"/>
          <w:color w:val="000000" w:themeColor="text1"/>
          <w:szCs w:val="21"/>
          <w:highlight w:val="none"/>
          <w14:textFill>
            <w14:solidFill>
              <w14:schemeClr w14:val="tx1"/>
            </w14:solidFill>
          </w14:textFill>
        </w:rPr>
        <w:t>；</w:t>
      </w:r>
    </w:p>
    <w:p w14:paraId="13485D56">
      <w:pPr>
        <w:keepNext w:val="0"/>
        <w:keepLines w:val="0"/>
        <w:pageBreakBefore w:val="0"/>
        <w:widowControl w:val="0"/>
        <w:kinsoku/>
        <w:wordWrap w:val="0"/>
        <w:overflowPunct/>
        <w:topLinePunct w:val="0"/>
        <w:autoSpaceDE/>
        <w:autoSpaceDN/>
        <w:bidi w:val="0"/>
        <w:adjustRightInd/>
        <w:snapToGrid/>
        <w:spacing w:beforeAutospacing="0" w:afterAutospacing="0" w:line="48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.2投标人在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中国政府采购网</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lang w:eastAsia="zh-CN"/>
          <w14:textFill>
            <w14:solidFill>
              <w14:schemeClr w14:val="tx1"/>
            </w14:solidFill>
          </w14:textFill>
        </w:rPr>
        <w:t>未被列入政府采购严重违法失信行为记录名单</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查询时间为本公告发布之日起至提交投标文件截止之日止</w:t>
      </w:r>
      <w:r>
        <w:rPr>
          <w:rFonts w:hint="eastAsia" w:ascii="宋体" w:hAnsi="宋体" w:eastAsia="宋体" w:cs="宋体"/>
          <w:color w:val="000000" w:themeColor="text1"/>
          <w:szCs w:val="21"/>
          <w:highlight w:val="none"/>
          <w14:textFill>
            <w14:solidFill>
              <w14:schemeClr w14:val="tx1"/>
            </w14:solidFill>
          </w14:textFill>
        </w:rPr>
        <w:t>，查询结果以采购人、采购代理机构查询结果为准，并将查询记录和证据留存）；</w:t>
      </w:r>
    </w:p>
    <w:p w14:paraId="6D54294B">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1.6.3</w:t>
      </w:r>
      <w:r>
        <w:rPr>
          <w:rFonts w:hint="eastAsia" w:ascii="宋体" w:hAnsi="宋体" w:cs="宋体"/>
          <w:color w:val="000000" w:themeColor="text1"/>
          <w:szCs w:val="21"/>
          <w:highlight w:val="none"/>
          <w:lang w:eastAsia="zh-CN"/>
          <w14:textFill>
            <w14:solidFill>
              <w14:schemeClr w14:val="tx1"/>
            </w14:solidFill>
          </w14:textFill>
        </w:rPr>
        <w:t>单位负责人为同一人或者存在直接控股、管理关系不同的投标人，不得同时参与本项目的采购活动。为采购项目提供整体设计、规范编制和项目管理、监理、检测等服务的投标人，不得参与本项目采购活动（提供承诺函加盖投标人电子公章）</w:t>
      </w:r>
      <w:r>
        <w:rPr>
          <w:rFonts w:hint="eastAsia" w:ascii="宋体" w:hAnsi="宋体" w:eastAsia="宋体" w:cs="宋体"/>
          <w:color w:val="000000" w:themeColor="text1"/>
          <w:szCs w:val="21"/>
          <w:highlight w:val="none"/>
          <w14:textFill>
            <w14:solidFill>
              <w14:schemeClr w14:val="tx1"/>
            </w14:solidFill>
          </w14:textFill>
        </w:rPr>
        <w:t>；</w:t>
      </w:r>
    </w:p>
    <w:p w14:paraId="5C9CB139">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r>
        <w:rPr>
          <w:rFonts w:hint="eastAsia" w:ascii="宋体" w:hAnsi="宋体" w:eastAsia="宋体" w:cs="宋体"/>
          <w:color w:val="000000" w:themeColor="text1"/>
          <w:szCs w:val="21"/>
          <w:highlight w:val="none"/>
          <w:lang w:eastAsia="zh-CN"/>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w:t>
      </w:r>
    </w:p>
    <w:p w14:paraId="4A3DE9CA">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w:t>
      </w:r>
      <w:r>
        <w:rPr>
          <w:rFonts w:hint="eastAsia" w:ascii="宋体" w:hAnsi="宋体" w:eastAsia="宋体" w:cs="宋体"/>
          <w:color w:val="000000" w:themeColor="text1"/>
          <w:szCs w:val="21"/>
          <w:highlight w:val="none"/>
          <w:lang w:val="en-US" w:eastAsia="zh-CN"/>
          <w14:textFill>
            <w14:solidFill>
              <w14:schemeClr w14:val="tx1"/>
            </w14:solidFill>
          </w14:textFill>
        </w:rPr>
        <w:t>根据《医疗器械监督管理条例》（国务院令第739号）和国家食品药品监督管理总局《医疗器械分类目录》的规定，所投产品属于第一类医疗器械的投标人须提供有效的医疗器械备案凭证（扫描件加盖投标人电子公章）；所投产品属于第二类医疗器械的投标人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投标人电子公章）；所投产品属于第三类医疗器械的投标人须提供有效的医疗器械经营许可证（经营范围须覆盖所属类别）、生产制造商医疗器械生产许可证（生产范围须覆盖所属类别，生产制造商工商注册地在中华人民共和国境外的，可不提供）、医疗器械注册证及附件（扫描件加盖投标人电子公章）。投标人如果是所投产品医疗器械制造商的，无须提供医疗器械经营许可证或备案证，其他不在目录内的所投产品不作强行要求。</w:t>
      </w:r>
      <w:bookmarkStart w:id="15" w:name="_Toc9685"/>
      <w:bookmarkStart w:id="16" w:name="_Toc13683"/>
    </w:p>
    <w:p w14:paraId="1B9916AB">
      <w:pPr>
        <w:pageBreakBefore w:val="0"/>
        <w:kinsoku/>
        <w:overflowPunct/>
        <w:topLinePunct w:val="0"/>
        <w:autoSpaceDE/>
        <w:autoSpaceDN/>
        <w:bidi w:val="0"/>
        <w:adjustRightInd/>
        <w:snapToGrid/>
        <w:spacing w:beforeAutospacing="0" w:afterAutospacing="0" w:line="480" w:lineRule="exact"/>
        <w:ind w:firstLine="562" w:firstLineChars="200"/>
        <w:outlineLvl w:val="9"/>
        <w:rPr>
          <w:rFonts w:hint="eastAsia" w:ascii="宋体" w:hAnsi="宋体" w:eastAsia="宋体" w:cs="宋体"/>
          <w:b/>
          <w:bCs w:val="0"/>
          <w:color w:val="000000" w:themeColor="text1"/>
          <w:spacing w:val="0"/>
          <w:sz w:val="28"/>
          <w:szCs w:val="28"/>
          <w:highlight w:val="none"/>
          <w14:textFill>
            <w14:solidFill>
              <w14:schemeClr w14:val="tx1"/>
            </w14:solidFill>
          </w14:textFill>
        </w:rPr>
      </w:pPr>
      <w:r>
        <w:rPr>
          <w:rFonts w:hint="eastAsia" w:ascii="宋体" w:hAnsi="宋体" w:eastAsia="宋体" w:cs="宋体"/>
          <w:b/>
          <w:bCs w:val="0"/>
          <w:color w:val="000000" w:themeColor="text1"/>
          <w:spacing w:val="0"/>
          <w:sz w:val="28"/>
          <w:szCs w:val="28"/>
          <w:highlight w:val="none"/>
          <w14:textFill>
            <w14:solidFill>
              <w14:schemeClr w14:val="tx1"/>
            </w14:solidFill>
          </w14:textFill>
        </w:rPr>
        <w:t>三、获取招标文件</w:t>
      </w:r>
      <w:bookmarkEnd w:id="15"/>
      <w:bookmarkEnd w:id="16"/>
    </w:p>
    <w:p w14:paraId="074AB0D3">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1.时间</w:t>
      </w: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2026年05月13日至2026年05月21日23:59</w:t>
      </w:r>
      <w:r>
        <w:rPr>
          <w:rFonts w:hint="eastAsia" w:ascii="宋体" w:hAnsi="宋体" w:eastAsia="宋体" w:cs="宋体"/>
          <w:b w:val="0"/>
          <w:bCs w:val="0"/>
          <w:color w:val="000000" w:themeColor="text1"/>
          <w:szCs w:val="21"/>
          <w:highlight w:val="none"/>
          <w14:textFill>
            <w14:solidFill>
              <w14:schemeClr w14:val="tx1"/>
            </w14:solidFill>
          </w14:textFill>
        </w:rPr>
        <w:t>（北京</w:t>
      </w:r>
      <w:r>
        <w:rPr>
          <w:rFonts w:hint="eastAsia" w:ascii="宋体" w:hAnsi="宋体" w:eastAsia="宋体" w:cs="宋体"/>
          <w:b w:val="0"/>
          <w:bCs/>
          <w:color w:val="000000" w:themeColor="text1"/>
          <w:szCs w:val="21"/>
          <w:highlight w:val="none"/>
          <w14:textFill>
            <w14:solidFill>
              <w14:schemeClr w14:val="tx1"/>
            </w14:solidFill>
          </w14:textFill>
        </w:rPr>
        <w:t>时间，法定节假日除外）。</w:t>
      </w:r>
    </w:p>
    <w:p w14:paraId="0B554E66">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2.地点：云南省政府采购电子交易平台（政采云https://www.zcygov.cn/）线上获取（操作路径：登录“政采云”平台-项目采购-获取采购文件 -找到本项目-点击“申请获取采购文件”）</w:t>
      </w:r>
      <w:r>
        <w:rPr>
          <w:rFonts w:hint="eastAsia" w:ascii="宋体" w:hAnsi="宋体" w:cs="宋体"/>
          <w:color w:val="000000" w:themeColor="text1"/>
          <w:szCs w:val="21"/>
          <w:highlight w:val="none"/>
          <w:lang w:eastAsia="zh-CN"/>
          <w14:textFill>
            <w14:solidFill>
              <w14:schemeClr w14:val="tx1"/>
            </w14:solidFill>
          </w14:textFill>
        </w:rPr>
        <w:t>。</w:t>
      </w:r>
    </w:p>
    <w:p w14:paraId="68B09FFC">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3.方式：凡有意参加投标者，须在政采云平台办理数字证书（CA)，CA申领链接</w:t>
      </w:r>
      <w:r>
        <w:rPr>
          <w:rFonts w:hint="eastAsia" w:ascii="宋体" w:hAnsi="宋体" w:eastAsia="宋体" w:cs="宋体"/>
          <w:b w:val="0"/>
          <w:bCs w:val="0"/>
          <w:color w:val="000000" w:themeColor="text1"/>
          <w:szCs w:val="21"/>
          <w:highlight w:val="none"/>
          <w:lang w:eastAsia="zh-CN"/>
          <w14:textFill>
            <w14:solidFill>
              <w14:schemeClr w14:val="tx1"/>
            </w14:solidFill>
          </w14:textFill>
        </w:rPr>
        <w:t>http://yzt.ynsmartcert.cn/cms/yztgr.html</w:t>
      </w:r>
      <w:r>
        <w:rPr>
          <w:rFonts w:hint="eastAsia" w:ascii="宋体" w:hAnsi="宋体" w:eastAsia="宋体" w:cs="宋体"/>
          <w:b w:val="0"/>
          <w:bCs w:val="0"/>
          <w:color w:val="000000" w:themeColor="text1"/>
          <w:szCs w:val="21"/>
          <w:highlight w:val="none"/>
          <w14:textFill>
            <w14:solidFill>
              <w14:schemeClr w14:val="tx1"/>
            </w14:solidFill>
          </w14:textFill>
        </w:rPr>
        <w:t>，数字证书（CA）办理完成后需在政采云平台绑定数字证书(CA)并在平台获取采购文件及其它采购资料。</w:t>
      </w:r>
    </w:p>
    <w:p w14:paraId="7F814BC7">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注:按上述要求获取文件的</w:t>
      </w:r>
      <w:r>
        <w:rPr>
          <w:rFonts w:hint="eastAsia" w:ascii="宋体" w:hAnsi="宋体" w:eastAsia="宋体" w:cs="宋体"/>
          <w:b w:val="0"/>
          <w:bCs w:val="0"/>
          <w:color w:val="000000" w:themeColor="text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Cs w:val="21"/>
          <w:highlight w:val="none"/>
          <w14:textFill>
            <w14:solidFill>
              <w14:schemeClr w14:val="tx1"/>
            </w14:solidFill>
          </w14:textFill>
        </w:rPr>
        <w:t>视为合法获取了本项目采购文件，具备本项目的投标资格。各</w:t>
      </w:r>
      <w:r>
        <w:rPr>
          <w:rFonts w:hint="eastAsia" w:ascii="宋体" w:hAnsi="宋体" w:eastAsia="宋体" w:cs="宋体"/>
          <w:b w:val="0"/>
          <w:bCs w:val="0"/>
          <w:color w:val="000000" w:themeColor="text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Cs w:val="21"/>
          <w:highlight w:val="none"/>
          <w14:textFill>
            <w14:solidFill>
              <w14:schemeClr w14:val="tx1"/>
            </w14:solidFill>
          </w14:textFill>
        </w:rPr>
        <w:t>应在开标前确保成为政采云平台</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Cs w:val="21"/>
          <w:highlight w:val="none"/>
          <w14:textFill>
            <w14:solidFill>
              <w14:schemeClr w14:val="tx1"/>
            </w14:solidFill>
          </w14:textFill>
        </w:rPr>
        <w:t>，并完成CA数字证书申领。因未注册入库，未办理CA数字证书等原因造成无法投标或投标失败等由</w:t>
      </w:r>
      <w:r>
        <w:rPr>
          <w:rFonts w:hint="eastAsia" w:ascii="宋体" w:hAnsi="宋体" w:eastAsia="宋体" w:cs="宋体"/>
          <w:b w:val="0"/>
          <w:bCs w:val="0"/>
          <w:color w:val="000000" w:themeColor="text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Cs w:val="21"/>
          <w:highlight w:val="none"/>
          <w14:textFill>
            <w14:solidFill>
              <w14:schemeClr w14:val="tx1"/>
            </w14:solidFill>
          </w14:textFill>
        </w:rPr>
        <w:t>自行承担,有意参加投标的</w:t>
      </w:r>
      <w:r>
        <w:rPr>
          <w:rFonts w:hint="eastAsia" w:ascii="宋体" w:hAnsi="宋体" w:eastAsia="宋体" w:cs="宋体"/>
          <w:b w:val="0"/>
          <w:bCs w:val="0"/>
          <w:color w:val="000000" w:themeColor="text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Cs w:val="21"/>
          <w:highlight w:val="none"/>
          <w14:textFill>
            <w14:solidFill>
              <w14:schemeClr w14:val="tx1"/>
            </w14:solidFill>
          </w14:textFill>
        </w:rPr>
        <w:t xml:space="preserve">，须在政采云平办理数字证书(CA) ，CA申领链接: </w:t>
      </w:r>
      <w:r>
        <w:rPr>
          <w:rFonts w:hint="eastAsia" w:ascii="宋体" w:hAnsi="宋体" w:eastAsia="宋体" w:cs="宋体"/>
          <w:b w:val="0"/>
          <w:bCs w:val="0"/>
          <w:color w:val="000000" w:themeColor="text1"/>
          <w:szCs w:val="21"/>
          <w:highlight w:val="none"/>
          <w:lang w:eastAsia="zh-CN"/>
          <w14:textFill>
            <w14:solidFill>
              <w14:schemeClr w14:val="tx1"/>
            </w14:solidFill>
          </w14:textFill>
        </w:rPr>
        <w:t>http://yzt.ynsmartcert.cn/cms/yztgr.html</w:t>
      </w:r>
      <w:r>
        <w:rPr>
          <w:rFonts w:hint="eastAsia" w:ascii="宋体" w:hAnsi="宋体" w:eastAsia="宋体" w:cs="宋体"/>
          <w:b w:val="0"/>
          <w:bCs w:val="0"/>
          <w:color w:val="000000" w:themeColor="text1"/>
          <w:szCs w:val="21"/>
          <w:highlight w:val="none"/>
          <w14:textFill>
            <w14:solidFill>
              <w14:schemeClr w14:val="tx1"/>
            </w14:solidFill>
          </w14:textFill>
        </w:rPr>
        <w:t>。</w:t>
      </w:r>
    </w:p>
    <w:p w14:paraId="589B7279">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（1.）如有问题可拨打政采云客户服务热线95763</w:t>
      </w:r>
      <w:r>
        <w:rPr>
          <w:rFonts w:hint="eastAsia" w:ascii="宋体" w:hAnsi="宋体" w:cs="宋体"/>
          <w:b w:val="0"/>
          <w:bCs w:val="0"/>
          <w:color w:val="000000" w:themeColor="text1"/>
          <w:szCs w:val="21"/>
          <w:highlight w:val="none"/>
          <w:lang w:eastAsia="zh-CN"/>
          <w14:textFill>
            <w14:solidFill>
              <w14:schemeClr w14:val="tx1"/>
            </w14:solidFill>
          </w14:textFill>
        </w:rPr>
        <w:t>进行咨询</w:t>
      </w:r>
      <w:r>
        <w:rPr>
          <w:rFonts w:hint="eastAsia" w:ascii="宋体" w:hAnsi="宋体" w:eastAsia="宋体" w:cs="宋体"/>
          <w:b w:val="0"/>
          <w:bCs w:val="0"/>
          <w:color w:val="000000" w:themeColor="text1"/>
          <w:szCs w:val="21"/>
          <w:highlight w:val="none"/>
          <w14:textFill>
            <w14:solidFill>
              <w14:schemeClr w14:val="tx1"/>
            </w14:solidFill>
          </w14:textFill>
        </w:rPr>
        <w:t>，数字证书问题可咨询云南壹证通CA：0871-67276028（紧急可拨19988166369）。</w:t>
      </w:r>
    </w:p>
    <w:p w14:paraId="061E8751">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如因</w:t>
      </w:r>
      <w:r>
        <w:rPr>
          <w:rFonts w:hint="eastAsia" w:ascii="宋体" w:hAnsi="宋体" w:eastAsia="宋体" w:cs="宋体"/>
          <w:b w:val="0"/>
          <w:bCs w:val="0"/>
          <w:color w:val="000000" w:themeColor="text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Cs w:val="21"/>
          <w:highlight w:val="none"/>
          <w14:textFill>
            <w14:solidFill>
              <w14:schemeClr w14:val="tx1"/>
            </w14:solidFill>
          </w14:textFill>
        </w:rPr>
        <w:t>自身原因导致在规定时间内无法正常解密的(如:浏览器故障、未安装相关驱动、网络故障、加密CA与解密CA不一致等），视为</w:t>
      </w:r>
      <w:r>
        <w:rPr>
          <w:rFonts w:hint="eastAsia" w:ascii="宋体" w:hAnsi="宋体" w:eastAsia="宋体" w:cs="宋体"/>
          <w:b w:val="0"/>
          <w:bCs w:val="0"/>
          <w:color w:val="000000" w:themeColor="text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Cs w:val="21"/>
          <w:highlight w:val="none"/>
          <w14:textFill>
            <w14:solidFill>
              <w14:schemeClr w14:val="tx1"/>
            </w14:solidFill>
          </w14:textFill>
        </w:rPr>
        <w:t>自动弃标，代理机构不予处理。</w:t>
      </w:r>
    </w:p>
    <w:p w14:paraId="5046D508">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（2.）云南本地</w:t>
      </w:r>
      <w:r>
        <w:rPr>
          <w:rFonts w:hint="eastAsia" w:ascii="宋体" w:hAnsi="宋体" w:eastAsia="宋体" w:cs="宋体"/>
          <w:b w:val="0"/>
          <w:bCs w:val="0"/>
          <w:color w:val="000000" w:themeColor="text1"/>
          <w:szCs w:val="21"/>
          <w:highlight w:val="none"/>
          <w:lang w:eastAsia="zh-CN"/>
          <w14:textFill>
            <w14:solidFill>
              <w14:schemeClr w14:val="tx1"/>
            </w14:solidFill>
          </w14:textFill>
        </w:rPr>
        <w:t>投标人</w:t>
      </w:r>
      <w:r>
        <w:rPr>
          <w:rFonts w:hint="eastAsia" w:ascii="宋体" w:hAnsi="宋体" w:eastAsia="宋体" w:cs="宋体"/>
          <w:b w:val="0"/>
          <w:bCs w:val="0"/>
          <w:color w:val="000000" w:themeColor="text1"/>
          <w:szCs w:val="21"/>
          <w:highlight w:val="none"/>
          <w14:textFill>
            <w14:solidFill>
              <w14:schemeClr w14:val="tx1"/>
            </w14:solidFill>
          </w14:textFill>
        </w:rPr>
        <w:t>如之前已在云南CA在线数字证书办理网进行过注册并办理过企业数字证书（CA），直接绑定即可，无需重复办理（2022年1月1日前办理的云南CA需到云南CA办理处进行升级）</w:t>
      </w:r>
      <w:r>
        <w:rPr>
          <w:rFonts w:hint="eastAsia" w:ascii="宋体" w:hAnsi="宋体" w:eastAsia="宋体" w:cs="宋体"/>
          <w:color w:val="000000" w:themeColor="text1"/>
          <w:szCs w:val="21"/>
          <w:highlight w:val="none"/>
          <w:lang w:eastAsia="zh-CN"/>
          <w14:textFill>
            <w14:solidFill>
              <w14:schemeClr w14:val="tx1"/>
            </w14:solidFill>
          </w14:textFill>
        </w:rPr>
        <w:t>。</w:t>
      </w:r>
    </w:p>
    <w:p w14:paraId="3359FEEC">
      <w:pPr>
        <w:pageBreakBefore w:val="0"/>
        <w:kinsoku/>
        <w:overflowPunct/>
        <w:topLinePunct w:val="0"/>
        <w:autoSpaceDE/>
        <w:autoSpaceDN/>
        <w:bidi w:val="0"/>
        <w:adjustRightInd/>
        <w:snapToGrid/>
        <w:spacing w:before="0" w:beforeAutospacing="0" w:afterAutospacing="0" w:line="480" w:lineRule="exact"/>
        <w:outlineLvl w:val="1"/>
        <w:rPr>
          <w:rFonts w:hint="eastAsia" w:ascii="宋体" w:hAnsi="宋体" w:eastAsia="宋体" w:cs="宋体"/>
          <w:b/>
          <w:bCs w:val="0"/>
          <w:color w:val="000000" w:themeColor="text1"/>
          <w:spacing w:val="0"/>
          <w:sz w:val="28"/>
          <w:szCs w:val="28"/>
          <w:highlight w:val="none"/>
          <w14:textFill>
            <w14:solidFill>
              <w14:schemeClr w14:val="tx1"/>
            </w14:solidFill>
          </w14:textFill>
        </w:rPr>
      </w:pPr>
      <w:bookmarkStart w:id="17" w:name="_Toc8293"/>
      <w:bookmarkStart w:id="18" w:name="_Toc1675"/>
      <w:r>
        <w:rPr>
          <w:rFonts w:hint="eastAsia" w:ascii="宋体" w:hAnsi="宋体" w:eastAsia="宋体" w:cs="宋体"/>
          <w:b/>
          <w:bCs w:val="0"/>
          <w:color w:val="000000" w:themeColor="text1"/>
          <w:spacing w:val="0"/>
          <w:sz w:val="28"/>
          <w:szCs w:val="28"/>
          <w:highlight w:val="none"/>
          <w14:textFill>
            <w14:solidFill>
              <w14:schemeClr w14:val="tx1"/>
            </w14:solidFill>
          </w14:textFill>
        </w:rPr>
        <w:t>四、提交投标文件截止时间、开标时间和地点</w:t>
      </w:r>
      <w:bookmarkEnd w:id="17"/>
      <w:bookmarkEnd w:id="18"/>
    </w:p>
    <w:p w14:paraId="257E5A05">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b w:val="0"/>
          <w:bCs/>
          <w:color w:val="000000" w:themeColor="text1"/>
          <w:szCs w:val="21"/>
          <w:highlight w:val="none"/>
          <w:u w:val="singl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1.提交投标文件截止时间、开标时间：</w:t>
      </w:r>
      <w:r>
        <w:rPr>
          <w:rFonts w:hint="eastAsia" w:ascii="宋体" w:hAnsi="宋体" w:cs="宋体"/>
          <w:color w:val="000000" w:themeColor="text1"/>
          <w:kern w:val="0"/>
          <w:szCs w:val="21"/>
          <w:highlight w:val="none"/>
          <w:lang w:eastAsia="zh-CN"/>
          <w14:textFill>
            <w14:solidFill>
              <w14:schemeClr w14:val="tx1"/>
            </w14:solidFill>
          </w14:textFill>
        </w:rPr>
        <w:t>2026</w:t>
      </w:r>
      <w:r>
        <w:rPr>
          <w:rFonts w:hint="eastAsia" w:ascii="宋体" w:hAnsi="宋体" w:eastAsia="宋体" w:cs="宋体"/>
          <w:b w:val="0"/>
          <w:bCs/>
          <w:color w:val="000000" w:themeColor="text1"/>
          <w:szCs w:val="21"/>
          <w:highlight w:val="none"/>
          <w:lang w:eastAsia="zh-CN"/>
          <w14:textFill>
            <w14:solidFill>
              <w14:schemeClr w14:val="tx1"/>
            </w14:solidFill>
          </w14:textFill>
        </w:rPr>
        <w:t>年</w:t>
      </w:r>
      <w:r>
        <w:rPr>
          <w:rFonts w:hint="eastAsia" w:ascii="宋体" w:hAnsi="宋体" w:eastAsia="宋体" w:cs="宋体"/>
          <w:b w:val="0"/>
          <w:bCs/>
          <w:color w:val="000000" w:themeColor="text1"/>
          <w:szCs w:val="21"/>
          <w:highlight w:val="none"/>
          <w:lang w:val="en-US" w:eastAsia="zh-CN"/>
          <w14:textFill>
            <w14:solidFill>
              <w14:schemeClr w14:val="tx1"/>
            </w14:solidFill>
          </w14:textFill>
        </w:rPr>
        <w:t>06月03日09点30分</w:t>
      </w:r>
      <w:r>
        <w:rPr>
          <w:rFonts w:hint="eastAsia" w:ascii="宋体" w:hAnsi="宋体" w:eastAsia="宋体" w:cs="宋体"/>
          <w:b w:val="0"/>
          <w:bCs/>
          <w:color w:val="000000" w:themeColor="text1"/>
          <w:szCs w:val="21"/>
          <w:highlight w:val="none"/>
          <w14:textFill>
            <w14:solidFill>
              <w14:schemeClr w14:val="tx1"/>
            </w14:solidFill>
          </w14:textFill>
        </w:rPr>
        <w:t>（北京时间）。</w:t>
      </w:r>
    </w:p>
    <w:p w14:paraId="520144DA">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2.提交投标文件地点：</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应按照本项目采购文件和</w:t>
      </w:r>
      <w:r>
        <w:rPr>
          <w:rFonts w:hint="eastAsia" w:ascii="宋体" w:hAnsi="宋体" w:eastAsia="宋体" w:cs="宋体"/>
          <w:color w:val="000000" w:themeColor="text1"/>
          <w:szCs w:val="21"/>
          <w:highlight w:val="none"/>
          <w:lang w:eastAsia="zh-CN"/>
          <w14:textFill>
            <w14:solidFill>
              <w14:schemeClr w14:val="tx1"/>
            </w14:solidFill>
          </w14:textFill>
        </w:rPr>
        <w:t>“政采云”</w:t>
      </w:r>
      <w:r>
        <w:rPr>
          <w:rFonts w:hint="eastAsia" w:ascii="宋体" w:hAnsi="宋体" w:eastAsia="宋体" w:cs="宋体"/>
          <w:color w:val="000000" w:themeColor="text1"/>
          <w:szCs w:val="21"/>
          <w:highlight w:val="none"/>
          <w14:textFill>
            <w14:solidFill>
              <w14:schemeClr w14:val="tx1"/>
            </w14:solidFill>
          </w14:textFill>
        </w:rPr>
        <w:t>平台的要求编制、加密投标文件后在</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文件提交截止时间前上传至</w:t>
      </w:r>
      <w:r>
        <w:rPr>
          <w:rFonts w:hint="eastAsia" w:ascii="宋体" w:hAnsi="宋体" w:eastAsia="宋体" w:cs="宋体"/>
          <w:color w:val="000000" w:themeColor="text1"/>
          <w:szCs w:val="21"/>
          <w:highlight w:val="none"/>
          <w:lang w:eastAsia="zh-CN"/>
          <w14:textFill>
            <w14:solidFill>
              <w14:schemeClr w14:val="tx1"/>
            </w14:solidFill>
          </w14:textFill>
        </w:rPr>
        <w:t>“政采云”</w:t>
      </w:r>
      <w:r>
        <w:rPr>
          <w:rFonts w:hint="eastAsia" w:ascii="宋体" w:hAnsi="宋体" w:eastAsia="宋体" w:cs="宋体"/>
          <w:color w:val="000000" w:themeColor="text1"/>
          <w:szCs w:val="21"/>
          <w:highlight w:val="none"/>
          <w14:textFill>
            <w14:solidFill>
              <w14:schemeClr w14:val="tx1"/>
            </w14:solidFill>
          </w14:textFill>
        </w:rPr>
        <w:t>平台，投标人须在投标截止时间前完成所有电子投标文件的上传，投标截止时间前未完成投标文件传输的，视为撤回投标文件。</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eastAsia="zh-CN"/>
          <w14:textFill>
            <w14:solidFill>
              <w14:schemeClr w14:val="tx1"/>
            </w14:solidFill>
          </w14:textFill>
        </w:rPr>
        <w:t>“政采云”</w:t>
      </w:r>
      <w:r>
        <w:rPr>
          <w:rFonts w:hint="eastAsia" w:ascii="宋体" w:hAnsi="宋体" w:eastAsia="宋体" w:cs="宋体"/>
          <w:color w:val="000000" w:themeColor="text1"/>
          <w:szCs w:val="21"/>
          <w:highlight w:val="none"/>
          <w14:textFill>
            <w14:solidFill>
              <w14:schemeClr w14:val="tx1"/>
            </w14:solidFill>
          </w14:textFill>
        </w:rPr>
        <w:t>平台提交电子版</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文件时，请填写参加远程采购活动经办人联系方式。</w:t>
      </w:r>
    </w:p>
    <w:p w14:paraId="0FDED23E">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开标地点：</w:t>
      </w:r>
      <w:r>
        <w:rPr>
          <w:rFonts w:hint="eastAsia" w:ascii="宋体" w:hAnsi="宋体" w:eastAsia="宋体" w:cs="宋体"/>
          <w:color w:val="000000" w:themeColor="text1"/>
          <w:kern w:val="0"/>
          <w:szCs w:val="21"/>
          <w:highlight w:val="none"/>
          <w:lang w:eastAsia="zh-CN"/>
          <w14:textFill>
            <w14:solidFill>
              <w14:schemeClr w14:val="tx1"/>
            </w14:solidFill>
          </w14:textFill>
        </w:rPr>
        <w:t>云南冠睿咨询有限</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公司</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开标三</w:t>
      </w:r>
      <w:r>
        <w:rPr>
          <w:rFonts w:hint="eastAsia" w:ascii="宋体" w:hAnsi="宋体" w:eastAsia="宋体" w:cs="宋体"/>
          <w:b w:val="0"/>
          <w:bCs w:val="0"/>
          <w:color w:val="000000" w:themeColor="text1"/>
          <w:kern w:val="0"/>
          <w:szCs w:val="21"/>
          <w:highlight w:val="none"/>
          <w14:textFill>
            <w14:solidFill>
              <w14:schemeClr w14:val="tx1"/>
            </w14:solidFill>
          </w14:textFill>
        </w:rPr>
        <w:t>厅</w:t>
      </w:r>
      <w:r>
        <w:rPr>
          <w:rFonts w:hint="eastAsia" w:ascii="宋体" w:hAnsi="宋体" w:eastAsia="宋体" w:cs="宋体"/>
          <w:b w:val="0"/>
          <w:bCs w:val="0"/>
          <w:color w:val="000000" w:themeColor="text1"/>
          <w:kern w:val="0"/>
          <w:szCs w:val="21"/>
          <w:highlight w:val="none"/>
          <w14:textFill>
            <w14:solidFill>
              <w14:schemeClr w14:val="tx1"/>
            </w14:solidFill>
          </w14:textFill>
        </w:rPr>
        <w:t>（云南省昆明市西山区万达广场南塔33层3310号），</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kern w:val="0"/>
          <w:szCs w:val="21"/>
          <w:highlight w:val="none"/>
          <w14:textFill>
            <w14:solidFill>
              <w14:schemeClr w14:val="tx1"/>
            </w14:solidFill>
          </w14:textFill>
        </w:rPr>
        <w:t>无需到达</w:t>
      </w:r>
      <w:r>
        <w:rPr>
          <w:rFonts w:hint="eastAsia" w:ascii="宋体" w:hAnsi="宋体" w:eastAsia="宋体" w:cs="宋体"/>
          <w:b w:val="0"/>
          <w:bCs w:val="0"/>
          <w:color w:val="000000" w:themeColor="text1"/>
          <w:szCs w:val="21"/>
          <w:highlight w:val="none"/>
          <w14:textFill>
            <w14:solidFill>
              <w14:schemeClr w14:val="tx1"/>
            </w14:solidFill>
          </w14:textFill>
        </w:rPr>
        <w:t>开标地点</w:t>
      </w:r>
      <w:r>
        <w:rPr>
          <w:rFonts w:hint="eastAsia" w:ascii="宋体" w:hAnsi="宋体" w:eastAsia="宋体" w:cs="宋体"/>
          <w:b w:val="0"/>
          <w:bCs w:val="0"/>
          <w:color w:val="000000" w:themeColor="text1"/>
          <w:kern w:val="0"/>
          <w:szCs w:val="21"/>
          <w:highlight w:val="none"/>
          <w14:textFill>
            <w14:solidFill>
              <w14:schemeClr w14:val="tx1"/>
            </w14:solidFill>
          </w14:textFill>
        </w:rPr>
        <w:t>，须在</w:t>
      </w:r>
      <w:r>
        <w:rPr>
          <w:rFonts w:hint="eastAsia" w:ascii="宋体" w:hAnsi="宋体" w:eastAsia="宋体" w:cs="宋体"/>
          <w:b w:val="0"/>
          <w:bCs w:val="0"/>
          <w:color w:val="000000" w:themeColor="text1"/>
          <w:kern w:val="0"/>
          <w:szCs w:val="21"/>
          <w:highlight w:val="none"/>
          <w:lang w:eastAsia="zh-CN"/>
          <w14:textFill>
            <w14:solidFill>
              <w14:schemeClr w14:val="tx1"/>
            </w14:solidFill>
          </w14:textFill>
        </w:rPr>
        <w:t>“政采云”</w:t>
      </w:r>
      <w:r>
        <w:rPr>
          <w:rFonts w:hint="eastAsia" w:ascii="宋体" w:hAnsi="宋体" w:eastAsia="宋体" w:cs="宋体"/>
          <w:b w:val="0"/>
          <w:bCs w:val="0"/>
          <w:color w:val="000000" w:themeColor="text1"/>
          <w:kern w:val="0"/>
          <w:szCs w:val="21"/>
          <w:highlight w:val="none"/>
          <w14:textFill>
            <w14:solidFill>
              <w14:schemeClr w14:val="tx1"/>
            </w14:solidFill>
          </w14:textFill>
        </w:rPr>
        <w:t>平台进行远程解密电子版</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kern w:val="0"/>
          <w:szCs w:val="21"/>
          <w:highlight w:val="none"/>
          <w14:textFill>
            <w14:solidFill>
              <w14:schemeClr w14:val="tx1"/>
            </w14:solidFill>
          </w14:textFill>
        </w:rPr>
        <w:t>文件</w:t>
      </w:r>
      <w:r>
        <w:rPr>
          <w:rFonts w:hint="eastAsia" w:ascii="宋体" w:hAnsi="宋体" w:eastAsia="宋体" w:cs="宋体"/>
          <w:b w:val="0"/>
          <w:bCs w:val="0"/>
          <w:color w:val="000000" w:themeColor="text1"/>
          <w:szCs w:val="21"/>
          <w:highlight w:val="none"/>
          <w14:textFill>
            <w14:solidFill>
              <w14:schemeClr w14:val="tx1"/>
            </w14:solidFill>
          </w14:textFill>
        </w:rPr>
        <w:t>。</w:t>
      </w:r>
    </w:p>
    <w:p w14:paraId="04A6EE2F">
      <w:pPr>
        <w:pageBreakBefore w:val="0"/>
        <w:kinsoku/>
        <w:overflowPunct/>
        <w:topLinePunct w:val="0"/>
        <w:autoSpaceDE/>
        <w:autoSpaceDN/>
        <w:bidi w:val="0"/>
        <w:adjustRightInd/>
        <w:snapToGrid/>
        <w:spacing w:before="0" w:beforeAutospacing="0" w:afterAutospacing="0" w:line="480" w:lineRule="exact"/>
        <w:outlineLvl w:val="1"/>
        <w:rPr>
          <w:rFonts w:hint="eastAsia" w:ascii="宋体" w:hAnsi="宋体" w:eastAsia="宋体" w:cs="宋体"/>
          <w:b/>
          <w:bCs w:val="0"/>
          <w:color w:val="000000" w:themeColor="text1"/>
          <w:spacing w:val="0"/>
          <w:sz w:val="28"/>
          <w:szCs w:val="28"/>
          <w:highlight w:val="none"/>
          <w14:textFill>
            <w14:solidFill>
              <w14:schemeClr w14:val="tx1"/>
            </w14:solidFill>
          </w14:textFill>
        </w:rPr>
      </w:pPr>
      <w:bookmarkStart w:id="19" w:name="_Toc12795"/>
      <w:bookmarkStart w:id="20" w:name="_Toc29198"/>
      <w:r>
        <w:rPr>
          <w:rFonts w:hint="eastAsia" w:ascii="宋体" w:hAnsi="宋体" w:eastAsia="宋体" w:cs="宋体"/>
          <w:b/>
          <w:bCs w:val="0"/>
          <w:color w:val="000000" w:themeColor="text1"/>
          <w:spacing w:val="0"/>
          <w:sz w:val="28"/>
          <w:szCs w:val="28"/>
          <w:highlight w:val="none"/>
          <w14:textFill>
            <w14:solidFill>
              <w14:schemeClr w14:val="tx1"/>
            </w14:solidFill>
          </w14:textFill>
        </w:rPr>
        <w:t>五、公告期限</w:t>
      </w:r>
      <w:bookmarkEnd w:id="19"/>
      <w:bookmarkEnd w:id="20"/>
    </w:p>
    <w:p w14:paraId="449EAD8C">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自本公告发布之日起5个工作日。</w:t>
      </w:r>
    </w:p>
    <w:p w14:paraId="11E2350C">
      <w:pPr>
        <w:pageBreakBefore w:val="0"/>
        <w:kinsoku/>
        <w:overflowPunct/>
        <w:topLinePunct w:val="0"/>
        <w:autoSpaceDE/>
        <w:autoSpaceDN/>
        <w:bidi w:val="0"/>
        <w:adjustRightInd/>
        <w:snapToGrid/>
        <w:spacing w:before="0" w:beforeAutospacing="0" w:afterAutospacing="0" w:line="480" w:lineRule="exact"/>
        <w:outlineLvl w:val="1"/>
        <w:rPr>
          <w:rFonts w:hint="eastAsia" w:ascii="宋体" w:hAnsi="宋体" w:eastAsia="宋体" w:cs="宋体"/>
          <w:b/>
          <w:bCs w:val="0"/>
          <w:color w:val="000000" w:themeColor="text1"/>
          <w:spacing w:val="0"/>
          <w:sz w:val="28"/>
          <w:szCs w:val="28"/>
          <w:highlight w:val="none"/>
          <w14:textFill>
            <w14:solidFill>
              <w14:schemeClr w14:val="tx1"/>
            </w14:solidFill>
          </w14:textFill>
        </w:rPr>
      </w:pPr>
      <w:bookmarkStart w:id="21" w:name="_Toc20501"/>
      <w:bookmarkStart w:id="22" w:name="_Toc31836"/>
      <w:r>
        <w:rPr>
          <w:rFonts w:hint="eastAsia" w:ascii="宋体" w:hAnsi="宋体" w:eastAsia="宋体" w:cs="宋体"/>
          <w:b/>
          <w:bCs w:val="0"/>
          <w:color w:val="000000" w:themeColor="text1"/>
          <w:spacing w:val="0"/>
          <w:sz w:val="28"/>
          <w:szCs w:val="28"/>
          <w:highlight w:val="none"/>
          <w14:textFill>
            <w14:solidFill>
              <w14:schemeClr w14:val="tx1"/>
            </w14:solidFill>
          </w14:textFill>
        </w:rPr>
        <w:t>六、其他补充事宜</w:t>
      </w:r>
      <w:bookmarkEnd w:id="21"/>
      <w:bookmarkEnd w:id="22"/>
    </w:p>
    <w:p w14:paraId="5453D2B3">
      <w:pPr>
        <w:pStyle w:val="73"/>
        <w:pageBreakBefore w:val="0"/>
        <w:kinsoku/>
        <w:overflowPunct/>
        <w:topLinePunct w:val="0"/>
        <w:autoSpaceDE/>
        <w:autoSpaceDN/>
        <w:bidi w:val="0"/>
        <w:adjustRightInd/>
        <w:snapToGrid/>
        <w:spacing w:beforeAutospacing="0" w:afterAutospacing="0" w:line="480" w:lineRule="exac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发布公告的媒介：</w:t>
      </w:r>
      <w:r>
        <w:rPr>
          <w:rFonts w:hint="eastAsia" w:ascii="宋体" w:hAnsi="宋体" w:eastAsia="宋体" w:cs="宋体"/>
          <w:b w:val="0"/>
          <w:bCs/>
          <w:color w:val="000000" w:themeColor="text1"/>
          <w:szCs w:val="21"/>
          <w:highlight w:val="none"/>
          <w:u w:val="none"/>
          <w14:textFill>
            <w14:solidFill>
              <w14:schemeClr w14:val="tx1"/>
            </w14:solidFill>
          </w14:textFill>
        </w:rPr>
        <w:t>本次公开招标公告在</w:t>
      </w:r>
      <w:r>
        <w:rPr>
          <w:rFonts w:hint="eastAsia" w:ascii="宋体" w:hAnsi="宋体" w:eastAsia="宋体" w:cs="宋体"/>
          <w:b w:val="0"/>
          <w:bCs/>
          <w:color w:val="000000" w:themeColor="text1"/>
          <w:szCs w:val="21"/>
          <w:highlight w:val="none"/>
          <w:u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u w:val="none"/>
          <w14:textFill>
            <w14:solidFill>
              <w14:schemeClr w14:val="tx1"/>
            </w14:solidFill>
          </w14:textFill>
        </w:rPr>
        <w:t>云南省政府采购网</w:t>
      </w:r>
      <w:r>
        <w:rPr>
          <w:rFonts w:hint="eastAsia" w:ascii="宋体" w:hAnsi="宋体" w:eastAsia="宋体" w:cs="宋体"/>
          <w:b w:val="0"/>
          <w:bCs/>
          <w:color w:val="000000" w:themeColor="text1"/>
          <w:szCs w:val="21"/>
          <w:highlight w:val="none"/>
          <w:u w:val="none"/>
          <w:lang w:eastAsia="zh-CN"/>
          <w14:textFill>
            <w14:solidFill>
              <w14:schemeClr w14:val="tx1"/>
            </w14:solidFill>
          </w14:textFill>
        </w:rPr>
        <w:t>”</w:t>
      </w:r>
      <w:r>
        <w:rPr>
          <w:rFonts w:hint="eastAsia" w:ascii="宋体" w:hAnsi="宋体" w:eastAsia="宋体" w:cs="宋体"/>
          <w:b w:val="0"/>
          <w:bCs/>
          <w:color w:val="000000" w:themeColor="text1"/>
          <w:szCs w:val="21"/>
          <w:highlight w:val="none"/>
          <w:u w:val="none"/>
          <w14:textFill>
            <w14:solidFill>
              <w14:schemeClr w14:val="tx1"/>
            </w14:solidFill>
          </w14:textFill>
        </w:rPr>
        <w:t>上发布。</w:t>
      </w:r>
    </w:p>
    <w:p w14:paraId="68C6D624">
      <w:pPr>
        <w:pStyle w:val="73"/>
        <w:pageBreakBefore w:val="0"/>
        <w:kinsoku/>
        <w:overflowPunct/>
        <w:topLinePunct w:val="0"/>
        <w:autoSpaceDE/>
        <w:autoSpaceDN/>
        <w:bidi w:val="0"/>
        <w:adjustRightInd/>
        <w:snapToGrid/>
        <w:spacing w:beforeAutospacing="0" w:afterAutospacing="0" w:line="480" w:lineRule="exact"/>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.本项目需要落实的政府采购政策：促进中小企业发展、促进残疾人就业、支持监狱企业发展、</w:t>
      </w:r>
      <w:r>
        <w:rPr>
          <w:rFonts w:hint="eastAsia" w:ascii="宋体" w:hAnsi="宋体" w:eastAsia="宋体" w:cs="宋体"/>
          <w:color w:val="000000" w:themeColor="text1"/>
          <w:szCs w:val="21"/>
          <w:highlight w:val="none"/>
          <w:lang w:eastAsia="zh-CN"/>
          <w14:textFill>
            <w14:solidFill>
              <w14:schemeClr w14:val="tx1"/>
            </w14:solidFill>
          </w14:textFill>
        </w:rPr>
        <w:t>优先采购节能产品及环境标志产品、</w:t>
      </w:r>
      <w:r>
        <w:rPr>
          <w:rFonts w:hint="eastAsia" w:ascii="宋体" w:hAnsi="宋体" w:eastAsia="宋体" w:cs="宋体"/>
          <w:color w:val="000000" w:themeColor="text1"/>
          <w:szCs w:val="21"/>
          <w:highlight w:val="none"/>
          <w14:textFill>
            <w14:solidFill>
              <w14:schemeClr w14:val="tx1"/>
            </w14:solidFill>
          </w14:textFill>
        </w:rPr>
        <w:t>政府采购活动中查询及使用信用记录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szCs w:val="21"/>
        </w:rPr>
        <w:t>实施本国产品标准及相关政策</w:t>
      </w:r>
      <w:r>
        <w:rPr>
          <w:rFonts w:hint="eastAsia" w:ascii="宋体" w:hAnsi="宋体" w:eastAsia="宋体" w:cs="宋体"/>
          <w:color w:val="000000" w:themeColor="text1"/>
          <w:szCs w:val="21"/>
          <w:highlight w:val="none"/>
          <w14:textFill>
            <w14:solidFill>
              <w14:schemeClr w14:val="tx1"/>
            </w14:solidFill>
          </w14:textFill>
        </w:rPr>
        <w:t>等，政府采购政策具体落实情况详见本项目招标文件</w:t>
      </w:r>
      <w:r>
        <w:rPr>
          <w:rFonts w:hint="eastAsia" w:ascii="宋体" w:hAnsi="宋体" w:eastAsia="宋体" w:cs="宋体"/>
          <w:color w:val="000000" w:themeColor="text1"/>
          <w:szCs w:val="21"/>
          <w:highlight w:val="none"/>
          <w:lang w:eastAsia="zh-CN"/>
          <w14:textFill>
            <w14:solidFill>
              <w14:schemeClr w14:val="tx1"/>
            </w14:solidFill>
          </w14:textFill>
        </w:rPr>
        <w:t>。</w:t>
      </w:r>
    </w:p>
    <w:p w14:paraId="65D6E134">
      <w:pPr>
        <w:pStyle w:val="73"/>
        <w:pageBreakBefore w:val="0"/>
        <w:kinsoku/>
        <w:overflowPunct/>
        <w:topLinePunct w:val="0"/>
        <w:autoSpaceDE/>
        <w:autoSpaceDN/>
        <w:bidi w:val="0"/>
        <w:adjustRightInd/>
        <w:snapToGrid/>
        <w:spacing w:beforeAutospacing="0" w:afterAutospacing="0" w:line="480" w:lineRule="exac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3.采购代理机构账户信息：</w:t>
      </w:r>
    </w:p>
    <w:p w14:paraId="72C87F64">
      <w:pPr>
        <w:pStyle w:val="73"/>
        <w:pageBreakBefore w:val="0"/>
        <w:kinsoku/>
        <w:overflowPunct/>
        <w:topLinePunct w:val="0"/>
        <w:autoSpaceDE/>
        <w:autoSpaceDN/>
        <w:bidi w:val="0"/>
        <w:adjustRightInd/>
        <w:snapToGrid/>
        <w:spacing w:beforeAutospacing="0" w:afterAutospacing="0" w:line="480" w:lineRule="exac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开户名称：云南冠睿咨询有限公司</w:t>
      </w:r>
    </w:p>
    <w:p w14:paraId="7F8A1D43">
      <w:pPr>
        <w:pStyle w:val="73"/>
        <w:pageBreakBefore w:val="0"/>
        <w:kinsoku/>
        <w:overflowPunct/>
        <w:topLinePunct w:val="0"/>
        <w:autoSpaceDE/>
        <w:autoSpaceDN/>
        <w:bidi w:val="0"/>
        <w:adjustRightInd/>
        <w:snapToGrid/>
        <w:spacing w:beforeAutospacing="0" w:afterAutospacing="0" w:line="480" w:lineRule="exac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开户银行：中国民生银行股份有限公司昆明拓东路支行</w:t>
      </w:r>
    </w:p>
    <w:p w14:paraId="5ADE18BB">
      <w:pPr>
        <w:pStyle w:val="73"/>
        <w:pageBreakBefore w:val="0"/>
        <w:kinsoku/>
        <w:overflowPunct/>
        <w:topLinePunct w:val="0"/>
        <w:autoSpaceDE/>
        <w:autoSpaceDN/>
        <w:bidi w:val="0"/>
        <w:adjustRightInd/>
        <w:snapToGrid/>
        <w:spacing w:beforeAutospacing="0" w:afterAutospacing="0" w:line="480" w:lineRule="exac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账号：636611192</w:t>
      </w:r>
    </w:p>
    <w:p w14:paraId="743082F0">
      <w:pPr>
        <w:pageBreakBefore w:val="0"/>
        <w:kinsoku/>
        <w:overflowPunct/>
        <w:topLinePunct w:val="0"/>
        <w:autoSpaceDE/>
        <w:autoSpaceDN/>
        <w:bidi w:val="0"/>
        <w:adjustRightInd/>
        <w:snapToGrid/>
        <w:spacing w:before="0" w:beforeAutospacing="0" w:afterAutospacing="0" w:line="480" w:lineRule="exact"/>
        <w:outlineLvl w:val="1"/>
        <w:rPr>
          <w:rFonts w:hint="eastAsia" w:ascii="宋体" w:hAnsi="宋体" w:eastAsia="宋体" w:cs="宋体"/>
          <w:b/>
          <w:bCs w:val="0"/>
          <w:color w:val="000000" w:themeColor="text1"/>
          <w:spacing w:val="0"/>
          <w:sz w:val="28"/>
          <w:szCs w:val="28"/>
          <w:highlight w:val="none"/>
          <w14:textFill>
            <w14:solidFill>
              <w14:schemeClr w14:val="tx1"/>
            </w14:solidFill>
          </w14:textFill>
        </w:rPr>
      </w:pPr>
      <w:bookmarkStart w:id="23" w:name="_Toc22270"/>
      <w:bookmarkStart w:id="24" w:name="_Toc23933"/>
      <w:r>
        <w:rPr>
          <w:rFonts w:hint="eastAsia" w:ascii="宋体" w:hAnsi="宋体" w:eastAsia="宋体" w:cs="宋体"/>
          <w:b/>
          <w:bCs w:val="0"/>
          <w:color w:val="000000" w:themeColor="text1"/>
          <w:spacing w:val="0"/>
          <w:sz w:val="28"/>
          <w:szCs w:val="28"/>
          <w:highlight w:val="none"/>
          <w14:textFill>
            <w14:solidFill>
              <w14:schemeClr w14:val="tx1"/>
            </w14:solidFill>
          </w14:textFill>
        </w:rPr>
        <w:t>七、对本次招标提出询问，请按以下方式联系</w:t>
      </w:r>
      <w:bookmarkEnd w:id="23"/>
      <w:bookmarkEnd w:id="24"/>
    </w:p>
    <w:p w14:paraId="2F6609F7">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1.采购人信息</w:t>
      </w:r>
    </w:p>
    <w:p w14:paraId="40AF0B13">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名称：</w:t>
      </w:r>
      <w:r>
        <w:rPr>
          <w:rFonts w:hint="eastAsia" w:ascii="宋体" w:hAnsi="宋体" w:cs="宋体"/>
          <w:color w:val="000000" w:themeColor="text1"/>
          <w:highlight w:val="none"/>
          <w:lang w:eastAsia="zh-CN"/>
          <w14:textFill>
            <w14:solidFill>
              <w14:schemeClr w14:val="tx1"/>
            </w14:solidFill>
          </w14:textFill>
        </w:rPr>
        <w:t>云南省第一人民医院</w:t>
      </w:r>
    </w:p>
    <w:p w14:paraId="6737C3D2">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地址：昆明市金碧路157号</w:t>
      </w:r>
    </w:p>
    <w:p w14:paraId="4F270B99">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联系方式：0871-63638089</w:t>
      </w:r>
    </w:p>
    <w:p w14:paraId="1463BF9D">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val="en-US" w:eastAsia="zh-CN"/>
          <w14:textFill>
            <w14:solidFill>
              <w14:schemeClr w14:val="tx1"/>
            </w14:solidFill>
          </w14:textFill>
        </w:rPr>
      </w:pPr>
    </w:p>
    <w:p w14:paraId="3DB4F70A">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2.采购代理机构信息</w:t>
      </w:r>
    </w:p>
    <w:p w14:paraId="302E5D9C">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名称：云南冠睿咨询有限公司</w:t>
      </w:r>
    </w:p>
    <w:p w14:paraId="6A511C4D">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地址：</w:t>
      </w:r>
      <w:r>
        <w:rPr>
          <w:rFonts w:hint="eastAsia" w:ascii="宋体" w:hAnsi="宋体" w:cs="宋体"/>
          <w:color w:val="000000" w:themeColor="text1"/>
          <w:highlight w:val="none"/>
          <w:lang w:val="en-US" w:eastAsia="zh-CN"/>
          <w14:textFill>
            <w14:solidFill>
              <w14:schemeClr w14:val="tx1"/>
            </w14:solidFill>
          </w14:textFill>
        </w:rPr>
        <w:t>云南省昆明市西山区万达广场南塔32层3201号</w:t>
      </w:r>
    </w:p>
    <w:p w14:paraId="282F0F2A">
      <w:pPr>
        <w:pageBreakBefore w:val="0"/>
        <w:kinsoku/>
        <w:overflowPunct/>
        <w:topLinePunct w:val="0"/>
        <w:autoSpaceDE/>
        <w:autoSpaceDN/>
        <w:bidi w:val="0"/>
        <w:adjustRightInd/>
        <w:snapToGrid/>
        <w:spacing w:beforeAutospacing="0" w:afterAutospacing="0" w:line="480" w:lineRule="exact"/>
        <w:ind w:firstLine="420" w:firstLineChars="200"/>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蒋兴杰、肖枝莲、李欣睿、王国玺、吴翊、祝欣、陈沿锦、丁传觐、汪怡含、邓楚卿、李腾芳、王彦飞、刘晓云、张振荣、杨益鑫、戚玮薇</w:t>
      </w:r>
    </w:p>
    <w:p w14:paraId="27AE6976">
      <w:pPr>
        <w:pageBreakBefore w:val="0"/>
        <w:kinsoku/>
        <w:overflowPunct/>
        <w:topLinePunct w:val="0"/>
        <w:autoSpaceDE/>
        <w:autoSpaceDN/>
        <w:bidi w:val="0"/>
        <w:adjustRightInd/>
        <w:snapToGrid/>
        <w:spacing w:beforeAutospacing="0" w:afterAutospacing="0" w:line="480" w:lineRule="exact"/>
        <w:ind w:firstLine="42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联系方式：0871-65511240、0871-65511241</w:t>
      </w:r>
      <w:r>
        <w:rPr>
          <w:rFonts w:hint="eastAsia" w:ascii="宋体" w:hAnsi="宋体" w:cs="宋体"/>
          <w:color w:val="000000" w:themeColor="text1"/>
          <w:highlight w:val="none"/>
          <w:lang w:val="en-US" w:eastAsia="zh-CN"/>
          <w14:textFill>
            <w14:solidFill>
              <w14:schemeClr w14:val="tx1"/>
            </w14:solidFill>
          </w14:textFill>
        </w:rPr>
        <w:t>转5</w:t>
      </w:r>
    </w:p>
    <w:p w14:paraId="2658AAEC">
      <w:pPr>
        <w:pageBreakBefore w:val="0"/>
        <w:kinsoku/>
        <w:overflowPunct/>
        <w:topLinePunct w:val="0"/>
        <w:autoSpaceDE/>
        <w:autoSpaceDN/>
        <w:bidi w:val="0"/>
        <w:adjustRightInd/>
        <w:snapToGrid/>
        <w:spacing w:beforeAutospacing="0" w:afterAutospacing="0" w:line="48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p>
    <w:p w14:paraId="47CA2B11">
      <w:pPr>
        <w:pageBreakBefore w:val="0"/>
        <w:kinsoku/>
        <w:overflowPunct/>
        <w:topLinePunct w:val="0"/>
        <w:autoSpaceDE/>
        <w:autoSpaceDN/>
        <w:bidi w:val="0"/>
        <w:adjustRightInd/>
        <w:snapToGrid/>
        <w:spacing w:beforeAutospacing="0" w:afterAutospacing="0" w:line="48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3.项目联系方式</w:t>
      </w:r>
    </w:p>
    <w:p w14:paraId="7CE66D4F">
      <w:pPr>
        <w:pageBreakBefore w:val="0"/>
        <w:kinsoku/>
        <w:overflowPunct/>
        <w:topLinePunct w:val="0"/>
        <w:autoSpaceDE/>
        <w:autoSpaceDN/>
        <w:bidi w:val="0"/>
        <w:adjustRightInd/>
        <w:snapToGrid/>
        <w:spacing w:beforeAutospacing="0" w:afterAutospacing="0" w:line="48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项目联系人：</w:t>
      </w:r>
      <w:r>
        <w:rPr>
          <w:rFonts w:hint="eastAsia" w:ascii="宋体" w:hAnsi="宋体" w:cs="宋体"/>
          <w:color w:val="000000" w:themeColor="text1"/>
          <w:highlight w:val="none"/>
          <w:lang w:val="en-US" w:eastAsia="zh-CN"/>
          <w14:textFill>
            <w14:solidFill>
              <w14:schemeClr w14:val="tx1"/>
            </w14:solidFill>
          </w14:textFill>
        </w:rPr>
        <w:t>蒋兴杰、肖枝莲、李欣睿、王国玺、吴翊、祝欣、陈沿锦、丁传觐、汪怡含、邓楚卿、李腾芳、王彦飞、刘晓云、张振荣、杨益鑫、戚玮薇</w:t>
      </w:r>
    </w:p>
    <w:p w14:paraId="4A894E29">
      <w:pPr>
        <w:pageBreakBefore w:val="0"/>
        <w:kinsoku/>
        <w:overflowPunct/>
        <w:topLinePunct w:val="0"/>
        <w:autoSpaceDE/>
        <w:autoSpaceDN/>
        <w:bidi w:val="0"/>
        <w:adjustRightInd/>
        <w:snapToGrid/>
        <w:spacing w:beforeAutospacing="0" w:afterAutospacing="0" w:line="48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电话：0871-65511240、0871-65511241</w:t>
      </w:r>
    </w:p>
    <w:p w14:paraId="5AF432E7">
      <w:pPr>
        <w:pageBreakBefore w:val="0"/>
        <w:kinsoku/>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45D5008">
      <w:pPr>
        <w:pStyle w:val="2"/>
        <w:pageBreakBefore w:val="0"/>
        <w:kinsoku/>
        <w:overflowPunct/>
        <w:topLinePunct w:val="0"/>
        <w:bidi w:val="0"/>
        <w:adjustRightInd/>
        <w:spacing w:before="0" w:after="0" w:line="480" w:lineRule="exact"/>
        <w:ind w:left="0" w:leftChars="0"/>
        <w:rPr>
          <w:rFonts w:hint="eastAsia" w:ascii="宋体" w:hAnsi="宋体" w:eastAsia="宋体" w:cs="宋体"/>
          <w:color w:val="000000" w:themeColor="text1"/>
          <w:sz w:val="32"/>
          <w:szCs w:val="32"/>
          <w:highlight w:val="none"/>
          <w14:textFill>
            <w14:solidFill>
              <w14:schemeClr w14:val="tx1"/>
            </w14:solidFill>
          </w14:textFill>
        </w:rPr>
      </w:pPr>
      <w:bookmarkStart w:id="25" w:name="_Toc13371"/>
      <w:r>
        <w:rPr>
          <w:rFonts w:hint="eastAsia" w:ascii="宋体" w:hAnsi="宋体" w:eastAsia="宋体" w:cs="宋体"/>
          <w:color w:val="000000" w:themeColor="text1"/>
          <w:sz w:val="32"/>
          <w:szCs w:val="32"/>
          <w:highlight w:val="none"/>
          <w14:textFill>
            <w14:solidFill>
              <w14:schemeClr w14:val="tx1"/>
            </w14:solidFill>
          </w14:textFill>
        </w:rPr>
        <w:t>第二章投标人须知</w:t>
      </w:r>
      <w:bookmarkEnd w:id="25"/>
    </w:p>
    <w:p w14:paraId="655C107E">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26" w:name="_Toc17861"/>
      <w:r>
        <w:rPr>
          <w:rFonts w:hint="eastAsia" w:ascii="宋体" w:hAnsi="宋体" w:eastAsia="宋体" w:cs="宋体"/>
          <w:color w:val="000000" w:themeColor="text1"/>
          <w:spacing w:val="0"/>
          <w:kern w:val="0"/>
          <w:sz w:val="28"/>
          <w:szCs w:val="28"/>
          <w:highlight w:val="none"/>
          <w14:textFill>
            <w14:solidFill>
              <w14:schemeClr w14:val="tx1"/>
            </w14:solidFill>
          </w14:textFill>
        </w:rPr>
        <w:t>投标人须知前附表</w:t>
      </w:r>
      <w:bookmarkEnd w:id="26"/>
    </w:p>
    <w:tbl>
      <w:tblPr>
        <w:tblStyle w:val="40"/>
        <w:tblW w:w="9511" w:type="dxa"/>
        <w:jc w:val="center"/>
        <w:tblLayout w:type="fixed"/>
        <w:tblCellMar>
          <w:top w:w="0" w:type="dxa"/>
          <w:left w:w="108" w:type="dxa"/>
          <w:bottom w:w="0" w:type="dxa"/>
          <w:right w:w="108" w:type="dxa"/>
        </w:tblCellMar>
      </w:tblPr>
      <w:tblGrid>
        <w:gridCol w:w="949"/>
        <w:gridCol w:w="2108"/>
        <w:gridCol w:w="6454"/>
      </w:tblGrid>
      <w:tr w14:paraId="72382E1A">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23B0D6D">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left="0" w:leftChars="0"/>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条款号</w:t>
            </w:r>
          </w:p>
        </w:tc>
        <w:tc>
          <w:tcPr>
            <w:tcW w:w="2108" w:type="dxa"/>
            <w:tcBorders>
              <w:top w:val="single" w:color="auto" w:sz="4" w:space="0"/>
              <w:left w:val="single" w:color="auto" w:sz="4" w:space="0"/>
              <w:bottom w:val="single" w:color="auto" w:sz="4" w:space="0"/>
              <w:right w:val="single" w:color="auto" w:sz="4" w:space="0"/>
            </w:tcBorders>
            <w:vAlign w:val="center"/>
          </w:tcPr>
          <w:p w14:paraId="67FC618F">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条款名称</w:t>
            </w:r>
          </w:p>
        </w:tc>
        <w:tc>
          <w:tcPr>
            <w:tcW w:w="6454" w:type="dxa"/>
            <w:tcBorders>
              <w:top w:val="single" w:color="auto" w:sz="4" w:space="0"/>
              <w:left w:val="single" w:color="auto" w:sz="4" w:space="0"/>
              <w:bottom w:val="single" w:color="auto" w:sz="4" w:space="0"/>
              <w:right w:val="single" w:color="auto" w:sz="4" w:space="0"/>
            </w:tcBorders>
            <w:vAlign w:val="center"/>
          </w:tcPr>
          <w:p w14:paraId="64CB34BF">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编列内容</w:t>
            </w:r>
          </w:p>
        </w:tc>
      </w:tr>
      <w:tr w14:paraId="2ADB133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AE68AA6">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2108" w:type="dxa"/>
            <w:tcBorders>
              <w:top w:val="single" w:color="auto" w:sz="4" w:space="0"/>
              <w:left w:val="single" w:color="auto" w:sz="4" w:space="0"/>
              <w:bottom w:val="single" w:color="auto" w:sz="4" w:space="0"/>
              <w:right w:val="single" w:color="auto" w:sz="4" w:space="0"/>
            </w:tcBorders>
            <w:vAlign w:val="center"/>
          </w:tcPr>
          <w:p w14:paraId="5E51A754">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p>
        </w:tc>
        <w:tc>
          <w:tcPr>
            <w:tcW w:w="6454" w:type="dxa"/>
            <w:tcBorders>
              <w:top w:val="single" w:color="auto" w:sz="4" w:space="0"/>
              <w:left w:val="single" w:color="auto" w:sz="4" w:space="0"/>
              <w:bottom w:val="single" w:color="auto" w:sz="4" w:space="0"/>
              <w:right w:val="single" w:color="auto" w:sz="4" w:space="0"/>
            </w:tcBorders>
            <w:vAlign w:val="center"/>
          </w:tcPr>
          <w:p w14:paraId="5167203C">
            <w:pPr>
              <w:keepNext w:val="0"/>
              <w:keepLines w:val="0"/>
              <w:pageBreakBefore w:val="0"/>
              <w:kinsoku/>
              <w:overflowPunct/>
              <w:topLinePunct w:val="0"/>
              <w:bidi w:val="0"/>
              <w:adjustRightInd/>
              <w:spacing w:before="0" w:beforeAutospacing="0" w:after="0" w:afterAutospacing="0" w:line="48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云南省第一人民医院</w:t>
            </w:r>
          </w:p>
        </w:tc>
      </w:tr>
      <w:tr w14:paraId="00FD4C5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5AC9AE2">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w:t>
            </w:r>
          </w:p>
        </w:tc>
        <w:tc>
          <w:tcPr>
            <w:tcW w:w="2108" w:type="dxa"/>
            <w:tcBorders>
              <w:top w:val="single" w:color="auto" w:sz="4" w:space="0"/>
              <w:left w:val="single" w:color="auto" w:sz="4" w:space="0"/>
              <w:bottom w:val="single" w:color="auto" w:sz="4" w:space="0"/>
              <w:right w:val="single" w:color="auto" w:sz="4" w:space="0"/>
            </w:tcBorders>
            <w:vAlign w:val="center"/>
          </w:tcPr>
          <w:p w14:paraId="0D1F1A3E">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w:t>
            </w:r>
          </w:p>
        </w:tc>
        <w:tc>
          <w:tcPr>
            <w:tcW w:w="6454" w:type="dxa"/>
            <w:tcBorders>
              <w:top w:val="single" w:color="auto" w:sz="4" w:space="0"/>
              <w:left w:val="single" w:color="auto" w:sz="4" w:space="0"/>
              <w:bottom w:val="single" w:color="auto" w:sz="4" w:space="0"/>
              <w:right w:val="single" w:color="auto" w:sz="4" w:space="0"/>
            </w:tcBorders>
            <w:vAlign w:val="center"/>
          </w:tcPr>
          <w:p w14:paraId="415634E7">
            <w:pPr>
              <w:keepNext w:val="0"/>
              <w:keepLines w:val="0"/>
              <w:pageBreakBefore w:val="0"/>
              <w:kinsoku/>
              <w:overflowPunct/>
              <w:topLinePunct w:val="0"/>
              <w:bidi w:val="0"/>
              <w:adjustRightInd/>
              <w:spacing w:before="0" w:beforeAutospacing="0" w:after="0" w:afterAutospacing="0" w:line="480" w:lineRule="exact"/>
              <w:ind w:left="0" w:leftChars="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云南冠睿咨询有限公司</w:t>
            </w:r>
          </w:p>
        </w:tc>
      </w:tr>
      <w:tr w14:paraId="560DD605">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C72CF3D">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w:t>
            </w:r>
          </w:p>
        </w:tc>
        <w:tc>
          <w:tcPr>
            <w:tcW w:w="2108" w:type="dxa"/>
            <w:tcBorders>
              <w:top w:val="single" w:color="auto" w:sz="4" w:space="0"/>
              <w:left w:val="single" w:color="auto" w:sz="4" w:space="0"/>
              <w:bottom w:val="single" w:color="auto" w:sz="4" w:space="0"/>
              <w:right w:val="single" w:color="auto" w:sz="4" w:space="0"/>
            </w:tcBorders>
            <w:vAlign w:val="center"/>
          </w:tcPr>
          <w:p w14:paraId="2263A285">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项目名称及项目编号</w:t>
            </w:r>
          </w:p>
        </w:tc>
        <w:tc>
          <w:tcPr>
            <w:tcW w:w="6454" w:type="dxa"/>
            <w:tcBorders>
              <w:top w:val="single" w:color="auto" w:sz="4" w:space="0"/>
              <w:left w:val="single" w:color="auto" w:sz="4" w:space="0"/>
              <w:bottom w:val="single" w:color="auto" w:sz="4" w:space="0"/>
              <w:right w:val="single" w:color="auto" w:sz="4" w:space="0"/>
            </w:tcBorders>
            <w:vAlign w:val="center"/>
          </w:tcPr>
          <w:p w14:paraId="16ED4B01">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云南省第一人民医院彩色多普勒超声诊断仪采购项目</w:t>
            </w:r>
          </w:p>
          <w:p w14:paraId="7B09BFB7">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cs="宋体"/>
                <w:color w:val="000000" w:themeColor="text1"/>
                <w:highlight w:val="none"/>
                <w:lang w:eastAsia="zh-CN"/>
                <w14:textFill>
                  <w14:solidFill>
                    <w14:schemeClr w14:val="tx1"/>
                  </w14:solidFill>
                </w14:textFill>
              </w:rPr>
              <w:t>YNZC2026-G1-02314-YNGR-0174</w:t>
            </w:r>
          </w:p>
        </w:tc>
      </w:tr>
      <w:tr w14:paraId="7A6C6AB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6E31758">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w:t>
            </w:r>
          </w:p>
        </w:tc>
        <w:tc>
          <w:tcPr>
            <w:tcW w:w="2108" w:type="dxa"/>
            <w:tcBorders>
              <w:top w:val="single" w:color="auto" w:sz="4" w:space="0"/>
              <w:left w:val="single" w:color="auto" w:sz="4" w:space="0"/>
              <w:bottom w:val="single" w:color="auto" w:sz="4" w:space="0"/>
              <w:right w:val="single" w:color="auto" w:sz="4" w:space="0"/>
            </w:tcBorders>
            <w:vAlign w:val="center"/>
          </w:tcPr>
          <w:p w14:paraId="4D59165D">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预算金额</w:t>
            </w:r>
            <w:r>
              <w:rPr>
                <w:rFonts w:hint="eastAsia" w:ascii="宋体" w:hAnsi="宋体" w:eastAsia="宋体" w:cs="宋体"/>
                <w:color w:val="000000" w:themeColor="text1"/>
                <w:highlight w:val="none"/>
                <w:lang w:val="en-US" w:eastAsia="zh-CN"/>
                <w14:textFill>
                  <w14:solidFill>
                    <w14:schemeClr w14:val="tx1"/>
                  </w14:solidFill>
                </w14:textFill>
              </w:rPr>
              <w:t>及最高限价</w:t>
            </w:r>
          </w:p>
        </w:tc>
        <w:tc>
          <w:tcPr>
            <w:tcW w:w="6454" w:type="dxa"/>
            <w:tcBorders>
              <w:top w:val="single" w:color="auto" w:sz="4" w:space="0"/>
              <w:left w:val="single" w:color="auto" w:sz="4" w:space="0"/>
              <w:bottom w:val="single" w:color="auto" w:sz="4" w:space="0"/>
              <w:right w:val="single" w:color="auto" w:sz="4" w:space="0"/>
            </w:tcBorders>
            <w:vAlign w:val="center"/>
          </w:tcPr>
          <w:p w14:paraId="72DB0D85">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详见招标文件第一章《招标公告》“</w:t>
            </w:r>
            <w:r>
              <w:rPr>
                <w:rFonts w:hint="eastAsia" w:ascii="宋体" w:hAnsi="宋体" w:eastAsia="宋体" w:cs="宋体"/>
                <w:bCs/>
                <w:color w:val="000000" w:themeColor="text1"/>
                <w:szCs w:val="21"/>
                <w:highlight w:val="none"/>
                <w14:textFill>
                  <w14:solidFill>
                    <w14:schemeClr w14:val="tx1"/>
                  </w14:solidFill>
                </w14:textFill>
              </w:rPr>
              <w:t>一、项目基本情况</w:t>
            </w:r>
            <w:r>
              <w:rPr>
                <w:rFonts w:hint="eastAsia" w:ascii="宋体" w:hAnsi="宋体" w:eastAsia="宋体" w:cs="宋体"/>
                <w:color w:val="000000" w:themeColor="text1"/>
                <w:highlight w:val="none"/>
                <w14:textFill>
                  <w14:solidFill>
                    <w14:schemeClr w14:val="tx1"/>
                  </w14:solidFill>
                </w14:textFill>
              </w:rPr>
              <w:t>”</w:t>
            </w:r>
          </w:p>
        </w:tc>
      </w:tr>
      <w:tr w14:paraId="3BF9E16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BB5DCA3">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w:t>
            </w:r>
          </w:p>
        </w:tc>
        <w:tc>
          <w:tcPr>
            <w:tcW w:w="2108" w:type="dxa"/>
            <w:tcBorders>
              <w:top w:val="single" w:color="auto" w:sz="4" w:space="0"/>
              <w:left w:val="single" w:color="auto" w:sz="4" w:space="0"/>
              <w:bottom w:val="single" w:color="auto" w:sz="4" w:space="0"/>
              <w:right w:val="single" w:color="auto" w:sz="4" w:space="0"/>
            </w:tcBorders>
            <w:vAlign w:val="center"/>
          </w:tcPr>
          <w:p w14:paraId="6AF456D0">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采购需求</w:t>
            </w:r>
          </w:p>
        </w:tc>
        <w:tc>
          <w:tcPr>
            <w:tcW w:w="6454" w:type="dxa"/>
            <w:tcBorders>
              <w:top w:val="single" w:color="auto" w:sz="4" w:space="0"/>
              <w:left w:val="single" w:color="auto" w:sz="4" w:space="0"/>
              <w:bottom w:val="single" w:color="auto" w:sz="4" w:space="0"/>
              <w:right w:val="single" w:color="auto" w:sz="4" w:space="0"/>
            </w:tcBorders>
            <w:vAlign w:val="center"/>
          </w:tcPr>
          <w:p w14:paraId="384BE093">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详见招标文件第一章《招标公告》“</w:t>
            </w:r>
            <w:r>
              <w:rPr>
                <w:rFonts w:hint="eastAsia" w:ascii="宋体" w:hAnsi="宋体" w:eastAsia="宋体" w:cs="宋体"/>
                <w:bCs/>
                <w:color w:val="000000" w:themeColor="text1"/>
                <w:szCs w:val="21"/>
                <w:highlight w:val="none"/>
                <w14:textFill>
                  <w14:solidFill>
                    <w14:schemeClr w14:val="tx1"/>
                  </w14:solidFill>
                </w14:textFill>
              </w:rPr>
              <w:t>一、项目基本情况</w:t>
            </w:r>
            <w:r>
              <w:rPr>
                <w:rFonts w:hint="eastAsia" w:ascii="宋体" w:hAnsi="宋体" w:eastAsia="宋体" w:cs="宋体"/>
                <w:color w:val="000000" w:themeColor="text1"/>
                <w:highlight w:val="none"/>
                <w14:textFill>
                  <w14:solidFill>
                    <w14:schemeClr w14:val="tx1"/>
                  </w14:solidFill>
                </w14:textFill>
              </w:rPr>
              <w:t>”，具体要求等详见本招标文件第五章《采购需求》。</w:t>
            </w:r>
          </w:p>
        </w:tc>
      </w:tr>
      <w:tr w14:paraId="0CBACE72">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534C43B">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w:t>
            </w:r>
          </w:p>
        </w:tc>
        <w:tc>
          <w:tcPr>
            <w:tcW w:w="2108" w:type="dxa"/>
            <w:tcBorders>
              <w:top w:val="single" w:color="auto" w:sz="4" w:space="0"/>
              <w:left w:val="single" w:color="auto" w:sz="4" w:space="0"/>
              <w:bottom w:val="single" w:color="auto" w:sz="4" w:space="0"/>
              <w:right w:val="single" w:color="auto" w:sz="4" w:space="0"/>
            </w:tcBorders>
            <w:vAlign w:val="center"/>
          </w:tcPr>
          <w:p w14:paraId="5E9F03F4">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交货期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eastAsia="zh-CN"/>
                <w14:textFill>
                  <w14:solidFill>
                    <w14:schemeClr w14:val="tx1"/>
                  </w14:solidFill>
                </w14:textFill>
              </w:rPr>
              <w:t>交货地点</w:t>
            </w:r>
          </w:p>
        </w:tc>
        <w:tc>
          <w:tcPr>
            <w:tcW w:w="6454" w:type="dxa"/>
            <w:tcBorders>
              <w:top w:val="single" w:color="auto" w:sz="4" w:space="0"/>
              <w:left w:val="single" w:color="auto" w:sz="4" w:space="0"/>
              <w:bottom w:val="single" w:color="auto" w:sz="4" w:space="0"/>
              <w:right w:val="single" w:color="auto" w:sz="4" w:space="0"/>
            </w:tcBorders>
            <w:vAlign w:val="center"/>
          </w:tcPr>
          <w:p w14:paraId="65E11E44">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详见招标文件第一章《招标公告》“</w:t>
            </w:r>
            <w:r>
              <w:rPr>
                <w:rFonts w:hint="eastAsia" w:ascii="宋体" w:hAnsi="宋体" w:eastAsia="宋体" w:cs="宋体"/>
                <w:bCs/>
                <w:color w:val="000000" w:themeColor="text1"/>
                <w:szCs w:val="21"/>
                <w:highlight w:val="none"/>
                <w14:textFill>
                  <w14:solidFill>
                    <w14:schemeClr w14:val="tx1"/>
                  </w14:solidFill>
                </w14:textFill>
              </w:rPr>
              <w:t>一、项目基本情况</w:t>
            </w:r>
            <w:r>
              <w:rPr>
                <w:rFonts w:hint="eastAsia" w:ascii="宋体" w:hAnsi="宋体" w:eastAsia="宋体" w:cs="宋体"/>
                <w:color w:val="000000" w:themeColor="text1"/>
                <w:highlight w:val="none"/>
                <w14:textFill>
                  <w14:solidFill>
                    <w14:schemeClr w14:val="tx1"/>
                  </w14:solidFill>
                </w14:textFill>
              </w:rPr>
              <w:t>”</w:t>
            </w:r>
          </w:p>
        </w:tc>
      </w:tr>
      <w:tr w14:paraId="5B73DEA5">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EC4951F">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.3</w:t>
            </w:r>
          </w:p>
        </w:tc>
        <w:tc>
          <w:tcPr>
            <w:tcW w:w="2108" w:type="dxa"/>
            <w:tcBorders>
              <w:top w:val="single" w:color="auto" w:sz="4" w:space="0"/>
              <w:left w:val="single" w:color="auto" w:sz="4" w:space="0"/>
              <w:bottom w:val="single" w:color="auto" w:sz="4" w:space="0"/>
              <w:right w:val="single" w:color="auto" w:sz="4" w:space="0"/>
            </w:tcBorders>
            <w:vAlign w:val="center"/>
          </w:tcPr>
          <w:p w14:paraId="5B34D477">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是否接受联合体参加</w:t>
            </w:r>
          </w:p>
        </w:tc>
        <w:tc>
          <w:tcPr>
            <w:tcW w:w="6454" w:type="dxa"/>
            <w:tcBorders>
              <w:top w:val="single" w:color="auto" w:sz="4" w:space="0"/>
              <w:left w:val="single" w:color="auto" w:sz="4" w:space="0"/>
              <w:bottom w:val="single" w:color="auto" w:sz="4" w:space="0"/>
              <w:right w:val="single" w:color="auto" w:sz="4" w:space="0"/>
            </w:tcBorders>
            <w:vAlign w:val="center"/>
          </w:tcPr>
          <w:p w14:paraId="6471F8AD">
            <w:pPr>
              <w:keepNext w:val="0"/>
              <w:keepLines w:val="0"/>
              <w:pageBreakBefore w:val="0"/>
              <w:widowControl/>
              <w:kinsoku/>
              <w:overflowPunct/>
              <w:topLinePunct w:val="0"/>
              <w:bidi w:val="0"/>
              <w:adjustRightInd/>
              <w:spacing w:before="0" w:beforeAutospacing="0" w:after="0" w:afterAutospacing="0" w:line="48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详见招标文件第一章《招标公告》“</w:t>
            </w:r>
            <w:r>
              <w:rPr>
                <w:rFonts w:hint="eastAsia" w:ascii="宋体" w:hAnsi="宋体" w:eastAsia="宋体" w:cs="宋体"/>
                <w:bCs/>
                <w:color w:val="000000" w:themeColor="text1"/>
                <w:szCs w:val="21"/>
                <w:highlight w:val="none"/>
                <w14:textFill>
                  <w14:solidFill>
                    <w14:schemeClr w14:val="tx1"/>
                  </w14:solidFill>
                </w14:textFill>
              </w:rPr>
              <w:t>一、项目基本情况</w:t>
            </w:r>
            <w:r>
              <w:rPr>
                <w:rFonts w:hint="eastAsia" w:ascii="宋体" w:hAnsi="宋体" w:eastAsia="宋体" w:cs="宋体"/>
                <w:color w:val="000000" w:themeColor="text1"/>
                <w:highlight w:val="none"/>
                <w14:textFill>
                  <w14:solidFill>
                    <w14:schemeClr w14:val="tx1"/>
                  </w14:solidFill>
                </w14:textFill>
              </w:rPr>
              <w:t>”</w:t>
            </w:r>
          </w:p>
        </w:tc>
      </w:tr>
      <w:tr w14:paraId="22351C04">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A453E0C">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w:t>
            </w:r>
          </w:p>
        </w:tc>
        <w:tc>
          <w:tcPr>
            <w:tcW w:w="2108" w:type="dxa"/>
            <w:tcBorders>
              <w:top w:val="single" w:color="auto" w:sz="4" w:space="0"/>
              <w:left w:val="single" w:color="auto" w:sz="4" w:space="0"/>
              <w:bottom w:val="single" w:color="auto" w:sz="4" w:space="0"/>
              <w:right w:val="single" w:color="auto" w:sz="4" w:space="0"/>
            </w:tcBorders>
            <w:vAlign w:val="center"/>
          </w:tcPr>
          <w:p w14:paraId="55549E86">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投标人资格要求</w:t>
            </w:r>
          </w:p>
        </w:tc>
        <w:tc>
          <w:tcPr>
            <w:tcW w:w="6454" w:type="dxa"/>
            <w:tcBorders>
              <w:top w:val="single" w:color="auto" w:sz="4" w:space="0"/>
              <w:left w:val="single" w:color="auto" w:sz="4" w:space="0"/>
              <w:bottom w:val="single" w:color="auto" w:sz="4" w:space="0"/>
              <w:right w:val="single" w:color="auto" w:sz="4" w:space="0"/>
            </w:tcBorders>
            <w:vAlign w:val="center"/>
          </w:tcPr>
          <w:p w14:paraId="29D0BFCF">
            <w:pPr>
              <w:keepNext w:val="0"/>
              <w:keepLines w:val="0"/>
              <w:pageBreakBefore w:val="0"/>
              <w:widowControl/>
              <w:kinsoku/>
              <w:overflowPunct/>
              <w:topLinePunct w:val="0"/>
              <w:bidi w:val="0"/>
              <w:adjustRightInd/>
              <w:spacing w:before="0" w:beforeAutospacing="0" w:after="0" w:afterAutospacing="0" w:line="48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详见招标文件第一章《</w:t>
            </w:r>
            <w:r>
              <w:rPr>
                <w:rFonts w:hint="eastAsia" w:ascii="宋体" w:hAnsi="宋体" w:eastAsia="宋体" w:cs="宋体"/>
                <w:bCs/>
                <w:color w:val="000000" w:themeColor="text1"/>
                <w:szCs w:val="21"/>
                <w:highlight w:val="none"/>
                <w:lang w:eastAsia="zh-CN"/>
                <w14:textFill>
                  <w14:solidFill>
                    <w14:schemeClr w14:val="tx1"/>
                  </w14:solidFill>
                </w14:textFill>
              </w:rPr>
              <w:t>招标公告</w:t>
            </w:r>
            <w:r>
              <w:rPr>
                <w:rFonts w:hint="eastAsia" w:ascii="宋体" w:hAnsi="宋体" w:eastAsia="宋体" w:cs="宋体"/>
                <w:bCs/>
                <w:color w:val="000000" w:themeColor="text1"/>
                <w:szCs w:val="21"/>
                <w:highlight w:val="none"/>
                <w14:textFill>
                  <w14:solidFill>
                    <w14:schemeClr w14:val="tx1"/>
                  </w14:solidFill>
                </w14:textFill>
              </w:rPr>
              <w:t>》“二、投标人资格要求”</w:t>
            </w:r>
          </w:p>
        </w:tc>
      </w:tr>
      <w:tr w14:paraId="3052D330">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129F437">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w:t>
            </w:r>
          </w:p>
        </w:tc>
        <w:tc>
          <w:tcPr>
            <w:tcW w:w="2108" w:type="dxa"/>
            <w:tcBorders>
              <w:top w:val="single" w:color="auto" w:sz="4" w:space="0"/>
              <w:left w:val="single" w:color="auto" w:sz="4" w:space="0"/>
              <w:bottom w:val="single" w:color="auto" w:sz="4" w:space="0"/>
              <w:right w:val="single" w:color="auto" w:sz="4" w:space="0"/>
            </w:tcBorders>
            <w:vAlign w:val="center"/>
          </w:tcPr>
          <w:p w14:paraId="2E2686A1">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采购人根据采购项目的特殊要求规定的特定条件</w:t>
            </w:r>
          </w:p>
        </w:tc>
        <w:tc>
          <w:tcPr>
            <w:tcW w:w="6454" w:type="dxa"/>
            <w:tcBorders>
              <w:top w:val="single" w:color="auto" w:sz="4" w:space="0"/>
              <w:left w:val="single" w:color="auto" w:sz="4" w:space="0"/>
              <w:bottom w:val="single" w:color="auto" w:sz="4" w:space="0"/>
              <w:right w:val="single" w:color="auto" w:sz="4" w:space="0"/>
            </w:tcBorders>
            <w:vAlign w:val="center"/>
          </w:tcPr>
          <w:p w14:paraId="38991569">
            <w:pPr>
              <w:keepNext w:val="0"/>
              <w:keepLines w:val="0"/>
              <w:pageBreakBefore w:val="0"/>
              <w:widowControl/>
              <w:kinsoku/>
              <w:overflowPunct/>
              <w:topLinePunct w:val="0"/>
              <w:bidi w:val="0"/>
              <w:adjustRightInd/>
              <w:spacing w:before="0" w:beforeAutospacing="0" w:after="0" w:afterAutospacing="0" w:line="48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详见招标文件第一章《</w:t>
            </w:r>
            <w:r>
              <w:rPr>
                <w:rFonts w:hint="eastAsia" w:ascii="宋体" w:hAnsi="宋体" w:eastAsia="宋体" w:cs="宋体"/>
                <w:bCs/>
                <w:color w:val="000000" w:themeColor="text1"/>
                <w:szCs w:val="21"/>
                <w:highlight w:val="none"/>
                <w:lang w:eastAsia="zh-CN"/>
                <w14:textFill>
                  <w14:solidFill>
                    <w14:schemeClr w14:val="tx1"/>
                  </w14:solidFill>
                </w14:textFill>
              </w:rPr>
              <w:t>招标公告</w:t>
            </w:r>
            <w:r>
              <w:rPr>
                <w:rFonts w:hint="eastAsia" w:ascii="宋体" w:hAnsi="宋体" w:eastAsia="宋体" w:cs="宋体"/>
                <w:bCs/>
                <w:color w:val="000000" w:themeColor="text1"/>
                <w:szCs w:val="21"/>
                <w:highlight w:val="none"/>
                <w14:textFill>
                  <w14:solidFill>
                    <w14:schemeClr w14:val="tx1"/>
                  </w14:solidFill>
                </w14:textFill>
              </w:rPr>
              <w:t>》“二、投标人资格要求”</w:t>
            </w:r>
          </w:p>
        </w:tc>
      </w:tr>
      <w:tr w14:paraId="6369BEE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804AE05">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2108" w:type="dxa"/>
            <w:tcBorders>
              <w:top w:val="single" w:color="auto" w:sz="4" w:space="0"/>
              <w:left w:val="single" w:color="auto" w:sz="4" w:space="0"/>
              <w:bottom w:val="single" w:color="auto" w:sz="4" w:space="0"/>
              <w:right w:val="single" w:color="auto" w:sz="4" w:space="0"/>
            </w:tcBorders>
            <w:vAlign w:val="center"/>
          </w:tcPr>
          <w:p w14:paraId="2A881E27">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为采购项目提供整体设计、规范编制和项目管理、监理、检测等服务的供应商</w:t>
            </w:r>
          </w:p>
        </w:tc>
        <w:tc>
          <w:tcPr>
            <w:tcW w:w="6454" w:type="dxa"/>
            <w:tcBorders>
              <w:top w:val="single" w:color="auto" w:sz="4" w:space="0"/>
              <w:left w:val="single" w:color="auto" w:sz="4" w:space="0"/>
              <w:bottom w:val="single" w:color="auto" w:sz="4" w:space="0"/>
              <w:right w:val="single" w:color="auto" w:sz="4" w:space="0"/>
            </w:tcBorders>
            <w:vAlign w:val="center"/>
          </w:tcPr>
          <w:p w14:paraId="1F2F8ED7">
            <w:pPr>
              <w:keepNext w:val="0"/>
              <w:keepLines w:val="0"/>
              <w:pageBreakBefore w:val="0"/>
              <w:kinsoku/>
              <w:overflowPunct/>
              <w:topLinePunct w:val="0"/>
              <w:bidi w:val="0"/>
              <w:adjustRightInd/>
              <w:spacing w:before="0" w:beforeAutospacing="0" w:after="0" w:afterAutospacing="0" w:line="480" w:lineRule="exact"/>
              <w:ind w:left="0" w:leftChars="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无</w:t>
            </w:r>
          </w:p>
        </w:tc>
      </w:tr>
      <w:tr w14:paraId="1772648F">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F80C406">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w:t>
            </w:r>
          </w:p>
        </w:tc>
        <w:tc>
          <w:tcPr>
            <w:tcW w:w="2108" w:type="dxa"/>
            <w:tcBorders>
              <w:top w:val="single" w:color="auto" w:sz="4" w:space="0"/>
              <w:left w:val="single" w:color="auto" w:sz="4" w:space="0"/>
              <w:bottom w:val="single" w:color="auto" w:sz="4" w:space="0"/>
              <w:right w:val="single" w:color="auto" w:sz="4" w:space="0"/>
            </w:tcBorders>
            <w:vAlign w:val="center"/>
          </w:tcPr>
          <w:p w14:paraId="0417DC4C">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现场考察</w:t>
            </w:r>
          </w:p>
        </w:tc>
        <w:tc>
          <w:tcPr>
            <w:tcW w:w="6454" w:type="dxa"/>
            <w:tcBorders>
              <w:top w:val="single" w:color="auto" w:sz="4" w:space="0"/>
              <w:left w:val="single" w:color="auto" w:sz="4" w:space="0"/>
              <w:bottom w:val="single" w:color="auto" w:sz="4" w:space="0"/>
              <w:right w:val="single" w:color="auto" w:sz="4" w:space="0"/>
            </w:tcBorders>
            <w:vAlign w:val="center"/>
          </w:tcPr>
          <w:p w14:paraId="60DCDAA0">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不组织</w:t>
            </w:r>
          </w:p>
        </w:tc>
      </w:tr>
      <w:tr w14:paraId="0DEF245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6FF0667">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w:t>
            </w:r>
          </w:p>
        </w:tc>
        <w:tc>
          <w:tcPr>
            <w:tcW w:w="2108" w:type="dxa"/>
            <w:tcBorders>
              <w:top w:val="single" w:color="auto" w:sz="4" w:space="0"/>
              <w:left w:val="single" w:color="auto" w:sz="4" w:space="0"/>
              <w:bottom w:val="single" w:color="auto" w:sz="4" w:space="0"/>
              <w:right w:val="single" w:color="auto" w:sz="4" w:space="0"/>
            </w:tcBorders>
            <w:vAlign w:val="center"/>
          </w:tcPr>
          <w:p w14:paraId="2896444D">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开标前答疑会</w:t>
            </w:r>
          </w:p>
        </w:tc>
        <w:tc>
          <w:tcPr>
            <w:tcW w:w="6454" w:type="dxa"/>
            <w:tcBorders>
              <w:top w:val="single" w:color="auto" w:sz="4" w:space="0"/>
              <w:left w:val="single" w:color="auto" w:sz="4" w:space="0"/>
              <w:bottom w:val="single" w:color="auto" w:sz="4" w:space="0"/>
              <w:right w:val="single" w:color="auto" w:sz="4" w:space="0"/>
            </w:tcBorders>
            <w:vAlign w:val="center"/>
          </w:tcPr>
          <w:p w14:paraId="2FF8683D">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不组织</w:t>
            </w:r>
          </w:p>
        </w:tc>
      </w:tr>
      <w:tr w14:paraId="6BEF115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D49128F">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w:t>
            </w:r>
          </w:p>
        </w:tc>
        <w:tc>
          <w:tcPr>
            <w:tcW w:w="2108" w:type="dxa"/>
            <w:tcBorders>
              <w:top w:val="single" w:color="auto" w:sz="4" w:space="0"/>
              <w:left w:val="single" w:color="auto" w:sz="4" w:space="0"/>
              <w:bottom w:val="single" w:color="auto" w:sz="4" w:space="0"/>
              <w:right w:val="single" w:color="auto" w:sz="4" w:space="0"/>
            </w:tcBorders>
            <w:vAlign w:val="center"/>
          </w:tcPr>
          <w:p w14:paraId="6745BE15">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招标文件的询问时间</w:t>
            </w:r>
          </w:p>
        </w:tc>
        <w:tc>
          <w:tcPr>
            <w:tcW w:w="6454" w:type="dxa"/>
            <w:tcBorders>
              <w:top w:val="single" w:color="auto" w:sz="4" w:space="0"/>
              <w:left w:val="single" w:color="auto" w:sz="4" w:space="0"/>
              <w:bottom w:val="single" w:color="auto" w:sz="4" w:space="0"/>
              <w:right w:val="single" w:color="auto" w:sz="4" w:space="0"/>
            </w:tcBorders>
            <w:vAlign w:val="center"/>
          </w:tcPr>
          <w:p w14:paraId="51D52851">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投标人应认真阅读招标文件，如有疑问的，投标人可以向采购人或采购代理机构提出询问，采购人或者采购代理机构在接到询问后的3个工作日内对投标人依法提出的询问作出答复，但答复的内容不涉及商业秘密</w:t>
            </w:r>
            <w:r>
              <w:rPr>
                <w:rFonts w:hint="eastAsia" w:ascii="宋体" w:hAnsi="宋体" w:eastAsia="宋体" w:cs="宋体"/>
                <w:color w:val="000000" w:themeColor="text1"/>
                <w:szCs w:val="21"/>
                <w:highlight w:val="none"/>
                <w:lang w:eastAsia="zh-CN"/>
                <w14:textFill>
                  <w14:solidFill>
                    <w14:schemeClr w14:val="tx1"/>
                  </w14:solidFill>
                </w14:textFill>
              </w:rPr>
              <w:t>，如对电子采购流程不清楚可查阅政采云（https://e-learning.zcygov.cn/index）“秒懂政采云 项目采购”学习</w:t>
            </w:r>
            <w:r>
              <w:rPr>
                <w:rFonts w:hint="eastAsia" w:ascii="宋体" w:hAnsi="宋体" w:eastAsia="宋体" w:cs="宋体"/>
                <w:color w:val="000000" w:themeColor="text1"/>
                <w:szCs w:val="21"/>
                <w:highlight w:val="none"/>
                <w14:textFill>
                  <w14:solidFill>
                    <w14:schemeClr w14:val="tx1"/>
                  </w14:solidFill>
                </w14:textFill>
              </w:rPr>
              <w:t>或致电政采云平台：4008817190。</w:t>
            </w:r>
          </w:p>
        </w:tc>
      </w:tr>
      <w:tr w14:paraId="296D9D3F">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4F0A8E9">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w:t>
            </w:r>
          </w:p>
        </w:tc>
        <w:tc>
          <w:tcPr>
            <w:tcW w:w="2108" w:type="dxa"/>
            <w:tcBorders>
              <w:top w:val="single" w:color="auto" w:sz="4" w:space="0"/>
              <w:left w:val="single" w:color="auto" w:sz="4" w:space="0"/>
              <w:bottom w:val="single" w:color="auto" w:sz="4" w:space="0"/>
              <w:right w:val="single" w:color="auto" w:sz="4" w:space="0"/>
            </w:tcBorders>
            <w:vAlign w:val="center"/>
          </w:tcPr>
          <w:p w14:paraId="1B97D49E">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招标文件询问联系方式</w:t>
            </w:r>
          </w:p>
        </w:tc>
        <w:tc>
          <w:tcPr>
            <w:tcW w:w="6454" w:type="dxa"/>
            <w:tcBorders>
              <w:top w:val="single" w:color="auto" w:sz="4" w:space="0"/>
              <w:left w:val="single" w:color="auto" w:sz="4" w:space="0"/>
              <w:bottom w:val="single" w:color="auto" w:sz="4" w:space="0"/>
              <w:right w:val="single" w:color="auto" w:sz="4" w:space="0"/>
            </w:tcBorders>
            <w:vAlign w:val="center"/>
          </w:tcPr>
          <w:p w14:paraId="5026C5B1">
            <w:pPr>
              <w:keepNext w:val="0"/>
              <w:keepLines w:val="0"/>
              <w:pageBreakBefore w:val="0"/>
              <w:kinsoku/>
              <w:overflowPunct/>
              <w:topLinePunct w:val="0"/>
              <w:autoSpaceDE w:val="0"/>
              <w:autoSpaceDN w:val="0"/>
              <w:bidi w:val="0"/>
              <w:adjustRightInd/>
              <w:snapToGrid w:val="0"/>
              <w:spacing w:before="0" w:beforeAutospacing="0" w:after="0" w:afterAutospacing="0" w:line="480" w:lineRule="exact"/>
              <w:ind w:left="0" w:leftChars="0"/>
              <w:textAlignment w:val="bottom"/>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询问联系人：</w:t>
            </w:r>
            <w:r>
              <w:rPr>
                <w:rFonts w:hint="eastAsia" w:ascii="宋体" w:hAnsi="宋体" w:cs="宋体"/>
                <w:bCs/>
                <w:color w:val="000000" w:themeColor="text1"/>
                <w:szCs w:val="21"/>
                <w:highlight w:val="none"/>
                <w:lang w:eastAsia="zh-CN"/>
                <w14:textFill>
                  <w14:solidFill>
                    <w14:schemeClr w14:val="tx1"/>
                  </w14:solidFill>
                </w14:textFill>
              </w:rPr>
              <w:t>蒋兴杰、肖枝莲、李欣睿、王国玺、吴翊、祝欣、陈沿锦、丁传觐、汪怡含、邓楚卿、李腾芳、王彦飞、刘晓云、张振荣、杨益鑫、戚玮薇</w:t>
            </w:r>
          </w:p>
          <w:p w14:paraId="40D49DFF">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bCs/>
                <w:color w:val="000000" w:themeColor="text1"/>
                <w:szCs w:val="21"/>
                <w:highlight w:val="none"/>
                <w:lang w:eastAsia="zh-CN"/>
                <w14:textFill>
                  <w14:solidFill>
                    <w14:schemeClr w14:val="tx1"/>
                  </w14:solidFill>
                </w14:textFill>
              </w:rPr>
              <w:t>0871-65511240、0871-65511241</w:t>
            </w:r>
          </w:p>
        </w:tc>
      </w:tr>
      <w:tr w14:paraId="07D0F52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152DA80">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w:t>
            </w:r>
          </w:p>
        </w:tc>
        <w:tc>
          <w:tcPr>
            <w:tcW w:w="2108" w:type="dxa"/>
            <w:tcBorders>
              <w:top w:val="single" w:color="auto" w:sz="4" w:space="0"/>
              <w:left w:val="single" w:color="auto" w:sz="4" w:space="0"/>
              <w:bottom w:val="single" w:color="auto" w:sz="4" w:space="0"/>
              <w:right w:val="single" w:color="auto" w:sz="4" w:space="0"/>
            </w:tcBorders>
            <w:vAlign w:val="center"/>
          </w:tcPr>
          <w:p w14:paraId="26F4C3EB">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招标文件澄清、修改时间</w:t>
            </w:r>
          </w:p>
        </w:tc>
        <w:tc>
          <w:tcPr>
            <w:tcW w:w="6454" w:type="dxa"/>
            <w:tcBorders>
              <w:top w:val="single" w:color="auto" w:sz="4" w:space="0"/>
              <w:left w:val="single" w:color="auto" w:sz="4" w:space="0"/>
              <w:bottom w:val="single" w:color="auto" w:sz="4" w:space="0"/>
              <w:right w:val="single" w:color="auto" w:sz="4" w:space="0"/>
            </w:tcBorders>
            <w:vAlign w:val="center"/>
          </w:tcPr>
          <w:p w14:paraId="2873EE47">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r>
              <w:rPr>
                <w:rFonts w:hint="eastAsia" w:ascii="宋体" w:hAnsi="宋体" w:eastAsia="宋体" w:cs="宋体"/>
                <w:color w:val="000000" w:themeColor="text1"/>
                <w:szCs w:val="28"/>
                <w:highlight w:val="none"/>
                <w14:textFill>
                  <w14:solidFill>
                    <w14:schemeClr w14:val="tx1"/>
                  </w14:solidFill>
                </w14:textFill>
              </w:rPr>
              <w:t>。</w:t>
            </w:r>
          </w:p>
        </w:tc>
      </w:tr>
      <w:tr w14:paraId="382B95F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8C4B08B">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w:t>
            </w:r>
          </w:p>
        </w:tc>
        <w:tc>
          <w:tcPr>
            <w:tcW w:w="2108" w:type="dxa"/>
            <w:tcBorders>
              <w:top w:val="single" w:color="auto" w:sz="4" w:space="0"/>
              <w:left w:val="single" w:color="auto" w:sz="4" w:space="0"/>
              <w:bottom w:val="single" w:color="auto" w:sz="4" w:space="0"/>
              <w:right w:val="single" w:color="auto" w:sz="4" w:space="0"/>
            </w:tcBorders>
            <w:vAlign w:val="center"/>
          </w:tcPr>
          <w:p w14:paraId="5B4A27BB">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语言文字</w:t>
            </w:r>
          </w:p>
        </w:tc>
        <w:tc>
          <w:tcPr>
            <w:tcW w:w="6454" w:type="dxa"/>
            <w:tcBorders>
              <w:top w:val="single" w:color="auto" w:sz="4" w:space="0"/>
              <w:left w:val="single" w:color="auto" w:sz="4" w:space="0"/>
              <w:bottom w:val="single" w:color="auto" w:sz="4" w:space="0"/>
              <w:right w:val="single" w:color="auto" w:sz="4" w:space="0"/>
            </w:tcBorders>
            <w:vAlign w:val="center"/>
          </w:tcPr>
          <w:p w14:paraId="1F7C809B">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投标人的投标文件以及投标人与采购代理机构就有关投标的所有来往函电统一使用中文（特别规定除外）。</w:t>
            </w:r>
          </w:p>
        </w:tc>
      </w:tr>
      <w:tr w14:paraId="7CB588D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3F542E5">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w:t>
            </w:r>
          </w:p>
        </w:tc>
        <w:tc>
          <w:tcPr>
            <w:tcW w:w="2108" w:type="dxa"/>
            <w:tcBorders>
              <w:top w:val="single" w:color="auto" w:sz="4" w:space="0"/>
              <w:left w:val="single" w:color="auto" w:sz="4" w:space="0"/>
              <w:bottom w:val="single" w:color="auto" w:sz="4" w:space="0"/>
              <w:right w:val="single" w:color="auto" w:sz="4" w:space="0"/>
            </w:tcBorders>
            <w:vAlign w:val="center"/>
          </w:tcPr>
          <w:p w14:paraId="56EFE0C3">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计量单位</w:t>
            </w:r>
          </w:p>
        </w:tc>
        <w:tc>
          <w:tcPr>
            <w:tcW w:w="6454" w:type="dxa"/>
            <w:tcBorders>
              <w:top w:val="single" w:color="auto" w:sz="4" w:space="0"/>
              <w:left w:val="single" w:color="auto" w:sz="4" w:space="0"/>
              <w:bottom w:val="single" w:color="auto" w:sz="4" w:space="0"/>
              <w:right w:val="single" w:color="auto" w:sz="4" w:space="0"/>
            </w:tcBorders>
            <w:vAlign w:val="center"/>
          </w:tcPr>
          <w:p w14:paraId="223BC485">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投标文件中使用的计量单位除招标文件中有特殊规定外，一律使用中国法定计量单位。</w:t>
            </w:r>
          </w:p>
        </w:tc>
      </w:tr>
      <w:tr w14:paraId="3350CEB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3BB4B6F">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w:t>
            </w:r>
          </w:p>
        </w:tc>
        <w:tc>
          <w:tcPr>
            <w:tcW w:w="2108" w:type="dxa"/>
            <w:tcBorders>
              <w:top w:val="single" w:color="auto" w:sz="4" w:space="0"/>
              <w:left w:val="single" w:color="auto" w:sz="4" w:space="0"/>
              <w:bottom w:val="single" w:color="auto" w:sz="4" w:space="0"/>
              <w:right w:val="single" w:color="auto" w:sz="4" w:space="0"/>
            </w:tcBorders>
            <w:vAlign w:val="center"/>
          </w:tcPr>
          <w:p w14:paraId="4646B890">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构成投标文件的其他资料</w:t>
            </w:r>
          </w:p>
        </w:tc>
        <w:tc>
          <w:tcPr>
            <w:tcW w:w="6454" w:type="dxa"/>
            <w:tcBorders>
              <w:top w:val="single" w:color="auto" w:sz="4" w:space="0"/>
              <w:left w:val="single" w:color="auto" w:sz="4" w:space="0"/>
              <w:bottom w:val="single" w:color="auto" w:sz="4" w:space="0"/>
              <w:right w:val="single" w:color="auto" w:sz="4" w:space="0"/>
            </w:tcBorders>
            <w:vAlign w:val="center"/>
          </w:tcPr>
          <w:p w14:paraId="2ABAB6C0">
            <w:pPr>
              <w:keepNext w:val="0"/>
              <w:keepLines w:val="0"/>
              <w:pageBreakBefore w:val="0"/>
              <w:kinsoku/>
              <w:overflowPunct/>
              <w:topLinePunct w:val="0"/>
              <w:autoSpaceDE w:val="0"/>
              <w:autoSpaceDN w:val="0"/>
              <w:bidi w:val="0"/>
              <w:adjustRightInd/>
              <w:snapToGrid w:val="0"/>
              <w:spacing w:before="0" w:beforeAutospacing="0" w:after="0" w:afterAutospacing="0" w:line="480" w:lineRule="exact"/>
              <w:ind w:left="0" w:leftChars="0"/>
              <w:textAlignment w:val="bottom"/>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投标保证金交纳凭证或保函或投标（竞标）保证保险保单（扫描件加盖投标人电子公章）</w:t>
            </w:r>
            <w:r>
              <w:rPr>
                <w:rFonts w:hint="eastAsia" w:ascii="宋体" w:hAnsi="宋体" w:eastAsia="宋体" w:cs="宋体"/>
                <w:color w:val="000000" w:themeColor="text1"/>
                <w:highlight w:val="none"/>
                <w14:textFill>
                  <w14:solidFill>
                    <w14:schemeClr w14:val="tx1"/>
                  </w14:solidFill>
                </w14:textFill>
              </w:rPr>
              <w:t>；</w:t>
            </w:r>
          </w:p>
          <w:p w14:paraId="190293C1">
            <w:pPr>
              <w:keepNext w:val="0"/>
              <w:keepLines w:val="0"/>
              <w:pageBreakBefore w:val="0"/>
              <w:kinsoku/>
              <w:overflowPunct/>
              <w:topLinePunct w:val="0"/>
              <w:autoSpaceDE w:val="0"/>
              <w:autoSpaceDN w:val="0"/>
              <w:bidi w:val="0"/>
              <w:adjustRightInd/>
              <w:snapToGrid w:val="0"/>
              <w:spacing w:before="0" w:beforeAutospacing="0" w:after="0" w:afterAutospacing="0" w:line="480" w:lineRule="exact"/>
              <w:ind w:left="0" w:leftChars="0"/>
              <w:textAlignment w:val="bottom"/>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第五章《采购需求》中要求提供的其他资料；</w:t>
            </w:r>
          </w:p>
          <w:p w14:paraId="1996BAED">
            <w:pPr>
              <w:keepNext w:val="0"/>
              <w:keepLines w:val="0"/>
              <w:pageBreakBefore w:val="0"/>
              <w:kinsoku/>
              <w:overflowPunct/>
              <w:topLinePunct w:val="0"/>
              <w:autoSpaceDE w:val="0"/>
              <w:autoSpaceDN w:val="0"/>
              <w:bidi w:val="0"/>
              <w:adjustRightInd/>
              <w:snapToGrid w:val="0"/>
              <w:spacing w:before="0" w:beforeAutospacing="0" w:after="0" w:afterAutospacing="0" w:line="480" w:lineRule="exact"/>
              <w:ind w:left="0" w:leftChars="0"/>
              <w:textAlignment w:val="bottom"/>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招标文件中所涉及到的相关资料及证明文件或投标人认为必须提供的其他相关资料。</w:t>
            </w:r>
          </w:p>
        </w:tc>
      </w:tr>
      <w:tr w14:paraId="69664A2C">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3CCC259">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w:t>
            </w:r>
          </w:p>
        </w:tc>
        <w:tc>
          <w:tcPr>
            <w:tcW w:w="2108" w:type="dxa"/>
            <w:tcBorders>
              <w:top w:val="single" w:color="auto" w:sz="4" w:space="0"/>
              <w:left w:val="single" w:color="auto" w:sz="4" w:space="0"/>
              <w:bottom w:val="single" w:color="auto" w:sz="4" w:space="0"/>
              <w:right w:val="single" w:color="auto" w:sz="4" w:space="0"/>
            </w:tcBorders>
            <w:vAlign w:val="center"/>
          </w:tcPr>
          <w:p w14:paraId="3B9141C8">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投标有效期</w:t>
            </w:r>
          </w:p>
        </w:tc>
        <w:tc>
          <w:tcPr>
            <w:tcW w:w="6454" w:type="dxa"/>
            <w:tcBorders>
              <w:top w:val="single" w:color="auto" w:sz="4" w:space="0"/>
              <w:left w:val="single" w:color="auto" w:sz="4" w:space="0"/>
              <w:bottom w:val="single" w:color="auto" w:sz="4" w:space="0"/>
              <w:right w:val="single" w:color="auto" w:sz="4" w:space="0"/>
            </w:tcBorders>
            <w:vAlign w:val="center"/>
          </w:tcPr>
          <w:p w14:paraId="232E7566">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从提交投标文件截止之日起</w:t>
            </w:r>
            <w:r>
              <w:rPr>
                <w:rFonts w:hint="eastAsia" w:ascii="宋体" w:hAnsi="宋体" w:eastAsia="宋体" w:cs="宋体"/>
                <w:color w:val="000000" w:themeColor="text1"/>
                <w:highlight w:val="none"/>
                <w:u w:val="single"/>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t>日历天。</w:t>
            </w:r>
          </w:p>
        </w:tc>
      </w:tr>
      <w:tr w14:paraId="46357E96">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AF2746">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18.1</w:t>
            </w:r>
          </w:p>
        </w:tc>
        <w:tc>
          <w:tcPr>
            <w:tcW w:w="2108" w:type="dxa"/>
            <w:tcBorders>
              <w:top w:val="single" w:color="auto" w:sz="4" w:space="0"/>
              <w:left w:val="single" w:color="auto" w:sz="4" w:space="0"/>
              <w:bottom w:val="single" w:color="auto" w:sz="4" w:space="0"/>
              <w:right w:val="single" w:color="auto" w:sz="4" w:space="0"/>
            </w:tcBorders>
            <w:vAlign w:val="center"/>
          </w:tcPr>
          <w:p w14:paraId="025FF40B">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0E1B400F">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投标保证金的形式：网银、电汇或支票、汇票、本票或者金融机构、担保机构出具的保函等非现金形式</w:t>
            </w:r>
            <w:r>
              <w:rPr>
                <w:rFonts w:hint="eastAsia" w:ascii="宋体" w:hAnsi="宋体" w:eastAsia="宋体" w:cs="宋体"/>
                <w:color w:val="000000" w:themeColor="text1"/>
                <w:szCs w:val="21"/>
                <w:highlight w:val="none"/>
                <w14:textFill>
                  <w14:solidFill>
                    <w14:schemeClr w14:val="tx1"/>
                  </w14:solidFill>
                </w14:textFill>
              </w:rPr>
              <w:t>。</w:t>
            </w:r>
          </w:p>
          <w:p w14:paraId="6723DFA0">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投标保证金的金额：¥</w:t>
            </w:r>
            <w:r>
              <w:rPr>
                <w:rFonts w:hint="eastAsia" w:ascii="宋体" w:hAnsi="宋体" w:eastAsia="宋体" w:cs="宋体"/>
                <w:b/>
                <w:bCs/>
                <w:color w:val="000000" w:themeColor="text1"/>
                <w:highlight w:val="none"/>
                <w:lang w:val="en-US" w:eastAsia="zh-CN"/>
                <w14:textFill>
                  <w14:solidFill>
                    <w14:schemeClr w14:val="tx1"/>
                  </w14:solidFill>
                </w14:textFill>
              </w:rPr>
              <w:t>50000.00</w:t>
            </w:r>
            <w:r>
              <w:rPr>
                <w:rFonts w:hint="eastAsia" w:ascii="宋体" w:hAnsi="宋体" w:eastAsia="宋体" w:cs="宋体"/>
                <w:b/>
                <w:bCs/>
                <w:color w:val="000000" w:themeColor="text1"/>
                <w:highlight w:val="none"/>
                <w14:textFill>
                  <w14:solidFill>
                    <w14:schemeClr w14:val="tx1"/>
                  </w14:solidFill>
                </w14:textFill>
              </w:rPr>
              <w:t>元（大写</w:t>
            </w:r>
            <w:r>
              <w:rPr>
                <w:rFonts w:hint="eastAsia" w:ascii="宋体" w:hAnsi="宋体" w:eastAsia="宋体" w:cs="宋体"/>
                <w:b/>
                <w:bCs/>
                <w:color w:val="000000" w:themeColor="text1"/>
                <w:highlight w:val="none"/>
                <w:lang w:val="en-US" w:eastAsia="zh-CN"/>
                <w14:textFill>
                  <w14:solidFill>
                    <w14:schemeClr w14:val="tx1"/>
                  </w14:solidFill>
                </w14:textFill>
              </w:rPr>
              <w:t>:伍万元整</w:t>
            </w:r>
            <w:r>
              <w:rPr>
                <w:rFonts w:hint="eastAsia" w:ascii="宋体" w:hAnsi="宋体" w:eastAsia="宋体" w:cs="宋体"/>
                <w:b/>
                <w:bCs/>
                <w:color w:val="000000" w:themeColor="text1"/>
                <w:highlight w:val="none"/>
                <w14:textFill>
                  <w14:solidFill>
                    <w14:schemeClr w14:val="tx1"/>
                  </w14:solidFill>
                </w14:textFill>
              </w:rPr>
              <w:t>）</w:t>
            </w:r>
          </w:p>
          <w:p w14:paraId="0F3BFFBD">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保证金按规定数额从投标人基本账户直接转至</w:t>
            </w:r>
          </w:p>
          <w:p w14:paraId="3165A487">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账户名称：云南冠睿咨询有限公司</w:t>
            </w:r>
          </w:p>
          <w:p w14:paraId="629B0C4F">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开户行账号：</w:t>
            </w:r>
            <w:r>
              <w:rPr>
                <w:rFonts w:hint="eastAsia" w:ascii="宋体" w:hAnsi="宋体" w:eastAsia="宋体" w:cs="宋体"/>
                <w:b/>
                <w:bCs/>
                <w:color w:val="000000" w:themeColor="text1"/>
                <w:highlight w:val="none"/>
                <w:lang w:val="en-US" w:eastAsia="zh-CN"/>
                <w14:textFill>
                  <w14:solidFill>
                    <w14:schemeClr w14:val="tx1"/>
                  </w14:solidFill>
                </w14:textFill>
              </w:rPr>
              <w:t>636611192</w:t>
            </w:r>
          </w:p>
          <w:p w14:paraId="1295115C">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开户行名称：</w:t>
            </w:r>
            <w:r>
              <w:rPr>
                <w:rFonts w:hint="eastAsia" w:ascii="宋体" w:hAnsi="宋体" w:eastAsia="宋体" w:cs="宋体"/>
                <w:b/>
                <w:bCs/>
                <w:color w:val="000000" w:themeColor="text1"/>
                <w:highlight w:val="none"/>
                <w:lang w:val="en-US" w:eastAsia="zh-CN"/>
                <w14:textFill>
                  <w14:solidFill>
                    <w14:schemeClr w14:val="tx1"/>
                  </w14:solidFill>
                </w14:textFill>
              </w:rPr>
              <w:t>中国民生银行股份有限公司昆明拓东路支行</w:t>
            </w:r>
          </w:p>
          <w:p w14:paraId="2E3D3A91">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保证金交纳说明：</w:t>
            </w:r>
          </w:p>
          <w:p w14:paraId="042F0B2A">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1.网银或电汇方式提交的，底单即为交纳凭证（需注明项目简称或编号</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若分标段还需注明标段</w:t>
            </w:r>
            <w:r>
              <w:rPr>
                <w:rFonts w:hint="eastAsia" w:ascii="宋体" w:hAnsi="宋体" w:eastAsia="宋体" w:cs="宋体"/>
                <w:color w:val="000000" w:themeColor="text1"/>
                <w:highlight w:val="none"/>
                <w14:textFill>
                  <w14:solidFill>
                    <w14:schemeClr w14:val="tx1"/>
                  </w14:solidFill>
                </w14:textFill>
              </w:rPr>
              <w:t>）；其他方式的保证金在转账后投标人附有效付款凭证。</w:t>
            </w:r>
          </w:p>
          <w:p w14:paraId="71B8EB92">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2.以保函方式提交的</w:t>
            </w:r>
            <w:r>
              <w:rPr>
                <w:rFonts w:hint="eastAsia" w:ascii="宋体" w:hAnsi="宋体" w:eastAsia="宋体" w:cs="宋体"/>
                <w:color w:val="000000" w:themeColor="text1"/>
                <w:highlight w:val="none"/>
                <w:lang w:val="en-US" w:eastAsia="zh-CN"/>
                <w14:textFill>
                  <w14:solidFill>
                    <w14:schemeClr w14:val="tx1"/>
                  </w14:solidFill>
                </w14:textFill>
              </w:rPr>
              <w:t>在投标文件中提供有效证明材料</w:t>
            </w:r>
            <w:r>
              <w:rPr>
                <w:rFonts w:hint="eastAsia" w:ascii="宋体" w:hAnsi="宋体" w:eastAsia="宋体" w:cs="宋体"/>
                <w:color w:val="000000" w:themeColor="text1"/>
                <w:highlight w:val="none"/>
                <w14:textFill>
                  <w14:solidFill>
                    <w14:schemeClr w14:val="tx1"/>
                  </w14:solidFill>
                </w14:textFill>
              </w:rPr>
              <w:t>。</w:t>
            </w:r>
          </w:p>
          <w:p w14:paraId="3F6CAA82">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3.投标人未按照招标文件要求提交投标保证金的，其投标无效。</w:t>
            </w:r>
          </w:p>
        </w:tc>
      </w:tr>
      <w:tr w14:paraId="3339B335">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4811B0">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lang w:val="en-US" w:eastAsia="zh-CN"/>
                <w14:textFill>
                  <w14:solidFill>
                    <w14:schemeClr w14:val="tx1"/>
                  </w14:solidFill>
                </w14:textFill>
              </w:rPr>
              <w:t>10</w:t>
            </w:r>
          </w:p>
        </w:tc>
        <w:tc>
          <w:tcPr>
            <w:tcW w:w="2108" w:type="dxa"/>
            <w:tcBorders>
              <w:top w:val="single" w:color="auto" w:sz="4" w:space="0"/>
              <w:left w:val="single" w:color="auto" w:sz="4" w:space="0"/>
              <w:bottom w:val="single" w:color="auto" w:sz="4" w:space="0"/>
              <w:right w:val="single" w:color="auto" w:sz="4" w:space="0"/>
            </w:tcBorders>
            <w:vAlign w:val="center"/>
          </w:tcPr>
          <w:p w14:paraId="7CA180F3">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报价货币</w:t>
            </w:r>
          </w:p>
        </w:tc>
        <w:tc>
          <w:tcPr>
            <w:tcW w:w="6454" w:type="dxa"/>
            <w:tcBorders>
              <w:top w:val="single" w:color="auto" w:sz="4" w:space="0"/>
              <w:left w:val="single" w:color="auto" w:sz="4" w:space="0"/>
              <w:bottom w:val="single" w:color="auto" w:sz="4" w:space="0"/>
              <w:right w:val="single" w:color="auto" w:sz="4" w:space="0"/>
            </w:tcBorders>
            <w:vAlign w:val="center"/>
          </w:tcPr>
          <w:p w14:paraId="0C64240D">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人民币</w:t>
            </w:r>
          </w:p>
        </w:tc>
      </w:tr>
      <w:tr w14:paraId="229F74D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668FE25">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w:t>
            </w:r>
          </w:p>
        </w:tc>
        <w:tc>
          <w:tcPr>
            <w:tcW w:w="2108" w:type="dxa"/>
            <w:tcBorders>
              <w:top w:val="single" w:color="auto" w:sz="4" w:space="0"/>
              <w:left w:val="single" w:color="auto" w:sz="4" w:space="0"/>
              <w:bottom w:val="single" w:color="auto" w:sz="4" w:space="0"/>
              <w:right w:val="single" w:color="auto" w:sz="4" w:space="0"/>
            </w:tcBorders>
            <w:vAlign w:val="center"/>
          </w:tcPr>
          <w:p w14:paraId="779722D0">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投标文件的密封</w:t>
            </w:r>
          </w:p>
        </w:tc>
        <w:tc>
          <w:tcPr>
            <w:tcW w:w="6454" w:type="dxa"/>
            <w:tcBorders>
              <w:top w:val="single" w:color="auto" w:sz="4" w:space="0"/>
              <w:left w:val="single" w:color="auto" w:sz="4" w:space="0"/>
              <w:bottom w:val="single" w:color="auto" w:sz="4" w:space="0"/>
              <w:right w:val="single" w:color="auto" w:sz="4" w:space="0"/>
            </w:tcBorders>
            <w:vAlign w:val="center"/>
          </w:tcPr>
          <w:p w14:paraId="64DC518B">
            <w:pPr>
              <w:keepNext w:val="0"/>
              <w:keepLines w:val="0"/>
              <w:pageBreakBefore w:val="0"/>
              <w:kinsoku/>
              <w:wordWrap w:val="0"/>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投标人应按照“政采云”平台的要求编制、加密投标文件后在投标文件提交截止时间前上传至“政采云”平台，投标文件提交截止时间前未完成投标文件上传的，视为撤回投标文件。</w:t>
            </w:r>
          </w:p>
        </w:tc>
      </w:tr>
      <w:tr w14:paraId="68F36D57">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E4848DB">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w:t>
            </w:r>
          </w:p>
        </w:tc>
        <w:tc>
          <w:tcPr>
            <w:tcW w:w="2108" w:type="dxa"/>
            <w:tcBorders>
              <w:top w:val="single" w:color="auto" w:sz="4" w:space="0"/>
              <w:left w:val="single" w:color="auto" w:sz="4" w:space="0"/>
              <w:bottom w:val="single" w:color="auto" w:sz="4" w:space="0"/>
              <w:right w:val="single" w:color="auto" w:sz="4" w:space="0"/>
            </w:tcBorders>
            <w:vAlign w:val="center"/>
          </w:tcPr>
          <w:p w14:paraId="0674D9FD">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投标文件提交截止时间、提交投标文件的地点</w:t>
            </w:r>
          </w:p>
        </w:tc>
        <w:tc>
          <w:tcPr>
            <w:tcW w:w="6454" w:type="dxa"/>
            <w:tcBorders>
              <w:top w:val="single" w:color="auto" w:sz="4" w:space="0"/>
              <w:left w:val="single" w:color="auto" w:sz="4" w:space="0"/>
              <w:bottom w:val="single" w:color="auto" w:sz="4" w:space="0"/>
              <w:right w:val="single" w:color="auto" w:sz="4" w:space="0"/>
            </w:tcBorders>
            <w:vAlign w:val="center"/>
          </w:tcPr>
          <w:p w14:paraId="71053E72">
            <w:pPr>
              <w:pStyle w:val="23"/>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投标文件提交截止时间：详见第一章《招标公告》；</w:t>
            </w:r>
          </w:p>
          <w:p w14:paraId="0BDB560C">
            <w:pPr>
              <w:pStyle w:val="23"/>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提交投标文件的地点：详见第一章《招标公告》。</w:t>
            </w:r>
          </w:p>
        </w:tc>
      </w:tr>
      <w:tr w14:paraId="57DC8E16">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6A6BC2E">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24.1</w:t>
            </w:r>
          </w:p>
        </w:tc>
        <w:tc>
          <w:tcPr>
            <w:tcW w:w="2108" w:type="dxa"/>
            <w:tcBorders>
              <w:top w:val="single" w:color="auto" w:sz="4" w:space="0"/>
              <w:left w:val="single" w:color="auto" w:sz="4" w:space="0"/>
              <w:bottom w:val="single" w:color="auto" w:sz="4" w:space="0"/>
              <w:right w:val="single" w:color="auto" w:sz="4" w:space="0"/>
            </w:tcBorders>
            <w:vAlign w:val="center"/>
          </w:tcPr>
          <w:p w14:paraId="41ED68AA">
            <w:pPr>
              <w:pStyle w:val="23"/>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开标时间和地点</w:t>
            </w:r>
          </w:p>
        </w:tc>
        <w:tc>
          <w:tcPr>
            <w:tcW w:w="6454" w:type="dxa"/>
            <w:tcBorders>
              <w:top w:val="single" w:color="auto" w:sz="4" w:space="0"/>
              <w:left w:val="single" w:color="auto" w:sz="4" w:space="0"/>
              <w:bottom w:val="single" w:color="auto" w:sz="4" w:space="0"/>
              <w:right w:val="single" w:color="auto" w:sz="4" w:space="0"/>
            </w:tcBorders>
            <w:vAlign w:val="center"/>
          </w:tcPr>
          <w:p w14:paraId="4EEEC0E1">
            <w:pPr>
              <w:pStyle w:val="23"/>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开标时间：同投标文件提交截止时间；</w:t>
            </w:r>
          </w:p>
          <w:p w14:paraId="1070D467">
            <w:pPr>
              <w:pStyle w:val="23"/>
              <w:keepNext w:val="0"/>
              <w:keepLines w:val="0"/>
              <w:pageBreakBefore w:val="0"/>
              <w:kinsoku/>
              <w:overflowPunct/>
              <w:topLinePunct w:val="0"/>
              <w:bidi w:val="0"/>
              <w:adjustRightInd/>
              <w:spacing w:before="0" w:beforeAutospacing="0" w:after="0" w:afterAutospacing="0" w:line="480" w:lineRule="exact"/>
              <w:ind w:left="1050" w:leftChars="0" w:hanging="1050" w:hangingChars="5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开标地点：同提交投标文件的地点、开标地点。</w:t>
            </w:r>
          </w:p>
        </w:tc>
      </w:tr>
      <w:tr w14:paraId="67555380">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9174738">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.2</w:t>
            </w:r>
          </w:p>
        </w:tc>
        <w:tc>
          <w:tcPr>
            <w:tcW w:w="2108" w:type="dxa"/>
            <w:tcBorders>
              <w:top w:val="single" w:color="auto" w:sz="4" w:space="0"/>
              <w:left w:val="single" w:color="auto" w:sz="4" w:space="0"/>
              <w:bottom w:val="single" w:color="auto" w:sz="4" w:space="0"/>
              <w:right w:val="single" w:color="auto" w:sz="4" w:space="0"/>
            </w:tcBorders>
            <w:vAlign w:val="center"/>
          </w:tcPr>
          <w:p w14:paraId="73335AED">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6454" w:type="dxa"/>
            <w:tcBorders>
              <w:top w:val="single" w:color="auto" w:sz="4" w:space="0"/>
              <w:left w:val="single" w:color="auto" w:sz="4" w:space="0"/>
              <w:bottom w:val="single" w:color="auto" w:sz="4" w:space="0"/>
              <w:right w:val="single" w:color="auto" w:sz="4" w:space="0"/>
            </w:tcBorders>
            <w:vAlign w:val="center"/>
          </w:tcPr>
          <w:p w14:paraId="36A4B265">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评标委员会由采购人代表和评审专家组成，成员人数为5人以上单数，其中评审专家不得少于成员总数的三分之二。评标委员会应当推选组长，但采购人代表不得担任组长。</w:t>
            </w:r>
          </w:p>
        </w:tc>
      </w:tr>
      <w:tr w14:paraId="3712CD91">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60126D3">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26</w:t>
            </w:r>
            <w:r>
              <w:rPr>
                <w:rFonts w:hint="eastAsia" w:ascii="宋体" w:hAnsi="宋体" w:eastAsia="宋体" w:cs="宋体"/>
                <w:color w:val="000000" w:themeColor="text1"/>
                <w:highlight w:val="none"/>
                <w14:textFill>
                  <w14:solidFill>
                    <w14:schemeClr w14:val="tx1"/>
                  </w14:solidFill>
                </w14:textFill>
              </w:rPr>
              <w:t>.5</w:t>
            </w:r>
          </w:p>
        </w:tc>
        <w:tc>
          <w:tcPr>
            <w:tcW w:w="2108" w:type="dxa"/>
            <w:tcBorders>
              <w:top w:val="single" w:color="auto" w:sz="4" w:space="0"/>
              <w:left w:val="single" w:color="auto" w:sz="4" w:space="0"/>
              <w:bottom w:val="single" w:color="auto" w:sz="4" w:space="0"/>
              <w:right w:val="single" w:color="auto" w:sz="4" w:space="0"/>
            </w:tcBorders>
            <w:vAlign w:val="center"/>
          </w:tcPr>
          <w:p w14:paraId="06315A02">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评标方法</w:t>
            </w:r>
          </w:p>
        </w:tc>
        <w:tc>
          <w:tcPr>
            <w:tcW w:w="6454" w:type="dxa"/>
            <w:tcBorders>
              <w:top w:val="single" w:color="auto" w:sz="4" w:space="0"/>
              <w:left w:val="single" w:color="auto" w:sz="4" w:space="0"/>
              <w:bottom w:val="single" w:color="auto" w:sz="4" w:space="0"/>
              <w:right w:val="single" w:color="auto" w:sz="4" w:space="0"/>
            </w:tcBorders>
            <w:vAlign w:val="center"/>
          </w:tcPr>
          <w:p w14:paraId="5C075993">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综合评分法</w:t>
            </w:r>
          </w:p>
        </w:tc>
      </w:tr>
      <w:tr w14:paraId="568C5943">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84A357D">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.1</w:t>
            </w:r>
          </w:p>
        </w:tc>
        <w:tc>
          <w:tcPr>
            <w:tcW w:w="2108" w:type="dxa"/>
            <w:tcBorders>
              <w:top w:val="single" w:color="auto" w:sz="4" w:space="0"/>
              <w:left w:val="single" w:color="auto" w:sz="4" w:space="0"/>
              <w:bottom w:val="single" w:color="auto" w:sz="4" w:space="0"/>
              <w:right w:val="single" w:color="auto" w:sz="4" w:space="0"/>
            </w:tcBorders>
            <w:vAlign w:val="center"/>
          </w:tcPr>
          <w:p w14:paraId="49C80D14">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履约保证金</w:t>
            </w:r>
          </w:p>
        </w:tc>
        <w:tc>
          <w:tcPr>
            <w:tcW w:w="6454" w:type="dxa"/>
            <w:tcBorders>
              <w:top w:val="single" w:color="auto" w:sz="4" w:space="0"/>
              <w:left w:val="single" w:color="auto" w:sz="4" w:space="0"/>
              <w:bottom w:val="single" w:color="auto" w:sz="4" w:space="0"/>
              <w:right w:val="single" w:color="auto" w:sz="4" w:space="0"/>
            </w:tcBorders>
            <w:vAlign w:val="center"/>
          </w:tcPr>
          <w:p w14:paraId="2F1F8213">
            <w:pPr>
              <w:keepNext w:val="0"/>
              <w:keepLines w:val="0"/>
              <w:pageBreakBefore w:val="0"/>
              <w:kinsoku/>
              <w:overflowPunct/>
              <w:topLinePunct w:val="0"/>
              <w:bidi w:val="0"/>
              <w:adjustRightInd/>
              <w:spacing w:before="0" w:beforeAutospacing="0" w:after="0" w:afterAutospacing="0" w:line="480" w:lineRule="exact"/>
              <w:ind w:left="0" w:leftChars="0"/>
              <w:jc w:val="left"/>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履约保证金金额为合同总金额的10%，形式为网银、电汇或支票、汇票、本票或者金融机构、担保机构出具的保函等非现金形式。</w:t>
            </w:r>
          </w:p>
        </w:tc>
      </w:tr>
      <w:tr w14:paraId="0648E72D">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BCCEDBA">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.1</w:t>
            </w:r>
          </w:p>
        </w:tc>
        <w:tc>
          <w:tcPr>
            <w:tcW w:w="2108" w:type="dxa"/>
            <w:tcBorders>
              <w:top w:val="single" w:color="auto" w:sz="4" w:space="0"/>
              <w:left w:val="single" w:color="auto" w:sz="4" w:space="0"/>
              <w:bottom w:val="single" w:color="auto" w:sz="4" w:space="0"/>
              <w:right w:val="single" w:color="auto" w:sz="4" w:space="0"/>
            </w:tcBorders>
            <w:vAlign w:val="center"/>
          </w:tcPr>
          <w:p w14:paraId="300D6C4B">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采购代理服务费</w:t>
            </w:r>
          </w:p>
        </w:tc>
        <w:tc>
          <w:tcPr>
            <w:tcW w:w="6454" w:type="dxa"/>
            <w:tcBorders>
              <w:top w:val="single" w:color="auto" w:sz="4" w:space="0"/>
              <w:left w:val="single" w:color="auto" w:sz="4" w:space="0"/>
              <w:bottom w:val="single" w:color="auto" w:sz="4" w:space="0"/>
              <w:right w:val="single" w:color="auto" w:sz="4" w:space="0"/>
            </w:tcBorders>
          </w:tcPr>
          <w:p w14:paraId="12FAAB14">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本项目采购代理服务费参照国家计委[2002]1980号文件规定的货物收费标准下浮30%向中标人收取（计算基准价为中标金额）。</w:t>
            </w:r>
          </w:p>
        </w:tc>
      </w:tr>
      <w:tr w14:paraId="6BD5BCFC">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8ECB96C">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36.1.8</w:t>
            </w:r>
          </w:p>
        </w:tc>
        <w:tc>
          <w:tcPr>
            <w:tcW w:w="8562" w:type="dxa"/>
            <w:gridSpan w:val="2"/>
            <w:tcBorders>
              <w:top w:val="single" w:color="auto" w:sz="4" w:space="0"/>
              <w:left w:val="single" w:color="auto" w:sz="4" w:space="0"/>
              <w:bottom w:val="single" w:color="auto" w:sz="4" w:space="0"/>
              <w:right w:val="single" w:color="auto" w:sz="4" w:space="0"/>
            </w:tcBorders>
            <w:vAlign w:val="center"/>
          </w:tcPr>
          <w:p w14:paraId="6D7FAB59">
            <w:pPr>
              <w:keepNext w:val="0"/>
              <w:keepLines w:val="0"/>
              <w:pageBreakBefore w:val="0"/>
              <w:tabs>
                <w:tab w:val="left" w:pos="1946"/>
              </w:tabs>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根据“《关于印发《政府采购促进中小企业发展管理办法》的通知》（财库〔2020〕46号）的规定，针对小微企业报价给予10%的扣除，用扣除后的价格参与评审。符合条件的投标人应根据《招标文件》第四章  投标文件格式中规定的内容进行填写。划型标准</w:t>
            </w:r>
            <w:r>
              <w:rPr>
                <w:rFonts w:hint="eastAsia" w:ascii="宋体" w:hAnsi="宋体" w:cs="宋体"/>
                <w:color w:val="000000" w:themeColor="text1"/>
                <w:kern w:val="0"/>
                <w:highlight w:val="none"/>
                <w:lang w:val="en-US" w:eastAsia="zh-CN"/>
                <w14:textFill>
                  <w14:solidFill>
                    <w14:schemeClr w14:val="tx1"/>
                  </w14:solidFill>
                </w14:textFill>
              </w:rPr>
              <w:t>如下：</w:t>
            </w:r>
          </w:p>
          <w:tbl>
            <w:tblPr>
              <w:tblStyle w:val="40"/>
              <w:tblW w:w="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8"/>
              <w:gridCol w:w="1701"/>
              <w:gridCol w:w="1701"/>
            </w:tblGrid>
            <w:tr w14:paraId="786D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948" w:type="dxa"/>
                  <w:shd w:val="clear" w:color="auto" w:fill="D7D7D7" w:themeFill="background1" w:themeFillShade="D8"/>
                  <w:tcMar>
                    <w:top w:w="15" w:type="dxa"/>
                    <w:left w:w="15" w:type="dxa"/>
                    <w:right w:w="15" w:type="dxa"/>
                  </w:tcMar>
                  <w:vAlign w:val="center"/>
                </w:tcPr>
                <w:p w14:paraId="51F8F056">
                  <w:pPr>
                    <w:pageBreakBefore w:val="0"/>
                    <w:widowControl/>
                    <w:kinsoku/>
                    <w:overflowPunct/>
                    <w:topLinePunct w:val="0"/>
                    <w:bidi w:val="0"/>
                    <w:adjustRightInd/>
                    <w:spacing w:line="480" w:lineRule="exact"/>
                    <w:ind w:left="0" w:leftChars="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标的</w:t>
                  </w:r>
                  <w:r>
                    <w:rPr>
                      <w:rFonts w:hint="eastAsia" w:ascii="宋体" w:hAnsi="宋体" w:eastAsia="宋体" w:cs="宋体"/>
                      <w:b/>
                      <w:color w:val="000000" w:themeColor="text1"/>
                      <w:szCs w:val="21"/>
                      <w:highlight w:val="none"/>
                      <w14:textFill>
                        <w14:solidFill>
                          <w14:schemeClr w14:val="tx1"/>
                        </w14:solidFill>
                      </w14:textFill>
                    </w:rPr>
                    <w:t>名称</w:t>
                  </w:r>
                </w:p>
              </w:tc>
              <w:tc>
                <w:tcPr>
                  <w:tcW w:w="1701" w:type="dxa"/>
                  <w:shd w:val="clear" w:color="auto" w:fill="D7D7D7" w:themeFill="background1" w:themeFillShade="D8"/>
                  <w:tcMar>
                    <w:top w:w="15" w:type="dxa"/>
                    <w:left w:w="15" w:type="dxa"/>
                    <w:right w:w="15" w:type="dxa"/>
                  </w:tcMar>
                  <w:vAlign w:val="center"/>
                </w:tcPr>
                <w:p w14:paraId="3CEA9EFF">
                  <w:pPr>
                    <w:pageBreakBefore w:val="0"/>
                    <w:widowControl/>
                    <w:kinsoku/>
                    <w:overflowPunct/>
                    <w:topLinePunct w:val="0"/>
                    <w:bidi w:val="0"/>
                    <w:adjustRightInd/>
                    <w:spacing w:line="480" w:lineRule="exact"/>
                    <w:ind w:left="0" w:leftChars="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所属行业</w:t>
                  </w:r>
                </w:p>
              </w:tc>
              <w:tc>
                <w:tcPr>
                  <w:tcW w:w="1701" w:type="dxa"/>
                  <w:shd w:val="clear" w:color="auto" w:fill="D7D7D7" w:themeFill="background1" w:themeFillShade="D8"/>
                  <w:tcMar>
                    <w:top w:w="15" w:type="dxa"/>
                    <w:left w:w="15" w:type="dxa"/>
                    <w:right w:w="15" w:type="dxa"/>
                  </w:tcMar>
                  <w:vAlign w:val="center"/>
                </w:tcPr>
                <w:p w14:paraId="6F4BB4B2">
                  <w:pPr>
                    <w:pageBreakBefore w:val="0"/>
                    <w:widowControl/>
                    <w:kinsoku/>
                    <w:overflowPunct/>
                    <w:topLinePunct w:val="0"/>
                    <w:bidi w:val="0"/>
                    <w:adjustRightInd/>
                    <w:spacing w:line="480" w:lineRule="exact"/>
                    <w:ind w:left="0" w:leftChars="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划型标准</w:t>
                  </w:r>
                </w:p>
              </w:tc>
            </w:tr>
            <w:tr w14:paraId="3892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2948" w:type="dxa"/>
                  <w:tcMar>
                    <w:top w:w="15" w:type="dxa"/>
                    <w:left w:w="15" w:type="dxa"/>
                    <w:right w:w="15" w:type="dxa"/>
                  </w:tcMar>
                  <w:vAlign w:val="center"/>
                </w:tcPr>
                <w:p w14:paraId="65852906">
                  <w:pPr>
                    <w:pageBreakBefore w:val="0"/>
                    <w:widowControl/>
                    <w:kinsoku/>
                    <w:overflowPunct/>
                    <w:topLinePunct w:val="0"/>
                    <w:bidi w:val="0"/>
                    <w:adjustRightInd/>
                    <w:spacing w:line="480" w:lineRule="exact"/>
                    <w:ind w:left="0" w:leftChars="0"/>
                    <w:jc w:val="center"/>
                    <w:textAlignment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彩色多普勒超声诊断仪</w:t>
                  </w:r>
                </w:p>
              </w:tc>
              <w:tc>
                <w:tcPr>
                  <w:tcW w:w="1701" w:type="dxa"/>
                  <w:tcMar>
                    <w:top w:w="15" w:type="dxa"/>
                    <w:left w:w="15" w:type="dxa"/>
                    <w:right w:w="15" w:type="dxa"/>
                  </w:tcMar>
                  <w:vAlign w:val="center"/>
                </w:tcPr>
                <w:p w14:paraId="49B6084E">
                  <w:pPr>
                    <w:pageBreakBefore w:val="0"/>
                    <w:widowControl/>
                    <w:kinsoku/>
                    <w:overflowPunct/>
                    <w:topLinePunct w:val="0"/>
                    <w:bidi w:val="0"/>
                    <w:adjustRightInd/>
                    <w:spacing w:line="480" w:lineRule="exact"/>
                    <w:ind w:left="0" w:leftChars="0"/>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制造业</w:t>
                  </w:r>
                </w:p>
              </w:tc>
              <w:tc>
                <w:tcPr>
                  <w:tcW w:w="1701" w:type="dxa"/>
                  <w:tcMar>
                    <w:top w:w="15" w:type="dxa"/>
                    <w:left w:w="15" w:type="dxa"/>
                    <w:right w:w="15" w:type="dxa"/>
                  </w:tcMar>
                  <w:vAlign w:val="center"/>
                </w:tcPr>
                <w:p w14:paraId="7EED8BD0">
                  <w:pPr>
                    <w:pageBreakBefore w:val="0"/>
                    <w:widowControl/>
                    <w:kinsoku/>
                    <w:overflowPunct/>
                    <w:topLinePunct w:val="0"/>
                    <w:bidi w:val="0"/>
                    <w:adjustRightInd/>
                    <w:spacing w:line="480" w:lineRule="exact"/>
                    <w:ind w:left="0" w:leftChars="0"/>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bidi="ar"/>
                      <w14:textFill>
                        <w14:solidFill>
                          <w14:schemeClr w14:val="tx1"/>
                        </w14:solidFill>
                      </w14:textFill>
                    </w:rPr>
                    <w:t>工业</w:t>
                  </w:r>
                </w:p>
              </w:tc>
            </w:tr>
          </w:tbl>
          <w:p w14:paraId="46D6BC9B">
            <w:pPr>
              <w:keepNext w:val="0"/>
              <w:keepLines w:val="0"/>
              <w:pageBreakBefore w:val="0"/>
              <w:tabs>
                <w:tab w:val="left" w:pos="1946"/>
              </w:tabs>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kern w:val="0"/>
                <w:highlight w:val="none"/>
                <w:lang w:eastAsia="zh-CN"/>
                <w14:textFill>
                  <w14:solidFill>
                    <w14:schemeClr w14:val="tx1"/>
                  </w14:solidFill>
                </w14:textFill>
              </w:rPr>
            </w:pPr>
          </w:p>
        </w:tc>
      </w:tr>
      <w:tr w14:paraId="240864E8">
        <w:tblPrEx>
          <w:tblCellMar>
            <w:top w:w="0" w:type="dxa"/>
            <w:left w:w="108" w:type="dxa"/>
            <w:bottom w:w="0" w:type="dxa"/>
            <w:right w:w="108" w:type="dxa"/>
          </w:tblCellMar>
        </w:tblPrEx>
        <w:trPr>
          <w:trHeight w:val="567"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F252E7C">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cs="宋体"/>
                <w:color w:val="000000" w:themeColor="text1"/>
                <w:highlight w:val="none"/>
                <w:lang w:val="en-US" w:eastAsia="zh-CN"/>
                <w14:textFill>
                  <w14:solidFill>
                    <w14:schemeClr w14:val="tx1"/>
                  </w14:solidFill>
                </w14:textFill>
              </w:rPr>
              <w:t>6</w:t>
            </w:r>
          </w:p>
        </w:tc>
        <w:tc>
          <w:tcPr>
            <w:tcW w:w="2108" w:type="dxa"/>
            <w:tcBorders>
              <w:top w:val="single" w:color="auto" w:sz="4" w:space="0"/>
              <w:left w:val="single" w:color="auto" w:sz="4" w:space="0"/>
              <w:bottom w:val="single" w:color="auto" w:sz="4" w:space="0"/>
              <w:right w:val="single" w:color="auto" w:sz="4" w:space="0"/>
            </w:tcBorders>
            <w:vAlign w:val="center"/>
          </w:tcPr>
          <w:p w14:paraId="3C258426">
            <w:pPr>
              <w:keepNext w:val="0"/>
              <w:keepLines w:val="0"/>
              <w:pageBreakBefore w:val="0"/>
              <w:kinsoku/>
              <w:overflowPunct/>
              <w:topLinePunct w:val="0"/>
              <w:bidi w:val="0"/>
              <w:adjustRightInd/>
              <w:spacing w:before="0" w:beforeAutospacing="0" w:after="0" w:afterAutospacing="0" w:line="480" w:lineRule="exact"/>
              <w:ind w:left="0" w:left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其它注意事项</w:t>
            </w:r>
          </w:p>
        </w:tc>
        <w:tc>
          <w:tcPr>
            <w:tcW w:w="6454" w:type="dxa"/>
            <w:tcBorders>
              <w:top w:val="single" w:color="auto" w:sz="4" w:space="0"/>
              <w:left w:val="single" w:color="auto" w:sz="4" w:space="0"/>
              <w:bottom w:val="single" w:color="auto" w:sz="4" w:space="0"/>
              <w:right w:val="single" w:color="auto" w:sz="4" w:space="0"/>
            </w:tcBorders>
            <w:vAlign w:val="top"/>
          </w:tcPr>
          <w:p w14:paraId="00A4E869">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以下情况视为投标人同意撤回已上传系统的投标文件或其投标文件无效：</w:t>
            </w:r>
          </w:p>
          <w:p w14:paraId="0BD6A22C">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（1）政采云电子平台显示投标人未上传投标文件；</w:t>
            </w:r>
          </w:p>
          <w:p w14:paraId="0B0E3957">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（2）因投标人原因上传的投标文件在开启文件时无法解密。</w:t>
            </w:r>
          </w:p>
          <w:p w14:paraId="381E9A9B">
            <w:pPr>
              <w:keepNext w:val="0"/>
              <w:keepLines w:val="0"/>
              <w:pageBreakBefore w:val="0"/>
              <w:kinsoku/>
              <w:overflowPunct/>
              <w:topLinePunct w:val="0"/>
              <w:bidi w:val="0"/>
              <w:adjustRightInd/>
              <w:spacing w:before="0" w:beforeAutospacing="0" w:after="0" w:afterAutospacing="0" w:line="480" w:lineRule="exact"/>
              <w:ind w:left="0" w:left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）因投标人自身原因导致未在规定时间内完成投标文件解密。</w:t>
            </w:r>
          </w:p>
        </w:tc>
      </w:tr>
    </w:tbl>
    <w:p w14:paraId="3BF0E618">
      <w:pPr>
        <w:pStyle w:val="15"/>
        <w:pageBreakBefore w:val="0"/>
        <w:kinsoku/>
        <w:overflowPunct/>
        <w:topLinePunct w:val="0"/>
        <w:bidi w:val="0"/>
        <w:adjustRightInd/>
        <w:spacing w:line="480" w:lineRule="exact"/>
        <w:ind w:left="0" w:leftChars="0"/>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br w:type="page"/>
      </w:r>
    </w:p>
    <w:p w14:paraId="12E9E458">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27" w:name="_Toc24977"/>
      <w:bookmarkStart w:id="28" w:name="_Toc847"/>
      <w:r>
        <w:rPr>
          <w:rFonts w:hint="eastAsia" w:ascii="宋体" w:hAnsi="宋体" w:eastAsia="宋体" w:cs="宋体"/>
          <w:color w:val="000000" w:themeColor="text1"/>
          <w:spacing w:val="0"/>
          <w:kern w:val="0"/>
          <w:sz w:val="28"/>
          <w:szCs w:val="28"/>
          <w:highlight w:val="none"/>
          <w14:textFill>
            <w14:solidFill>
              <w14:schemeClr w14:val="tx1"/>
            </w14:solidFill>
          </w14:textFill>
        </w:rPr>
        <w:t>一、总则</w:t>
      </w:r>
      <w:bookmarkEnd w:id="27"/>
      <w:bookmarkEnd w:id="28"/>
    </w:p>
    <w:p w14:paraId="431F0520">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1.项目概况</w:t>
      </w:r>
    </w:p>
    <w:p w14:paraId="157A9EA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根据《中华人民共和国政府采购法》、《中华人民共和国政府采购法实施条例》、《政府采购货物和服务招标投标管理办法》（财政部令第87号）等有关法律、法规的规定，本项目已具备招标条件，现对本项目进行公开招标。</w:t>
      </w:r>
    </w:p>
    <w:p w14:paraId="2C6BA1B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 本项目采购人：详见《投标人须知前附表》。</w:t>
      </w:r>
    </w:p>
    <w:p w14:paraId="6EDD379A">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 本项目采购代理机构：详见《投标人须知前附表》。</w:t>
      </w:r>
    </w:p>
    <w:p w14:paraId="11A4BAD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 本项目名称及项目编号：详见《投标人须知前附表》。</w:t>
      </w:r>
    </w:p>
    <w:p w14:paraId="61130EC1">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2.预算金额</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及最高限价</w:t>
      </w:r>
    </w:p>
    <w:p w14:paraId="413FE17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2.1预算金额</w:t>
      </w:r>
      <w:r>
        <w:rPr>
          <w:rFonts w:hint="eastAsia" w:ascii="宋体" w:hAnsi="宋体" w:eastAsia="宋体" w:cs="宋体"/>
          <w:color w:val="000000" w:themeColor="text1"/>
          <w:szCs w:val="21"/>
          <w:highlight w:val="none"/>
          <w:lang w:val="en-US" w:eastAsia="zh-CN"/>
          <w14:textFill>
            <w14:solidFill>
              <w14:schemeClr w14:val="tx1"/>
            </w14:solidFill>
          </w14:textFill>
        </w:rPr>
        <w:t>及最高限价</w:t>
      </w:r>
      <w:r>
        <w:rPr>
          <w:rFonts w:hint="eastAsia" w:ascii="宋体" w:hAnsi="宋体" w:eastAsia="宋体" w:cs="宋体"/>
          <w:color w:val="000000" w:themeColor="text1"/>
          <w:szCs w:val="21"/>
          <w:highlight w:val="none"/>
          <w14:textFill>
            <w14:solidFill>
              <w14:schemeClr w14:val="tx1"/>
            </w14:solidFill>
          </w14:textFill>
        </w:rPr>
        <w:t>：详见《投标人须知前附表》。</w:t>
      </w:r>
    </w:p>
    <w:p w14:paraId="36B8D583">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3.采购需求及</w:t>
      </w:r>
      <w:r>
        <w:rPr>
          <w:rFonts w:hint="eastAsia" w:ascii="宋体" w:hAnsi="宋体" w:cs="宋体"/>
          <w:b/>
          <w:bCs/>
          <w:color w:val="000000" w:themeColor="text1"/>
          <w:sz w:val="24"/>
          <w:szCs w:val="24"/>
          <w:highlight w:val="none"/>
          <w:lang w:eastAsia="zh-CN"/>
          <w14:textFill>
            <w14:solidFill>
              <w14:schemeClr w14:val="tx1"/>
            </w14:solidFill>
          </w14:textFill>
        </w:rPr>
        <w:t>交货期</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交货地点</w:t>
      </w:r>
    </w:p>
    <w:p w14:paraId="584FC07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3.1本项目采购需求：详见《投标人须知前附表》。</w:t>
      </w:r>
    </w:p>
    <w:p w14:paraId="147B26CE">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3.2本项目</w:t>
      </w:r>
      <w:r>
        <w:rPr>
          <w:rFonts w:hint="eastAsia" w:ascii="宋体" w:hAnsi="宋体" w:cs="宋体"/>
          <w:color w:val="000000" w:themeColor="text1"/>
          <w:szCs w:val="21"/>
          <w:highlight w:val="none"/>
          <w:lang w:eastAsia="zh-CN"/>
          <w14:textFill>
            <w14:solidFill>
              <w14:schemeClr w14:val="tx1"/>
            </w14:solidFill>
          </w14:textFill>
        </w:rPr>
        <w:t>交货期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交货地点</w:t>
      </w:r>
      <w:r>
        <w:rPr>
          <w:rFonts w:hint="eastAsia" w:ascii="宋体" w:hAnsi="宋体" w:eastAsia="宋体" w:cs="宋体"/>
          <w:color w:val="000000" w:themeColor="text1"/>
          <w:szCs w:val="21"/>
          <w:highlight w:val="none"/>
          <w14:textFill>
            <w14:solidFill>
              <w14:schemeClr w14:val="tx1"/>
            </w14:solidFill>
          </w14:textFill>
        </w:rPr>
        <w:t>：详见《投标人须知前附表》。</w:t>
      </w:r>
    </w:p>
    <w:p w14:paraId="2CFDE56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3.3是否接受联合体参加：详见《投标人须知前附表》。</w:t>
      </w:r>
    </w:p>
    <w:p w14:paraId="6AD6871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3.3.1投标人须知前附表规定接受联合体投标的，联合体各方还应遵守以下规定：</w:t>
      </w:r>
    </w:p>
    <w:p w14:paraId="3EAE0C1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3.3.1.1两个以上的自然人、法人或者其他组织可以组成一个联合体，以一个投标人的身份共同参加投标。</w:t>
      </w:r>
    </w:p>
    <w:p w14:paraId="784CC81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2288A3B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AB8BDF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3.3.1.4以联合体形式参加投标的，联合体各方不得再单独参加或者与其他投标人另外组成联合体参加同一合同项下投标。</w:t>
      </w:r>
    </w:p>
    <w:p w14:paraId="1A7B4717">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4.投标人资格要求</w:t>
      </w:r>
    </w:p>
    <w:p w14:paraId="09C08C4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4.1投标人资格要求：详见《投标人须知前附表》</w:t>
      </w:r>
    </w:p>
    <w:p w14:paraId="38EB3F3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4.2采购人根据采购项目的特殊要求规定的特定条件：详见《投标人须知前附表》</w:t>
      </w:r>
    </w:p>
    <w:p w14:paraId="6D4F9D7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4.3如投标人为满足投标人资格要求提供虚假材料，一经查实，视为未实质性响应招标文件，投标人投标文件将按无效处理。</w:t>
      </w:r>
    </w:p>
    <w:p w14:paraId="244EFD37">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p>
    <w:p w14:paraId="6722239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投标人不得直接或间接地与为采购项目提供整体设计、规范编制和项目管理、监理、检测等服务。</w:t>
      </w:r>
    </w:p>
    <w:p w14:paraId="79B28F1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符合上述条件的投标人应承担投标及履约中应承担的全部责任与义务。</w:t>
      </w:r>
    </w:p>
    <w:p w14:paraId="615EB0FA">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5.费用承担</w:t>
      </w:r>
    </w:p>
    <w:p w14:paraId="7385BDBA">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5.1不论投标结果如何，投标人均应自行承担所有与准备和参加投标活动有关的全部费用；</w:t>
      </w:r>
    </w:p>
    <w:p w14:paraId="703CB1F0">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6.现场考察</w:t>
      </w:r>
    </w:p>
    <w:p w14:paraId="7D28AFA1">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6.1投标人须知前附表规定组织现场考察的，采购人按《投标人须知前附表》规定的时间、集中地点组织潜在投标人进行现场考察。</w:t>
      </w:r>
    </w:p>
    <w:p w14:paraId="66F70EA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6.2现场考察所发生的费用由潜在投标人自理。</w:t>
      </w:r>
    </w:p>
    <w:p w14:paraId="46FB0423">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6.3除采购人的原因外，潜在投标人自行负责在现场考察中所发生的人员伤亡和财产损失。</w:t>
      </w:r>
    </w:p>
    <w:p w14:paraId="031947E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6.4采购人在现场考察中介绍的项目场地和相关的周边环境情况，供潜在投标人在编制投标文件时参考，采购人不对潜在投标人据此做出的判断和决策负责。</w:t>
      </w:r>
    </w:p>
    <w:p w14:paraId="6F968C88">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7.开标前答疑会</w:t>
      </w:r>
    </w:p>
    <w:p w14:paraId="458EFEE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7.1投标人须知前附表规定召开开标前答疑会的，采购人按《投标人须知前附表》规定的时间和地点召开开标前答疑会，书面澄清潜在投标人提出的问题。</w:t>
      </w:r>
    </w:p>
    <w:p w14:paraId="48BD7474">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8.质疑</w:t>
      </w:r>
    </w:p>
    <w:p w14:paraId="1C3F0AD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投标人认为招标文件、采购过程、中标结果使自己的权益受到损害的，可以在知道或者应知其权益受到损害之日起7个工作日内，以书面形式向采购人、采购代理机构提出质疑。投标人应在法定质疑期内一次性提出针对同一采购程序环节的质疑，否则采购人、采购代理机构有权拒收。</w:t>
      </w:r>
    </w:p>
    <w:p w14:paraId="28615E2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8.2招标文件第二章《投标人须知》8.1条中“知道或者应知其权益受到损害之日”是指：</w:t>
      </w:r>
    </w:p>
    <w:p w14:paraId="547E1391">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（一）对可以质疑的采购文件提出质疑的，为收到采购文件之日或者采购文件公告期限届满之日；</w:t>
      </w:r>
    </w:p>
    <w:p w14:paraId="063D44DC">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（二）对采购过程提出质疑的，为各采购程序环节结束之日；</w:t>
      </w:r>
    </w:p>
    <w:p w14:paraId="307FD80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（三）对中标或者成交结果提出质疑的，为中标或者成交结果公告期限届满之日。</w:t>
      </w:r>
    </w:p>
    <w:p w14:paraId="20F965E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供应商签署的授权委托书。</w:t>
      </w:r>
    </w:p>
    <w:p w14:paraId="19DE8DF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提出质疑的供应商应当是参与所质疑项目采购活动的供应商。</w:t>
      </w:r>
    </w:p>
    <w:p w14:paraId="52900E2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8.4投标人提出质疑应符合《政府采购质疑和投诉办法》（中华人民共和国财政部令第94号）和财政部《政府采购供应商质疑函范本》的规定。投标人提出质疑应当提交质疑函和必要的证明材料。质疑函应当包括下列内容：</w:t>
      </w:r>
    </w:p>
    <w:p w14:paraId="3C08B5A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（一）供应商的姓名或者名称、地址、邮编、联系人及联系电话；</w:t>
      </w:r>
    </w:p>
    <w:p w14:paraId="260D2997">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（二）质疑项目的名称、编号；</w:t>
      </w:r>
    </w:p>
    <w:p w14:paraId="12EB25A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（三）具体、明确的质疑事项和与质疑事项相关的请求；</w:t>
      </w:r>
    </w:p>
    <w:p w14:paraId="7A2DB19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（四）事实依据；</w:t>
      </w:r>
    </w:p>
    <w:p w14:paraId="1DFF3D6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（五）必要的法律依据；</w:t>
      </w:r>
    </w:p>
    <w:p w14:paraId="127B707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（六）提出质疑的日期。</w:t>
      </w:r>
    </w:p>
    <w:p w14:paraId="319FB11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投标人为自然人的，应当由本人签字；投标人为法人或者其他组织的，应当由法定代表人、主要负责人，或者其授权代表签字或者盖章，并加盖公章。</w:t>
      </w:r>
    </w:p>
    <w:p w14:paraId="638EE07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8.5投标人不得捏造事实、提供虚假材料或者以非法手段取得证明材料。</w:t>
      </w:r>
    </w:p>
    <w:p w14:paraId="69A9669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8.6质疑函应当使用中文。相关当事人提供外文书证或者外国语视听资料的，应当附有中文译本，由翻译机构盖章或者翻译人员签名。</w:t>
      </w:r>
    </w:p>
    <w:p w14:paraId="6306645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8.7采购人、采购代理机构将在收到投标人质疑函后七个工作日内作出答复，但质疑答复的内容不涉及商业秘密。</w:t>
      </w:r>
    </w:p>
    <w:p w14:paraId="36F28808">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8.8投标人对评审过程、中标结果提出质疑的，采购人、采购代理机构可以组织原评标委员会协助答复质疑。质疑答复导致中标结果改变的，采购人或者采购代理机构会将有关情况书面报告本级财政部门。</w:t>
      </w:r>
    </w:p>
    <w:p w14:paraId="68D7702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8.9接收质疑函的方式：书面方式；接收质疑函的地点：云南冠睿咨询有限公司；联系人、联系电话：</w:t>
      </w:r>
      <w:r>
        <w:rPr>
          <w:rFonts w:hint="eastAsia" w:ascii="宋体" w:hAnsi="宋体" w:cs="宋体"/>
          <w:color w:val="000000" w:themeColor="text1"/>
          <w:szCs w:val="21"/>
          <w:highlight w:val="none"/>
          <w:lang w:eastAsia="zh-CN"/>
          <w14:textFill>
            <w14:solidFill>
              <w14:schemeClr w14:val="tx1"/>
            </w14:solidFill>
          </w14:textFill>
        </w:rPr>
        <w:t>蒋兴杰、肖枝莲、李欣睿、王国玺、吴翊、祝欣、陈沿锦、丁传觐、汪怡含、邓楚卿、李腾芳、王彦飞、刘晓云、张振荣、杨益鑫、戚玮薇</w:t>
      </w:r>
      <w:r>
        <w:rPr>
          <w:rFonts w:hint="eastAsia" w:ascii="宋体" w:hAnsi="宋体" w:eastAsia="宋体" w:cs="宋体"/>
          <w:color w:val="000000" w:themeColor="text1"/>
          <w:szCs w:val="21"/>
          <w:highlight w:val="none"/>
          <w:lang w:eastAsia="zh-CN"/>
          <w14:textFill>
            <w14:solidFill>
              <w14:schemeClr w14:val="tx1"/>
            </w14:solidFill>
          </w14:textFill>
        </w:rPr>
        <w:t>0871-65511240、0871-65511241</w:t>
      </w: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lang w:eastAsia="zh-CN"/>
          <w14:textFill>
            <w14:solidFill>
              <w14:schemeClr w14:val="tx1"/>
            </w14:solidFill>
          </w14:textFill>
        </w:rPr>
        <w:t>云南省昆明市西山区万达广场南塔32层3201号</w:t>
      </w:r>
      <w:r>
        <w:rPr>
          <w:rFonts w:hint="eastAsia" w:ascii="宋体" w:hAnsi="宋体" w:eastAsia="宋体" w:cs="宋体"/>
          <w:color w:val="000000" w:themeColor="text1"/>
          <w:szCs w:val="21"/>
          <w:highlight w:val="none"/>
          <w14:textFill>
            <w14:solidFill>
              <w14:schemeClr w14:val="tx1"/>
            </w14:solidFill>
          </w14:textFill>
        </w:rPr>
        <w:t>。</w:t>
      </w:r>
    </w:p>
    <w:p w14:paraId="0953FD64">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9.投诉</w:t>
      </w:r>
    </w:p>
    <w:p w14:paraId="7B26322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9.1投诉必须首先经过质疑程序。质疑</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对采购人、采购代理机构的答复不满意，或者采购人、采购代理机构未在规定时间内作出答复的，可以在答复期满后十五个工作日内书面向财政部门提起投诉。</w:t>
      </w:r>
    </w:p>
    <w:p w14:paraId="22F84860">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29" w:name="_Toc27242"/>
      <w:bookmarkStart w:id="30" w:name="_Toc11528"/>
      <w:r>
        <w:rPr>
          <w:rFonts w:hint="eastAsia" w:ascii="宋体" w:hAnsi="宋体" w:eastAsia="宋体" w:cs="宋体"/>
          <w:color w:val="000000" w:themeColor="text1"/>
          <w:spacing w:val="0"/>
          <w:kern w:val="0"/>
          <w:sz w:val="28"/>
          <w:szCs w:val="28"/>
          <w:highlight w:val="none"/>
          <w14:textFill>
            <w14:solidFill>
              <w14:schemeClr w14:val="tx1"/>
            </w14:solidFill>
          </w14:textFill>
        </w:rPr>
        <w:t>二、招标文件</w:t>
      </w:r>
      <w:bookmarkEnd w:id="29"/>
      <w:bookmarkEnd w:id="30"/>
    </w:p>
    <w:p w14:paraId="512F6B13">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10.招标文件的组成</w:t>
      </w:r>
    </w:p>
    <w:p w14:paraId="2475A5BA">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10.1采购人要求提供的货物、工程或者服务、采购过程及合同条款在招标文件中均有说明，招标文件共七章，各章的内容如下：</w:t>
      </w:r>
    </w:p>
    <w:p w14:paraId="0A8273D7">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第一章  </w:t>
      </w:r>
      <w:r>
        <w:rPr>
          <w:rFonts w:hint="eastAsia" w:ascii="宋体" w:hAnsi="宋体" w:eastAsia="宋体" w:cs="宋体"/>
          <w:color w:val="000000" w:themeColor="text1"/>
          <w:szCs w:val="21"/>
          <w:highlight w:val="none"/>
          <w:lang w:eastAsia="zh-CN"/>
          <w14:textFill>
            <w14:solidFill>
              <w14:schemeClr w14:val="tx1"/>
            </w14:solidFill>
          </w14:textFill>
        </w:rPr>
        <w:t>招标公告</w:t>
      </w:r>
    </w:p>
    <w:p w14:paraId="7FA0999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第二章  投标人须知</w:t>
      </w:r>
    </w:p>
    <w:p w14:paraId="1234CE1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第三章  </w:t>
      </w:r>
      <w:r>
        <w:rPr>
          <w:rFonts w:hint="eastAsia" w:ascii="宋体" w:hAnsi="宋体" w:cs="宋体"/>
          <w:color w:val="000000" w:themeColor="text1"/>
          <w:szCs w:val="21"/>
          <w:highlight w:val="none"/>
          <w:lang w:val="en-US" w:eastAsia="zh-CN"/>
          <w14:textFill>
            <w14:solidFill>
              <w14:schemeClr w14:val="tx1"/>
            </w14:solidFill>
          </w14:textFill>
        </w:rPr>
        <w:t>政府采购</w:t>
      </w:r>
      <w:r>
        <w:rPr>
          <w:rFonts w:hint="eastAsia" w:ascii="宋体" w:hAnsi="宋体" w:eastAsia="宋体" w:cs="宋体"/>
          <w:color w:val="000000" w:themeColor="text1"/>
          <w:szCs w:val="21"/>
          <w:highlight w:val="none"/>
          <w:lang w:eastAsia="zh-CN"/>
          <w14:textFill>
            <w14:solidFill>
              <w14:schemeClr w14:val="tx1"/>
            </w14:solidFill>
          </w14:textFill>
        </w:rPr>
        <w:t>合同专用条款及合同书样式</w:t>
      </w:r>
    </w:p>
    <w:p w14:paraId="6B854FC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第四章  投标文件格式</w:t>
      </w:r>
    </w:p>
    <w:p w14:paraId="7C10AF5D">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第五章  采购需求</w:t>
      </w:r>
    </w:p>
    <w:p w14:paraId="27A1AD6A">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第六章  资格审查</w:t>
      </w:r>
    </w:p>
    <w:p w14:paraId="6B66CA1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第七章  评标方法（综合评分法）</w:t>
      </w:r>
    </w:p>
    <w:p w14:paraId="45BC727D">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 招标文件的询问、澄清、修改</w:t>
      </w:r>
    </w:p>
    <w:p w14:paraId="3C8DAF9B">
      <w:pPr>
        <w:keepNext w:val="0"/>
        <w:keepLines w:val="0"/>
        <w:pageBreakBefore w:val="0"/>
        <w:widowControl w:val="0"/>
        <w:kinsoku/>
        <w:wordWrap w:val="0"/>
        <w:overflowPunct/>
        <w:topLinePunct w:val="0"/>
        <w:autoSpaceDE/>
        <w:autoSpaceDN/>
        <w:bidi w:val="0"/>
        <w:adjustRightInd/>
        <w:snapToGrid/>
        <w:spacing w:line="480" w:lineRule="exact"/>
        <w:ind w:left="0" w:leftChars="0" w:firstLine="42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投标人应认真阅读招标文件，如有疑问的，投标人可以向采购人或采购代理机构提出询问，采购人或者采购代理机构在接到询问后的3个工作日内对投标人依法提出的询问作出答复，但答复的内容不涉及商业秘密</w:t>
      </w:r>
      <w:r>
        <w:rPr>
          <w:rFonts w:hint="eastAsia" w:ascii="宋体" w:hAnsi="宋体" w:eastAsia="宋体" w:cs="宋体"/>
          <w:color w:val="000000" w:themeColor="text1"/>
          <w:szCs w:val="21"/>
          <w:highlight w:val="none"/>
          <w:lang w:eastAsia="zh-CN"/>
          <w14:textFill>
            <w14:solidFill>
              <w14:schemeClr w14:val="tx1"/>
            </w14:solidFill>
          </w14:textFill>
        </w:rPr>
        <w:t>，如对电子采购流程不清楚可查阅政采云（https://e-learning.zcygov.cn/index）“秒懂政采云 项目采购”学习</w:t>
      </w:r>
      <w:r>
        <w:rPr>
          <w:rFonts w:hint="eastAsia" w:ascii="宋体" w:hAnsi="宋体" w:eastAsia="宋体" w:cs="宋体"/>
          <w:color w:val="000000" w:themeColor="text1"/>
          <w:szCs w:val="21"/>
          <w:highlight w:val="none"/>
          <w14:textFill>
            <w14:solidFill>
              <w14:schemeClr w14:val="tx1"/>
            </w14:solidFill>
          </w14:textFill>
        </w:rPr>
        <w:t>或致电政采云平台：4008817190</w:t>
      </w:r>
      <w:r>
        <w:rPr>
          <w:rFonts w:hint="eastAsia" w:ascii="宋体" w:hAnsi="宋体" w:eastAsia="宋体" w:cs="宋体"/>
          <w:color w:val="000000" w:themeColor="text1"/>
          <w:szCs w:val="21"/>
          <w:highlight w:val="none"/>
          <w:lang w:eastAsia="zh-CN"/>
          <w14:textFill>
            <w14:solidFill>
              <w14:schemeClr w14:val="tx1"/>
            </w14:solidFill>
          </w14:textFill>
        </w:rPr>
        <w:t>。</w:t>
      </w:r>
    </w:p>
    <w:p w14:paraId="06E393B5">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11.2招标文件询问联系方式：详见《投标人须知前附表》。</w:t>
      </w:r>
    </w:p>
    <w:p w14:paraId="1B63329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采购人、采购代理机构可以对已发出的招标文件进行必要的澄清或者修改，澄清或者修改的内容作为招标文件的组成部分。采购人、采购代理机构将同时发布澄清、修改文件进行说明以保证投标人能重新下载并用于编制投标文件。招标文件的澄清、修改文件内容均以网上电子文件为准，当招标文件、招标文件澄清、修改文件内容前后相互矛盾时，以最后发出的为准。澄清或者修改的内容可能影响投标文件编制的，采购人或者采购代理机构将在投标截止时间至少15日前，以网上电子文件形式通知所有接收招标文件的投标人，不足15日的，采购人或者采购代理机构将顺延提交投标文件的截止时间。投标人应在电子投标文件提交截止时间前及时登录政采云平台（https://www.zcygov.cn/）中查看有关该项目招标文件的澄清、修改内容。如因投标人自身原因导致未及时查看有关该项目招标文件的澄清、修改内容，由此造成的一切后果由投标人自行承担。</w:t>
      </w:r>
    </w:p>
    <w:p w14:paraId="2D443E1F">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31" w:name="_Toc13152"/>
      <w:bookmarkStart w:id="32" w:name="_Toc29408"/>
      <w:r>
        <w:rPr>
          <w:rFonts w:hint="eastAsia" w:ascii="宋体" w:hAnsi="宋体" w:eastAsia="宋体" w:cs="宋体"/>
          <w:color w:val="000000" w:themeColor="text1"/>
          <w:spacing w:val="0"/>
          <w:kern w:val="0"/>
          <w:sz w:val="28"/>
          <w:szCs w:val="28"/>
          <w:highlight w:val="none"/>
          <w14:textFill>
            <w14:solidFill>
              <w14:schemeClr w14:val="tx1"/>
            </w14:solidFill>
          </w14:textFill>
        </w:rPr>
        <w:t>三、投标文件</w:t>
      </w:r>
      <w:bookmarkEnd w:id="31"/>
      <w:bookmarkEnd w:id="32"/>
    </w:p>
    <w:p w14:paraId="1F37F02F">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12.投标文件编写注意事项</w:t>
      </w:r>
    </w:p>
    <w:p w14:paraId="25B382E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12.1投标人应仔细阅读招标文件，在完全了解采购内容、技术性能要求和商务条件后，根据招标文件要求编写投标文件。</w:t>
      </w:r>
    </w:p>
    <w:p w14:paraId="1BBFC66D">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12.2对招标文件提出的实质性要求和条件作出响应是指投标人的投标文件必须对招标文件中规定的实质性要求和条件作出满足或者优于原要求和条件的承诺，并提供相应的证明材料，否则按无效处理。</w:t>
      </w:r>
    </w:p>
    <w:p w14:paraId="654ED15A">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13.语言文字</w:t>
      </w:r>
    </w:p>
    <w:p w14:paraId="483D50D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13.1投标人的投标文件以及投标人与采购代理机构就有关投标的所有来往函电统一使用中文（特别规定除外）。</w:t>
      </w:r>
    </w:p>
    <w:p w14:paraId="3CEDFF96">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14.计量单位</w:t>
      </w:r>
    </w:p>
    <w:p w14:paraId="7A326E9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14.1投标文件中使用的计量单位除招标文件中有特殊规定外，一律使用中国法定计量单位。</w:t>
      </w:r>
    </w:p>
    <w:p w14:paraId="69CEB30E">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 投标文件的组成</w:t>
      </w:r>
    </w:p>
    <w:p w14:paraId="217B301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15.1投标人编写的投标文件应按第四章《投标文件格式》要求填写。有关文件的提交如未特别注明需提供原件的，可提供复印件或扫描件。</w:t>
      </w:r>
    </w:p>
    <w:p w14:paraId="303525CA">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投标人同时投多个标段（若分标段时）的，投标文件应按标段分别编制，单独成册。</w:t>
      </w:r>
    </w:p>
    <w:p w14:paraId="6598BEC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15.2构成投标文件的其他资料：详见《投标人须知前附表》。</w:t>
      </w:r>
    </w:p>
    <w:p w14:paraId="1850AD8B">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16.投标文件的格式要求</w:t>
      </w:r>
    </w:p>
    <w:p w14:paraId="29F23E3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16.1投标人应按第四章《投标文件格式》提供的格式完整地填写，未按招标文件规定格式填写的投标文件按无效投标处理。</w:t>
      </w:r>
    </w:p>
    <w:p w14:paraId="67939D14">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17.投标有效期</w:t>
      </w:r>
    </w:p>
    <w:p w14:paraId="35907CC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17.1在《投标人须知前附表》规定的有效期内，投标人不得要求撤销或修改其投标文件。若投标人未按照《投标人须知前附表》规定的投标文件有效期进行承诺，其投标文件按无效投标处理。</w:t>
      </w:r>
    </w:p>
    <w:p w14:paraId="2D0E3006">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因特殊情况需要延长投标文件有效期的，采购代理机构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6D13408B">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18.投标保证金</w:t>
      </w:r>
    </w:p>
    <w:p w14:paraId="000D8813">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投标人应按《投标人须知前附表》规定的金额、形式交纳投标保证金，投标保证金须在投标文件提交截止时间前从投标人基本账户交纳到《投标人须知前附表》规定的账户，投标人未按照招标文件要求提交投标保证金的，投标无效。</w:t>
      </w:r>
    </w:p>
    <w:p w14:paraId="3AB77EB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5D8A87CC">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（1）投标人在提交投标文件截止时间后撤销投标文件的；</w:t>
      </w:r>
    </w:p>
    <w:p w14:paraId="2D72B0FE">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（2）投标人在投标文件中提供虚假材料的；</w:t>
      </w:r>
    </w:p>
    <w:p w14:paraId="60025CB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（3）除因不可抗力或招标文件认可的情形以外，中标人不与采购人签订合同的；</w:t>
      </w:r>
    </w:p>
    <w:p w14:paraId="7D9B894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（4）投标人与采购人、其他投标人或者采购代理机构恶意串通的；</w:t>
      </w:r>
    </w:p>
    <w:p w14:paraId="25B280F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（5）招标文件规定的其他情形。</w:t>
      </w:r>
    </w:p>
    <w:p w14:paraId="10A89014">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19.投标文件的编制</w:t>
      </w:r>
    </w:p>
    <w:p w14:paraId="30303B8A">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19.1投标文件按招标文件要求由投标人的法定代表人电子签名或电子签章并加盖投标人的电子公章。</w:t>
      </w:r>
    </w:p>
    <w:p w14:paraId="43631D2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19.2投标文件应尽量避免涂改、行间插字或删除。如果出现上述情况，改动之处应加盖投标人的电子公章或投标人法定代表人电子签名或电子签章确认。</w:t>
      </w:r>
    </w:p>
    <w:p w14:paraId="135D414A">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19.3投标文件应由法定代表人在招标文件规定签字处逐一电子签名或电子签章，要求盖章处应盖单位电子公章，若以“投标专用章”或“合同专用章”代替的，须出具投标人单位公章对“投标专用章”或“合同专用章”的授权函。</w:t>
      </w:r>
    </w:p>
    <w:p w14:paraId="032B0E4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投标文件中提供的资料（包括扫描件）、关键内容必须清晰可辨，若出现字迹潦草、表达不清、未按要求填写而导致非唯一理解，视为未实质性响应招标采购文件，投标人投标文件将按无效处理。</w:t>
      </w:r>
    </w:p>
    <w:p w14:paraId="2CE79C03">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bCs/>
          <w:color w:val="000000" w:themeColor="text1"/>
          <w:sz w:val="24"/>
          <w:szCs w:val="24"/>
          <w:highlight w:val="none"/>
          <w14:textFill>
            <w14:solidFill>
              <w14:schemeClr w14:val="tx1"/>
            </w14:solidFill>
          </w14:textFill>
        </w:rPr>
        <w:t>投标报价和报价货币</w:t>
      </w:r>
    </w:p>
    <w:p w14:paraId="6F95C6A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.1投标人必须对所有内容作出完整唯一的投标报价，不得缺项、漏项，否则投标文件将按无效处理。</w:t>
      </w:r>
    </w:p>
    <w:p w14:paraId="23E74B2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2投标报价指投标人依据招标文件的要求及有关资料，执行国家或行业现行技术、经济标准、定额及规范，根据现行市场价格自行测算出满足采购要求的货物、工程或者服务费用及必要的保险费用和各项税金等所有费用的总和。</w:t>
      </w:r>
    </w:p>
    <w:p w14:paraId="18C17D8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.3投标报价应符合市场行情并能保证投标人完成履行合同所需的一切工作。合同一旦签订，此价格在合同实施期间将不因市场价格等的变化而调整。</w:t>
      </w:r>
    </w:p>
    <w:p w14:paraId="35D24643">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4无论价格是否填报完全，投标报价将被视为已经包含了所有价格以及与项目相关的所有货物、工程或者服务费用。由于投标人报价填报不完整、不清楚或存在其它任何失误所导致的任何不利后果均由投标人自行承担。</w:t>
      </w:r>
    </w:p>
    <w:p w14:paraId="4D46581B">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评审过程中出现下列情形之一的，评标委员会应当启动异常低价投标（响应）审查程序：</w:t>
      </w:r>
    </w:p>
    <w:p w14:paraId="572CD78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（1）投标（响应）报价低于全部通过符合性审查投标人投标（响应）报价平均值50%的，即投标（响应）报价&lt;全部通过符合性审查投标人投标（响应）报价平均值×50%；</w:t>
      </w:r>
    </w:p>
    <w:p w14:paraId="19CF92D4">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（2）投标（响应）报价低于通过符合性审查的次低报价投标人投标（响应）报价50%的，即投标（响应）报价&lt;通过符合性审查的次低报价投标人投标（响应）报价×50%；</w:t>
      </w:r>
    </w:p>
    <w:p w14:paraId="744A2DF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（3）投标（响应）报价低于采购项目最高限价45%的，即投标（响应）报价&lt;采购项目最高限价×45%；</w:t>
      </w:r>
    </w:p>
    <w:p w14:paraId="7360774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（4）评标委员会基于专业判断，认为投标人报价过低，有可能影响产品质量或者不能诚信履约的其他情形。</w:t>
      </w:r>
    </w:p>
    <w:p w14:paraId="4BB8B9FF">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71C3B6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处理。</w:t>
      </w:r>
    </w:p>
    <w:p w14:paraId="34B56CE7">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533EF5C">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异常低价投标（响应）审查的启动原因、审查意见和审查结果应当在评审报告中记录，并随投标人提供的相关书面说明及证明材料，以及评标委员会有关互联网浏览、查询历史一并归档。</w:t>
      </w:r>
    </w:p>
    <w:p w14:paraId="5E0CCF77">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6ADEACE">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投标人应保证其提供的货物、工程或者服务是全新的，投标人应保证其提供的货物、工程或者服务在采购人使用期间不受第三方可能提出的所有权、用益物权、担保物权、占有等一切涉及物权及知识产权、商标权、专利权、著作权等相关权利的起诉。</w:t>
      </w:r>
    </w:p>
    <w:p w14:paraId="78CEF43E">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报价货币为人民币。</w:t>
      </w:r>
    </w:p>
    <w:p w14:paraId="30F2DE5C">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33" w:name="_Toc1371"/>
      <w:bookmarkStart w:id="34" w:name="_Toc21070"/>
      <w:r>
        <w:rPr>
          <w:rFonts w:hint="eastAsia" w:ascii="宋体" w:hAnsi="宋体" w:eastAsia="宋体" w:cs="宋体"/>
          <w:color w:val="000000" w:themeColor="text1"/>
          <w:spacing w:val="0"/>
          <w:kern w:val="0"/>
          <w:sz w:val="28"/>
          <w:szCs w:val="28"/>
          <w:highlight w:val="none"/>
          <w14:textFill>
            <w14:solidFill>
              <w14:schemeClr w14:val="tx1"/>
            </w14:solidFill>
          </w14:textFill>
        </w:rPr>
        <w:t>四、投标</w:t>
      </w:r>
      <w:bookmarkEnd w:id="33"/>
      <w:bookmarkEnd w:id="34"/>
    </w:p>
    <w:p w14:paraId="7BF60759">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21.投标文件的密封和解密</w:t>
      </w:r>
    </w:p>
    <w:p w14:paraId="2969E1F1">
      <w:pPr>
        <w:pageBreakBefore w:val="0"/>
        <w:kinsoku/>
        <w:wordWrap w:val="0"/>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21.1投标文件的密封：投标人应按照</w:t>
      </w:r>
      <w:r>
        <w:rPr>
          <w:rFonts w:hint="eastAsia" w:ascii="宋体" w:hAnsi="宋体" w:eastAsia="宋体" w:cs="宋体"/>
          <w:color w:val="000000" w:themeColor="text1"/>
          <w:szCs w:val="21"/>
          <w:highlight w:val="none"/>
          <w:lang w:eastAsia="zh-CN"/>
          <w14:textFill>
            <w14:solidFill>
              <w14:schemeClr w14:val="tx1"/>
            </w14:solidFill>
          </w14:textFill>
        </w:rPr>
        <w:t>“政采云”</w:t>
      </w:r>
      <w:r>
        <w:rPr>
          <w:rFonts w:hint="eastAsia" w:ascii="宋体" w:hAnsi="宋体" w:eastAsia="宋体" w:cs="宋体"/>
          <w:color w:val="000000" w:themeColor="text1"/>
          <w:szCs w:val="21"/>
          <w:highlight w:val="none"/>
          <w14:textFill>
            <w14:solidFill>
              <w14:schemeClr w14:val="tx1"/>
            </w14:solidFill>
          </w14:textFill>
        </w:rPr>
        <w:t>平台的要求编制、加密投标文件后在投标文件提交截止时间前上传至</w:t>
      </w:r>
      <w:r>
        <w:rPr>
          <w:rFonts w:hint="eastAsia" w:ascii="宋体" w:hAnsi="宋体" w:eastAsia="宋体" w:cs="宋体"/>
          <w:color w:val="000000" w:themeColor="text1"/>
          <w:szCs w:val="21"/>
          <w:highlight w:val="none"/>
          <w:lang w:eastAsia="zh-CN"/>
          <w14:textFill>
            <w14:solidFill>
              <w14:schemeClr w14:val="tx1"/>
            </w14:solidFill>
          </w14:textFill>
        </w:rPr>
        <w:t>“政采云”</w:t>
      </w:r>
      <w:r>
        <w:rPr>
          <w:rFonts w:hint="eastAsia" w:ascii="宋体" w:hAnsi="宋体" w:eastAsia="宋体" w:cs="宋体"/>
          <w:color w:val="000000" w:themeColor="text1"/>
          <w:szCs w:val="21"/>
          <w:highlight w:val="none"/>
          <w14:textFill>
            <w14:solidFill>
              <w14:schemeClr w14:val="tx1"/>
            </w14:solidFill>
          </w14:textFill>
        </w:rPr>
        <w:t>平台，投标文件提交截止时间前未完成投标文件上传的，视为撤回投标文件</w:t>
      </w:r>
      <w:r>
        <w:rPr>
          <w:rFonts w:hint="eastAsia" w:ascii="宋体" w:hAnsi="宋体" w:eastAsia="宋体" w:cs="宋体"/>
          <w:color w:val="000000" w:themeColor="text1"/>
          <w:szCs w:val="21"/>
          <w:highlight w:val="none"/>
          <w:lang w:eastAsia="zh-CN"/>
          <w14:textFill>
            <w14:solidFill>
              <w14:schemeClr w14:val="tx1"/>
            </w14:solidFill>
          </w14:textFill>
        </w:rPr>
        <w:t>。</w:t>
      </w:r>
    </w:p>
    <w:p w14:paraId="063AC0F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21.2投标文件的解密：</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无需到达开标地点，须在</w:t>
      </w:r>
      <w:r>
        <w:rPr>
          <w:rFonts w:hint="eastAsia" w:ascii="宋体" w:hAnsi="宋体" w:eastAsia="宋体" w:cs="宋体"/>
          <w:color w:val="000000" w:themeColor="text1"/>
          <w:szCs w:val="21"/>
          <w:highlight w:val="none"/>
          <w:lang w:eastAsia="zh-CN"/>
          <w14:textFill>
            <w14:solidFill>
              <w14:schemeClr w14:val="tx1"/>
            </w14:solidFill>
          </w14:textFill>
        </w:rPr>
        <w:t>“政采云”</w:t>
      </w:r>
      <w:r>
        <w:rPr>
          <w:rFonts w:hint="eastAsia" w:ascii="宋体" w:hAnsi="宋体" w:eastAsia="宋体" w:cs="宋体"/>
          <w:color w:val="000000" w:themeColor="text1"/>
          <w:szCs w:val="21"/>
          <w:highlight w:val="none"/>
          <w14:textFill>
            <w14:solidFill>
              <w14:schemeClr w14:val="tx1"/>
            </w14:solidFill>
          </w14:textFill>
        </w:rPr>
        <w:t>平台进行远程解密电子版</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文件。</w:t>
      </w:r>
      <w:r>
        <w:rPr>
          <w:rFonts w:hint="eastAsia" w:ascii="宋体" w:hAnsi="宋体" w:eastAsia="宋体" w:cs="宋体"/>
          <w:color w:val="000000" w:themeColor="text1"/>
          <w:szCs w:val="21"/>
          <w:highlight w:val="none"/>
          <w:lang w:val="en-US" w:eastAsia="zh-CN"/>
          <w14:textFill>
            <w14:solidFill>
              <w14:schemeClr w14:val="tx1"/>
            </w14:solidFill>
          </w14:textFill>
        </w:rPr>
        <w:t>解密时长为</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0分钟，因投标人自身原因导致未在规定时间内完成</w:t>
      </w:r>
      <w:r>
        <w:rPr>
          <w:rFonts w:hint="eastAsia" w:ascii="宋体" w:hAnsi="宋体" w:eastAsia="宋体" w:cs="宋体"/>
          <w:color w:val="000000" w:themeColor="text1"/>
          <w:szCs w:val="21"/>
          <w:highlight w:val="none"/>
          <w14:textFill>
            <w14:solidFill>
              <w14:schemeClr w14:val="tx1"/>
            </w14:solidFill>
          </w14:textFill>
        </w:rPr>
        <w:t>投标文件解密</w:t>
      </w:r>
      <w:r>
        <w:rPr>
          <w:rFonts w:hint="eastAsia" w:ascii="宋体" w:hAnsi="宋体" w:eastAsia="宋体" w:cs="宋体"/>
          <w:color w:val="000000" w:themeColor="text1"/>
          <w:szCs w:val="21"/>
          <w:highlight w:val="none"/>
          <w:lang w:val="en-US" w:eastAsia="zh-CN"/>
          <w14:textFill>
            <w14:solidFill>
              <w14:schemeClr w14:val="tx1"/>
            </w14:solidFill>
          </w14:textFill>
        </w:rPr>
        <w:t>的，视为撤回</w:t>
      </w:r>
      <w:r>
        <w:rPr>
          <w:rFonts w:hint="eastAsia" w:ascii="宋体" w:hAnsi="宋体" w:eastAsia="宋体" w:cs="宋体"/>
          <w:color w:val="000000" w:themeColor="text1"/>
          <w:szCs w:val="21"/>
          <w:highlight w:val="none"/>
          <w14:textFill>
            <w14:solidFill>
              <w14:schemeClr w14:val="tx1"/>
            </w14:solidFill>
          </w14:textFill>
        </w:rPr>
        <w:t>投标文件</w:t>
      </w:r>
      <w:r>
        <w:rPr>
          <w:rFonts w:hint="eastAsia" w:ascii="宋体" w:hAnsi="宋体" w:eastAsia="宋体" w:cs="宋体"/>
          <w:color w:val="000000" w:themeColor="text1"/>
          <w:szCs w:val="21"/>
          <w:highlight w:val="none"/>
          <w:lang w:eastAsia="zh-CN"/>
          <w14:textFill>
            <w14:solidFill>
              <w14:schemeClr w14:val="tx1"/>
            </w14:solidFill>
          </w14:textFill>
        </w:rPr>
        <w:t>。</w:t>
      </w:r>
    </w:p>
    <w:p w14:paraId="3909CFA0">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22.投标文件的提交</w:t>
      </w:r>
    </w:p>
    <w:p w14:paraId="48CF64AE">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22.1投标文件提交截止时间、提交投标文件的地点：详见《投标人须知前附表》</w:t>
      </w:r>
    </w:p>
    <w:p w14:paraId="725AC025">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23.投标文件的补充、修改或者撤回</w:t>
      </w:r>
    </w:p>
    <w:p w14:paraId="353C135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23.1投标人在投标截止时间前，可以对所提交的投标文件进行补充、修改或者撤回，并书面通知采购人或者采购代理机构。补充、修改的内容应当按照招标文件要求签署、盖章、密封后，作为投标文件的组成部分。</w:t>
      </w:r>
    </w:p>
    <w:p w14:paraId="105C7A2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 投标人在投标截止时间前撤回已提交的投标文件的，采购人或者采购代理机构将自收到投标人书面撤回通知之日起5个工作日内，退还已收取的投标保证金，但因投标人自身原因导致无法及时退还的除外。</w:t>
      </w:r>
    </w:p>
    <w:p w14:paraId="3700AD91">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35" w:name="_Toc25624"/>
      <w:bookmarkStart w:id="36" w:name="_Toc20930"/>
      <w:r>
        <w:rPr>
          <w:rFonts w:hint="eastAsia" w:ascii="宋体" w:hAnsi="宋体" w:eastAsia="宋体" w:cs="宋体"/>
          <w:color w:val="000000" w:themeColor="text1"/>
          <w:spacing w:val="0"/>
          <w:kern w:val="0"/>
          <w:sz w:val="28"/>
          <w:szCs w:val="28"/>
          <w:highlight w:val="none"/>
          <w14:textFill>
            <w14:solidFill>
              <w14:schemeClr w14:val="tx1"/>
            </w14:solidFill>
          </w14:textFill>
        </w:rPr>
        <w:t>五、开标</w:t>
      </w:r>
      <w:bookmarkEnd w:id="35"/>
      <w:bookmarkEnd w:id="36"/>
    </w:p>
    <w:p w14:paraId="56D45D89">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24.开标</w:t>
      </w:r>
    </w:p>
    <w:p w14:paraId="17381CFD">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24.1开标将在招标文件确定的提交投标文件截止时间的同一时间进行。开标地点为招标文件中预先确定的地点。</w:t>
      </w:r>
    </w:p>
    <w:p w14:paraId="1399A932">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24.2开标时，投标人不足3家的，不得开标。</w:t>
      </w:r>
    </w:p>
    <w:p w14:paraId="4AB37DD8">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24.3投标人的法定代表人或委托代理人应</w:t>
      </w:r>
      <w:r>
        <w:rPr>
          <w:rFonts w:hint="eastAsia" w:ascii="宋体" w:hAnsi="宋体" w:eastAsia="宋体" w:cs="宋体"/>
          <w:color w:val="000000" w:themeColor="text1"/>
          <w:szCs w:val="21"/>
          <w:highlight w:val="none"/>
          <w:lang w:eastAsia="zh-CN"/>
          <w14:textFill>
            <w14:solidFill>
              <w14:schemeClr w14:val="tx1"/>
            </w14:solidFill>
          </w14:textFill>
        </w:rPr>
        <w:t>在线</w:t>
      </w:r>
      <w:r>
        <w:rPr>
          <w:rFonts w:hint="eastAsia" w:ascii="宋体" w:hAnsi="宋体" w:eastAsia="宋体" w:cs="宋体"/>
          <w:color w:val="000000" w:themeColor="text1"/>
          <w:szCs w:val="21"/>
          <w:highlight w:val="none"/>
          <w14:textFill>
            <w14:solidFill>
              <w14:schemeClr w14:val="tx1"/>
            </w14:solidFill>
          </w14:textFill>
        </w:rPr>
        <w:t>参加开标会，投标人代表对开标过程和开标记录有疑义，以及认为采购人、采购代理机构相关工作人员有需要回避的情形的，应当场提出询问或者回避申请。采购人、采购代理机构对投标人代表提出的询问或者回避申请将及时进行处理。</w:t>
      </w:r>
    </w:p>
    <w:p w14:paraId="3DE97D44">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24.4如投标人代表未参加开标或未对开标过程和开标记录提出疑义，视同认可开标结果，由此产生的后果由投标人自行负责。</w:t>
      </w:r>
    </w:p>
    <w:p w14:paraId="4FAF1F95">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24.5开标程序</w:t>
      </w:r>
    </w:p>
    <w:p w14:paraId="391AC783">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（1）开标会由采购代理机构主持，主持人宣布开标会议开始；</w:t>
      </w:r>
    </w:p>
    <w:p w14:paraId="0EF55133">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（2）介绍参加开标会的人员；</w:t>
      </w:r>
    </w:p>
    <w:p w14:paraId="5B028B6D">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（3）开标时，电子投标文件开标顺序：按照交易平台自动提取所有投标人的顺序当众开标；</w:t>
      </w:r>
    </w:p>
    <w:p w14:paraId="2A03C485">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（4）投标人代表、采购人代表、监标人、记录人等有关人员在开标记录上签字确认；</w:t>
      </w:r>
    </w:p>
    <w:p w14:paraId="52AAFB8F">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（5）宣布评标期间的有关事项；</w:t>
      </w:r>
    </w:p>
    <w:p w14:paraId="7ED9A278">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（6）开标结束。</w:t>
      </w:r>
    </w:p>
    <w:p w14:paraId="4671B86D">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24.6投标文件报价出现前后不一致的，按照下列规定修正：</w:t>
      </w:r>
    </w:p>
    <w:p w14:paraId="12AAF7CD">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（一）投标文件中开标一览表内容与投标文件中相应内容不一致的，以开标一览表为准；</w:t>
      </w:r>
    </w:p>
    <w:p w14:paraId="5F2B6806">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（二）大写金额和小写金额不一致的，以大写金额为准；</w:t>
      </w:r>
    </w:p>
    <w:p w14:paraId="7DD18AFE">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（三）单价金额小数点或者百分比有明显错位的，以开标一览表的总价为准，并修改单价；</w:t>
      </w:r>
    </w:p>
    <w:p w14:paraId="766091B0">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（四）总价金额与按单价汇总金额不一致的，以单价金额计算结果为准。</w:t>
      </w:r>
    </w:p>
    <w:p w14:paraId="080DD9A1">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同时出现两种以上不一致的，按照前款规定的顺序修正。修正后的报价按照招标文件规定并经投标人确认后产生约束力，投标人不确认的，其投标无效。</w:t>
      </w:r>
    </w:p>
    <w:p w14:paraId="53C8A732">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37" w:name="_Toc2742"/>
      <w:bookmarkStart w:id="38" w:name="_Toc5549"/>
      <w:r>
        <w:rPr>
          <w:rFonts w:hint="eastAsia" w:ascii="宋体" w:hAnsi="宋体" w:eastAsia="宋体" w:cs="宋体"/>
          <w:color w:val="000000" w:themeColor="text1"/>
          <w:spacing w:val="0"/>
          <w:kern w:val="0"/>
          <w:sz w:val="28"/>
          <w:szCs w:val="28"/>
          <w:highlight w:val="none"/>
          <w14:textFill>
            <w14:solidFill>
              <w14:schemeClr w14:val="tx1"/>
            </w14:solidFill>
          </w14:textFill>
        </w:rPr>
        <w:t>六、资格审查及评标</w:t>
      </w:r>
      <w:bookmarkEnd w:id="37"/>
      <w:bookmarkEnd w:id="38"/>
    </w:p>
    <w:p w14:paraId="78B5DD44">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25.资格审查</w:t>
      </w:r>
    </w:p>
    <w:p w14:paraId="6E671810">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25.1开标结束后，采购人或者采购代理机构将根据招标文件规定，依法对投标人的资格进行审查。合格投标人不足3家的，不得评标。</w:t>
      </w:r>
    </w:p>
    <w:p w14:paraId="2E31F0C3">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25.2.采购人或者采购代理机构按照招标文件第一章《招标公告》二、投标人资格要求（投标人应符合《中华人民共和国政府采购法》第二十二条规定的条件）和第二章《投标人须知》“4.投标人资格要求”的规定对投标人电子投标文件中</w:t>
      </w:r>
      <w:r>
        <w:rPr>
          <w:rFonts w:hint="eastAsia" w:ascii="宋体" w:hAnsi="宋体" w:cs="宋体"/>
          <w:color w:val="000000" w:themeColor="text1"/>
          <w:szCs w:val="21"/>
          <w:highlight w:val="none"/>
          <w:lang w:eastAsia="zh-CN"/>
          <w14:textFill>
            <w14:solidFill>
              <w14:schemeClr w14:val="tx1"/>
            </w14:solidFill>
          </w14:textFill>
        </w:rPr>
        <w:t>资格文件</w:t>
      </w:r>
      <w:r>
        <w:rPr>
          <w:rFonts w:hint="eastAsia" w:ascii="宋体" w:hAnsi="宋体" w:eastAsia="宋体" w:cs="宋体"/>
          <w:color w:val="000000" w:themeColor="text1"/>
          <w:szCs w:val="21"/>
          <w:highlight w:val="none"/>
          <w14:textFill>
            <w14:solidFill>
              <w14:schemeClr w14:val="tx1"/>
            </w14:solidFill>
          </w14:textFill>
        </w:rPr>
        <w:t>及采购人、采购代理机构通过互联网或者相关信息系统的查询结果进行审查。</w:t>
      </w:r>
    </w:p>
    <w:p w14:paraId="7109569D">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26.评标</w:t>
      </w:r>
    </w:p>
    <w:p w14:paraId="6CBA69CA">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26.1评标委员会负责具体评标事务，并独立履行下列职责：</w:t>
      </w:r>
    </w:p>
    <w:p w14:paraId="2B84EC87">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（一）审查、评价投标文件是否符合招标文件的商务、技术等实质性要求；</w:t>
      </w:r>
    </w:p>
    <w:p w14:paraId="14E9A763">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（二）要求投标人对投标文件有关事项作出澄清或者说明；</w:t>
      </w:r>
    </w:p>
    <w:p w14:paraId="0255C4C9">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（三）对投标文件进行比较和评价；</w:t>
      </w:r>
    </w:p>
    <w:p w14:paraId="1CE141F1">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（四）确定中标候选人名单，以及根据采购人委托直接确定中标人；</w:t>
      </w:r>
    </w:p>
    <w:p w14:paraId="2CD421D7">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（五）向采购人、采购代理机构或者有关部门报告评标中发现的违法行为。</w:t>
      </w:r>
    </w:p>
    <w:p w14:paraId="2DC5FC33">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26.2评标委员会由采购人代表和评审专家组成，成员人数为5人以上单数，其中评审专家不得少于成员总数的三分之二。评标委员会应当推选组长，但采购人代表不得担任组长。</w:t>
      </w:r>
    </w:p>
    <w:p w14:paraId="64279A75">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26.3采购人委派代表参加评标委员会的，要向采购代理机构出具授权函。</w:t>
      </w:r>
    </w:p>
    <w:p w14:paraId="6D514A7B">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26.4评标活动遵循公平、公正、科学和择优的原则。</w:t>
      </w:r>
    </w:p>
    <w:p w14:paraId="33F98F40">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26.5本项目评标方法采用综合评分法，是指投标文件满足招标文件全部实质性要求，且按照评审因素的量化指标评审得分最高的投标人为中标候选人的评标方法。</w:t>
      </w:r>
    </w:p>
    <w:p w14:paraId="54836A27">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26.6评标过程的保密</w:t>
      </w:r>
    </w:p>
    <w:p w14:paraId="14C7E2DA">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26.6.1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510314CC">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p>
    <w:p w14:paraId="0D70E672">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27.有下列情形之一的，视为投标人串通投标，其投标无效：</w:t>
      </w:r>
    </w:p>
    <w:p w14:paraId="635CFEBC">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（一）不同投标人的投标文件由同一单位或者个人编制；</w:t>
      </w:r>
    </w:p>
    <w:p w14:paraId="35B8D4EC">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（二）不同投标人委托同一单位或者个人办理投标事宜；</w:t>
      </w:r>
    </w:p>
    <w:p w14:paraId="347B3AFD">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（三）不同投标人的投标文件载明的项目管理成员或者联系人员为同一人；</w:t>
      </w:r>
    </w:p>
    <w:p w14:paraId="4213485C">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（四）不同投标人的投标文件异常一致或者投标报价呈规律性差异；</w:t>
      </w:r>
    </w:p>
    <w:p w14:paraId="74D042C0">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（五）不同投标人的投标文件相互混装；</w:t>
      </w:r>
    </w:p>
    <w:p w14:paraId="06C0621D">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（六）不同投标人的投标保证金从同一单位或者个人的账户转出。</w:t>
      </w:r>
    </w:p>
    <w:p w14:paraId="0BE844F5">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投标人应当遵循公平竞争的原则，不得恶意串通，不得妨碍其他投标人的竞争行为，不得损害采购人或者其他投标人的合法权益。</w:t>
      </w:r>
    </w:p>
    <w:p w14:paraId="2A25D99C">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在评标过程中发现投标人有上述情形的，评标委员会应当认定其投标无效，并书面报告本级财政部门。</w:t>
      </w:r>
    </w:p>
    <w:p w14:paraId="2A46D9A9">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28.投标人存在下列情况之一的，投标无效：</w:t>
      </w:r>
    </w:p>
    <w:p w14:paraId="6C488700">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（一）未按照招标文件的规定提交投标保证金的；</w:t>
      </w:r>
    </w:p>
    <w:p w14:paraId="4C66F771">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（二）投标文件未按招标文件要求签署、盖章的；</w:t>
      </w:r>
    </w:p>
    <w:p w14:paraId="0D5147AC">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（三）不具备招标文件中规定的资格要求的；</w:t>
      </w:r>
    </w:p>
    <w:p w14:paraId="6ACA9DE8">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（四）报价超过招标文件中规定的预算金额或者最高限价的；</w:t>
      </w:r>
    </w:p>
    <w:p w14:paraId="6E357949">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（五）投标文件含有采购人不能接受的附加条件的</w:t>
      </w:r>
      <w:r>
        <w:rPr>
          <w:rFonts w:hint="eastAsia" w:ascii="宋体" w:hAnsi="宋体" w:eastAsia="宋体" w:cs="宋体"/>
          <w:color w:val="000000" w:themeColor="text1"/>
          <w:szCs w:val="21"/>
          <w:highlight w:val="none"/>
          <w:lang w:eastAsia="zh-CN"/>
          <w14:textFill>
            <w14:solidFill>
              <w14:schemeClr w14:val="tx1"/>
            </w14:solidFill>
          </w14:textFill>
        </w:rPr>
        <w:t>；</w:t>
      </w:r>
    </w:p>
    <w:p w14:paraId="0D7ACAF8">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（六）法律、法规和招标文件规定的其他无效情形。</w:t>
      </w:r>
    </w:p>
    <w:p w14:paraId="00F37BA4">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29.在招标采购中，出现下列情形之一的，应予废标：</w:t>
      </w:r>
    </w:p>
    <w:p w14:paraId="4654A489">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（一）符合专业条件的投标人或者对招标文件作实质响应的投标人不足三家的；</w:t>
      </w:r>
    </w:p>
    <w:p w14:paraId="108871F2">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（二）出现影响采购公正的违法、违规行为的；</w:t>
      </w:r>
    </w:p>
    <w:p w14:paraId="70CF9B37">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（三）投标人的报价均超过了采购预算，采购人不能支付的；</w:t>
      </w:r>
    </w:p>
    <w:p w14:paraId="78DF01CE">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（四）因重大变故，采购任务取消的。</w:t>
      </w:r>
    </w:p>
    <w:p w14:paraId="297D7DE0">
      <w:pPr>
        <w:pageBreakBefore w:val="0"/>
        <w:kinsoku/>
        <w:overflowPunct/>
        <w:topLinePunct w:val="0"/>
        <w:bidi w:val="0"/>
        <w:adjustRightInd/>
        <w:spacing w:line="480" w:lineRule="exact"/>
        <w:ind w:left="0" w:leftChars="0" w:firstLine="42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废标后，采购人应当将废标理由通知所有投标人。</w:t>
      </w:r>
    </w:p>
    <w:p w14:paraId="029DA20A">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39" w:name="_Toc9857"/>
      <w:bookmarkStart w:id="40" w:name="_Toc5584"/>
      <w:r>
        <w:rPr>
          <w:rFonts w:hint="eastAsia" w:ascii="宋体" w:hAnsi="宋体" w:eastAsia="宋体" w:cs="宋体"/>
          <w:color w:val="000000" w:themeColor="text1"/>
          <w:spacing w:val="0"/>
          <w:kern w:val="0"/>
          <w:sz w:val="28"/>
          <w:szCs w:val="28"/>
          <w:highlight w:val="none"/>
          <w14:textFill>
            <w14:solidFill>
              <w14:schemeClr w14:val="tx1"/>
            </w14:solidFill>
          </w14:textFill>
        </w:rPr>
        <w:t>七、中标结果</w:t>
      </w:r>
      <w:bookmarkEnd w:id="39"/>
      <w:bookmarkEnd w:id="40"/>
    </w:p>
    <w:p w14:paraId="712B3A7A">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30.中标人的确定</w:t>
      </w:r>
    </w:p>
    <w:p w14:paraId="534586FA">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.1采购代理机构应当在评标结束后2个工作日内将评标报告送采购人。</w:t>
      </w:r>
    </w:p>
    <w:p w14:paraId="1BC9F263">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.2采购人应当自收到评标报告之日起5个工作日内，在评标报告确定的中标候选人名单中按顺序确定中标人。</w:t>
      </w:r>
    </w:p>
    <w:p w14:paraId="50AB2179">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31.中标通知书</w:t>
      </w:r>
    </w:p>
    <w:p w14:paraId="33795F3B">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31.1中标人确定之日起2个工作日内，采购代理机构向中标人发出中标通知书，并在财政部门指定的政府采购信息发布媒体上公告中标结果</w:t>
      </w:r>
      <w:r>
        <w:rPr>
          <w:rFonts w:hint="eastAsia" w:ascii="宋体" w:hAnsi="宋体" w:eastAsia="宋体" w:cs="宋体"/>
          <w:color w:val="000000" w:themeColor="text1"/>
          <w:szCs w:val="21"/>
          <w:highlight w:val="none"/>
          <w:lang w:val="en-US" w:eastAsia="zh-CN"/>
          <w14:textFill>
            <w14:solidFill>
              <w14:schemeClr w14:val="tx1"/>
            </w14:solidFill>
          </w14:textFill>
        </w:rPr>
        <w:t>及中标人</w:t>
      </w:r>
      <w:r>
        <w:rPr>
          <w:rFonts w:hint="eastAsia" w:ascii="宋体" w:hAnsi="宋体" w:eastAsia="宋体" w:cs="宋体"/>
          <w:color w:val="000000" w:themeColor="text1"/>
          <w:szCs w:val="21"/>
          <w:highlight w:val="none"/>
          <w14:textFill>
            <w14:solidFill>
              <w14:schemeClr w14:val="tx1"/>
            </w14:solidFill>
          </w14:textFill>
        </w:rPr>
        <w:t>的评审总得分。中标公告期限为1个工作日。</w:t>
      </w:r>
    </w:p>
    <w:p w14:paraId="09135F95">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31.2中标通知书是合同的一个组成部分。</w:t>
      </w:r>
    </w:p>
    <w:p w14:paraId="47E3EFEB">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32.签订合同</w:t>
      </w:r>
    </w:p>
    <w:p w14:paraId="6482284A">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32.1采购人应当自中标通知书发出之日起30日内，按照招标文件和中标人投标文件的规定，与中标人签订书面合同。所签订的合同不得对招标文件确定的事项和中标人投标文件作实质性修改。</w:t>
      </w:r>
    </w:p>
    <w:p w14:paraId="695669D2">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32.2中标通知书发出后，中标人无正当理由放弃中标或拒签合同的，采购人取消其中标资格，其投标保证金不予退还；给采购人造成的损失超过投标保证金数额的，中标人还应当对超过部分予以赔偿。</w:t>
      </w:r>
    </w:p>
    <w:p w14:paraId="771893CD">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32.3排名第一的中标候选人放弃中标、因不可抗力不能履行合同或者被查实存在影响中标结果的违法行为等情形，不符合中标条件的，采购人将按照评标委员会提出的中标候选人名单排序依次确定其他中标候选人为中标人，也可以重新招标。</w:t>
      </w:r>
    </w:p>
    <w:p w14:paraId="729EB7FE">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32.4政府采购合同应当包括采购人与中标人的名称和住所、标的、数量、质量、价款或者报酬、履行期限及地点和方式、验收要求、违约责任、解决争议的方法等内容。</w:t>
      </w:r>
    </w:p>
    <w:p w14:paraId="5C2430A5">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32.5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0E907109">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32.6除采购人与中标人在合同中另行商定将中标项目的非主体、非关键性工作分包的，中标人在中标后将中标项目分包的，采购人取消其中标资格，其投标保证金不予退还；给采购人造成的损失超过投标保证金数额的，中标人还应当对超过部分予以赔偿</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25BB1FE3">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33.履约保证金</w:t>
      </w:r>
    </w:p>
    <w:p w14:paraId="11D7CECC">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33.1签订合同</w:t>
      </w:r>
      <w:r>
        <w:rPr>
          <w:rFonts w:hint="eastAsia" w:ascii="宋体" w:hAnsi="宋体" w:eastAsia="宋体" w:cs="宋体"/>
          <w:color w:val="000000" w:themeColor="text1"/>
          <w:szCs w:val="21"/>
          <w:highlight w:val="none"/>
          <w:lang w:eastAsia="zh-CN"/>
          <w14:textFill>
            <w14:solidFill>
              <w14:schemeClr w14:val="tx1"/>
            </w14:solidFill>
          </w14:textFill>
        </w:rPr>
        <w:t>后</w:t>
      </w:r>
      <w:r>
        <w:rPr>
          <w:rFonts w:hint="eastAsia" w:ascii="宋体" w:hAnsi="宋体" w:eastAsia="宋体" w:cs="宋体"/>
          <w:color w:val="000000" w:themeColor="text1"/>
          <w:szCs w:val="21"/>
          <w:highlight w:val="none"/>
          <w14:textFill>
            <w14:solidFill>
              <w14:schemeClr w14:val="tx1"/>
            </w14:solidFill>
          </w14:textFill>
        </w:rPr>
        <w:t>，中标人应按《投标人须知前附表》上确定的履约保证金的金额及形式，向采购人提交履约保证金。否则，视为放弃中标项目，投标保证金将不予退还。</w:t>
      </w:r>
    </w:p>
    <w:p w14:paraId="36308FF1">
      <w:pPr>
        <w:pageBreakBefore w:val="0"/>
        <w:kinsoku/>
        <w:overflowPunct/>
        <w:topLinePunct w:val="0"/>
        <w:bidi w:val="0"/>
        <w:adjustRightInd/>
        <w:spacing w:line="480" w:lineRule="exact"/>
        <w:ind w:left="0" w:leftChars="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33.2</w:t>
      </w:r>
      <w:r>
        <w:rPr>
          <w:rFonts w:hint="eastAsia" w:ascii="宋体" w:hAnsi="宋体" w:eastAsia="宋体" w:cs="宋体"/>
          <w:color w:val="000000" w:themeColor="text1"/>
          <w:szCs w:val="21"/>
          <w:highlight w:val="none"/>
          <w:lang w:eastAsia="zh-CN"/>
          <w14:textFill>
            <w14:solidFill>
              <w14:schemeClr w14:val="tx1"/>
            </w14:solidFill>
          </w14:textFill>
        </w:rPr>
        <w:t>签订合同后，如中标人不按双方签订合同约定履约，则没收其全部履约保证金，给采购人造成的损失超过履约保证金数额的，中标人还应当对超过部分予以赔偿</w:t>
      </w:r>
      <w:r>
        <w:rPr>
          <w:rFonts w:hint="eastAsia" w:ascii="宋体" w:hAnsi="宋体" w:eastAsia="宋体" w:cs="宋体"/>
          <w:color w:val="000000" w:themeColor="text1"/>
          <w:szCs w:val="21"/>
          <w:highlight w:val="none"/>
          <w14:textFill>
            <w14:solidFill>
              <w14:schemeClr w14:val="tx1"/>
            </w14:solidFill>
          </w14:textFill>
        </w:rPr>
        <w:t>。</w:t>
      </w:r>
    </w:p>
    <w:p w14:paraId="7CDF6CBF">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41" w:name="_Toc13305"/>
      <w:bookmarkStart w:id="42" w:name="_Toc24917"/>
      <w:r>
        <w:rPr>
          <w:rFonts w:hint="eastAsia" w:ascii="宋体" w:hAnsi="宋体" w:eastAsia="宋体" w:cs="宋体"/>
          <w:color w:val="000000" w:themeColor="text1"/>
          <w:spacing w:val="0"/>
          <w:kern w:val="0"/>
          <w:sz w:val="28"/>
          <w:szCs w:val="28"/>
          <w:highlight w:val="none"/>
          <w14:textFill>
            <w14:solidFill>
              <w14:schemeClr w14:val="tx1"/>
            </w14:solidFill>
          </w14:textFill>
        </w:rPr>
        <w:t>八、其他事项</w:t>
      </w:r>
      <w:bookmarkEnd w:id="41"/>
      <w:bookmarkEnd w:id="42"/>
    </w:p>
    <w:p w14:paraId="4A8F7F79">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34.采购代理服务费</w:t>
      </w:r>
    </w:p>
    <w:p w14:paraId="10ADEA26">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34.1采购代理服务费：</w:t>
      </w:r>
      <w:r>
        <w:rPr>
          <w:rFonts w:hint="eastAsia" w:ascii="宋体" w:hAnsi="宋体" w:eastAsia="宋体" w:cs="宋体"/>
          <w:color w:val="000000" w:themeColor="text1"/>
          <w:szCs w:val="21"/>
          <w:highlight w:val="none"/>
          <w:lang w:eastAsia="zh-CN"/>
          <w14:textFill>
            <w14:solidFill>
              <w14:schemeClr w14:val="tx1"/>
            </w14:solidFill>
          </w14:textFill>
        </w:rPr>
        <w:t>本项目采购代理服务费参照国家计委[2002]1980号文件规定的货物收费标准下浮30%向中标人收取（计算基准价为中标金额）</w:t>
      </w:r>
      <w:r>
        <w:rPr>
          <w:rFonts w:hint="eastAsia" w:ascii="宋体" w:hAnsi="宋体" w:eastAsia="宋体" w:cs="宋体"/>
          <w:color w:val="000000" w:themeColor="text1"/>
          <w:szCs w:val="21"/>
          <w:highlight w:val="none"/>
          <w14:textFill>
            <w14:solidFill>
              <w14:schemeClr w14:val="tx1"/>
            </w14:solidFill>
          </w14:textFill>
        </w:rPr>
        <w:t>。</w:t>
      </w:r>
    </w:p>
    <w:tbl>
      <w:tblPr>
        <w:tblStyle w:val="40"/>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1983"/>
        <w:gridCol w:w="1983"/>
        <w:gridCol w:w="1984"/>
      </w:tblGrid>
      <w:tr w14:paraId="371F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2229" w:type="dxa"/>
            <w:vMerge w:val="restart"/>
            <w:vAlign w:val="center"/>
          </w:tcPr>
          <w:p w14:paraId="38637D72">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中标金额</w:t>
            </w:r>
          </w:p>
          <w:p w14:paraId="2ED87996">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（万元）</w:t>
            </w:r>
          </w:p>
        </w:tc>
        <w:tc>
          <w:tcPr>
            <w:tcW w:w="5950" w:type="dxa"/>
            <w:gridSpan w:val="3"/>
            <w:vAlign w:val="center"/>
          </w:tcPr>
          <w:p w14:paraId="149022FB">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收费标准</w:t>
            </w:r>
          </w:p>
        </w:tc>
      </w:tr>
      <w:tr w14:paraId="3364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229" w:type="dxa"/>
            <w:vMerge w:val="continue"/>
            <w:shd w:val="clear" w:color="auto" w:fill="auto"/>
            <w:vAlign w:val="center"/>
          </w:tcPr>
          <w:p w14:paraId="384EE5ED">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p>
        </w:tc>
        <w:tc>
          <w:tcPr>
            <w:tcW w:w="1983" w:type="dxa"/>
            <w:shd w:val="clear" w:color="auto" w:fill="FFFFFF"/>
            <w:vAlign w:val="center"/>
          </w:tcPr>
          <w:p w14:paraId="6C906F24">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货物招标</w:t>
            </w:r>
          </w:p>
        </w:tc>
        <w:tc>
          <w:tcPr>
            <w:tcW w:w="1983" w:type="dxa"/>
            <w:vAlign w:val="center"/>
          </w:tcPr>
          <w:p w14:paraId="61090A8D">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服务招标</w:t>
            </w:r>
          </w:p>
        </w:tc>
        <w:tc>
          <w:tcPr>
            <w:tcW w:w="1984" w:type="dxa"/>
            <w:vAlign w:val="center"/>
          </w:tcPr>
          <w:p w14:paraId="2AD6914D">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工程招标</w:t>
            </w:r>
          </w:p>
        </w:tc>
      </w:tr>
      <w:tr w14:paraId="7385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746BCADC">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100以下</w:t>
            </w:r>
          </w:p>
        </w:tc>
        <w:tc>
          <w:tcPr>
            <w:tcW w:w="1983" w:type="dxa"/>
            <w:shd w:val="clear" w:color="auto" w:fill="FFFFFF"/>
          </w:tcPr>
          <w:p w14:paraId="1AAF06C4">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983" w:type="dxa"/>
          </w:tcPr>
          <w:p w14:paraId="0495671B">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w:t>
            </w:r>
          </w:p>
        </w:tc>
        <w:tc>
          <w:tcPr>
            <w:tcW w:w="1984" w:type="dxa"/>
          </w:tcPr>
          <w:p w14:paraId="7369CF71">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r>
      <w:tr w14:paraId="4F1A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2BD3AA5A">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100—500</w:t>
            </w:r>
          </w:p>
        </w:tc>
        <w:tc>
          <w:tcPr>
            <w:tcW w:w="1983" w:type="dxa"/>
            <w:shd w:val="clear" w:color="auto" w:fill="FFFFFF"/>
          </w:tcPr>
          <w:p w14:paraId="0CA96B69">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1983" w:type="dxa"/>
          </w:tcPr>
          <w:p w14:paraId="1FBA62CA">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0.8%</w:t>
            </w:r>
          </w:p>
        </w:tc>
        <w:tc>
          <w:tcPr>
            <w:tcW w:w="1984" w:type="dxa"/>
          </w:tcPr>
          <w:p w14:paraId="75D3BCC1">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0.7%</w:t>
            </w:r>
          </w:p>
        </w:tc>
      </w:tr>
      <w:tr w14:paraId="60D5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459883AF">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500—1000</w:t>
            </w:r>
          </w:p>
        </w:tc>
        <w:tc>
          <w:tcPr>
            <w:tcW w:w="1983" w:type="dxa"/>
            <w:shd w:val="clear" w:color="auto" w:fill="FFFFFF"/>
          </w:tcPr>
          <w:p w14:paraId="22DBCBE2">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0.8%</w:t>
            </w:r>
          </w:p>
        </w:tc>
        <w:tc>
          <w:tcPr>
            <w:tcW w:w="1983" w:type="dxa"/>
          </w:tcPr>
          <w:p w14:paraId="1DE73C26">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0.45%</w:t>
            </w:r>
          </w:p>
        </w:tc>
        <w:tc>
          <w:tcPr>
            <w:tcW w:w="1984" w:type="dxa"/>
          </w:tcPr>
          <w:p w14:paraId="6F2BFDDC">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0.55%</w:t>
            </w:r>
          </w:p>
        </w:tc>
      </w:tr>
      <w:tr w14:paraId="037C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229" w:type="dxa"/>
            <w:shd w:val="clear" w:color="auto" w:fill="auto"/>
          </w:tcPr>
          <w:p w14:paraId="3E96ED4F">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1000—5000</w:t>
            </w:r>
          </w:p>
        </w:tc>
        <w:tc>
          <w:tcPr>
            <w:tcW w:w="1983" w:type="dxa"/>
            <w:shd w:val="clear" w:color="auto" w:fill="FFFFFF"/>
          </w:tcPr>
          <w:p w14:paraId="4F9DE787">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w:t>
            </w:r>
          </w:p>
        </w:tc>
        <w:tc>
          <w:tcPr>
            <w:tcW w:w="1983" w:type="dxa"/>
          </w:tcPr>
          <w:p w14:paraId="5E5050A8">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0.25%</w:t>
            </w:r>
          </w:p>
        </w:tc>
        <w:tc>
          <w:tcPr>
            <w:tcW w:w="1984" w:type="dxa"/>
          </w:tcPr>
          <w:p w14:paraId="3B870349">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0.35%</w:t>
            </w:r>
          </w:p>
        </w:tc>
      </w:tr>
      <w:tr w14:paraId="19ED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229" w:type="dxa"/>
            <w:shd w:val="clear" w:color="auto" w:fill="auto"/>
          </w:tcPr>
          <w:p w14:paraId="3593045D">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5000—10000</w:t>
            </w:r>
          </w:p>
        </w:tc>
        <w:tc>
          <w:tcPr>
            <w:tcW w:w="1983" w:type="dxa"/>
            <w:shd w:val="clear" w:color="auto" w:fill="FFFFFF"/>
          </w:tcPr>
          <w:p w14:paraId="49108DC9">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0.25%</w:t>
            </w:r>
          </w:p>
        </w:tc>
        <w:tc>
          <w:tcPr>
            <w:tcW w:w="1983" w:type="dxa"/>
          </w:tcPr>
          <w:p w14:paraId="3890641A">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0.1%</w:t>
            </w:r>
          </w:p>
        </w:tc>
        <w:tc>
          <w:tcPr>
            <w:tcW w:w="1984" w:type="dxa"/>
          </w:tcPr>
          <w:p w14:paraId="054F9D5C">
            <w:pPr>
              <w:pageBreakBefore w:val="0"/>
              <w:kinsoku/>
              <w:overflowPunct/>
              <w:topLinePunct w:val="0"/>
              <w:bidi w:val="0"/>
              <w:adjustRightInd/>
              <w:spacing w:line="480" w:lineRule="exact"/>
              <w:ind w:left="0" w:leftChars="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0.2%</w:t>
            </w:r>
          </w:p>
        </w:tc>
      </w:tr>
    </w:tbl>
    <w:p w14:paraId="5D47AE1F">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备注：采购代理服务费按差额定率累进法计算。</w:t>
      </w:r>
    </w:p>
    <w:p w14:paraId="0AA2590D">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34.2中标人应在接受“中标通知书”</w:t>
      </w:r>
      <w:r>
        <w:rPr>
          <w:rFonts w:hint="eastAsia" w:ascii="宋体" w:hAnsi="宋体" w:eastAsia="宋体" w:cs="宋体"/>
          <w:color w:val="000000" w:themeColor="text1"/>
          <w:szCs w:val="21"/>
          <w:highlight w:val="none"/>
          <w:lang w:val="en-US" w:eastAsia="zh-CN"/>
          <w14:textFill>
            <w14:solidFill>
              <w14:schemeClr w14:val="tx1"/>
            </w14:solidFill>
          </w14:textFill>
        </w:rPr>
        <w:t>时</w:t>
      </w:r>
      <w:r>
        <w:rPr>
          <w:rFonts w:hint="eastAsia" w:ascii="宋体" w:hAnsi="宋体" w:eastAsia="宋体" w:cs="宋体"/>
          <w:color w:val="000000" w:themeColor="text1"/>
          <w:szCs w:val="21"/>
          <w:highlight w:val="none"/>
          <w14:textFill>
            <w14:solidFill>
              <w14:schemeClr w14:val="tx1"/>
            </w14:solidFill>
          </w14:textFill>
        </w:rPr>
        <w:t>向采购代理机构一次付清采购代理服务费。</w:t>
      </w:r>
    </w:p>
    <w:p w14:paraId="448DDF05">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35.招标文件编制依据</w:t>
      </w:r>
    </w:p>
    <w:p w14:paraId="6BF703D0">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35.1本招标文件根据《中华人民共和国政府采购法》、《中华人民共和国政府采购法实施条例》、《政府采购货物和服务招标投标管理办法》（财政部令第87号）等有关法律、法规编制，解释权属于采购人、采购代理机构。</w:t>
      </w:r>
    </w:p>
    <w:p w14:paraId="0BBF4295">
      <w:pPr>
        <w:pageBreakBefore w:val="0"/>
        <w:kinsoku/>
        <w:overflowPunct/>
        <w:topLinePunct w:val="0"/>
        <w:bidi w:val="0"/>
        <w:adjustRightInd/>
        <w:spacing w:line="480" w:lineRule="exact"/>
        <w:ind w:left="0" w:leftChars="0"/>
        <w:jc w:val="left"/>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36.需要补充的其他内容</w:t>
      </w:r>
    </w:p>
    <w:p w14:paraId="0D4FF255">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1关于中小企业：</w:t>
      </w:r>
    </w:p>
    <w:p w14:paraId="290B3EDC">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1.1根据《关于印发&lt;政府采购促进中小企业发展管理办法&gt;的通知》（财库〔2020〕46号）的规定，中小企业是指在中华人民共和国境内依法设立，依据国务院批准的中小企业划分标准确定的中型企业、小型企业和微型企业，但与大企业的负责人为同一人，或者与大企业存在直接控股、管理关系的除外。</w:t>
      </w:r>
    </w:p>
    <w:p w14:paraId="5179AE59">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1.2符合中小企业划分标准的个体工商户，在政府采购活动中视同中小企业。</w:t>
      </w:r>
    </w:p>
    <w:p w14:paraId="05491348">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1.3在政府采购活动中，投标人提供的货物、工程或者服务符合下列情形的，享受《关于印发&lt;政府采购促进中小企业发展管理办法&gt;的通知》（财库〔2020〕46号）规定的中小企业扶持政策：</w:t>
      </w:r>
    </w:p>
    <w:p w14:paraId="2EAA36DC">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（一）在货物采购项目中，货物由中小企业制造，即货物由中小企业生产且使用该中小企业商号或者注册商标；</w:t>
      </w:r>
    </w:p>
    <w:p w14:paraId="26A4FC90">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（二）在工程采购项目中，工程由中小企业承建，即工程施工单位为中小企业；</w:t>
      </w:r>
    </w:p>
    <w:p w14:paraId="593B2FAF">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（三）在服务采购项目中，服务由中小企业承接，即提供服务的人员为中小企业依照《中华人民共和国劳动合同法》订立劳动合同的从业人员。</w:t>
      </w:r>
    </w:p>
    <w:p w14:paraId="4E538F84">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1.4在货物采购项目中，投标人提供的货物既有中小企业制造货物，也有大型企业制造货物的，不享受本办法规定的中小企业扶持政策。</w:t>
      </w:r>
    </w:p>
    <w:p w14:paraId="479E6CD6">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1.5以联合体形式参加政府采购活动，联合体各方均为中小企业的，联合体视同中小企业。其中，联合体各方均为小微企业的,联合体视同小微企业。</w:t>
      </w:r>
    </w:p>
    <w:p w14:paraId="3DA8CF28">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1.6中小企业参加政府采购活动，应当出具《关于印发&lt;政府采购促进中小企业发展管理办法&gt;的通知》（财库〔2020〕46号）规定的《中小企业声明函》，否则不得享受相关中小企业扶持政策。</w:t>
      </w:r>
    </w:p>
    <w:p w14:paraId="5B4BD4D3">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1.7规定依据《关于印发&lt;政府采购促进中小企业发展管理办法&gt;的通知》（财库〔2020〕46号）规定享受扶持政策获得政府采购合同的，小微企业不得将合同分包给大中型企业，中型企业不得将合同分包给大型企业。</w:t>
      </w:r>
    </w:p>
    <w:p w14:paraId="27139FCB">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36.1.8根据“《关于印发《政府采购促进中小企业发展管理办法》的通知》（财库〔2020〕46号）的规定，针对小微企业报价给予10%的扣除，用扣除后的价格参与评审。符合条件的投标人应根据《招标文件》第四章  投标文件格式中规定的内容进行填写。划型标准详见《投标人须知前附表》。</w:t>
      </w:r>
    </w:p>
    <w:p w14:paraId="5F1962B3">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中标人享受本办法规定的中小企业扶持政策的，采购人、采购代理机构将随中标结果公开中标人的《中小企业声明函》。</w:t>
      </w:r>
    </w:p>
    <w:p w14:paraId="297B0DF5">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2关于监狱企业：</w:t>
      </w:r>
    </w:p>
    <w:p w14:paraId="1DAD41E3">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2.1根据《财政部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51542E">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2.2监狱企业参加政府采购活动时，应当提供由省级以上监狱管理局、戒毒管理局（含新疆生产建设兵团）出具的属于监狱企业的证明文件。</w:t>
      </w:r>
    </w:p>
    <w:p w14:paraId="57AF89B0">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2.3在政府采购活动中，监狱企业视同小型、微型企业，享受预留份额、评审中价格扣除等政府采购促进中小企业发展的政府采购政策。</w:t>
      </w:r>
    </w:p>
    <w:p w14:paraId="6FD3F2D9">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3关于残疾人福利性单位：</w:t>
      </w:r>
    </w:p>
    <w:p w14:paraId="0F5159F0">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3.1根据《三部门联合发布关于促进残疾人就业政府采购政策的通知》（财库〔2017〕141号）的规定，享受政府采购支持政策的残疾人福利性单位应当同时满足以下条件：</w:t>
      </w:r>
    </w:p>
    <w:p w14:paraId="60212664">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（一）安置的残疾人占本单位在职职工人数的比例不低于25%（含25%），并且安置的残疾人人数不少于10人（含10人）；</w:t>
      </w:r>
    </w:p>
    <w:p w14:paraId="73AE66BA">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（二）依法与安置的每位残疾人签订了一年以上（含一年）的劳动合同或服务协议；</w:t>
      </w:r>
    </w:p>
    <w:p w14:paraId="28DEFC38">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5E1FC9BF">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582A55BF">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11CEFD3B">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6854E12">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3.2符合条件的残疾人福利性单位在参加政府采购活动时，应当按《三部门联合发布关于促进残疾人就业政府采购政策的通知》（财库〔2017〕141号）提供规定的《残疾人福利性单位声明函》，并对声明的真实性负责。</w:t>
      </w:r>
    </w:p>
    <w:p w14:paraId="3CDDF5BA">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3.3在政府采购活动中，残疾人福利性单位视同小型、微型企业，享受预留份额、评审中价格扣除等促进中小企业发展的政府采购政策。残疾人福利性单位属于小型、微型企业的，不重复享受政策。</w:t>
      </w:r>
    </w:p>
    <w:p w14:paraId="3273CE54">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4关于节能产品及环境标志产品：</w:t>
      </w:r>
    </w:p>
    <w:p w14:paraId="21E8243A">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4.1根据《财政部 发展改革委 生态环境部 市场监管总局 关于调整优化节能产品、环境标志产品政府采购执行机制的通知》（财库〔2019〕9号），对政府采购节能产品、环境标志产品实施品目清单管理。</w:t>
      </w:r>
    </w:p>
    <w:p w14:paraId="752E383C">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4.2节能产品是指列入财政部和发展改革委公布的《关于印发节能产品政府采购品目清单的通知》（财库〔2019〕19号）《节能产品政府采购品目清单》中的产品，其中以“★”标注的为政府强制采购产品。</w:t>
      </w:r>
    </w:p>
    <w:p w14:paraId="2C2306A5">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4.3环境标志产品是指列入财政部和生态环境部公布的《关于印发环境标志产品政府采购品目清单的通知》（财库〔2019〕18号）《环境标志产品政府采购品目清单》中的产品。</w:t>
      </w:r>
    </w:p>
    <w:p w14:paraId="30A6DBB1">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w:t>
      </w:r>
      <w:r>
        <w:rPr>
          <w:rFonts w:hint="eastAsia" w:ascii="宋体" w:hAnsi="宋体" w:eastAsia="宋体" w:cs="宋体"/>
          <w:color w:val="000000" w:themeColor="text1"/>
          <w:szCs w:val="21"/>
          <w:highlight w:val="none"/>
          <w14:textFill>
            <w14:solidFill>
              <w14:schemeClr w14:val="tx1"/>
            </w14:solidFill>
          </w14:textFill>
        </w:rPr>
        <w:t>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315509E2">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p>
    <w:p w14:paraId="2F52975E">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关于采购本国产品：</w:t>
      </w:r>
    </w:p>
    <w:p w14:paraId="4B7C2F29">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36.5.1根据《国务院办公厅关于在政府采购中实施本国产品标准及相关政策的通知》（国办发〔2025〕34号）的规定，本国产品应当符合以下条件：</w:t>
      </w:r>
    </w:p>
    <w:p w14:paraId="57EC8062">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（一）在中国境内生产</w:t>
      </w:r>
    </w:p>
    <w:p w14:paraId="05DE1EA7">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产品应当在中国境内生产，即在中华人民共和国关境内实现从原材料、组件到产品的属性改变。</w:t>
      </w:r>
    </w:p>
    <w:p w14:paraId="0B26B314">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6A9B33B5">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1.为确保产品在运输或者储存期间保持某种状态而进行的操作；</w:t>
      </w:r>
    </w:p>
    <w:p w14:paraId="2C7B82D2">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2.为产品运输或者销售进行的包装或者展示；</w:t>
      </w:r>
    </w:p>
    <w:p w14:paraId="1AE98BBB">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3.在产品或者其包装上粘贴或者印刷品牌、标志、标识以及其他用于区别的标记；</w:t>
      </w:r>
    </w:p>
    <w:p w14:paraId="4E3DF5EC">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4.简单的上漆、磨光和分装；</w:t>
      </w:r>
    </w:p>
    <w:p w14:paraId="2DA58D53">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5.其他不属于属性改变的情形。</w:t>
      </w:r>
    </w:p>
    <w:p w14:paraId="0FDB868E">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（二）在中国境内生产的组件成本占比达到规定比例</w:t>
      </w:r>
    </w:p>
    <w:p w14:paraId="0C82B0AF">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产品在中国境内生产的组件成本占比应当达到规定比例，计算公式为：</w:t>
      </w:r>
    </w:p>
    <w:p w14:paraId="4FB2DA49">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产品在中国境内生产的组件成本/产品总成本≥规定比例</w:t>
      </w:r>
    </w:p>
    <w:p w14:paraId="01FFB7C4">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01F388B">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（三）特定产品的关键组件、关键工序符合相关要求</w:t>
      </w:r>
    </w:p>
    <w:p w14:paraId="39E1417F">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20818801">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36.5.2本国产品标准的适用范围</w:t>
      </w:r>
    </w:p>
    <w:p w14:paraId="001D48EC">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7F96394">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36.5.3对本国产品的支持政策</w:t>
      </w:r>
    </w:p>
    <w:p w14:paraId="53BA9399">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66F591DA">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6B0ABD8B">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36.5.4产品在中国境内生产的组件成本，按照《中国境内生产的组件成本核算基本规则》计算。</w:t>
      </w:r>
    </w:p>
    <w:p w14:paraId="5DCFE500">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36.5.5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的，依照《中华人民共和国政府采购法》等法律法规规定追究相应责任。</w:t>
      </w:r>
    </w:p>
    <w:p w14:paraId="68EF1C67">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采购人、采购代理机构将随中标、成交结果同时公告中标、成交供应商提供的《声明函》或有关证明文件。</w:t>
      </w:r>
    </w:p>
    <w:p w14:paraId="6727407B">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36.6</w:t>
      </w:r>
      <w:r>
        <w:rPr>
          <w:rFonts w:hint="eastAsia" w:ascii="宋体" w:hAnsi="宋体" w:eastAsia="宋体" w:cs="宋体"/>
          <w:color w:val="000000" w:themeColor="text1"/>
          <w:szCs w:val="21"/>
          <w:highlight w:val="none"/>
          <w:lang w:eastAsia="zh-CN"/>
          <w14:textFill>
            <w14:solidFill>
              <w14:schemeClr w14:val="tx1"/>
            </w14:solidFill>
          </w14:textFill>
        </w:rPr>
        <w:t xml:space="preserve">其它注意事项：以下情况视为投标人同意撤回已上传系统的投标文件或其投标文件无效： </w:t>
      </w:r>
    </w:p>
    <w:p w14:paraId="62801201">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（1）政采云电子平台显示投标人未上传投标文件；</w:t>
      </w:r>
    </w:p>
    <w:p w14:paraId="4CEFB778">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（2）因投标人原因上传的投标文件在开启文件时无法解密。</w:t>
      </w:r>
    </w:p>
    <w:p w14:paraId="3A45904C">
      <w:pPr>
        <w:pStyle w:val="15"/>
        <w:pageBreakBefore w:val="0"/>
        <w:kinsoku/>
        <w:overflowPunct/>
        <w:topLinePunct w:val="0"/>
        <w:bidi w:val="0"/>
        <w:adjustRightInd/>
        <w:spacing w:line="480" w:lineRule="exact"/>
        <w:ind w:left="0" w:leftChars="0" w:firstLineChars="20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）因投标人自身原因导致未在规定时间内完成投标文件解密。</w:t>
      </w:r>
    </w:p>
    <w:p w14:paraId="596DBBF5">
      <w:pPr>
        <w:pageBreakBefore w:val="0"/>
        <w:widowControl/>
        <w:kinsoku/>
        <w:overflowPunct/>
        <w:topLinePunct w:val="0"/>
        <w:bidi w:val="0"/>
        <w:adjustRightInd/>
        <w:spacing w:line="480" w:lineRule="exact"/>
        <w:ind w:left="0" w:leftChars="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br w:type="page"/>
      </w:r>
      <w:r>
        <w:rPr>
          <w:rFonts w:hint="eastAsia" w:ascii="宋体" w:hAnsi="宋体" w:eastAsia="宋体" w:cs="宋体"/>
          <w:b/>
          <w:bCs/>
          <w:color w:val="000000" w:themeColor="text1"/>
          <w:kern w:val="0"/>
          <w:szCs w:val="21"/>
          <w:highlight w:val="none"/>
          <w14:textFill>
            <w14:solidFill>
              <w14:schemeClr w14:val="tx1"/>
            </w14:solidFill>
          </w14:textFill>
        </w:rPr>
        <w:t>附件</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w:t>
      </w:r>
    </w:p>
    <w:p w14:paraId="67BE5223">
      <w:pPr>
        <w:pStyle w:val="4"/>
        <w:pageBreakBefore w:val="0"/>
        <w:kinsoku/>
        <w:overflowPunct/>
        <w:topLinePunct w:val="0"/>
        <w:bidi w:val="0"/>
        <w:adjustRightInd/>
        <w:spacing w:before="0" w:line="480" w:lineRule="exact"/>
        <w:ind w:left="0" w:leftChars="0"/>
        <w:jc w:val="center"/>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43" w:name="_Toc19513"/>
      <w:bookmarkStart w:id="44" w:name="_Toc31144"/>
      <w:r>
        <w:rPr>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t>《</w:t>
      </w:r>
      <w:r>
        <w:rPr>
          <w:rFonts w:hint="eastAsia" w:ascii="宋体" w:hAnsi="宋体" w:eastAsia="宋体" w:cs="宋体"/>
          <w:color w:val="000000" w:themeColor="text1"/>
          <w:spacing w:val="0"/>
          <w:kern w:val="0"/>
          <w:sz w:val="28"/>
          <w:szCs w:val="28"/>
          <w:highlight w:val="none"/>
          <w14:textFill>
            <w14:solidFill>
              <w14:schemeClr w14:val="tx1"/>
            </w14:solidFill>
          </w14:textFill>
        </w:rPr>
        <w:t>中小企业划型标准规定</w:t>
      </w:r>
      <w:r>
        <w:rPr>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t>》</w:t>
      </w:r>
      <w:bookmarkEnd w:id="43"/>
      <w:bookmarkEnd w:id="44"/>
    </w:p>
    <w:p w14:paraId="2470383F">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一、根据《中华人民共和国中小企业促进法》和《国务院关于进一步促进中小企业发展的若干意见》(国发〔2009〕36号)，制定本规定。</w:t>
      </w:r>
    </w:p>
    <w:p w14:paraId="5E21A76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二、中小企业划分为中型、小型、微型三种类型，具体标准根据企业从业人员、营业收入、资产总额等指标，结合行业特点制定。</w:t>
      </w:r>
    </w:p>
    <w:p w14:paraId="37F7B90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8839C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45" w:name="_Toc5251"/>
      <w:bookmarkStart w:id="46" w:name="_Toc10085"/>
      <w:r>
        <w:rPr>
          <w:rFonts w:hint="eastAsia" w:ascii="宋体" w:hAnsi="宋体" w:eastAsia="宋体" w:cs="宋体"/>
          <w:color w:val="000000" w:themeColor="text1"/>
          <w:sz w:val="21"/>
          <w:szCs w:val="21"/>
          <w:highlight w:val="none"/>
          <w14:textFill>
            <w14:solidFill>
              <w14:schemeClr w14:val="tx1"/>
            </w14:solidFill>
          </w14:textFill>
        </w:rPr>
        <w:t>四、各行业划型标准为：</w:t>
      </w:r>
      <w:bookmarkEnd w:id="45"/>
      <w:bookmarkEnd w:id="46"/>
    </w:p>
    <w:p w14:paraId="5411CE5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24782068">
      <w:pPr>
        <w:keepNext w:val="0"/>
        <w:keepLines w:val="0"/>
        <w:pageBreakBefore w:val="0"/>
        <w:widowControl w:val="0"/>
        <w:kinsoku/>
        <w:wordWrap/>
        <w:overflowPunct/>
        <w:topLinePunct w:val="0"/>
        <w:autoSpaceDE/>
        <w:autoSpaceDN/>
        <w:bidi w:val="0"/>
        <w:adjustRightInd/>
        <w:snapToGrid/>
        <w:spacing w:line="480" w:lineRule="exact"/>
        <w:ind w:left="0" w:leftChars="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E575AF">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BB5EC6">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E19F72">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44CFE9B">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37FAB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629E1B5">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5200E7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B579C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BAA5DF">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E3752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49903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70A1E01">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601ADB">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D03FC94">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23F7FE81">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47" w:name="_Toc30158"/>
      <w:bookmarkStart w:id="48" w:name="_Toc7593"/>
      <w:r>
        <w:rPr>
          <w:rFonts w:hint="eastAsia" w:ascii="宋体" w:hAnsi="宋体" w:eastAsia="宋体" w:cs="宋体"/>
          <w:color w:val="000000" w:themeColor="text1"/>
          <w:sz w:val="21"/>
          <w:szCs w:val="21"/>
          <w:highlight w:val="none"/>
          <w14:textFill>
            <w14:solidFill>
              <w14:schemeClr w14:val="tx1"/>
            </w14:solidFill>
          </w14:textFill>
        </w:rPr>
        <w:t>五、企业类型的划分以统计部门的统计数据为依据。</w:t>
      </w:r>
      <w:bookmarkEnd w:id="47"/>
      <w:bookmarkEnd w:id="48"/>
    </w:p>
    <w:p w14:paraId="34FFB22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3AE49D91">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72AF4C8E">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八、本规定由工业和信息化部、国家统计局会同有关部门根据《国民经济行业分类》修订情况和企业发展变化情况适时修订。</w:t>
      </w:r>
    </w:p>
    <w:p w14:paraId="08FC5C0E">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49" w:name="_Toc4216"/>
      <w:bookmarkStart w:id="50" w:name="_Toc23749"/>
      <w:r>
        <w:rPr>
          <w:rFonts w:hint="eastAsia" w:ascii="宋体" w:hAnsi="宋体" w:eastAsia="宋体" w:cs="宋体"/>
          <w:color w:val="000000" w:themeColor="text1"/>
          <w:sz w:val="21"/>
          <w:szCs w:val="21"/>
          <w:highlight w:val="none"/>
          <w14:textFill>
            <w14:solidFill>
              <w14:schemeClr w14:val="tx1"/>
            </w14:solidFill>
          </w14:textFill>
        </w:rPr>
        <w:t>九、本规定由工业和信息化部、国家统计局会同有关部门负责解释。</w:t>
      </w:r>
      <w:bookmarkEnd w:id="49"/>
      <w:bookmarkEnd w:id="50"/>
    </w:p>
    <w:p w14:paraId="283D334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十、本规定自发布之日起执行，原国家经贸委、原国家计委、财政部和国家统计局2003年颁布的《中小企业标准暂行规定》同时废止。</w:t>
      </w:r>
    </w:p>
    <w:p w14:paraId="272D8519">
      <w:pPr>
        <w:adjustRightInd w:val="0"/>
        <w:snapToGrid w:val="0"/>
        <w:spacing w:line="360" w:lineRule="auto"/>
        <w:rPr>
          <w:rFonts w:hint="eastAsia" w:ascii="宋体" w:hAnsi="宋体" w:cs="宋体"/>
          <w:b/>
          <w:bCs/>
          <w:szCs w:val="21"/>
          <w:highlight w:val="none"/>
        </w:rPr>
      </w:pPr>
      <w:r>
        <w:rPr>
          <w:rFonts w:hint="eastAsia" w:ascii="宋体" w:hAnsi="宋体" w:eastAsia="宋体" w:cs="宋体"/>
          <w:color w:val="000000" w:themeColor="text1"/>
          <w:szCs w:val="32"/>
          <w:highlight w:val="none"/>
          <w14:textFill>
            <w14:solidFill>
              <w14:schemeClr w14:val="tx1"/>
            </w14:solidFill>
          </w14:textFill>
        </w:rPr>
        <w:br w:type="page"/>
      </w:r>
      <w:r>
        <w:rPr>
          <w:rFonts w:hint="eastAsia" w:ascii="宋体" w:hAnsi="宋体" w:cs="宋体"/>
          <w:b/>
          <w:bCs/>
          <w:szCs w:val="21"/>
          <w:highlight w:val="none"/>
        </w:rPr>
        <w:t>附件2：</w:t>
      </w:r>
    </w:p>
    <w:p w14:paraId="1857D911">
      <w:pPr>
        <w:pStyle w:val="9"/>
        <w:shd w:val="clear" w:color="auto" w:fill="FFFFFF"/>
        <w:adjustRightInd w:val="0"/>
        <w:snapToGrid w:val="0"/>
        <w:spacing w:before="0" w:beforeAutospacing="0" w:after="0" w:afterAutospacing="0" w:line="360" w:lineRule="auto"/>
        <w:jc w:val="center"/>
        <w:rPr>
          <w:rFonts w:hint="eastAsia" w:cs="宋体"/>
          <w:highlight w:val="none"/>
        </w:rPr>
      </w:pPr>
      <w:r>
        <w:rPr>
          <w:rFonts w:hint="eastAsia" w:cs="宋体"/>
          <w:b/>
          <w:bCs/>
          <w:highlight w:val="none"/>
          <w:shd w:val="clear" w:color="auto" w:fill="FFFFFF"/>
          <w:lang w:bidi="ar"/>
        </w:rPr>
        <w:t>《中国境内生产的组件成本核算基本规则》</w:t>
      </w:r>
    </w:p>
    <w:p w14:paraId="7D2F1180">
      <w:pPr>
        <w:pStyle w:val="9"/>
        <w:shd w:val="clear" w:color="auto" w:fill="FFFFFF"/>
        <w:adjustRightInd w:val="0"/>
        <w:snapToGrid w:val="0"/>
        <w:spacing w:before="0" w:beforeAutospacing="0" w:after="0" w:afterAutospacing="0" w:line="360" w:lineRule="auto"/>
        <w:ind w:firstLine="420" w:firstLineChars="200"/>
        <w:jc w:val="both"/>
        <w:rPr>
          <w:rFonts w:hint="eastAsia" w:cs="宋体"/>
          <w:sz w:val="21"/>
          <w:szCs w:val="21"/>
          <w:highlight w:val="none"/>
          <w:shd w:val="clear" w:color="auto" w:fill="FFFFFF"/>
          <w:lang w:bidi="ar"/>
        </w:rPr>
      </w:pPr>
      <w:r>
        <w:rPr>
          <w:rFonts w:hint="eastAsia" w:cs="宋体"/>
          <w:sz w:val="21"/>
          <w:szCs w:val="21"/>
          <w:highlight w:val="none"/>
          <w:shd w:val="clear" w:color="auto" w:fill="FFFFFF"/>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1BF61C6">
      <w:pPr>
        <w:pStyle w:val="9"/>
        <w:shd w:val="clear" w:color="auto" w:fill="FFFFFF"/>
        <w:adjustRightInd w:val="0"/>
        <w:snapToGrid w:val="0"/>
        <w:spacing w:before="0" w:beforeAutospacing="0" w:after="0" w:afterAutospacing="0" w:line="360" w:lineRule="auto"/>
        <w:ind w:firstLine="420" w:firstLineChars="200"/>
        <w:jc w:val="both"/>
        <w:rPr>
          <w:rFonts w:hint="eastAsia" w:cs="宋体"/>
          <w:sz w:val="21"/>
          <w:szCs w:val="21"/>
          <w:highlight w:val="none"/>
          <w:shd w:val="clear" w:color="auto" w:fill="FFFFFF"/>
          <w:lang w:bidi="ar"/>
        </w:rPr>
      </w:pPr>
      <w:r>
        <w:rPr>
          <w:rFonts w:hint="eastAsia" w:cs="宋体"/>
          <w:sz w:val="21"/>
          <w:szCs w:val="21"/>
          <w:highlight w:val="none"/>
          <w:shd w:val="clear" w:color="auto" w:fill="FFFFFF"/>
          <w:lang w:bidi="ar"/>
        </w:rPr>
        <w:t>一、产品的一级组件是指直接组成产品的组件。产品的二级组件是指直接组成产品一级组件的组件。一级组件不可分解的，视同二级组件。</w:t>
      </w:r>
    </w:p>
    <w:p w14:paraId="7616AF96">
      <w:pPr>
        <w:pStyle w:val="9"/>
        <w:shd w:val="clear" w:color="auto" w:fill="FFFFFF"/>
        <w:adjustRightInd w:val="0"/>
        <w:snapToGrid w:val="0"/>
        <w:spacing w:before="0" w:beforeAutospacing="0" w:after="0" w:afterAutospacing="0" w:line="360" w:lineRule="auto"/>
        <w:ind w:firstLine="420" w:firstLineChars="200"/>
        <w:jc w:val="both"/>
        <w:rPr>
          <w:rFonts w:hint="eastAsia" w:cs="宋体"/>
          <w:sz w:val="21"/>
          <w:szCs w:val="21"/>
          <w:highlight w:val="none"/>
          <w:shd w:val="clear" w:color="auto" w:fill="FFFFFF"/>
          <w:lang w:bidi="ar"/>
        </w:rPr>
      </w:pPr>
      <w:r>
        <w:rPr>
          <w:rFonts w:hint="eastAsia" w:cs="宋体"/>
          <w:sz w:val="21"/>
          <w:szCs w:val="21"/>
          <w:highlight w:val="none"/>
          <w:shd w:val="clear" w:color="auto" w:fill="FFFFFF"/>
          <w:lang w:bidi="ar"/>
        </w:rPr>
        <w:t>二、二级组件在中国境内生产的，其全部成本计入中国境内生产的组件成本；二级组件不在中国境内生产的，其成本不计入中国境内生产的组件成本。</w:t>
      </w:r>
    </w:p>
    <w:p w14:paraId="5F5AF258">
      <w:pPr>
        <w:pStyle w:val="9"/>
        <w:shd w:val="clear" w:color="auto" w:fill="FFFFFF"/>
        <w:adjustRightInd w:val="0"/>
        <w:snapToGrid w:val="0"/>
        <w:spacing w:before="0" w:beforeAutospacing="0" w:after="0" w:afterAutospacing="0" w:line="360" w:lineRule="auto"/>
        <w:ind w:firstLine="420" w:firstLineChars="200"/>
        <w:jc w:val="both"/>
        <w:rPr>
          <w:rFonts w:hint="eastAsia" w:cs="宋体"/>
          <w:sz w:val="21"/>
          <w:szCs w:val="21"/>
          <w:highlight w:val="none"/>
          <w:shd w:val="clear" w:color="auto" w:fill="FFFFFF"/>
          <w:lang w:bidi="ar"/>
        </w:rPr>
      </w:pPr>
      <w:r>
        <w:rPr>
          <w:rFonts w:hint="eastAsia" w:cs="宋体"/>
          <w:sz w:val="21"/>
          <w:szCs w:val="21"/>
          <w:highlight w:val="none"/>
          <w:shd w:val="clear" w:color="auto" w:fill="FFFFFF"/>
          <w:lang w:bidi="ar"/>
        </w:rPr>
        <w:t>三、产品总成本和组件成本以相关会计核算数据、采购合同、进货记录等为基础进行计算。</w:t>
      </w:r>
    </w:p>
    <w:p w14:paraId="3F1006B1">
      <w:pPr>
        <w:pStyle w:val="9"/>
        <w:shd w:val="clear" w:color="auto" w:fill="FFFFFF"/>
        <w:adjustRightInd w:val="0"/>
        <w:snapToGrid w:val="0"/>
        <w:spacing w:before="0" w:beforeAutospacing="0" w:after="0" w:afterAutospacing="0" w:line="360" w:lineRule="auto"/>
        <w:ind w:firstLine="420" w:firstLineChars="200"/>
        <w:jc w:val="both"/>
        <w:rPr>
          <w:rFonts w:hint="eastAsia" w:cs="宋体"/>
          <w:sz w:val="21"/>
          <w:szCs w:val="21"/>
          <w:highlight w:val="none"/>
          <w:shd w:val="clear" w:color="auto" w:fill="FFFFFF"/>
        </w:rPr>
      </w:pPr>
      <w:r>
        <w:rPr>
          <w:rFonts w:hint="eastAsia" w:cs="宋体"/>
          <w:sz w:val="21"/>
          <w:szCs w:val="21"/>
          <w:highlight w:val="none"/>
          <w:shd w:val="clear" w:color="auto" w:fill="FFFFFF"/>
          <w:lang w:bidi="ar"/>
        </w:rPr>
        <w:t>四、需要对成本核算规则予以进一步明确的其他有关事项，由财政部会同有关部门另行规定。</w:t>
      </w:r>
    </w:p>
    <w:p w14:paraId="27951DEC">
      <w:pPr>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br w:type="page"/>
      </w:r>
    </w:p>
    <w:p w14:paraId="0AE43ABF">
      <w:pPr>
        <w:pStyle w:val="2"/>
        <w:pageBreakBefore w:val="0"/>
        <w:kinsoku/>
        <w:wordWrap/>
        <w:overflowPunct/>
        <w:topLinePunct w:val="0"/>
        <w:bidi w:val="0"/>
        <w:spacing w:before="0" w:after="0" w:line="480" w:lineRule="exact"/>
        <w:textAlignment w:val="auto"/>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51" w:name="_Toc32183"/>
      <w:r>
        <w:rPr>
          <w:rFonts w:hint="eastAsia" w:ascii="宋体" w:hAnsi="宋体" w:cs="宋体"/>
          <w:color w:val="000000" w:themeColor="text1"/>
          <w:sz w:val="32"/>
          <w:szCs w:val="32"/>
          <w:highlight w:val="none"/>
          <w:lang w:eastAsia="zh-CN"/>
          <w14:textFill>
            <w14:solidFill>
              <w14:schemeClr w14:val="tx1"/>
            </w14:solidFill>
          </w14:textFill>
        </w:rPr>
        <w:t>第三章</w:t>
      </w:r>
      <w:r>
        <w:rPr>
          <w:rFonts w:hint="eastAsia" w:ascii="宋体" w:hAnsi="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color w:val="000000" w:themeColor="text1"/>
          <w:sz w:val="32"/>
          <w:szCs w:val="32"/>
          <w:highlight w:val="none"/>
          <w:lang w:eastAsia="zh-CN"/>
          <w14:textFill>
            <w14:solidFill>
              <w14:schemeClr w14:val="tx1"/>
            </w14:solidFill>
          </w14:textFill>
        </w:rPr>
        <w:t>政府采购合同专用条款及合同书样式</w:t>
      </w:r>
      <w:bookmarkEnd w:id="51"/>
    </w:p>
    <w:p w14:paraId="3A443ED0">
      <w:pPr>
        <w:pStyle w:val="4"/>
        <w:pageBreakBefore w:val="0"/>
        <w:kinsoku/>
        <w:wordWrap/>
        <w:overflowPunct/>
        <w:topLinePunct w:val="0"/>
        <w:bidi w:val="0"/>
        <w:spacing w:before="0" w:line="480" w:lineRule="exact"/>
        <w:jc w:val="center"/>
        <w:textAlignment w:val="auto"/>
        <w:rPr>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bookmarkStart w:id="52" w:name="_Toc20855"/>
      <w:r>
        <w:rPr>
          <w:rFonts w:hint="eastAsia" w:ascii="宋体" w:hAnsi="宋体" w:cs="宋体"/>
          <w:color w:val="000000" w:themeColor="text1"/>
          <w:spacing w:val="0"/>
          <w:kern w:val="0"/>
          <w:sz w:val="28"/>
          <w:szCs w:val="28"/>
          <w:highlight w:val="none"/>
          <w:lang w:val="en-US" w:eastAsia="zh-CN"/>
          <w14:textFill>
            <w14:solidFill>
              <w14:schemeClr w14:val="tx1"/>
            </w14:solidFill>
          </w14:textFill>
        </w:rPr>
        <w:t>政府采购合同专用条款</w:t>
      </w:r>
      <w:bookmarkEnd w:id="52"/>
    </w:p>
    <w:tbl>
      <w:tblPr>
        <w:tblStyle w:val="40"/>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116"/>
      </w:tblGrid>
      <w:tr w14:paraId="337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1" w:type="dxa"/>
            <w:vAlign w:val="center"/>
          </w:tcPr>
          <w:p w14:paraId="7925F9A9">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序号</w:t>
            </w:r>
          </w:p>
        </w:tc>
        <w:tc>
          <w:tcPr>
            <w:tcW w:w="8116" w:type="dxa"/>
            <w:vAlign w:val="center"/>
          </w:tcPr>
          <w:p w14:paraId="6DCAA344">
            <w:pPr>
              <w:pStyle w:val="23"/>
              <w:keepNext w:val="0"/>
              <w:keepLines w:val="0"/>
              <w:pageBreakBefore w:val="0"/>
              <w:widowControl w:val="0"/>
              <w:kinsoku/>
              <w:wordWrap/>
              <w:overflowPunct/>
              <w:topLinePunct w:val="0"/>
              <w:autoSpaceDE/>
              <w:autoSpaceDN/>
              <w:bidi w:val="0"/>
              <w:adjustRightInd/>
              <w:snapToGrid/>
              <w:spacing w:line="440" w:lineRule="exact"/>
              <w:ind w:firstLine="211" w:firstLineChars="100"/>
              <w:jc w:val="center"/>
              <w:textAlignment w:val="auto"/>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商务条款</w:t>
            </w:r>
          </w:p>
        </w:tc>
      </w:tr>
      <w:tr w14:paraId="6811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91" w:type="dxa"/>
            <w:vAlign w:val="center"/>
          </w:tcPr>
          <w:p w14:paraId="61A48338">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p>
        </w:tc>
        <w:tc>
          <w:tcPr>
            <w:tcW w:w="8116" w:type="dxa"/>
            <w:vAlign w:val="center"/>
          </w:tcPr>
          <w:p w14:paraId="730D1C23">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交货期、交货地点</w:t>
            </w:r>
          </w:p>
          <w:p w14:paraId="5DFD7F21">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1.交货期：</w:t>
            </w:r>
            <w:r>
              <w:rPr>
                <w:rFonts w:hint="eastAsia" w:hAnsi="宋体" w:cs="宋体"/>
                <w:color w:val="000000" w:themeColor="text1"/>
                <w:szCs w:val="21"/>
                <w:highlight w:val="none"/>
                <w:lang w:eastAsia="zh-CN"/>
                <w14:textFill>
                  <w14:solidFill>
                    <w14:schemeClr w14:val="tx1"/>
                  </w14:solidFill>
                </w14:textFill>
              </w:rPr>
              <w:t>合同签订后接采购人通知30个日历天内完成交货及安装调试并交付使用</w:t>
            </w:r>
            <w:r>
              <w:rPr>
                <w:rFonts w:hint="eastAsia" w:ascii="宋体" w:hAnsi="宋体" w:eastAsia="宋体" w:cs="宋体"/>
                <w:color w:val="000000" w:themeColor="text1"/>
                <w:szCs w:val="21"/>
                <w:highlight w:val="none"/>
                <w:lang w:eastAsia="zh-CN"/>
                <w14:textFill>
                  <w14:solidFill>
                    <w14:schemeClr w14:val="tx1"/>
                  </w14:solidFill>
                </w14:textFill>
              </w:rPr>
              <w:t>。</w:t>
            </w:r>
          </w:p>
          <w:p w14:paraId="43732723">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2.交货地点：云南省第一人民医院指定地点。</w:t>
            </w:r>
          </w:p>
        </w:tc>
      </w:tr>
      <w:tr w14:paraId="653C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1" w:type="dxa"/>
            <w:vAlign w:val="center"/>
          </w:tcPr>
          <w:p w14:paraId="179B2077">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2</w:t>
            </w:r>
          </w:p>
        </w:tc>
        <w:tc>
          <w:tcPr>
            <w:tcW w:w="8116" w:type="dxa"/>
            <w:vAlign w:val="center"/>
          </w:tcPr>
          <w:p w14:paraId="328932A1">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培训要求：</w:t>
            </w:r>
          </w:p>
          <w:p w14:paraId="6908468A">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现场培训：乙方向甲方提供不少于5天的设备现场例行免费培训，直至使用人员及工程师能完全掌握使用方法，独立完成操作为止。培训内容包括设备的调试、使用、一般的维修、维护及保养等，食宿自理（各自负责）。</w:t>
            </w:r>
          </w:p>
        </w:tc>
      </w:tr>
      <w:tr w14:paraId="2C6F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1" w:type="dxa"/>
            <w:vAlign w:val="center"/>
          </w:tcPr>
          <w:p w14:paraId="0CFE5FB0">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★3</w:t>
            </w:r>
          </w:p>
        </w:tc>
        <w:tc>
          <w:tcPr>
            <w:tcW w:w="8116" w:type="dxa"/>
            <w:vAlign w:val="center"/>
          </w:tcPr>
          <w:p w14:paraId="4A5E007D">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质保期：</w:t>
            </w:r>
          </w:p>
          <w:p w14:paraId="46D3681A">
            <w:pPr>
              <w:pStyle w:val="23"/>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乙方提供的货物须符合国家相关法律法规规定的质量标准，为正规厂家生产、正规渠道销售的全新合格货物，且没有任何质量瑕疵（国产医疗器械生产日期至合同签订之日不得超过6个月，其余设备生产日期至合同签订之日不得超过12个月）</w:t>
            </w:r>
            <w:r>
              <w:rPr>
                <w:rFonts w:hint="eastAsia"/>
                <w:color w:val="000000" w:themeColor="text1"/>
                <w:highlight w:val="none"/>
                <w14:textFill>
                  <w14:solidFill>
                    <w14:schemeClr w14:val="tx1"/>
                  </w14:solidFill>
                </w14:textFill>
              </w:rPr>
              <w:t>。</w:t>
            </w:r>
          </w:p>
          <w:p w14:paraId="05D0B0C3">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设备整机质量保证期为验收合格之日起</w:t>
            </w:r>
            <w:r>
              <w:rPr>
                <w:rFonts w:hint="eastAsia"/>
                <w:color w:val="000000" w:themeColor="text1"/>
                <w:highlight w:val="none"/>
                <w:lang w:val="en-US" w:eastAsia="zh-CN"/>
                <w14:textFill>
                  <w14:solidFill>
                    <w14:schemeClr w14:val="tx1"/>
                  </w14:solidFill>
                </w14:textFill>
              </w:rPr>
              <w:t>≥8年。</w:t>
            </w:r>
          </w:p>
        </w:tc>
      </w:tr>
      <w:tr w14:paraId="7E4C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1" w:type="dxa"/>
            <w:vAlign w:val="center"/>
          </w:tcPr>
          <w:p w14:paraId="6074A932">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4</w:t>
            </w:r>
          </w:p>
        </w:tc>
        <w:tc>
          <w:tcPr>
            <w:tcW w:w="8116" w:type="dxa"/>
            <w:vAlign w:val="center"/>
          </w:tcPr>
          <w:p w14:paraId="63269705">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w:t>
            </w:r>
            <w:r>
              <w:rPr>
                <w:rFonts w:hint="eastAsia" w:ascii="宋体" w:hAnsi="宋体" w:eastAsia="宋体" w:cs="宋体"/>
                <w:color w:val="000000" w:themeColor="text1"/>
                <w:szCs w:val="21"/>
                <w:highlight w:val="none"/>
                <w:lang w:val="en-US" w:eastAsia="zh-CN"/>
                <w14:textFill>
                  <w14:solidFill>
                    <w14:schemeClr w14:val="tx1"/>
                  </w14:solidFill>
                </w14:textFill>
              </w:rPr>
              <w:t>后服务：</w:t>
            </w:r>
          </w:p>
          <w:p w14:paraId="5A20403C">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1.维修响应时间：在接到</w:t>
            </w:r>
            <w:r>
              <w:rPr>
                <w:rFonts w:hint="eastAsia" w:hAnsi="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lang w:val="en-US" w:eastAsia="zh-CN"/>
                <w14:textFill>
                  <w14:solidFill>
                    <w14:schemeClr w14:val="tx1"/>
                  </w14:solidFill>
                </w14:textFill>
              </w:rPr>
              <w:t>报修后，乙方可在2小时内进行答复，若需上门维修，48小时内赶到现场并及时排除故障，如有特殊情况，双方协议为准。若不能正常使用，48小时内提供备用机</w:t>
            </w:r>
            <w:r>
              <w:rPr>
                <w:rFonts w:hint="eastAsia" w:hAnsi="宋体" w:cs="宋体"/>
                <w:color w:val="000000" w:themeColor="text1"/>
                <w:szCs w:val="21"/>
                <w:highlight w:val="none"/>
                <w:lang w:val="en-US" w:eastAsia="zh-CN"/>
                <w14:textFill>
                  <w14:solidFill>
                    <w14:schemeClr w14:val="tx1"/>
                  </w14:solidFill>
                </w14:textFill>
              </w:rPr>
              <w:t>。</w:t>
            </w:r>
          </w:p>
          <w:p w14:paraId="52EE1783">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2.质保范围内正常损坏零部件不收取费用，每年提供至少一次大型整机检修服务；质保期内维修服务不收取服务费用。</w:t>
            </w:r>
          </w:p>
          <w:p w14:paraId="2E108F8A">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质保期外，甲方可优惠购买备品备件。维修工程师不定期访问，检查仪器的运行情况，交流应用方面技术。</w:t>
            </w:r>
          </w:p>
        </w:tc>
      </w:tr>
      <w:tr w14:paraId="414D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1" w:type="dxa"/>
            <w:vAlign w:val="center"/>
          </w:tcPr>
          <w:p w14:paraId="37D24D83">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★5</w:t>
            </w:r>
          </w:p>
        </w:tc>
        <w:tc>
          <w:tcPr>
            <w:tcW w:w="8116" w:type="dxa"/>
            <w:vAlign w:val="center"/>
          </w:tcPr>
          <w:p w14:paraId="001C1553">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r>
              <w:rPr>
                <w:rFonts w:hint="eastAsia" w:hAnsi="宋体"/>
                <w:color w:val="000000" w:themeColor="text1"/>
                <w:szCs w:val="21"/>
                <w:highlight w:val="none"/>
                <w:lang w:eastAsia="zh-CN"/>
                <w14:textFill>
                  <w14:solidFill>
                    <w14:schemeClr w14:val="tx1"/>
                  </w14:solidFill>
                </w14:textFill>
              </w:rPr>
              <w:t>：合同签订后，乙方向甲方缴纳合同总金额的10%作为履约保证金，甲方收到履约保证金后向乙方支付合同总金额的40%。付款前，乙方应向甲方开具同等金额的增值税普通发票。设备到货清点无误后，甲方向乙方支付合同总金额的30%。如乙方无任何违约行为，则验收合格后支付合同总金额的30%。一年后（从设备验收合格之日起算）如乙方无任何违约行为，且设备运行正常，由乙方书面申请，甲方确认后向乙方退还履约保证金（不计利息）。如乙方在一年期满后的三个月内未向甲方提出履约保证金退还申请，则视为乙方放弃对履约保证金退还的主张权，由此而产生的后果全部由乙方承担，甲方不承担任何违约责任。甲方向乙方退还履约保证金后并不免除乙方应承担的质保义务。方向乙方退还履约保证金后并不免除乙方应承担的质保义务。</w:t>
            </w:r>
          </w:p>
        </w:tc>
      </w:tr>
      <w:tr w14:paraId="74DC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91" w:type="dxa"/>
            <w:vAlign w:val="center"/>
          </w:tcPr>
          <w:p w14:paraId="15C8FCD1">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6</w:t>
            </w:r>
          </w:p>
        </w:tc>
        <w:tc>
          <w:tcPr>
            <w:tcW w:w="8116" w:type="dxa"/>
            <w:vAlign w:val="center"/>
          </w:tcPr>
          <w:p w14:paraId="01CF4BE3">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验收及验收标准：</w:t>
            </w:r>
          </w:p>
          <w:p w14:paraId="601529F7">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设备验收：设备到达甲方指定地点后，甲乙双方根据合同及其附件进行开箱、清点所有货品。符合后由乙方负责进行设备的安装和调试，安装调试完毕后，由甲方测试是否合格并满足技术要求。若开箱、清点发现货品不相符合的，乙方必须无条件按甲方要求予以更换。更换所产生的费用由乙方负责。</w:t>
            </w:r>
          </w:p>
          <w:p w14:paraId="580D1F01">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实质性操作验收：乙方将设备安装调试完毕后，甲方在使用过程中检验设备是否正常运作或使用。</w:t>
            </w:r>
          </w:p>
          <w:p w14:paraId="288FF9FC">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一般性项目由甲方组成验收小组进行项目验收。大型或复杂的项目，应当邀请国家认可的质量检测机构参与验收，验收合格后，验收方成员应在验收书上签字。</w:t>
            </w:r>
          </w:p>
          <w:p w14:paraId="0365B0EE">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甲方对设备的验收并不免除乙方对设备质量所应承担的责任。</w:t>
            </w:r>
          </w:p>
        </w:tc>
      </w:tr>
      <w:tr w14:paraId="0E06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Align w:val="center"/>
          </w:tcPr>
          <w:p w14:paraId="56658D01">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★7</w:t>
            </w:r>
          </w:p>
        </w:tc>
        <w:tc>
          <w:tcPr>
            <w:tcW w:w="8116" w:type="dxa"/>
            <w:vAlign w:val="center"/>
          </w:tcPr>
          <w:p w14:paraId="66C3015E">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其他要求：</w:t>
            </w:r>
          </w:p>
          <w:p w14:paraId="091D58C3">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若设备使用需要接入医院信息管理系统即（PACS/HIS/LIS/HRP/EMR/集成平台等），需与医院在用的信息系统进行无缝对接，与医院整体信息系统完全融合，本次投标所提供的软件支持永久免费开放所有接口和数据；在实施及免费质保期内与甲方现使用的信息系统及医院因业务需求需要对接的系统等信息系统免费无缝集成，免费配合第三方开发接口程序，实现与医院数据中心业务数据对接，对接本项目涉及到与第三方软件业务系统所发生的接口费用由乙方全额承担，包含在投标总价中。</w:t>
            </w:r>
          </w:p>
          <w:p w14:paraId="374B43B7">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在本项目中乙方必须无条件配合甲方建设并通过智慧医疗分级评价标准（电子病历系统功能应用水平分级评价）六级、配合医院信息互联互通标准化成熟度测评五乙、智慧服务分级评估3级、智慧管理分级评估3级的相关建设，必须积极主动推进相关建设、改造、应用和评测服务，通过评审。</w:t>
            </w:r>
          </w:p>
        </w:tc>
      </w:tr>
      <w:tr w14:paraId="1E70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Align w:val="center"/>
          </w:tcPr>
          <w:p w14:paraId="62FBC7A3">
            <w:pPr>
              <w:pStyle w:val="2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8</w:t>
            </w:r>
          </w:p>
        </w:tc>
        <w:tc>
          <w:tcPr>
            <w:tcW w:w="8116" w:type="dxa"/>
            <w:vAlign w:val="center"/>
          </w:tcPr>
          <w:p w14:paraId="3AF543B8">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违约责任：</w:t>
            </w:r>
          </w:p>
          <w:p w14:paraId="367049EA">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如乙方所交设备（含选购件）或安装调</w:t>
            </w:r>
            <w:bookmarkStart w:id="81" w:name="_GoBack"/>
            <w:bookmarkEnd w:id="81"/>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试与合同标准不相符合，则甲方有权拒收设备（含选购件）、解除本合同、拒付本合同项下的价款并追究乙方违约责任，乙方应返还甲方已支付的全部款项、按合同总价款的30%向甲方支付违约金，若因此给甲方造成损失，由乙方负责赔偿。</w:t>
            </w:r>
          </w:p>
          <w:p w14:paraId="1149D4DE">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在设备（含选购件）验收后的质保期内，乙方应对由于设计、工艺或者材料的缺陷而发生的任何不足或故障负责，并按本合同约定以及甲方要求承担维修义务，由此而发生的一切费用由乙方承担，若因此导致甲方不能正常使用设备（含选购件），甲方有权退货并追究乙方违约责任，乙方应返还甲方已支付的全部款项、按合同总价款的30%向甲方支付违约金并赔偿甲方因此而遭受的一切损失。</w:t>
            </w:r>
          </w:p>
          <w:p w14:paraId="5883877E">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除发生不可抗力事件（不可抗力事件仅指自然灾害、战争）外，如乙方逾期交货或安装调试逾期，则每逾期一天，乙方按合同总价的1%向甲方支付违约金，逾期30天，甲方有权解除合同并追究乙方违约责任，乙方应返还甲方已支付的全部款项、向甲方支付合同总价款30%的违约金并赔偿甲方因此而遭受的损失。</w:t>
            </w:r>
          </w:p>
          <w:p w14:paraId="75BE52A7">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保修期内，如乙方未按本合同约定提供保修服务，则甲方有权没收履约保证金并追究乙方违约责任，乙方应按合同总价款的30%向甲方支付违约金并赔偿甲方因此而遭受的损失。</w:t>
            </w:r>
          </w:p>
          <w:p w14:paraId="5B7B3859">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如乙方出现除上述12.1—12.4以外的其他违约行为或违反保证与承诺义务，应按合同总价款的30%向甲方支付违约金并赔偿甲方因此而遭受的损失。</w:t>
            </w:r>
          </w:p>
          <w:p w14:paraId="1F83BBB8">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如甲方无正当理由拒收设备，应按合同总价款的百分之五向乙方支付违约金以作为对乙方的损失赔偿。</w:t>
            </w:r>
          </w:p>
          <w:p w14:paraId="0D7CC53F">
            <w:pPr>
              <w:pStyle w:val="2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由于不可抗力（不可抗力仅指自然灾害、战争）所导致的违约，根据不可抗力的影响范围，可部分或全部免除违约方的违约责任，但违约方应及时通知对方并在不可抗力事件发生之日起5日内提供符合法律规定的证明文件，否则应赔偿对方因此而遭受的损失。</w:t>
            </w:r>
          </w:p>
        </w:tc>
      </w:tr>
    </w:tbl>
    <w:p w14:paraId="744C8B2E">
      <w:pPr>
        <w:rPr>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pPr>
      <w:r>
        <w:rPr>
          <w:rFonts w:hint="eastAsia" w:ascii="宋体" w:hAnsi="宋体" w:eastAsia="宋体" w:cs="宋体"/>
          <w:color w:val="000000" w:themeColor="text1"/>
          <w:spacing w:val="0"/>
          <w:kern w:val="0"/>
          <w:sz w:val="28"/>
          <w:szCs w:val="28"/>
          <w:highlight w:val="none"/>
          <w:lang w:eastAsia="zh-CN"/>
          <w14:textFill>
            <w14:solidFill>
              <w14:schemeClr w14:val="tx1"/>
            </w14:solidFill>
          </w14:textFill>
        </w:rPr>
        <w:br w:type="page"/>
      </w:r>
    </w:p>
    <w:p w14:paraId="483643AE">
      <w:pPr>
        <w:keepNext w:val="0"/>
        <w:keepLines w:val="0"/>
        <w:widowControl/>
        <w:suppressLineNumbers w:val="0"/>
        <w:jc w:val="center"/>
        <w:rPr>
          <w:rFonts w:ascii="黑体" w:hAnsi="宋体" w:eastAsia="黑体" w:cs="黑体"/>
          <w:color w:val="000000" w:themeColor="text1"/>
          <w:kern w:val="0"/>
          <w:sz w:val="50"/>
          <w:szCs w:val="50"/>
          <w:lang w:val="en-US" w:eastAsia="zh-CN" w:bidi="ar"/>
          <w14:textFill>
            <w14:solidFill>
              <w14:schemeClr w14:val="tx1"/>
            </w14:solidFill>
          </w14:textFill>
        </w:rPr>
      </w:pPr>
    </w:p>
    <w:p w14:paraId="559E7395">
      <w:pPr>
        <w:keepNext w:val="0"/>
        <w:keepLines w:val="0"/>
        <w:widowControl/>
        <w:suppressLineNumbers w:val="0"/>
        <w:jc w:val="center"/>
        <w:rPr>
          <w:rFonts w:hint="eastAsia" w:ascii="宋体" w:hAnsi="宋体" w:eastAsia="宋体" w:cs="宋体"/>
          <w:color w:val="000000" w:themeColor="text1"/>
          <w:kern w:val="0"/>
          <w:sz w:val="50"/>
          <w:szCs w:val="50"/>
          <w:lang w:val="en-US" w:eastAsia="zh-CN" w:bidi="ar"/>
          <w14:textFill>
            <w14:solidFill>
              <w14:schemeClr w14:val="tx1"/>
            </w14:solidFill>
          </w14:textFill>
        </w:rPr>
      </w:pPr>
    </w:p>
    <w:p w14:paraId="5C173457">
      <w:pPr>
        <w:keepNext w:val="0"/>
        <w:keepLines w:val="0"/>
        <w:widowControl/>
        <w:suppressLineNumbers w:val="0"/>
        <w:jc w:val="center"/>
        <w:rPr>
          <w:rFonts w:hint="eastAsia" w:ascii="宋体" w:hAnsi="宋体" w:eastAsia="宋体" w:cs="宋体"/>
          <w:color w:val="000000" w:themeColor="text1"/>
          <w:kern w:val="0"/>
          <w:sz w:val="50"/>
          <w:szCs w:val="50"/>
          <w:lang w:val="en-US" w:eastAsia="zh-CN" w:bidi="ar"/>
          <w14:textFill>
            <w14:solidFill>
              <w14:schemeClr w14:val="tx1"/>
            </w14:solidFill>
          </w14:textFill>
        </w:rPr>
      </w:pPr>
    </w:p>
    <w:p w14:paraId="2611FA94">
      <w:pPr>
        <w:keepNext w:val="0"/>
        <w:keepLines w:val="0"/>
        <w:widowControl/>
        <w:suppressLineNumbers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50"/>
          <w:szCs w:val="50"/>
          <w:lang w:val="en-US" w:eastAsia="zh-CN" w:bidi="ar"/>
          <w14:textFill>
            <w14:solidFill>
              <w14:schemeClr w14:val="tx1"/>
            </w14:solidFill>
          </w14:textFill>
        </w:rPr>
        <w:t>政府采购合同</w:t>
      </w:r>
    </w:p>
    <w:p w14:paraId="2D03F961">
      <w:pPr>
        <w:keepNext w:val="0"/>
        <w:keepLines w:val="0"/>
        <w:widowControl/>
        <w:suppressLineNumbers w:val="0"/>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28684625">
      <w:pPr>
        <w:keepNext w:val="0"/>
        <w:keepLines w:val="0"/>
        <w:widowControl/>
        <w:suppressLineNumbers w:val="0"/>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5710B006">
      <w:pPr>
        <w:keepNext w:val="0"/>
        <w:keepLines w:val="0"/>
        <w:widowControl/>
        <w:suppressLineNumbers w:val="0"/>
        <w:spacing w:line="360" w:lineRule="auto"/>
        <w:ind w:firstLine="960" w:firstLineChars="4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49BEE4BF">
      <w:pPr>
        <w:keepNext w:val="0"/>
        <w:keepLines w:val="0"/>
        <w:widowControl/>
        <w:suppressLineNumbers w:val="0"/>
        <w:spacing w:line="360" w:lineRule="auto"/>
        <w:ind w:firstLine="960" w:firstLineChars="4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 目 名 称：</w:t>
      </w:r>
    </w:p>
    <w:p w14:paraId="4380937A">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4E3C4A54">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2C711C23">
      <w:pPr>
        <w:keepNext w:val="0"/>
        <w:keepLines w:val="0"/>
        <w:widowControl/>
        <w:suppressLineNumbers w:val="0"/>
        <w:spacing w:line="360" w:lineRule="auto"/>
        <w:ind w:firstLine="960" w:firstLineChars="4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合 同 编 号：</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（系统编号）</w:t>
      </w:r>
    </w:p>
    <w:p w14:paraId="07625AA8">
      <w:pPr>
        <w:keepNext w:val="0"/>
        <w:keepLines w:val="0"/>
        <w:widowControl/>
        <w:suppressLineNumbers w:val="0"/>
        <w:spacing w:line="360" w:lineRule="auto"/>
        <w:ind w:firstLine="960" w:firstLineChars="4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74F44A52">
      <w:pPr>
        <w:keepNext w:val="0"/>
        <w:keepLines w:val="0"/>
        <w:widowControl/>
        <w:suppressLineNumbers w:val="0"/>
        <w:spacing w:line="360" w:lineRule="auto"/>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（自编号，如有）</w:t>
      </w:r>
    </w:p>
    <w:p w14:paraId="1B84415D">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58D0A532">
      <w:pPr>
        <w:keepNext w:val="0"/>
        <w:keepLines w:val="0"/>
        <w:widowControl/>
        <w:suppressLineNumbers w:val="0"/>
        <w:spacing w:line="360" w:lineRule="auto"/>
        <w:ind w:firstLine="960" w:firstLineChars="4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甲 方：云南省第一人民医院</w:t>
      </w:r>
    </w:p>
    <w:p w14:paraId="22859281">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13954B63">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14:paraId="1B925ABC">
      <w:pPr>
        <w:keepNext w:val="0"/>
        <w:keepLines w:val="0"/>
        <w:widowControl/>
        <w:suppressLineNumbers w:val="0"/>
        <w:spacing w:line="360" w:lineRule="auto"/>
        <w:ind w:firstLine="960" w:firstLineChars="4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乙 方：</w:t>
      </w:r>
    </w:p>
    <w:p w14:paraId="67F6B5E6">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14:paraId="403BEDB3">
      <w:pPr>
        <w:rPr>
          <w:rFonts w:hint="eastAsia"/>
          <w:color w:val="000000" w:themeColor="text1"/>
          <w14:textFill>
            <w14:solidFill>
              <w14:schemeClr w14:val="tx1"/>
            </w14:solidFill>
          </w14:textFill>
        </w:rPr>
      </w:pPr>
    </w:p>
    <w:p w14:paraId="723208C7">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甲方（采购人公章）名称：云南省第一人民医院</w:t>
      </w:r>
    </w:p>
    <w:p w14:paraId="37087F50">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地址：昆明市金碧路157号</w:t>
      </w:r>
    </w:p>
    <w:p w14:paraId="2E1DD752">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邮编：650000</w:t>
      </w:r>
    </w:p>
    <w:p w14:paraId="4D114DA1">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法定代表人或委托代理人：</w:t>
      </w:r>
    </w:p>
    <w:p w14:paraId="51C54A05">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项目（技术）负责人：</w:t>
      </w:r>
    </w:p>
    <w:p w14:paraId="554116AC">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电话：0871-63638089</w:t>
      </w:r>
    </w:p>
    <w:p w14:paraId="523EA3EC">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签订日期：</w:t>
      </w:r>
    </w:p>
    <w:p w14:paraId="41E33148">
      <w:pPr>
        <w:spacing w:line="480" w:lineRule="auto"/>
        <w:rPr>
          <w:rFonts w:hint="eastAsia" w:ascii="宋体" w:hAnsi="宋体" w:eastAsia="宋体" w:cs="宋体"/>
          <w:color w:val="000000" w:themeColor="text1"/>
          <w:lang w:val="en-US" w:eastAsia="zh-CN"/>
          <w14:textFill>
            <w14:solidFill>
              <w14:schemeClr w14:val="tx1"/>
            </w14:solidFill>
          </w14:textFill>
        </w:rPr>
      </w:pPr>
    </w:p>
    <w:p w14:paraId="51F4E153">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乙方（投标人公章）名称：</w:t>
      </w:r>
    </w:p>
    <w:p w14:paraId="6DA8BEA7">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地址：</w:t>
      </w:r>
    </w:p>
    <w:p w14:paraId="06C83413">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邮编：</w:t>
      </w:r>
    </w:p>
    <w:p w14:paraId="172FC8A6">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法定代表人或委托代理人：</w:t>
      </w:r>
    </w:p>
    <w:p w14:paraId="200398D4">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经办人：</w:t>
      </w:r>
    </w:p>
    <w:p w14:paraId="1287318B">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电话：</w:t>
      </w:r>
    </w:p>
    <w:p w14:paraId="345E4C42">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签订日期：</w:t>
      </w:r>
    </w:p>
    <w:p w14:paraId="031D5310">
      <w:pPr>
        <w:spacing w:line="480" w:lineRule="auto"/>
        <w:rPr>
          <w:rFonts w:hint="eastAsia" w:ascii="宋体" w:hAnsi="宋体" w:eastAsia="宋体" w:cs="宋体"/>
          <w:color w:val="000000" w:themeColor="text1"/>
          <w:lang w:val="en-US" w:eastAsia="zh-CN"/>
          <w14:textFill>
            <w14:solidFill>
              <w14:schemeClr w14:val="tx1"/>
            </w14:solidFill>
          </w14:textFill>
        </w:rPr>
      </w:pPr>
    </w:p>
    <w:p w14:paraId="336C47B8">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丙方（鉴证方公章）名称：云南冠睿咨询有限公司</w:t>
      </w:r>
    </w:p>
    <w:p w14:paraId="0FC834DE">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地址：云南省昆明市西山区万达广场南塔32层3201号</w:t>
      </w:r>
    </w:p>
    <w:p w14:paraId="493C17C3">
      <w:pPr>
        <w:spacing w:line="480" w:lineRule="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邮编：650000</w:t>
      </w:r>
    </w:p>
    <w:p w14:paraId="209C4C88">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法定代表人或委托代理人：</w:t>
      </w:r>
    </w:p>
    <w:p w14:paraId="72B0D3B5">
      <w:pPr>
        <w:spacing w:line="48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经办人：</w:t>
      </w:r>
    </w:p>
    <w:p w14:paraId="56513ED3">
      <w:pPr>
        <w:rPr>
          <w:rFonts w:hint="eastAsia" w:ascii="宋体" w:hAnsi="宋体" w:eastAsia="宋体" w:cs="宋体"/>
          <w:color w:val="000000" w:themeColor="text1"/>
          <w:spacing w:val="0"/>
          <w:kern w:val="0"/>
          <w:sz w:val="28"/>
          <w:szCs w:val="28"/>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电话：0871-65511240、65511241</w:t>
      </w:r>
      <w:r>
        <w:rPr>
          <w:rFonts w:hint="eastAsia" w:ascii="宋体" w:hAnsi="宋体" w:eastAsia="宋体" w:cs="宋体"/>
          <w:color w:val="000000" w:themeColor="text1"/>
          <w:spacing w:val="0"/>
          <w:kern w:val="0"/>
          <w:sz w:val="28"/>
          <w:szCs w:val="28"/>
          <w:highlight w:val="none"/>
          <w14:textFill>
            <w14:solidFill>
              <w14:schemeClr w14:val="tx1"/>
            </w14:solidFill>
          </w14:textFill>
        </w:rPr>
        <w:br w:type="page"/>
      </w:r>
    </w:p>
    <w:p w14:paraId="4B897A9C">
      <w:pPr>
        <w:pStyle w:val="4"/>
        <w:pageBreakBefore w:val="0"/>
        <w:kinsoku/>
        <w:wordWrap/>
        <w:overflowPunct/>
        <w:topLinePunct w:val="0"/>
        <w:bidi w:val="0"/>
        <w:spacing w:before="0" w:line="480" w:lineRule="exact"/>
        <w:ind w:left="0"/>
        <w:jc w:val="center"/>
        <w:textAlignment w:val="auto"/>
        <w:rPr>
          <w:rFonts w:hint="eastAsia" w:ascii="宋体" w:hAnsi="宋体" w:eastAsia="宋体" w:cs="宋体"/>
          <w:color w:val="000000" w:themeColor="text1"/>
          <w:spacing w:val="0"/>
          <w:kern w:val="0"/>
          <w:sz w:val="28"/>
          <w:szCs w:val="28"/>
          <w:highlight w:val="none"/>
          <w14:textFill>
            <w14:solidFill>
              <w14:schemeClr w14:val="tx1"/>
            </w14:solidFill>
          </w14:textFill>
        </w:rPr>
      </w:pPr>
      <w:bookmarkStart w:id="53" w:name="_Toc18987"/>
      <w:bookmarkStart w:id="54" w:name="_Toc12837"/>
      <w:r>
        <w:rPr>
          <w:rFonts w:hint="eastAsia" w:ascii="宋体" w:hAnsi="宋体" w:eastAsia="宋体" w:cs="宋体"/>
          <w:color w:val="000000" w:themeColor="text1"/>
          <w:spacing w:val="0"/>
          <w:kern w:val="0"/>
          <w:sz w:val="28"/>
          <w:szCs w:val="28"/>
          <w:highlight w:val="none"/>
          <w14:textFill>
            <w14:solidFill>
              <w14:schemeClr w14:val="tx1"/>
            </w14:solidFill>
          </w14:textFill>
        </w:rPr>
        <w:t>合同书样式</w:t>
      </w:r>
      <w:bookmarkEnd w:id="53"/>
      <w:bookmarkEnd w:id="54"/>
    </w:p>
    <w:p w14:paraId="7C046A22">
      <w:pPr>
        <w:spacing w:line="360" w:lineRule="auto"/>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（具体内容以实际签订合同为准）</w:t>
      </w:r>
    </w:p>
    <w:p w14:paraId="0717339C">
      <w:pPr>
        <w:spacing w:line="360" w:lineRule="auto"/>
        <w:jc w:val="lef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甲方：云南省第一人民医院</w:t>
      </w:r>
    </w:p>
    <w:p w14:paraId="0AEAFB58">
      <w:pPr>
        <w:spacing w:line="360" w:lineRule="auto"/>
        <w:jc w:val="lef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乙方: </w:t>
      </w:r>
    </w:p>
    <w:p w14:paraId="552FB80C">
      <w:pPr>
        <w:spacing w:line="360" w:lineRule="auto"/>
        <w:jc w:val="left"/>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丙方：                   （招标代理机构）</w:t>
      </w:r>
    </w:p>
    <w:p w14:paraId="604BA32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本合同由甲乙双方根据招标编号为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“云南省第一人民医院</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项目”的公开招标采购结果，经双方协定达成一致，签订以下合同，共同信守：</w:t>
      </w:r>
    </w:p>
    <w:p w14:paraId="083F4693">
      <w:pPr>
        <w:keepNext w:val="0"/>
        <w:keepLines w:val="0"/>
        <w:pageBreakBefore w:val="0"/>
        <w:widowControl w:val="0"/>
        <w:kinsoku/>
        <w:wordWrap/>
        <w:overflowPunct/>
        <w:topLinePunct w:val="0"/>
        <w:autoSpaceDE/>
        <w:autoSpaceDN/>
        <w:bidi w:val="0"/>
        <w:spacing w:line="440" w:lineRule="exact"/>
        <w:ind w:firstLine="422"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第一条甲方向乙方采购的产品、总价及付款方式</w:t>
      </w:r>
    </w:p>
    <w:p w14:paraId="66E2B6F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1.1产品清单及价格（此表须与招标文件一致）</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090"/>
        <w:gridCol w:w="750"/>
        <w:gridCol w:w="744"/>
        <w:gridCol w:w="478"/>
        <w:gridCol w:w="1223"/>
        <w:gridCol w:w="1070"/>
        <w:gridCol w:w="458"/>
        <w:gridCol w:w="813"/>
        <w:gridCol w:w="1528"/>
      </w:tblGrid>
      <w:tr w14:paraId="63A2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40" w:type="dxa"/>
            <w:noWrap w:val="0"/>
            <w:vAlign w:val="top"/>
          </w:tcPr>
          <w:p w14:paraId="16A4E43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序号</w:t>
            </w:r>
          </w:p>
        </w:tc>
        <w:tc>
          <w:tcPr>
            <w:tcW w:w="1090" w:type="dxa"/>
            <w:noWrap w:val="0"/>
            <w:vAlign w:val="top"/>
          </w:tcPr>
          <w:p w14:paraId="0FD9271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设备名称</w:t>
            </w:r>
          </w:p>
        </w:tc>
        <w:tc>
          <w:tcPr>
            <w:tcW w:w="750" w:type="dxa"/>
            <w:noWrap w:val="0"/>
            <w:vAlign w:val="top"/>
          </w:tcPr>
          <w:p w14:paraId="5D17E2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品牌</w:t>
            </w:r>
          </w:p>
        </w:tc>
        <w:tc>
          <w:tcPr>
            <w:tcW w:w="744" w:type="dxa"/>
            <w:noWrap w:val="0"/>
            <w:vAlign w:val="top"/>
          </w:tcPr>
          <w:p w14:paraId="1E8B3B3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设备型号</w:t>
            </w:r>
          </w:p>
        </w:tc>
        <w:tc>
          <w:tcPr>
            <w:tcW w:w="478" w:type="dxa"/>
            <w:noWrap w:val="0"/>
            <w:vAlign w:val="top"/>
          </w:tcPr>
          <w:p w14:paraId="14BE25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产地</w:t>
            </w:r>
          </w:p>
        </w:tc>
        <w:tc>
          <w:tcPr>
            <w:tcW w:w="1223" w:type="dxa"/>
            <w:noWrap w:val="0"/>
            <w:vAlign w:val="top"/>
          </w:tcPr>
          <w:p w14:paraId="103BA5C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注册证号</w:t>
            </w:r>
          </w:p>
        </w:tc>
        <w:tc>
          <w:tcPr>
            <w:tcW w:w="1070" w:type="dxa"/>
            <w:noWrap w:val="0"/>
            <w:vAlign w:val="top"/>
          </w:tcPr>
          <w:p w14:paraId="38BB50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生产厂家</w:t>
            </w:r>
          </w:p>
        </w:tc>
        <w:tc>
          <w:tcPr>
            <w:tcW w:w="458" w:type="dxa"/>
            <w:noWrap w:val="0"/>
            <w:vAlign w:val="top"/>
          </w:tcPr>
          <w:p w14:paraId="0C935A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数量</w:t>
            </w:r>
          </w:p>
        </w:tc>
        <w:tc>
          <w:tcPr>
            <w:tcW w:w="813" w:type="dxa"/>
            <w:noWrap w:val="0"/>
            <w:vAlign w:val="top"/>
          </w:tcPr>
          <w:p w14:paraId="1E8EFFC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单价（元）</w:t>
            </w:r>
          </w:p>
        </w:tc>
        <w:tc>
          <w:tcPr>
            <w:tcW w:w="1528" w:type="dxa"/>
            <w:noWrap w:val="0"/>
            <w:vAlign w:val="top"/>
          </w:tcPr>
          <w:p w14:paraId="75D245D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金额（元）</w:t>
            </w:r>
          </w:p>
        </w:tc>
      </w:tr>
      <w:tr w14:paraId="6A63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0" w:type="dxa"/>
            <w:noWrap w:val="0"/>
            <w:vAlign w:val="top"/>
          </w:tcPr>
          <w:p w14:paraId="35283B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1090" w:type="dxa"/>
            <w:noWrap w:val="0"/>
            <w:vAlign w:val="top"/>
          </w:tcPr>
          <w:p w14:paraId="145A47E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公告名称（注册证名称）</w:t>
            </w:r>
          </w:p>
        </w:tc>
        <w:tc>
          <w:tcPr>
            <w:tcW w:w="750" w:type="dxa"/>
            <w:noWrap w:val="0"/>
            <w:vAlign w:val="top"/>
          </w:tcPr>
          <w:p w14:paraId="67CC05E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744" w:type="dxa"/>
            <w:noWrap w:val="0"/>
            <w:vAlign w:val="top"/>
          </w:tcPr>
          <w:p w14:paraId="40FBCAA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478" w:type="dxa"/>
            <w:noWrap w:val="0"/>
            <w:vAlign w:val="top"/>
          </w:tcPr>
          <w:p w14:paraId="7E11ED9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1223" w:type="dxa"/>
            <w:noWrap w:val="0"/>
            <w:vAlign w:val="top"/>
          </w:tcPr>
          <w:p w14:paraId="31051BD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1070" w:type="dxa"/>
            <w:noWrap w:val="0"/>
            <w:vAlign w:val="top"/>
          </w:tcPr>
          <w:p w14:paraId="00F1B9A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458" w:type="dxa"/>
            <w:noWrap w:val="0"/>
            <w:vAlign w:val="top"/>
          </w:tcPr>
          <w:p w14:paraId="5BC9E44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813" w:type="dxa"/>
            <w:noWrap w:val="0"/>
            <w:vAlign w:val="top"/>
          </w:tcPr>
          <w:p w14:paraId="16B6642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c>
          <w:tcPr>
            <w:tcW w:w="1528" w:type="dxa"/>
            <w:noWrap w:val="0"/>
            <w:vAlign w:val="top"/>
          </w:tcPr>
          <w:p w14:paraId="2F39ADB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r>
              <w:rPr>
                <w:rFonts w:hint="eastAsia"/>
              </w:rPr>
              <w:t>（所有小写数字都标分隔符）</w:t>
            </w:r>
          </w:p>
          <w:p w14:paraId="64FD30D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rPr>
            </w:pPr>
          </w:p>
        </w:tc>
      </w:tr>
      <w:tr w14:paraId="3DF5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594" w:type="dxa"/>
            <w:gridSpan w:val="10"/>
            <w:noWrap w:val="0"/>
            <w:vAlign w:val="top"/>
          </w:tcPr>
          <w:p w14:paraId="3EC56AED">
            <w:pPr>
              <w:rPr>
                <w:rFonts w:hint="eastAsia"/>
              </w:rPr>
            </w:pPr>
            <w:r>
              <w:rPr>
                <w:rFonts w:hint="eastAsia"/>
              </w:rPr>
              <w:t>总价格（大写）：</w:t>
            </w:r>
          </w:p>
        </w:tc>
      </w:tr>
    </w:tbl>
    <w:p w14:paraId="3FC4FD57">
      <w:pPr>
        <w:keepNext w:val="0"/>
        <w:keepLines w:val="0"/>
        <w:pageBreakBefore w:val="0"/>
        <w:widowControl w:val="0"/>
        <w:kinsoku/>
        <w:wordWrap/>
        <w:overflowPunct/>
        <w:topLinePunct w:val="0"/>
        <w:autoSpaceDE/>
        <w:autoSpaceDN/>
        <w:bidi w:val="0"/>
        <w:spacing w:line="44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交货价格：以上价格为到达云南省第一人民医院甲方指定地点交货价RMB（DDP）包括但不限于一切运费、保险及税费、报关手续费，并包含吊装、安装、调试、培训等全部费用。甲方有权拒付除上述费用以外的其他任何费用。</w:t>
      </w:r>
    </w:p>
    <w:p w14:paraId="3C542E7F">
      <w:pPr>
        <w:keepNext w:val="0"/>
        <w:keepLines w:val="0"/>
        <w:pageBreakBefore w:val="0"/>
        <w:widowControl w:val="0"/>
        <w:kinsoku/>
        <w:wordWrap/>
        <w:overflowPunct/>
        <w:topLinePunct w:val="0"/>
        <w:autoSpaceDE/>
        <w:autoSpaceDN/>
        <w:bidi w:val="0"/>
        <w:spacing w:line="440" w:lineRule="exact"/>
        <w:ind w:firstLine="420"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1.2付款方式：</w:t>
      </w:r>
    </w:p>
    <w:p w14:paraId="4AE89CA0">
      <w:pPr>
        <w:keepNext w:val="0"/>
        <w:keepLines w:val="0"/>
        <w:pageBreakBefore w:val="0"/>
        <w:widowControl w:val="0"/>
        <w:kinsoku/>
        <w:wordWrap/>
        <w:overflowPunct/>
        <w:topLinePunct w:val="0"/>
        <w:autoSpaceDE/>
        <w:autoSpaceDN/>
        <w:bidi w:val="0"/>
        <w:spacing w:line="440" w:lineRule="exact"/>
        <w:ind w:right="-512" w:rightChars="-244"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第二条交货时间、地点及范围</w:t>
      </w:r>
    </w:p>
    <w:p w14:paraId="2FCF9E1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2.1交货时间：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接甲方通知后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6AB335E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2.2交货地点：送货上门到甲方指定的地点。</w:t>
      </w:r>
    </w:p>
    <w:p w14:paraId="69669E9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2.3交货范围：合同约定的主机以及附件清单上所有产品（含随机资料、软件等）以及配套附属设备（按招投标文件要求执行并满足甲方需要）。</w:t>
      </w:r>
    </w:p>
    <w:p w14:paraId="20975EC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2.4随机资料包括原产地证明、合格证、保修卡等相关资料（如操作手册、使用指南、维修手册、安装调试说明书、服务手册等）及配备的用件、工具等。</w:t>
      </w:r>
    </w:p>
    <w:p w14:paraId="56EAB89A">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第三条安装调试要求</w:t>
      </w:r>
    </w:p>
    <w:p w14:paraId="6FD7B9EC">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设备安装、调试必须符合国家质量检测标准，并满足甲方技术要求，乙方负责免费进行设备的安装调试（不另计费）。</w:t>
      </w:r>
    </w:p>
    <w:p w14:paraId="528395AE">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第四条验收及验收标准</w:t>
      </w:r>
    </w:p>
    <w:p w14:paraId="371E61D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4.1 设备验收：设备到达甲方指定地点后，甲乙双方根据合同及其附件进行开箱、清点所有货品。符合后由乙方负责进行设备的安装和调试，安装调试完毕后，由甲方测试是否合格并满足技术要求。若开箱、清点发现货品不相符合的，乙方必须无条件按甲方要求予以更换。更换所产生的费用由乙方负责。</w:t>
      </w:r>
    </w:p>
    <w:p w14:paraId="3B89933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4.2 实质性操作验收：乙方将设备安装调试完毕后，甲方在使用过程中检验设备是否正常运作或使用。</w:t>
      </w:r>
    </w:p>
    <w:p w14:paraId="4D014A2D">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4.3 一般性项目由甲方组成验收小组进行项目验收。大型或复杂的项目，应当邀请国家认可的质量检测机构参与验收，验收合格后，验收方成员应在验收书上签字。</w:t>
      </w:r>
    </w:p>
    <w:p w14:paraId="4976033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4.4 甲方对设备的验收并不免除乙方对设备质量所应承担的责任。</w:t>
      </w:r>
    </w:p>
    <w:p w14:paraId="3F156E53">
      <w:pPr>
        <w:keepNext w:val="0"/>
        <w:keepLines w:val="0"/>
        <w:pageBreakBefore w:val="0"/>
        <w:widowControl w:val="0"/>
        <w:kinsoku/>
        <w:wordWrap/>
        <w:overflowPunct/>
        <w:topLinePunct w:val="0"/>
        <w:autoSpaceDE/>
        <w:autoSpaceDN/>
        <w:bidi w:val="0"/>
        <w:spacing w:line="440" w:lineRule="exact"/>
        <w:ind w:right="-512" w:rightChars="-244"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第五条保修条款</w:t>
      </w:r>
    </w:p>
    <w:p w14:paraId="24FF5BD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乙方提供的货物须符合国家相关法律法规规定的质量标准，为正规渠道销售且正规厂家生产的全新的合格货物，没有任何质量瑕疵，且医疗器械生产日期至合同签订之日不得超过6个月，其余设备生产日期至合同签订之日不得超过12个月。</w:t>
      </w:r>
    </w:p>
    <w:p w14:paraId="146C490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5.2设备整机质量保证期为验收合格之日起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个月。</w:t>
      </w:r>
    </w:p>
    <w:p w14:paraId="5B83C3A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5.3本项目的安装、培训及售后服务保修等事项，由乙方根据双方约定以附件方式附在本合同后。</w:t>
      </w:r>
    </w:p>
    <w:p w14:paraId="5FC5D46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5.4下列情况不属保修范围：</w:t>
      </w:r>
    </w:p>
    <w:p w14:paraId="2A88E6B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（1）不可抗力引起的损害；</w:t>
      </w:r>
    </w:p>
    <w:p w14:paraId="0A14B45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（2）用户电力系统故障（如接地不良、电压超过规定范围等）引起的损坏；</w:t>
      </w:r>
    </w:p>
    <w:p w14:paraId="3A133FB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（3）用户私自维修引起的损坏；</w:t>
      </w:r>
    </w:p>
    <w:p w14:paraId="4D0B996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（4）用户自行造成的机械损坏（用户正常使用除外）。</w:t>
      </w:r>
    </w:p>
    <w:p w14:paraId="42448A04">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第六条配套设备、消耗品要求及长期供应优惠条件</w:t>
      </w:r>
    </w:p>
    <w:p w14:paraId="4EF0DA42">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乙方严格按照招投标文件执行。乙方同时承诺：乙方向甲方提供的配套设备、消耗品不高于市场同类产品的价格。</w:t>
      </w:r>
    </w:p>
    <w:p w14:paraId="42CEB7C6">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第七条备品备件（含易损件）要求及长期供应优惠条件</w:t>
      </w:r>
    </w:p>
    <w:p w14:paraId="2B3E36B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乙方严格按照招投标文件执行。乙方同时承诺：乙方向甲方提供的备品备件（含易损件）不高于市场同类产品的价格。</w:t>
      </w:r>
    </w:p>
    <w:p w14:paraId="71E556FA">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第八条甲方的权利与义务</w:t>
      </w:r>
    </w:p>
    <w:p w14:paraId="3DE0CD2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8.1 甲方负责提供设备安装、培训所需的场地。</w:t>
      </w:r>
    </w:p>
    <w:p w14:paraId="6C1D3CF7">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8.2 甲方负责组织操作人员、设备科工程师及乙方人员，进行设备的安装、调试、培训及移交工作。</w:t>
      </w:r>
    </w:p>
    <w:p w14:paraId="7F560E45">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8.3 甲方负责按甲方的工作程序，组织设备试用后的验收工作。</w:t>
      </w:r>
    </w:p>
    <w:p w14:paraId="3475FA8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8.4 甲方负责在设备验收合格及全部相关手续办妥后，按本合同所约定的付款程序付款并依本合同约定享有乙方提供的售后服务。</w:t>
      </w:r>
    </w:p>
    <w:p w14:paraId="428E4B9E">
      <w:pPr>
        <w:keepNext w:val="0"/>
        <w:keepLines w:val="0"/>
        <w:pageBreakBefore w:val="0"/>
        <w:widowControl w:val="0"/>
        <w:kinsoku/>
        <w:wordWrap/>
        <w:overflowPunct/>
        <w:topLinePunct w:val="0"/>
        <w:autoSpaceDE/>
        <w:autoSpaceDN/>
        <w:bidi w:val="0"/>
        <w:spacing w:line="440" w:lineRule="exact"/>
        <w:ind w:firstLine="422" w:firstLineChars="200"/>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第九条乙方责任</w:t>
      </w:r>
    </w:p>
    <w:p w14:paraId="76C9EC75">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9.1乙方保证按本合同条款负责完成供货和其他义务，并保证提供的设备是全新原装（包括零部件）、符合招投标文件规定、具有国家有关部门注册证明并符合国家质量检测标准（进口设备具有国家有关部门完整手续）和产品出厂标准的设备；乙方对所提供的设备全部实行三包；设备及主要部件的免费保修期见本合同5.2款，自设备验收合格、交付甲方且正常运行之日起算，终身负责维修；并保证设备在甲方报废前正常运行。具体服务：保修期内，乙方对设备提供全免费保修或免费更换（本合同另有约定的除外）；保修期后，优惠收取成本费维修；乙方提供现场维修，维修人员在甲方发出故障通知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小时内作出响应，</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小时内派原厂认证合格专业工程师到达甲方进行现场维修，到达现场后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小时内不能排除故障时，在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天内保证修复，若在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内不能修复的，免费无条件提供相同型号设备给用户使用，待原设备修复正常使用后换回。同时，保证购买时软件为最新版本，已有软件乙方提供终身免费升级服务，对用户无条件开放维护密码；乙方保证在甲方指定地点供应备品备件（含易损件）和配套消耗品；乙方对其所提供的设备实行每三个月定期随访一次。保修期内，如乙方丧失保修能力或资质，则甲方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没收履约保证金</w:t>
      </w:r>
      <w:r>
        <w:rPr>
          <w:rFonts w:hint="eastAsia" w:ascii="宋体" w:hAnsi="宋体" w:eastAsia="宋体" w:cs="宋体"/>
          <w:color w:val="000000" w:themeColor="text1"/>
          <w:sz w:val="21"/>
          <w:szCs w:val="21"/>
          <w:highlight w:val="none"/>
          <w14:textFill>
            <w14:solidFill>
              <w14:schemeClr w14:val="tx1"/>
            </w14:solidFill>
          </w14:textFill>
        </w:rPr>
        <w:t xml:space="preserve">，同时，乙方应按本合同第12.4款的约定向甲方承担违约责任。 </w:t>
      </w:r>
    </w:p>
    <w:p w14:paraId="7DEF1BA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9.2 乙方确保所供进口设备的电源及电源插头，符合中国要求、能够满足甲方使用需要。乙方向甲方提供中文操作说明书。</w:t>
      </w:r>
    </w:p>
    <w:p w14:paraId="381A355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9.3 乙方保证：甲方在设备及配件（有配套软件的还包括软件产品）使用期间不受第三方提出侵犯其专利权、商标权和工业设计权等的起诉。</w:t>
      </w:r>
    </w:p>
    <w:p w14:paraId="03D9003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9.4 乙方严格遵守投标、技术澄清、商务谈判、中标所承诺的一切规定和条款。</w:t>
      </w:r>
    </w:p>
    <w:p w14:paraId="50E7BC7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9.5 参与甲方共同进行设备验收。</w:t>
      </w:r>
    </w:p>
    <w:p w14:paraId="792BBE0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9.6 本合同履行过程中，乙方应对甲方所提出的与设备采购、使用、质保等相关的要求予以积极回应、处理，否则视为乙方根本性违约。</w:t>
      </w:r>
    </w:p>
    <w:p w14:paraId="1577C9E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9.7 乙方根据甲方需求，负责将所供应设备、设施接入甲方指定的信息系统，并承担产生的相关费用。</w:t>
      </w:r>
    </w:p>
    <w:p w14:paraId="238436EA">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第十条技术培训</w:t>
      </w:r>
    </w:p>
    <w:p w14:paraId="2E8C4A7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乙方向甲方提供 不少于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天的设备现场例行免费培训，直至使用人员及工程师能完全掌握使用方法，独立完成操作为止。培训内容包括设备的调试、使用、一般的维修、维护及保养等；食宿自理（各自负责）。</w:t>
      </w:r>
    </w:p>
    <w:p w14:paraId="4091B66C">
      <w:pPr>
        <w:keepNext w:val="0"/>
        <w:keepLines w:val="0"/>
        <w:pageBreakBefore w:val="0"/>
        <w:widowControl w:val="0"/>
        <w:kinsoku/>
        <w:wordWrap/>
        <w:overflowPunct/>
        <w:topLinePunct w:val="0"/>
        <w:autoSpaceDE/>
        <w:autoSpaceDN/>
        <w:bidi w:val="0"/>
        <w:spacing w:line="440" w:lineRule="exact"/>
        <w:ind w:firstLine="422" w:firstLineChars="20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第十一条甲方在设备使用过程中发生技术或质量问题，乙方应提供及时有效的技术支持。乙方的24小时免费技术支持电话：</w:t>
      </w:r>
      <w:r>
        <w:rPr>
          <w:rFonts w:hint="eastAsia" w:ascii="宋体" w:hAnsi="宋体" w:cs="宋体"/>
          <w:b/>
          <w:color w:val="000000" w:themeColor="text1"/>
          <w:sz w:val="21"/>
          <w:szCs w:val="21"/>
          <w:highlight w:val="none"/>
          <w:u w:val="none"/>
          <w:lang w:val="en-US" w:eastAsia="zh-CN"/>
          <w14:textFill>
            <w14:solidFill>
              <w14:schemeClr w14:val="tx1"/>
            </w14:solidFill>
          </w14:textFill>
        </w:rPr>
        <w:t xml:space="preserve">           </w:t>
      </w:r>
    </w:p>
    <w:p w14:paraId="56292BFA">
      <w:pPr>
        <w:keepNext w:val="0"/>
        <w:keepLines w:val="0"/>
        <w:pageBreakBefore w:val="0"/>
        <w:widowControl w:val="0"/>
        <w:kinsoku/>
        <w:wordWrap/>
        <w:overflowPunct/>
        <w:topLinePunct w:val="0"/>
        <w:autoSpaceDE/>
        <w:autoSpaceDN/>
        <w:bidi w:val="0"/>
        <w:spacing w:line="440" w:lineRule="exact"/>
        <w:ind w:firstLine="413" w:firstLineChars="196"/>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第十二条违约责任</w:t>
      </w:r>
    </w:p>
    <w:p w14:paraId="3EB3BE2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如乙方所交设备（含选购件）或安装调试与合同标准不相符合，则甲方有权拒收设备（含选购件）、解除本合同、拒付本合同项下的价款并追究乙方违约责任，乙方应返还甲方已支付的全部费用、按合同总价款的30%向甲方支付违约金，若因此给甲方造成损失，由乙方负责赔偿。</w:t>
      </w:r>
    </w:p>
    <w:p w14:paraId="1D49F993">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在设备（含选购件）验收后的质保期内，乙方应对由于设计、工艺或者材料的缺陷而发生的任何不足或故障负责，并按本合同约定以及甲方要求承担维修义务，由此而发生的一切费用由乙方承担，若因此导致甲方不能正常使用设备（含选购件），甲方有权退货并追究乙方违约责任，乙方应返还甲方已支付的全部款项、按合同总价款的30%向甲方支付违约金并赔偿甲方因此而遭受的一切损失。</w:t>
      </w:r>
    </w:p>
    <w:p w14:paraId="06300C1E">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除发生不可抗力事件（不可抗力事件仅指自然灾害、战争）外，如乙方逾期交货或安装调试逾期，则每逾期一天，乙方按合同总价的1%向甲方支付违约金，逾期30天，甲方有权解除合同并追究乙方违约责任，乙方应返还甲方已支付的全部款项、向甲方支付合同总价款30%的违约金并赔偿甲方因此而遭受的损失。</w:t>
      </w:r>
    </w:p>
    <w:p w14:paraId="5E8FC365">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保修期内，如乙方未按本合同约定提供保修服务，则甲方有权没收履约保证金并追究乙方违约责任，甲方有权委托第三方提供维修服务，由此产生的费用由乙方承担，乙方还应按合同总价款的30%向甲方支付违约金并赔偿甲方因此而遭受的损失。</w:t>
      </w:r>
    </w:p>
    <w:p w14:paraId="267E312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12.5如乙方出现除上述12.1—12.4以外的其他违约行为或违反保证与承诺义务，应按合同总价款的30%向甲方支付违约金并赔偿甲方因此而遭受的损失。</w:t>
      </w:r>
    </w:p>
    <w:p w14:paraId="0044A00A">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12.6如甲方无正当理由拒收设备，应按合同总价款的百分之五向乙方支付违约金以作为对乙方的损失赔偿。</w:t>
      </w:r>
    </w:p>
    <w:p w14:paraId="6F755F90">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12.7由于不可抗力（不可抗力仅指自然灾害、战争）所导致的违约，根据不可抗力的影响范围，可部分或全部免除违约方的违约责任，但违约方应及时通知对方并在不可抗力事件发生之日起5日内提供符合法律规定的证明文件，否则应赔偿对方因此而遭受的损失。</w:t>
      </w:r>
    </w:p>
    <w:p w14:paraId="5CE34490">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第十三条合同生效</w:t>
      </w:r>
    </w:p>
    <w:p w14:paraId="7AE5FD0F">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乙方应根据招标文件要求向采购代理机构交纳招标代理服务费并取得甲方的签章后，合同才正式生效。</w:t>
      </w:r>
    </w:p>
    <w:p w14:paraId="37C20A1D">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第十四条甲方有权拒付合同价以外的任何费用；乙方有权拒绝合同整体范围以外的条件。</w:t>
      </w:r>
    </w:p>
    <w:p w14:paraId="516EE413">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第十五条因本合同发生纠纷，由甲乙双方协商解决，协商不成，应向甲方所在地有管辖权的人民法院提起诉讼解决。</w:t>
      </w:r>
    </w:p>
    <w:p w14:paraId="51500668">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第十六条下列文件是本合同的组成部分，与本合同具有同等法律效力，如有与本合同不一致之处，以本合同为准。</w:t>
      </w:r>
    </w:p>
    <w:p w14:paraId="249E3CCB">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甲方招标文件；</w:t>
      </w:r>
    </w:p>
    <w:p w14:paraId="1286172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乙方投标文件；</w:t>
      </w:r>
    </w:p>
    <w:p w14:paraId="29AC1136">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中标通知书；</w:t>
      </w:r>
    </w:p>
    <w:p w14:paraId="673FDB51">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投标文件及澄清</w:t>
      </w:r>
      <w:r>
        <w:rPr>
          <w:rFonts w:hint="eastAsia" w:ascii="宋体" w:hAnsi="宋体" w:cs="宋体"/>
          <w:color w:val="000000" w:themeColor="text1"/>
          <w:sz w:val="21"/>
          <w:szCs w:val="21"/>
          <w:highlight w:val="none"/>
          <w:lang w:eastAsia="zh-CN"/>
          <w14:textFill>
            <w14:solidFill>
              <w14:schemeClr w14:val="tx1"/>
            </w14:solidFill>
          </w14:textFill>
        </w:rPr>
        <w:t>；</w:t>
      </w:r>
    </w:p>
    <w:p w14:paraId="1420D7A4">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5、合同附件清单：</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1 \* GB2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⑴</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设备配置清单</w:t>
      </w:r>
    </w:p>
    <w:p w14:paraId="5F6EF5E8">
      <w:pPr>
        <w:keepNext w:val="0"/>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 2 \* GB2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⑵</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售后服务承诺</w:t>
      </w:r>
    </w:p>
    <w:p w14:paraId="1D15CF4E">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第十七条本合同自三方签字盖章且乙方缴纳履约保证金之日起生效，未尽事宜，以招投标文件为准。</w:t>
      </w:r>
    </w:p>
    <w:p w14:paraId="28BD6069">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第十八条本合同一式五份，甲方执三份，乙方执一份，丙方执一份，具有同等法律效力。</w:t>
      </w:r>
    </w:p>
    <w:p w14:paraId="403CF833">
      <w:pPr>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（以下无正文）</w:t>
      </w:r>
    </w:p>
    <w:p w14:paraId="5DDECF52">
      <w:pPr>
        <w:rPr>
          <w:rFonts w:hint="eastAsia"/>
          <w:color w:val="000000" w:themeColor="text1"/>
          <w:highlight w:val="none"/>
          <w:lang w:eastAsia="zh-CN"/>
          <w14:textFill>
            <w14:solidFill>
              <w14:schemeClr w14:val="tx1"/>
            </w14:solidFill>
          </w14:textFill>
        </w:rPr>
      </w:pPr>
    </w:p>
    <w:p w14:paraId="1690743E">
      <w:pPr>
        <w:jc w:val="center"/>
        <w:rPr>
          <w:rFonts w:hint="eastAsia" w:ascii="宋体" w:hAnsi="宋体" w:eastAsia="宋体" w:cs="宋体"/>
          <w:b/>
          <w:sz w:val="36"/>
          <w:szCs w:val="36"/>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sz w:val="36"/>
          <w:szCs w:val="36"/>
        </w:rPr>
        <w:t>医疗卫生机构医药产品廉洁购销合同</w:t>
      </w:r>
    </w:p>
    <w:p w14:paraId="6F837356">
      <w:pPr>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云南省第一人民医院</w:t>
      </w:r>
    </w:p>
    <w:p w14:paraId="3E669260">
      <w:pPr>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sz w:val="24"/>
          <w:szCs w:val="24"/>
        </w:rPr>
        <w:t>：</w:t>
      </w:r>
    </w:p>
    <w:p w14:paraId="75C96698">
      <w:pPr>
        <w:ind w:firstLine="480" w:firstLineChars="200"/>
        <w:rPr>
          <w:rFonts w:hint="eastAsia" w:ascii="宋体" w:hAnsi="宋体" w:eastAsia="宋体" w:cs="宋体"/>
          <w:sz w:val="24"/>
          <w:szCs w:val="24"/>
        </w:rPr>
      </w:pPr>
      <w:r>
        <w:rPr>
          <w:rFonts w:hint="eastAsia" w:ascii="宋体" w:hAnsi="宋体" w:eastAsia="宋体" w:cs="宋体"/>
          <w:sz w:val="24"/>
          <w:szCs w:val="24"/>
        </w:rPr>
        <w:t>为进一步加强医疗卫生行风建设，规范医疗卫生机构医药购销行为，有效防范商业贿赂行为。营造公平交易、诚实守信的购销环境，经甲、乙双方协商，同意签订本合同，并共同遵守：</w:t>
      </w:r>
    </w:p>
    <w:p w14:paraId="3CB2B321">
      <w:pPr>
        <w:ind w:firstLine="480" w:firstLineChars="200"/>
        <w:rPr>
          <w:rFonts w:hint="eastAsia" w:ascii="宋体" w:hAnsi="宋体" w:eastAsia="宋体" w:cs="宋体"/>
          <w:sz w:val="24"/>
          <w:szCs w:val="24"/>
        </w:rPr>
      </w:pPr>
      <w:r>
        <w:rPr>
          <w:rFonts w:hint="eastAsia" w:ascii="宋体" w:hAnsi="宋体" w:eastAsia="宋体" w:cs="宋体"/>
          <w:sz w:val="24"/>
          <w:szCs w:val="24"/>
        </w:rPr>
        <w:t>一、甲乙双方按照相关法律法规规定及医药产品购销合同约定购销药品、医用设备、医用耗材等医药产品。</w:t>
      </w:r>
    </w:p>
    <w:p w14:paraId="480D117B">
      <w:pPr>
        <w:ind w:firstLine="480" w:firstLineChars="200"/>
        <w:rPr>
          <w:rFonts w:hint="eastAsia" w:ascii="宋体" w:hAnsi="宋体" w:eastAsia="宋体" w:cs="宋体"/>
          <w:sz w:val="24"/>
          <w:szCs w:val="24"/>
        </w:rPr>
      </w:pPr>
      <w:r>
        <w:rPr>
          <w:rFonts w:hint="eastAsia" w:ascii="宋体" w:hAnsi="宋体" w:eastAsia="宋体" w:cs="宋体"/>
          <w:sz w:val="24"/>
          <w:szCs w:val="24"/>
        </w:rPr>
        <w:t>二、甲方应该严格执行医药产品购销合同验收、入库制度，对采购医药产品及发票进行检查，不得违反有关规定合同外采购、违价采购或非规定渠道采购。</w:t>
      </w:r>
    </w:p>
    <w:p w14:paraId="5B56CE88">
      <w:pPr>
        <w:ind w:firstLine="480" w:firstLineChars="200"/>
        <w:rPr>
          <w:rFonts w:hint="eastAsia" w:ascii="宋体" w:hAnsi="宋体" w:eastAsia="宋体" w:cs="宋体"/>
          <w:sz w:val="24"/>
          <w:szCs w:val="24"/>
        </w:rPr>
      </w:pPr>
      <w:r>
        <w:rPr>
          <w:rFonts w:hint="eastAsia" w:ascii="宋体" w:hAnsi="宋体" w:eastAsia="宋体" w:cs="宋体"/>
          <w:sz w:val="24"/>
          <w:szCs w:val="24"/>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14:paraId="4B04BE06">
      <w:pPr>
        <w:ind w:firstLine="480" w:firstLineChars="200"/>
        <w:rPr>
          <w:rFonts w:hint="eastAsia" w:ascii="宋体" w:hAnsi="宋体" w:eastAsia="宋体" w:cs="宋体"/>
          <w:sz w:val="24"/>
          <w:szCs w:val="24"/>
        </w:rPr>
      </w:pPr>
      <w:r>
        <w:rPr>
          <w:rFonts w:hint="eastAsia" w:ascii="宋体" w:hAnsi="宋体" w:eastAsia="宋体" w:cs="宋体"/>
          <w:sz w:val="24"/>
          <w:szCs w:val="24"/>
        </w:rPr>
        <w:t>四、严禁甲方工作人员利用任何途径和方式，为乙方统计医师个人及临床科室有关医药产品用量信息，或为乙方统计提供便利。</w:t>
      </w:r>
    </w:p>
    <w:p w14:paraId="719BC5BF">
      <w:pPr>
        <w:ind w:firstLine="480" w:firstLineChars="200"/>
        <w:rPr>
          <w:rFonts w:hint="eastAsia" w:ascii="宋体" w:hAnsi="宋体" w:eastAsia="宋体" w:cs="宋体"/>
          <w:sz w:val="24"/>
          <w:szCs w:val="24"/>
        </w:rPr>
      </w:pPr>
      <w:r>
        <w:rPr>
          <w:rFonts w:hint="eastAsia" w:ascii="宋体" w:hAnsi="宋体" w:eastAsia="宋体" w:cs="宋体"/>
          <w:sz w:val="24"/>
          <w:szCs w:val="24"/>
        </w:rPr>
        <w:t>五、乙方不得以回扣、宴请等方式影响甲方工作人员采购或使用医药产品的选择权，不得在学术活动中提供旅游、超标准支付食宿费用。</w:t>
      </w:r>
    </w:p>
    <w:p w14:paraId="39186AD6">
      <w:pPr>
        <w:ind w:firstLine="480" w:firstLineChars="200"/>
        <w:rPr>
          <w:rFonts w:hint="eastAsia" w:ascii="宋体" w:hAnsi="宋体" w:eastAsia="宋体" w:cs="宋体"/>
          <w:sz w:val="24"/>
          <w:szCs w:val="24"/>
        </w:rPr>
      </w:pPr>
    </w:p>
    <w:p w14:paraId="40E348F8">
      <w:pPr>
        <w:ind w:firstLine="480" w:firstLineChars="200"/>
        <w:rPr>
          <w:rFonts w:hint="eastAsia" w:ascii="宋体" w:hAnsi="宋体" w:eastAsia="宋体" w:cs="宋体"/>
          <w:sz w:val="24"/>
          <w:szCs w:val="24"/>
        </w:rPr>
      </w:pPr>
      <w:r>
        <w:rPr>
          <w:rFonts w:hint="eastAsia" w:ascii="宋体" w:hAnsi="宋体" w:eastAsia="宋体" w:cs="宋体"/>
          <w:sz w:val="24"/>
          <w:szCs w:val="24"/>
        </w:rPr>
        <w:t>六、乙方指定________________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A9F09E6">
      <w:pPr>
        <w:ind w:firstLine="480" w:firstLineChars="200"/>
        <w:rPr>
          <w:rFonts w:hint="eastAsia" w:ascii="宋体" w:hAnsi="宋体" w:eastAsia="宋体" w:cs="宋体"/>
          <w:sz w:val="24"/>
          <w:szCs w:val="24"/>
        </w:rPr>
      </w:pPr>
      <w:r>
        <w:rPr>
          <w:rFonts w:hint="eastAsia" w:ascii="宋体" w:hAnsi="宋体" w:eastAsia="宋体" w:cs="宋体"/>
          <w:sz w:val="24"/>
          <w:szCs w:val="24"/>
        </w:rPr>
        <w:t>七、乙方如违反本合同，</w:t>
      </w:r>
      <w:r>
        <w:rPr>
          <w:rFonts w:hint="eastAsia" w:ascii="宋体" w:hAnsi="宋体" w:eastAsia="宋体" w:cs="宋体"/>
          <w:sz w:val="24"/>
          <w:szCs w:val="24"/>
          <w:lang w:val="en-US" w:eastAsia="zh-CN"/>
        </w:rPr>
        <w:t>一</w:t>
      </w:r>
      <w:r>
        <w:rPr>
          <w:rFonts w:hint="eastAsia" w:ascii="宋体" w:hAnsi="宋体" w:eastAsia="宋体" w:cs="宋体"/>
          <w:sz w:val="24"/>
          <w:szCs w:val="24"/>
        </w:rPr>
        <w:t>经发现，甲方有权终止购销合同，并向有关卫生计生行政部门报告。如乙方被列为商业贿赂不良记录，则严格按照《国家卫生计生委关于建立医药购销领域商业贿赂不良记录的规定》(国卫法制发（2013）50号)相关规定处理。</w:t>
      </w:r>
    </w:p>
    <w:p w14:paraId="1E3710A7">
      <w:pPr>
        <w:ind w:firstLine="480" w:firstLineChars="200"/>
        <w:rPr>
          <w:rFonts w:hint="eastAsia" w:ascii="宋体" w:hAnsi="宋体" w:eastAsia="宋体" w:cs="宋体"/>
          <w:sz w:val="24"/>
          <w:szCs w:val="24"/>
        </w:rPr>
      </w:pPr>
      <w:r>
        <w:rPr>
          <w:rFonts w:hint="eastAsia" w:ascii="宋体" w:hAnsi="宋体" w:eastAsia="宋体" w:cs="宋体"/>
          <w:sz w:val="24"/>
          <w:szCs w:val="24"/>
        </w:rPr>
        <w:t>八、本合同作为医药产品购销合同的重要组成部分，与购销合同一并执行，具有同等的法律效力。</w:t>
      </w:r>
    </w:p>
    <w:p w14:paraId="42C1DD1A">
      <w:pPr>
        <w:ind w:firstLine="480" w:firstLineChars="200"/>
        <w:rPr>
          <w:rFonts w:hint="eastAsia" w:ascii="宋体" w:hAnsi="宋体" w:eastAsia="宋体" w:cs="宋体"/>
          <w:sz w:val="24"/>
          <w:szCs w:val="24"/>
        </w:rPr>
      </w:pPr>
      <w:r>
        <w:rPr>
          <w:rFonts w:hint="eastAsia" w:ascii="宋体" w:hAnsi="宋体" w:eastAsia="宋体" w:cs="宋体"/>
          <w:sz w:val="24"/>
          <w:szCs w:val="24"/>
        </w:rPr>
        <w:t>九、本合同签订时间</w:t>
      </w:r>
      <w:r>
        <w:rPr>
          <w:rFonts w:hint="eastAsia" w:ascii="宋体" w:hAnsi="宋体" w:eastAsia="宋体" w:cs="宋体"/>
          <w:sz w:val="24"/>
          <w:szCs w:val="24"/>
          <w:lang w:eastAsia="zh-CN"/>
        </w:rPr>
        <w:t>、</w:t>
      </w:r>
      <w:r>
        <w:rPr>
          <w:rFonts w:hint="eastAsia" w:ascii="宋体" w:hAnsi="宋体" w:eastAsia="宋体" w:cs="宋体"/>
          <w:sz w:val="24"/>
          <w:szCs w:val="24"/>
        </w:rPr>
        <w:t>份数与</w:t>
      </w:r>
      <w:r>
        <w:rPr>
          <w:rFonts w:hint="eastAsia" w:ascii="宋体" w:hAnsi="宋体" w:eastAsia="宋体" w:cs="宋体"/>
          <w:sz w:val="24"/>
          <w:szCs w:val="24"/>
          <w:lang w:val="en-US" w:eastAsia="zh-CN"/>
        </w:rPr>
        <w:t>主</w:t>
      </w:r>
      <w:r>
        <w:rPr>
          <w:rFonts w:hint="eastAsia" w:ascii="宋体" w:hAnsi="宋体" w:eastAsia="宋体" w:cs="宋体"/>
          <w:sz w:val="24"/>
          <w:szCs w:val="24"/>
        </w:rPr>
        <w:t>合同相同，乙方执壹份、甲方执剩余份数，并从双方签字盖章之日起生效，具有同等法律效力。</w:t>
      </w:r>
    </w:p>
    <w:p w14:paraId="2D409F9B">
      <w:pPr>
        <w:rPr>
          <w:rFonts w:hint="eastAsia" w:ascii="宋体" w:hAnsi="宋体" w:eastAsia="宋体" w:cs="宋体"/>
          <w:b/>
          <w:sz w:val="24"/>
          <w:szCs w:val="24"/>
        </w:rPr>
      </w:pPr>
    </w:p>
    <w:p w14:paraId="5EE8CFEB">
      <w:pPr>
        <w:rPr>
          <w:rFonts w:hint="eastAsia" w:ascii="宋体" w:hAnsi="宋体" w:eastAsia="宋体" w:cs="宋体"/>
          <w:b/>
          <w:sz w:val="24"/>
          <w:szCs w:val="24"/>
        </w:rPr>
      </w:pPr>
      <w:r>
        <w:rPr>
          <w:rFonts w:hint="eastAsia" w:ascii="宋体" w:hAnsi="宋体" w:eastAsia="宋体" w:cs="宋体"/>
          <w:b/>
          <w:sz w:val="24"/>
          <w:szCs w:val="24"/>
        </w:rPr>
        <w:t>甲方（盖章）：                乙方（盖章）：</w:t>
      </w:r>
    </w:p>
    <w:p w14:paraId="6AD3ABB7">
      <w:pPr>
        <w:rPr>
          <w:rFonts w:hint="eastAsia" w:ascii="宋体" w:hAnsi="宋体" w:eastAsia="宋体" w:cs="宋体"/>
          <w:sz w:val="24"/>
          <w:szCs w:val="24"/>
        </w:rPr>
      </w:pPr>
      <w:r>
        <w:rPr>
          <w:rFonts w:hint="eastAsia" w:ascii="宋体" w:hAnsi="宋体" w:eastAsia="宋体" w:cs="宋体"/>
          <w:sz w:val="24"/>
          <w:szCs w:val="24"/>
        </w:rPr>
        <w:t>云南省第一人民医院</w:t>
      </w:r>
    </w:p>
    <w:p w14:paraId="58259716">
      <w:pPr>
        <w:rPr>
          <w:rFonts w:hint="eastAsia" w:ascii="宋体" w:hAnsi="宋体" w:eastAsia="宋体" w:cs="宋体"/>
          <w:b/>
          <w:sz w:val="24"/>
          <w:szCs w:val="24"/>
        </w:rPr>
      </w:pPr>
    </w:p>
    <w:p w14:paraId="41168970">
      <w:pPr>
        <w:rPr>
          <w:rFonts w:hint="eastAsia" w:ascii="宋体" w:hAnsi="宋体" w:eastAsia="宋体" w:cs="宋体"/>
          <w:b/>
          <w:sz w:val="24"/>
          <w:szCs w:val="24"/>
        </w:rPr>
      </w:pPr>
      <w:r>
        <w:rPr>
          <w:rFonts w:hint="eastAsia" w:ascii="宋体" w:hAnsi="宋体" w:eastAsia="宋体" w:cs="宋体"/>
          <w:b/>
          <w:sz w:val="24"/>
          <w:szCs w:val="24"/>
        </w:rPr>
        <w:t>法定代表人(负责人):           法定代表人（负责人）：</w:t>
      </w:r>
    </w:p>
    <w:p w14:paraId="29AF4F17">
      <w:pPr>
        <w:rPr>
          <w:rFonts w:hint="eastAsia" w:ascii="宋体" w:hAnsi="宋体" w:eastAsia="宋体" w:cs="宋体"/>
          <w:b/>
          <w:sz w:val="24"/>
          <w:szCs w:val="24"/>
        </w:rPr>
      </w:pPr>
    </w:p>
    <w:p w14:paraId="01B83894">
      <w:pPr>
        <w:rPr>
          <w:rFonts w:hint="eastAsia"/>
          <w:color w:val="000000" w:themeColor="text1"/>
          <w:highlight w:val="none"/>
          <w:lang w:eastAsia="zh-CN"/>
          <w14:textFill>
            <w14:solidFill>
              <w14:schemeClr w14:val="tx1"/>
            </w14:solidFill>
          </w14:textFill>
        </w:rPr>
      </w:pPr>
      <w:r>
        <w:rPr>
          <w:rFonts w:hint="eastAsia" w:ascii="宋体" w:hAnsi="宋体" w:eastAsia="宋体" w:cs="宋体"/>
          <w:b/>
          <w:sz w:val="24"/>
          <w:szCs w:val="24"/>
        </w:rPr>
        <w:t>经办人签名：                 经办人签名：</w:t>
      </w:r>
    </w:p>
    <w:p w14:paraId="6CA54EF4">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01B27548">
      <w:pPr>
        <w:jc w:val="center"/>
        <w:rPr>
          <w:rFonts w:hint="eastAsia" w:ascii="宋体" w:hAnsi="宋体" w:eastAsia="宋体" w:cs="宋体"/>
          <w:color w:val="000000" w:themeColor="text1"/>
          <w:szCs w:val="21"/>
          <w:highlight w:val="none"/>
          <w14:textFill>
            <w14:solidFill>
              <w14:schemeClr w14:val="tx1"/>
            </w14:solidFill>
          </w14:textFill>
        </w:rPr>
      </w:pPr>
    </w:p>
    <w:p w14:paraId="4D1BBA62">
      <w:pPr>
        <w:jc w:val="center"/>
        <w:rPr>
          <w:rFonts w:hint="eastAsia" w:ascii="宋体" w:hAnsi="宋体" w:eastAsia="宋体" w:cs="宋体"/>
          <w:color w:val="000000" w:themeColor="text1"/>
          <w:szCs w:val="21"/>
          <w:highlight w:val="none"/>
          <w14:textFill>
            <w14:solidFill>
              <w14:schemeClr w14:val="tx1"/>
            </w14:solidFill>
          </w14:textFill>
        </w:rPr>
      </w:pPr>
    </w:p>
    <w:p w14:paraId="55F8E981">
      <w:pPr>
        <w:jc w:val="center"/>
        <w:rPr>
          <w:rFonts w:hint="eastAsia" w:ascii="宋体" w:hAnsi="宋体" w:eastAsia="宋体" w:cs="宋体"/>
          <w:color w:val="000000" w:themeColor="text1"/>
          <w:szCs w:val="21"/>
          <w:highlight w:val="none"/>
          <w14:textFill>
            <w14:solidFill>
              <w14:schemeClr w14:val="tx1"/>
            </w14:solidFill>
          </w14:textFill>
        </w:rPr>
      </w:pPr>
    </w:p>
    <w:p w14:paraId="3223112C">
      <w:pPr>
        <w:jc w:val="center"/>
        <w:rPr>
          <w:rFonts w:hint="eastAsia" w:ascii="宋体" w:hAnsi="宋体" w:eastAsia="宋体" w:cs="宋体"/>
          <w:color w:val="000000" w:themeColor="text1"/>
          <w:szCs w:val="21"/>
          <w:highlight w:val="none"/>
          <w14:textFill>
            <w14:solidFill>
              <w14:schemeClr w14:val="tx1"/>
            </w14:solidFill>
          </w14:textFill>
        </w:rPr>
      </w:pPr>
    </w:p>
    <w:p w14:paraId="1F2C7233">
      <w:pPr>
        <w:jc w:val="center"/>
        <w:rPr>
          <w:rFonts w:hint="eastAsia" w:ascii="宋体" w:hAnsi="宋体" w:eastAsia="宋体" w:cs="宋体"/>
          <w:color w:val="000000" w:themeColor="text1"/>
          <w:szCs w:val="21"/>
          <w:highlight w:val="none"/>
          <w14:textFill>
            <w14:solidFill>
              <w14:schemeClr w14:val="tx1"/>
            </w14:solidFill>
          </w14:textFill>
        </w:rPr>
      </w:pPr>
    </w:p>
    <w:p w14:paraId="3F3ADF13">
      <w:pPr>
        <w:jc w:val="center"/>
        <w:rPr>
          <w:rFonts w:hint="eastAsia" w:ascii="宋体" w:hAnsi="宋体" w:eastAsia="宋体" w:cs="宋体"/>
          <w:color w:val="000000" w:themeColor="text1"/>
          <w:szCs w:val="21"/>
          <w:highlight w:val="none"/>
          <w14:textFill>
            <w14:solidFill>
              <w14:schemeClr w14:val="tx1"/>
            </w14:solidFill>
          </w14:textFill>
        </w:rPr>
      </w:pPr>
    </w:p>
    <w:p w14:paraId="511454ED">
      <w:pPr>
        <w:jc w:val="center"/>
        <w:rPr>
          <w:rFonts w:hint="eastAsia" w:ascii="宋体" w:hAnsi="宋体" w:eastAsia="宋体" w:cs="宋体"/>
          <w:color w:val="000000" w:themeColor="text1"/>
          <w:szCs w:val="21"/>
          <w:highlight w:val="none"/>
          <w14:textFill>
            <w14:solidFill>
              <w14:schemeClr w14:val="tx1"/>
            </w14:solidFill>
          </w14:textFill>
        </w:rPr>
      </w:pPr>
    </w:p>
    <w:p w14:paraId="4390B626">
      <w:pPr>
        <w:jc w:val="center"/>
        <w:rPr>
          <w:rFonts w:hint="eastAsia" w:ascii="宋体" w:hAnsi="宋体" w:eastAsia="宋体" w:cs="宋体"/>
          <w:color w:val="000000" w:themeColor="text1"/>
          <w:szCs w:val="21"/>
          <w:highlight w:val="none"/>
          <w14:textFill>
            <w14:solidFill>
              <w14:schemeClr w14:val="tx1"/>
            </w14:solidFill>
          </w14:textFill>
        </w:rPr>
      </w:pPr>
    </w:p>
    <w:p w14:paraId="69C889F2">
      <w:pPr>
        <w:jc w:val="center"/>
        <w:rPr>
          <w:rFonts w:hint="eastAsia" w:ascii="宋体" w:hAnsi="宋体" w:eastAsia="宋体" w:cs="宋体"/>
          <w:color w:val="000000" w:themeColor="text1"/>
          <w:szCs w:val="21"/>
          <w:highlight w:val="none"/>
          <w14:textFill>
            <w14:solidFill>
              <w14:schemeClr w14:val="tx1"/>
            </w14:solidFill>
          </w14:textFill>
        </w:rPr>
      </w:pPr>
    </w:p>
    <w:p w14:paraId="0FF1C345">
      <w:pPr>
        <w:jc w:val="center"/>
        <w:rPr>
          <w:rFonts w:hint="eastAsia" w:ascii="宋体" w:hAnsi="宋体" w:eastAsia="宋体" w:cs="宋体"/>
          <w:color w:val="000000" w:themeColor="text1"/>
          <w:szCs w:val="21"/>
          <w:highlight w:val="none"/>
          <w14:textFill>
            <w14:solidFill>
              <w14:schemeClr w14:val="tx1"/>
            </w14:solidFill>
          </w14:textFill>
        </w:rPr>
      </w:pPr>
    </w:p>
    <w:p w14:paraId="7E3A3B4D">
      <w:pPr>
        <w:widowControl/>
        <w:jc w:val="center"/>
        <w:rPr>
          <w:rFonts w:hint="eastAsia" w:ascii="宋体" w:hAnsi="宋体" w:eastAsia="宋体" w:cs="宋体"/>
          <w:color w:val="000000" w:themeColor="text1"/>
          <w:highlight w:val="none"/>
          <w14:textFill>
            <w14:solidFill>
              <w14:schemeClr w14:val="tx1"/>
            </w14:solidFill>
          </w14:textFill>
        </w:rPr>
      </w:pPr>
    </w:p>
    <w:p w14:paraId="2802E782">
      <w:pPr>
        <w:jc w:val="center"/>
        <w:rPr>
          <w:rFonts w:hint="eastAsia" w:ascii="宋体" w:hAnsi="宋体" w:eastAsia="宋体" w:cs="宋体"/>
          <w:color w:val="000000" w:themeColor="text1"/>
          <w:szCs w:val="21"/>
          <w:highlight w:val="none"/>
          <w14:textFill>
            <w14:solidFill>
              <w14:schemeClr w14:val="tx1"/>
            </w14:solidFill>
          </w14:textFill>
        </w:rPr>
      </w:pPr>
    </w:p>
    <w:p w14:paraId="475B1F3A">
      <w:pPr>
        <w:jc w:val="center"/>
        <w:rPr>
          <w:rFonts w:hint="eastAsia" w:ascii="宋体" w:hAnsi="宋体" w:eastAsia="宋体" w:cs="宋体"/>
          <w:color w:val="000000" w:themeColor="text1"/>
          <w:szCs w:val="21"/>
          <w:highlight w:val="none"/>
          <w14:textFill>
            <w14:solidFill>
              <w14:schemeClr w14:val="tx1"/>
            </w14:solidFill>
          </w14:textFill>
        </w:rPr>
      </w:pPr>
    </w:p>
    <w:p w14:paraId="47095CF1">
      <w:pPr>
        <w:jc w:val="center"/>
        <w:rPr>
          <w:rFonts w:hint="eastAsia" w:ascii="宋体" w:hAnsi="宋体" w:eastAsia="宋体" w:cs="宋体"/>
          <w:color w:val="000000" w:themeColor="text1"/>
          <w:szCs w:val="21"/>
          <w:highlight w:val="none"/>
          <w14:textFill>
            <w14:solidFill>
              <w14:schemeClr w14:val="tx1"/>
            </w14:solidFill>
          </w14:textFill>
        </w:rPr>
      </w:pPr>
    </w:p>
    <w:p w14:paraId="0DD4E1B6">
      <w:pPr>
        <w:jc w:val="center"/>
        <w:rPr>
          <w:rFonts w:hint="eastAsia" w:ascii="宋体" w:hAnsi="宋体" w:eastAsia="宋体" w:cs="宋体"/>
          <w:color w:val="000000" w:themeColor="text1"/>
          <w:szCs w:val="21"/>
          <w:highlight w:val="none"/>
          <w14:textFill>
            <w14:solidFill>
              <w14:schemeClr w14:val="tx1"/>
            </w14:solidFill>
          </w14:textFill>
        </w:rPr>
      </w:pPr>
    </w:p>
    <w:p w14:paraId="0E5EBD28">
      <w:pPr>
        <w:jc w:val="center"/>
        <w:rPr>
          <w:rFonts w:hint="eastAsia" w:ascii="宋体" w:hAnsi="宋体" w:eastAsia="宋体" w:cs="宋体"/>
          <w:color w:val="000000" w:themeColor="text1"/>
          <w:szCs w:val="21"/>
          <w:highlight w:val="none"/>
          <w14:textFill>
            <w14:solidFill>
              <w14:schemeClr w14:val="tx1"/>
            </w14:solidFill>
          </w14:textFill>
        </w:rPr>
      </w:pPr>
    </w:p>
    <w:p w14:paraId="214D7F3C">
      <w:pPr>
        <w:jc w:val="center"/>
        <w:rPr>
          <w:rFonts w:hint="eastAsia" w:ascii="宋体" w:hAnsi="宋体" w:eastAsia="宋体" w:cs="宋体"/>
          <w:color w:val="000000" w:themeColor="text1"/>
          <w:szCs w:val="21"/>
          <w:highlight w:val="none"/>
          <w14:textFill>
            <w14:solidFill>
              <w14:schemeClr w14:val="tx1"/>
            </w14:solidFill>
          </w14:textFill>
        </w:rPr>
      </w:pPr>
    </w:p>
    <w:p w14:paraId="700A8C6E">
      <w:pPr>
        <w:jc w:val="center"/>
        <w:rPr>
          <w:rFonts w:hint="eastAsia" w:ascii="宋体" w:hAnsi="宋体" w:eastAsia="宋体" w:cs="宋体"/>
          <w:color w:val="000000" w:themeColor="text1"/>
          <w:szCs w:val="21"/>
          <w:highlight w:val="none"/>
          <w14:textFill>
            <w14:solidFill>
              <w14:schemeClr w14:val="tx1"/>
            </w14:solidFill>
          </w14:textFill>
        </w:rPr>
      </w:pPr>
    </w:p>
    <w:p w14:paraId="1CF93DDD">
      <w:pPr>
        <w:jc w:val="center"/>
        <w:rPr>
          <w:rFonts w:hint="eastAsia" w:ascii="宋体" w:hAnsi="宋体" w:eastAsia="宋体" w:cs="宋体"/>
          <w:color w:val="000000" w:themeColor="text1"/>
          <w:szCs w:val="21"/>
          <w:highlight w:val="none"/>
          <w14:textFill>
            <w14:solidFill>
              <w14:schemeClr w14:val="tx1"/>
            </w14:solidFill>
          </w14:textFill>
        </w:rPr>
      </w:pPr>
    </w:p>
    <w:p w14:paraId="37D21DD7">
      <w:pPr>
        <w:jc w:val="center"/>
        <w:rPr>
          <w:rFonts w:hint="eastAsia" w:ascii="宋体" w:hAnsi="宋体" w:eastAsia="宋体" w:cs="宋体"/>
          <w:color w:val="000000" w:themeColor="text1"/>
          <w:szCs w:val="21"/>
          <w:highlight w:val="none"/>
          <w14:textFill>
            <w14:solidFill>
              <w14:schemeClr w14:val="tx1"/>
            </w14:solidFill>
          </w14:textFill>
        </w:rPr>
      </w:pPr>
    </w:p>
    <w:p w14:paraId="4F2E8878">
      <w:pPr>
        <w:jc w:val="center"/>
        <w:rPr>
          <w:rFonts w:hint="eastAsia" w:ascii="宋体" w:hAnsi="宋体" w:eastAsia="宋体" w:cs="宋体"/>
          <w:color w:val="000000" w:themeColor="text1"/>
          <w:szCs w:val="21"/>
          <w:highlight w:val="none"/>
          <w14:textFill>
            <w14:solidFill>
              <w14:schemeClr w14:val="tx1"/>
            </w14:solidFill>
          </w14:textFill>
        </w:rPr>
      </w:pPr>
    </w:p>
    <w:p w14:paraId="6C209B94">
      <w:pPr>
        <w:pStyle w:val="2"/>
        <w:spacing w:before="0" w:after="0" w:line="500" w:lineRule="exact"/>
        <w:rPr>
          <w:rFonts w:hint="eastAsia" w:ascii="宋体" w:hAnsi="宋体" w:eastAsia="宋体" w:cs="宋体"/>
          <w:color w:val="000000" w:themeColor="text1"/>
          <w:sz w:val="32"/>
          <w:szCs w:val="32"/>
          <w:highlight w:val="none"/>
          <w14:textFill>
            <w14:solidFill>
              <w14:schemeClr w14:val="tx1"/>
            </w14:solidFill>
          </w14:textFill>
        </w:rPr>
      </w:pPr>
      <w:bookmarkStart w:id="55" w:name="_Toc28900"/>
      <w:r>
        <w:rPr>
          <w:rFonts w:hint="eastAsia" w:ascii="宋体" w:hAnsi="宋体" w:eastAsia="宋体" w:cs="宋体"/>
          <w:color w:val="000000" w:themeColor="text1"/>
          <w:sz w:val="32"/>
          <w:szCs w:val="32"/>
          <w:highlight w:val="none"/>
          <w14:textFill>
            <w14:solidFill>
              <w14:schemeClr w14:val="tx1"/>
            </w14:solidFill>
          </w14:textFill>
        </w:rPr>
        <w:t>第四章 投标文件格式</w:t>
      </w:r>
      <w:bookmarkEnd w:id="55"/>
    </w:p>
    <w:p w14:paraId="579E7B0C">
      <w:pPr>
        <w:widowControl/>
        <w:jc w:val="left"/>
        <w:rPr>
          <w:rFonts w:hint="eastAsia" w:ascii="宋体" w:hAnsi="宋体" w:eastAsia="宋体" w:cs="宋体"/>
          <w:b/>
          <w:bCs/>
          <w:color w:val="000000" w:themeColor="text1"/>
          <w:kern w:val="0"/>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14:paraId="3418370F">
      <w:pPr>
        <w:pStyle w:val="4"/>
        <w:kinsoku/>
        <w:wordWrap/>
        <w:overflowPunct/>
        <w:topLinePunct w:val="0"/>
        <w:autoSpaceDE/>
        <w:autoSpaceDN/>
        <w:bidi w:val="0"/>
        <w:adjustRightInd/>
        <w:snapToGrid/>
        <w:spacing w:before="0" w:line="480" w:lineRule="exact"/>
        <w:jc w:val="left"/>
        <w:textAlignment w:val="auto"/>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bookmarkStart w:id="56" w:name="_Toc17449"/>
      <w:bookmarkStart w:id="57" w:name="_Toc5662"/>
      <w: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一、</w:t>
      </w:r>
      <w:r>
        <w:rPr>
          <w:rFonts w:hint="eastAsia" w:ascii="宋体" w:hAnsi="宋体" w:cs="宋体"/>
          <w:color w:val="000000" w:themeColor="text1"/>
          <w:spacing w:val="0"/>
          <w:kern w:val="0"/>
          <w:sz w:val="28"/>
          <w:szCs w:val="28"/>
          <w:highlight w:val="none"/>
          <w:lang w:val="en-US" w:eastAsia="zh-CN"/>
          <w14:textFill>
            <w14:solidFill>
              <w14:schemeClr w14:val="tx1"/>
            </w14:solidFill>
          </w14:textFill>
        </w:rPr>
        <w:t>资格文件</w:t>
      </w:r>
      <w:bookmarkEnd w:id="56"/>
      <w:bookmarkEnd w:id="57"/>
    </w:p>
    <w:p w14:paraId="54B12F8A">
      <w:pPr>
        <w:pStyle w:val="23"/>
        <w:numPr>
          <w:ilvl w:val="0"/>
          <w:numId w:val="0"/>
        </w:numPr>
        <w:kinsoku/>
        <w:wordWrap/>
        <w:overflowPunct/>
        <w:topLinePunct w:val="0"/>
        <w:autoSpaceDE/>
        <w:autoSpaceDN/>
        <w:bidi w:val="0"/>
        <w:adjustRightInd/>
        <w:snapToGrid/>
        <w:spacing w:line="480" w:lineRule="exact"/>
        <w:ind w:leftChars="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投标人应填写和提交下述规定的有关资料。</w:t>
      </w:r>
    </w:p>
    <w:p w14:paraId="4C435C49">
      <w:pPr>
        <w:pStyle w:val="23"/>
        <w:numPr>
          <w:ilvl w:val="0"/>
          <w:numId w:val="0"/>
        </w:numPr>
        <w:kinsoku/>
        <w:wordWrap/>
        <w:overflowPunct/>
        <w:topLinePunct w:val="0"/>
        <w:autoSpaceDE/>
        <w:autoSpaceDN/>
        <w:bidi w:val="0"/>
        <w:adjustRightInd/>
        <w:snapToGrid/>
        <w:spacing w:line="480" w:lineRule="exact"/>
        <w:ind w:leftChars="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所附格式要求填写的全部内容都必须填写。</w:t>
      </w:r>
    </w:p>
    <w:p w14:paraId="6680CF0F">
      <w:pPr>
        <w:pStyle w:val="23"/>
        <w:numPr>
          <w:ilvl w:val="0"/>
          <w:numId w:val="0"/>
        </w:numPr>
        <w:kinsoku/>
        <w:wordWrap/>
        <w:overflowPunct/>
        <w:topLinePunct w:val="0"/>
        <w:autoSpaceDE/>
        <w:autoSpaceDN/>
        <w:bidi w:val="0"/>
        <w:adjustRightInd/>
        <w:snapToGrid/>
        <w:spacing w:line="480" w:lineRule="exact"/>
        <w:ind w:leftChars="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投标人应保证全部声明和填写的内容是真实的和正确的。</w:t>
      </w:r>
    </w:p>
    <w:p w14:paraId="63E59948">
      <w:pPr>
        <w:pStyle w:val="23"/>
        <w:numPr>
          <w:ilvl w:val="0"/>
          <w:numId w:val="0"/>
        </w:numPr>
        <w:kinsoku/>
        <w:wordWrap/>
        <w:overflowPunct/>
        <w:topLinePunct w:val="0"/>
        <w:autoSpaceDE/>
        <w:autoSpaceDN/>
        <w:bidi w:val="0"/>
        <w:adjustRightInd/>
        <w:snapToGrid/>
        <w:spacing w:line="480" w:lineRule="exact"/>
        <w:ind w:leftChars="0"/>
        <w:textAlignment w:val="auto"/>
        <w:outlineLvl w:val="9"/>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投标人提交的材料将被保密，但不退还。</w:t>
      </w:r>
    </w:p>
    <w:p w14:paraId="0FCA2CA8">
      <w:p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79E5854F">
      <w:pPr>
        <w:pStyle w:val="23"/>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格式1</w:t>
      </w:r>
    </w:p>
    <w:p w14:paraId="0E6225FE">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lang w:eastAsia="zh-CN"/>
          <w14:textFill>
            <w14:solidFill>
              <w14:schemeClr w14:val="tx1"/>
            </w14:solidFill>
          </w14:textFill>
        </w:rPr>
        <w:t>具有独立承担民事责任的能力</w:t>
      </w: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cs="宋体"/>
          <w:b/>
          <w:color w:val="000000" w:themeColor="text1"/>
          <w:kern w:val="0"/>
          <w:szCs w:val="21"/>
          <w:highlight w:val="none"/>
          <w:lang w:eastAsia="zh-CN"/>
          <w14:textFill>
            <w14:solidFill>
              <w14:schemeClr w14:val="tx1"/>
            </w14:solidFill>
          </w14:textFill>
        </w:rPr>
        <w:t>投标人须在中华人民共和国境内注册，提供市场监督管理部门核发的有效的三证合一营业执照或其他组织形式的相关主体资格证明材料（扫描件加盖投标人电子公章）</w:t>
      </w:r>
      <w:r>
        <w:rPr>
          <w:rFonts w:hint="eastAsia" w:ascii="宋体" w:hAnsi="宋体" w:eastAsia="宋体" w:cs="宋体"/>
          <w:b/>
          <w:color w:val="000000" w:themeColor="text1"/>
          <w:kern w:val="0"/>
          <w:szCs w:val="21"/>
          <w:highlight w:val="none"/>
          <w14:textFill>
            <w14:solidFill>
              <w14:schemeClr w14:val="tx1"/>
            </w14:solidFill>
          </w14:textFill>
        </w:rPr>
        <w:t>；</w:t>
      </w:r>
    </w:p>
    <w:p w14:paraId="691B03CA">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7377F0C1">
      <w:pPr>
        <w:pStyle w:val="23"/>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p>
    <w:p w14:paraId="07878399">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eastAsia="zh-CN"/>
          <w14:textFill>
            <w14:solidFill>
              <w14:schemeClr w14:val="tx1"/>
            </w14:solidFill>
          </w14:textFill>
        </w:rPr>
        <w:t>具有良好的商业信誉和健全的财务会计制度</w:t>
      </w:r>
      <w:r>
        <w:rPr>
          <w:rFonts w:hint="eastAsia" w:ascii="宋体" w:hAnsi="宋体" w:eastAsia="宋体" w:cs="宋体"/>
          <w:b/>
          <w:color w:val="000000" w:themeColor="text1"/>
          <w:kern w:val="0"/>
          <w:szCs w:val="21"/>
          <w:highlight w:val="none"/>
          <w:lang w:eastAsia="zh-CN"/>
          <w14:textFill>
            <w14:solidFill>
              <w14:schemeClr w14:val="tx1"/>
            </w14:solidFill>
          </w14:textFill>
        </w:rPr>
        <w:t>：提供</w:t>
      </w:r>
      <w:r>
        <w:rPr>
          <w:rFonts w:hint="eastAsia" w:ascii="宋体" w:hAnsi="宋体" w:cs="宋体"/>
          <w:b/>
          <w:color w:val="000000" w:themeColor="text1"/>
          <w:kern w:val="0"/>
          <w:szCs w:val="21"/>
          <w:highlight w:val="none"/>
          <w:lang w:eastAsia="zh-CN"/>
          <w14:textFill>
            <w14:solidFill>
              <w14:schemeClr w14:val="tx1"/>
            </w14:solidFill>
          </w14:textFill>
        </w:rPr>
        <w:t>投标人2024年度或2025年度经第三方审计</w:t>
      </w:r>
      <w:r>
        <w:rPr>
          <w:rFonts w:hint="eastAsia" w:ascii="宋体" w:hAnsi="宋体" w:eastAsia="宋体" w:cs="宋体"/>
          <w:b/>
          <w:color w:val="000000" w:themeColor="text1"/>
          <w:kern w:val="0"/>
          <w:szCs w:val="21"/>
          <w:highlight w:val="none"/>
          <w:lang w:eastAsia="zh-CN"/>
          <w14:textFill>
            <w14:solidFill>
              <w14:schemeClr w14:val="tx1"/>
            </w14:solidFill>
          </w14:textFill>
        </w:rPr>
        <w:t>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格式3</w:t>
      </w:r>
    </w:p>
    <w:p w14:paraId="4A99F820">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具有履行合同所必需的设备和专业技术能力</w:t>
      </w:r>
      <w:r>
        <w:rPr>
          <w:rFonts w:hint="eastAsia" w:ascii="宋体" w:hAnsi="宋体" w:eastAsia="宋体" w:cs="宋体"/>
          <w:b/>
          <w:color w:val="000000" w:themeColor="text1"/>
          <w:szCs w:val="21"/>
          <w:highlight w:val="none"/>
          <w14:textFill>
            <w14:solidFill>
              <w14:schemeClr w14:val="tx1"/>
            </w14:solidFill>
          </w14:textFill>
        </w:rPr>
        <w:t>：提供投标人</w:t>
      </w:r>
      <w:r>
        <w:rPr>
          <w:rFonts w:hint="eastAsia" w:ascii="宋体" w:hAnsi="宋体" w:cs="宋体"/>
          <w:b/>
          <w:color w:val="000000" w:themeColor="text1"/>
          <w:szCs w:val="21"/>
          <w:highlight w:val="none"/>
          <w:lang w:eastAsia="zh-CN"/>
          <w14:textFill>
            <w14:solidFill>
              <w14:schemeClr w14:val="tx1"/>
            </w14:solidFill>
          </w14:textFill>
        </w:rPr>
        <w:t>具有履行合同所必需的设备和专业技术能力</w:t>
      </w:r>
      <w:r>
        <w:rPr>
          <w:rFonts w:hint="eastAsia" w:ascii="宋体" w:hAnsi="宋体" w:eastAsia="宋体" w:cs="宋体"/>
          <w:b/>
          <w:color w:val="000000" w:themeColor="text1"/>
          <w:szCs w:val="21"/>
          <w:highlight w:val="none"/>
          <w14:textFill>
            <w14:solidFill>
              <w14:schemeClr w14:val="tx1"/>
            </w14:solidFill>
          </w14:textFill>
        </w:rPr>
        <w:t>证明材料（扫描件加盖投标人电子公章）或书面声明（加盖投标人电子公章）；</w:t>
      </w:r>
    </w:p>
    <w:p w14:paraId="42079C8B">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格式4</w:t>
      </w:r>
    </w:p>
    <w:p w14:paraId="2A1F9B45">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eastAsia="zh-CN"/>
          <w14:textFill>
            <w14:solidFill>
              <w14:schemeClr w14:val="tx1"/>
            </w14:solidFill>
          </w14:textFill>
        </w:rPr>
        <w:t>有依法缴纳税收和社会保障资金的良好记录</w:t>
      </w:r>
      <w:r>
        <w:rPr>
          <w:rFonts w:hint="eastAsia" w:ascii="宋体" w:hAnsi="宋体" w:eastAsia="宋体" w:cs="宋体"/>
          <w:b/>
          <w:bCs/>
          <w:color w:val="000000" w:themeColor="text1"/>
          <w:kern w:val="0"/>
          <w:szCs w:val="21"/>
          <w:highlight w:val="none"/>
          <w14:textFill>
            <w14:solidFill>
              <w14:schemeClr w14:val="tx1"/>
            </w14:solidFill>
          </w14:textFill>
        </w:rPr>
        <w:t>：</w:t>
      </w:r>
    </w:p>
    <w:p w14:paraId="0E3A0881">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.提供投标人缴税所属时间在</w:t>
      </w:r>
      <w:r>
        <w:rPr>
          <w:rFonts w:hint="eastAsia" w:ascii="宋体" w:hAnsi="宋体" w:cs="宋体"/>
          <w:b/>
          <w:bCs/>
          <w:color w:val="000000" w:themeColor="text1"/>
          <w:kern w:val="0"/>
          <w:szCs w:val="21"/>
          <w:highlight w:val="none"/>
          <w:lang w:val="en-US" w:eastAsia="zh-CN"/>
          <w14:textFill>
            <w14:solidFill>
              <w14:schemeClr w14:val="tx1"/>
            </w14:solidFill>
          </w14:textFill>
        </w:rPr>
        <w:t>2025年01月至</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本项目提交投标文件截止时间前任意3个月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p w14:paraId="4E631D25">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.提供投标人缴费所属时间在</w:t>
      </w:r>
      <w:r>
        <w:rPr>
          <w:rFonts w:hint="eastAsia" w:ascii="宋体" w:hAnsi="宋体" w:cs="宋体"/>
          <w:b/>
          <w:bCs/>
          <w:color w:val="000000" w:themeColor="text1"/>
          <w:kern w:val="0"/>
          <w:szCs w:val="21"/>
          <w:highlight w:val="none"/>
          <w:lang w:val="en-US" w:eastAsia="zh-CN"/>
          <w14:textFill>
            <w14:solidFill>
              <w14:schemeClr w14:val="tx1"/>
            </w14:solidFill>
          </w14:textFill>
        </w:rPr>
        <w:t>2025年01月至</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本项目提交投标文件截止时间前任意3个月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p w14:paraId="683BC613">
      <w:pPr>
        <w:widowControl/>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格式5</w:t>
      </w:r>
    </w:p>
    <w:p w14:paraId="10A5D0D5">
      <w:pPr>
        <w:widowControl/>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eastAsia="zh-CN"/>
          <w14:textFill>
            <w14:solidFill>
              <w14:schemeClr w14:val="tx1"/>
            </w14:solidFill>
          </w14:textFill>
        </w:rPr>
        <w:t>参加政府采购活动前三年内，在经营活动中没有重大违法记录</w:t>
      </w:r>
      <w:r>
        <w:rPr>
          <w:rFonts w:hint="eastAsia" w:ascii="宋体" w:hAnsi="宋体" w:eastAsia="宋体" w:cs="宋体"/>
          <w:b/>
          <w:color w:val="000000" w:themeColor="text1"/>
          <w:kern w:val="0"/>
          <w:szCs w:val="21"/>
          <w:highlight w:val="none"/>
          <w:lang w:eastAsia="zh-CN"/>
          <w14:textFill>
            <w14:solidFill>
              <w14:schemeClr w14:val="tx1"/>
            </w14:solidFill>
          </w14:textFill>
        </w:rPr>
        <w:t>：提供投标人</w:t>
      </w:r>
      <w:r>
        <w:rPr>
          <w:rFonts w:hint="eastAsia" w:ascii="宋体" w:hAnsi="宋体" w:cs="宋体"/>
          <w:b/>
          <w:color w:val="000000" w:themeColor="text1"/>
          <w:kern w:val="0"/>
          <w:szCs w:val="21"/>
          <w:highlight w:val="none"/>
          <w:lang w:eastAsia="zh-CN"/>
          <w14:textFill>
            <w14:solidFill>
              <w14:schemeClr w14:val="tx1"/>
            </w14:solidFill>
          </w14:textFill>
        </w:rPr>
        <w:t>参加政府采购活动前三年内，在经营活动中没有重大违法记录</w:t>
      </w:r>
      <w:r>
        <w:rPr>
          <w:rFonts w:hint="eastAsia" w:ascii="宋体" w:hAnsi="宋体" w:eastAsia="宋体" w:cs="宋体"/>
          <w:b/>
          <w:color w:val="000000" w:themeColor="text1"/>
          <w:kern w:val="0"/>
          <w:szCs w:val="21"/>
          <w:highlight w:val="none"/>
          <w:lang w:eastAsia="zh-CN"/>
          <w14:textFill>
            <w14:solidFill>
              <w14:schemeClr w14:val="tx1"/>
            </w14:solidFill>
          </w14:textFill>
        </w:rPr>
        <w:t>（重大违法记录，是指投标人因违法经营受到刑事处罚或者责令停产停业、吊销许可证或者执照、较大数额罚款等行政处罚）的书面声明（加盖投标人电子公章）</w:t>
      </w:r>
      <w:r>
        <w:rPr>
          <w:rFonts w:hint="eastAsia" w:ascii="宋体" w:hAnsi="宋体" w:eastAsia="宋体" w:cs="宋体"/>
          <w:b/>
          <w:color w:val="000000" w:themeColor="text1"/>
          <w:kern w:val="0"/>
          <w:szCs w:val="21"/>
          <w:highlight w:val="none"/>
          <w14:textFill>
            <w14:solidFill>
              <w14:schemeClr w14:val="tx1"/>
            </w14:solidFill>
          </w14:textFill>
        </w:rPr>
        <w:t>；</w:t>
      </w:r>
    </w:p>
    <w:p w14:paraId="5B823F0C">
      <w:p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55E28237">
      <w:pPr>
        <w:pStyle w:val="23"/>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6</w:t>
      </w:r>
    </w:p>
    <w:p w14:paraId="3C741C36">
      <w:pPr>
        <w:widowControl/>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法律、行政法规规定的其他条件：单位负责人为同一人或者存在直接控股、管理关系不同的投标人，不得同时参与本项目的采购活动。为采购项目提供整体设计、规范编制和项目管理、监理、检测等服务的投标人，不得参与本项目采购活动（提供承诺函加盖投标人电子公章）；</w:t>
      </w:r>
    </w:p>
    <w:p w14:paraId="5AC8F3C5">
      <w:pPr>
        <w:rPr>
          <w:rFonts w:hint="eastAsia" w:ascii="宋体" w:hAnsi="宋体" w:eastAsia="宋体" w:cs="宋体"/>
          <w:b/>
          <w:color w:val="000000" w:themeColor="text1"/>
          <w:kern w:val="0"/>
          <w:szCs w:val="21"/>
          <w:highlight w:val="none"/>
          <w14:textFill>
            <w14:solidFill>
              <w14:schemeClr w14:val="tx1"/>
            </w14:solidFill>
          </w14:textFill>
        </w:rPr>
      </w:pPr>
    </w:p>
    <w:p w14:paraId="051BBEE0">
      <w:pPr>
        <w:keepNext/>
        <w:keepLines/>
        <w:spacing w:before="120" w:after="120" w:line="360" w:lineRule="auto"/>
        <w:jc w:val="center"/>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承诺函</w:t>
      </w:r>
    </w:p>
    <w:p w14:paraId="4ECA098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致：（采购人名称）</w:t>
      </w:r>
    </w:p>
    <w:p w14:paraId="3938C45D">
      <w:pPr>
        <w:pageBreakBefore w:val="0"/>
        <w:kinsoku/>
        <w:overflowPunct/>
        <w:topLinePunct w:val="0"/>
        <w:autoSpaceDE/>
        <w:autoSpaceDN/>
        <w:bidi w:val="0"/>
        <w:spacing w:line="480" w:lineRule="exact"/>
        <w:ind w:left="0" w:leftChars="0" w:right="0" w:firstLine="4410" w:firstLineChars="2100"/>
        <w:outlineLvl w:val="9"/>
        <w:rPr>
          <w:rFonts w:hint="eastAsia" w:ascii="宋体" w:hAnsi="宋体" w:eastAsia="宋体" w:cs="宋体"/>
          <w:color w:val="000000" w:themeColor="text1"/>
          <w:szCs w:val="21"/>
          <w:highlight w:val="none"/>
          <w14:textFill>
            <w14:solidFill>
              <w14:schemeClr w14:val="tx1"/>
            </w14:solidFill>
          </w14:textFill>
        </w:rPr>
      </w:pPr>
    </w:p>
    <w:p w14:paraId="72F2E48C">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outlineLvl w:val="9"/>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我公司不存在“</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单位负责人为同一人或者存在直接控股、管理关系不同的投标人，同时参与本项目的采购活动。为采购项目提供整体设计、规范编制和项目管理、监理、检测等服务的投标人，参与本项目采购活动</w:t>
      </w:r>
      <w:r>
        <w:rPr>
          <w:rFonts w:hint="eastAsia" w:ascii="宋体" w:hAnsi="宋体" w:cs="宋体"/>
          <w:color w:val="000000" w:themeColor="text1"/>
          <w:szCs w:val="21"/>
          <w:highlight w:val="none"/>
          <w:lang w:val="en-US" w:eastAsia="zh-CN"/>
          <w14:textFill>
            <w14:solidFill>
              <w14:schemeClr w14:val="tx1"/>
            </w14:solidFill>
          </w14:textFill>
        </w:rPr>
        <w:t>”的情形。</w:t>
      </w:r>
    </w:p>
    <w:p w14:paraId="3942668F">
      <w:pPr>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38AC99BA">
      <w:pPr>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31815BF3">
      <w:pPr>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677E3740">
      <w:pPr>
        <w:spacing w:line="360" w:lineRule="auto"/>
        <w:ind w:left="5397" w:leftChars="2570"/>
        <w:rPr>
          <w:rFonts w:hint="eastAsia" w:ascii="宋体" w:hAnsi="宋体" w:cs="宋体"/>
          <w:color w:val="auto"/>
          <w:szCs w:val="21"/>
          <w:highlight w:val="none"/>
        </w:rPr>
      </w:pPr>
      <w:r>
        <w:rPr>
          <w:rFonts w:hint="eastAsia" w:ascii="宋体" w:hAnsi="宋体" w:cs="宋体"/>
          <w:color w:val="auto"/>
          <w:szCs w:val="21"/>
          <w:highlight w:val="none"/>
        </w:rPr>
        <w:t>投标人（加盖投标人电子公章）：</w:t>
      </w:r>
    </w:p>
    <w:p w14:paraId="47EA7F89">
      <w:pPr>
        <w:spacing w:line="360" w:lineRule="auto"/>
        <w:ind w:left="5397" w:leftChars="2570"/>
        <w:rPr>
          <w:rFonts w:hint="eastAsia" w:ascii="宋体" w:hAnsi="宋体" w:cs="宋体"/>
          <w:color w:val="auto"/>
          <w:szCs w:val="21"/>
          <w:highlight w:val="none"/>
        </w:rPr>
      </w:pPr>
    </w:p>
    <w:p w14:paraId="326E2E4E">
      <w:pPr>
        <w:jc w:val="righ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cs="宋体"/>
          <w:color w:val="auto"/>
          <w:szCs w:val="21"/>
          <w:highlight w:val="none"/>
        </w:rPr>
        <w:t>日期：</w:t>
      </w:r>
    </w:p>
    <w:p w14:paraId="3794955E">
      <w:pPr>
        <w:rPr>
          <w:rFonts w:hint="eastAsia" w:ascii="宋体" w:hAnsi="宋体" w:eastAsia="宋体" w:cs="宋体"/>
          <w:b/>
          <w:color w:val="000000" w:themeColor="text1"/>
          <w:kern w:val="0"/>
          <w:szCs w:val="21"/>
          <w:highlight w:val="none"/>
          <w14:textFill>
            <w14:solidFill>
              <w14:schemeClr w14:val="tx1"/>
            </w14:solidFill>
          </w14:textFill>
        </w:rPr>
      </w:pPr>
    </w:p>
    <w:p w14:paraId="5DA4B328">
      <w:pPr>
        <w:rPr>
          <w:rFonts w:hint="eastAsia" w:ascii="宋体" w:hAnsi="宋体" w:eastAsia="宋体" w:cs="宋体"/>
          <w:b/>
          <w:color w:val="000000" w:themeColor="text1"/>
          <w:kern w:val="0"/>
          <w:szCs w:val="21"/>
          <w:highlight w:val="none"/>
          <w14:textFill>
            <w14:solidFill>
              <w14:schemeClr w14:val="tx1"/>
            </w14:solidFill>
          </w14:textFill>
        </w:rPr>
      </w:pPr>
    </w:p>
    <w:p w14:paraId="7B963A4B">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054D0909">
      <w:pPr>
        <w:widowControl/>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7</w:t>
      </w:r>
    </w:p>
    <w:p w14:paraId="0F8ECD57">
      <w:pPr>
        <w:widowControl/>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落实政府采购政策需满足的资格要求：无；</w:t>
      </w:r>
    </w:p>
    <w:p w14:paraId="180D2B76">
      <w:pPr>
        <w:widowControl/>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0"/>
          <w:sz w:val="56"/>
          <w:szCs w:val="56"/>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8</w:t>
      </w:r>
    </w:p>
    <w:p w14:paraId="0D1A34A5">
      <w:pPr>
        <w:widowControl/>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本项目的特定资格要求：</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根据《医疗器械监督管理条例》（国务院令第739号）和国家食品药品监督管理总局《医疗器械分类目录》的规定，所投产品属于第一类医疗器械的投标人须提供有效的医疗器械备案凭证（扫描件加盖投标人电子公章）；所投产品属于第二类医疗器械的投标人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投标人电子公章）；所投产品属于第三类医疗器械的投标人须提供有效的医疗器械经营许可证（经营范围须覆盖所属类别）、生产制造商医疗器械生产许可证（生产范围须覆盖所属类别，生产制造商工商注册地在中华人民共和国境外的，可不提供）、医疗器械注册证及附件（扫描件加盖投标人电子公章）。投标人如果是所投产品医疗器械制造商的，无须提供医疗器械经营许可证或备案证，其他不在目录内的所投产品不作强行要求。</w:t>
      </w:r>
    </w:p>
    <w:p w14:paraId="28A68018">
      <w:pPr>
        <w:outlineLvl w:val="9"/>
        <w:rPr>
          <w:rFonts w:hint="eastAsia" w:ascii="宋体" w:hAnsi="宋体" w:eastAsia="宋体" w:cs="宋体"/>
          <w:b/>
          <w:bCs/>
          <w:color w:val="000000" w:themeColor="text1"/>
          <w:kern w:val="0"/>
          <w:sz w:val="56"/>
          <w:szCs w:val="56"/>
          <w:highlight w:val="none"/>
          <w14:textFill>
            <w14:solidFill>
              <w14:schemeClr w14:val="tx1"/>
            </w14:solidFill>
          </w14:textFill>
        </w:rPr>
      </w:pPr>
      <w:r>
        <w:rPr>
          <w:rFonts w:hint="eastAsia" w:ascii="宋体" w:hAnsi="宋体" w:eastAsia="宋体" w:cs="宋体"/>
          <w:b/>
          <w:bCs/>
          <w:color w:val="000000" w:themeColor="text1"/>
          <w:kern w:val="0"/>
          <w:sz w:val="56"/>
          <w:szCs w:val="56"/>
          <w:highlight w:val="none"/>
          <w14:textFill>
            <w14:solidFill>
              <w14:schemeClr w14:val="tx1"/>
            </w14:solidFill>
          </w14:textFill>
        </w:rPr>
        <w:br w:type="page"/>
      </w:r>
    </w:p>
    <w:p w14:paraId="00DA7F5E">
      <w:pPr>
        <w:pStyle w:val="4"/>
        <w:pageBreakBefore w:val="0"/>
        <w:kinsoku/>
        <w:overflowPunct/>
        <w:topLinePunct w:val="0"/>
        <w:autoSpaceDE/>
        <w:autoSpaceDN/>
        <w:bidi w:val="0"/>
        <w:adjustRightInd/>
        <w:snapToGrid/>
        <w:spacing w:before="0" w:line="480" w:lineRule="exact"/>
        <w:ind w:left="0"/>
        <w:jc w:val="left"/>
        <w:textAlignment w:val="auto"/>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bookmarkStart w:id="58" w:name="_Toc17981"/>
      <w:bookmarkStart w:id="59" w:name="_Toc4440"/>
      <w: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二、报价文件</w:t>
      </w:r>
      <w:bookmarkEnd w:id="58"/>
      <w:bookmarkEnd w:id="59"/>
    </w:p>
    <w:p w14:paraId="559640BD">
      <w:pPr>
        <w:pStyle w:val="23"/>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hAnsi="宋体" w:cs="宋体"/>
          <w:b/>
          <w:color w:val="000000" w:themeColor="text1"/>
          <w:sz w:val="28"/>
          <w:szCs w:val="28"/>
          <w:highlight w:val="none"/>
          <w:lang w:val="en-US" w:eastAsia="zh-CN"/>
          <w14:textFill>
            <w14:solidFill>
              <w14:schemeClr w14:val="tx1"/>
            </w14:solidFill>
          </w14:textFill>
        </w:rPr>
        <w:t>9</w:t>
      </w:r>
    </w:p>
    <w:p w14:paraId="7473B0C7">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开标一览表</w:t>
      </w:r>
    </w:p>
    <w:p w14:paraId="22283893">
      <w:pPr>
        <w:pStyle w:val="2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p w14:paraId="22C9C47E">
      <w:pPr>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项目编号：</w:t>
      </w:r>
    </w:p>
    <w:tbl>
      <w:tblPr>
        <w:tblStyle w:val="40"/>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1"/>
        <w:gridCol w:w="6158"/>
      </w:tblGrid>
      <w:tr w14:paraId="6B98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541" w:type="dxa"/>
            <w:vAlign w:val="center"/>
          </w:tcPr>
          <w:p w14:paraId="2AC87520">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tc>
        <w:tc>
          <w:tcPr>
            <w:tcW w:w="6158" w:type="dxa"/>
            <w:vAlign w:val="center"/>
          </w:tcPr>
          <w:p w14:paraId="71E3D506">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p>
        </w:tc>
      </w:tr>
      <w:tr w14:paraId="7642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2541" w:type="dxa"/>
            <w:vAlign w:val="center"/>
          </w:tcPr>
          <w:p w14:paraId="259A90B4">
            <w:pPr>
              <w:pStyle w:val="23"/>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p w14:paraId="341AB02A">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（元）</w:t>
            </w:r>
          </w:p>
        </w:tc>
        <w:tc>
          <w:tcPr>
            <w:tcW w:w="6158" w:type="dxa"/>
            <w:vAlign w:val="center"/>
          </w:tcPr>
          <w:p w14:paraId="6BA95B61">
            <w:pPr>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p>
          <w:p w14:paraId="6DFD2E08">
            <w:pPr>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w:t>
            </w:r>
          </w:p>
        </w:tc>
      </w:tr>
      <w:tr w14:paraId="59B8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541" w:type="dxa"/>
            <w:vAlign w:val="center"/>
          </w:tcPr>
          <w:p w14:paraId="48557409">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交货期</w:t>
            </w:r>
          </w:p>
        </w:tc>
        <w:tc>
          <w:tcPr>
            <w:tcW w:w="6158" w:type="dxa"/>
            <w:vAlign w:val="center"/>
          </w:tcPr>
          <w:p w14:paraId="6C0450DE">
            <w:pPr>
              <w:pageBreakBefore w:val="0"/>
              <w:widowControl/>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p>
        </w:tc>
      </w:tr>
      <w:tr w14:paraId="106F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1" w:type="dxa"/>
            <w:vAlign w:val="center"/>
          </w:tcPr>
          <w:p w14:paraId="6F36AAA0">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交货地点</w:t>
            </w:r>
          </w:p>
        </w:tc>
        <w:tc>
          <w:tcPr>
            <w:tcW w:w="6158" w:type="dxa"/>
            <w:vAlign w:val="center"/>
          </w:tcPr>
          <w:p w14:paraId="5AAF0344">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p>
        </w:tc>
      </w:tr>
      <w:tr w14:paraId="397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41" w:type="dxa"/>
            <w:vAlign w:val="center"/>
          </w:tcPr>
          <w:p w14:paraId="370ABDA2">
            <w:pPr>
              <w:pStyle w:val="23"/>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投标保证金形式</w:t>
            </w:r>
          </w:p>
        </w:tc>
        <w:tc>
          <w:tcPr>
            <w:tcW w:w="6158" w:type="dxa"/>
            <w:vAlign w:val="center"/>
          </w:tcPr>
          <w:p w14:paraId="42D06104">
            <w:pPr>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Cs w:val="21"/>
                <w:highlight w:val="none"/>
                <w14:textFill>
                  <w14:solidFill>
                    <w14:schemeClr w14:val="tx1"/>
                  </w14:solidFill>
                </w14:textFill>
              </w:rPr>
            </w:pPr>
          </w:p>
        </w:tc>
      </w:tr>
      <w:tr w14:paraId="0CBC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699" w:type="dxa"/>
            <w:gridSpan w:val="2"/>
            <w:vAlign w:val="center"/>
          </w:tcPr>
          <w:p w14:paraId="6F886B8A">
            <w:pPr>
              <w:pageBreakBefore w:val="0"/>
              <w:kinsoku/>
              <w:overflowPunct/>
              <w:topLinePunct w:val="0"/>
              <w:autoSpaceDE/>
              <w:autoSpaceDN/>
              <w:bidi w:val="0"/>
              <w:adjustRightInd/>
              <w:snapToGrid/>
              <w:spacing w:line="480" w:lineRule="exact"/>
              <w:ind w:left="0"/>
              <w:jc w:val="left"/>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 注</w:t>
            </w:r>
          </w:p>
        </w:tc>
      </w:tr>
    </w:tbl>
    <w:p w14:paraId="43D952D4">
      <w:pPr>
        <w:pStyle w:val="2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表中“投标报价”</w:t>
      </w:r>
      <w:r>
        <w:rPr>
          <w:rFonts w:hint="eastAsia" w:ascii="宋体" w:hAnsi="宋体" w:eastAsia="宋体" w:cs="宋体"/>
          <w:color w:val="000000" w:themeColor="text1"/>
          <w:szCs w:val="21"/>
          <w:highlight w:val="none"/>
          <w:lang w:val="en-US" w:eastAsia="zh-CN"/>
          <w14:textFill>
            <w14:solidFill>
              <w14:schemeClr w14:val="tx1"/>
            </w14:solidFill>
          </w14:textFill>
        </w:rPr>
        <w:t>应与“投标函”中“投标报价”和“投标报价汇总表”中“投标报价”一致。</w:t>
      </w:r>
    </w:p>
    <w:p w14:paraId="77AF0ED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2.若本表与“政采云”平台“开标记录表”中所填写的信息不一致时，以“政采云”平台“开标记录表”中填写的信息为准。</w:t>
      </w:r>
    </w:p>
    <w:p w14:paraId="2CD2EB89">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color w:val="000000" w:themeColor="text1"/>
          <w:szCs w:val="21"/>
          <w:highlight w:val="none"/>
          <w14:textFill>
            <w14:solidFill>
              <w14:schemeClr w14:val="tx1"/>
            </w14:solidFill>
          </w14:textFill>
        </w:rPr>
      </w:pPr>
    </w:p>
    <w:p w14:paraId="26B11C4F">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投标人（加盖投标人电子公章）：</w:t>
      </w:r>
    </w:p>
    <w:p w14:paraId="125CB938">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法定代表人（电子签名或电子签章）：</w:t>
      </w:r>
    </w:p>
    <w:p w14:paraId="27C4ECC6">
      <w:pPr>
        <w:pStyle w:val="2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b/>
          <w:color w:val="000000" w:themeColor="text1"/>
          <w:sz w:val="28"/>
          <w:szCs w:val="28"/>
          <w:highlight w:val="none"/>
          <w14:textFill>
            <w14:solidFill>
              <w14:schemeClr w14:val="tx1"/>
            </w14:solidFill>
          </w14:textFill>
        </w:rPr>
        <w:br w:type="page"/>
      </w:r>
      <w:bookmarkStart w:id="60" w:name="_Toc28937"/>
      <w:bookmarkStart w:id="61" w:name="_Toc5573"/>
      <w:r>
        <w:rPr>
          <w:rFonts w:hint="eastAsia" w:ascii="宋体" w:hAnsi="宋体" w:eastAsia="宋体" w:cs="宋体"/>
          <w:b/>
          <w:color w:val="000000" w:themeColor="text1"/>
          <w:spacing w:val="0"/>
          <w:kern w:val="0"/>
          <w:sz w:val="28"/>
          <w:szCs w:val="28"/>
          <w:highlight w:val="none"/>
          <w:lang w:val="en-US" w:eastAsia="zh-CN" w:bidi="ar-SA"/>
          <w14:textFill>
            <w14:solidFill>
              <w14:schemeClr w14:val="tx1"/>
            </w14:solidFill>
          </w14:textFill>
        </w:rPr>
        <w:t>三、商务技术文件</w:t>
      </w:r>
      <w:bookmarkEnd w:id="60"/>
      <w:bookmarkEnd w:id="61"/>
    </w:p>
    <w:p w14:paraId="618F1733">
      <w:pPr>
        <w:pStyle w:val="23"/>
        <w:kinsoku/>
        <w:wordWrap/>
        <w:overflowPunct/>
        <w:topLinePunct w:val="0"/>
        <w:autoSpaceDE/>
        <w:autoSpaceDN/>
        <w:bidi w:val="0"/>
        <w:adjustRightInd/>
        <w:snapToGrid/>
        <w:spacing w:line="480" w:lineRule="exact"/>
        <w:textAlignment w:val="auto"/>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hAnsi="宋体" w:cs="宋体"/>
          <w:b/>
          <w:color w:val="000000" w:themeColor="text1"/>
          <w:sz w:val="28"/>
          <w:szCs w:val="28"/>
          <w:highlight w:val="none"/>
          <w:lang w:val="en-US" w:eastAsia="zh-CN"/>
          <w14:textFill>
            <w14:solidFill>
              <w14:schemeClr w14:val="tx1"/>
            </w14:solidFill>
          </w14:textFill>
        </w:rPr>
        <w:t>10</w:t>
      </w:r>
    </w:p>
    <w:p w14:paraId="6ADD3439">
      <w:pPr>
        <w:pageBreakBefore w:val="0"/>
        <w:kinsoku/>
        <w:overflowPunct/>
        <w:topLinePunct w:val="0"/>
        <w:autoSpaceDE/>
        <w:autoSpaceDN/>
        <w:bidi w:val="0"/>
        <w:adjustRightInd/>
        <w:snapToGrid/>
        <w:spacing w:line="480" w:lineRule="exact"/>
        <w:ind w:left="0"/>
        <w:jc w:val="center"/>
        <w:textAlignment w:val="auto"/>
        <w:outlineLvl w:val="9"/>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投标函</w:t>
      </w:r>
    </w:p>
    <w:p w14:paraId="48A2CE84">
      <w:pPr>
        <w:pStyle w:val="23"/>
        <w:keepNext w:val="0"/>
        <w:keepLines w:val="0"/>
        <w:pageBreakBefore w:val="0"/>
        <w:widowControl w:val="0"/>
        <w:kinsoku/>
        <w:overflowPunct/>
        <w:topLinePunct w:val="0"/>
        <w:autoSpaceDE/>
        <w:autoSpaceDN/>
        <w:bidi w:val="0"/>
        <w:adjustRightInd/>
        <w:snapToGrid/>
        <w:spacing w:line="440" w:lineRule="exact"/>
        <w:ind w:left="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（采购人名称）</w:t>
      </w:r>
    </w:p>
    <w:p w14:paraId="45B37423">
      <w:pPr>
        <w:pStyle w:val="23"/>
        <w:keepNext w:val="0"/>
        <w:keepLines w:val="0"/>
        <w:pageBreakBefore w:val="0"/>
        <w:widowControl w:val="0"/>
        <w:kinsoku/>
        <w:overflowPunct/>
        <w:topLinePunct w:val="0"/>
        <w:autoSpaceDE/>
        <w:autoSpaceDN/>
        <w:bidi w:val="0"/>
        <w:adjustRightInd/>
        <w:snapToGrid/>
        <w:spacing w:line="440" w:lineRule="exact"/>
        <w:ind w:left="0" w:firstLine="482"/>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我方仔细研究了</w:t>
      </w:r>
      <w:r>
        <w:rPr>
          <w:rFonts w:hint="eastAsia" w:ascii="宋体" w:hAnsi="宋体" w:eastAsia="宋体" w:cs="宋体"/>
          <w:color w:val="000000" w:themeColor="text1"/>
          <w:szCs w:val="21"/>
          <w:highlight w:val="none"/>
          <w:u w:val="single"/>
          <w14:textFill>
            <w14:solidFill>
              <w14:schemeClr w14:val="tx1"/>
            </w14:solidFill>
          </w14:textFill>
        </w:rPr>
        <w:t xml:space="preserve">（采购项目名称） </w:t>
      </w: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）项目招标文件的全部内容，正式授权</w:t>
      </w:r>
      <w:r>
        <w:rPr>
          <w:rFonts w:hint="eastAsia" w:ascii="宋体" w:hAnsi="宋体" w:eastAsia="宋体" w:cs="宋体"/>
          <w:color w:val="000000" w:themeColor="text1"/>
          <w:szCs w:val="21"/>
          <w:highlight w:val="none"/>
          <w:u w:val="single"/>
          <w14:textFill>
            <w14:solidFill>
              <w14:schemeClr w14:val="tx1"/>
            </w14:solidFill>
          </w14:textFill>
        </w:rPr>
        <w:t xml:space="preserve">   （姓名和职务）     </w:t>
      </w:r>
      <w:r>
        <w:rPr>
          <w:rFonts w:hint="eastAsia" w:ascii="宋体" w:hAnsi="宋体" w:eastAsia="宋体" w:cs="宋体"/>
          <w:color w:val="000000" w:themeColor="text1"/>
          <w:szCs w:val="21"/>
          <w:highlight w:val="none"/>
          <w14:textFill>
            <w14:solidFill>
              <w14:schemeClr w14:val="tx1"/>
            </w14:solidFill>
          </w14:textFill>
        </w:rPr>
        <w:t>全权代表投标人</w:t>
      </w:r>
      <w:r>
        <w:rPr>
          <w:rFonts w:hint="eastAsia" w:ascii="宋体" w:hAnsi="宋体" w:eastAsia="宋体" w:cs="宋体"/>
          <w:color w:val="000000" w:themeColor="text1"/>
          <w:szCs w:val="21"/>
          <w:highlight w:val="none"/>
          <w:u w:val="single"/>
          <w14:textFill>
            <w14:solidFill>
              <w14:schemeClr w14:val="tx1"/>
            </w14:solidFill>
          </w14:textFill>
        </w:rPr>
        <w:t xml:space="preserve">  （投标人全称）   </w:t>
      </w:r>
      <w:r>
        <w:rPr>
          <w:rFonts w:hint="eastAsia" w:ascii="宋体" w:hAnsi="宋体" w:eastAsia="宋体" w:cs="宋体"/>
          <w:color w:val="000000" w:themeColor="text1"/>
          <w:szCs w:val="21"/>
          <w:highlight w:val="none"/>
          <w14:textFill>
            <w14:solidFill>
              <w14:schemeClr w14:val="tx1"/>
            </w14:solidFill>
          </w14:textFill>
        </w:rPr>
        <w:t>参加投标，并提交电子投标文件。</w:t>
      </w:r>
    </w:p>
    <w:p w14:paraId="7E16C26A">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据此函，</w:t>
      </w:r>
      <w:r>
        <w:rPr>
          <w:rFonts w:hint="eastAsia" w:ascii="宋体" w:hAnsi="宋体" w:eastAsia="宋体" w:cs="宋体"/>
          <w:color w:val="000000" w:themeColor="text1"/>
          <w:szCs w:val="21"/>
          <w:highlight w:val="none"/>
          <w:lang w:eastAsia="zh-CN"/>
          <w14:textFill>
            <w14:solidFill>
              <w14:schemeClr w14:val="tx1"/>
            </w14:solidFill>
          </w14:textFill>
        </w:rPr>
        <w:t>我公司</w:t>
      </w:r>
      <w:r>
        <w:rPr>
          <w:rFonts w:hint="eastAsia" w:ascii="宋体" w:hAnsi="宋体" w:eastAsia="宋体" w:cs="宋体"/>
          <w:color w:val="000000" w:themeColor="text1"/>
          <w:szCs w:val="21"/>
          <w:highlight w:val="none"/>
          <w14:textFill>
            <w14:solidFill>
              <w14:schemeClr w14:val="tx1"/>
            </w14:solidFill>
          </w14:textFill>
        </w:rPr>
        <w:t>兹宣布同意如下：</w:t>
      </w:r>
    </w:p>
    <w:p w14:paraId="4BBB45E2">
      <w:pPr>
        <w:pStyle w:val="23"/>
        <w:keepNext w:val="0"/>
        <w:keepLines w:val="0"/>
        <w:pageBreakBefore w:val="0"/>
        <w:widowControl w:val="0"/>
        <w:kinsoku/>
        <w:wordWrap w:val="0"/>
        <w:overflowPunct/>
        <w:topLinePunct w:val="0"/>
        <w:autoSpaceDE/>
        <w:autoSpaceDN/>
        <w:bidi w:val="0"/>
        <w:adjustRightInd/>
        <w:snapToGrid/>
        <w:spacing w:line="440" w:lineRule="exact"/>
        <w:ind w:left="0" w:firstLine="409" w:firstLineChars="195"/>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1．按招标文件采购需求及技术要求，我方投标报价（大写）</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szCs w:val="21"/>
          <w:highlight w:val="none"/>
          <w:lang w:val="en-US" w:eastAsia="zh-CN"/>
          <w14:textFill>
            <w14:solidFill>
              <w14:schemeClr w14:val="tx1"/>
            </w14:solidFill>
          </w14:textFill>
        </w:rPr>
        <w:t>交货期</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FA5ED6E">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pacing w:val="-1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pacing w:val="-10"/>
          <w:szCs w:val="21"/>
          <w:highlight w:val="none"/>
          <w14:textFill>
            <w14:solidFill>
              <w14:schemeClr w14:val="tx1"/>
            </w14:solidFill>
          </w14:textFill>
        </w:rPr>
        <w:t>我方已详细审查招标文件及相关文件全部内容，包括</w:t>
      </w:r>
      <w:r>
        <w:rPr>
          <w:rFonts w:hint="eastAsia" w:ascii="宋体" w:hAnsi="宋体" w:eastAsia="宋体" w:cs="宋体"/>
          <w:color w:val="000000" w:themeColor="text1"/>
          <w:spacing w:val="-10"/>
          <w:szCs w:val="21"/>
          <w:highlight w:val="none"/>
          <w:u w:val="single"/>
          <w14:textFill>
            <w14:solidFill>
              <w14:schemeClr w14:val="tx1"/>
            </w14:solidFill>
          </w14:textFill>
        </w:rPr>
        <w:t>（澄清文件）(如果有的话)</w:t>
      </w:r>
      <w:r>
        <w:rPr>
          <w:rFonts w:hint="eastAsia" w:ascii="宋体" w:hAnsi="宋体" w:eastAsia="宋体" w:cs="宋体"/>
          <w:color w:val="000000" w:themeColor="text1"/>
          <w:spacing w:val="-10"/>
          <w:szCs w:val="21"/>
          <w:highlight w:val="none"/>
          <w14:textFill>
            <w14:solidFill>
              <w14:schemeClr w14:val="tx1"/>
            </w14:solidFill>
          </w14:textFill>
        </w:rPr>
        <w:t>。我方完全理解招标文件及相关文件要求，并承担对这方面有不明及误解的后果。</w:t>
      </w:r>
    </w:p>
    <w:p w14:paraId="460F0FC9">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3．在投标人须知规定的开标日期起遵循本投标文件，并在投标人须知第17.1条规定的投标文件有效期满之前均具有约束力。</w:t>
      </w:r>
    </w:p>
    <w:p w14:paraId="142A10A6">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4．同意招标文件中关于没收投标保证金的规定。</w:t>
      </w:r>
    </w:p>
    <w:p w14:paraId="6A2A9D94">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5．同意应贵方要求提供与本投标有关的任何数据或资料，并保证数据和资料的完整性和真实性。</w:t>
      </w:r>
    </w:p>
    <w:p w14:paraId="7F0DA0D0">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6．完全理解贵方不一定要接受最低报价的投标人为中标人的行为。</w:t>
      </w:r>
    </w:p>
    <w:p w14:paraId="56B6455B">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7．如我方中标：我方承诺在收到中标通知书后，在中标通知书规定的期限内与你方签订合同，并履行相应的合同责任和义务。</w:t>
      </w:r>
    </w:p>
    <w:p w14:paraId="35ABE7E1">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8．我方在此声明，所递交的投标文件及有关资料内容完整、真实和准确。</w:t>
      </w:r>
    </w:p>
    <w:p w14:paraId="1717D6B6">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（其他补充说明）。</w:t>
      </w:r>
    </w:p>
    <w:p w14:paraId="54563017">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与本投标有关的正式通讯地址为：</w:t>
      </w:r>
    </w:p>
    <w:p w14:paraId="064EA78E">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投标人地址：</w:t>
      </w:r>
    </w:p>
    <w:p w14:paraId="2825F69E">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传真：</w:t>
      </w:r>
    </w:p>
    <w:p w14:paraId="26BEDE37">
      <w:pPr>
        <w:pStyle w:val="23"/>
        <w:keepNext w:val="0"/>
        <w:keepLines w:val="0"/>
        <w:pageBreakBefore w:val="0"/>
        <w:widowControl w:val="0"/>
        <w:kinsoku/>
        <w:overflowPunct/>
        <w:topLinePunct w:val="0"/>
        <w:autoSpaceDE/>
        <w:autoSpaceDN/>
        <w:bidi w:val="0"/>
        <w:adjustRightInd/>
        <w:snapToGrid/>
        <w:spacing w:line="440" w:lineRule="exact"/>
        <w:ind w:left="0" w:firstLine="42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号：</w:t>
      </w:r>
    </w:p>
    <w:p w14:paraId="19123F93">
      <w:pPr>
        <w:pStyle w:val="23"/>
        <w:keepNext w:val="0"/>
        <w:keepLines w:val="0"/>
        <w:pageBreakBefore w:val="0"/>
        <w:widowControl w:val="0"/>
        <w:kinsoku/>
        <w:overflowPunct/>
        <w:topLinePunct w:val="0"/>
        <w:autoSpaceDE/>
        <w:autoSpaceDN/>
        <w:bidi w:val="0"/>
        <w:adjustRightInd/>
        <w:snapToGrid/>
        <w:spacing w:line="440" w:lineRule="exact"/>
        <w:ind w:left="0"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投标人（加盖投标人电子公章）：</w:t>
      </w:r>
    </w:p>
    <w:p w14:paraId="5DF2FDF9">
      <w:pPr>
        <w:pStyle w:val="23"/>
        <w:keepNext w:val="0"/>
        <w:keepLines w:val="0"/>
        <w:pageBreakBefore w:val="0"/>
        <w:widowControl w:val="0"/>
        <w:kinsoku/>
        <w:overflowPunct/>
        <w:topLinePunct w:val="0"/>
        <w:autoSpaceDE/>
        <w:autoSpaceDN/>
        <w:bidi w:val="0"/>
        <w:adjustRightInd/>
        <w:snapToGrid/>
        <w:spacing w:line="440" w:lineRule="exact"/>
        <w:ind w:left="0"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（电子签名或电子签章）</w:t>
      </w:r>
      <w:r>
        <w:rPr>
          <w:rFonts w:hint="eastAsia" w:ascii="宋体" w:hAnsi="宋体" w:eastAsia="宋体" w:cs="宋体"/>
          <w:color w:val="000000" w:themeColor="text1"/>
          <w:szCs w:val="21"/>
          <w:highlight w:val="none"/>
          <w14:textFill>
            <w14:solidFill>
              <w14:schemeClr w14:val="tx1"/>
            </w14:solidFill>
          </w14:textFill>
        </w:rPr>
        <w:t>：</w:t>
      </w:r>
    </w:p>
    <w:p w14:paraId="53C903F4">
      <w:pPr>
        <w:pStyle w:val="23"/>
        <w:keepNext w:val="0"/>
        <w:keepLines w:val="0"/>
        <w:pageBreakBefore w:val="0"/>
        <w:widowControl w:val="0"/>
        <w:kinsoku/>
        <w:overflowPunct/>
        <w:topLinePunct w:val="0"/>
        <w:autoSpaceDE/>
        <w:autoSpaceDN/>
        <w:bidi w:val="0"/>
        <w:adjustRightInd/>
        <w:snapToGrid/>
        <w:spacing w:line="440" w:lineRule="exact"/>
        <w:ind w:left="0"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sectPr>
          <w:footerReference r:id="rId5" w:type="default"/>
          <w:pgSz w:w="12240" w:h="15840"/>
          <w:pgMar w:top="1440" w:right="1800" w:bottom="1440" w:left="1800" w:header="567" w:footer="567" w:gutter="0"/>
          <w:pgNumType w:fmt="decimal" w:start="1"/>
          <w:cols w:space="720" w:num="1"/>
        </w:sectPr>
      </w:pPr>
      <w:r>
        <w:rPr>
          <w:rFonts w:hint="eastAsia" w:ascii="宋体" w:hAnsi="宋体" w:eastAsia="宋体" w:cs="宋体"/>
          <w:color w:val="000000" w:themeColor="text1"/>
          <w:szCs w:val="21"/>
          <w:highlight w:val="none"/>
          <w14:textFill>
            <w14:solidFill>
              <w14:schemeClr w14:val="tx1"/>
            </w14:solidFill>
          </w14:textFill>
        </w:rPr>
        <w:t>日期：</w:t>
      </w:r>
    </w:p>
    <w:p w14:paraId="7CE34675">
      <w:pPr>
        <w:pStyle w:val="23"/>
        <w:keepNext w:val="0"/>
        <w:keepLines w:val="0"/>
        <w:pageBreakBefore w:val="0"/>
        <w:widowControl w:val="0"/>
        <w:kinsoku/>
        <w:overflowPunct/>
        <w:topLinePunct w:val="0"/>
        <w:autoSpaceDE/>
        <w:autoSpaceDN/>
        <w:bidi w:val="0"/>
        <w:adjustRightInd/>
        <w:snapToGrid/>
        <w:spacing w:line="440" w:lineRule="exact"/>
        <w:textAlignment w:val="auto"/>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hAnsi="宋体" w:cs="宋体"/>
          <w:b/>
          <w:color w:val="000000" w:themeColor="text1"/>
          <w:sz w:val="28"/>
          <w:szCs w:val="28"/>
          <w:highlight w:val="none"/>
          <w:lang w:val="en-US" w:eastAsia="zh-CN"/>
          <w14:textFill>
            <w14:solidFill>
              <w14:schemeClr w14:val="tx1"/>
            </w14:solidFill>
          </w14:textFill>
        </w:rPr>
        <w:t>1</w:t>
      </w:r>
    </w:p>
    <w:p w14:paraId="6A2F5420">
      <w:pPr>
        <w:spacing w:line="480" w:lineRule="auto"/>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投标报价汇总表</w:t>
      </w:r>
    </w:p>
    <w:p w14:paraId="270D6B50">
      <w:pPr>
        <w:pStyle w:val="23"/>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p w14:paraId="270DA34A">
      <w:pPr>
        <w:pStyle w:val="23"/>
        <w:keepNext w:val="0"/>
        <w:keepLines w:val="0"/>
        <w:pageBreakBefore w:val="0"/>
        <w:widowControl w:val="0"/>
        <w:kinsoku/>
        <w:wordWrap/>
        <w:overflowPunct/>
        <w:topLinePunct w:val="0"/>
        <w:autoSpaceDE/>
        <w:autoSpaceDN/>
        <w:bidi w:val="0"/>
        <w:adjustRightInd/>
        <w:snapToGrid/>
        <w:spacing w:line="440" w:lineRule="exact"/>
        <w:ind w:left="0" w:leftChars="0" w:right="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项目编号：</w:t>
      </w:r>
    </w:p>
    <w:tbl>
      <w:tblPr>
        <w:tblStyle w:val="40"/>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37"/>
        <w:gridCol w:w="1103"/>
        <w:gridCol w:w="759"/>
        <w:gridCol w:w="912"/>
        <w:gridCol w:w="1095"/>
        <w:gridCol w:w="765"/>
        <w:gridCol w:w="645"/>
        <w:gridCol w:w="1255"/>
        <w:gridCol w:w="974"/>
        <w:gridCol w:w="1030"/>
        <w:gridCol w:w="675"/>
      </w:tblGrid>
      <w:tr w14:paraId="20C2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14:paraId="19084985">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103" w:type="dxa"/>
            <w:tcBorders>
              <w:top w:val="single" w:color="auto" w:sz="4" w:space="0"/>
              <w:left w:val="single" w:color="auto" w:sz="4" w:space="0"/>
              <w:bottom w:val="single" w:color="auto" w:sz="4" w:space="0"/>
              <w:right w:val="single" w:color="auto" w:sz="4" w:space="0"/>
            </w:tcBorders>
            <w:vAlign w:val="center"/>
          </w:tcPr>
          <w:p w14:paraId="72F9CC90">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产品（项目）名称</w:t>
            </w:r>
          </w:p>
        </w:tc>
        <w:tc>
          <w:tcPr>
            <w:tcW w:w="759" w:type="dxa"/>
            <w:tcBorders>
              <w:top w:val="single" w:color="auto" w:sz="4" w:space="0"/>
              <w:left w:val="single" w:color="auto" w:sz="4" w:space="0"/>
              <w:bottom w:val="single" w:color="auto" w:sz="4" w:space="0"/>
              <w:right w:val="single" w:color="auto" w:sz="4" w:space="0"/>
            </w:tcBorders>
            <w:vAlign w:val="center"/>
          </w:tcPr>
          <w:p w14:paraId="30790C03">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品牌</w:t>
            </w:r>
          </w:p>
        </w:tc>
        <w:tc>
          <w:tcPr>
            <w:tcW w:w="912" w:type="dxa"/>
            <w:tcBorders>
              <w:top w:val="single" w:color="auto" w:sz="4" w:space="0"/>
              <w:left w:val="single" w:color="auto" w:sz="4" w:space="0"/>
              <w:right w:val="single" w:color="auto" w:sz="4" w:space="0"/>
            </w:tcBorders>
            <w:vAlign w:val="center"/>
          </w:tcPr>
          <w:p w14:paraId="5FBB56E5">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型号和规格</w:t>
            </w:r>
          </w:p>
        </w:tc>
        <w:tc>
          <w:tcPr>
            <w:tcW w:w="1095" w:type="dxa"/>
            <w:tcBorders>
              <w:top w:val="single" w:color="auto" w:sz="4" w:space="0"/>
              <w:left w:val="single" w:color="auto" w:sz="4" w:space="0"/>
              <w:bottom w:val="single" w:color="auto" w:sz="4" w:space="0"/>
              <w:right w:val="single" w:color="auto" w:sz="4" w:space="0"/>
            </w:tcBorders>
            <w:vAlign w:val="center"/>
          </w:tcPr>
          <w:p w14:paraId="3DCE0DDD">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生产制造商名称、国别</w:t>
            </w:r>
          </w:p>
        </w:tc>
        <w:tc>
          <w:tcPr>
            <w:tcW w:w="765" w:type="dxa"/>
            <w:tcBorders>
              <w:top w:val="single" w:color="auto" w:sz="4" w:space="0"/>
              <w:left w:val="single" w:color="auto" w:sz="4" w:space="0"/>
              <w:bottom w:val="single" w:color="auto" w:sz="4" w:space="0"/>
              <w:right w:val="single" w:color="auto" w:sz="4" w:space="0"/>
            </w:tcBorders>
            <w:vAlign w:val="center"/>
          </w:tcPr>
          <w:p w14:paraId="6D1AEEA0">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数量（1）</w:t>
            </w:r>
          </w:p>
        </w:tc>
        <w:tc>
          <w:tcPr>
            <w:tcW w:w="645" w:type="dxa"/>
            <w:tcBorders>
              <w:top w:val="single" w:color="auto" w:sz="4" w:space="0"/>
              <w:left w:val="single" w:color="auto" w:sz="4" w:space="0"/>
              <w:bottom w:val="single" w:color="auto" w:sz="4" w:space="0"/>
              <w:right w:val="single" w:color="auto" w:sz="4" w:space="0"/>
            </w:tcBorders>
            <w:vAlign w:val="center"/>
          </w:tcPr>
          <w:p w14:paraId="71B4CBE4">
            <w:pPr>
              <w:pageBreakBefore w:val="0"/>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计量单位</w:t>
            </w:r>
          </w:p>
        </w:tc>
        <w:tc>
          <w:tcPr>
            <w:tcW w:w="1255" w:type="dxa"/>
            <w:tcBorders>
              <w:top w:val="single" w:color="auto" w:sz="4" w:space="0"/>
              <w:left w:val="single" w:color="auto" w:sz="4" w:space="0"/>
              <w:bottom w:val="single" w:color="auto" w:sz="4" w:space="0"/>
              <w:right w:val="single" w:color="auto" w:sz="4" w:space="0"/>
            </w:tcBorders>
            <w:vAlign w:val="center"/>
          </w:tcPr>
          <w:p w14:paraId="25EEF8AF">
            <w:pPr>
              <w:pageBreakBefore w:val="0"/>
              <w:widowControl/>
              <w:kinsoku/>
              <w:overflowPunct/>
              <w:topLinePunct w:val="0"/>
              <w:autoSpaceDE/>
              <w:autoSpaceDN/>
              <w:bidi w:val="0"/>
              <w:snapToGrid w:val="0"/>
              <w:spacing w:line="480" w:lineRule="exact"/>
              <w:ind w:left="0" w:leftChars="0" w:right="0"/>
              <w:jc w:val="center"/>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单价限价（元）</w:t>
            </w:r>
          </w:p>
        </w:tc>
        <w:tc>
          <w:tcPr>
            <w:tcW w:w="974" w:type="dxa"/>
            <w:tcBorders>
              <w:top w:val="single" w:color="auto" w:sz="4" w:space="0"/>
              <w:left w:val="single" w:color="auto" w:sz="4" w:space="0"/>
              <w:bottom w:val="single" w:color="auto" w:sz="4" w:space="0"/>
              <w:right w:val="single" w:color="auto" w:sz="4" w:space="0"/>
            </w:tcBorders>
            <w:vAlign w:val="center"/>
          </w:tcPr>
          <w:p w14:paraId="2A9C44C3">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单价（元）（2）</w:t>
            </w:r>
          </w:p>
        </w:tc>
        <w:tc>
          <w:tcPr>
            <w:tcW w:w="1030" w:type="dxa"/>
            <w:tcBorders>
              <w:top w:val="single" w:color="auto" w:sz="4" w:space="0"/>
              <w:left w:val="single" w:color="auto" w:sz="4" w:space="0"/>
              <w:bottom w:val="single" w:color="auto" w:sz="4" w:space="0"/>
              <w:right w:val="single" w:color="auto" w:sz="4" w:space="0"/>
            </w:tcBorders>
            <w:vAlign w:val="center"/>
          </w:tcPr>
          <w:p w14:paraId="33534CE4">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合价（元）</w:t>
            </w:r>
          </w:p>
          <w:p w14:paraId="47C70987">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w:t>
            </w:r>
          </w:p>
        </w:tc>
        <w:tc>
          <w:tcPr>
            <w:tcW w:w="675" w:type="dxa"/>
            <w:tcBorders>
              <w:top w:val="single" w:color="auto" w:sz="4" w:space="0"/>
              <w:left w:val="single" w:color="auto" w:sz="4" w:space="0"/>
              <w:right w:val="single" w:color="auto" w:sz="4" w:space="0"/>
            </w:tcBorders>
            <w:vAlign w:val="center"/>
          </w:tcPr>
          <w:p w14:paraId="11FF0385">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7FBD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jc w:val="center"/>
        </w:trPr>
        <w:tc>
          <w:tcPr>
            <w:tcW w:w="337" w:type="dxa"/>
            <w:tcBorders>
              <w:top w:val="single" w:color="auto" w:sz="4" w:space="0"/>
              <w:left w:val="single" w:color="auto" w:sz="4" w:space="0"/>
              <w:bottom w:val="single" w:color="auto" w:sz="4" w:space="0"/>
              <w:right w:val="single" w:color="auto" w:sz="4" w:space="0"/>
            </w:tcBorders>
            <w:vAlign w:val="center"/>
          </w:tcPr>
          <w:p w14:paraId="387BB20A">
            <w:pPr>
              <w:keepNext w:val="0"/>
              <w:keepLines w:val="0"/>
              <w:pageBreakBefore w:val="0"/>
              <w:widowControl/>
              <w:suppressLineNumbers w:val="0"/>
              <w:kinsoku/>
              <w:overflowPunct/>
              <w:topLinePunct w:val="0"/>
              <w:autoSpaceDE/>
              <w:autoSpaceDN/>
              <w:bidi w:val="0"/>
              <w:spacing w:line="480" w:lineRule="exact"/>
              <w:ind w:left="0" w:leftChars="0" w:right="0"/>
              <w:jc w:val="center"/>
              <w:textAlignment w:val="center"/>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103" w:type="dxa"/>
            <w:tcBorders>
              <w:top w:val="single" w:color="auto" w:sz="4" w:space="0"/>
              <w:left w:val="single" w:color="auto" w:sz="4" w:space="0"/>
              <w:bottom w:val="single" w:color="auto" w:sz="4" w:space="0"/>
              <w:right w:val="single" w:color="auto" w:sz="4" w:space="0"/>
            </w:tcBorders>
            <w:vAlign w:val="center"/>
          </w:tcPr>
          <w:p w14:paraId="25970326">
            <w:pPr>
              <w:keepNext w:val="0"/>
              <w:keepLines w:val="0"/>
              <w:pageBreakBefore w:val="0"/>
              <w:widowControl/>
              <w:suppressLineNumbers w:val="0"/>
              <w:kinsoku/>
              <w:overflowPunct/>
              <w:topLinePunct w:val="0"/>
              <w:autoSpaceDE/>
              <w:autoSpaceDN/>
              <w:bidi w:val="0"/>
              <w:spacing w:line="480" w:lineRule="exact"/>
              <w:ind w:left="0" w:leftChars="0" w:right="0"/>
              <w:jc w:val="center"/>
              <w:textAlignment w:val="center"/>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彩色多普勒超声诊断仪</w:t>
            </w:r>
          </w:p>
        </w:tc>
        <w:tc>
          <w:tcPr>
            <w:tcW w:w="759" w:type="dxa"/>
            <w:tcBorders>
              <w:top w:val="single" w:color="auto" w:sz="4" w:space="0"/>
              <w:left w:val="single" w:color="auto" w:sz="4" w:space="0"/>
              <w:bottom w:val="single" w:color="auto" w:sz="4" w:space="0"/>
              <w:right w:val="single" w:color="auto" w:sz="4" w:space="0"/>
            </w:tcBorders>
            <w:vAlign w:val="center"/>
          </w:tcPr>
          <w:p w14:paraId="68799455">
            <w:pPr>
              <w:keepNext w:val="0"/>
              <w:keepLines w:val="0"/>
              <w:pageBreakBefore w:val="0"/>
              <w:widowControl/>
              <w:suppressLineNumbers w:val="0"/>
              <w:kinsoku/>
              <w:overflowPunct/>
              <w:topLinePunct w:val="0"/>
              <w:autoSpaceDE/>
              <w:autoSpaceDN/>
              <w:bidi w:val="0"/>
              <w:spacing w:line="480" w:lineRule="exact"/>
              <w:ind w:left="0" w:leftChars="0" w:right="0"/>
              <w:jc w:val="center"/>
              <w:textAlignment w:val="center"/>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912" w:type="dxa"/>
            <w:tcBorders>
              <w:top w:val="single" w:color="auto" w:sz="4" w:space="0"/>
              <w:left w:val="single" w:color="auto" w:sz="4" w:space="0"/>
              <w:bottom w:val="single" w:color="auto" w:sz="4" w:space="0"/>
              <w:right w:val="single" w:color="auto" w:sz="4" w:space="0"/>
            </w:tcBorders>
            <w:vAlign w:val="center"/>
          </w:tcPr>
          <w:p w14:paraId="216F6680">
            <w:pPr>
              <w:keepNext w:val="0"/>
              <w:keepLines w:val="0"/>
              <w:pageBreakBefore w:val="0"/>
              <w:widowControl/>
              <w:suppressLineNumbers w:val="0"/>
              <w:kinsoku/>
              <w:overflowPunct/>
              <w:topLinePunct w:val="0"/>
              <w:autoSpaceDE/>
              <w:autoSpaceDN/>
              <w:bidi w:val="0"/>
              <w:spacing w:line="480" w:lineRule="exact"/>
              <w:ind w:left="0" w:leftChars="0" w:right="0"/>
              <w:jc w:val="center"/>
              <w:textAlignment w:val="center"/>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0505968E">
            <w:pPr>
              <w:keepNext w:val="0"/>
              <w:keepLines w:val="0"/>
              <w:pageBreakBefore w:val="0"/>
              <w:widowControl/>
              <w:suppressLineNumbers w:val="0"/>
              <w:kinsoku/>
              <w:overflowPunct/>
              <w:topLinePunct w:val="0"/>
              <w:autoSpaceDE/>
              <w:autoSpaceDN/>
              <w:bidi w:val="0"/>
              <w:spacing w:line="480" w:lineRule="exact"/>
              <w:ind w:left="0" w:leftChars="0" w:right="0"/>
              <w:jc w:val="center"/>
              <w:textAlignment w:val="center"/>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765" w:type="dxa"/>
            <w:tcBorders>
              <w:top w:val="single" w:color="auto" w:sz="4" w:space="0"/>
              <w:left w:val="single" w:color="auto" w:sz="4" w:space="0"/>
              <w:bottom w:val="single" w:color="auto" w:sz="4" w:space="0"/>
              <w:right w:val="single" w:color="auto" w:sz="4" w:space="0"/>
            </w:tcBorders>
            <w:vAlign w:val="center"/>
          </w:tcPr>
          <w:p w14:paraId="034312CB">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b w:val="0"/>
                <w:bCs w:val="0"/>
                <w:color w:val="000000" w:themeColor="text1"/>
                <w:sz w:val="21"/>
                <w:szCs w:val="21"/>
                <w:highlight w:val="none"/>
                <w:lang w:val="en-US" w:eastAsia="zh-CN"/>
                <w14:textFill>
                  <w14:solidFill>
                    <w14:schemeClr w14:val="tx1"/>
                  </w14:solidFill>
                </w14:textFill>
              </w:rPr>
              <w:t>2</w:t>
            </w:r>
          </w:p>
        </w:tc>
        <w:tc>
          <w:tcPr>
            <w:tcW w:w="645" w:type="dxa"/>
            <w:tcBorders>
              <w:top w:val="single" w:color="auto" w:sz="4" w:space="0"/>
              <w:left w:val="single" w:color="auto" w:sz="4" w:space="0"/>
              <w:bottom w:val="single" w:color="auto" w:sz="4" w:space="0"/>
              <w:right w:val="single" w:color="auto" w:sz="4" w:space="0"/>
            </w:tcBorders>
            <w:vAlign w:val="center"/>
          </w:tcPr>
          <w:p w14:paraId="69FA4344">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s="宋体"/>
                <w:b w:val="0"/>
                <w:bCs w:val="0"/>
                <w:color w:val="000000" w:themeColor="text1"/>
                <w:sz w:val="21"/>
                <w:szCs w:val="21"/>
                <w:highlight w:val="none"/>
                <w:lang w:val="en-US" w:eastAsia="zh-CN"/>
                <w14:textFill>
                  <w14:solidFill>
                    <w14:schemeClr w14:val="tx1"/>
                  </w14:solidFill>
                </w14:textFill>
              </w:rPr>
              <w:t>套</w:t>
            </w:r>
          </w:p>
        </w:tc>
        <w:tc>
          <w:tcPr>
            <w:tcW w:w="1255" w:type="dxa"/>
            <w:tcBorders>
              <w:top w:val="single" w:color="auto" w:sz="4" w:space="0"/>
              <w:left w:val="single" w:color="auto" w:sz="4" w:space="0"/>
              <w:right w:val="single" w:color="auto" w:sz="4" w:space="0"/>
            </w:tcBorders>
            <w:vAlign w:val="center"/>
          </w:tcPr>
          <w:p w14:paraId="33B81F09">
            <w:pPr>
              <w:pageBreakBefore w:val="0"/>
              <w:widowControl/>
              <w:kinsoku/>
              <w:overflowPunct/>
              <w:topLinePunct w:val="0"/>
              <w:autoSpaceDE/>
              <w:autoSpaceDN/>
              <w:bidi w:val="0"/>
              <w:snapToGrid w:val="0"/>
              <w:spacing w:line="480" w:lineRule="exact"/>
              <w:ind w:left="0" w:leftChars="0" w:right="0"/>
              <w:jc w:val="center"/>
              <w:outlineLvl w:val="9"/>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2700000.00</w:t>
            </w:r>
          </w:p>
        </w:tc>
        <w:tc>
          <w:tcPr>
            <w:tcW w:w="974" w:type="dxa"/>
            <w:tcBorders>
              <w:top w:val="single" w:color="auto" w:sz="4" w:space="0"/>
              <w:left w:val="single" w:color="auto" w:sz="4" w:space="0"/>
              <w:right w:val="single" w:color="auto" w:sz="4" w:space="0"/>
            </w:tcBorders>
            <w:vAlign w:val="center"/>
          </w:tcPr>
          <w:p w14:paraId="0C506B05">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14:paraId="63BFF92C">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675" w:type="dxa"/>
            <w:tcBorders>
              <w:left w:val="single" w:color="auto" w:sz="4" w:space="0"/>
              <w:right w:val="single" w:color="auto" w:sz="4" w:space="0"/>
            </w:tcBorders>
            <w:vAlign w:val="center"/>
          </w:tcPr>
          <w:p w14:paraId="63360580">
            <w:pPr>
              <w:pageBreakBefore w:val="0"/>
              <w:widowControl/>
              <w:kinsoku/>
              <w:overflowPunct/>
              <w:topLinePunct w:val="0"/>
              <w:autoSpaceDE/>
              <w:autoSpaceDN/>
              <w:bidi w:val="0"/>
              <w:snapToGrid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7BED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9" w:hRule="atLeast"/>
          <w:jc w:val="center"/>
        </w:trPr>
        <w:tc>
          <w:tcPr>
            <w:tcW w:w="4206" w:type="dxa"/>
            <w:gridSpan w:val="5"/>
            <w:tcBorders>
              <w:top w:val="single" w:color="auto" w:sz="4" w:space="0"/>
              <w:left w:val="single" w:color="auto" w:sz="4" w:space="0"/>
              <w:bottom w:val="single" w:color="auto" w:sz="4" w:space="0"/>
              <w:right w:val="single" w:color="auto" w:sz="4" w:space="0"/>
            </w:tcBorders>
            <w:vAlign w:val="center"/>
          </w:tcPr>
          <w:p w14:paraId="4108DB01">
            <w:pPr>
              <w:pStyle w:val="23"/>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投标报价</w:t>
            </w:r>
          </w:p>
          <w:p w14:paraId="24C4611E">
            <w:pPr>
              <w:pStyle w:val="23"/>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（元）</w:t>
            </w:r>
          </w:p>
        </w:tc>
        <w:tc>
          <w:tcPr>
            <w:tcW w:w="5344" w:type="dxa"/>
            <w:gridSpan w:val="6"/>
            <w:tcBorders>
              <w:top w:val="single" w:color="auto" w:sz="4" w:space="0"/>
              <w:left w:val="single" w:color="auto" w:sz="4" w:space="0"/>
              <w:bottom w:val="single" w:color="auto" w:sz="4" w:space="0"/>
              <w:right w:val="single" w:color="auto" w:sz="4" w:space="0"/>
            </w:tcBorders>
            <w:vAlign w:val="center"/>
          </w:tcPr>
          <w:p w14:paraId="5B02D286">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p>
          <w:p w14:paraId="7C292E26">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大写：</w:t>
            </w:r>
          </w:p>
        </w:tc>
      </w:tr>
      <w:tr w14:paraId="5CE7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1" w:hRule="atLeast"/>
          <w:jc w:val="center"/>
        </w:trPr>
        <w:tc>
          <w:tcPr>
            <w:tcW w:w="9550" w:type="dxa"/>
            <w:gridSpan w:val="11"/>
            <w:tcBorders>
              <w:top w:val="single" w:color="auto" w:sz="4" w:space="0"/>
              <w:left w:val="single" w:color="auto" w:sz="4" w:space="0"/>
              <w:bottom w:val="single" w:color="auto" w:sz="4" w:space="0"/>
              <w:right w:val="single" w:color="auto" w:sz="4" w:space="0"/>
            </w:tcBorders>
            <w:vAlign w:val="center"/>
          </w:tcPr>
          <w:p w14:paraId="6ED31679">
            <w:pPr>
              <w:pStyle w:val="23"/>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hAnsi="宋体" w:cs="宋体"/>
                <w:color w:val="auto"/>
                <w:szCs w:val="21"/>
                <w:highlight w:val="none"/>
                <w:lang w:val="en-US" w:eastAsia="zh-CN"/>
              </w:rPr>
              <w:t>我公司</w:t>
            </w:r>
            <w:r>
              <w:rPr>
                <w:rFonts w:hint="eastAsia" w:ascii="宋体" w:hAnsi="宋体" w:eastAsia="宋体" w:cs="宋体"/>
                <w:color w:val="auto"/>
                <w:szCs w:val="21"/>
                <w:highlight w:val="none"/>
              </w:rPr>
              <w:t>符合本国产品标准的产品成本之和占</w:t>
            </w:r>
            <w:r>
              <w:rPr>
                <w:rFonts w:hint="eastAsia" w:hAnsi="宋体" w:cs="宋体"/>
                <w:color w:val="auto"/>
                <w:szCs w:val="21"/>
                <w:highlight w:val="none"/>
                <w:lang w:val="en-US" w:eastAsia="zh-CN"/>
              </w:rPr>
              <w:t>我公司</w:t>
            </w:r>
            <w:r>
              <w:rPr>
                <w:rFonts w:hint="eastAsia" w:ascii="宋体" w:hAnsi="宋体" w:eastAsia="宋体" w:cs="宋体"/>
                <w:color w:val="auto"/>
                <w:szCs w:val="21"/>
                <w:highlight w:val="none"/>
              </w:rPr>
              <w:t>提供的全部产品成本之和的比例</w:t>
            </w:r>
            <w:r>
              <w:rPr>
                <w:rFonts w:hint="eastAsia" w:hAnsi="宋体" w:cs="宋体"/>
                <w:color w:val="auto"/>
                <w:szCs w:val="21"/>
                <w:highlight w:val="none"/>
                <w:u w:val="single"/>
                <w:lang w:val="en-US" w:eastAsia="zh-CN"/>
              </w:rPr>
              <w:t xml:space="preserve">     %</w:t>
            </w:r>
          </w:p>
        </w:tc>
      </w:tr>
    </w:tbl>
    <w:p w14:paraId="3E1C4CE7">
      <w:pPr>
        <w:pageBreakBefore w:val="0"/>
        <w:kinsoku/>
        <w:wordWrap w:val="0"/>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注：本表中“</w:t>
      </w:r>
      <w:r>
        <w:rPr>
          <w:rFonts w:hint="eastAsia" w:ascii="宋体" w:hAnsi="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报价”应与“</w:t>
      </w:r>
      <w:r>
        <w:rPr>
          <w:rFonts w:hint="eastAsia" w:ascii="宋体" w:hAnsi="宋体" w:eastAsia="宋体" w:cs="宋体"/>
          <w:color w:val="000000" w:themeColor="text1"/>
          <w:szCs w:val="21"/>
          <w:highlight w:val="none"/>
          <w:lang w:val="en-US" w:eastAsia="zh-CN"/>
          <w14:textFill>
            <w14:solidFill>
              <w14:schemeClr w14:val="tx1"/>
            </w14:solidFill>
          </w14:textFill>
        </w:rPr>
        <w:t>开标一览表</w:t>
      </w:r>
      <w:r>
        <w:rPr>
          <w:rFonts w:hint="eastAsia" w:ascii="宋体" w:hAnsi="宋体" w:eastAsia="宋体" w:cs="宋体"/>
          <w:color w:val="000000" w:themeColor="text1"/>
          <w:szCs w:val="21"/>
          <w:highlight w:val="none"/>
          <w14:textFill>
            <w14:solidFill>
              <w14:schemeClr w14:val="tx1"/>
            </w14:solidFill>
          </w14:textFill>
        </w:rPr>
        <w:t>”中“</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报价”一致。</w:t>
      </w:r>
    </w:p>
    <w:p w14:paraId="34FE5CD6">
      <w:pPr>
        <w:pageBreakBefore w:val="0"/>
        <w:kinsoku/>
        <w:wordWrap w:val="0"/>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769F9887">
      <w:pPr>
        <w:pageBreakBefore w:val="0"/>
        <w:kinsoku/>
        <w:wordWrap w:val="0"/>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投标人（加盖投标人电子公章）：</w:t>
      </w:r>
    </w:p>
    <w:p w14:paraId="4EBDE67A">
      <w:pPr>
        <w:pageBreakBefore w:val="0"/>
        <w:kinsoku/>
        <w:wordWrap w:val="0"/>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电子签名或电子签章</w:t>
      </w:r>
      <w:r>
        <w:rPr>
          <w:rFonts w:hint="eastAsia" w:ascii="宋体" w:hAnsi="宋体" w:eastAsia="宋体" w:cs="宋体"/>
          <w:color w:val="000000" w:themeColor="text1"/>
          <w:szCs w:val="21"/>
          <w:highlight w:val="none"/>
          <w14:textFill>
            <w14:solidFill>
              <w14:schemeClr w14:val="tx1"/>
            </w14:solidFill>
          </w14:textFill>
        </w:rPr>
        <w:t>）：</w:t>
      </w:r>
    </w:p>
    <w:p w14:paraId="04814D6F">
      <w:pPr>
        <w:pageBreakBefore w:val="0"/>
        <w:kinsoku/>
        <w:wordWrap w:val="0"/>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1E64C600">
      <w:pPr>
        <w:pStyle w:val="23"/>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sectPr>
          <w:pgSz w:w="12240" w:h="15840"/>
          <w:pgMar w:top="1440" w:right="1803" w:bottom="1440" w:left="1803" w:header="567" w:footer="567" w:gutter="0"/>
          <w:pgNumType w:fmt="decimal"/>
          <w:cols w:space="0" w:num="1"/>
          <w:rtlGutter w:val="0"/>
          <w:docGrid w:linePitch="0" w:charSpace="0"/>
        </w:sectPr>
      </w:pPr>
    </w:p>
    <w:p w14:paraId="486142F0">
      <w:pPr>
        <w:pStyle w:val="23"/>
        <w:kinsoku/>
        <w:wordWrap/>
        <w:overflowPunct/>
        <w:topLinePunct w:val="0"/>
        <w:autoSpaceDE/>
        <w:autoSpaceDN/>
        <w:bidi w:val="0"/>
        <w:adjustRightInd/>
        <w:snapToGrid/>
        <w:spacing w:line="480" w:lineRule="exact"/>
        <w:textAlignment w:val="auto"/>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hAnsi="宋体" w:cs="宋体"/>
          <w:b/>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z w:val="28"/>
          <w:szCs w:val="28"/>
          <w:highlight w:val="none"/>
          <w:lang w:val="en-US" w:eastAsia="zh-CN"/>
          <w14:textFill>
            <w14:solidFill>
              <w14:schemeClr w14:val="tx1"/>
            </w14:solidFill>
          </w14:textFill>
        </w:rPr>
        <w:t>-</w:t>
      </w:r>
      <w:r>
        <w:rPr>
          <w:rFonts w:hint="eastAsia" w:hAnsi="宋体" w:cs="宋体"/>
          <w:b/>
          <w:color w:val="000000" w:themeColor="text1"/>
          <w:sz w:val="28"/>
          <w:szCs w:val="28"/>
          <w:highlight w:val="none"/>
          <w:lang w:val="en-US" w:eastAsia="zh-CN"/>
          <w14:textFill>
            <w14:solidFill>
              <w14:schemeClr w14:val="tx1"/>
            </w14:solidFill>
          </w14:textFill>
        </w:rPr>
        <w:t>1</w:t>
      </w:r>
    </w:p>
    <w:p w14:paraId="732E959D">
      <w:pPr>
        <w:keepNext/>
        <w:keepLines/>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随机专用工具明细表</w:t>
      </w:r>
    </w:p>
    <w:p w14:paraId="0254FEA7">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p w14:paraId="5615351B">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457"/>
        <w:gridCol w:w="1309"/>
        <w:gridCol w:w="1416"/>
        <w:gridCol w:w="750"/>
        <w:gridCol w:w="1114"/>
        <w:gridCol w:w="724"/>
      </w:tblGrid>
      <w:tr w14:paraId="5473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27" w:type="dxa"/>
            <w:vAlign w:val="center"/>
          </w:tcPr>
          <w:p w14:paraId="4B4B9D1D">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457" w:type="dxa"/>
            <w:vAlign w:val="center"/>
          </w:tcPr>
          <w:p w14:paraId="0266E4A3">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309" w:type="dxa"/>
            <w:vAlign w:val="center"/>
          </w:tcPr>
          <w:p w14:paraId="7740A026">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型号和规格</w:t>
            </w:r>
          </w:p>
        </w:tc>
        <w:tc>
          <w:tcPr>
            <w:tcW w:w="1416" w:type="dxa"/>
            <w:vAlign w:val="center"/>
          </w:tcPr>
          <w:p w14:paraId="14FE6BEB">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生产制造商名称、国别</w:t>
            </w:r>
          </w:p>
        </w:tc>
        <w:tc>
          <w:tcPr>
            <w:tcW w:w="750" w:type="dxa"/>
            <w:vAlign w:val="center"/>
          </w:tcPr>
          <w:p w14:paraId="3E71B499">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1114" w:type="dxa"/>
            <w:vAlign w:val="center"/>
          </w:tcPr>
          <w:p w14:paraId="3CFA5D13">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计量单位</w:t>
            </w:r>
          </w:p>
        </w:tc>
        <w:tc>
          <w:tcPr>
            <w:tcW w:w="724" w:type="dxa"/>
            <w:vAlign w:val="center"/>
          </w:tcPr>
          <w:p w14:paraId="24824981">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157A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7" w:type="dxa"/>
          </w:tcPr>
          <w:p w14:paraId="7453F0A4">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2457" w:type="dxa"/>
          </w:tcPr>
          <w:p w14:paraId="2A1ECCFA">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09" w:type="dxa"/>
          </w:tcPr>
          <w:p w14:paraId="2E678FD1">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416" w:type="dxa"/>
          </w:tcPr>
          <w:p w14:paraId="70DA2F1F">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750" w:type="dxa"/>
          </w:tcPr>
          <w:p w14:paraId="1A2AD9E0">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14" w:type="dxa"/>
          </w:tcPr>
          <w:p w14:paraId="06FC07A0">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724" w:type="dxa"/>
          </w:tcPr>
          <w:p w14:paraId="20160A0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727C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7" w:type="dxa"/>
          </w:tcPr>
          <w:p w14:paraId="60C2A14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2457" w:type="dxa"/>
          </w:tcPr>
          <w:p w14:paraId="7D843C5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09" w:type="dxa"/>
          </w:tcPr>
          <w:p w14:paraId="3277E70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416" w:type="dxa"/>
          </w:tcPr>
          <w:p w14:paraId="05C496F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750" w:type="dxa"/>
          </w:tcPr>
          <w:p w14:paraId="7E8C108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14" w:type="dxa"/>
          </w:tcPr>
          <w:p w14:paraId="068BABF0">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724" w:type="dxa"/>
          </w:tcPr>
          <w:p w14:paraId="29DCB51D">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4B5B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27" w:type="dxa"/>
          </w:tcPr>
          <w:p w14:paraId="6B44C1C9">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2457" w:type="dxa"/>
          </w:tcPr>
          <w:p w14:paraId="1235D999">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09" w:type="dxa"/>
          </w:tcPr>
          <w:p w14:paraId="0580ED19">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416" w:type="dxa"/>
          </w:tcPr>
          <w:p w14:paraId="00BBAC61">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750" w:type="dxa"/>
          </w:tcPr>
          <w:p w14:paraId="03B9E4A6">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14" w:type="dxa"/>
          </w:tcPr>
          <w:p w14:paraId="63AE759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724" w:type="dxa"/>
          </w:tcPr>
          <w:p w14:paraId="6E0A63A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bl>
    <w:p w14:paraId="54277D99">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201077A5">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1.投标人若提供随机专用工具，此费用须包含在投标报价中，不单独列报。</w:t>
      </w:r>
    </w:p>
    <w:p w14:paraId="7B64B932">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2.投标人可根据实际情况拓展本表。</w:t>
      </w:r>
    </w:p>
    <w:p w14:paraId="0E3E70EA">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p w14:paraId="33B7D579">
      <w:pPr>
        <w:keepNext/>
        <w:keepLines/>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格式1</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1</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2</w:t>
      </w:r>
    </w:p>
    <w:p w14:paraId="6095ECBA">
      <w:pPr>
        <w:keepNext/>
        <w:keepLines/>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备品</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备件</w:t>
      </w:r>
      <w:r>
        <w:rPr>
          <w:rFonts w:hint="eastAsia" w:ascii="宋体" w:hAnsi="宋体" w:eastAsia="宋体" w:cs="宋体"/>
          <w:b/>
          <w:color w:val="000000" w:themeColor="text1"/>
          <w:sz w:val="28"/>
          <w:szCs w:val="28"/>
          <w:highlight w:val="none"/>
          <w14:textFill>
            <w14:solidFill>
              <w14:schemeClr w14:val="tx1"/>
            </w14:solidFill>
          </w14:textFill>
        </w:rPr>
        <w:t>明细表</w:t>
      </w:r>
    </w:p>
    <w:p w14:paraId="52421DA3">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p w14:paraId="187C7403">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19"/>
        <w:gridCol w:w="1315"/>
        <w:gridCol w:w="1422"/>
        <w:gridCol w:w="951"/>
        <w:gridCol w:w="1165"/>
        <w:gridCol w:w="1165"/>
      </w:tblGrid>
      <w:tr w14:paraId="6F44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0" w:type="dxa"/>
            <w:vAlign w:val="center"/>
          </w:tcPr>
          <w:p w14:paraId="4604FD06">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919" w:type="dxa"/>
            <w:vAlign w:val="center"/>
          </w:tcPr>
          <w:p w14:paraId="161542F3">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p>
        </w:tc>
        <w:tc>
          <w:tcPr>
            <w:tcW w:w="1315" w:type="dxa"/>
            <w:vAlign w:val="center"/>
          </w:tcPr>
          <w:p w14:paraId="3E8119C1">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型号和规格</w:t>
            </w:r>
          </w:p>
        </w:tc>
        <w:tc>
          <w:tcPr>
            <w:tcW w:w="1422" w:type="dxa"/>
            <w:vAlign w:val="center"/>
          </w:tcPr>
          <w:p w14:paraId="3F298E24">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生产制造商名称、国别</w:t>
            </w:r>
          </w:p>
        </w:tc>
        <w:tc>
          <w:tcPr>
            <w:tcW w:w="951" w:type="dxa"/>
            <w:vAlign w:val="center"/>
          </w:tcPr>
          <w:p w14:paraId="5CF05529">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1165" w:type="dxa"/>
            <w:vAlign w:val="center"/>
          </w:tcPr>
          <w:p w14:paraId="6D38E85F">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计量单位</w:t>
            </w:r>
          </w:p>
        </w:tc>
        <w:tc>
          <w:tcPr>
            <w:tcW w:w="1165" w:type="dxa"/>
            <w:vAlign w:val="center"/>
          </w:tcPr>
          <w:p w14:paraId="18819F5D">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3002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0" w:type="dxa"/>
          </w:tcPr>
          <w:p w14:paraId="07315AD4">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919" w:type="dxa"/>
          </w:tcPr>
          <w:p w14:paraId="001805E6">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15" w:type="dxa"/>
          </w:tcPr>
          <w:p w14:paraId="6A9FC712">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422" w:type="dxa"/>
          </w:tcPr>
          <w:p w14:paraId="6C3CD651">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951" w:type="dxa"/>
          </w:tcPr>
          <w:p w14:paraId="2113C73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65" w:type="dxa"/>
          </w:tcPr>
          <w:p w14:paraId="65B03BBE">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65" w:type="dxa"/>
          </w:tcPr>
          <w:p w14:paraId="307E4637">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63EF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0" w:type="dxa"/>
          </w:tcPr>
          <w:p w14:paraId="5F64196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919" w:type="dxa"/>
          </w:tcPr>
          <w:p w14:paraId="7DF81C34">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15" w:type="dxa"/>
          </w:tcPr>
          <w:p w14:paraId="6C149064">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422" w:type="dxa"/>
          </w:tcPr>
          <w:p w14:paraId="4063D5D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951" w:type="dxa"/>
          </w:tcPr>
          <w:p w14:paraId="175616F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65" w:type="dxa"/>
          </w:tcPr>
          <w:p w14:paraId="5C6A59BA">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65" w:type="dxa"/>
          </w:tcPr>
          <w:p w14:paraId="03EDE7DB">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151E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0" w:type="dxa"/>
          </w:tcPr>
          <w:p w14:paraId="7D57D8D7">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919" w:type="dxa"/>
          </w:tcPr>
          <w:p w14:paraId="04D38EFB">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15" w:type="dxa"/>
          </w:tcPr>
          <w:p w14:paraId="01DFB991">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422" w:type="dxa"/>
          </w:tcPr>
          <w:p w14:paraId="151E1CD6">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951" w:type="dxa"/>
          </w:tcPr>
          <w:p w14:paraId="2A36C33B">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65" w:type="dxa"/>
          </w:tcPr>
          <w:p w14:paraId="46FF580F">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165" w:type="dxa"/>
          </w:tcPr>
          <w:p w14:paraId="60DDDD64">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bl>
    <w:p w14:paraId="3A0810AE">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41AF7C6C">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1.项目特别要求提供备品备件的，此部分价格应包含在投标报价中，项目未特别要求提供备品备件的，投标人可填写该表，但此费用不包含在投标报价中。</w:t>
      </w:r>
    </w:p>
    <w:p w14:paraId="70830A9E">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2.投标人可根据实际情况拓展本表。</w:t>
      </w:r>
    </w:p>
    <w:p w14:paraId="658FB2E5">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p w14:paraId="481BD6AE">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格式1</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2</w:t>
      </w:r>
    </w:p>
    <w:p w14:paraId="385E9B96">
      <w:pPr>
        <w:keepNext/>
        <w:keepLines/>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偏离</w:t>
      </w:r>
      <w:r>
        <w:rPr>
          <w:rFonts w:hint="eastAsia" w:ascii="宋体" w:hAnsi="宋体" w:eastAsia="宋体" w:cs="宋体"/>
          <w:b/>
          <w:color w:val="000000" w:themeColor="text1"/>
          <w:sz w:val="28"/>
          <w:szCs w:val="28"/>
          <w:highlight w:val="none"/>
          <w14:textFill>
            <w14:solidFill>
              <w14:schemeClr w14:val="tx1"/>
            </w14:solidFill>
          </w14:textFill>
        </w:rPr>
        <w:t>表</w:t>
      </w:r>
    </w:p>
    <w:p w14:paraId="5976A192">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p w14:paraId="7A4B840B">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项目编号：</w:t>
      </w:r>
    </w:p>
    <w:tbl>
      <w:tblPr>
        <w:tblStyle w:val="4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65"/>
        <w:gridCol w:w="1976"/>
        <w:gridCol w:w="2030"/>
        <w:gridCol w:w="1145"/>
        <w:gridCol w:w="994"/>
      </w:tblGrid>
      <w:tr w14:paraId="61A2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58FB2F1D">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965" w:type="dxa"/>
            <w:vAlign w:val="center"/>
          </w:tcPr>
          <w:p w14:paraId="20299D57">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976" w:type="dxa"/>
            <w:vAlign w:val="center"/>
          </w:tcPr>
          <w:p w14:paraId="0FE0AE9B">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招标文件技术条款</w:t>
            </w:r>
          </w:p>
        </w:tc>
        <w:tc>
          <w:tcPr>
            <w:tcW w:w="2030" w:type="dxa"/>
            <w:vAlign w:val="center"/>
          </w:tcPr>
          <w:p w14:paraId="6EC2B5A8">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投标文件响应情况</w:t>
            </w:r>
          </w:p>
        </w:tc>
        <w:tc>
          <w:tcPr>
            <w:tcW w:w="1145" w:type="dxa"/>
            <w:vAlign w:val="center"/>
          </w:tcPr>
          <w:p w14:paraId="4DECE810">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偏离</w:t>
            </w:r>
          </w:p>
        </w:tc>
        <w:tc>
          <w:tcPr>
            <w:tcW w:w="994" w:type="dxa"/>
            <w:vAlign w:val="center"/>
          </w:tcPr>
          <w:p w14:paraId="7C133528">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具体</w:t>
            </w:r>
            <w:r>
              <w:rPr>
                <w:rFonts w:hint="eastAsia" w:ascii="宋体" w:hAnsi="宋体" w:eastAsia="宋体" w:cs="宋体"/>
                <w:b/>
                <w:color w:val="000000" w:themeColor="text1"/>
                <w:szCs w:val="21"/>
                <w:highlight w:val="none"/>
                <w14:textFill>
                  <w14:solidFill>
                    <w14:schemeClr w14:val="tx1"/>
                  </w14:solidFill>
                </w14:textFill>
              </w:rPr>
              <w:t>偏离</w:t>
            </w:r>
            <w:r>
              <w:rPr>
                <w:rFonts w:hint="eastAsia" w:ascii="宋体" w:hAnsi="宋体" w:eastAsia="宋体" w:cs="宋体"/>
                <w:b/>
                <w:color w:val="000000" w:themeColor="text1"/>
                <w:szCs w:val="21"/>
                <w:highlight w:val="none"/>
                <w:lang w:val="en-US" w:eastAsia="zh-CN"/>
                <w14:textFill>
                  <w14:solidFill>
                    <w14:schemeClr w14:val="tx1"/>
                  </w14:solidFill>
                </w14:textFill>
              </w:rPr>
              <w:t>情况</w:t>
            </w:r>
          </w:p>
        </w:tc>
      </w:tr>
      <w:tr w14:paraId="6FEA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717" w:type="dxa"/>
            <w:vMerge w:val="restart"/>
            <w:vAlign w:val="center"/>
          </w:tcPr>
          <w:p w14:paraId="6422184B">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965" w:type="dxa"/>
            <w:vMerge w:val="restart"/>
            <w:vAlign w:val="center"/>
          </w:tcPr>
          <w:p w14:paraId="3F77788E">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976" w:type="dxa"/>
            <w:vAlign w:val="center"/>
          </w:tcPr>
          <w:p w14:paraId="40F4A4A0">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030" w:type="dxa"/>
            <w:vAlign w:val="center"/>
          </w:tcPr>
          <w:p w14:paraId="4DF0CF6B">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145" w:type="dxa"/>
          </w:tcPr>
          <w:p w14:paraId="5781E674">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994" w:type="dxa"/>
          </w:tcPr>
          <w:p w14:paraId="75C28B1A">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706F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717" w:type="dxa"/>
            <w:vMerge w:val="continue"/>
            <w:vAlign w:val="center"/>
          </w:tcPr>
          <w:p w14:paraId="2E71630A">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965" w:type="dxa"/>
            <w:vMerge w:val="continue"/>
            <w:vAlign w:val="center"/>
          </w:tcPr>
          <w:p w14:paraId="7CE45959">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976" w:type="dxa"/>
            <w:vAlign w:val="center"/>
          </w:tcPr>
          <w:p w14:paraId="0D888253">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030" w:type="dxa"/>
            <w:vAlign w:val="center"/>
          </w:tcPr>
          <w:p w14:paraId="338092ED">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145" w:type="dxa"/>
          </w:tcPr>
          <w:p w14:paraId="0D55058D">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994" w:type="dxa"/>
          </w:tcPr>
          <w:p w14:paraId="22C418F3">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r w14:paraId="7D9A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717" w:type="dxa"/>
            <w:vMerge w:val="continue"/>
            <w:vAlign w:val="center"/>
          </w:tcPr>
          <w:p w14:paraId="14BBABC3">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965" w:type="dxa"/>
            <w:vMerge w:val="continue"/>
            <w:vAlign w:val="center"/>
          </w:tcPr>
          <w:p w14:paraId="6DE0CCA4">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976" w:type="dxa"/>
            <w:vAlign w:val="center"/>
          </w:tcPr>
          <w:p w14:paraId="0E1848A5">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030" w:type="dxa"/>
            <w:vAlign w:val="center"/>
          </w:tcPr>
          <w:p w14:paraId="2207818A">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145" w:type="dxa"/>
          </w:tcPr>
          <w:p w14:paraId="1F90B943">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994" w:type="dxa"/>
          </w:tcPr>
          <w:p w14:paraId="55C1CA62">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r>
    </w:tbl>
    <w:p w14:paraId="75263CB0">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5991FB2F">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1.表格中“序号”一列，投标人须逐条对应第五章《采购需求》二、规格、技术条款和性能要求中的序号。</w:t>
      </w:r>
    </w:p>
    <w:p w14:paraId="7C07E761">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2.表格中“招标文件技术条款”一列，投标人须逐条对应第五章《采购需求》二、规格、技术条款和性能要求中的</w:t>
      </w:r>
      <w:r>
        <w:rPr>
          <w:rFonts w:hint="eastAsia" w:ascii="宋体" w:hAnsi="宋体" w:eastAsia="宋体" w:cs="宋体"/>
          <w:color w:val="000000" w:themeColor="text1"/>
          <w:highlight w:val="none"/>
          <w:lang w:val="en-US" w:eastAsia="zh-CN"/>
          <w14:textFill>
            <w14:solidFill>
              <w14:schemeClr w14:val="tx1"/>
            </w14:solidFill>
          </w14:textFill>
        </w:rPr>
        <w:t>规格（技术参数、性能要求）</w:t>
      </w:r>
      <w:r>
        <w:rPr>
          <w:rFonts w:hint="eastAsia" w:ascii="宋体" w:hAnsi="宋体" w:eastAsia="宋体" w:cs="宋体"/>
          <w:color w:val="000000" w:themeColor="text1"/>
          <w:highlight w:val="none"/>
          <w14:textFill>
            <w14:solidFill>
              <w14:schemeClr w14:val="tx1"/>
            </w14:solidFill>
          </w14:textFill>
        </w:rPr>
        <w:t>条款。</w:t>
      </w:r>
    </w:p>
    <w:p w14:paraId="39460EB4">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3.表格中“投标文件响应情况”一列，投标人须逐条对第五章《采购需求》二、规格、技术条款和性能要求中的</w:t>
      </w:r>
      <w:r>
        <w:rPr>
          <w:rFonts w:hint="eastAsia" w:ascii="宋体" w:hAnsi="宋体" w:eastAsia="宋体" w:cs="宋体"/>
          <w:color w:val="000000" w:themeColor="text1"/>
          <w:highlight w:val="none"/>
          <w:lang w:val="en-US" w:eastAsia="zh-CN"/>
          <w14:textFill>
            <w14:solidFill>
              <w14:schemeClr w14:val="tx1"/>
            </w14:solidFill>
          </w14:textFill>
        </w:rPr>
        <w:t>规格（技术参数、性能要求）</w:t>
      </w:r>
      <w:r>
        <w:rPr>
          <w:rFonts w:hint="eastAsia" w:ascii="宋体" w:hAnsi="宋体" w:eastAsia="宋体" w:cs="宋体"/>
          <w:color w:val="000000" w:themeColor="text1"/>
          <w:highlight w:val="none"/>
          <w14:textFill>
            <w14:solidFill>
              <w14:schemeClr w14:val="tx1"/>
            </w14:solidFill>
          </w14:textFill>
        </w:rPr>
        <w:t>条款作出全面、真实的反映，</w:t>
      </w:r>
      <w:r>
        <w:rPr>
          <w:rFonts w:hint="eastAsia" w:ascii="宋体" w:hAnsi="宋体" w:eastAsia="宋体" w:cs="宋体"/>
          <w:color w:val="000000" w:themeColor="text1"/>
          <w:szCs w:val="21"/>
          <w:highlight w:val="none"/>
          <w:lang w:val="en-US" w:eastAsia="zh-CN"/>
          <w14:textFill>
            <w14:solidFill>
              <w14:schemeClr w14:val="tx1"/>
            </w14:solidFill>
          </w14:textFill>
        </w:rPr>
        <w:t>并保证填写的相关数据是真实的和正确的，</w:t>
      </w:r>
      <w:r>
        <w:rPr>
          <w:rFonts w:hint="eastAsia" w:ascii="宋体" w:hAnsi="宋体" w:eastAsia="宋体" w:cs="宋体"/>
          <w:color w:val="000000" w:themeColor="text1"/>
          <w:highlight w:val="none"/>
          <w14:textFill>
            <w14:solidFill>
              <w14:schemeClr w14:val="tx1"/>
            </w14:solidFill>
          </w14:textFill>
        </w:rPr>
        <w:t>投标文件应以中文应答（英文文本或缩略语需提供中文翻译或注释）。</w:t>
      </w:r>
    </w:p>
    <w:p w14:paraId="45F54F8B">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.表格中“偏离”一列，投标人只能如实填写“正偏离”、“负偏离”或“无偏离”。凡响应内容高于第五章《采购需求》二、规格、技术条款和性能要求中的</w:t>
      </w:r>
      <w:r>
        <w:rPr>
          <w:rFonts w:hint="eastAsia" w:ascii="宋体" w:hAnsi="宋体" w:eastAsia="宋体" w:cs="宋体"/>
          <w:color w:val="000000" w:themeColor="text1"/>
          <w:highlight w:val="none"/>
          <w:lang w:val="en-US" w:eastAsia="zh-CN"/>
          <w14:textFill>
            <w14:solidFill>
              <w14:schemeClr w14:val="tx1"/>
            </w14:solidFill>
          </w14:textFill>
        </w:rPr>
        <w:t>规格（技术参数、性能要求）</w:t>
      </w:r>
      <w:r>
        <w:rPr>
          <w:rFonts w:hint="eastAsia" w:ascii="宋体" w:hAnsi="宋体" w:eastAsia="宋体" w:cs="宋体"/>
          <w:color w:val="000000" w:themeColor="text1"/>
          <w:highlight w:val="none"/>
          <w14:textFill>
            <w14:solidFill>
              <w14:schemeClr w14:val="tx1"/>
            </w14:solidFill>
          </w14:textFill>
        </w:rPr>
        <w:t>条款要求的，按“正偏离”填写；低于第五章《采购需求》二、规格、技术条款和性能要求中的</w:t>
      </w:r>
      <w:r>
        <w:rPr>
          <w:rFonts w:hint="eastAsia" w:ascii="宋体" w:hAnsi="宋体" w:eastAsia="宋体" w:cs="宋体"/>
          <w:color w:val="000000" w:themeColor="text1"/>
          <w:highlight w:val="none"/>
          <w:lang w:val="en-US" w:eastAsia="zh-CN"/>
          <w14:textFill>
            <w14:solidFill>
              <w14:schemeClr w14:val="tx1"/>
            </w14:solidFill>
          </w14:textFill>
        </w:rPr>
        <w:t>规格（技术参数、性能要求）</w:t>
      </w:r>
      <w:r>
        <w:rPr>
          <w:rFonts w:hint="eastAsia" w:ascii="宋体" w:hAnsi="宋体" w:eastAsia="宋体" w:cs="宋体"/>
          <w:color w:val="000000" w:themeColor="text1"/>
          <w:highlight w:val="none"/>
          <w14:textFill>
            <w14:solidFill>
              <w14:schemeClr w14:val="tx1"/>
            </w14:solidFill>
          </w14:textFill>
        </w:rPr>
        <w:t>条款要求的，按“负偏离”填写；满足第五章《采购需求》二、规格、技术条款和性能要求中的</w:t>
      </w:r>
      <w:r>
        <w:rPr>
          <w:rFonts w:hint="eastAsia" w:ascii="宋体" w:hAnsi="宋体" w:eastAsia="宋体" w:cs="宋体"/>
          <w:color w:val="000000" w:themeColor="text1"/>
          <w:highlight w:val="none"/>
          <w:lang w:val="en-US" w:eastAsia="zh-CN"/>
          <w14:textFill>
            <w14:solidFill>
              <w14:schemeClr w14:val="tx1"/>
            </w14:solidFill>
          </w14:textFill>
        </w:rPr>
        <w:t>规格（技术参数、性能要求）</w:t>
      </w:r>
      <w:r>
        <w:rPr>
          <w:rFonts w:hint="eastAsia" w:ascii="宋体" w:hAnsi="宋体" w:eastAsia="宋体" w:cs="宋体"/>
          <w:color w:val="000000" w:themeColor="text1"/>
          <w:highlight w:val="none"/>
          <w14:textFill>
            <w14:solidFill>
              <w14:schemeClr w14:val="tx1"/>
            </w14:solidFill>
          </w14:textFill>
        </w:rPr>
        <w:t>条款要求的，按“无偏离”填写。</w:t>
      </w:r>
    </w:p>
    <w:p w14:paraId="3D11459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表格中“</w:t>
      </w:r>
      <w:r>
        <w:rPr>
          <w:rFonts w:hint="eastAsia" w:ascii="宋体" w:hAnsi="宋体" w:eastAsia="宋体" w:cs="宋体"/>
          <w:color w:val="000000" w:themeColor="text1"/>
          <w:highlight w:val="none"/>
          <w:lang w:val="en-US" w:eastAsia="zh-CN"/>
          <w14:textFill>
            <w14:solidFill>
              <w14:schemeClr w14:val="tx1"/>
            </w14:solidFill>
          </w14:textFill>
        </w:rPr>
        <w:t>具体偏离情况</w:t>
      </w:r>
      <w:r>
        <w:rPr>
          <w:rFonts w:hint="eastAsia" w:ascii="宋体" w:hAnsi="宋体" w:eastAsia="宋体" w:cs="宋体"/>
          <w:color w:val="000000" w:themeColor="text1"/>
          <w:highlight w:val="none"/>
          <w14:textFill>
            <w14:solidFill>
              <w14:schemeClr w14:val="tx1"/>
            </w14:solidFill>
          </w14:textFill>
        </w:rPr>
        <w:t>”一列，</w:t>
      </w:r>
      <w:r>
        <w:rPr>
          <w:rFonts w:hint="eastAsia" w:ascii="宋体" w:hAnsi="宋体" w:eastAsia="宋体" w:cs="宋体"/>
          <w:color w:val="000000" w:themeColor="text1"/>
          <w:szCs w:val="21"/>
          <w:highlight w:val="none"/>
          <w:lang w:val="en-US" w:eastAsia="zh-CN"/>
          <w14:textFill>
            <w14:solidFill>
              <w14:schemeClr w14:val="tx1"/>
            </w14:solidFill>
          </w14:textFill>
        </w:rPr>
        <w:t>如</w:t>
      </w:r>
      <w:r>
        <w:rPr>
          <w:rFonts w:hint="eastAsia" w:ascii="宋体" w:hAnsi="宋体" w:eastAsia="宋体" w:cs="宋体"/>
          <w:color w:val="000000" w:themeColor="text1"/>
          <w:highlight w:val="none"/>
          <w:lang w:val="en-US" w:eastAsia="zh-CN"/>
          <w14:textFill>
            <w14:solidFill>
              <w14:schemeClr w14:val="tx1"/>
            </w14:solidFill>
          </w14:textFill>
        </w:rPr>
        <w:t>所投产品与</w:t>
      </w:r>
      <w:r>
        <w:rPr>
          <w:rFonts w:hint="eastAsia" w:ascii="宋体" w:hAnsi="宋体" w:eastAsia="宋体" w:cs="宋体"/>
          <w:color w:val="000000" w:themeColor="text1"/>
          <w:szCs w:val="21"/>
          <w:highlight w:val="none"/>
          <w14:textFill>
            <w14:solidFill>
              <w14:schemeClr w14:val="tx1"/>
            </w14:solidFill>
          </w14:textFill>
        </w:rPr>
        <w:t>招标文件第五章《采购需求》二、规格、技术条款和性能要求</w:t>
      </w:r>
      <w:r>
        <w:rPr>
          <w:rFonts w:hint="eastAsia" w:ascii="宋体" w:hAnsi="宋体" w:eastAsia="宋体" w:cs="宋体"/>
          <w:color w:val="000000" w:themeColor="text1"/>
          <w:szCs w:val="21"/>
          <w:highlight w:val="none"/>
          <w:lang w:val="en-US" w:eastAsia="zh-CN"/>
          <w14:textFill>
            <w14:solidFill>
              <w14:schemeClr w14:val="tx1"/>
            </w14:solidFill>
          </w14:textFill>
        </w:rPr>
        <w:t>中</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规格（技术参数、性能要求）存在</w:t>
      </w:r>
      <w:r>
        <w:rPr>
          <w:rFonts w:hint="eastAsia" w:ascii="宋体" w:hAnsi="宋体" w:eastAsia="宋体" w:cs="宋体"/>
          <w:color w:val="000000" w:themeColor="text1"/>
          <w:highlight w:val="none"/>
          <w14:textFill>
            <w14:solidFill>
              <w14:schemeClr w14:val="tx1"/>
            </w14:solidFill>
          </w14:textFill>
        </w:rPr>
        <w:t>“正偏离”</w:t>
      </w:r>
      <w:r>
        <w:rPr>
          <w:rFonts w:hint="eastAsia" w:ascii="宋体" w:hAnsi="宋体" w:eastAsia="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“负偏离”</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必须</w:t>
      </w:r>
      <w:r>
        <w:rPr>
          <w:rFonts w:hint="eastAsia" w:ascii="宋体" w:hAnsi="宋体" w:eastAsia="宋体" w:cs="宋体"/>
          <w:color w:val="000000" w:themeColor="text1"/>
          <w:szCs w:val="21"/>
          <w:highlight w:val="none"/>
          <w:lang w:val="en-US" w:eastAsia="zh-CN"/>
          <w14:textFill>
            <w14:solidFill>
              <w14:schemeClr w14:val="tx1"/>
            </w14:solidFill>
          </w14:textFill>
        </w:rPr>
        <w:t>对具体偏离内容</w:t>
      </w:r>
      <w:r>
        <w:rPr>
          <w:rFonts w:hint="eastAsia" w:ascii="宋体" w:hAnsi="宋体" w:eastAsia="宋体" w:cs="宋体"/>
          <w:color w:val="000000" w:themeColor="text1"/>
          <w:highlight w:val="none"/>
          <w:lang w:val="en-US" w:eastAsia="zh-CN"/>
          <w14:textFill>
            <w14:solidFill>
              <w14:schemeClr w14:val="tx1"/>
            </w14:solidFill>
          </w14:textFill>
        </w:rPr>
        <w:t>进行详细说明。</w:t>
      </w:r>
    </w:p>
    <w:p w14:paraId="7508A61F">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auto"/>
          <w:szCs w:val="21"/>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.投标人可根据第五章《采购需求》二、规格、技术条款和性能要求中的</w:t>
      </w:r>
      <w:r>
        <w:rPr>
          <w:rFonts w:hint="eastAsia" w:ascii="宋体" w:hAnsi="宋体" w:eastAsia="宋体" w:cs="宋体"/>
          <w:color w:val="auto"/>
          <w:highlight w:val="none"/>
          <w:lang w:val="en-US" w:eastAsia="zh-CN"/>
        </w:rPr>
        <w:t>规格（技术参数、性能要求）</w:t>
      </w:r>
      <w:r>
        <w:rPr>
          <w:rFonts w:hint="eastAsia" w:ascii="宋体" w:hAnsi="宋体" w:eastAsia="宋体" w:cs="宋体"/>
          <w:color w:val="auto"/>
          <w:highlight w:val="none"/>
        </w:rPr>
        <w:t>条款拓展本表，但不得改变格式。</w:t>
      </w:r>
    </w:p>
    <w:p w14:paraId="31CCAE11">
      <w:pPr>
        <w:pageBreakBefore w:val="0"/>
        <w:kinsoku/>
        <w:overflowPunct/>
        <w:topLinePunct w:val="0"/>
        <w:autoSpaceDE/>
        <w:autoSpaceDN/>
        <w:bidi w:val="0"/>
        <w:spacing w:line="480" w:lineRule="exact"/>
        <w:ind w:left="0" w:leftChars="0" w:right="0"/>
        <w:outlineLvl w:val="9"/>
        <w:rPr>
          <w:rFonts w:hint="eastAsia" w:ascii="宋体" w:hAnsi="宋体" w:eastAsia="宋体" w:cs="宋体"/>
          <w:b/>
          <w:bCs/>
          <w:color w:val="auto"/>
          <w:kern w:val="0"/>
          <w:szCs w:val="21"/>
          <w:highlight w:val="none"/>
          <w:lang w:val="en-US" w:eastAsia="zh-CN"/>
        </w:rPr>
      </w:pPr>
      <w:r>
        <w:rPr>
          <w:rFonts w:hint="eastAsia" w:ascii="宋体" w:hAnsi="宋体" w:cs="宋体"/>
          <w:b/>
          <w:bCs/>
          <w:color w:val="auto"/>
          <w:highlight w:val="none"/>
          <w:lang w:val="en-US" w:eastAsia="zh-CN"/>
        </w:rPr>
        <w:t>7.投标人除如实填写《技术条款偏离表》外，招标文件第五章《采购需求》二、规格、技术条款和性能要求 规格（技术参数、性能要求）中，标注“▲”号的所有技术参数必须提供最新技术支持资料支持技术条款偏离表应答（包括提供货物、工程或者服务的技术白皮书或检测报告或图纸或印刷宣传彩页或性能参数说明等，不接受非生产制造商自行印刷、打印或者手写的技术支持资料，凡不符合上述要求的，视为无效技术支持资料。如招标文件第五章《采购需求》有特殊要求，以第五章《采购需求》要求为准。），若投标文件中技术支持资料参数与技术条款偏离表应答不符或无支持资料应答，而投标人又未在投标文件中作出说明和解释的，评标委员会在评审时可以视为不响应该条技术条款的规定</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highlight w:val="none"/>
          <w:lang w:val="en-US" w:eastAsia="zh-CN"/>
        </w:rPr>
        <w:t>未标注“▲”号的所有技术参数若出现“投标文件响应情况”与其投标文件其余部分不一致的，以本表投标人填写的“投标文件响应情况”内容为准</w:t>
      </w:r>
      <w:r>
        <w:rPr>
          <w:rFonts w:hint="eastAsia" w:ascii="宋体" w:hAnsi="宋体" w:eastAsia="宋体" w:cs="宋体"/>
          <w:b/>
          <w:bCs/>
          <w:color w:val="auto"/>
          <w:kern w:val="0"/>
          <w:szCs w:val="21"/>
          <w:highlight w:val="none"/>
          <w:lang w:val="en-US" w:eastAsia="zh-CN"/>
        </w:rPr>
        <w:t>。</w:t>
      </w:r>
    </w:p>
    <w:p w14:paraId="065FE8A4">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p w14:paraId="6440F61C">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投标人（加盖投标人电子公章）：</w:t>
      </w:r>
    </w:p>
    <w:p w14:paraId="3834DCF3">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（电子签名或电子签章）</w:t>
      </w:r>
      <w:r>
        <w:rPr>
          <w:rFonts w:hint="eastAsia" w:ascii="宋体" w:hAnsi="宋体" w:eastAsia="宋体" w:cs="宋体"/>
          <w:color w:val="000000" w:themeColor="text1"/>
          <w:szCs w:val="21"/>
          <w:highlight w:val="none"/>
          <w14:textFill>
            <w14:solidFill>
              <w14:schemeClr w14:val="tx1"/>
            </w14:solidFill>
          </w14:textFill>
        </w:rPr>
        <w:t>：</w:t>
      </w:r>
    </w:p>
    <w:p w14:paraId="3C9630F9">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24FD0E19">
      <w:pPr>
        <w:pageBreakBefore w:val="0"/>
        <w:kinsoku/>
        <w:wordWrap w:val="0"/>
        <w:overflowPunct/>
        <w:topLinePunct w:val="0"/>
        <w:autoSpaceDE/>
        <w:autoSpaceDN/>
        <w:bidi w:val="0"/>
        <w:spacing w:line="480" w:lineRule="exact"/>
        <w:ind w:left="0" w:leftChars="0" w:right="0" w:firstLine="3" w:firstLineChars="1"/>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格式1</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2</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-1</w:t>
      </w:r>
    </w:p>
    <w:p w14:paraId="3F2724CE">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产品技术支持资料</w:t>
      </w:r>
    </w:p>
    <w:p w14:paraId="42E84A27">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招标文件第五章《采购需求》二、规格、技术条款和性能要求 规格（技术参数、性能要求）中，标注“▲”号的所有技术参数必须提供最新技术支持资料支持技术条款偏离表应答（包括提供货物、工程或者服务的技术白皮书或检测报告或图纸或印刷宣传彩页或性能参数说明等，不接受非生产制造商自行印刷、打印或者手写的技术支持资料，凡不符合上述要求的，视为无效技术支持资料。如招标文件第五章《采购需求》有特殊要求，以第五章《采购需求》要求为准。）</w:t>
      </w:r>
      <w:r>
        <w:rPr>
          <w:rFonts w:hint="eastAsia" w:ascii="宋体" w:hAnsi="宋体" w:eastAsia="宋体" w:cs="宋体"/>
          <w:color w:val="000000" w:themeColor="text1"/>
          <w:szCs w:val="21"/>
          <w:highlight w:val="none"/>
          <w:lang w:eastAsia="zh-CN"/>
          <w14:textFill>
            <w14:solidFill>
              <w14:schemeClr w14:val="tx1"/>
            </w14:solidFill>
          </w14:textFill>
        </w:rPr>
        <w:t>。</w:t>
      </w:r>
    </w:p>
    <w:p w14:paraId="7F07B978">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lang w:eastAsia="zh-CN"/>
          <w14:textFill>
            <w14:solidFill>
              <w14:schemeClr w14:val="tx1"/>
            </w14:solidFill>
          </w14:textFill>
        </w:rPr>
      </w:pPr>
    </w:p>
    <w:p w14:paraId="2D1E9B92">
      <w:pPr>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6DEC05DD">
      <w:pPr>
        <w:keepNext/>
        <w:keepLines/>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b/>
          <w:sz w:val="28"/>
          <w:szCs w:val="28"/>
          <w:highlight w:val="none"/>
          <w:lang w:eastAsia="zh-CN"/>
        </w:rPr>
      </w:pPr>
      <w:r>
        <w:rPr>
          <w:rFonts w:hint="eastAsia" w:ascii="宋体" w:hAnsi="宋体" w:eastAsia="宋体" w:cs="宋体"/>
          <w:b/>
          <w:kern w:val="2"/>
          <w:sz w:val="28"/>
          <w:szCs w:val="28"/>
          <w:highlight w:val="none"/>
          <w:lang w:val="en-US" w:eastAsia="zh-CN" w:bidi="ar-SA"/>
        </w:rPr>
        <w:t>格式1</w:t>
      </w:r>
      <w:r>
        <w:rPr>
          <w:rFonts w:hint="eastAsia" w:ascii="宋体" w:hAnsi="宋体" w:cs="宋体"/>
          <w:b/>
          <w:kern w:val="2"/>
          <w:sz w:val="28"/>
          <w:szCs w:val="28"/>
          <w:highlight w:val="none"/>
          <w:lang w:val="en-US" w:eastAsia="zh-CN" w:bidi="ar-SA"/>
        </w:rPr>
        <w:t>3</w:t>
      </w:r>
    </w:p>
    <w:p w14:paraId="71EDB357">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节能、环境标志产品认证证书</w:t>
      </w:r>
    </w:p>
    <w:p w14:paraId="728CF564">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产品属于节能产品或环境标志产品的，投标人需在投标文件中提供有效期内经国家确定的参与实施政府采购节能产品认证机构或参与实施政府采购环境标志产品认证机构依据标准出具的节能产品、环境标志产品认证证书并标注具体型号（扫描件</w:t>
      </w:r>
      <w:r>
        <w:rPr>
          <w:rFonts w:hint="eastAsia" w:ascii="宋体" w:hAnsi="宋体" w:eastAsia="宋体" w:cs="宋体"/>
          <w:color w:val="000000" w:themeColor="text1"/>
          <w:szCs w:val="21"/>
          <w:highlight w:val="none"/>
          <w14:textFill>
            <w14:solidFill>
              <w14:schemeClr w14:val="tx1"/>
            </w14:solidFill>
          </w14:textFill>
        </w:rPr>
        <w:t>加盖投标人电子公章</w:t>
      </w:r>
      <w:r>
        <w:rPr>
          <w:rFonts w:hint="eastAsia" w:ascii="宋体" w:hAnsi="宋体" w:eastAsia="宋体" w:cs="宋体"/>
          <w:bCs/>
          <w:color w:val="000000" w:themeColor="text1"/>
          <w:szCs w:val="21"/>
          <w:highlight w:val="none"/>
          <w14:textFill>
            <w14:solidFill>
              <w14:schemeClr w14:val="tx1"/>
            </w14:solidFill>
          </w14:textFill>
        </w:rPr>
        <w:t>）。</w:t>
      </w:r>
    </w:p>
    <w:p w14:paraId="0E50F40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703D2908">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格式1</w:t>
      </w:r>
      <w:r>
        <w:rPr>
          <w:rFonts w:hint="eastAsia" w:ascii="宋体" w:hAnsi="宋体" w:cs="宋体"/>
          <w:b/>
          <w:color w:val="000000" w:themeColor="text1"/>
          <w:sz w:val="28"/>
          <w:szCs w:val="28"/>
          <w:highlight w:val="none"/>
          <w:lang w:val="en-US" w:eastAsia="zh-CN"/>
          <w14:textFill>
            <w14:solidFill>
              <w14:schemeClr w14:val="tx1"/>
            </w14:solidFill>
          </w14:textFill>
        </w:rPr>
        <w:t>4</w:t>
      </w:r>
    </w:p>
    <w:p w14:paraId="4107E8F6">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商务条款偏离表</w:t>
      </w:r>
    </w:p>
    <w:p w14:paraId="6EDA9E1F">
      <w:pPr>
        <w:pStyle w:val="23"/>
        <w:pageBreakBefore w:val="0"/>
        <w:kinsoku/>
        <w:wordWrap w:val="0"/>
        <w:overflowPunct/>
        <w:topLinePunct w:val="0"/>
        <w:autoSpaceDE/>
        <w:autoSpaceDN/>
        <w:bidi w:val="0"/>
        <w:spacing w:line="360" w:lineRule="auto"/>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p w14:paraId="57CD02A9">
      <w:pPr>
        <w:pStyle w:val="23"/>
        <w:pageBreakBefore w:val="0"/>
        <w:kinsoku/>
        <w:wordWrap w:val="0"/>
        <w:overflowPunct/>
        <w:topLinePunct w:val="0"/>
        <w:autoSpaceDE/>
        <w:autoSpaceDN/>
        <w:bidi w:val="0"/>
        <w:spacing w:line="360" w:lineRule="auto"/>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263"/>
        <w:gridCol w:w="3203"/>
        <w:gridCol w:w="1367"/>
      </w:tblGrid>
      <w:tr w14:paraId="424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center"/>
          </w:tcPr>
          <w:p w14:paraId="2DC9FCB9">
            <w:pPr>
              <w:pageBreakBefore w:val="0"/>
              <w:kinsoku/>
              <w:wordWrap w:val="0"/>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3263" w:type="dxa"/>
            <w:noWrap w:val="0"/>
            <w:vAlign w:val="center"/>
          </w:tcPr>
          <w:p w14:paraId="513C0888">
            <w:pPr>
              <w:pageBreakBefore w:val="0"/>
              <w:kinsoku/>
              <w:wordWrap w:val="0"/>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招标文件商务条款</w:t>
            </w:r>
          </w:p>
        </w:tc>
        <w:tc>
          <w:tcPr>
            <w:tcW w:w="3203" w:type="dxa"/>
            <w:noWrap w:val="0"/>
            <w:vAlign w:val="center"/>
          </w:tcPr>
          <w:p w14:paraId="6D76DFE2">
            <w:pPr>
              <w:pageBreakBefore w:val="0"/>
              <w:kinsoku/>
              <w:wordWrap w:val="0"/>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投标文件响应情况</w:t>
            </w:r>
          </w:p>
        </w:tc>
        <w:tc>
          <w:tcPr>
            <w:tcW w:w="1367" w:type="dxa"/>
            <w:noWrap w:val="0"/>
            <w:vAlign w:val="center"/>
          </w:tcPr>
          <w:p w14:paraId="4E100348">
            <w:pPr>
              <w:pageBreakBefore w:val="0"/>
              <w:kinsoku/>
              <w:wordWrap w:val="0"/>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偏离</w:t>
            </w:r>
          </w:p>
        </w:tc>
      </w:tr>
      <w:tr w14:paraId="4302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top"/>
          </w:tcPr>
          <w:p w14:paraId="4BAEADBD">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3263" w:type="dxa"/>
            <w:noWrap w:val="0"/>
            <w:vAlign w:val="top"/>
          </w:tcPr>
          <w:p w14:paraId="6C5BB10D">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3203" w:type="dxa"/>
            <w:noWrap w:val="0"/>
            <w:vAlign w:val="top"/>
          </w:tcPr>
          <w:p w14:paraId="5F75A4E6">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67" w:type="dxa"/>
            <w:noWrap w:val="0"/>
            <w:vAlign w:val="top"/>
          </w:tcPr>
          <w:p w14:paraId="0DCF7CB9">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6E04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top"/>
          </w:tcPr>
          <w:p w14:paraId="392675F5">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3263" w:type="dxa"/>
            <w:noWrap w:val="0"/>
            <w:vAlign w:val="top"/>
          </w:tcPr>
          <w:p w14:paraId="2C8E7B31">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3203" w:type="dxa"/>
            <w:noWrap w:val="0"/>
            <w:vAlign w:val="top"/>
          </w:tcPr>
          <w:p w14:paraId="5B0D43AD">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67" w:type="dxa"/>
            <w:noWrap w:val="0"/>
            <w:vAlign w:val="top"/>
          </w:tcPr>
          <w:p w14:paraId="0EC63A05">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3093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noWrap w:val="0"/>
            <w:vAlign w:val="top"/>
          </w:tcPr>
          <w:p w14:paraId="44D2AF69">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3263" w:type="dxa"/>
            <w:noWrap w:val="0"/>
            <w:vAlign w:val="top"/>
          </w:tcPr>
          <w:p w14:paraId="1B919F7B">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3203" w:type="dxa"/>
            <w:noWrap w:val="0"/>
            <w:vAlign w:val="top"/>
          </w:tcPr>
          <w:p w14:paraId="62CE8809">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c>
          <w:tcPr>
            <w:tcW w:w="1367" w:type="dxa"/>
            <w:noWrap w:val="0"/>
            <w:vAlign w:val="top"/>
          </w:tcPr>
          <w:p w14:paraId="036B8FD7">
            <w:pPr>
              <w:pStyle w:val="23"/>
              <w:pageBreakBefore w:val="0"/>
              <w:kinsoku/>
              <w:wordWrap w:val="0"/>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bl>
    <w:p w14:paraId="754B0CBC">
      <w:pPr>
        <w:pStyle w:val="3"/>
        <w:pageBreakBefore w:val="0"/>
        <w:kinsoku/>
        <w:wordWrap w:val="0"/>
        <w:overflowPunct/>
        <w:topLinePunct w:val="0"/>
        <w:autoSpaceDE/>
        <w:autoSpaceDN/>
        <w:bidi w:val="0"/>
        <w:adjustRightInd w:val="0"/>
        <w:snapToGrid w:val="0"/>
        <w:spacing w:line="480" w:lineRule="exact"/>
        <w:ind w:left="0" w:leftChars="0" w:right="0" w:firstLine="0" w:firstLineChars="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279FEABA">
      <w:pPr>
        <w:pageBreakBefore w:val="0"/>
        <w:kinsoku/>
        <w:wordWrap w:val="0"/>
        <w:overflowPunct/>
        <w:topLinePunct w:val="0"/>
        <w:autoSpaceDE/>
        <w:autoSpaceDN/>
        <w:bidi w:val="0"/>
        <w:spacing w:line="480" w:lineRule="exact"/>
        <w:ind w:left="0" w:leftChars="0" w:right="0" w:firstLine="2" w:firstLineChars="1"/>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1.表格中“序号”一列，投标人须逐条对应招标文件</w:t>
      </w:r>
      <w:r>
        <w:rPr>
          <w:rFonts w:hint="eastAsia" w:ascii="宋体" w:hAnsi="宋体" w:cs="宋体"/>
          <w:color w:val="000000" w:themeColor="text1"/>
          <w:szCs w:val="21"/>
          <w:highlight w:val="none"/>
          <w:lang w:eastAsia="zh-CN"/>
          <w14:textFill>
            <w14:solidFill>
              <w14:schemeClr w14:val="tx1"/>
            </w14:solidFill>
          </w14:textFill>
        </w:rPr>
        <w:t>第三章《政府采购合同专用条款》</w:t>
      </w:r>
      <w:r>
        <w:rPr>
          <w:rFonts w:hint="eastAsia" w:ascii="宋体" w:hAnsi="宋体" w:eastAsia="宋体" w:cs="宋体"/>
          <w:color w:val="000000" w:themeColor="text1"/>
          <w:szCs w:val="21"/>
          <w:highlight w:val="none"/>
          <w14:textFill>
            <w14:solidFill>
              <w14:schemeClr w14:val="tx1"/>
            </w14:solidFill>
          </w14:textFill>
        </w:rPr>
        <w:t>中的序号。</w:t>
      </w:r>
    </w:p>
    <w:p w14:paraId="16904814">
      <w:pPr>
        <w:pageBreakBefore w:val="0"/>
        <w:kinsoku/>
        <w:wordWrap w:val="0"/>
        <w:overflowPunct/>
        <w:topLinePunct w:val="0"/>
        <w:autoSpaceDE/>
        <w:autoSpaceDN/>
        <w:bidi w:val="0"/>
        <w:spacing w:line="480" w:lineRule="exact"/>
        <w:ind w:left="0" w:leftChars="0" w:right="0" w:firstLine="2" w:firstLineChars="1"/>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2.表格中“招标文件商务条款”一列，投标人须逐条对应招标文件</w:t>
      </w:r>
      <w:r>
        <w:rPr>
          <w:rFonts w:hint="eastAsia" w:ascii="宋体" w:hAnsi="宋体" w:cs="宋体"/>
          <w:color w:val="000000" w:themeColor="text1"/>
          <w:szCs w:val="21"/>
          <w:highlight w:val="none"/>
          <w:lang w:eastAsia="zh-CN"/>
          <w14:textFill>
            <w14:solidFill>
              <w14:schemeClr w14:val="tx1"/>
            </w14:solidFill>
          </w14:textFill>
        </w:rPr>
        <w:t>第三章《政府采购合同专用条款》</w:t>
      </w:r>
      <w:r>
        <w:rPr>
          <w:rFonts w:hint="eastAsia" w:ascii="宋体" w:hAnsi="宋体" w:eastAsia="宋体" w:cs="宋体"/>
          <w:color w:val="000000" w:themeColor="text1"/>
          <w:szCs w:val="21"/>
          <w:highlight w:val="none"/>
          <w14:textFill>
            <w14:solidFill>
              <w14:schemeClr w14:val="tx1"/>
            </w14:solidFill>
          </w14:textFill>
        </w:rPr>
        <w:t>中的商务条款。</w:t>
      </w:r>
    </w:p>
    <w:p w14:paraId="659CE131">
      <w:pPr>
        <w:pageBreakBefore w:val="0"/>
        <w:kinsoku/>
        <w:wordWrap w:val="0"/>
        <w:overflowPunct/>
        <w:topLinePunct w:val="0"/>
        <w:autoSpaceDE/>
        <w:autoSpaceDN/>
        <w:bidi w:val="0"/>
        <w:spacing w:line="480" w:lineRule="exact"/>
        <w:ind w:left="0" w:leftChars="0" w:right="0" w:firstLine="2" w:firstLineChars="1"/>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3.表格中“投标文件响应情况”一列，投标人须逐条对招标文件</w:t>
      </w:r>
      <w:r>
        <w:rPr>
          <w:rFonts w:hint="eastAsia" w:ascii="宋体" w:hAnsi="宋体" w:cs="宋体"/>
          <w:color w:val="000000" w:themeColor="text1"/>
          <w:szCs w:val="21"/>
          <w:highlight w:val="none"/>
          <w:lang w:eastAsia="zh-CN"/>
          <w14:textFill>
            <w14:solidFill>
              <w14:schemeClr w14:val="tx1"/>
            </w14:solidFill>
          </w14:textFill>
        </w:rPr>
        <w:t>第三章《政府采购合同专用条款》</w:t>
      </w:r>
      <w:r>
        <w:rPr>
          <w:rFonts w:hint="eastAsia" w:ascii="宋体" w:hAnsi="宋体" w:eastAsia="宋体" w:cs="宋体"/>
          <w:color w:val="000000" w:themeColor="text1"/>
          <w:szCs w:val="21"/>
          <w:highlight w:val="none"/>
          <w14:textFill>
            <w14:solidFill>
              <w14:schemeClr w14:val="tx1"/>
            </w14:solidFill>
          </w14:textFill>
        </w:rPr>
        <w:t>中的商务条款作出全面、真实的反映，若投标文件中响应情况与招标文件商务条款不符或无有效证明，而投标人又未在投标文件中作出说明和解释的，评标委员会在评审时可以视为不响应该条商务条款的规定。</w:t>
      </w:r>
    </w:p>
    <w:p w14:paraId="28635C2A">
      <w:pPr>
        <w:pageBreakBefore w:val="0"/>
        <w:kinsoku/>
        <w:wordWrap w:val="0"/>
        <w:overflowPunct/>
        <w:topLinePunct w:val="0"/>
        <w:autoSpaceDE/>
        <w:autoSpaceDN/>
        <w:bidi w:val="0"/>
        <w:spacing w:line="480" w:lineRule="exact"/>
        <w:ind w:left="0" w:leftChars="0" w:right="0" w:firstLine="2" w:firstLineChars="1"/>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表格中“偏离”一列，投标人只能如实填写“正偏离”、“负偏离”或“无偏离”。凡响应内容高于招标文件要求的，按“正偏离”填写；低于招标文件要求的，按“负偏离”填写；满足招标文件要求的，按“无偏离”填写。</w:t>
      </w:r>
    </w:p>
    <w:p w14:paraId="73AC7835">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5.投标人可根据招标文件</w:t>
      </w:r>
      <w:r>
        <w:rPr>
          <w:rFonts w:hint="eastAsia" w:ascii="宋体" w:hAnsi="宋体" w:cs="宋体"/>
          <w:color w:val="000000" w:themeColor="text1"/>
          <w:szCs w:val="21"/>
          <w:highlight w:val="none"/>
          <w:lang w:eastAsia="zh-CN"/>
          <w14:textFill>
            <w14:solidFill>
              <w14:schemeClr w14:val="tx1"/>
            </w14:solidFill>
          </w14:textFill>
        </w:rPr>
        <w:t>第三章《政府采购合同专用条款》</w:t>
      </w:r>
      <w:r>
        <w:rPr>
          <w:rFonts w:hint="eastAsia" w:ascii="宋体" w:hAnsi="宋体" w:eastAsia="宋体" w:cs="宋体"/>
          <w:color w:val="000000" w:themeColor="text1"/>
          <w:szCs w:val="21"/>
          <w:highlight w:val="none"/>
          <w14:textFill>
            <w14:solidFill>
              <w14:schemeClr w14:val="tx1"/>
            </w14:solidFill>
          </w14:textFill>
        </w:rPr>
        <w:t>中的商务条款拓展本表，但不得改变格式。</w:t>
      </w:r>
    </w:p>
    <w:p w14:paraId="6F7CB1F1">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51F3443D">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投标人（加盖投标人电子公章）：</w:t>
      </w:r>
    </w:p>
    <w:p w14:paraId="74822C49">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（电子签名或电子签章）</w:t>
      </w:r>
      <w:r>
        <w:rPr>
          <w:rFonts w:hint="eastAsia" w:ascii="宋体" w:hAnsi="宋体" w:eastAsia="宋体" w:cs="宋体"/>
          <w:color w:val="000000" w:themeColor="text1"/>
          <w:szCs w:val="21"/>
          <w:highlight w:val="none"/>
          <w14:textFill>
            <w14:solidFill>
              <w14:schemeClr w14:val="tx1"/>
            </w14:solidFill>
          </w14:textFill>
        </w:rPr>
        <w:t>：</w:t>
      </w:r>
    </w:p>
    <w:p w14:paraId="0E36B7AC">
      <w:pPr>
        <w:pStyle w:val="23"/>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27C8E156">
      <w:pPr>
        <w:pageBreakBefore w:val="0"/>
        <w:kinsoku/>
        <w:overflowPunct/>
        <w:topLinePunct w:val="0"/>
        <w:autoSpaceDE/>
        <w:autoSpaceDN/>
        <w:bidi w:val="0"/>
        <w:spacing w:line="480" w:lineRule="exact"/>
        <w:ind w:left="0" w:leftChars="0" w:right="0"/>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color w:val="000000" w:themeColor="text1"/>
          <w:sz w:val="28"/>
          <w:szCs w:val="28"/>
          <w:highlight w:val="none"/>
          <w:lang w:val="en-US" w:eastAsia="zh-CN"/>
          <w14:textFill>
            <w14:solidFill>
              <w14:schemeClr w14:val="tx1"/>
            </w14:solidFill>
          </w14:textFill>
        </w:rPr>
        <w:t>5</w:t>
      </w:r>
    </w:p>
    <w:p w14:paraId="569B313B">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培训方案</w:t>
      </w:r>
    </w:p>
    <w:p w14:paraId="3417B3C1">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（内容自拟）</w:t>
      </w:r>
    </w:p>
    <w:p w14:paraId="6F027F93">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b/>
          <w:color w:val="000000" w:themeColor="text1"/>
          <w:sz w:val="28"/>
          <w:szCs w:val="28"/>
          <w:highlight w:val="none"/>
          <w14:textFill>
            <w14:solidFill>
              <w14:schemeClr w14:val="tx1"/>
            </w14:solidFill>
          </w14:textFill>
        </w:rPr>
      </w:pPr>
    </w:p>
    <w:p w14:paraId="7E24CE0E">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color w:val="000000" w:themeColor="text1"/>
          <w:sz w:val="28"/>
          <w:szCs w:val="28"/>
          <w:highlight w:val="none"/>
          <w:lang w:val="en-US" w:eastAsia="zh-CN"/>
          <w14:textFill>
            <w14:solidFill>
              <w14:schemeClr w14:val="tx1"/>
            </w14:solidFill>
          </w14:textFill>
        </w:rPr>
        <w:t>6</w:t>
      </w:r>
    </w:p>
    <w:p w14:paraId="22B5A89E">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售后服务方案及承诺</w:t>
      </w:r>
    </w:p>
    <w:p w14:paraId="42121DF5">
      <w:pPr>
        <w:pStyle w:val="23"/>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内容自拟</w:t>
      </w:r>
      <w:r>
        <w:rPr>
          <w:rFonts w:hint="eastAsia" w:ascii="宋体" w:hAnsi="宋体" w:eastAsia="宋体" w:cs="宋体"/>
          <w:color w:val="000000" w:themeColor="text1"/>
          <w:szCs w:val="21"/>
          <w:highlight w:val="none"/>
          <w14:textFill>
            <w14:solidFill>
              <w14:schemeClr w14:val="tx1"/>
            </w14:solidFill>
          </w14:textFill>
        </w:rPr>
        <w:t>)</w:t>
      </w:r>
    </w:p>
    <w:p w14:paraId="4DE21DC0">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6178C184">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color w:val="000000" w:themeColor="text1"/>
          <w:sz w:val="28"/>
          <w:szCs w:val="28"/>
          <w:highlight w:val="none"/>
          <w:lang w:val="en-US" w:eastAsia="zh-CN"/>
          <w14:textFill>
            <w14:solidFill>
              <w14:schemeClr w14:val="tx1"/>
            </w14:solidFill>
          </w14:textFill>
        </w:rPr>
        <w:t>7</w:t>
      </w:r>
    </w:p>
    <w:p w14:paraId="7F222095">
      <w:pPr>
        <w:keepNext/>
        <w:keepLines/>
        <w:spacing w:before="120" w:after="120" w:line="360" w:lineRule="auto"/>
        <w:jc w:val="center"/>
        <w:outlineLvl w:val="1"/>
        <w:rPr>
          <w:rFonts w:hint="eastAsia" w:ascii="宋体" w:hAnsi="宋体" w:cs="宋体"/>
          <w:b/>
          <w:bCs/>
          <w:color w:val="auto"/>
          <w:sz w:val="32"/>
          <w:szCs w:val="32"/>
          <w:highlight w:val="none"/>
        </w:rPr>
      </w:pPr>
      <w:bookmarkStart w:id="62" w:name="_Toc19965"/>
      <w:bookmarkStart w:id="63" w:name="_Toc24517"/>
      <w:r>
        <w:rPr>
          <w:rFonts w:hint="eastAsia" w:ascii="宋体" w:hAnsi="宋体" w:cs="宋体"/>
          <w:b/>
          <w:bCs/>
          <w:color w:val="auto"/>
          <w:sz w:val="32"/>
          <w:szCs w:val="32"/>
          <w:highlight w:val="none"/>
        </w:rPr>
        <w:t>投标人类似项目履约能力情况表</w:t>
      </w:r>
      <w:bookmarkEnd w:id="62"/>
      <w:bookmarkEnd w:id="63"/>
    </w:p>
    <w:p w14:paraId="5B48DF6D">
      <w:pPr>
        <w:pStyle w:val="23"/>
        <w:rPr>
          <w:rFonts w:hint="eastAsia" w:ascii="宋体" w:hAnsi="宋体" w:cs="宋体"/>
          <w:b/>
          <w:color w:val="auto"/>
          <w:szCs w:val="21"/>
          <w:highlight w:val="none"/>
          <w:u w:val="single"/>
        </w:rPr>
      </w:pPr>
      <w:r>
        <w:rPr>
          <w:rFonts w:hint="eastAsia" w:ascii="宋体" w:hAnsi="宋体" w:cs="宋体"/>
          <w:b/>
          <w:color w:val="auto"/>
          <w:szCs w:val="21"/>
          <w:highlight w:val="none"/>
        </w:rPr>
        <w:t>项目名称：</w:t>
      </w:r>
    </w:p>
    <w:p w14:paraId="15B036A3">
      <w:pPr>
        <w:pStyle w:val="23"/>
        <w:rPr>
          <w:rFonts w:hint="eastAsia" w:ascii="宋体" w:hAnsi="宋体" w:cs="宋体"/>
          <w:b/>
          <w:color w:val="auto"/>
          <w:szCs w:val="21"/>
          <w:highlight w:val="none"/>
        </w:rPr>
      </w:pPr>
      <w:r>
        <w:rPr>
          <w:rFonts w:hint="eastAsia" w:ascii="宋体" w:hAnsi="宋体" w:cs="宋体"/>
          <w:b/>
          <w:color w:val="auto"/>
          <w:szCs w:val="21"/>
          <w:highlight w:val="none"/>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531"/>
        <w:gridCol w:w="1279"/>
        <w:gridCol w:w="1145"/>
        <w:gridCol w:w="851"/>
        <w:gridCol w:w="1214"/>
        <w:gridCol w:w="817"/>
      </w:tblGrid>
      <w:tr w14:paraId="2CF7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vAlign w:val="center"/>
          </w:tcPr>
          <w:p w14:paraId="242CBD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531" w:type="dxa"/>
            <w:vAlign w:val="center"/>
          </w:tcPr>
          <w:p w14:paraId="636000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类似项目名称</w:t>
            </w:r>
          </w:p>
        </w:tc>
        <w:tc>
          <w:tcPr>
            <w:tcW w:w="1279" w:type="dxa"/>
            <w:vAlign w:val="center"/>
          </w:tcPr>
          <w:p w14:paraId="750743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用户单位</w:t>
            </w:r>
          </w:p>
        </w:tc>
        <w:tc>
          <w:tcPr>
            <w:tcW w:w="1145" w:type="dxa"/>
            <w:vAlign w:val="center"/>
          </w:tcPr>
          <w:p w14:paraId="32A7A8C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851" w:type="dxa"/>
            <w:vAlign w:val="center"/>
          </w:tcPr>
          <w:p w14:paraId="650389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14" w:type="dxa"/>
            <w:vAlign w:val="center"/>
          </w:tcPr>
          <w:p w14:paraId="53BFDDB4">
            <w:pPr>
              <w:spacing w:line="360" w:lineRule="auto"/>
              <w:jc w:val="center"/>
              <w:rPr>
                <w:rFonts w:hint="eastAsia" w:ascii="宋体" w:hAnsi="宋体" w:cs="宋体"/>
                <w:color w:val="auto"/>
                <w:szCs w:val="21"/>
                <w:highlight w:val="none"/>
              </w:rPr>
            </w:pPr>
            <w:r>
              <w:rPr>
                <w:rFonts w:hint="eastAsia" w:ascii="宋体" w:hAnsi="宋体" w:cs="宋体"/>
                <w:color w:val="auto"/>
                <w:szCs w:val="32"/>
                <w:highlight w:val="none"/>
              </w:rPr>
              <w:t>合同金额（万元）</w:t>
            </w:r>
          </w:p>
        </w:tc>
        <w:tc>
          <w:tcPr>
            <w:tcW w:w="817" w:type="dxa"/>
            <w:vAlign w:val="center"/>
          </w:tcPr>
          <w:p w14:paraId="02A91E2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775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Pr>
          <w:p w14:paraId="309F075C">
            <w:pPr>
              <w:spacing w:line="360" w:lineRule="auto"/>
              <w:rPr>
                <w:rFonts w:hint="eastAsia" w:ascii="宋体" w:hAnsi="宋体" w:cs="宋体"/>
                <w:color w:val="auto"/>
                <w:szCs w:val="21"/>
                <w:highlight w:val="none"/>
              </w:rPr>
            </w:pPr>
          </w:p>
        </w:tc>
        <w:tc>
          <w:tcPr>
            <w:tcW w:w="2531" w:type="dxa"/>
          </w:tcPr>
          <w:p w14:paraId="5FEA1D07">
            <w:pPr>
              <w:spacing w:line="360" w:lineRule="auto"/>
              <w:rPr>
                <w:rFonts w:hint="eastAsia" w:ascii="宋体" w:hAnsi="宋体" w:cs="宋体"/>
                <w:color w:val="auto"/>
                <w:szCs w:val="21"/>
                <w:highlight w:val="none"/>
              </w:rPr>
            </w:pPr>
          </w:p>
        </w:tc>
        <w:tc>
          <w:tcPr>
            <w:tcW w:w="1279" w:type="dxa"/>
          </w:tcPr>
          <w:p w14:paraId="33686FC2">
            <w:pPr>
              <w:spacing w:line="360" w:lineRule="auto"/>
              <w:rPr>
                <w:rFonts w:hint="eastAsia" w:ascii="宋体" w:hAnsi="宋体" w:cs="宋体"/>
                <w:color w:val="auto"/>
                <w:szCs w:val="21"/>
                <w:highlight w:val="none"/>
              </w:rPr>
            </w:pPr>
          </w:p>
        </w:tc>
        <w:tc>
          <w:tcPr>
            <w:tcW w:w="1145" w:type="dxa"/>
          </w:tcPr>
          <w:p w14:paraId="489433A0">
            <w:pPr>
              <w:spacing w:line="360" w:lineRule="auto"/>
              <w:rPr>
                <w:rFonts w:hint="eastAsia" w:ascii="宋体" w:hAnsi="宋体" w:cs="宋体"/>
                <w:color w:val="auto"/>
                <w:szCs w:val="21"/>
                <w:highlight w:val="none"/>
              </w:rPr>
            </w:pPr>
          </w:p>
        </w:tc>
        <w:tc>
          <w:tcPr>
            <w:tcW w:w="851" w:type="dxa"/>
          </w:tcPr>
          <w:p w14:paraId="788D6C45">
            <w:pPr>
              <w:spacing w:line="360" w:lineRule="auto"/>
              <w:rPr>
                <w:rFonts w:hint="eastAsia" w:ascii="宋体" w:hAnsi="宋体" w:cs="宋体"/>
                <w:color w:val="auto"/>
                <w:szCs w:val="21"/>
                <w:highlight w:val="none"/>
              </w:rPr>
            </w:pPr>
          </w:p>
        </w:tc>
        <w:tc>
          <w:tcPr>
            <w:tcW w:w="1214" w:type="dxa"/>
          </w:tcPr>
          <w:p w14:paraId="647F8987">
            <w:pPr>
              <w:spacing w:line="360" w:lineRule="auto"/>
              <w:rPr>
                <w:rFonts w:hint="eastAsia" w:ascii="宋体" w:hAnsi="宋体" w:cs="宋体"/>
                <w:color w:val="auto"/>
                <w:szCs w:val="21"/>
                <w:highlight w:val="none"/>
              </w:rPr>
            </w:pPr>
          </w:p>
        </w:tc>
        <w:tc>
          <w:tcPr>
            <w:tcW w:w="817" w:type="dxa"/>
          </w:tcPr>
          <w:p w14:paraId="0BCBE0A1">
            <w:pPr>
              <w:spacing w:line="360" w:lineRule="auto"/>
              <w:rPr>
                <w:rFonts w:hint="eastAsia" w:ascii="宋体" w:hAnsi="宋体" w:cs="宋体"/>
                <w:color w:val="auto"/>
                <w:szCs w:val="21"/>
                <w:highlight w:val="none"/>
              </w:rPr>
            </w:pPr>
          </w:p>
        </w:tc>
      </w:tr>
      <w:tr w14:paraId="2D81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Pr>
          <w:p w14:paraId="571DB37A">
            <w:pPr>
              <w:spacing w:line="360" w:lineRule="auto"/>
              <w:rPr>
                <w:rFonts w:hint="eastAsia" w:ascii="宋体" w:hAnsi="宋体" w:cs="宋体"/>
                <w:color w:val="auto"/>
                <w:szCs w:val="21"/>
                <w:highlight w:val="none"/>
              </w:rPr>
            </w:pPr>
          </w:p>
        </w:tc>
        <w:tc>
          <w:tcPr>
            <w:tcW w:w="2531" w:type="dxa"/>
          </w:tcPr>
          <w:p w14:paraId="297B3F44">
            <w:pPr>
              <w:spacing w:line="360" w:lineRule="auto"/>
              <w:rPr>
                <w:rFonts w:hint="eastAsia" w:ascii="宋体" w:hAnsi="宋体" w:cs="宋体"/>
                <w:color w:val="auto"/>
                <w:szCs w:val="21"/>
                <w:highlight w:val="none"/>
              </w:rPr>
            </w:pPr>
          </w:p>
        </w:tc>
        <w:tc>
          <w:tcPr>
            <w:tcW w:w="1279" w:type="dxa"/>
          </w:tcPr>
          <w:p w14:paraId="7836D56A">
            <w:pPr>
              <w:spacing w:line="360" w:lineRule="auto"/>
              <w:rPr>
                <w:rFonts w:hint="eastAsia" w:ascii="宋体" w:hAnsi="宋体" w:cs="宋体"/>
                <w:color w:val="auto"/>
                <w:szCs w:val="21"/>
                <w:highlight w:val="none"/>
              </w:rPr>
            </w:pPr>
          </w:p>
        </w:tc>
        <w:tc>
          <w:tcPr>
            <w:tcW w:w="1145" w:type="dxa"/>
          </w:tcPr>
          <w:p w14:paraId="6AA628CF">
            <w:pPr>
              <w:spacing w:line="360" w:lineRule="auto"/>
              <w:rPr>
                <w:rFonts w:hint="eastAsia" w:ascii="宋体" w:hAnsi="宋体" w:cs="宋体"/>
                <w:color w:val="auto"/>
                <w:szCs w:val="21"/>
                <w:highlight w:val="none"/>
              </w:rPr>
            </w:pPr>
          </w:p>
        </w:tc>
        <w:tc>
          <w:tcPr>
            <w:tcW w:w="851" w:type="dxa"/>
          </w:tcPr>
          <w:p w14:paraId="03787D39">
            <w:pPr>
              <w:spacing w:line="360" w:lineRule="auto"/>
              <w:rPr>
                <w:rFonts w:hint="eastAsia" w:ascii="宋体" w:hAnsi="宋体" w:cs="宋体"/>
                <w:color w:val="auto"/>
                <w:szCs w:val="21"/>
                <w:highlight w:val="none"/>
              </w:rPr>
            </w:pPr>
          </w:p>
        </w:tc>
        <w:tc>
          <w:tcPr>
            <w:tcW w:w="1214" w:type="dxa"/>
          </w:tcPr>
          <w:p w14:paraId="40689606">
            <w:pPr>
              <w:spacing w:line="360" w:lineRule="auto"/>
              <w:rPr>
                <w:rFonts w:hint="eastAsia" w:ascii="宋体" w:hAnsi="宋体" w:cs="宋体"/>
                <w:color w:val="auto"/>
                <w:szCs w:val="21"/>
                <w:highlight w:val="none"/>
              </w:rPr>
            </w:pPr>
          </w:p>
        </w:tc>
        <w:tc>
          <w:tcPr>
            <w:tcW w:w="817" w:type="dxa"/>
          </w:tcPr>
          <w:p w14:paraId="0750455E">
            <w:pPr>
              <w:spacing w:line="360" w:lineRule="auto"/>
              <w:rPr>
                <w:rFonts w:hint="eastAsia" w:ascii="宋体" w:hAnsi="宋体" w:cs="宋体"/>
                <w:color w:val="auto"/>
                <w:szCs w:val="21"/>
                <w:highlight w:val="none"/>
              </w:rPr>
            </w:pPr>
          </w:p>
        </w:tc>
      </w:tr>
      <w:tr w14:paraId="6A3A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1" w:type="dxa"/>
          </w:tcPr>
          <w:p w14:paraId="674E7915">
            <w:pPr>
              <w:spacing w:line="360" w:lineRule="auto"/>
              <w:rPr>
                <w:rFonts w:hint="eastAsia" w:ascii="宋体" w:hAnsi="宋体" w:cs="宋体"/>
                <w:color w:val="auto"/>
                <w:szCs w:val="21"/>
                <w:highlight w:val="none"/>
              </w:rPr>
            </w:pPr>
          </w:p>
        </w:tc>
        <w:tc>
          <w:tcPr>
            <w:tcW w:w="2531" w:type="dxa"/>
          </w:tcPr>
          <w:p w14:paraId="48880D92">
            <w:pPr>
              <w:spacing w:line="360" w:lineRule="auto"/>
              <w:rPr>
                <w:rFonts w:hint="eastAsia" w:ascii="宋体" w:hAnsi="宋体" w:cs="宋体"/>
                <w:color w:val="auto"/>
                <w:szCs w:val="21"/>
                <w:highlight w:val="none"/>
              </w:rPr>
            </w:pPr>
          </w:p>
        </w:tc>
        <w:tc>
          <w:tcPr>
            <w:tcW w:w="1279" w:type="dxa"/>
          </w:tcPr>
          <w:p w14:paraId="267D65F1">
            <w:pPr>
              <w:spacing w:line="360" w:lineRule="auto"/>
              <w:rPr>
                <w:rFonts w:hint="eastAsia" w:ascii="宋体" w:hAnsi="宋体" w:cs="宋体"/>
                <w:color w:val="auto"/>
                <w:szCs w:val="21"/>
                <w:highlight w:val="none"/>
              </w:rPr>
            </w:pPr>
          </w:p>
        </w:tc>
        <w:tc>
          <w:tcPr>
            <w:tcW w:w="1145" w:type="dxa"/>
          </w:tcPr>
          <w:p w14:paraId="33BCA877">
            <w:pPr>
              <w:spacing w:line="360" w:lineRule="auto"/>
              <w:rPr>
                <w:rFonts w:hint="eastAsia" w:ascii="宋体" w:hAnsi="宋体" w:cs="宋体"/>
                <w:color w:val="auto"/>
                <w:szCs w:val="21"/>
                <w:highlight w:val="none"/>
              </w:rPr>
            </w:pPr>
          </w:p>
        </w:tc>
        <w:tc>
          <w:tcPr>
            <w:tcW w:w="851" w:type="dxa"/>
          </w:tcPr>
          <w:p w14:paraId="6797B5DE">
            <w:pPr>
              <w:spacing w:line="360" w:lineRule="auto"/>
              <w:rPr>
                <w:rFonts w:hint="eastAsia" w:ascii="宋体" w:hAnsi="宋体" w:cs="宋体"/>
                <w:color w:val="auto"/>
                <w:szCs w:val="21"/>
                <w:highlight w:val="none"/>
              </w:rPr>
            </w:pPr>
          </w:p>
        </w:tc>
        <w:tc>
          <w:tcPr>
            <w:tcW w:w="1214" w:type="dxa"/>
          </w:tcPr>
          <w:p w14:paraId="42290148">
            <w:pPr>
              <w:spacing w:line="360" w:lineRule="auto"/>
              <w:rPr>
                <w:rFonts w:hint="eastAsia" w:ascii="宋体" w:hAnsi="宋体" w:cs="宋体"/>
                <w:color w:val="auto"/>
                <w:szCs w:val="21"/>
                <w:highlight w:val="none"/>
              </w:rPr>
            </w:pPr>
          </w:p>
        </w:tc>
        <w:tc>
          <w:tcPr>
            <w:tcW w:w="817" w:type="dxa"/>
          </w:tcPr>
          <w:p w14:paraId="3A22F5C2">
            <w:pPr>
              <w:spacing w:line="360" w:lineRule="auto"/>
              <w:rPr>
                <w:rFonts w:hint="eastAsia" w:ascii="宋体" w:hAnsi="宋体" w:cs="宋体"/>
                <w:color w:val="auto"/>
                <w:szCs w:val="21"/>
                <w:highlight w:val="none"/>
              </w:rPr>
            </w:pPr>
          </w:p>
        </w:tc>
      </w:tr>
    </w:tbl>
    <w:p w14:paraId="6F0B8C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29197A2B">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1.投标文件中须提供投标人类似项目履约能力情况表及相对应的履约能力证明材料，履约能力证明材料为投标人与委托方签订的合同（合同包括：合同首页、标的及金额所在页及合同签字盖章页）或委托方出具委托证明，无证明材料或证明材料不明确、无法体现业绩内容的，不予认可。</w:t>
      </w:r>
    </w:p>
    <w:p w14:paraId="517086A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2.投标人可根据实际情况拓展本表。</w:t>
      </w:r>
    </w:p>
    <w:p w14:paraId="57332A9E">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714B9F5">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color w:val="000000" w:themeColor="text1"/>
          <w:sz w:val="28"/>
          <w:szCs w:val="28"/>
          <w:highlight w:val="none"/>
          <w:lang w:val="en-US" w:eastAsia="zh-CN"/>
          <w14:textFill>
            <w14:solidFill>
              <w14:schemeClr w14:val="tx1"/>
            </w14:solidFill>
          </w14:textFill>
        </w:rPr>
        <w:t>8</w:t>
      </w:r>
    </w:p>
    <w:p w14:paraId="5E0EE0CA">
      <w:pPr>
        <w:keepNext/>
        <w:keepLines/>
        <w:spacing w:before="120" w:after="120" w:line="360" w:lineRule="auto"/>
        <w:jc w:val="center"/>
        <w:outlineLvl w:val="1"/>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54486904">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 w:val="30"/>
          <w:szCs w:val="30"/>
          <w:highlight w:val="none"/>
          <w14:textFill>
            <w14:solidFill>
              <w14:schemeClr w14:val="tx1"/>
            </w14:solidFill>
          </w14:textFill>
        </w:rPr>
      </w:pPr>
    </w:p>
    <w:p w14:paraId="57AF3A69">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w:t>
      </w:r>
    </w:p>
    <w:p w14:paraId="0AF3F5B7">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单位性质：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w:t>
      </w:r>
    </w:p>
    <w:p w14:paraId="69A67339">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月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0B77BCF7">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经营期限：</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w:t>
      </w:r>
    </w:p>
    <w:p w14:paraId="21A29B01">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8634BEF">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（投标人名称）       </w:t>
      </w:r>
      <w:r>
        <w:rPr>
          <w:rFonts w:hint="eastAsia" w:ascii="宋体" w:hAnsi="宋体" w:eastAsia="宋体" w:cs="宋体"/>
          <w:color w:val="000000" w:themeColor="text1"/>
          <w:szCs w:val="21"/>
          <w:highlight w:val="none"/>
          <w14:textFill>
            <w14:solidFill>
              <w14:schemeClr w14:val="tx1"/>
            </w14:solidFill>
          </w14:textFill>
        </w:rPr>
        <w:t>的法定代表人。</w:t>
      </w:r>
    </w:p>
    <w:p w14:paraId="6F0B1A75">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p w14:paraId="24D64719">
      <w:pPr>
        <w:pageBreakBefore w:val="0"/>
        <w:kinsoku/>
        <w:overflowPunct/>
        <w:topLinePunct w:val="0"/>
        <w:autoSpaceDE/>
        <w:autoSpaceDN/>
        <w:bidi w:val="0"/>
        <w:spacing w:line="480" w:lineRule="exact"/>
        <w:ind w:left="0" w:leftChars="0" w:right="0"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p>
    <w:p w14:paraId="2BD16531">
      <w:pPr>
        <w:pageBreakBefore w:val="0"/>
        <w:kinsoku/>
        <w:overflowPunct/>
        <w:topLinePunct w:val="0"/>
        <w:autoSpaceDE/>
        <w:autoSpaceDN/>
        <w:bidi w:val="0"/>
        <w:spacing w:line="480" w:lineRule="exact"/>
        <w:ind w:left="0" w:leftChars="0" w:right="0"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711CC3B3">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p w14:paraId="76E23592">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p w14:paraId="7ABB88D8">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公章）：</w:t>
      </w:r>
    </w:p>
    <w:p w14:paraId="28DAA3D6">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p w14:paraId="08020362">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25B078BD">
      <w:pPr>
        <w:pStyle w:val="23"/>
        <w:pageBreakBefore w:val="0"/>
        <w:kinsoku/>
        <w:overflowPunct/>
        <w:topLinePunct w:val="0"/>
        <w:autoSpaceDE/>
        <w:autoSpaceDN/>
        <w:bidi w:val="0"/>
        <w:spacing w:line="480" w:lineRule="exact"/>
        <w:ind w:left="0" w:leftChars="0" w:right="0" w:firstLine="420"/>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注:在投标文件中附法定代表人居民身份证（如非中国国籍应提供护照）</w:t>
      </w:r>
      <w:r>
        <w:rPr>
          <w:rFonts w:hint="eastAsia" w:ascii="宋体" w:hAnsi="宋体" w:eastAsia="宋体" w:cs="宋体"/>
          <w:b/>
          <w:bCs/>
          <w:color w:val="000000" w:themeColor="text1"/>
          <w:szCs w:val="21"/>
          <w:highlight w:val="none"/>
          <w:lang w:val="en-US" w:eastAsia="zh-CN"/>
          <w14:textFill>
            <w14:solidFill>
              <w14:schemeClr w14:val="tx1"/>
            </w14:solidFill>
          </w14:textFill>
        </w:rPr>
        <w:t>扫描</w:t>
      </w:r>
      <w:r>
        <w:rPr>
          <w:rFonts w:hint="eastAsia" w:ascii="宋体" w:hAnsi="宋体" w:eastAsia="宋体" w:cs="宋体"/>
          <w:b/>
          <w:bCs/>
          <w:color w:val="000000" w:themeColor="text1"/>
          <w:szCs w:val="21"/>
          <w:highlight w:val="none"/>
          <w14:textFill>
            <w14:solidFill>
              <w14:schemeClr w14:val="tx1"/>
            </w14:solidFill>
          </w14:textFill>
        </w:rPr>
        <w:t>件。</w:t>
      </w:r>
    </w:p>
    <w:p w14:paraId="51BA4096">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val="en-US" w:eastAsia="zh-CN"/>
          <w14:textFill>
            <w14:solidFill>
              <w14:schemeClr w14:val="tx1"/>
            </w14:solidFill>
          </w14:textFill>
        </w:rPr>
        <w:t>19</w:t>
      </w:r>
    </w:p>
    <w:p w14:paraId="5718828F">
      <w:pPr>
        <w:keepNext/>
        <w:keepLines/>
        <w:spacing w:before="120" w:after="120" w:line="360" w:lineRule="auto"/>
        <w:jc w:val="center"/>
        <w:outlineLvl w:val="1"/>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法定代表人授权委托书</w:t>
      </w:r>
    </w:p>
    <w:p w14:paraId="2C8A7257">
      <w:pPr>
        <w:pStyle w:val="23"/>
        <w:pageBreakBefore w:val="0"/>
        <w:kinsoku/>
        <w:overflowPunct/>
        <w:topLinePunct w:val="0"/>
        <w:autoSpaceDE/>
        <w:autoSpaceDN/>
        <w:bidi w:val="0"/>
        <w:spacing w:line="480" w:lineRule="exact"/>
        <w:ind w:left="0" w:leftChars="0" w:right="0" w:firstLine="480" w:firstLineChars="200"/>
        <w:outlineLvl w:val="9"/>
        <w:rPr>
          <w:rFonts w:hint="eastAsia" w:ascii="宋体" w:hAnsi="宋体" w:eastAsia="宋体" w:cs="宋体"/>
          <w:color w:val="000000" w:themeColor="text1"/>
          <w:sz w:val="24"/>
          <w:szCs w:val="24"/>
          <w:highlight w:val="none"/>
          <w14:textFill>
            <w14:solidFill>
              <w14:schemeClr w14:val="tx1"/>
            </w14:solidFill>
          </w14:textFill>
        </w:rPr>
      </w:pPr>
    </w:p>
    <w:p w14:paraId="6A8CCD88">
      <w:pPr>
        <w:pageBreakBefore w:val="0"/>
        <w:kinsoku/>
        <w:overflowPunct/>
        <w:topLinePunct w:val="0"/>
        <w:autoSpaceDE/>
        <w:autoSpaceDN/>
        <w:bidi w:val="0"/>
        <w:spacing w:line="480" w:lineRule="exact"/>
        <w:ind w:left="0" w:leftChars="0" w:right="0" w:firstLine="420" w:firstLineChars="20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本授权书声明：</w:t>
      </w:r>
      <w:r>
        <w:rPr>
          <w:rFonts w:hint="eastAsia" w:ascii="宋体" w:hAnsi="宋体" w:eastAsia="宋体" w:cs="宋体"/>
          <w:color w:val="000000" w:themeColor="text1"/>
          <w:szCs w:val="21"/>
          <w:highlight w:val="none"/>
          <w:u w:val="single"/>
          <w14:textFill>
            <w14:solidFill>
              <w14:schemeClr w14:val="tx1"/>
            </w14:solidFill>
          </w14:textFill>
        </w:rPr>
        <w:t xml:space="preserve">（投标人全称） </w:t>
      </w:r>
      <w:r>
        <w:rPr>
          <w:rFonts w:hint="eastAsia" w:ascii="宋体" w:hAnsi="宋体" w:eastAsia="宋体" w:cs="宋体"/>
          <w:color w:val="000000" w:themeColor="text1"/>
          <w:szCs w:val="21"/>
          <w:highlight w:val="none"/>
          <w14:textFill>
            <w14:solidFill>
              <w14:schemeClr w14:val="tx1"/>
            </w14:solidFill>
          </w14:textFill>
        </w:rPr>
        <w:t>的法定代表人代表本公司授权</w:t>
      </w:r>
      <w:r>
        <w:rPr>
          <w:rFonts w:hint="eastAsia" w:ascii="宋体" w:hAnsi="宋体" w:eastAsia="宋体" w:cs="宋体"/>
          <w:color w:val="000000" w:themeColor="text1"/>
          <w:szCs w:val="21"/>
          <w:highlight w:val="none"/>
          <w:u w:val="single"/>
          <w14:textFill>
            <w14:solidFill>
              <w14:schemeClr w14:val="tx1"/>
            </w14:solidFill>
          </w14:textFill>
        </w:rPr>
        <w:t>（委托代理人姓名）</w:t>
      </w:r>
      <w:r>
        <w:rPr>
          <w:rFonts w:hint="eastAsia" w:ascii="宋体" w:hAnsi="宋体" w:eastAsia="宋体" w:cs="宋体"/>
          <w:color w:val="000000" w:themeColor="text1"/>
          <w:szCs w:val="21"/>
          <w:highlight w:val="none"/>
          <w14:textFill>
            <w14:solidFill>
              <w14:schemeClr w14:val="tx1"/>
            </w14:solidFill>
          </w14:textFill>
        </w:rPr>
        <w:t>为本公司合法代理人，就贵方组织的有关</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项目（项目编号：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）的招标，以本单位名义投标。委托代理人在本项目投标过程中所签署的一切文件和处理与之有关的一切事务，我方均予承认。</w:t>
      </w:r>
    </w:p>
    <w:p w14:paraId="76A87139">
      <w:pPr>
        <w:pStyle w:val="23"/>
        <w:pageBreakBefore w:val="0"/>
        <w:kinsoku/>
        <w:overflowPunct/>
        <w:topLinePunct w:val="0"/>
        <w:autoSpaceDE/>
        <w:autoSpaceDN/>
        <w:bidi w:val="0"/>
        <w:spacing w:line="480" w:lineRule="exact"/>
        <w:ind w:left="0" w:leftChars="0" w:right="0" w:firstLine="42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w:t>
      </w:r>
    </w:p>
    <w:p w14:paraId="4640E62D">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投标人（加盖投标人电子公章）：</w:t>
      </w:r>
    </w:p>
    <w:p w14:paraId="3535388E">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p w14:paraId="2934F5C3">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（电子签名或电子签章）</w:t>
      </w:r>
      <w:r>
        <w:rPr>
          <w:rFonts w:hint="eastAsia" w:ascii="宋体" w:hAnsi="宋体" w:eastAsia="宋体" w:cs="宋体"/>
          <w:color w:val="000000" w:themeColor="text1"/>
          <w:szCs w:val="21"/>
          <w:highlight w:val="none"/>
          <w14:textFill>
            <w14:solidFill>
              <w14:schemeClr w14:val="tx1"/>
            </w14:solidFill>
          </w14:textFill>
        </w:rPr>
        <w:t>：</w:t>
      </w:r>
    </w:p>
    <w:p w14:paraId="0B3F8384">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u w:val="single"/>
          <w14:textFill>
            <w14:solidFill>
              <w14:schemeClr w14:val="tx1"/>
            </w14:solidFill>
          </w14:textFill>
        </w:rPr>
      </w:pPr>
    </w:p>
    <w:p w14:paraId="46C93647">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hAnsi="宋体" w:cs="宋体"/>
          <w:color w:val="000000" w:themeColor="text1"/>
          <w:szCs w:val="21"/>
          <w:highlight w:val="none"/>
          <w:lang w:eastAsia="zh-CN"/>
          <w14:textFill>
            <w14:solidFill>
              <w14:schemeClr w14:val="tx1"/>
            </w14:solidFill>
          </w14:textFill>
        </w:rPr>
        <w:t>：</w:t>
      </w:r>
    </w:p>
    <w:p w14:paraId="41156C2E">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bl>
      <w:tblPr>
        <w:tblStyle w:val="40"/>
        <w:tblW w:w="5868" w:type="dxa"/>
        <w:tblInd w:w="720" w:type="dxa"/>
        <w:tblLayout w:type="fixed"/>
        <w:tblCellMar>
          <w:top w:w="0" w:type="dxa"/>
          <w:left w:w="108" w:type="dxa"/>
          <w:bottom w:w="0" w:type="dxa"/>
          <w:right w:w="108" w:type="dxa"/>
        </w:tblCellMar>
      </w:tblPr>
      <w:tblGrid>
        <w:gridCol w:w="1908"/>
        <w:gridCol w:w="3960"/>
      </w:tblGrid>
      <w:tr w14:paraId="727DA041">
        <w:tblPrEx>
          <w:tblCellMar>
            <w:top w:w="0" w:type="dxa"/>
            <w:left w:w="108" w:type="dxa"/>
            <w:bottom w:w="0" w:type="dxa"/>
            <w:right w:w="108" w:type="dxa"/>
          </w:tblCellMar>
        </w:tblPrEx>
        <w:tc>
          <w:tcPr>
            <w:tcW w:w="1908" w:type="dxa"/>
            <w:tcBorders>
              <w:top w:val="nil"/>
              <w:left w:val="nil"/>
              <w:bottom w:val="nil"/>
              <w:right w:val="nil"/>
            </w:tcBorders>
          </w:tcPr>
          <w:p w14:paraId="16A83645">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附： </w:t>
            </w:r>
          </w:p>
        </w:tc>
        <w:tc>
          <w:tcPr>
            <w:tcW w:w="3960" w:type="dxa"/>
            <w:tcBorders>
              <w:top w:val="nil"/>
              <w:left w:val="nil"/>
              <w:bottom w:val="nil"/>
              <w:right w:val="nil"/>
            </w:tcBorders>
          </w:tcPr>
          <w:p w14:paraId="6D551671">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662485B2">
        <w:tblPrEx>
          <w:tblCellMar>
            <w:top w:w="0" w:type="dxa"/>
            <w:left w:w="108" w:type="dxa"/>
            <w:bottom w:w="0" w:type="dxa"/>
            <w:right w:w="108" w:type="dxa"/>
          </w:tblCellMar>
        </w:tblPrEx>
        <w:tc>
          <w:tcPr>
            <w:tcW w:w="1908" w:type="dxa"/>
            <w:tcBorders>
              <w:top w:val="nil"/>
              <w:left w:val="nil"/>
              <w:bottom w:val="nil"/>
              <w:right w:val="nil"/>
            </w:tcBorders>
          </w:tcPr>
          <w:p w14:paraId="27583390">
            <w:pPr>
              <w:pStyle w:val="23"/>
              <w:pageBreakBefore w:val="0"/>
              <w:kinsoku/>
              <w:overflowPunct/>
              <w:topLinePunct w:val="0"/>
              <w:autoSpaceDE/>
              <w:autoSpaceDN/>
              <w:bidi w:val="0"/>
              <w:spacing w:line="480" w:lineRule="exact"/>
              <w:ind w:left="0" w:leftChars="0" w:right="0"/>
              <w:jc w:val="distribute"/>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委托代理人姓名：</w:t>
            </w:r>
          </w:p>
        </w:tc>
        <w:tc>
          <w:tcPr>
            <w:tcW w:w="3960" w:type="dxa"/>
            <w:tcBorders>
              <w:top w:val="nil"/>
              <w:left w:val="nil"/>
              <w:bottom w:val="nil"/>
              <w:right w:val="nil"/>
            </w:tcBorders>
          </w:tcPr>
          <w:p w14:paraId="55FAC6E3">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25F0422A">
        <w:tblPrEx>
          <w:tblCellMar>
            <w:top w:w="0" w:type="dxa"/>
            <w:left w:w="108" w:type="dxa"/>
            <w:bottom w:w="0" w:type="dxa"/>
            <w:right w:w="108" w:type="dxa"/>
          </w:tblCellMar>
        </w:tblPrEx>
        <w:tc>
          <w:tcPr>
            <w:tcW w:w="1908" w:type="dxa"/>
            <w:tcBorders>
              <w:top w:val="nil"/>
              <w:left w:val="nil"/>
              <w:bottom w:val="nil"/>
              <w:right w:val="nil"/>
            </w:tcBorders>
          </w:tcPr>
          <w:p w14:paraId="0B63B437">
            <w:pPr>
              <w:pStyle w:val="23"/>
              <w:pageBreakBefore w:val="0"/>
              <w:kinsoku/>
              <w:overflowPunct/>
              <w:topLinePunct w:val="0"/>
              <w:autoSpaceDE/>
              <w:autoSpaceDN/>
              <w:bidi w:val="0"/>
              <w:spacing w:line="480" w:lineRule="exact"/>
              <w:ind w:left="0" w:leftChars="0" w:right="0"/>
              <w:jc w:val="distribute"/>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       务：</w:t>
            </w:r>
          </w:p>
        </w:tc>
        <w:tc>
          <w:tcPr>
            <w:tcW w:w="3960" w:type="dxa"/>
            <w:tcBorders>
              <w:top w:val="nil"/>
              <w:left w:val="nil"/>
              <w:bottom w:val="nil"/>
              <w:right w:val="nil"/>
            </w:tcBorders>
          </w:tcPr>
          <w:p w14:paraId="25CA0A02">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0E3D8EB1">
        <w:tblPrEx>
          <w:tblCellMar>
            <w:top w:w="0" w:type="dxa"/>
            <w:left w:w="108" w:type="dxa"/>
            <w:bottom w:w="0" w:type="dxa"/>
            <w:right w:w="108" w:type="dxa"/>
          </w:tblCellMar>
        </w:tblPrEx>
        <w:tc>
          <w:tcPr>
            <w:tcW w:w="1908" w:type="dxa"/>
            <w:tcBorders>
              <w:top w:val="nil"/>
              <w:left w:val="nil"/>
              <w:bottom w:val="nil"/>
              <w:right w:val="nil"/>
            </w:tcBorders>
          </w:tcPr>
          <w:p w14:paraId="7432D62A">
            <w:pPr>
              <w:pStyle w:val="23"/>
              <w:pageBreakBefore w:val="0"/>
              <w:kinsoku/>
              <w:overflowPunct/>
              <w:topLinePunct w:val="0"/>
              <w:autoSpaceDE/>
              <w:autoSpaceDN/>
              <w:bidi w:val="0"/>
              <w:spacing w:line="480" w:lineRule="exact"/>
              <w:ind w:left="0" w:leftChars="0" w:right="0"/>
              <w:jc w:val="distribute"/>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居民身份证号码：</w:t>
            </w:r>
          </w:p>
        </w:tc>
        <w:tc>
          <w:tcPr>
            <w:tcW w:w="3960" w:type="dxa"/>
            <w:tcBorders>
              <w:top w:val="nil"/>
              <w:left w:val="nil"/>
              <w:bottom w:val="nil"/>
              <w:right w:val="nil"/>
            </w:tcBorders>
          </w:tcPr>
          <w:p w14:paraId="790B16A5">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7C6FB272">
        <w:tblPrEx>
          <w:tblCellMar>
            <w:top w:w="0" w:type="dxa"/>
            <w:left w:w="108" w:type="dxa"/>
            <w:bottom w:w="0" w:type="dxa"/>
            <w:right w:w="108" w:type="dxa"/>
          </w:tblCellMar>
        </w:tblPrEx>
        <w:tc>
          <w:tcPr>
            <w:tcW w:w="1908" w:type="dxa"/>
            <w:tcBorders>
              <w:top w:val="nil"/>
              <w:left w:val="nil"/>
              <w:bottom w:val="nil"/>
              <w:right w:val="nil"/>
            </w:tcBorders>
          </w:tcPr>
          <w:p w14:paraId="08C87997">
            <w:pPr>
              <w:pStyle w:val="23"/>
              <w:pageBreakBefore w:val="0"/>
              <w:kinsoku/>
              <w:overflowPunct/>
              <w:topLinePunct w:val="0"/>
              <w:autoSpaceDE/>
              <w:autoSpaceDN/>
              <w:bidi w:val="0"/>
              <w:spacing w:line="480" w:lineRule="exact"/>
              <w:ind w:left="0" w:leftChars="0" w:right="0"/>
              <w:jc w:val="distribute"/>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 细  地 址：</w:t>
            </w:r>
          </w:p>
        </w:tc>
        <w:tc>
          <w:tcPr>
            <w:tcW w:w="3960" w:type="dxa"/>
            <w:tcBorders>
              <w:top w:val="nil"/>
              <w:left w:val="nil"/>
              <w:bottom w:val="nil"/>
              <w:right w:val="nil"/>
            </w:tcBorders>
          </w:tcPr>
          <w:p w14:paraId="215738C2">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1FC42D4C">
        <w:tblPrEx>
          <w:tblCellMar>
            <w:top w:w="0" w:type="dxa"/>
            <w:left w:w="108" w:type="dxa"/>
            <w:bottom w:w="0" w:type="dxa"/>
            <w:right w:w="108" w:type="dxa"/>
          </w:tblCellMar>
        </w:tblPrEx>
        <w:tc>
          <w:tcPr>
            <w:tcW w:w="1908" w:type="dxa"/>
            <w:tcBorders>
              <w:top w:val="nil"/>
              <w:left w:val="nil"/>
              <w:bottom w:val="nil"/>
              <w:right w:val="nil"/>
            </w:tcBorders>
          </w:tcPr>
          <w:p w14:paraId="72671C89">
            <w:pPr>
              <w:pStyle w:val="23"/>
              <w:pageBreakBefore w:val="0"/>
              <w:kinsoku/>
              <w:overflowPunct/>
              <w:topLinePunct w:val="0"/>
              <w:autoSpaceDE/>
              <w:autoSpaceDN/>
              <w:bidi w:val="0"/>
              <w:spacing w:line="480" w:lineRule="exact"/>
              <w:ind w:left="0" w:leftChars="0" w:right="0"/>
              <w:jc w:val="distribute"/>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p>
        </w:tc>
        <w:tc>
          <w:tcPr>
            <w:tcW w:w="3960" w:type="dxa"/>
            <w:tcBorders>
              <w:top w:val="nil"/>
              <w:left w:val="nil"/>
              <w:bottom w:val="nil"/>
              <w:right w:val="nil"/>
            </w:tcBorders>
          </w:tcPr>
          <w:p w14:paraId="6C71BA02">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r w14:paraId="08209983">
        <w:tblPrEx>
          <w:tblCellMar>
            <w:top w:w="0" w:type="dxa"/>
            <w:left w:w="108" w:type="dxa"/>
            <w:bottom w:w="0" w:type="dxa"/>
            <w:right w:w="108" w:type="dxa"/>
          </w:tblCellMar>
        </w:tblPrEx>
        <w:tc>
          <w:tcPr>
            <w:tcW w:w="1908" w:type="dxa"/>
            <w:tcBorders>
              <w:top w:val="nil"/>
              <w:left w:val="nil"/>
              <w:bottom w:val="nil"/>
              <w:right w:val="nil"/>
            </w:tcBorders>
          </w:tcPr>
          <w:p w14:paraId="0D7677FE">
            <w:pPr>
              <w:pStyle w:val="23"/>
              <w:pageBreakBefore w:val="0"/>
              <w:kinsoku/>
              <w:overflowPunct/>
              <w:topLinePunct w:val="0"/>
              <w:autoSpaceDE/>
              <w:autoSpaceDN/>
              <w:bidi w:val="0"/>
              <w:spacing w:line="480" w:lineRule="exact"/>
              <w:ind w:left="0" w:leftChars="0" w:right="0"/>
              <w:jc w:val="distribute"/>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电子邮箱：</w:t>
            </w:r>
          </w:p>
        </w:tc>
        <w:tc>
          <w:tcPr>
            <w:tcW w:w="3960" w:type="dxa"/>
            <w:tcBorders>
              <w:top w:val="nil"/>
              <w:left w:val="nil"/>
              <w:bottom w:val="nil"/>
              <w:right w:val="nil"/>
            </w:tcBorders>
          </w:tcPr>
          <w:p w14:paraId="0C92C6C5">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p>
        </w:tc>
      </w:tr>
    </w:tbl>
    <w:p w14:paraId="0A61BEA9">
      <w:pPr>
        <w:pStyle w:val="23"/>
        <w:pageBreakBefore w:val="0"/>
        <w:kinsoku/>
        <w:overflowPunct/>
        <w:topLinePunct w:val="0"/>
        <w:autoSpaceDE/>
        <w:autoSpaceDN/>
        <w:bidi w:val="0"/>
        <w:spacing w:line="480" w:lineRule="exact"/>
        <w:ind w:left="0" w:leftChars="0" w:right="0" w:firstLine="420"/>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hAnsi="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在投标文件中附委托代理人居民身份证（如非中国国籍应提供护照）</w:t>
      </w:r>
      <w:r>
        <w:rPr>
          <w:rFonts w:hint="eastAsia" w:ascii="宋体" w:hAnsi="宋体" w:eastAsia="宋体" w:cs="宋体"/>
          <w:b/>
          <w:bCs/>
          <w:color w:val="000000" w:themeColor="text1"/>
          <w:szCs w:val="21"/>
          <w:highlight w:val="none"/>
          <w:lang w:val="en-US" w:eastAsia="zh-CN"/>
          <w14:textFill>
            <w14:solidFill>
              <w14:schemeClr w14:val="tx1"/>
            </w14:solidFill>
          </w14:textFill>
        </w:rPr>
        <w:t>扫描</w:t>
      </w:r>
      <w:r>
        <w:rPr>
          <w:rFonts w:hint="eastAsia" w:ascii="宋体" w:hAnsi="宋体" w:eastAsia="宋体" w:cs="宋体"/>
          <w:b/>
          <w:bCs/>
          <w:color w:val="000000" w:themeColor="text1"/>
          <w:szCs w:val="21"/>
          <w:highlight w:val="none"/>
          <w14:textFill>
            <w14:solidFill>
              <w14:schemeClr w14:val="tx1"/>
            </w14:solidFill>
          </w14:textFill>
        </w:rPr>
        <w:t>件。</w:t>
      </w:r>
    </w:p>
    <w:p w14:paraId="57A22853">
      <w:pPr>
        <w:pStyle w:val="23"/>
        <w:pageBreakBefore w:val="0"/>
        <w:numPr>
          <w:ilvl w:val="0"/>
          <w:numId w:val="0"/>
        </w:numPr>
        <w:kinsoku/>
        <w:overflowPunct/>
        <w:topLinePunct w:val="0"/>
        <w:autoSpaceDE/>
        <w:autoSpaceDN/>
        <w:bidi w:val="0"/>
        <w:spacing w:line="480" w:lineRule="exact"/>
        <w:ind w:left="0" w:leftChars="0" w:right="0" w:rightChars="0" w:firstLine="420" w:firstLineChars="0"/>
        <w:outlineLvl w:val="9"/>
        <w:rPr>
          <w:rFonts w:hint="eastAsia"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法定代表人参加投标时可不提供</w:t>
      </w:r>
      <w:r>
        <w:rPr>
          <w:rFonts w:hint="eastAsia" w:hAnsi="宋体" w:cs="宋体"/>
          <w:b/>
          <w:bCs/>
          <w:color w:val="000000" w:themeColor="text1"/>
          <w:szCs w:val="21"/>
          <w:highlight w:val="none"/>
          <w:lang w:val="en-US" w:eastAsia="zh-CN"/>
          <w14:textFill>
            <w14:solidFill>
              <w14:schemeClr w14:val="tx1"/>
            </w14:solidFill>
          </w14:textFill>
        </w:rPr>
        <w:t>。</w:t>
      </w:r>
    </w:p>
    <w:p w14:paraId="3EA9DE99">
      <w:pPr>
        <w:pStyle w:val="23"/>
        <w:pageBreakBefore w:val="0"/>
        <w:numPr>
          <w:ilvl w:val="0"/>
          <w:numId w:val="0"/>
        </w:numPr>
        <w:kinsoku/>
        <w:overflowPunct/>
        <w:topLinePunct w:val="0"/>
        <w:autoSpaceDE/>
        <w:autoSpaceDN/>
        <w:bidi w:val="0"/>
        <w:spacing w:line="480" w:lineRule="exact"/>
        <w:ind w:left="0" w:leftChars="0" w:right="0" w:rightChars="0" w:firstLine="420" w:firstLineChars="0"/>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cs="宋体"/>
          <w:b/>
          <w:color w:val="000000" w:themeColor="text1"/>
          <w:sz w:val="28"/>
          <w:szCs w:val="28"/>
          <w:highlight w:val="none"/>
          <w:lang w:val="en-US" w:eastAsia="zh-CN"/>
          <w14:textFill>
            <w14:solidFill>
              <w14:schemeClr w14:val="tx1"/>
            </w14:solidFill>
          </w14:textFill>
        </w:rPr>
        <w:t>0</w:t>
      </w:r>
    </w:p>
    <w:p w14:paraId="52B79FA5">
      <w:pPr>
        <w:keepNext/>
        <w:keepLines/>
        <w:spacing w:before="120" w:after="120" w:line="360" w:lineRule="auto"/>
        <w:jc w:val="center"/>
        <w:outlineLvl w:val="1"/>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投标人具备参加政府采购活动条件承诺书</w:t>
      </w:r>
    </w:p>
    <w:p w14:paraId="4BA8BC1B">
      <w:pPr>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致：（采购人名称）</w:t>
      </w:r>
    </w:p>
    <w:p w14:paraId="61EB8C55">
      <w:pPr>
        <w:pageBreakBefore w:val="0"/>
        <w:kinsoku/>
        <w:overflowPunct/>
        <w:topLinePunct w:val="0"/>
        <w:autoSpaceDE/>
        <w:autoSpaceDN/>
        <w:bidi w:val="0"/>
        <w:spacing w:line="480" w:lineRule="exact"/>
        <w:ind w:left="0" w:leftChars="0" w:right="0" w:firstLine="4410" w:firstLineChars="2100"/>
        <w:outlineLvl w:val="9"/>
        <w:rPr>
          <w:rFonts w:hint="eastAsia" w:ascii="宋体" w:hAnsi="宋体" w:eastAsia="宋体" w:cs="宋体"/>
          <w:color w:val="000000" w:themeColor="text1"/>
          <w:szCs w:val="21"/>
          <w:highlight w:val="none"/>
          <w14:textFill>
            <w14:solidFill>
              <w14:schemeClr w14:val="tx1"/>
            </w14:solidFill>
          </w14:textFill>
        </w:rPr>
      </w:pPr>
    </w:p>
    <w:p w14:paraId="49BAB1A2">
      <w:pPr>
        <w:pageBreakBefore w:val="0"/>
        <w:kinsoku/>
        <w:overflowPunct/>
        <w:topLinePunct w:val="0"/>
        <w:autoSpaceDE/>
        <w:autoSpaceDN/>
        <w:bidi w:val="0"/>
        <w:spacing w:line="480" w:lineRule="exact"/>
        <w:ind w:left="0" w:leftChars="0" w:right="0" w:firstLine="735" w:firstLineChars="350"/>
        <w:jc w:val="center"/>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（投标人自行承诺及说明，内容自拟）</w:t>
      </w:r>
    </w:p>
    <w:p w14:paraId="7349B92C">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p w14:paraId="1C9D1004">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p w14:paraId="58C5C119">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p w14:paraId="3FAC911F">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p w14:paraId="3C14168A">
      <w:pPr>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7A722D6A">
      <w:pPr>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75604BF6">
      <w:pPr>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4E3B1E2E">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投标人（加盖投标人电子公章）：</w:t>
      </w:r>
    </w:p>
    <w:p w14:paraId="16DEAB77">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p w14:paraId="33587130">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（电子签名或电子签章）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58C4B0C">
      <w:pPr>
        <w:pStyle w:val="23"/>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u w:val="single"/>
          <w14:textFill>
            <w14:solidFill>
              <w14:schemeClr w14:val="tx1"/>
            </w14:solidFill>
          </w14:textFill>
        </w:rPr>
      </w:pPr>
    </w:p>
    <w:p w14:paraId="0BA4C9E7">
      <w:pPr>
        <w:pStyle w:val="23"/>
        <w:pageBreakBefore w:val="0"/>
        <w:kinsoku/>
        <w:overflowPunct/>
        <w:topLinePunct w:val="0"/>
        <w:autoSpaceDE/>
        <w:autoSpaceDN/>
        <w:bidi w:val="0"/>
        <w:spacing w:line="480" w:lineRule="exact"/>
        <w:ind w:left="0" w:leftChars="0" w:right="0"/>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0BBA31F6">
      <w:pPr>
        <w:pageBreakBefore w:val="0"/>
        <w:kinsoku/>
        <w:overflowPunct/>
        <w:topLinePunct w:val="0"/>
        <w:autoSpaceDE/>
        <w:autoSpaceDN/>
        <w:bidi w:val="0"/>
        <w:spacing w:line="480" w:lineRule="exact"/>
        <w:ind w:left="0" w:leftChars="0" w:right="0" w:firstLine="2" w:firstLineChars="1"/>
        <w:outlineLvl w:val="9"/>
        <w:rPr>
          <w:rFonts w:hint="eastAsia" w:ascii="宋体" w:hAnsi="宋体" w:eastAsia="宋体" w:cs="宋体"/>
          <w:color w:val="000000" w:themeColor="text1"/>
          <w:szCs w:val="21"/>
          <w:highlight w:val="none"/>
          <w14:textFill>
            <w14:solidFill>
              <w14:schemeClr w14:val="tx1"/>
            </w14:solidFill>
          </w14:textFill>
        </w:rPr>
      </w:pPr>
    </w:p>
    <w:p w14:paraId="690D614D">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52369792">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1.投标人应对是否满足“具有独立承担民事责任的能力；良好的商业信誉和健全的财务会计制度；</w:t>
      </w:r>
      <w:r>
        <w:rPr>
          <w:rFonts w:hint="eastAsia" w:ascii="宋体" w:hAnsi="宋体" w:cs="宋体"/>
          <w:color w:val="000000" w:themeColor="text1"/>
          <w:szCs w:val="21"/>
          <w:highlight w:val="none"/>
          <w:lang w:eastAsia="zh-CN"/>
          <w14:textFill>
            <w14:solidFill>
              <w14:schemeClr w14:val="tx1"/>
            </w14:solidFill>
          </w14:textFill>
        </w:rPr>
        <w:t>具有履行合同所必需的设备和专业技术能力</w:t>
      </w:r>
      <w:r>
        <w:rPr>
          <w:rFonts w:hint="eastAsia" w:ascii="宋体" w:hAnsi="宋体" w:eastAsia="宋体" w:cs="宋体"/>
          <w:color w:val="000000" w:themeColor="text1"/>
          <w:szCs w:val="21"/>
          <w:highlight w:val="none"/>
          <w14:textFill>
            <w14:solidFill>
              <w14:schemeClr w14:val="tx1"/>
            </w14:solidFill>
          </w14:textFill>
        </w:rPr>
        <w:t>；有依法缴纳税收和社会保障资金的良好记录；</w:t>
      </w:r>
      <w:r>
        <w:rPr>
          <w:rFonts w:hint="eastAsia" w:ascii="宋体" w:hAnsi="宋体" w:cs="宋体"/>
          <w:color w:val="000000" w:themeColor="text1"/>
          <w:szCs w:val="21"/>
          <w:highlight w:val="none"/>
          <w:lang w:eastAsia="zh-CN"/>
          <w14:textFill>
            <w14:solidFill>
              <w14:schemeClr w14:val="tx1"/>
            </w14:solidFill>
          </w14:textFill>
        </w:rPr>
        <w:t>参加政府采购活动前三年内，在经营活动中没有重大违法记录</w:t>
      </w:r>
      <w:r>
        <w:rPr>
          <w:rFonts w:hint="eastAsia" w:ascii="宋体" w:hAnsi="宋体" w:eastAsia="宋体" w:cs="宋体"/>
          <w:color w:val="000000" w:themeColor="text1"/>
          <w:szCs w:val="21"/>
          <w:highlight w:val="none"/>
          <w14:textFill>
            <w14:solidFill>
              <w14:schemeClr w14:val="tx1"/>
            </w14:solidFill>
          </w14:textFill>
        </w:rPr>
        <w:t>；法律、行政法规规定的其他条件。”（《中华人民共和国政府采购法》第二十二条规定）进行说明和承诺；</w:t>
      </w:r>
    </w:p>
    <w:p w14:paraId="4BD3619B">
      <w:pPr>
        <w:pageBreakBefore w:val="0"/>
        <w:kinsoku/>
        <w:overflowPunct/>
        <w:topLinePunct w:val="0"/>
        <w:autoSpaceDE/>
        <w:autoSpaceDN/>
        <w:bidi w:val="0"/>
        <w:spacing w:line="480" w:lineRule="exact"/>
        <w:ind w:left="0" w:leftChars="0" w:right="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2.若招标文件中明确要求提供证明资料的，以证明资料为准。</w:t>
      </w:r>
    </w:p>
    <w:p w14:paraId="1BAA935A">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格式2</w:t>
      </w:r>
      <w:r>
        <w:rPr>
          <w:rFonts w:hint="eastAsia" w:ascii="宋体" w:hAnsi="宋体" w:cs="宋体"/>
          <w:b/>
          <w:color w:val="000000" w:themeColor="text1"/>
          <w:kern w:val="2"/>
          <w:sz w:val="28"/>
          <w:szCs w:val="28"/>
          <w:highlight w:val="none"/>
          <w:lang w:val="en-US" w:eastAsia="zh-CN" w:bidi="ar-SA"/>
          <w14:textFill>
            <w14:solidFill>
              <w14:schemeClr w14:val="tx1"/>
            </w14:solidFill>
          </w14:textFill>
        </w:rPr>
        <w:t>1</w:t>
      </w:r>
    </w:p>
    <w:p w14:paraId="5C56BC28">
      <w:pPr>
        <w:pageBreakBefore w:val="0"/>
        <w:tabs>
          <w:tab w:val="left" w:pos="5580"/>
        </w:tabs>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《中小企业声明函》（符合《政府采购促进中小企业发展管理办法》（财库〔2020〕46号）价格扣减条件的投标人需提交）</w:t>
      </w:r>
    </w:p>
    <w:p w14:paraId="7626EED5">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中小企业声明函</w:t>
      </w:r>
    </w:p>
    <w:p w14:paraId="0F408147">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cs="宋体"/>
          <w:b/>
          <w:bCs/>
          <w:kern w:val="0"/>
          <w:szCs w:val="21"/>
        </w:rPr>
        <w:t>（此格式可不填写或删除）</w:t>
      </w:r>
    </w:p>
    <w:p w14:paraId="40B9E436">
      <w:pPr>
        <w:pageBreakBefore w:val="0"/>
        <w:widowControl/>
        <w:kinsoku/>
        <w:overflowPunct/>
        <w:topLinePunct w:val="0"/>
        <w:autoSpaceDE/>
        <w:autoSpaceDN/>
        <w:bidi w:val="0"/>
        <w:spacing w:line="480" w:lineRule="exact"/>
        <w:ind w:left="0" w:leftChars="0" w:right="0" w:firstLine="405"/>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本公司（联合体）郑重声明，根据《政府采购促进中小企业发展管理办法》（财库﹝2020﹞46 号）的规定，本公司 （联合体）参加</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（单位名称）    </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szCs w:val="21"/>
          <w:highlight w:val="none"/>
          <w14:textFill>
            <w14:solidFill>
              <w14:schemeClr w14:val="tx1"/>
            </w14:solidFill>
          </w14:textFill>
        </w:rPr>
        <w:t>采购活动，提供的货物全部由符合政策要求的中小企业制造。相关企业 （含联合体中的中小企业、签订分包意向协议的中小企业） 的具体情况如下：</w:t>
      </w:r>
    </w:p>
    <w:p w14:paraId="29FDB6C5">
      <w:pPr>
        <w:pageBreakBefore w:val="0"/>
        <w:widowControl/>
        <w:kinsoku/>
        <w:overflowPunct/>
        <w:topLinePunct w:val="0"/>
        <w:autoSpaceDE/>
        <w:autoSpaceDN/>
        <w:bidi w:val="0"/>
        <w:spacing w:line="480" w:lineRule="exact"/>
        <w:ind w:left="0" w:leftChars="0" w:right="0"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（标的名称）   </w:t>
      </w:r>
      <w:r>
        <w:rPr>
          <w:rFonts w:hint="eastAsia" w:ascii="宋体" w:hAnsi="宋体" w:eastAsia="宋体" w:cs="宋体"/>
          <w:color w:val="000000" w:themeColor="text1"/>
          <w:kern w:val="0"/>
          <w:szCs w:val="21"/>
          <w:highlight w:val="none"/>
          <w14:textFill>
            <w14:solidFill>
              <w14:schemeClr w14:val="tx1"/>
            </w14:solidFill>
          </w14:textFill>
        </w:rPr>
        <w:t xml:space="preserve">，属于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（采购文件中明确的所属行业） </w:t>
      </w:r>
      <w:r>
        <w:rPr>
          <w:rFonts w:hint="eastAsia" w:ascii="宋体" w:hAnsi="宋体" w:eastAsia="宋体" w:cs="宋体"/>
          <w:color w:val="000000" w:themeColor="text1"/>
          <w:kern w:val="0"/>
          <w:szCs w:val="21"/>
          <w:highlight w:val="none"/>
          <w14:textFill>
            <w14:solidFill>
              <w14:schemeClr w14:val="tx1"/>
            </w14:solidFill>
          </w14:textFill>
        </w:rPr>
        <w:t>行业；制造商为</w:t>
      </w:r>
      <w:r>
        <w:rPr>
          <w:rFonts w:hint="eastAsia" w:ascii="宋体" w:hAnsi="宋体" w:eastAsia="宋体" w:cs="宋体"/>
          <w:color w:val="000000" w:themeColor="text1"/>
          <w:kern w:val="0"/>
          <w:szCs w:val="21"/>
          <w:highlight w:val="none"/>
          <w:u w:val="single"/>
          <w14:textFill>
            <w14:solidFill>
              <w14:schemeClr w14:val="tx1"/>
            </w14:solidFill>
          </w14:textFill>
        </w:rPr>
        <w:t>（企业名称）</w:t>
      </w:r>
      <w:r>
        <w:rPr>
          <w:rFonts w:hint="eastAsia" w:ascii="宋体" w:hAnsi="宋体" w:eastAsia="宋体" w:cs="宋体"/>
          <w:color w:val="000000" w:themeColor="text1"/>
          <w:kern w:val="0"/>
          <w:szCs w:val="21"/>
          <w:highlight w:val="none"/>
          <w14:textFill>
            <w14:solidFill>
              <w14:schemeClr w14:val="tx1"/>
            </w14:solidFill>
          </w14:textFill>
        </w:rPr>
        <w:t>，从业人员</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人，营业收入为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万元，资产总额为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万元，属于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（中型企业、小 型企业、微型企业）    </w:t>
      </w:r>
      <w:r>
        <w:rPr>
          <w:rFonts w:hint="eastAsia" w:ascii="宋体" w:hAnsi="宋体" w:eastAsia="宋体" w:cs="宋体"/>
          <w:color w:val="000000" w:themeColor="text1"/>
          <w:kern w:val="0"/>
          <w:szCs w:val="21"/>
          <w:highlight w:val="none"/>
          <w14:textFill>
            <w14:solidFill>
              <w14:schemeClr w14:val="tx1"/>
            </w14:solidFill>
          </w14:textFill>
        </w:rPr>
        <w:t>；</w:t>
      </w:r>
    </w:p>
    <w:p w14:paraId="48D913C6">
      <w:pPr>
        <w:pageBreakBefore w:val="0"/>
        <w:widowControl/>
        <w:kinsoku/>
        <w:overflowPunct/>
        <w:topLinePunct w:val="0"/>
        <w:autoSpaceDE/>
        <w:autoSpaceDN/>
        <w:bidi w:val="0"/>
        <w:spacing w:line="480" w:lineRule="exact"/>
        <w:ind w:left="0" w:leftChars="0" w:right="0" w:firstLine="420" w:firstLineChars="20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（标的名称）    </w:t>
      </w:r>
      <w:r>
        <w:rPr>
          <w:rFonts w:hint="eastAsia" w:ascii="宋体" w:hAnsi="宋体" w:eastAsia="宋体" w:cs="宋体"/>
          <w:color w:val="000000" w:themeColor="text1"/>
          <w:kern w:val="0"/>
          <w:szCs w:val="21"/>
          <w:highlight w:val="none"/>
          <w14:textFill>
            <w14:solidFill>
              <w14:schemeClr w14:val="tx1"/>
            </w14:solidFill>
          </w14:textFill>
        </w:rPr>
        <w:t xml:space="preserve"> ，属于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（采购文件中明确的所属行业） </w:t>
      </w:r>
      <w:r>
        <w:rPr>
          <w:rFonts w:hint="eastAsia" w:ascii="宋体" w:hAnsi="宋体" w:eastAsia="宋体" w:cs="宋体"/>
          <w:color w:val="000000" w:themeColor="text1"/>
          <w:kern w:val="0"/>
          <w:szCs w:val="21"/>
          <w:highlight w:val="none"/>
          <w14:textFill>
            <w14:solidFill>
              <w14:schemeClr w14:val="tx1"/>
            </w14:solidFill>
          </w14:textFill>
        </w:rPr>
        <w:t>行业；制造商为</w:t>
      </w:r>
      <w:r>
        <w:rPr>
          <w:rFonts w:hint="eastAsia" w:ascii="宋体" w:hAnsi="宋体" w:eastAsia="宋体" w:cs="宋体"/>
          <w:color w:val="000000" w:themeColor="text1"/>
          <w:kern w:val="0"/>
          <w:szCs w:val="21"/>
          <w:highlight w:val="none"/>
          <w:u w:val="single"/>
          <w14:textFill>
            <w14:solidFill>
              <w14:schemeClr w14:val="tx1"/>
            </w14:solidFill>
          </w14:textFill>
        </w:rPr>
        <w:t>（企业名称）</w:t>
      </w:r>
      <w:r>
        <w:rPr>
          <w:rFonts w:hint="eastAsia" w:ascii="宋体" w:hAnsi="宋体" w:eastAsia="宋体" w:cs="宋体"/>
          <w:color w:val="000000" w:themeColor="text1"/>
          <w:kern w:val="0"/>
          <w:szCs w:val="21"/>
          <w:highlight w:val="none"/>
          <w14:textFill>
            <w14:solidFill>
              <w14:schemeClr w14:val="tx1"/>
            </w14:solidFill>
          </w14:textFill>
        </w:rPr>
        <w:t>，从业人员</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人，营业收入为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万元，资产总额为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万元，属于</w:t>
      </w:r>
      <w:r>
        <w:rPr>
          <w:rFonts w:hint="eastAsia" w:ascii="宋体" w:hAnsi="宋体" w:eastAsia="宋体" w:cs="宋体"/>
          <w:color w:val="000000" w:themeColor="text1"/>
          <w:kern w:val="0"/>
          <w:szCs w:val="21"/>
          <w:highlight w:val="none"/>
          <w:u w:val="single"/>
          <w14:textFill>
            <w14:solidFill>
              <w14:schemeClr w14:val="tx1"/>
            </w14:solidFill>
          </w14:textFill>
        </w:rPr>
        <w:t>（中型企业、小型 企业、微型企业）</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6FFB148B">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p>
    <w:p w14:paraId="0F206CFE">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以上企业，不属于大企业的分支机构，不存在控股股东为大企业的情形，也不存在与大企业的负责人为同一人的情形。 </w:t>
      </w:r>
    </w:p>
    <w:p w14:paraId="50EAF3FA">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本企业对上述声明内容的真实性负责。如有虚假，将依法承担相应责任。</w:t>
      </w:r>
    </w:p>
    <w:p w14:paraId="24CB13CE">
      <w:pPr>
        <w:pageBreakBefore w:val="0"/>
        <w:widowControl/>
        <w:kinsoku/>
        <w:overflowPunct/>
        <w:topLinePunct w:val="0"/>
        <w:autoSpaceDE/>
        <w:autoSpaceDN/>
        <w:bidi w:val="0"/>
        <w:spacing w:line="480" w:lineRule="exact"/>
        <w:ind w:left="0" w:leftChars="0" w:right="0" w:firstLine="405"/>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4F81D31E">
      <w:pPr>
        <w:pageBreakBefore w:val="0"/>
        <w:widowControl/>
        <w:kinsoku/>
        <w:overflowPunct/>
        <w:topLinePunct w:val="0"/>
        <w:autoSpaceDE/>
        <w:autoSpaceDN/>
        <w:bidi w:val="0"/>
        <w:spacing w:line="480" w:lineRule="exact"/>
        <w:ind w:left="0" w:leftChars="0" w:right="0" w:firstLine="405"/>
        <w:jc w:val="righ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企业名称（盖章）： </w:t>
      </w:r>
    </w:p>
    <w:p w14:paraId="18F53B4B">
      <w:pPr>
        <w:pageBreakBefore w:val="0"/>
        <w:widowControl/>
        <w:kinsoku/>
        <w:overflowPunct/>
        <w:topLinePunct w:val="0"/>
        <w:autoSpaceDE/>
        <w:autoSpaceDN/>
        <w:bidi w:val="0"/>
        <w:spacing w:line="480" w:lineRule="exact"/>
        <w:ind w:left="0" w:leftChars="0" w:right="0" w:firstLine="405"/>
        <w:jc w:val="righ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     期：</w:t>
      </w:r>
    </w:p>
    <w:p w14:paraId="42351657">
      <w:pPr>
        <w:pStyle w:val="9"/>
        <w:pageBreakBefore w:val="0"/>
        <w:kinsoku/>
        <w:wordWrap w:val="0"/>
        <w:overflowPunct/>
        <w:topLinePunct w:val="0"/>
        <w:autoSpaceDE/>
        <w:autoSpaceDN/>
        <w:bidi w:val="0"/>
        <w:spacing w:before="0" w:beforeAutospacing="0" w:after="0" w:afterAutospacing="0" w:line="480" w:lineRule="exact"/>
        <w:ind w:left="0" w:leftChars="0" w:right="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注：从业人员、营业收入、资产总额填报上一年度数据，无上一年度数据的新成立企业可不填报。</w:t>
      </w:r>
    </w:p>
    <w:p w14:paraId="2D29B02C">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4AA56C4F">
      <w:pPr>
        <w:pStyle w:val="9"/>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填写注意事项：</w:t>
      </w:r>
    </w:p>
    <w:p w14:paraId="71A8753A">
      <w:pPr>
        <w:pStyle w:val="9"/>
        <w:wordWrap w:val="0"/>
        <w:adjustRightInd w:val="0"/>
        <w:snapToGrid w:val="0"/>
        <w:spacing w:before="0" w:beforeAutospacing="0" w:after="0" w:afterAutospacing="0" w:line="360" w:lineRule="auto"/>
        <w:ind w:firstLine="422" w:firstLineChars="200"/>
        <w:rPr>
          <w:rFonts w:cs="宋体"/>
          <w:b/>
          <w:color w:val="auto"/>
          <w:sz w:val="21"/>
          <w:szCs w:val="21"/>
        </w:rPr>
      </w:pPr>
      <w:r>
        <w:rPr>
          <w:rFonts w:hint="eastAsia" w:cs="宋体"/>
          <w:b/>
          <w:color w:val="auto"/>
          <w:sz w:val="21"/>
          <w:szCs w:val="21"/>
        </w:rPr>
        <w:t>1.符合《政府采购促进中小企业发展管理办法》（财库[2020]46号）规定的投标人需提供《中小企业声明函》。</w:t>
      </w:r>
    </w:p>
    <w:p w14:paraId="4753AEC0">
      <w:pPr>
        <w:pStyle w:val="9"/>
        <w:wordWrap w:val="0"/>
        <w:adjustRightInd w:val="0"/>
        <w:snapToGrid w:val="0"/>
        <w:spacing w:before="0" w:beforeAutospacing="0" w:after="0" w:afterAutospacing="0" w:line="360" w:lineRule="auto"/>
        <w:ind w:firstLine="422" w:firstLineChars="200"/>
        <w:rPr>
          <w:rFonts w:cs="宋体"/>
          <w:b/>
          <w:color w:val="auto"/>
          <w:sz w:val="21"/>
          <w:szCs w:val="21"/>
        </w:rPr>
      </w:pPr>
      <w:r>
        <w:rPr>
          <w:rFonts w:hint="eastAsia" w:cs="宋体"/>
          <w:b/>
          <w:color w:val="auto"/>
          <w:sz w:val="21"/>
          <w:szCs w:val="21"/>
        </w:rPr>
        <w:t>2.不享受中小企业优先采购政策的投标人不需填写《中小企业声明函》。</w:t>
      </w:r>
    </w:p>
    <w:p w14:paraId="09665EA8">
      <w:pPr>
        <w:pStyle w:val="9"/>
        <w:wordWrap w:val="0"/>
        <w:adjustRightInd w:val="0"/>
        <w:snapToGrid w:val="0"/>
        <w:spacing w:before="0" w:beforeAutospacing="0" w:after="0" w:afterAutospacing="0" w:line="360" w:lineRule="auto"/>
        <w:ind w:firstLine="422" w:firstLineChars="200"/>
        <w:rPr>
          <w:rFonts w:cs="宋体"/>
          <w:b/>
          <w:color w:val="auto"/>
          <w:sz w:val="21"/>
          <w:szCs w:val="21"/>
        </w:rPr>
      </w:pPr>
      <w:r>
        <w:rPr>
          <w:rFonts w:hint="eastAsia" w:cs="宋体"/>
          <w:b/>
          <w:color w:val="auto"/>
          <w:sz w:val="21"/>
          <w:szCs w:val="21"/>
        </w:rPr>
        <w:t>3.“标的名称”、“所属行业”详见附件，若填写内容不符，中小企业声明函不予认可。</w:t>
      </w:r>
    </w:p>
    <w:p w14:paraId="2D3A29C6">
      <w:pPr>
        <w:pStyle w:val="9"/>
        <w:wordWrap w:val="0"/>
        <w:adjustRightInd w:val="0"/>
        <w:snapToGrid w:val="0"/>
        <w:spacing w:before="0" w:beforeAutospacing="0" w:after="0" w:afterAutospacing="0" w:line="360" w:lineRule="auto"/>
        <w:rPr>
          <w:rFonts w:cs="宋体"/>
          <w:b/>
          <w:color w:val="auto"/>
          <w:sz w:val="21"/>
          <w:szCs w:val="21"/>
        </w:rPr>
      </w:pPr>
    </w:p>
    <w:p w14:paraId="5E078D07">
      <w:pPr>
        <w:pStyle w:val="9"/>
        <w:wordWrap w:val="0"/>
        <w:adjustRightInd w:val="0"/>
        <w:snapToGrid w:val="0"/>
        <w:spacing w:before="0" w:beforeAutospacing="0" w:after="0" w:afterAutospacing="0" w:line="360" w:lineRule="auto"/>
        <w:rPr>
          <w:rFonts w:cs="宋体"/>
          <w:b/>
          <w:color w:val="auto"/>
          <w:sz w:val="21"/>
          <w:szCs w:val="21"/>
        </w:rPr>
      </w:pPr>
      <w:r>
        <w:rPr>
          <w:rFonts w:hint="eastAsia" w:cs="宋体"/>
          <w:b/>
          <w:color w:val="auto"/>
          <w:sz w:val="21"/>
          <w:szCs w:val="21"/>
        </w:rPr>
        <w:t>附件：</w:t>
      </w:r>
    </w:p>
    <w:p w14:paraId="65E77CFF">
      <w:pPr>
        <w:pStyle w:val="9"/>
        <w:wordWrap w:val="0"/>
        <w:adjustRightInd w:val="0"/>
        <w:snapToGrid w:val="0"/>
        <w:spacing w:before="0" w:beforeAutospacing="0" w:after="0" w:afterAutospacing="0" w:line="360" w:lineRule="auto"/>
        <w:ind w:firstLine="420" w:firstLineChars="200"/>
        <w:rPr>
          <w:rFonts w:cs="宋体"/>
          <w:bCs/>
          <w:color w:val="auto"/>
          <w:sz w:val="21"/>
          <w:szCs w:val="21"/>
        </w:rPr>
      </w:pPr>
      <w:r>
        <w:rPr>
          <w:rFonts w:hint="eastAsia" w:cs="宋体"/>
          <w:bCs/>
          <w:color w:val="auto"/>
          <w:sz w:val="21"/>
          <w:szCs w:val="21"/>
        </w:rPr>
        <w:t>根据《关于印发《政府采购促进中小企业发展管理办法》的通知》（财库〔2020〕46号）的规定，本项目针对小微企业报价给予10%的扣除，用扣除后的价格参与评审。符合条件的投标人应根据下表中所明确的“标的名称”、“所属行业”进行填写，若填写内容不符，中小企业声明函不予认可。</w:t>
      </w:r>
    </w:p>
    <w:tbl>
      <w:tblPr>
        <w:tblStyle w:val="40"/>
        <w:tblW w:w="6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09"/>
        <w:gridCol w:w="1701"/>
      </w:tblGrid>
      <w:tr w14:paraId="16CB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4309" w:type="dxa"/>
            <w:shd w:val="clear" w:color="auto" w:fill="D7D7D7" w:themeFill="background1" w:themeFillShade="D8"/>
            <w:tcMar>
              <w:top w:w="15" w:type="dxa"/>
              <w:left w:w="15" w:type="dxa"/>
              <w:right w:w="15" w:type="dxa"/>
            </w:tcMar>
            <w:vAlign w:val="center"/>
          </w:tcPr>
          <w:p w14:paraId="5F496452">
            <w:pPr>
              <w:pageBreakBefore w:val="0"/>
              <w:widowControl/>
              <w:kinsoku/>
              <w:overflowPunct/>
              <w:topLinePunct w:val="0"/>
              <w:bidi w:val="0"/>
              <w:adjustRightInd/>
              <w:spacing w:line="480" w:lineRule="exact"/>
              <w:ind w:left="0" w:leftChars="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标的</w:t>
            </w:r>
            <w:r>
              <w:rPr>
                <w:rFonts w:hint="eastAsia" w:ascii="宋体" w:hAnsi="宋体" w:eastAsia="宋体" w:cs="宋体"/>
                <w:b/>
                <w:color w:val="000000" w:themeColor="text1"/>
                <w:szCs w:val="21"/>
                <w:highlight w:val="none"/>
                <w14:textFill>
                  <w14:solidFill>
                    <w14:schemeClr w14:val="tx1"/>
                  </w14:solidFill>
                </w14:textFill>
              </w:rPr>
              <w:t>名称</w:t>
            </w:r>
          </w:p>
        </w:tc>
        <w:tc>
          <w:tcPr>
            <w:tcW w:w="1701" w:type="dxa"/>
            <w:shd w:val="clear" w:color="auto" w:fill="D7D7D7" w:themeFill="background1" w:themeFillShade="D8"/>
            <w:tcMar>
              <w:top w:w="15" w:type="dxa"/>
              <w:left w:w="15" w:type="dxa"/>
              <w:right w:w="15" w:type="dxa"/>
            </w:tcMar>
            <w:vAlign w:val="center"/>
          </w:tcPr>
          <w:p w14:paraId="7798E02A">
            <w:pPr>
              <w:pageBreakBefore w:val="0"/>
              <w:widowControl/>
              <w:kinsoku/>
              <w:overflowPunct/>
              <w:topLinePunct w:val="0"/>
              <w:bidi w:val="0"/>
              <w:adjustRightInd/>
              <w:spacing w:line="480" w:lineRule="exact"/>
              <w:ind w:left="0" w:leftChars="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所属行业</w:t>
            </w:r>
          </w:p>
        </w:tc>
      </w:tr>
      <w:tr w14:paraId="2834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4309" w:type="dxa"/>
            <w:tcMar>
              <w:top w:w="15" w:type="dxa"/>
              <w:left w:w="15" w:type="dxa"/>
              <w:right w:w="15" w:type="dxa"/>
            </w:tcMar>
            <w:vAlign w:val="center"/>
          </w:tcPr>
          <w:p w14:paraId="7EFE3A93">
            <w:pPr>
              <w:pageBreakBefore w:val="0"/>
              <w:widowControl/>
              <w:kinsoku/>
              <w:overflowPunct/>
              <w:topLinePunct w:val="0"/>
              <w:bidi w:val="0"/>
              <w:adjustRightInd/>
              <w:spacing w:line="480" w:lineRule="exact"/>
              <w:ind w:left="0" w:leftChars="0"/>
              <w:jc w:val="center"/>
              <w:textAlignment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彩色多普勒超声诊断仪</w:t>
            </w:r>
          </w:p>
        </w:tc>
        <w:tc>
          <w:tcPr>
            <w:tcW w:w="1701" w:type="dxa"/>
            <w:tcMar>
              <w:top w:w="15" w:type="dxa"/>
              <w:left w:w="15" w:type="dxa"/>
              <w:right w:w="15" w:type="dxa"/>
            </w:tcMar>
            <w:vAlign w:val="center"/>
          </w:tcPr>
          <w:p w14:paraId="22CDF4B7">
            <w:pPr>
              <w:pageBreakBefore w:val="0"/>
              <w:widowControl/>
              <w:kinsoku/>
              <w:overflowPunct/>
              <w:topLinePunct w:val="0"/>
              <w:bidi w:val="0"/>
              <w:adjustRightInd/>
              <w:spacing w:line="480" w:lineRule="exact"/>
              <w:ind w:left="0" w:leftChars="0"/>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制造业</w:t>
            </w:r>
          </w:p>
        </w:tc>
      </w:tr>
    </w:tbl>
    <w:p w14:paraId="59BAF601">
      <w:pPr>
        <w:pStyle w:val="9"/>
        <w:pageBreakBefore w:val="0"/>
        <w:kinsoku/>
        <w:wordWrap w:val="0"/>
        <w:overflowPunct/>
        <w:topLinePunct w:val="0"/>
        <w:autoSpaceDE/>
        <w:autoSpaceDN/>
        <w:bidi w:val="0"/>
        <w:spacing w:before="0" w:beforeAutospacing="0" w:after="0" w:afterAutospacing="0" w:line="480" w:lineRule="exact"/>
        <w:ind w:left="0" w:leftChars="0" w:right="0"/>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6E71CA8">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cs="宋体"/>
          <w:b/>
          <w:color w:val="000000" w:themeColor="text1"/>
          <w:sz w:val="28"/>
          <w:szCs w:val="28"/>
          <w:highlight w:val="none"/>
          <w:lang w:val="en-US" w:eastAsia="zh-CN"/>
          <w14:textFill>
            <w14:solidFill>
              <w14:schemeClr w14:val="tx1"/>
            </w14:solidFill>
          </w14:textFill>
        </w:rPr>
        <w:t>2</w:t>
      </w:r>
    </w:p>
    <w:p w14:paraId="6014F141">
      <w:pPr>
        <w:pageBreakBefore w:val="0"/>
        <w:tabs>
          <w:tab w:val="left" w:pos="5580"/>
        </w:tabs>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《监狱企业证明文件》（</w:t>
      </w:r>
      <w:r>
        <w:rPr>
          <w:rFonts w:hint="eastAsia" w:ascii="宋体" w:hAnsi="宋体" w:eastAsia="宋体" w:cs="宋体"/>
          <w:b/>
          <w:color w:val="000000" w:themeColor="text1"/>
          <w:sz w:val="28"/>
          <w:highlight w:val="none"/>
          <w:lang w:eastAsia="zh-CN"/>
          <w14:textFill>
            <w14:solidFill>
              <w14:schemeClr w14:val="tx1"/>
            </w14:solidFill>
          </w14:textFill>
        </w:rPr>
        <w:t>扫描件加盖投标人电子公章</w:t>
      </w:r>
      <w:r>
        <w:rPr>
          <w:rFonts w:hint="eastAsia" w:ascii="宋体" w:hAnsi="宋体" w:eastAsia="宋体" w:cs="宋体"/>
          <w:b/>
          <w:color w:val="000000" w:themeColor="text1"/>
          <w:sz w:val="28"/>
          <w:highlight w:val="none"/>
          <w14:textFill>
            <w14:solidFill>
              <w14:schemeClr w14:val="tx1"/>
            </w14:solidFill>
          </w14:textFill>
        </w:rPr>
        <w:t>，符合《财政部 司法部关于政府采购支持监狱企业发展有关问题的通知》（财库[2014]68号）价格扣减条件的投标人需提交）</w:t>
      </w:r>
    </w:p>
    <w:p w14:paraId="5B942503">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监狱企业证明文件</w:t>
      </w:r>
    </w:p>
    <w:p w14:paraId="226F6443">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cs="宋体"/>
          <w:b/>
          <w:bCs/>
          <w:kern w:val="0"/>
          <w:szCs w:val="21"/>
        </w:rPr>
        <w:t>（此格式可不填写或删除）</w:t>
      </w:r>
    </w:p>
    <w:p w14:paraId="3F0EBCDE">
      <w:pPr>
        <w:pageBreakBefore w:val="0"/>
        <w:kinsoku/>
        <w:overflowPunct/>
        <w:topLinePunct w:val="0"/>
        <w:autoSpaceDE/>
        <w:autoSpaceDN/>
        <w:bidi w:val="0"/>
        <w:spacing w:line="480" w:lineRule="exact"/>
        <w:ind w:left="0" w:leftChars="0" w:right="0" w:firstLine="420" w:firstLineChars="20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90588B">
      <w:pPr>
        <w:pageBreakBefore w:val="0"/>
        <w:widowControl/>
        <w:kinsoku/>
        <w:overflowPunct/>
        <w:topLinePunct w:val="0"/>
        <w:autoSpaceDE/>
        <w:autoSpaceDN/>
        <w:bidi w:val="0"/>
        <w:spacing w:line="480" w:lineRule="exact"/>
        <w:ind w:left="0" w:leftChars="0" w:right="0" w:firstLine="420" w:firstLineChars="200"/>
        <w:jc w:val="left"/>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40C82477">
      <w:pPr>
        <w:pageBreakBefore w:val="0"/>
        <w:widowControl/>
        <w:kinsoku/>
        <w:overflowPunct/>
        <w:topLinePunct w:val="0"/>
        <w:autoSpaceDE/>
        <w:autoSpaceDN/>
        <w:bidi w:val="0"/>
        <w:spacing w:line="480" w:lineRule="exact"/>
        <w:ind w:left="0" w:leftChars="0" w:right="0"/>
        <w:jc w:val="left"/>
        <w:outlineLvl w:val="9"/>
        <w:rPr>
          <w:rFonts w:hint="eastAsia" w:ascii="宋体" w:hAnsi="宋体" w:eastAsia="宋体" w:cs="宋体"/>
          <w:b/>
          <w:color w:val="000000" w:themeColor="text1"/>
          <w:sz w:val="28"/>
          <w:szCs w:val="28"/>
          <w:highlight w:val="none"/>
          <w14:textFill>
            <w14:solidFill>
              <w14:schemeClr w14:val="tx1"/>
            </w14:solidFill>
          </w14:textFill>
        </w:rPr>
      </w:pPr>
    </w:p>
    <w:p w14:paraId="0BF52BFC">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注：符合条件的监狱企业在参加政府采购活动时，应当按《财政部 司法部关于政府采购支持监狱企业发展有关问题的通知》（财库[2014]68号）提供规定的《监狱企业证明文件》，并对证明文件的真实性负责。</w:t>
      </w: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cs="宋体"/>
          <w:b/>
          <w:color w:val="000000" w:themeColor="text1"/>
          <w:sz w:val="28"/>
          <w:szCs w:val="28"/>
          <w:highlight w:val="none"/>
          <w:lang w:val="en-US" w:eastAsia="zh-CN"/>
          <w14:textFill>
            <w14:solidFill>
              <w14:schemeClr w14:val="tx1"/>
            </w14:solidFill>
          </w14:textFill>
        </w:rPr>
        <w:t>3</w:t>
      </w:r>
    </w:p>
    <w:p w14:paraId="2BCA9620">
      <w:pPr>
        <w:pageBreakBefore w:val="0"/>
        <w:tabs>
          <w:tab w:val="left" w:pos="5580"/>
        </w:tabs>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sz w:val="28"/>
          <w:highlight w:val="none"/>
          <w14:textFill>
            <w14:solidFill>
              <w14:schemeClr w14:val="tx1"/>
            </w14:solidFill>
          </w14:textFill>
        </w:rPr>
      </w:pPr>
      <w:r>
        <w:rPr>
          <w:rFonts w:hint="eastAsia" w:ascii="宋体" w:hAnsi="宋体" w:eastAsia="宋体" w:cs="宋体"/>
          <w:b/>
          <w:color w:val="000000" w:themeColor="text1"/>
          <w:sz w:val="28"/>
          <w:highlight w:val="none"/>
          <w14:textFill>
            <w14:solidFill>
              <w14:schemeClr w14:val="tx1"/>
            </w14:solidFill>
          </w14:textFill>
        </w:rPr>
        <w:t>《残疾人福利性单位声明函》（符合《三部门联合发布关于促进残疾人就业政府采购政策的通知》（财库〔2017〕141号）价格扣减条件的投标人需提交）</w:t>
      </w:r>
    </w:p>
    <w:p w14:paraId="0286086E">
      <w:pPr>
        <w:pageBreakBefore w:val="0"/>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残疾人福利性单位声明函</w:t>
      </w:r>
    </w:p>
    <w:p w14:paraId="3B8ECD34">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cs="宋体"/>
          <w:b/>
          <w:bCs/>
          <w:kern w:val="0"/>
          <w:szCs w:val="21"/>
        </w:rPr>
        <w:t>（此格式可不填写或删除）</w:t>
      </w:r>
    </w:p>
    <w:p w14:paraId="5F2AA575">
      <w:pPr>
        <w:pageBreakBefore w:val="0"/>
        <w:kinsoku/>
        <w:overflowPunct/>
        <w:topLinePunct w:val="0"/>
        <w:autoSpaceDE/>
        <w:autoSpaceDN/>
        <w:bidi w:val="0"/>
        <w:spacing w:line="480" w:lineRule="exact"/>
        <w:ind w:left="0" w:leftChars="0" w:right="0" w:firstLine="444" w:firstLineChars="200"/>
        <w:outlineLvl w:val="9"/>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Cs w:val="21"/>
          <w:highlight w:val="none"/>
          <w14:textFill>
            <w14:solidFill>
              <w14:schemeClr w14:val="tx1"/>
            </w14:solidFill>
          </w14:textFill>
        </w:rPr>
        <w:t>〔2017〕 141</w:t>
      </w:r>
      <w:r>
        <w:rPr>
          <w:rFonts w:hint="eastAsia" w:ascii="宋体" w:hAnsi="宋体" w:eastAsia="宋体" w:cs="宋体"/>
          <w:color w:val="000000" w:themeColor="text1"/>
          <w:spacing w:val="6"/>
          <w:szCs w:val="21"/>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765781">
      <w:pPr>
        <w:pageBreakBefore w:val="0"/>
        <w:kinsoku/>
        <w:overflowPunct/>
        <w:topLinePunct w:val="0"/>
        <w:autoSpaceDE/>
        <w:autoSpaceDN/>
        <w:bidi w:val="0"/>
        <w:spacing w:line="480" w:lineRule="exact"/>
        <w:ind w:left="0" w:leftChars="0" w:right="0" w:firstLine="444" w:firstLineChars="200"/>
        <w:outlineLvl w:val="9"/>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28D6C9FF">
      <w:pPr>
        <w:pageBreakBefore w:val="0"/>
        <w:kinsoku/>
        <w:overflowPunct/>
        <w:topLinePunct w:val="0"/>
        <w:autoSpaceDE/>
        <w:autoSpaceDN/>
        <w:bidi w:val="0"/>
        <w:spacing w:line="480" w:lineRule="exact"/>
        <w:ind w:left="0" w:leftChars="0" w:right="0" w:firstLine="444" w:firstLineChars="200"/>
        <w:outlineLvl w:val="9"/>
        <w:rPr>
          <w:rFonts w:hint="eastAsia" w:ascii="宋体" w:hAnsi="宋体" w:eastAsia="宋体" w:cs="宋体"/>
          <w:color w:val="000000" w:themeColor="text1"/>
          <w:spacing w:val="6"/>
          <w:szCs w:val="21"/>
          <w:highlight w:val="none"/>
          <w14:textFill>
            <w14:solidFill>
              <w14:schemeClr w14:val="tx1"/>
            </w14:solidFill>
          </w14:textFill>
        </w:rPr>
      </w:pPr>
    </w:p>
    <w:p w14:paraId="47177CBD">
      <w:pPr>
        <w:pageBreakBefore w:val="0"/>
        <w:kinsoku/>
        <w:overflowPunct/>
        <w:topLinePunct w:val="0"/>
        <w:autoSpaceDE/>
        <w:autoSpaceDN/>
        <w:bidi w:val="0"/>
        <w:spacing w:line="480" w:lineRule="exact"/>
        <w:ind w:left="0" w:leftChars="0" w:right="0" w:firstLine="444" w:firstLineChars="200"/>
        <w:outlineLvl w:val="9"/>
        <w:rPr>
          <w:rFonts w:hint="eastAsia" w:ascii="宋体" w:hAnsi="宋体" w:eastAsia="宋体" w:cs="宋体"/>
          <w:color w:val="000000" w:themeColor="text1"/>
          <w:spacing w:val="6"/>
          <w:szCs w:val="21"/>
          <w:highlight w:val="none"/>
          <w14:textFill>
            <w14:solidFill>
              <w14:schemeClr w14:val="tx1"/>
            </w14:solidFill>
          </w14:textFill>
        </w:rPr>
      </w:pPr>
    </w:p>
    <w:p w14:paraId="6CE26AC4">
      <w:pPr>
        <w:pageBreakBefore w:val="0"/>
        <w:tabs>
          <w:tab w:val="left" w:pos="4860"/>
        </w:tabs>
        <w:kinsoku/>
        <w:overflowPunct/>
        <w:topLinePunct w:val="0"/>
        <w:autoSpaceDE/>
        <w:autoSpaceDN/>
        <w:bidi w:val="0"/>
        <w:spacing w:line="480" w:lineRule="exact"/>
        <w:ind w:left="0" w:leftChars="0" w:right="0" w:firstLine="444" w:firstLineChars="200"/>
        <w:jc w:val="center"/>
        <w:outlineLvl w:val="9"/>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 xml:space="preserve">               单位名称（盖章）：</w:t>
      </w:r>
    </w:p>
    <w:p w14:paraId="6144582E">
      <w:pPr>
        <w:pageBreakBefore w:val="0"/>
        <w:tabs>
          <w:tab w:val="left" w:pos="4860"/>
        </w:tabs>
        <w:kinsoku/>
        <w:overflowPunct/>
        <w:topLinePunct w:val="0"/>
        <w:autoSpaceDE/>
        <w:autoSpaceDN/>
        <w:bidi w:val="0"/>
        <w:spacing w:line="480" w:lineRule="exact"/>
        <w:ind w:left="0" w:leftChars="0" w:right="0" w:firstLine="444" w:firstLineChars="200"/>
        <w:jc w:val="center"/>
        <w:outlineLvl w:val="9"/>
        <w:rPr>
          <w:rFonts w:hint="eastAsia"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 xml:space="preserve">      日  期：</w:t>
      </w:r>
    </w:p>
    <w:p w14:paraId="2FF95B96">
      <w:pPr>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p>
    <w:p w14:paraId="169B8600">
      <w:pPr>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p>
    <w:p w14:paraId="65BF2145">
      <w:pPr>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p>
    <w:p w14:paraId="28C958E4">
      <w:pPr>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符合条件的残疾人福利性单位在参加政府采购活动时，应当按《三部门联合发布关于促进残疾人就业政府采购政策的通知》（财库〔2017〕141号）提供规定的《残疾人福利性单位声明函》，并对声明的真实性负责。</w:t>
      </w:r>
    </w:p>
    <w:p w14:paraId="2CDFB398">
      <w:pPr>
        <w:pageBreakBefore w:val="0"/>
        <w:widowControl/>
        <w:kinsoku/>
        <w:overflowPunct/>
        <w:topLinePunct w:val="0"/>
        <w:bidi w:val="0"/>
        <w:adjustRightInd w:val="0"/>
        <w:snapToGrid w:val="0"/>
        <w:spacing w:after="0" w:line="360" w:lineRule="auto"/>
        <w:ind w:left="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auto"/>
          <w:sz w:val="28"/>
          <w:szCs w:val="28"/>
          <w:highlight w:val="none"/>
          <w:lang w:val="en-US" w:eastAsia="zh-CN"/>
        </w:rPr>
        <w:t>格式2</w:t>
      </w:r>
      <w:r>
        <w:rPr>
          <w:rFonts w:hint="eastAsia" w:ascii="宋体" w:hAnsi="宋体" w:cs="宋体"/>
          <w:b/>
          <w:color w:val="auto"/>
          <w:sz w:val="28"/>
          <w:szCs w:val="28"/>
          <w:highlight w:val="none"/>
          <w:lang w:val="en-US" w:eastAsia="zh-CN"/>
        </w:rPr>
        <w:t>4</w:t>
      </w:r>
    </w:p>
    <w:p w14:paraId="636CFCA4">
      <w:pPr>
        <w:pageBreakBefore w:val="0"/>
        <w:kinsoku/>
        <w:overflowPunct/>
        <w:topLinePunct w:val="0"/>
        <w:bidi w:val="0"/>
        <w:adjustRightInd w:val="0"/>
        <w:snapToGrid w:val="0"/>
        <w:spacing w:after="0" w:line="360" w:lineRule="auto"/>
        <w:ind w:left="0"/>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关于符合本国产品标准的声明函</w:t>
      </w:r>
    </w:p>
    <w:p w14:paraId="163D7A3F">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color w:val="auto"/>
          <w:kern w:val="0"/>
          <w:sz w:val="21"/>
          <w:szCs w:val="21"/>
          <w:highlight w:val="none"/>
          <w:lang w:val="en-US" w:eastAsia="zh-CN" w:bidi="ar-SA"/>
        </w:rPr>
      </w:pPr>
      <w:r>
        <w:rPr>
          <w:rFonts w:ascii="宋体" w:hAnsi="宋体" w:eastAsia="宋体" w:cs="Times New Roman"/>
          <w:color w:val="auto"/>
          <w:kern w:val="0"/>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7492D13">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i w:val="0"/>
          <w:iCs w:val="0"/>
          <w:color w:val="auto"/>
          <w:kern w:val="0"/>
          <w:sz w:val="21"/>
          <w:szCs w:val="21"/>
          <w:highlight w:val="none"/>
          <w:lang w:val="en-US" w:eastAsia="zh-CN" w:bidi="ar-SA"/>
        </w:rPr>
      </w:pPr>
      <w:r>
        <w:rPr>
          <w:rFonts w:ascii="宋体" w:hAnsi="宋体" w:eastAsia="宋体" w:cs="Times New Roman"/>
          <w:i w:val="0"/>
          <w:iCs w:val="0"/>
          <w:color w:val="auto"/>
          <w:kern w:val="0"/>
          <w:sz w:val="21"/>
          <w:szCs w:val="21"/>
          <w:highlight w:val="none"/>
          <w:lang w:val="en-US" w:eastAsia="zh-CN" w:bidi="ar-SA"/>
        </w:rPr>
        <w:t>1.</w:t>
      </w:r>
      <w:r>
        <w:rPr>
          <w:rStyle w:val="46"/>
          <w:rFonts w:ascii="Times New Roman" w:hAnsi="Times New Roman" w:eastAsia="宋体" w:cs="Times New Roman"/>
          <w:i w:val="0"/>
          <w:iCs w:val="0"/>
          <w:color w:val="auto"/>
          <w:kern w:val="2"/>
          <w:sz w:val="21"/>
          <w:szCs w:val="21"/>
          <w:highlight w:val="none"/>
          <w:lang w:val="en-US" w:eastAsia="zh-CN" w:bidi="ar-SA"/>
        </w:rPr>
        <w:t>（产品名称1）</w:t>
      </w:r>
      <w:r>
        <w:rPr>
          <w:rStyle w:val="46"/>
          <w:rFonts w:ascii="Times New Roman" w:hAnsi="Times New Roman" w:eastAsia="宋体" w:cs="Times New Roman"/>
          <w:i w:val="0"/>
          <w:iCs w:val="0"/>
          <w:color w:val="auto"/>
          <w:kern w:val="2"/>
          <w:sz w:val="21"/>
          <w:szCs w:val="21"/>
          <w:highlight w:val="none"/>
          <w:vertAlign w:val="superscript"/>
          <w:lang w:val="en-US" w:eastAsia="zh-CN" w:bidi="ar-SA"/>
        </w:rPr>
        <w:t>1</w:t>
      </w:r>
      <w:r>
        <w:rPr>
          <w:rFonts w:ascii="宋体" w:hAnsi="宋体" w:eastAsia="宋体" w:cs="Times New Roman"/>
          <w:i w:val="0"/>
          <w:iCs w:val="0"/>
          <w:color w:val="auto"/>
          <w:kern w:val="0"/>
          <w:sz w:val="21"/>
          <w:szCs w:val="21"/>
          <w:highlight w:val="none"/>
          <w:lang w:val="en-US" w:eastAsia="zh-CN" w:bidi="ar-SA"/>
        </w:rPr>
        <w:t>，生产厂为</w:t>
      </w:r>
      <w:r>
        <w:rPr>
          <w:rStyle w:val="46"/>
          <w:rFonts w:ascii="Times New Roman" w:hAnsi="Times New Roman" w:eastAsia="宋体" w:cs="Times New Roman"/>
          <w:i w:val="0"/>
          <w:iCs w:val="0"/>
          <w:color w:val="auto"/>
          <w:kern w:val="2"/>
          <w:sz w:val="21"/>
          <w:szCs w:val="21"/>
          <w:highlight w:val="none"/>
          <w:lang w:val="en-US" w:eastAsia="zh-CN" w:bidi="ar-SA"/>
        </w:rPr>
        <w:t>（厂名）</w:t>
      </w:r>
      <w:r>
        <w:rPr>
          <w:rStyle w:val="46"/>
          <w:rFonts w:ascii="Times New Roman" w:hAnsi="Times New Roman" w:eastAsia="宋体" w:cs="Times New Roman"/>
          <w:i w:val="0"/>
          <w:iCs w:val="0"/>
          <w:color w:val="auto"/>
          <w:kern w:val="2"/>
          <w:sz w:val="21"/>
          <w:szCs w:val="21"/>
          <w:highlight w:val="none"/>
          <w:vertAlign w:val="superscript"/>
          <w:lang w:val="en-US" w:eastAsia="zh-CN" w:bidi="ar-SA"/>
        </w:rPr>
        <w:t>2</w:t>
      </w:r>
      <w:r>
        <w:rPr>
          <w:rFonts w:ascii="宋体" w:hAnsi="宋体" w:eastAsia="宋体" w:cs="Times New Roman"/>
          <w:i w:val="0"/>
          <w:iCs w:val="0"/>
          <w:color w:val="auto"/>
          <w:kern w:val="0"/>
          <w:sz w:val="21"/>
          <w:szCs w:val="21"/>
          <w:highlight w:val="none"/>
          <w:lang w:val="en-US" w:eastAsia="zh-CN" w:bidi="ar-SA"/>
        </w:rPr>
        <w:t>，厂址为</w:t>
      </w:r>
      <w:r>
        <w:rPr>
          <w:rStyle w:val="46"/>
          <w:rFonts w:ascii="Times New Roman" w:hAnsi="Times New Roman" w:eastAsia="宋体" w:cs="Times New Roman"/>
          <w:i w:val="0"/>
          <w:iCs w:val="0"/>
          <w:color w:val="auto"/>
          <w:kern w:val="2"/>
          <w:sz w:val="21"/>
          <w:szCs w:val="21"/>
          <w:highlight w:val="none"/>
          <w:lang w:val="en-US" w:eastAsia="zh-CN" w:bidi="ar-SA"/>
        </w:rPr>
        <w:t>（生产厂址）</w:t>
      </w:r>
      <w:r>
        <w:rPr>
          <w:rFonts w:ascii="宋体" w:hAnsi="宋体" w:eastAsia="宋体" w:cs="Times New Roman"/>
          <w:i w:val="0"/>
          <w:iCs w:val="0"/>
          <w:color w:val="auto"/>
          <w:kern w:val="0"/>
          <w:sz w:val="21"/>
          <w:szCs w:val="21"/>
          <w:highlight w:val="none"/>
          <w:lang w:val="en-US" w:eastAsia="zh-CN" w:bidi="ar-SA"/>
        </w:rPr>
        <w:t>。</w:t>
      </w:r>
      <w:r>
        <w:rPr>
          <w:rStyle w:val="46"/>
          <w:rFonts w:ascii="Times New Roman" w:hAnsi="Times New Roman" w:eastAsia="宋体" w:cs="Times New Roman"/>
          <w:i w:val="0"/>
          <w:iCs w:val="0"/>
          <w:color w:val="auto"/>
          <w:kern w:val="2"/>
          <w:sz w:val="21"/>
          <w:szCs w:val="21"/>
          <w:highlight w:val="none"/>
          <w:lang w:val="en-US" w:eastAsia="zh-CN" w:bidi="ar-SA"/>
        </w:rPr>
        <w:t>（产品名称1）</w:t>
      </w:r>
      <w:r>
        <w:rPr>
          <w:rFonts w:ascii="宋体" w:hAnsi="宋体" w:eastAsia="宋体" w:cs="Times New Roman"/>
          <w:i w:val="0"/>
          <w:iCs w:val="0"/>
          <w:color w:val="auto"/>
          <w:kern w:val="0"/>
          <w:sz w:val="21"/>
          <w:szCs w:val="21"/>
          <w:highlight w:val="none"/>
          <w:lang w:val="en-US" w:eastAsia="zh-CN" w:bidi="ar-SA"/>
        </w:rPr>
        <w:t>的中国境内生产的组件成本占比≥</w:t>
      </w:r>
      <w:r>
        <w:rPr>
          <w:rStyle w:val="46"/>
          <w:rFonts w:ascii="Times New Roman" w:hAnsi="Times New Roman" w:eastAsia="宋体" w:cs="Times New Roman"/>
          <w:i w:val="0"/>
          <w:iCs w:val="0"/>
          <w:color w:val="auto"/>
          <w:kern w:val="2"/>
          <w:sz w:val="21"/>
          <w:szCs w:val="21"/>
          <w:highlight w:val="none"/>
          <w:lang w:val="en-US" w:eastAsia="zh-CN" w:bidi="ar-SA"/>
        </w:rPr>
        <w:t>（规定比例）</w:t>
      </w:r>
      <w:r>
        <w:rPr>
          <w:rStyle w:val="46"/>
          <w:rFonts w:ascii="Times New Roman" w:hAnsi="Times New Roman" w:eastAsia="宋体" w:cs="Times New Roman"/>
          <w:i w:val="0"/>
          <w:iCs w:val="0"/>
          <w:color w:val="auto"/>
          <w:kern w:val="2"/>
          <w:sz w:val="21"/>
          <w:szCs w:val="21"/>
          <w:highlight w:val="none"/>
          <w:vertAlign w:val="superscript"/>
          <w:lang w:val="en-US" w:eastAsia="zh-CN" w:bidi="ar-SA"/>
        </w:rPr>
        <w:t>3</w:t>
      </w:r>
      <w:r>
        <w:rPr>
          <w:rFonts w:ascii="宋体" w:hAnsi="宋体" w:eastAsia="宋体" w:cs="Times New Roman"/>
          <w:i w:val="0"/>
          <w:iCs w:val="0"/>
          <w:color w:val="auto"/>
          <w:kern w:val="0"/>
          <w:sz w:val="21"/>
          <w:szCs w:val="21"/>
          <w:highlight w:val="none"/>
          <w:lang w:val="en-US" w:eastAsia="zh-CN" w:bidi="ar-SA"/>
        </w:rPr>
        <w:t>。</w:t>
      </w:r>
      <w:r>
        <w:rPr>
          <w:rStyle w:val="46"/>
          <w:rFonts w:ascii="Times New Roman" w:hAnsi="Times New Roman" w:eastAsia="宋体" w:cs="Times New Roman"/>
          <w:i w:val="0"/>
          <w:iCs w:val="0"/>
          <w:color w:val="auto"/>
          <w:kern w:val="2"/>
          <w:sz w:val="21"/>
          <w:szCs w:val="21"/>
          <w:highlight w:val="none"/>
          <w:lang w:val="en-US" w:eastAsia="zh-CN" w:bidi="ar-SA"/>
        </w:rPr>
        <w:t>（产品名称1）</w:t>
      </w:r>
      <w:r>
        <w:rPr>
          <w:rFonts w:ascii="宋体" w:hAnsi="宋体" w:eastAsia="宋体" w:cs="Times New Roman"/>
          <w:i w:val="0"/>
          <w:iCs w:val="0"/>
          <w:color w:val="auto"/>
          <w:kern w:val="0"/>
          <w:sz w:val="21"/>
          <w:szCs w:val="21"/>
          <w:highlight w:val="none"/>
          <w:lang w:val="en-US" w:eastAsia="zh-CN" w:bidi="ar-SA"/>
        </w:rPr>
        <w:t>的</w:t>
      </w:r>
      <w:r>
        <w:rPr>
          <w:rStyle w:val="46"/>
          <w:rFonts w:ascii="Times New Roman" w:hAnsi="Times New Roman" w:eastAsia="宋体" w:cs="Times New Roman"/>
          <w:i w:val="0"/>
          <w:iCs w:val="0"/>
          <w:color w:val="auto"/>
          <w:kern w:val="2"/>
          <w:sz w:val="21"/>
          <w:szCs w:val="21"/>
          <w:highlight w:val="none"/>
          <w:lang w:val="en-US" w:eastAsia="zh-CN" w:bidi="ar-SA"/>
        </w:rPr>
        <w:t>（关键组件）</w:t>
      </w:r>
      <w:r>
        <w:rPr>
          <w:rStyle w:val="46"/>
          <w:rFonts w:ascii="Times New Roman" w:hAnsi="Times New Roman" w:eastAsia="宋体" w:cs="Times New Roman"/>
          <w:i w:val="0"/>
          <w:iCs w:val="0"/>
          <w:color w:val="auto"/>
          <w:kern w:val="2"/>
          <w:sz w:val="21"/>
          <w:szCs w:val="21"/>
          <w:highlight w:val="none"/>
          <w:vertAlign w:val="superscript"/>
          <w:lang w:val="en-US" w:eastAsia="zh-CN" w:bidi="ar-SA"/>
        </w:rPr>
        <w:t>4</w:t>
      </w:r>
      <w:r>
        <w:rPr>
          <w:rFonts w:ascii="宋体" w:hAnsi="宋体" w:eastAsia="宋体" w:cs="Times New Roman"/>
          <w:i w:val="0"/>
          <w:iCs w:val="0"/>
          <w:color w:val="auto"/>
          <w:kern w:val="0"/>
          <w:sz w:val="21"/>
          <w:szCs w:val="21"/>
          <w:highlight w:val="none"/>
          <w:lang w:val="en-US" w:eastAsia="zh-CN" w:bidi="ar-SA"/>
        </w:rPr>
        <w:t>在中国境内生产。</w:t>
      </w:r>
      <w:r>
        <w:rPr>
          <w:rStyle w:val="46"/>
          <w:rFonts w:ascii="Times New Roman" w:hAnsi="Times New Roman" w:eastAsia="宋体" w:cs="Times New Roman"/>
          <w:i w:val="0"/>
          <w:iCs w:val="0"/>
          <w:color w:val="auto"/>
          <w:kern w:val="2"/>
          <w:sz w:val="21"/>
          <w:szCs w:val="21"/>
          <w:highlight w:val="none"/>
          <w:lang w:val="en-US" w:eastAsia="zh-CN" w:bidi="ar-SA"/>
        </w:rPr>
        <w:t>（产品名称1）</w:t>
      </w:r>
      <w:r>
        <w:rPr>
          <w:rFonts w:ascii="宋体" w:hAnsi="宋体" w:eastAsia="宋体" w:cs="Times New Roman"/>
          <w:i w:val="0"/>
          <w:iCs w:val="0"/>
          <w:color w:val="auto"/>
          <w:kern w:val="0"/>
          <w:sz w:val="21"/>
          <w:szCs w:val="21"/>
          <w:highlight w:val="none"/>
          <w:lang w:val="en-US" w:eastAsia="zh-CN" w:bidi="ar-SA"/>
        </w:rPr>
        <w:t>的</w:t>
      </w:r>
      <w:r>
        <w:rPr>
          <w:rStyle w:val="46"/>
          <w:rFonts w:ascii="Times New Roman" w:hAnsi="Times New Roman" w:eastAsia="宋体" w:cs="Times New Roman"/>
          <w:i w:val="0"/>
          <w:iCs w:val="0"/>
          <w:color w:val="auto"/>
          <w:kern w:val="2"/>
          <w:sz w:val="21"/>
          <w:szCs w:val="21"/>
          <w:highlight w:val="none"/>
          <w:lang w:val="en-US" w:eastAsia="zh-CN" w:bidi="ar-SA"/>
        </w:rPr>
        <w:t>（关键工序）</w:t>
      </w:r>
      <w:r>
        <w:rPr>
          <w:rStyle w:val="46"/>
          <w:rFonts w:ascii="Times New Roman" w:hAnsi="Times New Roman" w:eastAsia="宋体" w:cs="Times New Roman"/>
          <w:i w:val="0"/>
          <w:iCs w:val="0"/>
          <w:color w:val="auto"/>
          <w:kern w:val="2"/>
          <w:sz w:val="21"/>
          <w:szCs w:val="21"/>
          <w:highlight w:val="none"/>
          <w:vertAlign w:val="superscript"/>
          <w:lang w:val="en-US" w:eastAsia="zh-CN" w:bidi="ar-SA"/>
        </w:rPr>
        <w:t>5</w:t>
      </w:r>
      <w:r>
        <w:rPr>
          <w:rFonts w:ascii="宋体" w:hAnsi="宋体" w:eastAsia="宋体" w:cs="Times New Roman"/>
          <w:i w:val="0"/>
          <w:iCs w:val="0"/>
          <w:color w:val="auto"/>
          <w:kern w:val="0"/>
          <w:sz w:val="21"/>
          <w:szCs w:val="21"/>
          <w:highlight w:val="none"/>
          <w:lang w:val="en-US" w:eastAsia="zh-CN" w:bidi="ar-SA"/>
        </w:rPr>
        <w:t>在中国境内完成。</w:t>
      </w:r>
    </w:p>
    <w:p w14:paraId="7A64BA7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i w:val="0"/>
          <w:iCs w:val="0"/>
          <w:color w:val="auto"/>
          <w:kern w:val="0"/>
          <w:sz w:val="21"/>
          <w:szCs w:val="21"/>
          <w:highlight w:val="none"/>
          <w:lang w:val="en-US" w:eastAsia="zh-CN" w:bidi="ar-SA"/>
        </w:rPr>
      </w:pPr>
      <w:r>
        <w:rPr>
          <w:rFonts w:ascii="宋体" w:hAnsi="宋体" w:eastAsia="宋体" w:cs="Times New Roman"/>
          <w:i w:val="0"/>
          <w:iCs w:val="0"/>
          <w:color w:val="auto"/>
          <w:kern w:val="0"/>
          <w:sz w:val="21"/>
          <w:szCs w:val="21"/>
          <w:highlight w:val="none"/>
          <w:lang w:val="en-US" w:eastAsia="zh-CN" w:bidi="ar-SA"/>
        </w:rPr>
        <w:t>2.</w:t>
      </w:r>
      <w:r>
        <w:rPr>
          <w:rStyle w:val="46"/>
          <w:rFonts w:ascii="Times New Roman" w:hAnsi="Times New Roman" w:eastAsia="宋体" w:cs="Times New Roman"/>
          <w:i w:val="0"/>
          <w:iCs w:val="0"/>
          <w:color w:val="auto"/>
          <w:kern w:val="2"/>
          <w:sz w:val="21"/>
          <w:szCs w:val="21"/>
          <w:highlight w:val="none"/>
          <w:lang w:val="en-US" w:eastAsia="zh-CN" w:bidi="ar-SA"/>
        </w:rPr>
        <w:t>（产品名称2）</w:t>
      </w:r>
      <w:r>
        <w:rPr>
          <w:rFonts w:ascii="宋体" w:hAnsi="宋体" w:eastAsia="宋体" w:cs="Times New Roman"/>
          <w:i w:val="0"/>
          <w:iCs w:val="0"/>
          <w:color w:val="auto"/>
          <w:kern w:val="0"/>
          <w:sz w:val="21"/>
          <w:szCs w:val="21"/>
          <w:highlight w:val="none"/>
          <w:lang w:val="en-US" w:eastAsia="zh-CN" w:bidi="ar-SA"/>
        </w:rPr>
        <w:t>，生产厂为</w:t>
      </w:r>
      <w:r>
        <w:rPr>
          <w:rStyle w:val="46"/>
          <w:rFonts w:ascii="Times New Roman" w:hAnsi="Times New Roman" w:eastAsia="宋体" w:cs="Times New Roman"/>
          <w:i w:val="0"/>
          <w:iCs w:val="0"/>
          <w:color w:val="auto"/>
          <w:kern w:val="2"/>
          <w:sz w:val="21"/>
          <w:szCs w:val="21"/>
          <w:highlight w:val="none"/>
          <w:lang w:val="en-US" w:eastAsia="zh-CN" w:bidi="ar-SA"/>
        </w:rPr>
        <w:t>（厂名）</w:t>
      </w:r>
      <w:r>
        <w:rPr>
          <w:rFonts w:ascii="宋体" w:hAnsi="宋体" w:eastAsia="宋体" w:cs="Times New Roman"/>
          <w:i w:val="0"/>
          <w:iCs w:val="0"/>
          <w:color w:val="auto"/>
          <w:kern w:val="0"/>
          <w:sz w:val="21"/>
          <w:szCs w:val="21"/>
          <w:highlight w:val="none"/>
          <w:lang w:val="en-US" w:eastAsia="zh-CN" w:bidi="ar-SA"/>
        </w:rPr>
        <w:t>，厂址为</w:t>
      </w:r>
      <w:r>
        <w:rPr>
          <w:rStyle w:val="46"/>
          <w:rFonts w:ascii="Times New Roman" w:hAnsi="Times New Roman" w:eastAsia="宋体" w:cs="Times New Roman"/>
          <w:i w:val="0"/>
          <w:iCs w:val="0"/>
          <w:color w:val="auto"/>
          <w:kern w:val="2"/>
          <w:sz w:val="21"/>
          <w:szCs w:val="21"/>
          <w:highlight w:val="none"/>
          <w:lang w:val="en-US" w:eastAsia="zh-CN" w:bidi="ar-SA"/>
        </w:rPr>
        <w:t>（生产厂址）</w:t>
      </w:r>
      <w:r>
        <w:rPr>
          <w:rFonts w:ascii="宋体" w:hAnsi="宋体" w:eastAsia="宋体" w:cs="Times New Roman"/>
          <w:i w:val="0"/>
          <w:iCs w:val="0"/>
          <w:color w:val="auto"/>
          <w:kern w:val="0"/>
          <w:sz w:val="21"/>
          <w:szCs w:val="21"/>
          <w:highlight w:val="none"/>
          <w:lang w:val="en-US" w:eastAsia="zh-CN" w:bidi="ar-SA"/>
        </w:rPr>
        <w:t>。</w:t>
      </w:r>
      <w:r>
        <w:rPr>
          <w:rStyle w:val="46"/>
          <w:rFonts w:ascii="Times New Roman" w:hAnsi="Times New Roman" w:eastAsia="宋体" w:cs="Times New Roman"/>
          <w:i w:val="0"/>
          <w:iCs w:val="0"/>
          <w:color w:val="auto"/>
          <w:kern w:val="2"/>
          <w:sz w:val="21"/>
          <w:szCs w:val="21"/>
          <w:highlight w:val="none"/>
          <w:lang w:val="en-US" w:eastAsia="zh-CN" w:bidi="ar-SA"/>
        </w:rPr>
        <w:t>（产品名称2）</w:t>
      </w:r>
      <w:r>
        <w:rPr>
          <w:rFonts w:ascii="宋体" w:hAnsi="宋体" w:eastAsia="宋体" w:cs="Times New Roman"/>
          <w:i w:val="0"/>
          <w:iCs w:val="0"/>
          <w:color w:val="auto"/>
          <w:kern w:val="0"/>
          <w:sz w:val="21"/>
          <w:szCs w:val="21"/>
          <w:highlight w:val="none"/>
          <w:lang w:val="en-US" w:eastAsia="zh-CN" w:bidi="ar-SA"/>
        </w:rPr>
        <w:t>的中国境内生产的组件成本占比≥</w:t>
      </w:r>
      <w:r>
        <w:rPr>
          <w:rStyle w:val="46"/>
          <w:rFonts w:ascii="Times New Roman" w:hAnsi="Times New Roman" w:eastAsia="宋体" w:cs="Times New Roman"/>
          <w:i w:val="0"/>
          <w:iCs w:val="0"/>
          <w:color w:val="auto"/>
          <w:kern w:val="2"/>
          <w:sz w:val="21"/>
          <w:szCs w:val="21"/>
          <w:highlight w:val="none"/>
          <w:lang w:val="en-US" w:eastAsia="zh-CN" w:bidi="ar-SA"/>
        </w:rPr>
        <w:t>（规定比例）</w:t>
      </w:r>
      <w:r>
        <w:rPr>
          <w:rFonts w:ascii="宋体" w:hAnsi="宋体" w:eastAsia="宋体" w:cs="Times New Roman"/>
          <w:i w:val="0"/>
          <w:iCs w:val="0"/>
          <w:color w:val="auto"/>
          <w:kern w:val="0"/>
          <w:sz w:val="21"/>
          <w:szCs w:val="21"/>
          <w:highlight w:val="none"/>
          <w:lang w:val="en-US" w:eastAsia="zh-CN" w:bidi="ar-SA"/>
        </w:rPr>
        <w:t>。</w:t>
      </w:r>
      <w:r>
        <w:rPr>
          <w:rStyle w:val="46"/>
          <w:rFonts w:ascii="Times New Roman" w:hAnsi="Times New Roman" w:eastAsia="宋体" w:cs="Times New Roman"/>
          <w:i w:val="0"/>
          <w:iCs w:val="0"/>
          <w:color w:val="auto"/>
          <w:kern w:val="2"/>
          <w:sz w:val="21"/>
          <w:szCs w:val="21"/>
          <w:highlight w:val="none"/>
          <w:lang w:val="en-US" w:eastAsia="zh-CN" w:bidi="ar-SA"/>
        </w:rPr>
        <w:t>（产品名称2）</w:t>
      </w:r>
      <w:r>
        <w:rPr>
          <w:rFonts w:ascii="宋体" w:hAnsi="宋体" w:eastAsia="宋体" w:cs="Times New Roman"/>
          <w:i w:val="0"/>
          <w:iCs w:val="0"/>
          <w:color w:val="auto"/>
          <w:kern w:val="0"/>
          <w:sz w:val="21"/>
          <w:szCs w:val="21"/>
          <w:highlight w:val="none"/>
          <w:lang w:val="en-US" w:eastAsia="zh-CN" w:bidi="ar-SA"/>
        </w:rPr>
        <w:t>的</w:t>
      </w:r>
      <w:r>
        <w:rPr>
          <w:rStyle w:val="46"/>
          <w:rFonts w:ascii="Times New Roman" w:hAnsi="Times New Roman" w:eastAsia="宋体" w:cs="Times New Roman"/>
          <w:i w:val="0"/>
          <w:iCs w:val="0"/>
          <w:color w:val="auto"/>
          <w:kern w:val="2"/>
          <w:sz w:val="21"/>
          <w:szCs w:val="21"/>
          <w:highlight w:val="none"/>
          <w:lang w:val="en-US" w:eastAsia="zh-CN" w:bidi="ar-SA"/>
        </w:rPr>
        <w:t>（关键组件）</w:t>
      </w:r>
      <w:r>
        <w:rPr>
          <w:rFonts w:ascii="宋体" w:hAnsi="宋体" w:eastAsia="宋体" w:cs="Times New Roman"/>
          <w:i w:val="0"/>
          <w:iCs w:val="0"/>
          <w:color w:val="auto"/>
          <w:kern w:val="0"/>
          <w:sz w:val="21"/>
          <w:szCs w:val="21"/>
          <w:highlight w:val="none"/>
          <w:lang w:val="en-US" w:eastAsia="zh-CN" w:bidi="ar-SA"/>
        </w:rPr>
        <w:t>在中国境内生产。</w:t>
      </w:r>
      <w:r>
        <w:rPr>
          <w:rStyle w:val="46"/>
          <w:rFonts w:ascii="Times New Roman" w:hAnsi="Times New Roman" w:eastAsia="宋体" w:cs="Times New Roman"/>
          <w:i w:val="0"/>
          <w:iCs w:val="0"/>
          <w:color w:val="auto"/>
          <w:kern w:val="2"/>
          <w:sz w:val="21"/>
          <w:szCs w:val="21"/>
          <w:highlight w:val="none"/>
          <w:lang w:val="en-US" w:eastAsia="zh-CN" w:bidi="ar-SA"/>
        </w:rPr>
        <w:t>（产品名称2）</w:t>
      </w:r>
      <w:r>
        <w:rPr>
          <w:rFonts w:ascii="宋体" w:hAnsi="宋体" w:eastAsia="宋体" w:cs="Times New Roman"/>
          <w:i w:val="0"/>
          <w:iCs w:val="0"/>
          <w:color w:val="auto"/>
          <w:kern w:val="0"/>
          <w:sz w:val="21"/>
          <w:szCs w:val="21"/>
          <w:highlight w:val="none"/>
          <w:lang w:val="en-US" w:eastAsia="zh-CN" w:bidi="ar-SA"/>
        </w:rPr>
        <w:t>的</w:t>
      </w:r>
      <w:r>
        <w:rPr>
          <w:rStyle w:val="46"/>
          <w:rFonts w:ascii="Times New Roman" w:hAnsi="Times New Roman" w:eastAsia="宋体" w:cs="Times New Roman"/>
          <w:i w:val="0"/>
          <w:iCs w:val="0"/>
          <w:color w:val="auto"/>
          <w:kern w:val="2"/>
          <w:sz w:val="21"/>
          <w:szCs w:val="21"/>
          <w:highlight w:val="none"/>
          <w:lang w:val="en-US" w:eastAsia="zh-CN" w:bidi="ar-SA"/>
        </w:rPr>
        <w:t>（关键工序）</w:t>
      </w:r>
      <w:r>
        <w:rPr>
          <w:rFonts w:ascii="宋体" w:hAnsi="宋体" w:eastAsia="宋体" w:cs="Times New Roman"/>
          <w:i w:val="0"/>
          <w:iCs w:val="0"/>
          <w:color w:val="auto"/>
          <w:kern w:val="0"/>
          <w:sz w:val="21"/>
          <w:szCs w:val="21"/>
          <w:highlight w:val="none"/>
          <w:lang w:val="en-US" w:eastAsia="zh-CN" w:bidi="ar-SA"/>
        </w:rPr>
        <w:t>在中国境内完成。</w:t>
      </w:r>
    </w:p>
    <w:p w14:paraId="18107CA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Fonts w:ascii="宋体" w:hAnsi="宋体" w:eastAsia="宋体" w:cs="Times New Roman"/>
          <w:i w:val="0"/>
          <w:iCs w:val="0"/>
          <w:color w:val="auto"/>
          <w:kern w:val="0"/>
          <w:sz w:val="21"/>
          <w:szCs w:val="21"/>
          <w:highlight w:val="none"/>
          <w:lang w:val="en-US" w:eastAsia="zh-CN" w:bidi="ar-SA"/>
        </w:rPr>
      </w:pPr>
      <w:r>
        <w:rPr>
          <w:rFonts w:ascii="宋体" w:hAnsi="宋体" w:eastAsia="宋体" w:cs="Times New Roman"/>
          <w:i w:val="0"/>
          <w:iCs w:val="0"/>
          <w:color w:val="auto"/>
          <w:kern w:val="0"/>
          <w:sz w:val="21"/>
          <w:szCs w:val="21"/>
          <w:highlight w:val="none"/>
          <w:lang w:val="en-US" w:eastAsia="zh-CN" w:bidi="ar-SA"/>
        </w:rPr>
        <w:t>……</w:t>
      </w:r>
    </w:p>
    <w:p w14:paraId="0D9690CE">
      <w:pPr>
        <w:pageBreakBefore w:val="0"/>
        <w:kinsoku/>
        <w:overflowPunct/>
        <w:topLinePunct w:val="0"/>
        <w:bidi w:val="0"/>
        <w:adjustRightInd w:val="0"/>
        <w:snapToGrid w:val="0"/>
        <w:spacing w:after="0" w:line="360" w:lineRule="auto"/>
        <w:ind w:left="0" w:firstLine="420" w:firstLineChars="200"/>
        <w:rPr>
          <w:rFonts w:hint="eastAsia" w:ascii="宋体" w:hAnsi="宋体" w:eastAsia="宋体" w:cs="宋体"/>
          <w:color w:val="auto"/>
          <w:spacing w:val="6"/>
          <w:szCs w:val="21"/>
          <w:highlight w:val="none"/>
        </w:rPr>
      </w:pPr>
      <w:r>
        <w:rPr>
          <w:rFonts w:ascii="Times New Roman" w:hAnsi="Times New Roman" w:eastAsia="宋体" w:cs="Times New Roman"/>
          <w:color w:val="auto"/>
          <w:highlight w:val="none"/>
        </w:rPr>
        <w:t>本公司（单位）对上述声明内容的真实性负责。如有虚假，愿承担相应法律责任。</w:t>
      </w:r>
    </w:p>
    <w:p w14:paraId="02434A77">
      <w:pPr>
        <w:pageBreakBefore w:val="0"/>
        <w:kinsoku/>
        <w:overflowPunct/>
        <w:topLinePunct w:val="0"/>
        <w:bidi w:val="0"/>
        <w:adjustRightInd w:val="0"/>
        <w:snapToGrid w:val="0"/>
        <w:spacing w:after="0" w:line="360" w:lineRule="auto"/>
        <w:ind w:left="0" w:firstLine="444" w:firstLineChars="200"/>
        <w:rPr>
          <w:rFonts w:hint="eastAsia" w:ascii="宋体" w:hAnsi="宋体" w:eastAsia="宋体" w:cs="宋体"/>
          <w:color w:val="auto"/>
          <w:spacing w:val="6"/>
          <w:szCs w:val="21"/>
          <w:highlight w:val="none"/>
        </w:rPr>
      </w:pPr>
    </w:p>
    <w:p w14:paraId="3613185B">
      <w:pPr>
        <w:pageBreakBefore w:val="0"/>
        <w:kinsoku/>
        <w:overflowPunct/>
        <w:topLinePunct w:val="0"/>
        <w:bidi w:val="0"/>
        <w:adjustRightInd w:val="0"/>
        <w:snapToGrid w:val="0"/>
        <w:spacing w:after="0" w:line="360" w:lineRule="auto"/>
        <w:ind w:left="0" w:firstLine="444" w:firstLineChars="200"/>
        <w:rPr>
          <w:rFonts w:hint="eastAsia" w:ascii="宋体" w:hAnsi="宋体" w:eastAsia="宋体" w:cs="宋体"/>
          <w:color w:val="auto"/>
          <w:spacing w:val="6"/>
          <w:szCs w:val="21"/>
          <w:highlight w:val="none"/>
        </w:rPr>
      </w:pPr>
    </w:p>
    <w:p w14:paraId="613A236D">
      <w:pPr>
        <w:pageBreakBefore w:val="0"/>
        <w:tabs>
          <w:tab w:val="left" w:pos="4860"/>
        </w:tabs>
        <w:kinsoku/>
        <w:overflowPunct/>
        <w:topLinePunct w:val="0"/>
        <w:bidi w:val="0"/>
        <w:adjustRightInd w:val="0"/>
        <w:snapToGrid w:val="0"/>
        <w:spacing w:after="0" w:line="360" w:lineRule="auto"/>
        <w:ind w:left="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公司（单位）名称（盖电子公章）：　        </w:t>
      </w:r>
    </w:p>
    <w:p w14:paraId="0530130E">
      <w:pPr>
        <w:pageBreakBefore w:val="0"/>
        <w:tabs>
          <w:tab w:val="left" w:pos="4860"/>
        </w:tabs>
        <w:kinsoku/>
        <w:overflowPunct/>
        <w:topLinePunct w:val="0"/>
        <w:bidi w:val="0"/>
        <w:adjustRightInd w:val="0"/>
        <w:snapToGrid w:val="0"/>
        <w:spacing w:after="0" w:line="360" w:lineRule="auto"/>
        <w:ind w:left="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日期：　     年　  月　  日</w:t>
      </w:r>
    </w:p>
    <w:p w14:paraId="7F4304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left"/>
        <w:rPr>
          <w:rFonts w:ascii="宋体" w:hAnsi="宋体" w:eastAsia="宋体" w:cs="Times New Roman"/>
          <w:color w:val="auto"/>
          <w:kern w:val="0"/>
          <w:sz w:val="24"/>
          <w:szCs w:val="24"/>
          <w:highlight w:val="none"/>
          <w:lang w:val="en-US" w:eastAsia="zh-CN" w:bidi="ar-SA"/>
        </w:rPr>
      </w:pPr>
      <w:r>
        <w:rPr>
          <w:rFonts w:ascii="宋体" w:hAnsi="宋体" w:eastAsia="宋体" w:cs="Times New Roman"/>
          <w:color w:val="auto"/>
          <w:kern w:val="0"/>
          <w:sz w:val="24"/>
          <w:szCs w:val="24"/>
          <w:highlight w:val="none"/>
          <w:lang w:val="en-US" w:eastAsia="zh-CN" w:bidi="ar-SA"/>
        </w:rPr>
        <w:t>__________________</w:t>
      </w:r>
    </w:p>
    <w:p w14:paraId="0D86208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46"/>
          <w:rFonts w:hint="eastAsia" w:ascii="宋体" w:hAnsi="宋体" w:eastAsia="宋体" w:cs="宋体"/>
          <w:i w:val="0"/>
          <w:iCs w:val="0"/>
          <w:color w:val="auto"/>
          <w:kern w:val="0"/>
          <w:sz w:val="21"/>
          <w:szCs w:val="21"/>
          <w:highlight w:val="none"/>
          <w:lang w:val="en-US" w:eastAsia="zh-CN" w:bidi="ar-SA"/>
        </w:rPr>
      </w:pPr>
      <w:r>
        <w:rPr>
          <w:rStyle w:val="46"/>
          <w:rFonts w:hint="eastAsia" w:ascii="宋体" w:hAnsi="宋体" w:eastAsia="宋体" w:cs="宋体"/>
          <w:i w:val="0"/>
          <w:iCs w:val="0"/>
          <w:color w:val="auto"/>
          <w:kern w:val="2"/>
          <w:sz w:val="21"/>
          <w:szCs w:val="21"/>
          <w:highlight w:val="none"/>
          <w:lang w:val="en-US" w:eastAsia="zh-CN" w:bidi="ar-SA"/>
        </w:rPr>
        <w:t>1.产品如有型号，请在“产品名称”栏一并填写。</w:t>
      </w:r>
    </w:p>
    <w:p w14:paraId="2F545C5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46"/>
          <w:rFonts w:hint="eastAsia" w:ascii="宋体" w:hAnsi="宋体" w:eastAsia="宋体" w:cs="宋体"/>
          <w:i w:val="0"/>
          <w:iCs w:val="0"/>
          <w:color w:val="auto"/>
          <w:kern w:val="0"/>
          <w:sz w:val="21"/>
          <w:szCs w:val="21"/>
          <w:highlight w:val="none"/>
          <w:lang w:val="en-US" w:eastAsia="zh-CN" w:bidi="ar-SA"/>
        </w:rPr>
      </w:pPr>
      <w:r>
        <w:rPr>
          <w:rStyle w:val="46"/>
          <w:rFonts w:hint="eastAsia" w:ascii="宋体" w:hAnsi="宋体" w:eastAsia="宋体" w:cs="宋体"/>
          <w:i w:val="0"/>
          <w:iCs w:val="0"/>
          <w:color w:val="auto"/>
          <w:kern w:val="2"/>
          <w:sz w:val="21"/>
          <w:szCs w:val="21"/>
          <w:highlight w:val="none"/>
          <w:lang w:val="en-US" w:eastAsia="zh-CN" w:bidi="ar-SA"/>
        </w:rPr>
        <w:t>2.生产厂名与厂址应与生产厂营业执照载明的相关信息保持一致。</w:t>
      </w:r>
    </w:p>
    <w:p w14:paraId="1D397A65">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46"/>
          <w:rFonts w:hint="eastAsia" w:ascii="宋体" w:hAnsi="宋体" w:eastAsia="宋体" w:cs="宋体"/>
          <w:i w:val="0"/>
          <w:iCs w:val="0"/>
          <w:color w:val="auto"/>
          <w:kern w:val="0"/>
          <w:sz w:val="21"/>
          <w:szCs w:val="21"/>
          <w:highlight w:val="none"/>
          <w:lang w:val="en-US" w:eastAsia="zh-CN" w:bidi="ar-SA"/>
        </w:rPr>
      </w:pPr>
      <w:r>
        <w:rPr>
          <w:rStyle w:val="46"/>
          <w:rFonts w:hint="eastAsia" w:ascii="宋体" w:hAnsi="宋体" w:eastAsia="宋体" w:cs="宋体"/>
          <w:i w:val="0"/>
          <w:iCs w:val="0"/>
          <w:color w:val="auto"/>
          <w:kern w:val="2"/>
          <w:sz w:val="21"/>
          <w:szCs w:val="21"/>
          <w:highlight w:val="none"/>
          <w:lang w:val="en-US" w:eastAsia="zh-CN" w:bidi="ar-SA"/>
        </w:rPr>
        <w:t>3.该产品的中国境内生产的组件成本占比相关要求实施前，“规定比例”栏可不填，下同。</w:t>
      </w:r>
    </w:p>
    <w:p w14:paraId="2B68489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46"/>
          <w:rFonts w:hint="eastAsia" w:ascii="宋体" w:hAnsi="宋体" w:eastAsia="宋体" w:cs="宋体"/>
          <w:i w:val="0"/>
          <w:iCs w:val="0"/>
          <w:color w:val="auto"/>
          <w:kern w:val="0"/>
          <w:sz w:val="21"/>
          <w:szCs w:val="21"/>
          <w:highlight w:val="none"/>
          <w:lang w:val="en-US" w:eastAsia="zh-CN" w:bidi="ar-SA"/>
        </w:rPr>
      </w:pPr>
      <w:r>
        <w:rPr>
          <w:rStyle w:val="46"/>
          <w:rFonts w:hint="eastAsia" w:ascii="宋体" w:hAnsi="宋体" w:eastAsia="宋体" w:cs="宋体"/>
          <w:i w:val="0"/>
          <w:iCs w:val="0"/>
          <w:color w:val="auto"/>
          <w:kern w:val="2"/>
          <w:sz w:val="21"/>
          <w:szCs w:val="21"/>
          <w:highlight w:val="none"/>
          <w:lang w:val="en-US" w:eastAsia="zh-CN" w:bidi="ar-SA"/>
        </w:rPr>
        <w:t>4.该产品的关键组件要求实施前，“关键组件”栏可不填，下同。</w:t>
      </w:r>
    </w:p>
    <w:p w14:paraId="0CB7B212">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jc w:val="left"/>
        <w:rPr>
          <w:rStyle w:val="46"/>
          <w:rFonts w:hint="eastAsia" w:ascii="宋体" w:hAnsi="宋体" w:eastAsia="宋体" w:cs="宋体"/>
          <w:i w:val="0"/>
          <w:iCs w:val="0"/>
          <w:color w:val="auto"/>
          <w:kern w:val="0"/>
          <w:sz w:val="21"/>
          <w:szCs w:val="21"/>
          <w:highlight w:val="none"/>
          <w:lang w:val="en-US" w:eastAsia="zh-CN" w:bidi="ar-SA"/>
        </w:rPr>
      </w:pPr>
      <w:r>
        <w:rPr>
          <w:rStyle w:val="46"/>
          <w:rFonts w:hint="eastAsia" w:ascii="宋体" w:hAnsi="宋体" w:eastAsia="宋体" w:cs="宋体"/>
          <w:i w:val="0"/>
          <w:iCs w:val="0"/>
          <w:color w:val="auto"/>
          <w:kern w:val="2"/>
          <w:sz w:val="21"/>
          <w:szCs w:val="21"/>
          <w:highlight w:val="none"/>
          <w:lang w:val="en-US" w:eastAsia="zh-CN" w:bidi="ar-SA"/>
        </w:rPr>
        <w:t>5.该产品的关键工序要求实施前，“关键工序”栏可不填，下同。</w:t>
      </w:r>
    </w:p>
    <w:p w14:paraId="50A828DF">
      <w:pPr>
        <w:pageBreakBefore w:val="0"/>
        <w:kinsoku/>
        <w:overflowPunct/>
        <w:topLinePunct w:val="0"/>
        <w:bidi w:val="0"/>
        <w:adjustRightInd w:val="0"/>
        <w:snapToGrid w:val="0"/>
        <w:spacing w:after="0" w:line="360" w:lineRule="auto"/>
        <w:ind w:left="0"/>
        <w:rPr>
          <w:rFonts w:hint="eastAsia" w:ascii="Times New Roman" w:hAnsi="Times New Roman" w:eastAsia="宋体" w:cs="Times New Roman"/>
          <w:sz w:val="21"/>
          <w:szCs w:val="21"/>
          <w:highlight w:val="none"/>
        </w:rPr>
      </w:pPr>
    </w:p>
    <w:p w14:paraId="0F301151">
      <w:pPr>
        <w:pageBreakBefore w:val="0"/>
        <w:widowControl/>
        <w:kinsoku/>
        <w:overflowPunct/>
        <w:topLinePunct w:val="0"/>
        <w:bidi w:val="0"/>
        <w:adjustRightInd w:val="0"/>
        <w:snapToGrid w:val="0"/>
        <w:spacing w:after="0" w:line="360" w:lineRule="auto"/>
        <w:ind w:left="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的，依照《中华人民共和国政府采购法》等法律法规规定追究相应责任。</w:t>
      </w:r>
    </w:p>
    <w:p w14:paraId="0854897F">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5C7E6DE2">
      <w:pPr>
        <w:pageBreakBefore w:val="0"/>
        <w:widowControl/>
        <w:kinsoku/>
        <w:overflowPunct/>
        <w:topLinePunct w:val="0"/>
        <w:autoSpaceDE/>
        <w:autoSpaceDN/>
        <w:bidi w:val="0"/>
        <w:spacing w:line="480" w:lineRule="exact"/>
        <w:ind w:left="0" w:leftChars="0" w:right="0"/>
        <w:jc w:val="left"/>
        <w:outlineLvl w:val="9"/>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val="en-US" w:eastAsia="zh-CN"/>
          <w14:textFill>
            <w14:solidFill>
              <w14:schemeClr w14:val="tx1"/>
            </w14:solidFill>
          </w14:textFill>
        </w:rPr>
        <w:t>25</w:t>
      </w:r>
    </w:p>
    <w:p w14:paraId="0D6A214C">
      <w:pPr>
        <w:pageBreakBefore w:val="0"/>
        <w:widowControl/>
        <w:kinsoku/>
        <w:overflowPunct/>
        <w:topLinePunct w:val="0"/>
        <w:autoSpaceDE/>
        <w:autoSpaceDN/>
        <w:bidi w:val="0"/>
        <w:spacing w:line="480" w:lineRule="exact"/>
        <w:ind w:left="0" w:leftChars="0" w:right="0"/>
        <w:jc w:val="center"/>
        <w:outlineLvl w:val="9"/>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构成投标文件的其它资料</w:t>
      </w:r>
    </w:p>
    <w:p w14:paraId="5D263F80">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详见第二章《投标人须知前附表》第1</w:t>
      </w:r>
      <w:r>
        <w:rPr>
          <w:rFonts w:hint="eastAsia" w:ascii="宋体" w:hAnsi="宋体" w:eastAsia="宋体" w:cs="宋体"/>
          <w:color w:val="000000" w:themeColor="text1"/>
          <w:szCs w:val="21"/>
          <w:highlight w:val="none"/>
          <w:lang w:val="en-US" w:eastAsia="zh-CN"/>
          <w14:textFill>
            <w14:solidFill>
              <w14:schemeClr w14:val="tx1"/>
            </w14:solidFill>
          </w14:textFill>
        </w:rPr>
        <w:t>5.2</w:t>
      </w:r>
      <w:r>
        <w:rPr>
          <w:rFonts w:hint="eastAsia" w:ascii="宋体" w:hAnsi="宋体" w:eastAsia="宋体" w:cs="宋体"/>
          <w:color w:val="000000" w:themeColor="text1"/>
          <w:szCs w:val="21"/>
          <w:highlight w:val="none"/>
          <w14:textFill>
            <w14:solidFill>
              <w14:schemeClr w14:val="tx1"/>
            </w14:solidFill>
          </w14:textFill>
        </w:rPr>
        <w:t>条，请自拟格式。</w:t>
      </w:r>
    </w:p>
    <w:p w14:paraId="0F3DCD47">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.投标保证金交纳凭证或保函或投标（竞标）保证保险保单（扫描件加盖投标人电子公章）</w:t>
      </w:r>
      <w:r>
        <w:rPr>
          <w:rFonts w:hint="eastAsia" w:ascii="宋体" w:hAnsi="宋体" w:eastAsia="宋体" w:cs="宋体"/>
          <w:color w:val="000000" w:themeColor="text1"/>
          <w:szCs w:val="21"/>
          <w:highlight w:val="none"/>
          <w14:textFill>
            <w14:solidFill>
              <w14:schemeClr w14:val="tx1"/>
            </w14:solidFill>
          </w14:textFill>
        </w:rPr>
        <w:t>；</w:t>
      </w:r>
    </w:p>
    <w:p w14:paraId="6988248E">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第五章《采购需求》中要求提供的其他资料；</w:t>
      </w:r>
    </w:p>
    <w:p w14:paraId="5BD208D5">
      <w:pPr>
        <w:pageBreakBefore w:val="0"/>
        <w:kinsoku/>
        <w:overflowPunct/>
        <w:topLinePunct w:val="0"/>
        <w:autoSpaceDE/>
        <w:autoSpaceDN/>
        <w:bidi w:val="0"/>
        <w:spacing w:line="480" w:lineRule="exact"/>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招标文件中所涉及到的相关资料及证明文件或投标人认为必须提供的其他相关资料。</w:t>
      </w:r>
    </w:p>
    <w:p w14:paraId="760B0946">
      <w:pP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20C1E889">
      <w:pPr>
        <w:pStyle w:val="2"/>
        <w:pageBreakBefore w:val="0"/>
        <w:kinsoku/>
        <w:wordWrap/>
        <w:overflowPunct/>
        <w:topLinePunct w:val="0"/>
        <w:autoSpaceDE/>
        <w:autoSpaceDN/>
        <w:bidi w:val="0"/>
        <w:spacing w:before="0" w:after="0" w:line="480" w:lineRule="exact"/>
        <w:rPr>
          <w:rFonts w:hint="eastAsia" w:ascii="宋体" w:hAnsi="宋体" w:eastAsia="宋体" w:cs="宋体"/>
          <w:color w:val="000000" w:themeColor="text1"/>
          <w:sz w:val="32"/>
          <w:szCs w:val="32"/>
          <w:highlight w:val="none"/>
          <w14:textFill>
            <w14:solidFill>
              <w14:schemeClr w14:val="tx1"/>
            </w14:solidFill>
          </w14:textFill>
        </w:rPr>
      </w:pPr>
      <w:bookmarkStart w:id="64" w:name="_Toc7169"/>
      <w:r>
        <w:rPr>
          <w:rFonts w:hint="eastAsia" w:ascii="宋体" w:hAnsi="宋体" w:eastAsia="宋体" w:cs="宋体"/>
          <w:color w:val="000000" w:themeColor="text1"/>
          <w:sz w:val="32"/>
          <w:szCs w:val="32"/>
          <w:highlight w:val="none"/>
          <w14:textFill>
            <w14:solidFill>
              <w14:schemeClr w14:val="tx1"/>
            </w14:solidFill>
          </w14:textFill>
        </w:rPr>
        <w:t>第五章 采购需求</w:t>
      </w:r>
      <w:bookmarkEnd w:id="64"/>
    </w:p>
    <w:p w14:paraId="4707CC52">
      <w:pPr>
        <w:pageBreakBefore w:val="0"/>
        <w:kinsoku/>
        <w:wordWrap/>
        <w:overflowPunct/>
        <w:topLinePunct w:val="0"/>
        <w:autoSpaceDE/>
        <w:autoSpaceDN/>
        <w:bidi w:val="0"/>
        <w:adjustRightInd w:val="0"/>
        <w:spacing w:line="480" w:lineRule="exact"/>
        <w:ind w:firstLine="211" w:firstLine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说明：</w:t>
      </w:r>
    </w:p>
    <w:p w14:paraId="5AE66751">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各投标人必须对招标文件第五章《采购需求》中的技术、服务要求作出全面、真实的反映，</w:t>
      </w:r>
      <w:r>
        <w:rPr>
          <w:rFonts w:hint="eastAsia" w:ascii="宋体" w:hAnsi="宋体" w:eastAsia="宋体" w:cs="宋体"/>
          <w:b/>
          <w:bCs/>
          <w:color w:val="000000" w:themeColor="text1"/>
          <w:szCs w:val="21"/>
          <w:highlight w:val="none"/>
          <w:lang w:val="en-US" w:eastAsia="zh-CN"/>
          <w14:textFill>
            <w14:solidFill>
              <w14:schemeClr w14:val="tx1"/>
            </w14:solidFill>
          </w14:textFill>
        </w:rPr>
        <w:t>并保证填写的相关数据是真实的和正确的，同时填写技术条款偏离表。</w:t>
      </w:r>
    </w:p>
    <w:p w14:paraId="7CAFEBA5">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招标文件第五章《采购需求》二、规格、技术条款和性能要求 规格（技术参数、性能要求）中</w:t>
      </w:r>
      <w:r>
        <w:rPr>
          <w:rFonts w:hint="eastAsia" w:ascii="宋体" w:hAnsi="宋体" w:cs="宋体"/>
          <w:b/>
          <w:bCs/>
          <w:color w:val="000000" w:themeColor="text1"/>
          <w:szCs w:val="21"/>
          <w:highlight w:val="none"/>
          <w:lang w:val="en-US" w:eastAsia="zh-CN"/>
          <w14:textFill>
            <w14:solidFill>
              <w14:schemeClr w14:val="tx1"/>
            </w14:solidFill>
          </w14:textFill>
        </w:rPr>
        <w:t>，标注“▲”号的</w:t>
      </w:r>
      <w:r>
        <w:rPr>
          <w:rFonts w:hint="eastAsia" w:ascii="宋体" w:hAnsi="宋体" w:eastAsia="宋体" w:cs="宋体"/>
          <w:b/>
          <w:bCs/>
          <w:color w:val="000000" w:themeColor="text1"/>
          <w:szCs w:val="21"/>
          <w:highlight w:val="none"/>
          <w:lang w:val="en-US" w:eastAsia="zh-CN"/>
          <w14:textFill>
            <w14:solidFill>
              <w14:schemeClr w14:val="tx1"/>
            </w14:solidFill>
          </w14:textFill>
        </w:rPr>
        <w:t>所有技术参数必须提供最新技术支持资料支持技术条款偏离表应答（包括提供货物、工程或者服务的技术白皮书或检测报告或图纸或印刷宣传彩页或性能参数说明等，不接受非生产制造商自行印刷、打印或者手写的技术支持资料，凡不符合上述要求的，视为无效技术支持资料。如招标文件第五章《采购需求》有特殊要求，以第五章《采购需求》要求为准。）。</w:t>
      </w:r>
    </w:p>
    <w:p w14:paraId="2D08609F">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本章各项技术参数、规格和性能要求如出现引用某一特定的专利技术、商标、名称、设计、原产地或供应者等情况，则仅起参考作用。投标人可选用实质上“相当于”或“优于”该参考技术规格要求的产品投标。</w:t>
      </w:r>
    </w:p>
    <w:p w14:paraId="5D592451">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人应严格按照《中华人民共和国政府采购法》、《中华人民共和国政府采购法实施条例》、《政府采购货物和服务招标投标管理办法》（财政部令第87号）等有关法律、法规的规定进行投标，合同签订后采购人将按照中标人投标文件中所投货物、工程或者服务进行验收，一旦发现虚假应标行为，取消该中标人的中标资格，并保留追究其法律责任的权利。</w:t>
      </w:r>
    </w:p>
    <w:p w14:paraId="07666946">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本文件的解释权属于采购人、采购代理机构。</w:t>
      </w:r>
    </w:p>
    <w:p w14:paraId="7DBFADBC">
      <w:pPr>
        <w:pageBreakBefore w:val="0"/>
        <w:kinsoku/>
        <w:wordWrap/>
        <w:overflowPunct/>
        <w:topLinePunct w:val="0"/>
        <w:autoSpaceDE/>
        <w:autoSpaceDN/>
        <w:bidi w:val="0"/>
        <w:spacing w:line="480" w:lineRule="exact"/>
        <w:ind w:firstLine="422" w:firstLineChars="200"/>
        <w:rPr>
          <w:rFonts w:hint="eastAsia" w:ascii="宋体" w:hAnsi="宋体" w:eastAsia="宋体" w:cs="宋体"/>
          <w:b/>
          <w:bCs/>
          <w:strike/>
          <w:dstrike w:val="0"/>
          <w:color w:val="000000" w:themeColor="text1"/>
          <w:szCs w:val="21"/>
          <w:highlight w:val="none"/>
          <w14:textFill>
            <w14:solidFill>
              <w14:schemeClr w14:val="tx1"/>
            </w14:solidFill>
          </w14:textFill>
        </w:rPr>
      </w:pPr>
    </w:p>
    <w:p w14:paraId="759A68AF">
      <w:pPr>
        <w:pStyle w:val="4"/>
        <w:pageBreakBefore w:val="0"/>
        <w:kinsoku/>
        <w:wordWrap/>
        <w:overflowPunct/>
        <w:topLinePunct w:val="0"/>
        <w:autoSpaceDE/>
        <w:autoSpaceDN/>
        <w:bidi w:val="0"/>
        <w:spacing w:before="0" w:line="480" w:lineRule="exact"/>
        <w:ind w:left="0" w:leftChars="0" w:firstLine="0" w:firstLineChars="0"/>
        <w:jc w:val="cente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bookmarkStart w:id="65" w:name="_Toc7277"/>
      <w:bookmarkStart w:id="66" w:name="_Toc8955"/>
      <w:r>
        <w:rPr>
          <w:rFonts w:hint="eastAsia" w:ascii="宋体" w:hAnsi="宋体" w:cs="宋体"/>
          <w:color w:val="000000" w:themeColor="text1"/>
          <w:spacing w:val="0"/>
          <w:kern w:val="0"/>
          <w:sz w:val="28"/>
          <w:szCs w:val="28"/>
          <w:highlight w:val="none"/>
          <w:lang w:val="en-US" w:eastAsia="zh-CN"/>
          <w14:textFill>
            <w14:solidFill>
              <w14:schemeClr w14:val="tx1"/>
            </w14:solidFill>
          </w14:textFill>
        </w:rPr>
        <w:t>一、</w:t>
      </w:r>
      <w: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采购需求一览表</w:t>
      </w:r>
      <w:bookmarkEnd w:id="65"/>
      <w:bookmarkEnd w:id="66"/>
    </w:p>
    <w:tbl>
      <w:tblPr>
        <w:tblStyle w:val="40"/>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7"/>
        <w:gridCol w:w="873"/>
        <w:gridCol w:w="873"/>
        <w:gridCol w:w="963"/>
        <w:gridCol w:w="668"/>
        <w:gridCol w:w="695"/>
        <w:gridCol w:w="4226"/>
      </w:tblGrid>
      <w:tr w14:paraId="5F05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367" w:type="dxa"/>
            <w:tcMar>
              <w:top w:w="15" w:type="dxa"/>
              <w:left w:w="15" w:type="dxa"/>
              <w:right w:w="15" w:type="dxa"/>
            </w:tcMar>
            <w:vAlign w:val="center"/>
          </w:tcPr>
          <w:p w14:paraId="34E7171B">
            <w:pPr>
              <w:widowControl/>
              <w:spacing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73" w:type="dxa"/>
            <w:tcMar>
              <w:top w:w="15" w:type="dxa"/>
              <w:left w:w="15" w:type="dxa"/>
              <w:right w:w="15" w:type="dxa"/>
            </w:tcMar>
            <w:vAlign w:val="center"/>
          </w:tcPr>
          <w:p w14:paraId="034B04F3">
            <w:pPr>
              <w:widowControl/>
              <w:spacing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是否接受进口产品</w:t>
            </w:r>
          </w:p>
        </w:tc>
        <w:tc>
          <w:tcPr>
            <w:tcW w:w="873" w:type="dxa"/>
            <w:tcMar>
              <w:top w:w="15" w:type="dxa"/>
              <w:left w:w="15" w:type="dxa"/>
              <w:right w:w="15" w:type="dxa"/>
            </w:tcMar>
            <w:vAlign w:val="center"/>
          </w:tcPr>
          <w:p w14:paraId="11BA0899">
            <w:pPr>
              <w:widowControl/>
              <w:spacing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是否为核心产品</w:t>
            </w:r>
          </w:p>
        </w:tc>
        <w:tc>
          <w:tcPr>
            <w:tcW w:w="963" w:type="dxa"/>
            <w:tcMar>
              <w:top w:w="15" w:type="dxa"/>
              <w:left w:w="15" w:type="dxa"/>
              <w:right w:w="15" w:type="dxa"/>
            </w:tcMar>
            <w:vAlign w:val="center"/>
          </w:tcPr>
          <w:p w14:paraId="0BC6B7D3">
            <w:pPr>
              <w:widowControl/>
              <w:spacing w:line="24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产品（项目）名称</w:t>
            </w:r>
          </w:p>
        </w:tc>
        <w:tc>
          <w:tcPr>
            <w:tcW w:w="668" w:type="dxa"/>
            <w:tcMar>
              <w:top w:w="15" w:type="dxa"/>
              <w:left w:w="15" w:type="dxa"/>
              <w:right w:w="15" w:type="dxa"/>
            </w:tcMar>
            <w:vAlign w:val="center"/>
          </w:tcPr>
          <w:p w14:paraId="634F41CD">
            <w:pPr>
              <w:widowControl/>
              <w:spacing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tc>
        <w:tc>
          <w:tcPr>
            <w:tcW w:w="695" w:type="dxa"/>
            <w:tcMar>
              <w:top w:w="15" w:type="dxa"/>
              <w:left w:w="15" w:type="dxa"/>
              <w:right w:w="15" w:type="dxa"/>
            </w:tcMar>
            <w:vAlign w:val="center"/>
          </w:tcPr>
          <w:p w14:paraId="78907859">
            <w:pPr>
              <w:widowControl/>
              <w:spacing w:line="24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计量单位</w:t>
            </w:r>
          </w:p>
        </w:tc>
        <w:tc>
          <w:tcPr>
            <w:tcW w:w="4226" w:type="dxa"/>
            <w:tcMar>
              <w:top w:w="15" w:type="dxa"/>
              <w:left w:w="15" w:type="dxa"/>
              <w:right w:w="15" w:type="dxa"/>
            </w:tcMar>
            <w:vAlign w:val="center"/>
          </w:tcPr>
          <w:p w14:paraId="1810DE25">
            <w:pPr>
              <w:widowControl/>
              <w:spacing w:line="24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设备用途及说明</w:t>
            </w:r>
          </w:p>
        </w:tc>
      </w:tr>
      <w:tr w14:paraId="1893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2" w:hRule="atLeast"/>
          <w:jc w:val="center"/>
        </w:trPr>
        <w:tc>
          <w:tcPr>
            <w:tcW w:w="367" w:type="dxa"/>
            <w:tcMar>
              <w:top w:w="15" w:type="dxa"/>
              <w:left w:w="15" w:type="dxa"/>
              <w:right w:w="15" w:type="dxa"/>
            </w:tcMar>
            <w:vAlign w:val="center"/>
          </w:tcPr>
          <w:p w14:paraId="4F0E03E6">
            <w:pPr>
              <w:widowControl/>
              <w:spacing w:line="240" w:lineRule="auto"/>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873" w:type="dxa"/>
            <w:tcMar>
              <w:top w:w="15" w:type="dxa"/>
              <w:left w:w="15" w:type="dxa"/>
              <w:right w:w="15" w:type="dxa"/>
            </w:tcMar>
            <w:vAlign w:val="center"/>
          </w:tcPr>
          <w:p w14:paraId="5F7786B2">
            <w:pPr>
              <w:widowControl/>
              <w:spacing w:line="240" w:lineRule="auto"/>
              <w:jc w:val="center"/>
              <w:textAlignment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否</w:t>
            </w:r>
          </w:p>
        </w:tc>
        <w:tc>
          <w:tcPr>
            <w:tcW w:w="873" w:type="dxa"/>
            <w:tcMar>
              <w:top w:w="15" w:type="dxa"/>
              <w:left w:w="15" w:type="dxa"/>
              <w:right w:w="15" w:type="dxa"/>
            </w:tcMar>
            <w:vAlign w:val="center"/>
          </w:tcPr>
          <w:p w14:paraId="00317E1C">
            <w:pPr>
              <w:widowControl/>
              <w:spacing w:line="240" w:lineRule="auto"/>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是</w:t>
            </w:r>
          </w:p>
        </w:tc>
        <w:tc>
          <w:tcPr>
            <w:tcW w:w="963" w:type="dxa"/>
            <w:shd w:val="clear" w:color="auto" w:fill="auto"/>
            <w:tcMar>
              <w:top w:w="15" w:type="dxa"/>
              <w:left w:w="15" w:type="dxa"/>
              <w:right w:w="15" w:type="dxa"/>
            </w:tcMar>
            <w:vAlign w:val="center"/>
          </w:tcPr>
          <w:p w14:paraId="7E9F1868">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cs="宋体"/>
                <w:b w:val="0"/>
                <w:bCs/>
                <w:color w:val="000000" w:themeColor="text1"/>
                <w:kern w:val="2"/>
                <w:sz w:val="21"/>
                <w:szCs w:val="21"/>
                <w:highlight w:val="none"/>
                <w:lang w:val="en-US" w:eastAsia="zh-CN" w:bidi="ar-SA"/>
                <w14:textFill>
                  <w14:solidFill>
                    <w14:schemeClr w14:val="tx1"/>
                  </w14:solidFill>
                </w14:textFill>
              </w:rPr>
              <w:t>彩色多普勒超声诊断仪</w:t>
            </w:r>
          </w:p>
        </w:tc>
        <w:tc>
          <w:tcPr>
            <w:tcW w:w="668" w:type="dxa"/>
            <w:shd w:val="clear" w:color="auto" w:fill="auto"/>
            <w:tcMar>
              <w:top w:w="15" w:type="dxa"/>
              <w:left w:w="15" w:type="dxa"/>
              <w:right w:w="15" w:type="dxa"/>
            </w:tcMar>
            <w:vAlign w:val="center"/>
          </w:tcPr>
          <w:p w14:paraId="7F61E94D">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default"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color w:val="000000" w:themeColor="text1"/>
                <w:sz w:val="21"/>
                <w:szCs w:val="21"/>
                <w:highlight w:val="none"/>
                <w:lang w:val="en-US" w:eastAsia="zh-CN"/>
                <w14:textFill>
                  <w14:solidFill>
                    <w14:schemeClr w14:val="tx1"/>
                  </w14:solidFill>
                </w14:textFill>
              </w:rPr>
              <w:t>2</w:t>
            </w:r>
          </w:p>
        </w:tc>
        <w:tc>
          <w:tcPr>
            <w:tcW w:w="695" w:type="dxa"/>
            <w:shd w:val="clear" w:color="auto" w:fill="auto"/>
            <w:tcMar>
              <w:top w:w="15" w:type="dxa"/>
              <w:left w:w="15" w:type="dxa"/>
              <w:right w:w="15" w:type="dxa"/>
            </w:tcMar>
            <w:vAlign w:val="center"/>
          </w:tcPr>
          <w:p w14:paraId="4F105F7B">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default"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color w:val="000000" w:themeColor="text1"/>
                <w:sz w:val="21"/>
                <w:szCs w:val="21"/>
                <w:highlight w:val="none"/>
                <w:lang w:val="en-US" w:eastAsia="zh-CN"/>
                <w14:textFill>
                  <w14:solidFill>
                    <w14:schemeClr w14:val="tx1"/>
                  </w14:solidFill>
                </w14:textFill>
              </w:rPr>
              <w:t>套</w:t>
            </w:r>
          </w:p>
        </w:tc>
        <w:tc>
          <w:tcPr>
            <w:tcW w:w="4226" w:type="dxa"/>
            <w:shd w:val="clear" w:color="auto" w:fill="auto"/>
            <w:tcMar>
              <w:top w:w="15" w:type="dxa"/>
              <w:left w:w="15" w:type="dxa"/>
              <w:right w:w="15" w:type="dxa"/>
            </w:tcMar>
            <w:vAlign w:val="center"/>
          </w:tcPr>
          <w:p w14:paraId="5C092410">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eastAsia" w:cs="宋体"/>
                <w:b w:val="0"/>
                <w:bCs w:val="0"/>
                <w:color w:val="000000" w:themeColor="text1"/>
                <w:sz w:val="21"/>
                <w:szCs w:val="21"/>
                <w:highlight w:val="none"/>
                <w:lang w:val="en-US" w:eastAsia="zh-CN"/>
                <w14:textFill>
                  <w14:solidFill>
                    <w14:schemeClr w14:val="tx1"/>
                  </w14:solidFill>
                </w14:textFill>
              </w:rPr>
            </w:pPr>
            <w:r>
              <w:rPr>
                <w:rFonts w:hint="eastAsia" w:cs="宋体"/>
                <w:b w:val="0"/>
                <w:bCs w:val="0"/>
                <w:color w:val="000000" w:themeColor="text1"/>
                <w:sz w:val="21"/>
                <w:szCs w:val="21"/>
                <w:highlight w:val="none"/>
                <w:lang w:val="en-US" w:eastAsia="zh-CN"/>
                <w14:textFill>
                  <w14:solidFill>
                    <w14:schemeClr w14:val="tx1"/>
                  </w14:solidFill>
                </w14:textFill>
              </w:rPr>
              <w:t>妇产科、腹部、胎儿心脏、新生儿、心脏、泌尿科、浅表组织与小器官、颅脑、肌骨、外周血管及科研的彩色多普勒超声诊断仪，尤其在妇产科、胎儿心脏、早孕检查，盆底超声、经阴道子宫输卵管超声造影领域具有突出优势，满足产科超声诊断，妇科疑难病例超声诊断，胎儿畸形产前诊断及科研。</w:t>
            </w:r>
          </w:p>
        </w:tc>
      </w:tr>
    </w:tbl>
    <w:p w14:paraId="1DA3F703">
      <w:pPr>
        <w:pStyle w:val="4"/>
        <w:pageBreakBefore w:val="0"/>
        <w:kinsoku/>
        <w:wordWrap/>
        <w:overflowPunct/>
        <w:topLinePunct w:val="0"/>
        <w:autoSpaceDE/>
        <w:autoSpaceDN/>
        <w:bidi w:val="0"/>
        <w:adjustRightInd/>
        <w:snapToGrid/>
        <w:spacing w:before="0" w:line="480" w:lineRule="exact"/>
        <w:jc w:val="cente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bookmarkStart w:id="67" w:name="_Toc12366"/>
      <w:bookmarkStart w:id="68" w:name="_Toc9460"/>
    </w:p>
    <w:p w14:paraId="3497D8D8">
      <w:pPr>
        <w:pStyle w:val="4"/>
        <w:pageBreakBefore w:val="0"/>
        <w:kinsoku/>
        <w:wordWrap/>
        <w:overflowPunct/>
        <w:topLinePunct w:val="0"/>
        <w:autoSpaceDE/>
        <w:autoSpaceDN/>
        <w:bidi w:val="0"/>
        <w:adjustRightInd/>
        <w:snapToGrid/>
        <w:spacing w:before="0" w:line="480" w:lineRule="exact"/>
        <w:jc w:val="cente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二、规格、技术条款和性能要求</w:t>
      </w:r>
      <w:bookmarkEnd w:id="67"/>
      <w:bookmarkEnd w:id="68"/>
    </w:p>
    <w:tbl>
      <w:tblPr>
        <w:tblStyle w:val="4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04"/>
        <w:gridCol w:w="6746"/>
      </w:tblGrid>
      <w:tr w14:paraId="2476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601E1A9C">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304" w:type="dxa"/>
            <w:vAlign w:val="center"/>
          </w:tcPr>
          <w:p w14:paraId="1D4145D8">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产品（项目）名称</w:t>
            </w:r>
          </w:p>
        </w:tc>
        <w:tc>
          <w:tcPr>
            <w:tcW w:w="6746" w:type="dxa"/>
            <w:vAlign w:val="center"/>
          </w:tcPr>
          <w:p w14:paraId="59C4ED63">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规格（技术参数、性能要求）</w:t>
            </w:r>
          </w:p>
        </w:tc>
      </w:tr>
      <w:tr w14:paraId="0FE2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3F9AE2DA">
            <w:pPr>
              <w:widowControl/>
              <w:spacing w:line="24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304" w:type="dxa"/>
            <w:shd w:val="clear" w:color="auto" w:fill="auto"/>
            <w:vAlign w:val="center"/>
          </w:tcPr>
          <w:p w14:paraId="71206148">
            <w:pPr>
              <w:pStyle w:val="9"/>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center"/>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color w:val="000000" w:themeColor="text1"/>
                <w:kern w:val="0"/>
                <w:sz w:val="21"/>
                <w:szCs w:val="21"/>
                <w:highlight w:val="none"/>
                <w:lang w:val="en-US" w:eastAsia="zh-CN" w:bidi="ar-SA"/>
                <w14:textFill>
                  <w14:solidFill>
                    <w14:schemeClr w14:val="tx1"/>
                  </w14:solidFill>
                </w14:textFill>
              </w:rPr>
              <w:t>彩色多普勒超声诊断仪</w:t>
            </w:r>
          </w:p>
        </w:tc>
        <w:tc>
          <w:tcPr>
            <w:tcW w:w="6746" w:type="dxa"/>
            <w:shd w:val="clear" w:color="auto" w:fill="auto"/>
            <w:vAlign w:val="center"/>
          </w:tcPr>
          <w:p w14:paraId="6D2300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基本要求</w:t>
            </w:r>
            <w:r>
              <w:rPr>
                <w:rFonts w:hint="eastAsia" w:ascii="宋体" w:hAnsi="宋体" w:eastAsia="宋体" w:cs="宋体"/>
                <w:lang w:val="en-US" w:eastAsia="zh-CN"/>
              </w:rPr>
              <w:t>：</w:t>
            </w:r>
          </w:p>
          <w:p w14:paraId="0275D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主机一体化LCD显示器≥23英寸</w:t>
            </w:r>
            <w:r>
              <w:rPr>
                <w:rFonts w:hint="eastAsia" w:ascii="宋体" w:hAnsi="宋体" w:eastAsia="宋体" w:cs="宋体"/>
                <w:lang w:eastAsia="zh-CN"/>
              </w:rPr>
              <w:t>；</w:t>
            </w:r>
          </w:p>
          <w:p w14:paraId="117F25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1.2</w:t>
            </w:r>
            <w:r>
              <w:rPr>
                <w:rFonts w:hint="eastAsia" w:ascii="宋体" w:hAnsi="宋体" w:eastAsia="宋体" w:cs="宋体"/>
              </w:rPr>
              <w:t>液晶触摸屏≥15.6英寸,可通过触控屏的多点触控进行容积图像的旋转、放大、切割等直观操作,也可以通过触屏上手势划线实现任意切面成像以及多光源调节功能</w:t>
            </w:r>
            <w:r>
              <w:rPr>
                <w:rFonts w:hint="eastAsia" w:ascii="宋体" w:hAnsi="宋体" w:eastAsia="宋体" w:cs="宋体"/>
                <w:lang w:eastAsia="zh-CN"/>
              </w:rPr>
              <w:t>；</w:t>
            </w:r>
          </w:p>
          <w:p w14:paraId="472794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1.3</w:t>
            </w:r>
            <w:r>
              <w:rPr>
                <w:rFonts w:hint="eastAsia" w:ascii="宋体" w:hAnsi="宋体" w:eastAsia="宋体" w:cs="宋体"/>
              </w:rPr>
              <w:t>数字化二维灰阶成像单元</w:t>
            </w:r>
            <w:r>
              <w:rPr>
                <w:rFonts w:hint="eastAsia" w:ascii="宋体" w:hAnsi="宋体" w:eastAsia="宋体" w:cs="宋体"/>
                <w:lang w:eastAsia="zh-CN"/>
              </w:rPr>
              <w:t>；</w:t>
            </w:r>
          </w:p>
          <w:p w14:paraId="5C60B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1.4</w:t>
            </w:r>
            <w:r>
              <w:rPr>
                <w:rFonts w:hint="eastAsia" w:ascii="宋体" w:hAnsi="宋体" w:eastAsia="宋体" w:cs="宋体"/>
              </w:rPr>
              <w:t>数字化彩色多普勒单元</w:t>
            </w:r>
            <w:r>
              <w:rPr>
                <w:rFonts w:hint="eastAsia" w:ascii="宋体" w:hAnsi="宋体" w:eastAsia="宋体" w:cs="宋体"/>
                <w:lang w:eastAsia="zh-CN"/>
              </w:rPr>
              <w:t>；</w:t>
            </w:r>
          </w:p>
          <w:p w14:paraId="05DCF4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1.5</w:t>
            </w:r>
            <w:r>
              <w:rPr>
                <w:rFonts w:hint="eastAsia" w:ascii="宋体" w:hAnsi="宋体" w:eastAsia="宋体" w:cs="宋体"/>
              </w:rPr>
              <w:t>数字化能量多普勒成像单元</w:t>
            </w:r>
            <w:r>
              <w:rPr>
                <w:rFonts w:hint="eastAsia" w:ascii="宋体" w:hAnsi="宋体" w:eastAsia="宋体" w:cs="宋体"/>
                <w:lang w:eastAsia="zh-CN"/>
              </w:rPr>
              <w:t>；</w:t>
            </w:r>
          </w:p>
          <w:p w14:paraId="73D898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 xml:space="preserve">1.6 </w:t>
            </w:r>
            <w:r>
              <w:rPr>
                <w:rFonts w:hint="eastAsia" w:ascii="宋体" w:hAnsi="宋体" w:eastAsia="宋体" w:cs="宋体"/>
              </w:rPr>
              <w:t>PW脉冲波多普勒成像单元</w:t>
            </w:r>
            <w:r>
              <w:rPr>
                <w:rFonts w:hint="eastAsia" w:ascii="宋体" w:hAnsi="宋体" w:eastAsia="宋体" w:cs="宋体"/>
                <w:lang w:eastAsia="zh-CN"/>
              </w:rPr>
              <w:t>；</w:t>
            </w:r>
          </w:p>
          <w:p w14:paraId="32DD0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 xml:space="preserve">1.7 </w:t>
            </w:r>
            <w:r>
              <w:rPr>
                <w:rFonts w:hint="eastAsia" w:ascii="宋体" w:hAnsi="宋体" w:eastAsia="宋体" w:cs="宋体"/>
              </w:rPr>
              <w:t>CW连续波多普勒成像单元</w:t>
            </w:r>
            <w:r>
              <w:rPr>
                <w:rFonts w:hint="eastAsia" w:ascii="宋体" w:hAnsi="宋体" w:eastAsia="宋体" w:cs="宋体"/>
                <w:lang w:eastAsia="zh-CN"/>
              </w:rPr>
              <w:t>；</w:t>
            </w:r>
          </w:p>
          <w:p w14:paraId="548C66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1.8</w:t>
            </w:r>
            <w:r>
              <w:rPr>
                <w:rFonts w:hint="eastAsia" w:ascii="宋体" w:hAnsi="宋体" w:eastAsia="宋体" w:cs="宋体"/>
              </w:rPr>
              <w:t>实时四维成像单元</w:t>
            </w:r>
            <w:r>
              <w:rPr>
                <w:rFonts w:hint="eastAsia" w:ascii="宋体" w:hAnsi="宋体" w:eastAsia="宋体" w:cs="宋体"/>
                <w:lang w:eastAsia="zh-CN"/>
              </w:rPr>
              <w:t>；</w:t>
            </w:r>
          </w:p>
          <w:p w14:paraId="31D307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1.9</w:t>
            </w:r>
            <w:r>
              <w:rPr>
                <w:rFonts w:hint="eastAsia" w:ascii="宋体" w:hAnsi="宋体" w:eastAsia="宋体" w:cs="宋体"/>
              </w:rPr>
              <w:t>软件波束形成器技术</w:t>
            </w:r>
            <w:r>
              <w:rPr>
                <w:rFonts w:hint="eastAsia" w:ascii="宋体" w:hAnsi="宋体" w:eastAsia="宋体" w:cs="宋体"/>
                <w:lang w:eastAsia="zh-CN"/>
              </w:rPr>
              <w:t>；</w:t>
            </w:r>
          </w:p>
          <w:p w14:paraId="1881F8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1.10</w:t>
            </w:r>
            <w:r>
              <w:rPr>
                <w:rFonts w:hint="eastAsia" w:ascii="宋体" w:hAnsi="宋体" w:eastAsia="宋体" w:cs="宋体"/>
              </w:rPr>
              <w:t>二维凸阵探头可以支持CW连续波多普勒成像</w:t>
            </w:r>
            <w:r>
              <w:rPr>
                <w:rFonts w:hint="eastAsia" w:ascii="宋体" w:hAnsi="宋体" w:eastAsia="宋体" w:cs="宋体"/>
                <w:lang w:eastAsia="zh-CN"/>
              </w:rPr>
              <w:t>；</w:t>
            </w:r>
          </w:p>
          <w:p w14:paraId="4C1667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1.11</w:t>
            </w:r>
            <w:r>
              <w:rPr>
                <w:rFonts w:hint="eastAsia" w:ascii="宋体" w:hAnsi="宋体" w:eastAsia="宋体" w:cs="宋体"/>
              </w:rPr>
              <w:t>二维灰阶血流成像技术，采用非多普勒原理，无彩色取样框限制，不需要造影剂，可以对血流进行实时显示，反应血流动力学真实状态</w:t>
            </w:r>
            <w:r>
              <w:rPr>
                <w:rFonts w:hint="eastAsia" w:ascii="宋体" w:hAnsi="宋体" w:eastAsia="宋体" w:cs="宋体"/>
                <w:lang w:eastAsia="zh-CN"/>
              </w:rPr>
              <w:t>；</w:t>
            </w:r>
          </w:p>
          <w:p w14:paraId="7631D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1.12</w:t>
            </w:r>
            <w:r>
              <w:rPr>
                <w:rFonts w:hint="eastAsia" w:ascii="宋体" w:hAnsi="宋体" w:eastAsia="宋体" w:cs="宋体"/>
              </w:rPr>
              <w:t>二维立体血流成像技术，二维探头即可呈现立体血流形态，增强血流边界的显示及可视化效果</w:t>
            </w:r>
            <w:r>
              <w:rPr>
                <w:rFonts w:hint="eastAsia" w:ascii="宋体" w:hAnsi="宋体" w:eastAsia="宋体" w:cs="宋体"/>
                <w:lang w:eastAsia="zh-CN"/>
              </w:rPr>
              <w:t>；</w:t>
            </w:r>
          </w:p>
          <w:p w14:paraId="4DF615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1.13</w:t>
            </w:r>
            <w:r>
              <w:rPr>
                <w:rFonts w:hint="eastAsia" w:ascii="宋体" w:hAnsi="宋体" w:eastAsia="宋体" w:cs="宋体"/>
              </w:rPr>
              <w:t>具有二维超低速血流显示技术，三维超低速血流显示技术，全面显示组织器官微血流灌注状态</w:t>
            </w:r>
            <w:r>
              <w:rPr>
                <w:rFonts w:hint="eastAsia" w:ascii="宋体" w:hAnsi="宋体" w:eastAsia="宋体" w:cs="宋体"/>
                <w:lang w:eastAsia="zh-CN"/>
              </w:rPr>
              <w:t>；</w:t>
            </w:r>
          </w:p>
          <w:p w14:paraId="155BF5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1.14</w:t>
            </w:r>
            <w:r>
              <w:rPr>
                <w:rFonts w:hint="eastAsia" w:ascii="宋体" w:hAnsi="宋体" w:eastAsia="宋体" w:cs="宋体"/>
              </w:rPr>
              <w:t>组织多普勒成像技术</w:t>
            </w:r>
            <w:r>
              <w:rPr>
                <w:rFonts w:hint="eastAsia" w:ascii="宋体" w:hAnsi="宋体" w:eastAsia="宋体" w:cs="宋体"/>
                <w:lang w:eastAsia="zh-CN"/>
              </w:rPr>
              <w:t>；</w:t>
            </w:r>
          </w:p>
          <w:p w14:paraId="4CE070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1.15</w:t>
            </w:r>
            <w:r>
              <w:rPr>
                <w:rFonts w:hint="eastAsia" w:ascii="宋体" w:hAnsi="宋体" w:eastAsia="宋体" w:cs="宋体"/>
              </w:rPr>
              <w:t>应变式弹性成像技术</w:t>
            </w:r>
            <w:r>
              <w:rPr>
                <w:rFonts w:hint="eastAsia" w:ascii="宋体" w:hAnsi="宋体" w:eastAsia="宋体" w:cs="宋体"/>
                <w:lang w:eastAsia="zh-CN"/>
              </w:rPr>
              <w:t>；</w:t>
            </w:r>
          </w:p>
          <w:p w14:paraId="78B147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1.16</w:t>
            </w:r>
            <w:r>
              <w:rPr>
                <w:rFonts w:hint="eastAsia" w:ascii="宋体" w:hAnsi="宋体" w:eastAsia="宋体" w:cs="宋体"/>
              </w:rPr>
              <w:t>宽景成像技术，支持所有凸阵和线阵探头</w:t>
            </w:r>
            <w:r>
              <w:rPr>
                <w:rFonts w:hint="eastAsia" w:ascii="宋体" w:hAnsi="宋体" w:eastAsia="宋体" w:cs="宋体"/>
                <w:lang w:eastAsia="zh-CN"/>
              </w:rPr>
              <w:t>；</w:t>
            </w:r>
          </w:p>
          <w:p w14:paraId="4AF10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1.17</w:t>
            </w:r>
            <w:r>
              <w:rPr>
                <w:rFonts w:hint="eastAsia" w:ascii="宋体" w:hAnsi="宋体" w:eastAsia="宋体" w:cs="宋体"/>
              </w:rPr>
              <w:t>主机内置ESHRE（欧洲人类生殖与胚胎学学会）与ESGE（欧洲妇科内镜学会）指南推荐的子宫形态分类方法，可以直接根据示意图，判断子宫形态</w:t>
            </w:r>
            <w:r>
              <w:rPr>
                <w:rFonts w:hint="eastAsia" w:ascii="宋体" w:hAnsi="宋体" w:eastAsia="宋体" w:cs="宋体"/>
                <w:lang w:eastAsia="zh-CN"/>
              </w:rPr>
              <w:t>；</w:t>
            </w:r>
          </w:p>
          <w:p w14:paraId="637179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1.18</w:t>
            </w:r>
            <w:r>
              <w:rPr>
                <w:rFonts w:hint="eastAsia" w:ascii="宋体" w:hAnsi="宋体" w:eastAsia="宋体" w:cs="宋体"/>
              </w:rPr>
              <w:t>具备IDEA（国际深度子宫内膜异位症组织）专家共识推荐的标准超声图文评估流程助手，帮助使用者对深度子宫内膜异位症进行标准化评估</w:t>
            </w:r>
            <w:r>
              <w:rPr>
                <w:rFonts w:hint="eastAsia" w:ascii="宋体" w:hAnsi="宋体" w:eastAsia="宋体" w:cs="宋体"/>
                <w:lang w:eastAsia="zh-CN"/>
              </w:rPr>
              <w:t>；</w:t>
            </w:r>
          </w:p>
          <w:p w14:paraId="48AF2C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1.19</w:t>
            </w:r>
            <w:r>
              <w:rPr>
                <w:rFonts w:hint="eastAsia" w:ascii="宋体" w:hAnsi="宋体" w:eastAsia="宋体" w:cs="宋体"/>
              </w:rPr>
              <w:t>支持机械指数和热指数警报设置，可自定义声输出限制并将其设定到系统中，将在扫描时提供超预设警报</w:t>
            </w:r>
            <w:r>
              <w:rPr>
                <w:rFonts w:hint="eastAsia" w:ascii="宋体" w:hAnsi="宋体" w:eastAsia="宋体" w:cs="宋体"/>
                <w:lang w:eastAsia="zh-CN"/>
              </w:rPr>
              <w:t>；</w:t>
            </w:r>
          </w:p>
          <w:p w14:paraId="229D70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1.20</w:t>
            </w:r>
            <w:r>
              <w:rPr>
                <w:rFonts w:hint="eastAsia" w:ascii="宋体" w:hAnsi="宋体" w:eastAsia="宋体" w:cs="宋体"/>
              </w:rPr>
              <w:t>内置耦合剂加热功能，提升患者舒适度</w:t>
            </w:r>
            <w:r>
              <w:rPr>
                <w:rFonts w:hint="eastAsia" w:ascii="宋体" w:hAnsi="宋体" w:eastAsia="宋体" w:cs="宋体"/>
                <w:lang w:eastAsia="zh-CN"/>
              </w:rPr>
              <w:t>；</w:t>
            </w:r>
          </w:p>
          <w:p w14:paraId="7150DA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1.21</w:t>
            </w:r>
            <w:r>
              <w:rPr>
                <w:rFonts w:hint="eastAsia" w:ascii="宋体" w:hAnsi="宋体" w:eastAsia="宋体" w:cs="宋体"/>
              </w:rPr>
              <w:t>具备降低声影的强度专用技术：帮助恢复被声阴影遮挡的组织和边界，提供从近场到远场均匀一致的图像品质</w:t>
            </w:r>
            <w:r>
              <w:rPr>
                <w:rFonts w:hint="eastAsia" w:ascii="宋体" w:hAnsi="宋体" w:eastAsia="宋体" w:cs="宋体"/>
                <w:lang w:eastAsia="zh-CN"/>
              </w:rPr>
              <w:t>；</w:t>
            </w:r>
          </w:p>
          <w:p w14:paraId="03343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1.22</w:t>
            </w:r>
            <w:r>
              <w:rPr>
                <w:rFonts w:hint="eastAsia" w:ascii="宋体" w:hAnsi="宋体" w:eastAsia="宋体" w:cs="宋体"/>
              </w:rPr>
              <w:t>困难条件成像专用技术：扫描困难条件患者，例如高体重指数 （BMI）</w:t>
            </w:r>
            <w:r>
              <w:rPr>
                <w:rFonts w:hint="eastAsia" w:ascii="宋体" w:hAnsi="宋体" w:eastAsia="宋体" w:cs="宋体"/>
                <w:lang w:eastAsia="zh-CN"/>
              </w:rPr>
              <w:t>；</w:t>
            </w:r>
          </w:p>
          <w:p w14:paraId="00304B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1.23</w:t>
            </w:r>
            <w:r>
              <w:rPr>
                <w:rFonts w:hint="eastAsia" w:ascii="宋体" w:hAnsi="宋体" w:eastAsia="宋体" w:cs="宋体"/>
              </w:rPr>
              <w:t>探头智能响应技术：选取探头后，自动激活，并进入到扫描状态</w:t>
            </w:r>
            <w:r>
              <w:rPr>
                <w:rFonts w:hint="eastAsia" w:ascii="宋体" w:hAnsi="宋体" w:eastAsia="宋体" w:cs="宋体"/>
                <w:lang w:eastAsia="zh-CN"/>
              </w:rPr>
              <w:t>；</w:t>
            </w:r>
          </w:p>
          <w:p w14:paraId="752183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1.24</w:t>
            </w:r>
            <w:r>
              <w:rPr>
                <w:rFonts w:hint="eastAsia" w:ascii="宋体" w:hAnsi="宋体" w:eastAsia="宋体" w:cs="宋体"/>
              </w:rPr>
              <w:t>智能胎儿多普勒技术：≥六种血流预设，随心切换，提升彩色/频谱/测量工作效率，（可自定义设置）</w:t>
            </w:r>
            <w:r>
              <w:rPr>
                <w:rFonts w:hint="eastAsia" w:ascii="宋体" w:hAnsi="宋体" w:eastAsia="宋体" w:cs="宋体"/>
                <w:lang w:eastAsia="zh-CN"/>
              </w:rPr>
              <w:t>；</w:t>
            </w:r>
          </w:p>
          <w:p w14:paraId="35F0D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1.25</w:t>
            </w:r>
            <w:r>
              <w:rPr>
                <w:rFonts w:hint="eastAsia" w:ascii="宋体" w:hAnsi="宋体" w:eastAsia="宋体" w:cs="宋体"/>
              </w:rPr>
              <w:t>二维灰阶立体成像技术，增加二维图像的立体效果</w:t>
            </w:r>
            <w:r>
              <w:rPr>
                <w:rFonts w:hint="eastAsia" w:ascii="宋体" w:hAnsi="宋体" w:eastAsia="宋体" w:cs="宋体"/>
                <w:lang w:eastAsia="zh-CN"/>
              </w:rPr>
              <w:t>；</w:t>
            </w:r>
          </w:p>
          <w:p w14:paraId="6B6756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1.26</w:t>
            </w:r>
            <w:r>
              <w:rPr>
                <w:rFonts w:hint="eastAsia" w:ascii="宋体" w:hAnsi="宋体" w:eastAsia="宋体" w:cs="宋体"/>
              </w:rPr>
              <w:t>专用超级分辨率成像条件，具有单独选项</w:t>
            </w:r>
            <w:r>
              <w:rPr>
                <w:rFonts w:hint="eastAsia" w:ascii="宋体" w:hAnsi="宋体" w:eastAsia="宋体" w:cs="宋体"/>
                <w:lang w:eastAsia="zh-CN"/>
              </w:rPr>
              <w:t>；</w:t>
            </w:r>
          </w:p>
          <w:p w14:paraId="2470B0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1.27</w:t>
            </w:r>
            <w:r>
              <w:rPr>
                <w:rFonts w:hint="eastAsia" w:ascii="宋体" w:hAnsi="宋体" w:eastAsia="宋体" w:cs="宋体"/>
              </w:rPr>
              <w:t>用户界面颜色、灯光的个性化设置：轨迹球颜色、用户界面照明、主机周边照明、触摸屏配色方案均可自定义设置</w:t>
            </w:r>
            <w:r>
              <w:rPr>
                <w:rFonts w:hint="eastAsia" w:ascii="宋体" w:hAnsi="宋体" w:eastAsia="宋体" w:cs="宋体"/>
                <w:lang w:val="en-US" w:eastAsia="zh-CN"/>
              </w:rPr>
              <w:t>。</w:t>
            </w:r>
          </w:p>
          <w:p w14:paraId="031B53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容积四维成像技术：</w:t>
            </w:r>
          </w:p>
          <w:p w14:paraId="60772B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2.1</w:t>
            </w:r>
            <w:r>
              <w:rPr>
                <w:rFonts w:hint="eastAsia" w:ascii="宋体" w:hAnsi="宋体" w:eastAsia="宋体" w:cs="宋体"/>
              </w:rPr>
              <w:t>支持灰阶及血流三维/四维成像模式，具有虚拟光源移动技术，同时支持≥3个独立的可移动光源。可实现表面成像和透视剪影成像，同时观察组织的外部轮廓和内部结构。彩色血流高清立体成像，立体直观显示血管空间结构关系，更容易判断血管走行及关系彩色血流容积透视剪影。彩色血流容积透视剪影，全新的血流显示方式，通过可调节的边界增强和内部透明技术，更好的显示血管分布及空间关系。</w:t>
            </w:r>
          </w:p>
          <w:p w14:paraId="6C6CA9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2.2</w:t>
            </w:r>
            <w:r>
              <w:rPr>
                <w:rFonts w:hint="eastAsia" w:ascii="宋体" w:hAnsi="宋体" w:eastAsia="宋体" w:cs="宋体"/>
              </w:rPr>
              <w:t>断层超声显像技术</w:t>
            </w:r>
            <w:r>
              <w:rPr>
                <w:rFonts w:hint="eastAsia" w:ascii="宋体" w:hAnsi="宋体" w:eastAsia="宋体" w:cs="宋体"/>
                <w:lang w:eastAsia="zh-CN"/>
              </w:rPr>
              <w:t>；</w:t>
            </w:r>
          </w:p>
          <w:p w14:paraId="78DF27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2.3</w:t>
            </w:r>
            <w:r>
              <w:rPr>
                <w:rFonts w:hint="eastAsia" w:ascii="宋体" w:hAnsi="宋体" w:eastAsia="宋体" w:cs="宋体"/>
              </w:rPr>
              <w:t>具有胎儿自动识别技术，可实时自动跟踪胎儿运动并调整容积成像框位置，快速获得胎儿表面容积成像</w:t>
            </w:r>
            <w:r>
              <w:rPr>
                <w:rFonts w:hint="eastAsia" w:ascii="宋体" w:hAnsi="宋体" w:eastAsia="宋体" w:cs="宋体"/>
                <w:lang w:eastAsia="zh-CN"/>
              </w:rPr>
              <w:t>；</w:t>
            </w:r>
          </w:p>
          <w:p w14:paraId="1144BC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2.4</w:t>
            </w:r>
            <w:r>
              <w:rPr>
                <w:rFonts w:hint="eastAsia" w:ascii="宋体" w:hAnsi="宋体" w:eastAsia="宋体" w:cs="宋体"/>
              </w:rPr>
              <w:t>卵泡智能容积成像，自动彩色编码显示，并按照体积大小排序及计数</w:t>
            </w:r>
            <w:r>
              <w:rPr>
                <w:rFonts w:hint="eastAsia" w:ascii="宋体" w:hAnsi="宋体" w:eastAsia="宋体" w:cs="宋体"/>
                <w:lang w:eastAsia="zh-CN"/>
              </w:rPr>
              <w:t>；</w:t>
            </w:r>
          </w:p>
          <w:p w14:paraId="15A0F8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2.5</w:t>
            </w:r>
            <w:r>
              <w:rPr>
                <w:rFonts w:hint="eastAsia" w:ascii="宋体" w:hAnsi="宋体" w:eastAsia="宋体" w:cs="宋体"/>
              </w:rPr>
              <w:t>专用窦卵泡智能容积成像，自动彩色编码显示，并按照体积大小排序及计数</w:t>
            </w:r>
            <w:r>
              <w:rPr>
                <w:rFonts w:hint="eastAsia" w:ascii="宋体" w:hAnsi="宋体" w:eastAsia="宋体" w:cs="宋体"/>
                <w:lang w:eastAsia="zh-CN"/>
              </w:rPr>
              <w:t>；</w:t>
            </w:r>
          </w:p>
          <w:p w14:paraId="6A6F48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 xml:space="preserve">2.6 </w:t>
            </w:r>
            <w:r>
              <w:rPr>
                <w:rFonts w:hint="eastAsia" w:ascii="宋体" w:hAnsi="宋体" w:eastAsia="宋体" w:cs="宋体"/>
              </w:rPr>
              <w:t>STIC时间空间相关成像技术</w:t>
            </w:r>
            <w:r>
              <w:rPr>
                <w:rFonts w:hint="eastAsia" w:ascii="宋体" w:hAnsi="宋体" w:eastAsia="宋体" w:cs="宋体"/>
                <w:lang w:eastAsia="zh-CN"/>
              </w:rPr>
              <w:t>；</w:t>
            </w:r>
          </w:p>
          <w:p w14:paraId="2ED4B2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 xml:space="preserve">2.7 </w:t>
            </w:r>
            <w:r>
              <w:rPr>
                <w:rFonts w:hint="eastAsia" w:ascii="宋体" w:hAnsi="宋体" w:eastAsia="宋体" w:cs="宋体"/>
              </w:rPr>
              <w:t>STIC胎心容积导航技术，基于STIC容积数据自动获取包括四腔心、左室流出道、右室流出道、胃泡、静脉连接、导管弓、主动脉弓、三血管气管切面</w:t>
            </w:r>
            <w:r>
              <w:rPr>
                <w:rFonts w:hint="eastAsia" w:ascii="宋体" w:hAnsi="宋体" w:eastAsia="宋体" w:cs="宋体"/>
                <w:lang w:eastAsia="zh-CN"/>
              </w:rPr>
              <w:t>；</w:t>
            </w:r>
          </w:p>
          <w:p w14:paraId="20FBE2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2.8</w:t>
            </w:r>
            <w:r>
              <w:rPr>
                <w:rFonts w:hint="eastAsia" w:ascii="宋体" w:hAnsi="宋体" w:eastAsia="宋体" w:cs="宋体"/>
              </w:rPr>
              <w:t>具有实时四维穿刺引导功能，有穿刺引导线</w:t>
            </w:r>
            <w:r>
              <w:rPr>
                <w:rFonts w:hint="eastAsia" w:ascii="宋体" w:hAnsi="宋体" w:eastAsia="宋体" w:cs="宋体"/>
                <w:lang w:eastAsia="zh-CN"/>
              </w:rPr>
              <w:t>；</w:t>
            </w:r>
          </w:p>
          <w:p w14:paraId="0A55C7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2.9</w:t>
            </w:r>
            <w:r>
              <w:rPr>
                <w:rFonts w:hint="eastAsia" w:ascii="宋体" w:hAnsi="宋体" w:eastAsia="宋体" w:cs="宋体"/>
              </w:rPr>
              <w:t>腔内容积探头具有四维实时对比谐波造影功能，支持阴道子宫输卵管超声造影检查</w:t>
            </w:r>
            <w:r>
              <w:rPr>
                <w:rFonts w:hint="eastAsia" w:ascii="宋体" w:hAnsi="宋体" w:eastAsia="宋体" w:cs="宋体"/>
                <w:lang w:eastAsia="zh-CN"/>
              </w:rPr>
              <w:t>；</w:t>
            </w:r>
          </w:p>
          <w:p w14:paraId="68D353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2.10</w:t>
            </w:r>
            <w:r>
              <w:rPr>
                <w:rFonts w:hint="eastAsia" w:ascii="宋体" w:hAnsi="宋体" w:eastAsia="宋体" w:cs="宋体"/>
              </w:rPr>
              <w:t>具备实时容积对比成像技术，对二维图像增加厚度的信息，可以明显提高平面图像的分辨率，增加信息量，提高对组织结构的空间观察。</w:t>
            </w:r>
          </w:p>
          <w:p w14:paraId="4B20D6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2.11</w:t>
            </w:r>
            <w:r>
              <w:rPr>
                <w:rFonts w:hint="eastAsia" w:ascii="宋体" w:hAnsi="宋体" w:eastAsia="宋体" w:cs="宋体"/>
              </w:rPr>
              <w:t>智能中枢神经系统检查：人工智能（AI）工具，基于深度学习算法支持，通过自动寻找成像切面位置，</w:t>
            </w:r>
            <w:r>
              <w:rPr>
                <w:rFonts w:ascii="宋体" w:hAnsi="宋体" w:eastAsia="宋体" w:cs="宋体"/>
                <w:sz w:val="24"/>
                <w:szCs w:val="24"/>
              </w:rPr>
              <w:t>3D 容积智能推荐切面并辅助测量</w:t>
            </w:r>
            <w:r>
              <w:rPr>
                <w:rFonts w:hint="eastAsia" w:ascii="宋体" w:hAnsi="宋体" w:eastAsia="宋体" w:cs="宋体"/>
                <w:lang w:eastAsia="zh-CN"/>
              </w:rPr>
              <w:t>。</w:t>
            </w:r>
            <w:r>
              <w:rPr>
                <w:rFonts w:hint="eastAsia" w:ascii="宋体" w:hAnsi="宋体" w:eastAsia="宋体" w:cs="宋体"/>
              </w:rPr>
              <w:t>自动识别胎儿颅脑正中矢状面，经丘脑平面，经小脑平面，经侧脑室平面4个标准平面。自动同时测量BPD, HC,OFD, CM 后颅窝池, Cerebellum小脑横径, Vp 侧脑室后角6组生物指标</w:t>
            </w:r>
            <w:r>
              <w:rPr>
                <w:rFonts w:hint="eastAsia" w:ascii="宋体" w:hAnsi="宋体" w:eastAsia="宋体" w:cs="宋体"/>
                <w:lang w:eastAsia="zh-CN"/>
              </w:rPr>
              <w:t>；</w:t>
            </w:r>
          </w:p>
          <w:p w14:paraId="538C1F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2.12</w:t>
            </w:r>
            <w:r>
              <w:rPr>
                <w:rFonts w:hint="eastAsia" w:ascii="宋体" w:hAnsi="宋体" w:eastAsia="宋体" w:cs="宋体"/>
              </w:rPr>
              <w:t>智能三维产程监测功能：能够测量胎儿头部进程、旋转和方向，并同时自动产生一个包括了超声波客观数据、手动输入数据在内的产程报告</w:t>
            </w:r>
            <w:r>
              <w:rPr>
                <w:rFonts w:hint="eastAsia" w:ascii="宋体" w:hAnsi="宋体" w:eastAsia="宋体" w:cs="宋体"/>
                <w:lang w:eastAsia="zh-CN"/>
              </w:rPr>
              <w:t>；</w:t>
            </w:r>
          </w:p>
          <w:p w14:paraId="1A2B7C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2.13</w:t>
            </w:r>
            <w:r>
              <w:rPr>
                <w:rFonts w:hint="eastAsia" w:ascii="宋体" w:hAnsi="宋体" w:eastAsia="宋体" w:cs="宋体"/>
              </w:rPr>
              <w:t>容积智能斑点噪声抑制技术：通过特殊算法对体素进行实时优化，可优化重建容积图像以及各个平面特别是冠状面上的图像品质</w:t>
            </w:r>
            <w:r>
              <w:rPr>
                <w:rFonts w:hint="eastAsia" w:ascii="宋体" w:hAnsi="宋体" w:eastAsia="宋体" w:cs="宋体"/>
                <w:lang w:eastAsia="zh-CN"/>
              </w:rPr>
              <w:t>；</w:t>
            </w:r>
          </w:p>
          <w:p w14:paraId="16B466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Ai超声智能系列技术：</w:t>
            </w:r>
          </w:p>
          <w:p w14:paraId="45F97D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3.1</w:t>
            </w:r>
            <w:r>
              <w:rPr>
                <w:rFonts w:hint="eastAsia" w:ascii="宋体" w:hAnsi="宋体" w:eastAsia="宋体" w:cs="宋体"/>
              </w:rPr>
              <w:t>智能产筛切面识别：遵循 ISUOG 常规孕中期胎儿超声扫描实践指南，自动检测识别≥21个标准切面。支持自动注释及测量。改进产筛工作流程，减少操作的差异性，提高一致性</w:t>
            </w:r>
            <w:r>
              <w:rPr>
                <w:rFonts w:hint="eastAsia" w:ascii="宋体" w:hAnsi="宋体" w:eastAsia="宋体" w:cs="宋体"/>
                <w:lang w:eastAsia="zh-CN"/>
              </w:rPr>
              <w:t>；</w:t>
            </w:r>
          </w:p>
          <w:p w14:paraId="32E09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3.2</w:t>
            </w:r>
            <w:r>
              <w:rPr>
                <w:rFonts w:hint="eastAsia" w:ascii="宋体" w:hAnsi="宋体" w:eastAsia="宋体" w:cs="宋体"/>
              </w:rPr>
              <w:t>智能产筛质量控制</w:t>
            </w:r>
            <w:r>
              <w:rPr>
                <w:rFonts w:hint="eastAsia" w:ascii="宋体" w:hAnsi="宋体" w:eastAsia="宋体" w:cs="宋体"/>
                <w:lang w:eastAsia="zh-CN"/>
              </w:rPr>
              <w:t>：实时切面智能比对，内置解剖示意图与标准图库，支持一键参考对比；防漏筛，确保图像质量一致性与筛查合规性；</w:t>
            </w:r>
          </w:p>
          <w:p w14:paraId="3390BD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3.3</w:t>
            </w:r>
            <w:r>
              <w:rPr>
                <w:rFonts w:hint="eastAsia" w:ascii="宋体" w:hAnsi="宋体" w:eastAsia="宋体" w:cs="宋体"/>
              </w:rPr>
              <w:t>智能先心病筛查技术：AI-胎心检查导航，通过文字说明、参考图像和正常解剖结构示意图，分步指导如何识别正常解剖结构及扫描流程。AI智能生成四腔心切面、三血管/三血管气管切面以及心轴角度</w:t>
            </w:r>
            <w:r>
              <w:rPr>
                <w:rFonts w:hint="eastAsia" w:ascii="宋体" w:hAnsi="宋体" w:eastAsia="宋体" w:cs="宋体"/>
                <w:lang w:eastAsia="zh-CN"/>
              </w:rPr>
              <w:t>；</w:t>
            </w:r>
          </w:p>
          <w:p w14:paraId="220A1B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3.4</w:t>
            </w:r>
            <w:r>
              <w:rPr>
                <w:rFonts w:hint="eastAsia" w:ascii="宋体" w:hAnsi="宋体" w:eastAsia="宋体" w:cs="宋体"/>
              </w:rPr>
              <w:t>智能盆底检查:基于人工智能（AI），遵循国际规范,自动获得盆底测量，</w:t>
            </w:r>
            <w:r>
              <w:rPr>
                <w:rFonts w:hint="eastAsia"/>
                <w:lang w:val="en-US" w:eastAsia="zh-CN"/>
              </w:rPr>
              <w:t>具有可重复性</w:t>
            </w:r>
            <w:r>
              <w:rPr>
                <w:rFonts w:hint="eastAsia" w:ascii="宋体" w:hAnsi="宋体" w:eastAsia="宋体" w:cs="宋体"/>
              </w:rPr>
              <w:t>。自动寻找valsalva和缩肛状态下，最大裂孔平面位置;自动测量肛提肌裂孔的面积、周长、前后径和左右径。</w:t>
            </w:r>
          </w:p>
          <w:p w14:paraId="219A4D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测量和分析（B型、M型、频谱多普勒、彩色模式）</w:t>
            </w:r>
          </w:p>
          <w:p w14:paraId="0073B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4.1</w:t>
            </w:r>
            <w:r>
              <w:rPr>
                <w:rFonts w:hint="eastAsia" w:ascii="宋体" w:hAnsi="宋体" w:eastAsia="宋体" w:cs="宋体"/>
              </w:rPr>
              <w:t>一般测量</w:t>
            </w:r>
            <w:r>
              <w:rPr>
                <w:rFonts w:hint="eastAsia" w:ascii="宋体" w:hAnsi="宋体" w:eastAsia="宋体" w:cs="宋体"/>
                <w:lang w:eastAsia="zh-CN"/>
              </w:rPr>
              <w:t>；</w:t>
            </w:r>
          </w:p>
          <w:p w14:paraId="570757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4.2</w:t>
            </w:r>
            <w:r>
              <w:rPr>
                <w:rFonts w:hint="eastAsia" w:ascii="宋体" w:hAnsi="宋体" w:eastAsia="宋体" w:cs="宋体"/>
              </w:rPr>
              <w:t>多普勒血流测量与分析，具有自动包络功能</w:t>
            </w:r>
            <w:r>
              <w:rPr>
                <w:rFonts w:hint="eastAsia" w:ascii="宋体" w:hAnsi="宋体" w:eastAsia="宋体" w:cs="宋体"/>
                <w:lang w:eastAsia="zh-CN"/>
              </w:rPr>
              <w:t>；</w:t>
            </w:r>
          </w:p>
          <w:p w14:paraId="75D572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4.3</w:t>
            </w:r>
            <w:r>
              <w:rPr>
                <w:rFonts w:hint="eastAsia" w:ascii="宋体" w:hAnsi="宋体" w:eastAsia="宋体" w:cs="宋体"/>
              </w:rPr>
              <w:t>妇产，心脏，血管，儿科等测量与分析</w:t>
            </w:r>
            <w:r>
              <w:rPr>
                <w:rFonts w:hint="eastAsia" w:ascii="宋体" w:hAnsi="宋体" w:eastAsia="宋体" w:cs="宋体"/>
                <w:lang w:eastAsia="zh-CN"/>
              </w:rPr>
              <w:t>；</w:t>
            </w:r>
          </w:p>
          <w:p w14:paraId="6DA47C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4.4</w:t>
            </w:r>
            <w:r>
              <w:rPr>
                <w:rFonts w:hint="eastAsia" w:ascii="宋体" w:hAnsi="宋体" w:eastAsia="宋体" w:cs="宋体"/>
              </w:rPr>
              <w:t>胎儿生长指标自动测量功能，包括胎儿双顶径、枕额径、头围、腹围、股骨长、肱骨长</w:t>
            </w:r>
            <w:r>
              <w:rPr>
                <w:rFonts w:hint="eastAsia" w:ascii="宋体" w:hAnsi="宋体" w:eastAsia="宋体" w:cs="宋体"/>
                <w:lang w:eastAsia="zh-CN"/>
              </w:rPr>
              <w:t>；</w:t>
            </w:r>
          </w:p>
          <w:p w14:paraId="08088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4.5</w:t>
            </w:r>
            <w:r>
              <w:rPr>
                <w:rFonts w:hint="eastAsia" w:ascii="宋体" w:hAnsi="宋体" w:eastAsia="宋体" w:cs="宋体"/>
              </w:rPr>
              <w:t>自动NT及IT测量技术</w:t>
            </w:r>
            <w:r>
              <w:rPr>
                <w:rFonts w:hint="eastAsia" w:ascii="宋体" w:hAnsi="宋体" w:eastAsia="宋体" w:cs="宋体"/>
                <w:lang w:eastAsia="zh-CN"/>
              </w:rPr>
              <w:t>；</w:t>
            </w:r>
          </w:p>
          <w:p w14:paraId="0E5524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4.6</w:t>
            </w:r>
            <w:r>
              <w:rPr>
                <w:rFonts w:hint="eastAsia" w:ascii="宋体" w:hAnsi="宋体" w:eastAsia="宋体" w:cs="宋体"/>
              </w:rPr>
              <w:t>自动胎心率测量技术</w:t>
            </w:r>
            <w:r>
              <w:rPr>
                <w:rFonts w:hint="eastAsia" w:ascii="宋体" w:hAnsi="宋体" w:eastAsia="宋体" w:cs="宋体"/>
                <w:lang w:eastAsia="zh-CN"/>
              </w:rPr>
              <w:t>；</w:t>
            </w:r>
          </w:p>
          <w:p w14:paraId="268804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4.7</w:t>
            </w:r>
            <w:r>
              <w:rPr>
                <w:rFonts w:hint="eastAsia" w:ascii="宋体" w:hAnsi="宋体" w:eastAsia="宋体" w:cs="宋体"/>
              </w:rPr>
              <w:t>不规则体积测量技术，快速测量一个或多个低回声的不规则体的体积</w:t>
            </w:r>
            <w:r>
              <w:rPr>
                <w:rFonts w:hint="eastAsia" w:ascii="宋体" w:hAnsi="宋体" w:eastAsia="宋体" w:cs="宋体"/>
                <w:lang w:eastAsia="zh-CN"/>
              </w:rPr>
              <w:t>；</w:t>
            </w:r>
          </w:p>
          <w:p w14:paraId="186445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4.8</w:t>
            </w:r>
            <w:r>
              <w:rPr>
                <w:rFonts w:hint="eastAsia" w:ascii="宋体" w:hAnsi="宋体" w:eastAsia="宋体" w:cs="宋体"/>
              </w:rPr>
              <w:t>容积能量模式直方图技术，结合不规则体积测量可计算血管指数VI，FI和VFI</w:t>
            </w:r>
            <w:r>
              <w:rPr>
                <w:rFonts w:hint="eastAsia" w:ascii="宋体" w:hAnsi="宋体" w:eastAsia="宋体" w:cs="宋体"/>
                <w:lang w:eastAsia="zh-CN"/>
              </w:rPr>
              <w:t>；</w:t>
            </w:r>
          </w:p>
          <w:p w14:paraId="376013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4.9</w:t>
            </w:r>
            <w:r>
              <w:rPr>
                <w:rFonts w:hint="eastAsia" w:ascii="宋体" w:hAnsi="宋体" w:eastAsia="宋体" w:cs="宋体"/>
              </w:rPr>
              <w:t>基于二维斑点追踪技术同时对左右心室进行24段定量分析功能，对胎儿心脏的大小、形状、收缩力进行自动测量及分析，可显示直观全面的评估报告</w:t>
            </w:r>
            <w:r>
              <w:rPr>
                <w:rFonts w:hint="eastAsia" w:ascii="宋体" w:hAnsi="宋体" w:eastAsia="宋体" w:cs="宋体"/>
                <w:lang w:eastAsia="zh-CN"/>
              </w:rPr>
              <w:t>；</w:t>
            </w:r>
          </w:p>
          <w:p w14:paraId="4A439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图像存储、管理及回放重现</w:t>
            </w:r>
          </w:p>
          <w:p w14:paraId="0A4C8A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5.1</w:t>
            </w:r>
            <w:r>
              <w:rPr>
                <w:rFonts w:hint="eastAsia" w:ascii="宋体" w:hAnsi="宋体" w:eastAsia="宋体" w:cs="宋体"/>
              </w:rPr>
              <w:t>输入/输出信号：USB, HDMI, S-Video, VGA</w:t>
            </w:r>
            <w:r>
              <w:rPr>
                <w:rFonts w:hint="eastAsia" w:ascii="宋体" w:hAnsi="宋体" w:eastAsia="宋体" w:cs="宋体"/>
                <w:lang w:eastAsia="zh-CN"/>
              </w:rPr>
              <w:t>；</w:t>
            </w:r>
          </w:p>
          <w:p w14:paraId="370191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5.2</w:t>
            </w:r>
            <w:r>
              <w:rPr>
                <w:rFonts w:hint="eastAsia" w:ascii="宋体" w:hAnsi="宋体" w:eastAsia="宋体" w:cs="宋体"/>
              </w:rPr>
              <w:t>连通性：医学数字图像和通信DICOM 3.0</w:t>
            </w:r>
            <w:r>
              <w:rPr>
                <w:rFonts w:hint="eastAsia" w:ascii="宋体" w:hAnsi="宋体" w:eastAsia="宋体" w:cs="宋体"/>
                <w:lang w:eastAsia="zh-CN"/>
              </w:rPr>
              <w:t>；</w:t>
            </w:r>
          </w:p>
          <w:p w14:paraId="121D2F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5.3</w:t>
            </w:r>
            <w:r>
              <w:rPr>
                <w:rFonts w:hint="eastAsia" w:ascii="宋体" w:hAnsi="宋体" w:eastAsia="宋体" w:cs="宋体"/>
              </w:rPr>
              <w:t>超声图像存档与病案管理系统</w:t>
            </w:r>
            <w:r>
              <w:rPr>
                <w:rFonts w:hint="eastAsia" w:ascii="宋体" w:hAnsi="宋体" w:eastAsia="宋体" w:cs="宋体"/>
                <w:lang w:eastAsia="zh-CN"/>
              </w:rPr>
              <w:t>；</w:t>
            </w:r>
          </w:p>
          <w:p w14:paraId="1E8703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5.4</w:t>
            </w:r>
            <w:r>
              <w:rPr>
                <w:rFonts w:hint="eastAsia" w:ascii="宋体" w:hAnsi="宋体" w:eastAsia="宋体" w:cs="宋体"/>
              </w:rPr>
              <w:t>回放重现单元</w:t>
            </w:r>
            <w:r>
              <w:rPr>
                <w:rFonts w:hint="eastAsia" w:ascii="宋体" w:hAnsi="宋体" w:eastAsia="宋体" w:cs="宋体"/>
                <w:lang w:eastAsia="zh-CN"/>
              </w:rPr>
              <w:t>；</w:t>
            </w:r>
          </w:p>
          <w:p w14:paraId="1A1F5F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5.5</w:t>
            </w:r>
            <w:r>
              <w:rPr>
                <w:rFonts w:hint="eastAsia" w:ascii="宋体" w:hAnsi="宋体" w:eastAsia="宋体" w:cs="宋体"/>
              </w:rPr>
              <w:t>硬盘容量≥2T</w:t>
            </w:r>
            <w:r>
              <w:rPr>
                <w:rFonts w:hint="eastAsia" w:ascii="宋体" w:hAnsi="宋体" w:eastAsia="宋体" w:cs="宋体"/>
                <w:lang w:eastAsia="zh-CN"/>
              </w:rPr>
              <w:t>；</w:t>
            </w:r>
          </w:p>
          <w:p w14:paraId="507419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5.6</w:t>
            </w:r>
            <w:r>
              <w:rPr>
                <w:rFonts w:hint="eastAsia" w:ascii="宋体" w:hAnsi="宋体" w:eastAsia="宋体" w:cs="宋体"/>
              </w:rPr>
              <w:t>一体化剪帖板：(在屏幕上)可以存储和回放动态及静态图像</w:t>
            </w:r>
            <w:r>
              <w:rPr>
                <w:rFonts w:hint="eastAsia" w:ascii="宋体" w:hAnsi="宋体" w:eastAsia="宋体" w:cs="宋体"/>
                <w:lang w:eastAsia="zh-CN"/>
              </w:rPr>
              <w:t>；</w:t>
            </w:r>
          </w:p>
          <w:p w14:paraId="10B1DF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5.7</w:t>
            </w:r>
            <w:r>
              <w:rPr>
                <w:rFonts w:hint="eastAsia" w:ascii="宋体" w:hAnsi="宋体" w:eastAsia="宋体" w:cs="宋体"/>
              </w:rPr>
              <w:t>支持输出3D打印格式，包括STL、OBJ、PLY、3MF、XYZ格式</w:t>
            </w:r>
            <w:r>
              <w:rPr>
                <w:rFonts w:hint="eastAsia" w:ascii="宋体" w:hAnsi="宋体" w:eastAsia="宋体" w:cs="宋体"/>
                <w:lang w:eastAsia="zh-CN"/>
              </w:rPr>
              <w:t>；</w:t>
            </w:r>
          </w:p>
          <w:p w14:paraId="3DDCF4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6.</w:t>
            </w:r>
            <w:r>
              <w:rPr>
                <w:rFonts w:hint="eastAsia" w:ascii="宋体" w:hAnsi="宋体" w:eastAsia="宋体" w:cs="宋体"/>
              </w:rPr>
              <w:t>技术参数要求</w:t>
            </w:r>
          </w:p>
          <w:p w14:paraId="769571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lang w:val="en-US" w:eastAsia="zh-CN"/>
              </w:rPr>
              <w:t>6.1</w:t>
            </w:r>
            <w:r>
              <w:rPr>
                <w:rFonts w:hint="eastAsia" w:ascii="宋体" w:hAnsi="宋体" w:eastAsia="宋体" w:cs="宋体"/>
                <w:highlight w:val="none"/>
              </w:rPr>
              <w:t>监视器≥23英寸高分辨率LCD监视器</w:t>
            </w:r>
          </w:p>
          <w:p w14:paraId="5C3FA7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6.2</w:t>
            </w:r>
            <w:r>
              <w:rPr>
                <w:rFonts w:hint="eastAsia" w:ascii="宋体" w:hAnsi="宋体" w:eastAsia="宋体" w:cs="宋体"/>
              </w:rPr>
              <w:t>操作控制台，可单键电动垂直调节高度，并可左右转动、前后移动和锁定</w:t>
            </w:r>
          </w:p>
          <w:p w14:paraId="30D29F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6.3</w:t>
            </w:r>
            <w:r>
              <w:rPr>
                <w:rFonts w:hint="eastAsia" w:ascii="宋体" w:hAnsi="宋体" w:eastAsia="宋体" w:cs="宋体"/>
              </w:rPr>
              <w:t>探头接口：≥4个，探头接口为无针式接口</w:t>
            </w:r>
          </w:p>
          <w:p w14:paraId="3D45F9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6.4</w:t>
            </w:r>
            <w:r>
              <w:rPr>
                <w:rFonts w:hint="eastAsia" w:ascii="宋体" w:hAnsi="宋体" w:eastAsia="宋体" w:cs="宋体"/>
              </w:rPr>
              <w:t>≥15.6英寸多点触控触摸屏</w:t>
            </w:r>
          </w:p>
          <w:p w14:paraId="5BF045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6.5</w:t>
            </w:r>
            <w:r>
              <w:rPr>
                <w:rFonts w:hint="eastAsia" w:ascii="宋体" w:hAnsi="宋体" w:eastAsia="宋体" w:cs="宋体"/>
              </w:rPr>
              <w:t>空间分辨率：符合GB10152-2009国家标准</w:t>
            </w:r>
          </w:p>
          <w:p w14:paraId="5FED5F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6.6</w:t>
            </w:r>
            <w:r>
              <w:rPr>
                <w:rFonts w:hint="eastAsia" w:ascii="宋体" w:hAnsi="宋体" w:eastAsia="宋体" w:cs="宋体"/>
              </w:rPr>
              <w:t>超声功率输出调节：B/M、PWD、Color Doppler输出功率可调</w:t>
            </w:r>
          </w:p>
          <w:p w14:paraId="33EC01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探头</w:t>
            </w:r>
          </w:p>
          <w:p w14:paraId="2377AF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7.1</w:t>
            </w:r>
            <w:r>
              <w:rPr>
                <w:rFonts w:hint="eastAsia" w:ascii="宋体" w:hAnsi="宋体" w:eastAsia="宋体" w:cs="宋体"/>
              </w:rPr>
              <w:t>频率：超宽频、变频探头，工作频率可显示，变频探头中心频率可选择≥3种，多普勒频率≥3种。</w:t>
            </w:r>
          </w:p>
          <w:p w14:paraId="5BFDC9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7.2</w:t>
            </w:r>
            <w:r>
              <w:rPr>
                <w:rFonts w:hint="eastAsia" w:ascii="宋体" w:hAnsi="宋体" w:eastAsia="宋体" w:cs="宋体"/>
              </w:rPr>
              <w:t>腔内容积凸阵探头：超声频率4.0 — 9.0 MHz</w:t>
            </w:r>
          </w:p>
          <w:p w14:paraId="527C29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7.3</w:t>
            </w:r>
            <w:r>
              <w:rPr>
                <w:rFonts w:hint="eastAsia" w:ascii="宋体" w:hAnsi="宋体" w:eastAsia="宋体" w:cs="宋体"/>
              </w:rPr>
              <w:t>腔内容积凸阵探头：阵元数≥192，成像角度≥185°。</w:t>
            </w:r>
          </w:p>
          <w:p w14:paraId="39DC0E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7.4</w:t>
            </w:r>
            <w:r>
              <w:rPr>
                <w:rFonts w:hint="eastAsia" w:ascii="宋体" w:hAnsi="宋体" w:eastAsia="宋体" w:cs="宋体"/>
              </w:rPr>
              <w:t>腹部二维凸阵探头：超声频率2.0 — 5.0 MHz，阵元数≥192</w:t>
            </w:r>
          </w:p>
          <w:p w14:paraId="43FC9A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7.5</w:t>
            </w:r>
            <w:r>
              <w:rPr>
                <w:rFonts w:hint="eastAsia" w:ascii="宋体" w:hAnsi="宋体" w:eastAsia="宋体" w:cs="宋体"/>
              </w:rPr>
              <w:t>腹部二维凸阵探头：阵元数≥192，成像角度≥112°。</w:t>
            </w:r>
          </w:p>
          <w:p w14:paraId="7C24D0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7.6</w:t>
            </w:r>
            <w:r>
              <w:rPr>
                <w:rFonts w:hint="eastAsia" w:ascii="宋体" w:hAnsi="宋体" w:eastAsia="宋体" w:cs="宋体"/>
              </w:rPr>
              <w:t>线阵探头：超声频率3.0 —8.0 MHz，阵元数≥1000阵元。</w:t>
            </w:r>
          </w:p>
          <w:p w14:paraId="4E453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7.7</w:t>
            </w:r>
            <w:r>
              <w:rPr>
                <w:rFonts w:hint="eastAsia" w:ascii="宋体" w:hAnsi="宋体" w:eastAsia="宋体" w:cs="宋体"/>
              </w:rPr>
              <w:t>腹部冰晶面阵容积探头：超声频率2.0 —8.0 MHz，阵元数≥500阵元</w:t>
            </w:r>
            <w:r>
              <w:rPr>
                <w:rFonts w:hint="eastAsia" w:ascii="宋体" w:hAnsi="宋体" w:eastAsia="宋体" w:cs="宋体"/>
                <w:lang w:eastAsia="zh-CN"/>
              </w:rPr>
              <w:t>；</w:t>
            </w:r>
          </w:p>
          <w:p w14:paraId="7C717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7.8</w:t>
            </w:r>
            <w:r>
              <w:rPr>
                <w:rFonts w:hint="eastAsia" w:ascii="宋体" w:hAnsi="宋体" w:eastAsia="宋体" w:cs="宋体"/>
              </w:rPr>
              <w:t>单晶体二维凸阵探头，超声频率3.0 – 9.0 MHz</w:t>
            </w:r>
            <w:r>
              <w:rPr>
                <w:rFonts w:hint="eastAsia" w:ascii="宋体" w:hAnsi="宋体" w:eastAsia="宋体" w:cs="宋体"/>
                <w:lang w:eastAsia="zh-CN"/>
              </w:rPr>
              <w:t>；</w:t>
            </w:r>
          </w:p>
          <w:p w14:paraId="1A74FA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7.9</w:t>
            </w:r>
            <w:r>
              <w:rPr>
                <w:rFonts w:hint="eastAsia" w:ascii="宋体" w:hAnsi="宋体" w:eastAsia="宋体" w:cs="宋体"/>
              </w:rPr>
              <w:t>可选配小线阵术中探头</w:t>
            </w:r>
          </w:p>
          <w:p w14:paraId="16888A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二维灰阶及容积成像主要参数</w:t>
            </w:r>
          </w:p>
          <w:p w14:paraId="117C1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8.1</w:t>
            </w:r>
            <w:r>
              <w:rPr>
                <w:rFonts w:hint="eastAsia" w:ascii="宋体" w:hAnsi="宋体" w:eastAsia="宋体" w:cs="宋体"/>
              </w:rPr>
              <w:t>凸阵探头，全视野，17cm深度时，在最高线密度下，二维帧频≥30帧/秒；</w:t>
            </w:r>
          </w:p>
          <w:p w14:paraId="45BECE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8.2</w:t>
            </w:r>
            <w:r>
              <w:rPr>
                <w:rFonts w:hint="eastAsia" w:ascii="宋体" w:hAnsi="宋体" w:eastAsia="宋体" w:cs="宋体"/>
              </w:rPr>
              <w:t>四维成像最高帧频≥1000帧/秒</w:t>
            </w:r>
            <w:r>
              <w:rPr>
                <w:rFonts w:hint="eastAsia" w:ascii="宋体" w:hAnsi="宋体" w:cs="宋体"/>
                <w:lang w:eastAsia="zh-CN"/>
              </w:rPr>
              <w:t>；</w:t>
            </w:r>
          </w:p>
          <w:p w14:paraId="1D651A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8.3</w:t>
            </w:r>
            <w:r>
              <w:rPr>
                <w:rFonts w:hint="eastAsia" w:ascii="宋体" w:hAnsi="宋体" w:eastAsia="宋体" w:cs="宋体"/>
              </w:rPr>
              <w:t>数字集成化智能TGC分段≥8段</w:t>
            </w:r>
            <w:r>
              <w:rPr>
                <w:rFonts w:hint="eastAsia" w:ascii="宋体" w:hAnsi="宋体" w:cs="宋体"/>
                <w:lang w:eastAsia="zh-CN"/>
              </w:rPr>
              <w:t>；</w:t>
            </w:r>
          </w:p>
          <w:p w14:paraId="658232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8.4</w:t>
            </w:r>
            <w:r>
              <w:rPr>
                <w:rFonts w:hint="eastAsia" w:ascii="宋体" w:hAnsi="宋体" w:eastAsia="宋体" w:cs="宋体"/>
              </w:rPr>
              <w:t>二维成像扫描深度≥46cm</w:t>
            </w:r>
            <w:r>
              <w:rPr>
                <w:rFonts w:hint="eastAsia" w:ascii="宋体" w:hAnsi="宋体" w:cs="宋体"/>
                <w:lang w:eastAsia="zh-CN"/>
              </w:rPr>
              <w:t>；</w:t>
            </w:r>
          </w:p>
          <w:p w14:paraId="35B367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8.5</w:t>
            </w:r>
            <w:r>
              <w:rPr>
                <w:rFonts w:hint="eastAsia" w:ascii="宋体" w:hAnsi="宋体" w:eastAsia="宋体" w:cs="宋体"/>
              </w:rPr>
              <w:t>回放重现：灰阶图像回放≥4000幅，四维图像回放≥400容积帧</w:t>
            </w:r>
            <w:r>
              <w:rPr>
                <w:rFonts w:hint="eastAsia" w:ascii="宋体" w:hAnsi="宋体" w:cs="宋体"/>
                <w:lang w:eastAsia="zh-CN"/>
              </w:rPr>
              <w:t>；</w:t>
            </w:r>
          </w:p>
          <w:p w14:paraId="27F51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8.6</w:t>
            </w:r>
            <w:r>
              <w:rPr>
                <w:rFonts w:hint="eastAsia" w:ascii="宋体" w:hAnsi="宋体" w:eastAsia="宋体" w:cs="宋体"/>
              </w:rPr>
              <w:t>系统动态范围≥415dB</w:t>
            </w:r>
            <w:r>
              <w:rPr>
                <w:rFonts w:hint="eastAsia" w:ascii="宋体" w:hAnsi="宋体" w:cs="宋体"/>
                <w:lang w:eastAsia="zh-CN"/>
              </w:rPr>
              <w:t>；</w:t>
            </w:r>
          </w:p>
          <w:p w14:paraId="34E9B1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8.7</w:t>
            </w:r>
            <w:r>
              <w:rPr>
                <w:rFonts w:hint="eastAsia" w:ascii="宋体" w:hAnsi="宋体" w:eastAsia="宋体" w:cs="宋体"/>
              </w:rPr>
              <w:t>预设条件</w:t>
            </w:r>
            <w:r>
              <w:rPr>
                <w:rFonts w:hint="eastAsia" w:ascii="宋体" w:hAnsi="宋体" w:cs="宋体"/>
                <w:lang w:eastAsia="zh-CN"/>
              </w:rPr>
              <w:t>：</w:t>
            </w:r>
            <w:r>
              <w:rPr>
                <w:rFonts w:hint="eastAsia" w:ascii="宋体" w:hAnsi="宋体" w:eastAsia="宋体" w:cs="宋体"/>
              </w:rPr>
              <w:t>针对不同的检查脏器，预置最佳化图像的检查条件，减少操作时的调节，及常用所需的外部调节及组合调节</w:t>
            </w:r>
            <w:r>
              <w:rPr>
                <w:rFonts w:hint="eastAsia" w:ascii="宋体" w:hAnsi="宋体" w:cs="宋体"/>
                <w:lang w:eastAsia="zh-CN"/>
              </w:rPr>
              <w:t>；</w:t>
            </w:r>
          </w:p>
          <w:p w14:paraId="7B5558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频谱多普勒</w:t>
            </w:r>
          </w:p>
          <w:p w14:paraId="4A9DD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9.1</w:t>
            </w:r>
            <w:r>
              <w:rPr>
                <w:rFonts w:hint="eastAsia" w:ascii="宋体" w:hAnsi="宋体" w:eastAsia="宋体" w:cs="宋体"/>
              </w:rPr>
              <w:t>方式：PW，CW</w:t>
            </w:r>
            <w:r>
              <w:rPr>
                <w:rFonts w:hint="eastAsia" w:ascii="宋体" w:hAnsi="宋体" w:cs="宋体"/>
                <w:lang w:eastAsia="zh-CN"/>
              </w:rPr>
              <w:t>；</w:t>
            </w:r>
          </w:p>
          <w:p w14:paraId="25368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9.2</w:t>
            </w:r>
            <w:r>
              <w:rPr>
                <w:rFonts w:hint="eastAsia" w:ascii="宋体" w:hAnsi="宋体" w:eastAsia="宋体" w:cs="宋体"/>
              </w:rPr>
              <w:t>多普勒发射频率可视可调，中心频率明确显示</w:t>
            </w:r>
            <w:r>
              <w:rPr>
                <w:rFonts w:hint="eastAsia" w:ascii="宋体" w:hAnsi="宋体" w:cs="宋体"/>
                <w:lang w:eastAsia="zh-CN"/>
              </w:rPr>
              <w:t>；</w:t>
            </w:r>
          </w:p>
          <w:p w14:paraId="26A533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 xml:space="preserve">9.3 </w:t>
            </w:r>
            <w:r>
              <w:rPr>
                <w:rFonts w:hint="eastAsia" w:ascii="宋体" w:hAnsi="宋体" w:eastAsia="宋体" w:cs="宋体"/>
              </w:rPr>
              <w:t>PWD：血流速度≥10m/s；CWD：血流速度≥21m/s</w:t>
            </w:r>
            <w:r>
              <w:rPr>
                <w:rFonts w:hint="eastAsia" w:ascii="宋体" w:hAnsi="宋体" w:cs="宋体"/>
                <w:lang w:eastAsia="zh-CN"/>
              </w:rPr>
              <w:t>；</w:t>
            </w:r>
          </w:p>
          <w:p w14:paraId="4B72E9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9.4</w:t>
            </w:r>
            <w:r>
              <w:rPr>
                <w:rFonts w:hint="eastAsia" w:ascii="宋体" w:hAnsi="宋体" w:eastAsia="宋体" w:cs="宋体"/>
              </w:rPr>
              <w:t>最低测量速度：≤10mm/s （非噪声信号）</w:t>
            </w:r>
            <w:r>
              <w:rPr>
                <w:rFonts w:hint="eastAsia" w:ascii="宋体" w:hAnsi="宋体" w:cs="宋体"/>
                <w:lang w:eastAsia="zh-CN"/>
              </w:rPr>
              <w:t>；</w:t>
            </w:r>
          </w:p>
          <w:p w14:paraId="1CF49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 xml:space="preserve">9.5 </w:t>
            </w:r>
            <w:r>
              <w:rPr>
                <w:rFonts w:hint="eastAsia" w:ascii="宋体" w:hAnsi="宋体" w:eastAsia="宋体" w:cs="宋体"/>
              </w:rPr>
              <w:t>PW最小取样容积≤0.2mm</w:t>
            </w:r>
            <w:r>
              <w:rPr>
                <w:rFonts w:hint="eastAsia" w:ascii="宋体" w:hAnsi="宋体" w:cs="宋体"/>
                <w:lang w:eastAsia="zh-CN"/>
              </w:rPr>
              <w:t>；</w:t>
            </w:r>
          </w:p>
          <w:p w14:paraId="585F7F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彩色多普勒</w:t>
            </w:r>
          </w:p>
          <w:p w14:paraId="14800F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val="en-US" w:eastAsia="zh-CN"/>
              </w:rPr>
              <w:t>10.1</w:t>
            </w:r>
            <w:r>
              <w:rPr>
                <w:rFonts w:hint="eastAsia" w:ascii="宋体" w:hAnsi="宋体" w:eastAsia="宋体" w:cs="宋体"/>
              </w:rPr>
              <w:t>显示方式：能量显示，速度显示、二维立体血流显示</w:t>
            </w:r>
            <w:r>
              <w:rPr>
                <w:rFonts w:hint="eastAsia" w:ascii="宋体" w:hAnsi="宋体" w:cs="宋体"/>
                <w:lang w:eastAsia="zh-CN"/>
              </w:rPr>
              <w:t>；</w:t>
            </w:r>
          </w:p>
          <w:p w14:paraId="59DFE8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10.2</w:t>
            </w:r>
            <w:r>
              <w:rPr>
                <w:rFonts w:hint="eastAsia" w:ascii="宋体" w:hAnsi="宋体" w:eastAsia="宋体" w:cs="宋体"/>
              </w:rPr>
              <w:t>凸阵探头，全视野，17cm深度时，在最高线密度下，彩色帧频≥10帧/秒；</w:t>
            </w:r>
          </w:p>
          <w:p w14:paraId="2E73C9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10.3</w:t>
            </w:r>
            <w:r>
              <w:rPr>
                <w:rFonts w:hint="eastAsia" w:ascii="宋体" w:hAnsi="宋体" w:eastAsia="宋体" w:cs="宋体"/>
              </w:rPr>
              <w:t>凸阵容积探头，全视野，17cm深度时，四维彩色成像帧频≥9帧/秒</w:t>
            </w:r>
          </w:p>
          <w:p w14:paraId="36DCB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10.4</w:t>
            </w:r>
            <w:r>
              <w:rPr>
                <w:rFonts w:hint="eastAsia" w:ascii="宋体" w:hAnsi="宋体" w:eastAsia="宋体" w:cs="宋体"/>
              </w:rPr>
              <w:t>彩色显示速度：最低平均血流测量速度≤5mm/s（非噪声信号）</w:t>
            </w:r>
          </w:p>
          <w:p w14:paraId="28974FB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lang w:val="en-US" w:eastAsia="zh-CN"/>
              </w:rPr>
              <w:t>10.5</w:t>
            </w:r>
            <w:r>
              <w:rPr>
                <w:rFonts w:hint="eastAsia" w:ascii="宋体" w:hAnsi="宋体" w:eastAsia="宋体" w:cs="宋体"/>
              </w:rPr>
              <w:t>彩色增强功能：彩色多普勒能量图，方向性能量图</w:t>
            </w:r>
          </w:p>
          <w:p w14:paraId="0F71C95D">
            <w:pPr>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lang w:val="en-US" w:eastAsia="zh-CN"/>
                <w14:textFill>
                  <w14:solidFill>
                    <w14:schemeClr w14:val="tx1"/>
                  </w14:solidFill>
                </w14:textFill>
              </w:rPr>
              <w:t>配置清单</w:t>
            </w:r>
          </w:p>
          <w:tbl>
            <w:tblPr>
              <w:tblStyle w:val="41"/>
              <w:tblW w:w="6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3807"/>
              <w:gridCol w:w="988"/>
              <w:gridCol w:w="975"/>
            </w:tblGrid>
            <w:tr w14:paraId="5082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vAlign w:val="center"/>
                </w:tcPr>
                <w:p w14:paraId="57BB3AB9">
                  <w:pPr>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auto"/>
                      <w:sz w:val="21"/>
                      <w:szCs w:val="21"/>
                      <w:lang w:val="en-US" w:eastAsia="zh-CN"/>
                    </w:rPr>
                    <w:t>序号</w:t>
                  </w:r>
                </w:p>
              </w:tc>
              <w:tc>
                <w:tcPr>
                  <w:tcW w:w="3807" w:type="dxa"/>
                  <w:vAlign w:val="center"/>
                </w:tcPr>
                <w:p w14:paraId="02BF5382">
                  <w:pPr>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auto"/>
                      <w:sz w:val="21"/>
                      <w:szCs w:val="21"/>
                      <w:lang w:val="en-US" w:eastAsia="zh-CN"/>
                    </w:rPr>
                    <w:t>名称</w:t>
                  </w:r>
                </w:p>
              </w:tc>
              <w:tc>
                <w:tcPr>
                  <w:tcW w:w="988" w:type="dxa"/>
                  <w:vAlign w:val="center"/>
                </w:tcPr>
                <w:p w14:paraId="6255E5DB">
                  <w:pPr>
                    <w:jc w:val="center"/>
                    <w:rPr>
                      <w:rFonts w:hint="eastAsia" w:ascii="宋体" w:hAnsi="宋体" w:eastAsia="宋体" w:cs="宋体"/>
                      <w:b w:val="0"/>
                      <w:bCs w:val="0"/>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auto"/>
                      <w:sz w:val="21"/>
                      <w:szCs w:val="21"/>
                      <w:lang w:val="en-US" w:eastAsia="zh-CN"/>
                    </w:rPr>
                    <w:t>数量</w:t>
                  </w:r>
                </w:p>
              </w:tc>
              <w:tc>
                <w:tcPr>
                  <w:tcW w:w="975" w:type="dxa"/>
                  <w:vAlign w:val="center"/>
                </w:tcPr>
                <w:p w14:paraId="110FEAF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w:t>
                  </w:r>
                </w:p>
              </w:tc>
            </w:tr>
            <w:tr w14:paraId="5DED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093EE2E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3807" w:type="dxa"/>
                  <w:shd w:val="clear" w:color="auto" w:fill="auto"/>
                  <w:vAlign w:val="center"/>
                </w:tcPr>
                <w:p w14:paraId="0DBBFF0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彩色多普勒超声诊断仪主机</w:t>
                  </w:r>
                </w:p>
              </w:tc>
              <w:tc>
                <w:tcPr>
                  <w:tcW w:w="988" w:type="dxa"/>
                  <w:shd w:val="clear" w:color="auto" w:fill="auto"/>
                  <w:vAlign w:val="center"/>
                </w:tcPr>
                <w:p w14:paraId="5A84DE0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0830157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14:paraId="39F2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0E631C3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3807" w:type="dxa"/>
                  <w:shd w:val="clear" w:color="auto" w:fill="auto"/>
                  <w:vAlign w:val="center"/>
                </w:tcPr>
                <w:p w14:paraId="25F5B21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超声影像后处理工作站</w:t>
                  </w:r>
                </w:p>
              </w:tc>
              <w:tc>
                <w:tcPr>
                  <w:tcW w:w="988" w:type="dxa"/>
                  <w:shd w:val="clear" w:color="auto" w:fill="auto"/>
                  <w:vAlign w:val="center"/>
                </w:tcPr>
                <w:p w14:paraId="22B229B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12B5A3A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套</w:t>
                  </w:r>
                </w:p>
              </w:tc>
            </w:tr>
            <w:tr w14:paraId="03FB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082D4E0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3807" w:type="dxa"/>
                  <w:shd w:val="clear" w:color="auto" w:fill="auto"/>
                  <w:vAlign w:val="center"/>
                </w:tcPr>
                <w:p w14:paraId="4B5C6A0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超声检查床椅</w:t>
                  </w:r>
                </w:p>
              </w:tc>
              <w:tc>
                <w:tcPr>
                  <w:tcW w:w="988" w:type="dxa"/>
                  <w:shd w:val="clear" w:color="auto" w:fill="auto"/>
                  <w:vAlign w:val="center"/>
                </w:tcPr>
                <w:p w14:paraId="4B661C2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2A51CF7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套</w:t>
                  </w:r>
                </w:p>
              </w:tc>
            </w:tr>
            <w:tr w14:paraId="7913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2AA7CBF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3807" w:type="dxa"/>
                  <w:shd w:val="clear" w:color="auto" w:fill="auto"/>
                  <w:vAlign w:val="center"/>
                </w:tcPr>
                <w:p w14:paraId="3B21DE5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电脑桌椅</w:t>
                  </w:r>
                </w:p>
              </w:tc>
              <w:tc>
                <w:tcPr>
                  <w:tcW w:w="988" w:type="dxa"/>
                  <w:shd w:val="clear" w:color="auto" w:fill="auto"/>
                  <w:vAlign w:val="center"/>
                </w:tcPr>
                <w:p w14:paraId="76BBD48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1EF19D9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14:paraId="0427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559" w:type="dxa"/>
                  <w:shd w:val="clear" w:color="auto" w:fill="auto"/>
                  <w:vAlign w:val="center"/>
                </w:tcPr>
                <w:p w14:paraId="03BDE5C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3807" w:type="dxa"/>
                  <w:shd w:val="clear" w:color="auto" w:fill="auto"/>
                  <w:vAlign w:val="center"/>
                </w:tcPr>
                <w:p w14:paraId="23E6451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耦合剂加热器</w:t>
                  </w:r>
                </w:p>
              </w:tc>
              <w:tc>
                <w:tcPr>
                  <w:tcW w:w="988" w:type="dxa"/>
                  <w:shd w:val="clear" w:color="auto" w:fill="auto"/>
                  <w:vAlign w:val="center"/>
                </w:tcPr>
                <w:p w14:paraId="2399596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377020BA">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14:paraId="035E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2D36ACDC">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3807" w:type="dxa"/>
                  <w:shd w:val="clear" w:color="auto" w:fill="auto"/>
                  <w:vAlign w:val="center"/>
                </w:tcPr>
                <w:p w14:paraId="4C97A8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腹部单晶凸阵探头</w:t>
                  </w:r>
                </w:p>
              </w:tc>
              <w:tc>
                <w:tcPr>
                  <w:tcW w:w="988" w:type="dxa"/>
                  <w:shd w:val="clear" w:color="auto" w:fill="auto"/>
                  <w:vAlign w:val="center"/>
                </w:tcPr>
                <w:p w14:paraId="7A75FD7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39251C5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个</w:t>
                  </w:r>
                </w:p>
              </w:tc>
            </w:tr>
            <w:tr w14:paraId="1C05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5A1E0B7C">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w:t>
                  </w:r>
                </w:p>
              </w:tc>
              <w:tc>
                <w:tcPr>
                  <w:tcW w:w="3807" w:type="dxa"/>
                  <w:shd w:val="clear" w:color="auto" w:fill="auto"/>
                  <w:vAlign w:val="center"/>
                </w:tcPr>
                <w:p w14:paraId="0EF6E06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腔内容积探头</w:t>
                  </w:r>
                </w:p>
              </w:tc>
              <w:tc>
                <w:tcPr>
                  <w:tcW w:w="988" w:type="dxa"/>
                  <w:shd w:val="clear" w:color="auto" w:fill="auto"/>
                  <w:vAlign w:val="center"/>
                </w:tcPr>
                <w:p w14:paraId="3198493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285C5B6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14:paraId="01FC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5466AA58">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3807" w:type="dxa"/>
                  <w:shd w:val="clear" w:color="auto" w:fill="auto"/>
                  <w:vAlign w:val="center"/>
                </w:tcPr>
                <w:p w14:paraId="5BB0933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腹部单晶面阵容积探头</w:t>
                  </w:r>
                </w:p>
              </w:tc>
              <w:tc>
                <w:tcPr>
                  <w:tcW w:w="988" w:type="dxa"/>
                  <w:shd w:val="clear" w:color="auto" w:fill="auto"/>
                  <w:vAlign w:val="center"/>
                </w:tcPr>
                <w:p w14:paraId="72B2CED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13D11B0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14:paraId="2A27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shd w:val="clear" w:color="auto" w:fill="auto"/>
                  <w:vAlign w:val="center"/>
                </w:tcPr>
                <w:p w14:paraId="3C1C9B9E">
                  <w:pPr>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w:t>
                  </w:r>
                </w:p>
              </w:tc>
              <w:tc>
                <w:tcPr>
                  <w:tcW w:w="3807" w:type="dxa"/>
                  <w:shd w:val="clear" w:color="auto" w:fill="auto"/>
                  <w:vAlign w:val="center"/>
                </w:tcPr>
                <w:p w14:paraId="4D137BE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线阵探头</w:t>
                  </w:r>
                </w:p>
              </w:tc>
              <w:tc>
                <w:tcPr>
                  <w:tcW w:w="988" w:type="dxa"/>
                  <w:shd w:val="clear" w:color="auto" w:fill="auto"/>
                  <w:vAlign w:val="center"/>
                </w:tcPr>
                <w:p w14:paraId="232CC71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4DF4F27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r w14:paraId="3F21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9" w:type="dxa"/>
                  <w:vAlign w:val="center"/>
                </w:tcPr>
                <w:p w14:paraId="04BB8946">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3807" w:type="dxa"/>
                  <w:shd w:val="clear" w:color="auto" w:fill="auto"/>
                  <w:vAlign w:val="center"/>
                </w:tcPr>
                <w:p w14:paraId="59E3858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单晶体二维凸阵探头</w:t>
                  </w:r>
                </w:p>
              </w:tc>
              <w:tc>
                <w:tcPr>
                  <w:tcW w:w="988" w:type="dxa"/>
                  <w:shd w:val="clear" w:color="auto" w:fill="auto"/>
                  <w:vAlign w:val="center"/>
                </w:tcPr>
                <w:p w14:paraId="705DA1C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75" w:type="dxa"/>
                  <w:shd w:val="clear" w:color="auto" w:fill="auto"/>
                  <w:vAlign w:val="center"/>
                </w:tcPr>
                <w:p w14:paraId="27D70C7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r>
          </w:tbl>
          <w:p w14:paraId="14078B27">
            <w:pPr>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r>
    </w:tbl>
    <w:p w14:paraId="1D481B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pacing w:val="0"/>
          <w:kern w:val="0"/>
          <w:sz w:val="28"/>
          <w:szCs w:val="28"/>
          <w:highlight w:val="none"/>
          <w:lang w:val="en-US" w:eastAsia="zh-CN" w:bidi="ar-SA"/>
          <w14:textFill>
            <w14:solidFill>
              <w14:schemeClr w14:val="tx1"/>
            </w14:solidFill>
          </w14:textFill>
        </w:rPr>
      </w:pPr>
    </w:p>
    <w:p w14:paraId="53AF44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000000" w:themeColor="text1"/>
          <w:spacing w:val="0"/>
          <w:kern w:val="0"/>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pacing w:val="0"/>
          <w:kern w:val="0"/>
          <w:sz w:val="28"/>
          <w:szCs w:val="28"/>
          <w:highlight w:val="none"/>
          <w:lang w:val="en-US" w:eastAsia="zh-CN" w:bidi="ar-SA"/>
          <w14:textFill>
            <w14:solidFill>
              <w14:schemeClr w14:val="tx1"/>
            </w14:solidFill>
          </w14:textFill>
        </w:rPr>
        <w:t>三、商务要求</w:t>
      </w:r>
    </w:p>
    <w:p w14:paraId="5BFE3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1.备件、资料及技术服务</w:t>
      </w:r>
    </w:p>
    <w:p w14:paraId="2C1BC0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1.1</w:t>
      </w:r>
      <w:r>
        <w:rPr>
          <w:rFonts w:hint="default" w:ascii="宋体" w:hAnsi="宋体" w:eastAsia="宋体" w:cs="宋体"/>
          <w:lang w:val="en-US" w:eastAsia="zh-CN"/>
        </w:rPr>
        <w:t>为保证设备正常运行，</w:t>
      </w:r>
      <w:r>
        <w:rPr>
          <w:rFonts w:hint="eastAsia" w:ascii="宋体" w:hAnsi="宋体" w:eastAsia="宋体" w:cs="宋体"/>
          <w:highlight w:val="none"/>
          <w:lang w:val="en-US" w:eastAsia="zh-CN"/>
        </w:rPr>
        <w:t>供应商</w:t>
      </w:r>
      <w:r>
        <w:rPr>
          <w:rFonts w:hint="default" w:ascii="宋体" w:hAnsi="宋体" w:eastAsia="宋体" w:cs="宋体"/>
          <w:highlight w:val="none"/>
          <w:lang w:val="en-US" w:eastAsia="zh-CN"/>
        </w:rPr>
        <w:t>应在中国境内方便的地点设置备件库</w:t>
      </w:r>
      <w:r>
        <w:rPr>
          <w:rFonts w:hint="default" w:ascii="宋体" w:hAnsi="宋体" w:eastAsia="宋体" w:cs="宋体"/>
          <w:lang w:val="en-US" w:eastAsia="zh-CN"/>
        </w:rPr>
        <w:t>，存入所有必须的备件，并保证10年以上的供应期。</w:t>
      </w:r>
    </w:p>
    <w:p w14:paraId="5415EF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.2专用工具：如有专用工具，</w:t>
      </w:r>
      <w:r>
        <w:rPr>
          <w:rFonts w:hint="eastAsia" w:ascii="宋体" w:hAnsi="宋体" w:eastAsia="宋体" w:cs="宋体"/>
          <w:lang w:val="en-US" w:eastAsia="zh-CN"/>
        </w:rPr>
        <w:t>供应商</w:t>
      </w:r>
      <w:r>
        <w:rPr>
          <w:rFonts w:hint="default" w:ascii="宋体" w:hAnsi="宋体" w:eastAsia="宋体" w:cs="宋体"/>
          <w:lang w:val="en-US" w:eastAsia="zh-CN"/>
        </w:rPr>
        <w:t>应向</w:t>
      </w:r>
      <w:r>
        <w:rPr>
          <w:rFonts w:hint="eastAsia" w:ascii="宋体" w:hAnsi="宋体" w:eastAsia="宋体" w:cs="宋体"/>
          <w:lang w:val="en-US" w:eastAsia="zh-CN"/>
        </w:rPr>
        <w:t>采购人</w:t>
      </w:r>
      <w:r>
        <w:rPr>
          <w:rFonts w:hint="default" w:ascii="宋体" w:hAnsi="宋体" w:eastAsia="宋体" w:cs="宋体"/>
          <w:lang w:val="en-US" w:eastAsia="zh-CN"/>
        </w:rPr>
        <w:t>提供设备维护的专用工具。</w:t>
      </w:r>
    </w:p>
    <w:p w14:paraId="6BA361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.3</w:t>
      </w:r>
      <w:r>
        <w:rPr>
          <w:rFonts w:hint="eastAsia" w:ascii="宋体" w:hAnsi="宋体" w:eastAsia="宋体" w:cs="宋体"/>
          <w:lang w:val="en-US" w:eastAsia="zh-CN"/>
        </w:rPr>
        <w:t>供应商</w:t>
      </w:r>
      <w:r>
        <w:rPr>
          <w:rFonts w:hint="default" w:ascii="宋体" w:hAnsi="宋体" w:eastAsia="宋体" w:cs="宋体"/>
          <w:lang w:val="en-US" w:eastAsia="zh-CN"/>
        </w:rPr>
        <w:t>须向</w:t>
      </w:r>
      <w:r>
        <w:rPr>
          <w:rFonts w:hint="eastAsia" w:ascii="宋体" w:hAnsi="宋体" w:cs="宋体"/>
          <w:lang w:val="en-US" w:eastAsia="zh-CN"/>
        </w:rPr>
        <w:t>采购人</w:t>
      </w:r>
      <w:r>
        <w:rPr>
          <w:rFonts w:hint="default" w:ascii="宋体" w:hAnsi="宋体" w:eastAsia="宋体" w:cs="宋体"/>
          <w:lang w:val="en-US" w:eastAsia="zh-CN"/>
        </w:rPr>
        <w:t>提供操作手册一套。</w:t>
      </w:r>
    </w:p>
    <w:p w14:paraId="02BAA8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.4</w:t>
      </w:r>
      <w:r>
        <w:rPr>
          <w:rFonts w:hint="eastAsia" w:ascii="宋体" w:hAnsi="宋体" w:eastAsia="宋体" w:cs="宋体"/>
          <w:lang w:val="en-US" w:eastAsia="zh-CN"/>
        </w:rPr>
        <w:t>供应商</w:t>
      </w:r>
      <w:r>
        <w:rPr>
          <w:rFonts w:hint="default" w:ascii="宋体" w:hAnsi="宋体" w:eastAsia="宋体" w:cs="宋体"/>
          <w:lang w:val="en-US" w:eastAsia="zh-CN"/>
        </w:rPr>
        <w:t>须向</w:t>
      </w:r>
      <w:r>
        <w:rPr>
          <w:rFonts w:hint="eastAsia" w:ascii="宋体" w:hAnsi="宋体" w:eastAsia="宋体" w:cs="宋体"/>
          <w:lang w:val="en-US" w:eastAsia="zh-CN"/>
        </w:rPr>
        <w:t>采购人</w:t>
      </w:r>
      <w:r>
        <w:rPr>
          <w:rFonts w:hint="default" w:ascii="宋体" w:hAnsi="宋体" w:eastAsia="宋体" w:cs="宋体"/>
          <w:lang w:val="en-US" w:eastAsia="zh-CN"/>
        </w:rPr>
        <w:t>提供设备的运行、安装、使用环境要求。</w:t>
      </w:r>
    </w:p>
    <w:p w14:paraId="465BE4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.5在货物到达使用单位后，</w:t>
      </w:r>
      <w:r>
        <w:rPr>
          <w:rFonts w:hint="eastAsia" w:ascii="宋体" w:hAnsi="宋体" w:eastAsia="宋体" w:cs="宋体"/>
          <w:lang w:val="en-US" w:eastAsia="zh-CN"/>
        </w:rPr>
        <w:t>供应商</w:t>
      </w:r>
      <w:r>
        <w:rPr>
          <w:rFonts w:hint="default" w:ascii="宋体" w:hAnsi="宋体" w:eastAsia="宋体" w:cs="宋体"/>
          <w:lang w:val="en-US" w:eastAsia="zh-CN"/>
        </w:rPr>
        <w:t>应在 7 天内派工程技术人员到达现场，在</w:t>
      </w:r>
      <w:r>
        <w:rPr>
          <w:rFonts w:hint="eastAsia" w:ascii="宋体" w:hAnsi="宋体" w:eastAsia="宋体" w:cs="宋体"/>
          <w:lang w:val="en-US" w:eastAsia="zh-CN"/>
        </w:rPr>
        <w:t>采购人</w:t>
      </w:r>
      <w:r>
        <w:rPr>
          <w:rFonts w:hint="default" w:ascii="宋体" w:hAnsi="宋体" w:eastAsia="宋体" w:cs="宋体"/>
          <w:lang w:val="en-US" w:eastAsia="zh-CN"/>
        </w:rPr>
        <w:t>技术人员在场的情况下开箱清点货物，组织安装调试，并承担因此发生的一切费用。</w:t>
      </w:r>
    </w:p>
    <w:p w14:paraId="3FE901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.6设备安装后，医院按国际和国家标准及厂方标准进行质量验收。</w:t>
      </w:r>
    </w:p>
    <w:p w14:paraId="0AB2A1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w:t>
      </w:r>
      <w:r>
        <w:rPr>
          <w:rFonts w:hint="default" w:ascii="宋体" w:hAnsi="宋体" w:eastAsia="宋体" w:cs="宋体"/>
          <w:highlight w:val="none"/>
          <w:lang w:val="en-US" w:eastAsia="zh-CN"/>
        </w:rPr>
        <w:t>7在中国境内有相应的</w:t>
      </w:r>
      <w:r>
        <w:rPr>
          <w:rFonts w:hint="default" w:ascii="宋体" w:hAnsi="宋体" w:eastAsia="宋体" w:cs="宋体"/>
          <w:lang w:val="en-US" w:eastAsia="zh-CN"/>
        </w:rPr>
        <w:t>维</w:t>
      </w:r>
      <w:r>
        <w:rPr>
          <w:rFonts w:hint="default" w:ascii="宋体" w:hAnsi="宋体" w:eastAsia="宋体" w:cs="宋体"/>
          <w:highlight w:val="none"/>
          <w:lang w:val="en-US" w:eastAsia="zh-CN"/>
        </w:rPr>
        <w:t>修机构</w:t>
      </w:r>
      <w:r>
        <w:rPr>
          <w:rFonts w:hint="eastAsia" w:ascii="宋体" w:hAnsi="宋体" w:eastAsia="宋体" w:cs="宋体"/>
          <w:lang w:val="en-US" w:eastAsia="zh-CN"/>
        </w:rPr>
        <w:t>。</w:t>
      </w:r>
    </w:p>
    <w:p w14:paraId="6BF20F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2.技术培训要求</w:t>
      </w:r>
    </w:p>
    <w:p w14:paraId="542BD1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现场培训：供应商应提供现场技术培训，保证使用人员正常操作设备各种功能。</w:t>
      </w:r>
    </w:p>
    <w:p w14:paraId="43FC2E48">
      <w:pPr>
        <w:rPr>
          <w:rFonts w:hint="eastAsia" w:ascii="宋体" w:hAnsi="宋体" w:cs="宋体"/>
          <w:color w:val="000000" w:themeColor="text1"/>
          <w:spacing w:val="0"/>
          <w:kern w:val="0"/>
          <w:sz w:val="28"/>
          <w:szCs w:val="28"/>
          <w:highlight w:val="none"/>
          <w:lang w:val="en-US" w:eastAsia="zh-CN"/>
          <w14:textFill>
            <w14:solidFill>
              <w14:schemeClr w14:val="tx1"/>
            </w14:solidFill>
          </w14:textFill>
        </w:rPr>
      </w:pPr>
      <w:r>
        <w:rPr>
          <w:rFonts w:hint="eastAsia" w:ascii="宋体" w:hAnsi="宋体" w:cs="宋体"/>
          <w:color w:val="000000" w:themeColor="text1"/>
          <w:spacing w:val="0"/>
          <w:kern w:val="0"/>
          <w:sz w:val="28"/>
          <w:szCs w:val="28"/>
          <w:highlight w:val="none"/>
          <w:lang w:val="en-US" w:eastAsia="zh-CN"/>
          <w14:textFill>
            <w14:solidFill>
              <w14:schemeClr w14:val="tx1"/>
            </w14:solidFill>
          </w14:textFill>
        </w:rPr>
        <w:br w:type="page"/>
      </w:r>
    </w:p>
    <w:p w14:paraId="68D05F47">
      <w:pPr>
        <w:pStyle w:val="2"/>
        <w:pageBreakBefore w:val="0"/>
        <w:kinsoku/>
        <w:topLinePunct w:val="0"/>
        <w:autoSpaceDE/>
        <w:autoSpaceDN/>
        <w:bidi w:val="0"/>
        <w:snapToGrid/>
        <w:spacing w:before="0" w:beforeAutospacing="0" w:after="0" w:afterAutospacing="0" w:line="480" w:lineRule="exact"/>
        <w:ind w:left="0" w:leftChars="0"/>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69" w:name="_Toc16369"/>
      <w:r>
        <w:rPr>
          <w:rFonts w:hint="eastAsia" w:ascii="宋体" w:hAnsi="宋体" w:eastAsia="宋体" w:cs="宋体"/>
          <w:color w:val="000000" w:themeColor="text1"/>
          <w:sz w:val="32"/>
          <w:szCs w:val="32"/>
          <w:highlight w:val="none"/>
          <w14:textFill>
            <w14:solidFill>
              <w14:schemeClr w14:val="tx1"/>
            </w14:solidFill>
          </w14:textFill>
        </w:rPr>
        <w:t>第六章 资格审查</w:t>
      </w:r>
      <w:bookmarkEnd w:id="69"/>
    </w:p>
    <w:p w14:paraId="42126430">
      <w:pPr>
        <w:pStyle w:val="4"/>
        <w:pageBreakBefore w:val="0"/>
        <w:kinsoku/>
        <w:topLinePunct w:val="0"/>
        <w:autoSpaceDE/>
        <w:autoSpaceDN/>
        <w:bidi w:val="0"/>
        <w:snapToGrid/>
        <w:spacing w:before="0" w:beforeAutospacing="0" w:afterAutospacing="0" w:line="480" w:lineRule="exact"/>
        <w:ind w:left="0" w:leftChars="0"/>
        <w:jc w:val="center"/>
        <w:textAlignment w:val="auto"/>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bookmarkStart w:id="70" w:name="_Toc20258"/>
      <w: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投标人资格要求前附表</w:t>
      </w:r>
      <w:bookmarkEnd w:id="70"/>
    </w:p>
    <w:tbl>
      <w:tblPr>
        <w:tblStyle w:val="40"/>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6799"/>
      </w:tblGrid>
      <w:tr w14:paraId="6B3F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0EF5A161">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 格 要 求</w:t>
            </w:r>
          </w:p>
        </w:tc>
        <w:tc>
          <w:tcPr>
            <w:tcW w:w="6799" w:type="dxa"/>
            <w:vAlign w:val="center"/>
          </w:tcPr>
          <w:p w14:paraId="6C0353FB">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审 查 标 准</w:t>
            </w:r>
          </w:p>
        </w:tc>
      </w:tr>
      <w:tr w14:paraId="7176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3850C47F">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具有独立承担民事责任的能力</w:t>
            </w:r>
          </w:p>
        </w:tc>
        <w:tc>
          <w:tcPr>
            <w:tcW w:w="6799" w:type="dxa"/>
            <w:vAlign w:val="center"/>
          </w:tcPr>
          <w:p w14:paraId="2C445EBA">
            <w:pPr>
              <w:pageBreakBefore w:val="0"/>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投标人须在中华人民共和国境内注册，提供市场监督管理部门核发的有效的三证合一营业执照或其他组织形式的相关主体资格证明材料（扫描件加盖投标人电子公章）</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r>
      <w:tr w14:paraId="67BA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4DB672AA">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投标人须具有良好的商业信誉和健全的财务会计制度</w:t>
            </w:r>
          </w:p>
        </w:tc>
        <w:tc>
          <w:tcPr>
            <w:tcW w:w="6799" w:type="dxa"/>
            <w:vAlign w:val="center"/>
          </w:tcPr>
          <w:p w14:paraId="13DBFB80">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提供</w:t>
            </w:r>
            <w:r>
              <w:rPr>
                <w:rFonts w:hint="eastAsia" w:ascii="宋体" w:hAnsi="宋体" w:cs="宋体"/>
                <w:color w:val="000000" w:themeColor="text1"/>
                <w:szCs w:val="21"/>
                <w:highlight w:val="none"/>
                <w:lang w:eastAsia="zh-CN"/>
                <w14:textFill>
                  <w14:solidFill>
                    <w14:schemeClr w14:val="tx1"/>
                  </w14:solidFill>
                </w14:textFill>
              </w:rPr>
              <w:t>投标人2024年度或2025年度经第三方审计</w:t>
            </w:r>
            <w:r>
              <w:rPr>
                <w:rFonts w:hint="eastAsia" w:ascii="宋体" w:hAnsi="宋体" w:eastAsia="宋体" w:cs="宋体"/>
                <w:color w:val="000000" w:themeColor="text1"/>
                <w:szCs w:val="21"/>
                <w:highlight w:val="none"/>
                <w:lang w:eastAsia="zh-CN"/>
                <w14:textFill>
                  <w14:solidFill>
                    <w14:schemeClr w14:val="tx1"/>
                  </w14:solidFill>
                </w14:textFill>
              </w:rPr>
              <w:t>的财务报告及报表（报表至少应包括资产负债表、利润表（损益表）、现金流量表）或提供自提交投标文件截止时间前三个月内基本开户银行出具的资信证明（扫描件加盖投标人电子公章），至投标文件提交截止时间止成立不足一年的投标人可提供相关情况说明（加盖投标人电子公章）；</w:t>
            </w:r>
          </w:p>
        </w:tc>
      </w:tr>
      <w:tr w14:paraId="5A59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6BD57846">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具有履行合同所必需的设备和专业技术能力</w:t>
            </w:r>
          </w:p>
        </w:tc>
        <w:tc>
          <w:tcPr>
            <w:tcW w:w="6799" w:type="dxa"/>
            <w:vAlign w:val="center"/>
          </w:tcPr>
          <w:p w14:paraId="04DF6E69">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提供投标人</w:t>
            </w:r>
            <w:r>
              <w:rPr>
                <w:rFonts w:hint="eastAsia" w:ascii="宋体" w:hAnsi="宋体" w:cs="宋体"/>
                <w:color w:val="000000" w:themeColor="text1"/>
                <w:szCs w:val="21"/>
                <w:highlight w:val="none"/>
                <w:lang w:eastAsia="zh-CN"/>
                <w14:textFill>
                  <w14:solidFill>
                    <w14:schemeClr w14:val="tx1"/>
                  </w14:solidFill>
                </w14:textFill>
              </w:rPr>
              <w:t>具有履行合同所必需的设备和专业技术能力</w:t>
            </w:r>
            <w:r>
              <w:rPr>
                <w:rFonts w:hint="eastAsia" w:ascii="宋体" w:hAnsi="宋体" w:eastAsia="宋体" w:cs="宋体"/>
                <w:color w:val="000000" w:themeColor="text1"/>
                <w:szCs w:val="21"/>
                <w:highlight w:val="none"/>
                <w:lang w:eastAsia="zh-CN"/>
                <w14:textFill>
                  <w14:solidFill>
                    <w14:schemeClr w14:val="tx1"/>
                  </w14:solidFill>
                </w14:textFill>
              </w:rPr>
              <w:t>证明材料（扫描件加盖投标人电子公章）或书面声明（加盖投标人电子公章）；</w:t>
            </w:r>
          </w:p>
        </w:tc>
      </w:tr>
      <w:tr w14:paraId="7A3B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restart"/>
            <w:vAlign w:val="center"/>
          </w:tcPr>
          <w:p w14:paraId="494FD334">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有依法缴纳税收和社会保障资金的良好记录</w:t>
            </w:r>
          </w:p>
        </w:tc>
        <w:tc>
          <w:tcPr>
            <w:tcW w:w="6799" w:type="dxa"/>
            <w:vAlign w:val="center"/>
          </w:tcPr>
          <w:p w14:paraId="6F9B0E8D">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提供投标人缴税所属时间在</w:t>
            </w:r>
            <w:r>
              <w:rPr>
                <w:rFonts w:hint="eastAsia" w:ascii="宋体" w:hAnsi="宋体" w:cs="宋体"/>
                <w:color w:val="000000" w:themeColor="text1"/>
                <w:szCs w:val="21"/>
                <w:highlight w:val="none"/>
                <w:lang w:eastAsia="zh-CN"/>
                <w14:textFill>
                  <w14:solidFill>
                    <w14:schemeClr w14:val="tx1"/>
                  </w14:solidFill>
                </w14:textFill>
              </w:rPr>
              <w:t>2025年01月至</w:t>
            </w:r>
            <w:r>
              <w:rPr>
                <w:rFonts w:hint="eastAsia" w:ascii="宋体" w:hAnsi="宋体" w:eastAsia="宋体" w:cs="宋体"/>
                <w:color w:val="000000" w:themeColor="text1"/>
                <w:szCs w:val="21"/>
                <w:highlight w:val="none"/>
                <w:lang w:eastAsia="zh-CN"/>
                <w14:textFill>
                  <w14:solidFill>
                    <w14:schemeClr w14:val="tx1"/>
                  </w14:solidFill>
                </w14:textFill>
              </w:rPr>
              <w:t>本项目提交投标文件截止时间前任意3个月的税务局税收通用缴款书或银行电子缴税（费）凭证或税务局出具纳税情况的相关证明，依法免税的，应提供依法免税的相关证明文件（扫描件加盖投标人电子公章），至投标文件提交截止时间止成立不足一年的投标人可提供相关情况说明（加盖投标人电子公章）；</w:t>
            </w:r>
          </w:p>
        </w:tc>
      </w:tr>
      <w:tr w14:paraId="17B3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7BB8CCC3">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6799" w:type="dxa"/>
            <w:vAlign w:val="center"/>
          </w:tcPr>
          <w:p w14:paraId="0815B99D">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提供投标人缴费所属时间在</w:t>
            </w:r>
            <w:r>
              <w:rPr>
                <w:rFonts w:hint="eastAsia" w:ascii="宋体" w:hAnsi="宋体" w:cs="宋体"/>
                <w:color w:val="000000" w:themeColor="text1"/>
                <w:szCs w:val="21"/>
                <w:highlight w:val="none"/>
                <w:lang w:eastAsia="zh-CN"/>
                <w14:textFill>
                  <w14:solidFill>
                    <w14:schemeClr w14:val="tx1"/>
                  </w14:solidFill>
                </w14:textFill>
              </w:rPr>
              <w:t>2025年01月至</w:t>
            </w:r>
            <w:r>
              <w:rPr>
                <w:rFonts w:hint="eastAsia" w:ascii="宋体" w:hAnsi="宋体" w:eastAsia="宋体" w:cs="宋体"/>
                <w:color w:val="000000" w:themeColor="text1"/>
                <w:szCs w:val="21"/>
                <w:highlight w:val="none"/>
                <w:lang w:eastAsia="zh-CN"/>
                <w14:textFill>
                  <w14:solidFill>
                    <w14:schemeClr w14:val="tx1"/>
                  </w14:solidFill>
                </w14:textFill>
              </w:rPr>
              <w:t>本项目提交投标文件截止时间前任意3个月的社会保险费缴款书或银行电子缴税（费）凭证或社保管理部门出具的有效的缴款证明，依法免缴的，应提供依法免缴的相关证明文件（扫描件加盖投标人电子公章），至投标文件提交截止时间止成立不足一年的投标人可提供相关情况说明（加盖投标人电子公章）；</w:t>
            </w:r>
          </w:p>
        </w:tc>
      </w:tr>
      <w:tr w14:paraId="260D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Align w:val="center"/>
          </w:tcPr>
          <w:p w14:paraId="47AE0961">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参加政府采购活动前三年内，在经营活动中没有重大违法记录</w:t>
            </w:r>
          </w:p>
        </w:tc>
        <w:tc>
          <w:tcPr>
            <w:tcW w:w="6799" w:type="dxa"/>
            <w:vAlign w:val="center"/>
          </w:tcPr>
          <w:p w14:paraId="187FE7CB">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提供投标人</w:t>
            </w:r>
            <w:r>
              <w:rPr>
                <w:rFonts w:hint="eastAsia" w:ascii="宋体" w:hAnsi="宋体" w:cs="宋体"/>
                <w:color w:val="000000" w:themeColor="text1"/>
                <w:szCs w:val="21"/>
                <w:highlight w:val="none"/>
                <w:lang w:eastAsia="zh-CN"/>
                <w14:textFill>
                  <w14:solidFill>
                    <w14:schemeClr w14:val="tx1"/>
                  </w14:solidFill>
                </w14:textFill>
              </w:rPr>
              <w:t>参加政府采购活动前三年内，在经营活动中没有重大违法记录</w:t>
            </w:r>
            <w:r>
              <w:rPr>
                <w:rFonts w:hint="eastAsia" w:ascii="宋体" w:hAnsi="宋体" w:eastAsia="宋体" w:cs="宋体"/>
                <w:color w:val="000000" w:themeColor="text1"/>
                <w:szCs w:val="21"/>
                <w:highlight w:val="none"/>
                <w:lang w:eastAsia="zh-CN"/>
                <w14:textFill>
                  <w14:solidFill>
                    <w14:schemeClr w14:val="tx1"/>
                  </w14:solidFill>
                </w14:textFill>
              </w:rPr>
              <w:t>（重大违法记录，是指投标人因违法经营受到刑事处罚或者责令停产停业、吊销许可证或者执照、较大数额罚款等行政处罚）的书面声明（加盖投标人电子公章）</w:t>
            </w:r>
          </w:p>
        </w:tc>
      </w:tr>
      <w:tr w14:paraId="4D71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restart"/>
            <w:vAlign w:val="center"/>
          </w:tcPr>
          <w:p w14:paraId="1C651327">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法律、行政法规规定的其他条件</w:t>
            </w:r>
          </w:p>
        </w:tc>
        <w:tc>
          <w:tcPr>
            <w:tcW w:w="6799" w:type="dxa"/>
            <w:vAlign w:val="center"/>
          </w:tcPr>
          <w:p w14:paraId="5275E3D6">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标人在“信用中国”网站（www.creditchina.gov.cn）中查询结果应未被列入失信被执行人（按网站要求链接到中国执行信息网（http://zxgk.court.gov.cn/shixin/）查询）、重大税收违法失信主体（查询时间为本公告发布之日起至提交投标文件截止之日止，查询结果以采购人、采购代理机构查询结果为准，并将查询记录和证据留存）</w:t>
            </w:r>
            <w:r>
              <w:rPr>
                <w:rFonts w:hint="eastAsia" w:ascii="宋体" w:hAnsi="宋体" w:eastAsia="宋体" w:cs="宋体"/>
                <w:color w:val="000000" w:themeColor="text1"/>
                <w:szCs w:val="21"/>
                <w:highlight w:val="none"/>
                <w14:textFill>
                  <w14:solidFill>
                    <w14:schemeClr w14:val="tx1"/>
                  </w14:solidFill>
                </w14:textFill>
              </w:rPr>
              <w:t>；</w:t>
            </w:r>
          </w:p>
        </w:tc>
      </w:tr>
      <w:tr w14:paraId="726B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64E73CF8">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6799" w:type="dxa"/>
            <w:vAlign w:val="center"/>
          </w:tcPr>
          <w:p w14:paraId="144104DC">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投标人在“中国政府采购网”（www.ccgp.gov.cn）未被列入政府采购严重违法失信行为记录名单（查询时间为本公告发布之日起至提交投标文件截止之日止，查询结果以采购人、采购代理机构查询结果为准，并将查询记录和证据留存）；</w:t>
            </w:r>
          </w:p>
        </w:tc>
      </w:tr>
      <w:tr w14:paraId="494A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66" w:type="dxa"/>
            <w:vMerge w:val="continue"/>
            <w:vAlign w:val="center"/>
          </w:tcPr>
          <w:p w14:paraId="36D015DA">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6799" w:type="dxa"/>
            <w:vAlign w:val="center"/>
          </w:tcPr>
          <w:p w14:paraId="14A622E0">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单位负责人为同一人或者存在直接控股、管理关系不同的投标人，不得同时参与本项目的采购活动。为采购项目提供整体设计、规范编制和项目管理、监理、检测等服务的投标人，不得参与本项目采购活动（提供承诺函加盖投标人电子公章）</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1264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blHeader/>
          <w:jc w:val="center"/>
        </w:trPr>
        <w:tc>
          <w:tcPr>
            <w:tcW w:w="1766" w:type="dxa"/>
            <w:vAlign w:val="center"/>
          </w:tcPr>
          <w:p w14:paraId="16310B49">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落实政府采购政策需满足的资格要求</w:t>
            </w:r>
          </w:p>
        </w:tc>
        <w:tc>
          <w:tcPr>
            <w:tcW w:w="6799" w:type="dxa"/>
            <w:vAlign w:val="center"/>
          </w:tcPr>
          <w:p w14:paraId="4CDF35CB">
            <w:pPr>
              <w:pageBreakBefore w:val="0"/>
              <w:kinsoku/>
              <w:wordWrap w:val="0"/>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无</w:t>
            </w:r>
          </w:p>
        </w:tc>
      </w:tr>
      <w:tr w14:paraId="6FF5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blHeader/>
          <w:jc w:val="center"/>
        </w:trPr>
        <w:tc>
          <w:tcPr>
            <w:tcW w:w="1766" w:type="dxa"/>
            <w:vAlign w:val="center"/>
          </w:tcPr>
          <w:p w14:paraId="25356D87">
            <w:pPr>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本项目的特定资格要求</w:t>
            </w:r>
          </w:p>
        </w:tc>
        <w:tc>
          <w:tcPr>
            <w:tcW w:w="6799" w:type="dxa"/>
            <w:vAlign w:val="center"/>
          </w:tcPr>
          <w:p w14:paraId="17A02842">
            <w:pPr>
              <w:pageBreakBefore w:val="0"/>
              <w:kinsoku/>
              <w:wordWrap w:val="0"/>
              <w:topLinePunct w:val="0"/>
              <w:autoSpaceDE/>
              <w:autoSpaceDN/>
              <w:bidi w:val="0"/>
              <w:snapToGrid/>
              <w:spacing w:beforeAutospacing="0" w:afterAutospacing="0" w:line="480" w:lineRule="exact"/>
              <w:ind w:left="0" w:leftChars="0"/>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医疗器械监督管理条例》（国务院令第739号）和国家食品药品监督管理总局《医疗器械分类目录》的规定，所投产品属于第一类医疗器械的投标人须提供有效的医疗器械备案凭证（扫描件加盖投标人电子公章）；所投产品属于第二类医疗器械的投标人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投标人电子公章）；所投产品属于第三类医疗器械的投标人须提供有效的医疗器械经营许可证（经营范围须覆盖所属类别）、生产制造商医疗器械生产许可证（生产范围须覆盖所属类别，生产制造商工商注册地在中华人民共和国境外的，可不提供）、医疗器械注册证及附件（扫描件加盖投标人电子公章）。投标人如果是所投产品医疗器械制造商的，无须提供医疗器械经营许可证或备案证，其他不在目录内的所投产品不作强行要求。</w:t>
            </w:r>
          </w:p>
        </w:tc>
      </w:tr>
    </w:tbl>
    <w:p w14:paraId="6C83DD24">
      <w:pPr>
        <w:pageBreakBefore w:val="0"/>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1.开标结束后，采购人或者采购代理机构将依法对投标人的资格进行审查，合格投标人不足3家的，不得评标。</w:t>
      </w:r>
    </w:p>
    <w:p w14:paraId="24E54C90">
      <w:pPr>
        <w:pageBreakBefore w:val="0"/>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2.采购人或者采购代理机构按照招标文件第一章《</w:t>
      </w:r>
      <w:r>
        <w:rPr>
          <w:rFonts w:hint="eastAsia" w:ascii="宋体" w:hAnsi="宋体" w:eastAsia="宋体" w:cs="宋体"/>
          <w:color w:val="000000" w:themeColor="text1"/>
          <w:szCs w:val="21"/>
          <w:highlight w:val="none"/>
          <w:lang w:eastAsia="zh-CN"/>
          <w14:textFill>
            <w14:solidFill>
              <w14:schemeClr w14:val="tx1"/>
            </w14:solidFill>
          </w14:textFill>
        </w:rPr>
        <w:t>招标公告</w:t>
      </w:r>
      <w:r>
        <w:rPr>
          <w:rFonts w:hint="eastAsia" w:ascii="宋体" w:hAnsi="宋体" w:eastAsia="宋体" w:cs="宋体"/>
          <w:color w:val="000000" w:themeColor="text1"/>
          <w:szCs w:val="21"/>
          <w:highlight w:val="none"/>
          <w14:textFill>
            <w14:solidFill>
              <w14:schemeClr w14:val="tx1"/>
            </w14:solidFill>
          </w14:textFill>
        </w:rPr>
        <w:t>》二、投标人资格要求（投标人应符合《中华人民共和国政府采购法》第二十二条规定的条件）和第二章《投标人须知》“4.投标人资格要求”的规定对投标人电子投标文件中</w:t>
      </w:r>
      <w:r>
        <w:rPr>
          <w:rFonts w:hint="eastAsia" w:ascii="宋体" w:hAnsi="宋体" w:cs="宋体"/>
          <w:color w:val="000000" w:themeColor="text1"/>
          <w:szCs w:val="21"/>
          <w:highlight w:val="none"/>
          <w:lang w:eastAsia="zh-CN"/>
          <w14:textFill>
            <w14:solidFill>
              <w14:schemeClr w14:val="tx1"/>
            </w14:solidFill>
          </w14:textFill>
        </w:rPr>
        <w:t>资格文件</w:t>
      </w:r>
      <w:r>
        <w:rPr>
          <w:rFonts w:hint="eastAsia" w:ascii="宋体" w:hAnsi="宋体" w:eastAsia="宋体" w:cs="宋体"/>
          <w:color w:val="000000" w:themeColor="text1"/>
          <w:szCs w:val="21"/>
          <w:highlight w:val="none"/>
          <w14:textFill>
            <w14:solidFill>
              <w14:schemeClr w14:val="tx1"/>
            </w14:solidFill>
          </w14:textFill>
        </w:rPr>
        <w:t>及采购人、采购代理机构通过互联网或者相关信息系统的查询结果进行审查。</w:t>
      </w:r>
    </w:p>
    <w:p w14:paraId="14B9F3C4">
      <w:pPr>
        <w:pageBreakBefore w:val="0"/>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3.如投标人为满足投标人资格要求提供虚假材料，一经查实，视为未实质性响应招标文件，投标人投标文件将按无效处理。</w:t>
      </w:r>
    </w:p>
    <w:p w14:paraId="691945FE">
      <w:pPr>
        <w:pageBreakBefore w:val="0"/>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4.采购人或者采购代理机构在资格审查过程中发现投标人有一项不符合上述规定的，该投标文件按无效投标处理。</w:t>
      </w:r>
    </w:p>
    <w:p w14:paraId="1EC11C5A">
      <w:pPr>
        <w:pageBreakBefore w:val="0"/>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CAECBB5">
      <w:pPr>
        <w:pStyle w:val="2"/>
        <w:pageBreakBefore w:val="0"/>
        <w:kinsoku/>
        <w:topLinePunct w:val="0"/>
        <w:autoSpaceDE/>
        <w:autoSpaceDN/>
        <w:bidi w:val="0"/>
        <w:snapToGrid/>
        <w:spacing w:before="0" w:beforeAutospacing="0" w:after="0" w:afterAutospacing="0" w:line="480" w:lineRule="exact"/>
        <w:ind w:left="0" w:leftChars="0"/>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71" w:name="_Toc18290"/>
      <w:r>
        <w:rPr>
          <w:rFonts w:hint="eastAsia" w:ascii="宋体" w:hAnsi="宋体" w:eastAsia="宋体" w:cs="宋体"/>
          <w:color w:val="000000" w:themeColor="text1"/>
          <w:sz w:val="32"/>
          <w:szCs w:val="32"/>
          <w:highlight w:val="none"/>
          <w14:textFill>
            <w14:solidFill>
              <w14:schemeClr w14:val="tx1"/>
            </w14:solidFill>
          </w14:textFill>
        </w:rPr>
        <w:t>第七章 评标方法（综合评分法）</w:t>
      </w:r>
      <w:bookmarkEnd w:id="71"/>
    </w:p>
    <w:p w14:paraId="793DD212">
      <w:pPr>
        <w:pStyle w:val="4"/>
        <w:pageBreakBefore w:val="0"/>
        <w:kinsoku/>
        <w:topLinePunct w:val="0"/>
        <w:autoSpaceDE/>
        <w:autoSpaceDN/>
        <w:bidi w:val="0"/>
        <w:snapToGrid/>
        <w:spacing w:before="0" w:beforeAutospacing="0" w:afterAutospacing="0" w:line="480" w:lineRule="exact"/>
        <w:ind w:left="0" w:leftChars="0"/>
        <w:jc w:val="center"/>
        <w:textAlignment w:val="auto"/>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pPr>
      <w:bookmarkStart w:id="72" w:name="_Toc3151"/>
      <w:r>
        <w:rPr>
          <w:rFonts w:hint="eastAsia" w:ascii="宋体" w:hAnsi="宋体" w:eastAsia="宋体" w:cs="宋体"/>
          <w:color w:val="000000" w:themeColor="text1"/>
          <w:spacing w:val="0"/>
          <w:kern w:val="0"/>
          <w:sz w:val="28"/>
          <w:szCs w:val="28"/>
          <w:highlight w:val="none"/>
          <w:lang w:val="en-US" w:eastAsia="zh-CN"/>
          <w14:textFill>
            <w14:solidFill>
              <w14:schemeClr w14:val="tx1"/>
            </w14:solidFill>
          </w14:textFill>
        </w:rPr>
        <w:t>评标方法前附表</w:t>
      </w:r>
      <w:bookmarkEnd w:id="72"/>
    </w:p>
    <w:tbl>
      <w:tblPr>
        <w:tblStyle w:val="4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36"/>
        <w:gridCol w:w="2242"/>
        <w:gridCol w:w="5506"/>
      </w:tblGrid>
      <w:tr w14:paraId="05AD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646" w:type="dxa"/>
            <w:gridSpan w:val="2"/>
            <w:vAlign w:val="center"/>
          </w:tcPr>
          <w:p w14:paraId="39294032">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2242" w:type="dxa"/>
            <w:vAlign w:val="center"/>
          </w:tcPr>
          <w:p w14:paraId="4BD5690A">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 审 内 容</w:t>
            </w:r>
          </w:p>
        </w:tc>
        <w:tc>
          <w:tcPr>
            <w:tcW w:w="5506" w:type="dxa"/>
            <w:vAlign w:val="center"/>
          </w:tcPr>
          <w:p w14:paraId="32B19D38">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 审 标 准</w:t>
            </w:r>
          </w:p>
        </w:tc>
      </w:tr>
      <w:tr w14:paraId="69ED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restart"/>
            <w:vAlign w:val="center"/>
          </w:tcPr>
          <w:p w14:paraId="474F3351">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p>
        </w:tc>
        <w:tc>
          <w:tcPr>
            <w:tcW w:w="836" w:type="dxa"/>
            <w:vMerge w:val="restart"/>
            <w:vAlign w:val="center"/>
          </w:tcPr>
          <w:p w14:paraId="7BDC97B4">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符合性审查</w:t>
            </w:r>
          </w:p>
        </w:tc>
        <w:tc>
          <w:tcPr>
            <w:tcW w:w="2242" w:type="dxa"/>
            <w:vAlign w:val="center"/>
          </w:tcPr>
          <w:p w14:paraId="2BA7DCF1">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投标有效期</w:t>
            </w:r>
          </w:p>
        </w:tc>
        <w:tc>
          <w:tcPr>
            <w:tcW w:w="5506" w:type="dxa"/>
            <w:vAlign w:val="center"/>
          </w:tcPr>
          <w:p w14:paraId="42694EDF">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符合第二章《投标人须知》第17.1项规定</w:t>
            </w:r>
          </w:p>
        </w:tc>
      </w:tr>
      <w:tr w14:paraId="76CA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3BDDB971">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78323C40">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35241FA0">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5506" w:type="dxa"/>
            <w:vAlign w:val="center"/>
          </w:tcPr>
          <w:p w14:paraId="0E7F5DC8">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符合第二章《投标人须知》第18.1项规定</w:t>
            </w:r>
          </w:p>
        </w:tc>
      </w:tr>
      <w:tr w14:paraId="04F1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5E1B528F">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0F9EDFA2">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31F50EAF">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投标函</w:t>
            </w:r>
          </w:p>
        </w:tc>
        <w:tc>
          <w:tcPr>
            <w:tcW w:w="5506" w:type="dxa"/>
            <w:vAlign w:val="center"/>
          </w:tcPr>
          <w:p w14:paraId="22EE30FA">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符合第四章《投标文件格式》中规定的格式及内容，有法定代表人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eastAsia="zh-CN"/>
                <w14:textFill>
                  <w14:solidFill>
                    <w14:schemeClr w14:val="tx1"/>
                  </w14:solidFill>
                </w14:textFill>
              </w:rPr>
              <w:t>电子签章</w:t>
            </w:r>
            <w:r>
              <w:rPr>
                <w:rFonts w:hint="eastAsia" w:ascii="宋体" w:hAnsi="宋体" w:eastAsia="宋体" w:cs="宋体"/>
                <w:color w:val="000000" w:themeColor="text1"/>
                <w:szCs w:val="21"/>
                <w:highlight w:val="none"/>
                <w14:textFill>
                  <w14:solidFill>
                    <w14:schemeClr w14:val="tx1"/>
                  </w14:solidFill>
                </w14:textFill>
              </w:rPr>
              <w:t>，并加盖投标人</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公章。</w:t>
            </w:r>
          </w:p>
        </w:tc>
      </w:tr>
      <w:tr w14:paraId="21A7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9FCB7D3">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298D3090">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1FBBF7CF">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投标报价表</w:t>
            </w:r>
          </w:p>
        </w:tc>
        <w:tc>
          <w:tcPr>
            <w:tcW w:w="5506" w:type="dxa"/>
            <w:vAlign w:val="center"/>
          </w:tcPr>
          <w:p w14:paraId="1CAC37C7">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符合第四章《投标文件格式》中规定的格式及内容，提供开标一览表</w:t>
            </w:r>
            <w:r>
              <w:rPr>
                <w:rFonts w:hint="eastAsia" w:ascii="宋体" w:hAnsi="宋体" w:eastAsia="宋体" w:cs="宋体"/>
                <w:color w:val="000000" w:themeColor="text1"/>
                <w:szCs w:val="21"/>
                <w:highlight w:val="none"/>
                <w:lang w:val="en-US" w:eastAsia="zh-CN"/>
                <w14:textFill>
                  <w14:solidFill>
                    <w14:schemeClr w14:val="tx1"/>
                  </w14:solidFill>
                </w14:textFill>
              </w:rPr>
              <w:t>及投标报价汇总表</w:t>
            </w:r>
            <w:r>
              <w:rPr>
                <w:rFonts w:hint="eastAsia" w:ascii="宋体" w:hAnsi="宋体" w:eastAsia="宋体" w:cs="宋体"/>
                <w:color w:val="000000" w:themeColor="text1"/>
                <w:szCs w:val="21"/>
                <w:highlight w:val="none"/>
                <w14:textFill>
                  <w14:solidFill>
                    <w14:schemeClr w14:val="tx1"/>
                  </w14:solidFill>
                </w14:textFill>
              </w:rPr>
              <w:t>，有法定代表人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eastAsia="zh-CN"/>
                <w14:textFill>
                  <w14:solidFill>
                    <w14:schemeClr w14:val="tx1"/>
                  </w14:solidFill>
                </w14:textFill>
              </w:rPr>
              <w:t>电子签章</w:t>
            </w:r>
            <w:r>
              <w:rPr>
                <w:rFonts w:hint="eastAsia" w:ascii="宋体" w:hAnsi="宋体" w:eastAsia="宋体" w:cs="宋体"/>
                <w:color w:val="000000" w:themeColor="text1"/>
                <w:szCs w:val="21"/>
                <w:highlight w:val="none"/>
                <w14:textFill>
                  <w14:solidFill>
                    <w14:schemeClr w14:val="tx1"/>
                  </w14:solidFill>
                </w14:textFill>
              </w:rPr>
              <w:t>，并加盖投标人</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公章。</w:t>
            </w:r>
          </w:p>
        </w:tc>
      </w:tr>
      <w:tr w14:paraId="463E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31D87B01">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568841C5">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081FB0D8">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w:t>
            </w:r>
          </w:p>
        </w:tc>
        <w:tc>
          <w:tcPr>
            <w:tcW w:w="5506" w:type="dxa"/>
            <w:vAlign w:val="center"/>
          </w:tcPr>
          <w:p w14:paraId="7762B719">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未超过采购预算</w:t>
            </w:r>
            <w:r>
              <w:rPr>
                <w:rFonts w:hint="eastAsia" w:ascii="宋体" w:hAnsi="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val="en-US" w:eastAsia="zh-CN"/>
                <w14:textFill>
                  <w14:solidFill>
                    <w14:schemeClr w14:val="tx1"/>
                  </w14:solidFill>
                </w14:textFill>
              </w:rPr>
              <w:t>或单价限价</w:t>
            </w:r>
            <w:r>
              <w:rPr>
                <w:rFonts w:hint="eastAsia" w:ascii="宋体" w:hAnsi="宋体" w:eastAsia="宋体" w:cs="宋体"/>
                <w:color w:val="000000" w:themeColor="text1"/>
                <w:szCs w:val="21"/>
                <w:highlight w:val="none"/>
                <w14:textFill>
                  <w14:solidFill>
                    <w14:schemeClr w14:val="tx1"/>
                  </w14:solidFill>
                </w14:textFill>
              </w:rPr>
              <w:t>，未出现缺项、漏项，对本项目所有内容作出完整唯一的投标报价</w:t>
            </w:r>
          </w:p>
        </w:tc>
      </w:tr>
      <w:tr w14:paraId="7E1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6E07CDB6">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42F698E7">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485257D0">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法定代表人身份证明书</w:t>
            </w:r>
          </w:p>
        </w:tc>
        <w:tc>
          <w:tcPr>
            <w:tcW w:w="5506" w:type="dxa"/>
            <w:vAlign w:val="center"/>
          </w:tcPr>
          <w:p w14:paraId="72217BEE">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符合第四章《投标文件格式》中规定的格式及内容，并加盖投标人</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公章；</w:t>
            </w:r>
          </w:p>
        </w:tc>
      </w:tr>
      <w:tr w14:paraId="579C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65F5DD5">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6B538FA9">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63D201C5">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法定代表人授权委托书</w:t>
            </w:r>
          </w:p>
        </w:tc>
        <w:tc>
          <w:tcPr>
            <w:tcW w:w="5506" w:type="dxa"/>
            <w:vAlign w:val="center"/>
          </w:tcPr>
          <w:p w14:paraId="5089F596">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符合第四章《投标文件格式》中规定的格式及内容，有法定代表人</w:t>
            </w:r>
            <w:r>
              <w:rPr>
                <w:rFonts w:hint="eastAsia" w:ascii="宋体" w:hAnsi="宋体" w:eastAsia="宋体" w:cs="宋体"/>
                <w:color w:val="000000" w:themeColor="text1"/>
                <w:szCs w:val="21"/>
                <w:highlight w:val="none"/>
                <w:lang w:eastAsia="zh-CN"/>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eastAsia="zh-CN"/>
                <w14:textFill>
                  <w14:solidFill>
                    <w14:schemeClr w14:val="tx1"/>
                  </w14:solidFill>
                </w14:textFill>
              </w:rPr>
              <w:t>电子签章</w:t>
            </w:r>
            <w:r>
              <w:rPr>
                <w:rFonts w:hint="eastAsia" w:ascii="宋体" w:hAnsi="宋体" w:eastAsia="宋体" w:cs="宋体"/>
                <w:color w:val="000000" w:themeColor="text1"/>
                <w:szCs w:val="21"/>
                <w:highlight w:val="none"/>
                <w14:textFill>
                  <w14:solidFill>
                    <w14:schemeClr w14:val="tx1"/>
                  </w14:solidFill>
                </w14:textFill>
              </w:rPr>
              <w:t>，并加盖投标人</w:t>
            </w:r>
            <w:r>
              <w:rPr>
                <w:rFonts w:hint="eastAsia" w:ascii="宋体" w:hAnsi="宋体" w:eastAsia="宋体" w:cs="宋体"/>
                <w:color w:val="000000" w:themeColor="text1"/>
                <w:szCs w:val="21"/>
                <w:highlight w:val="none"/>
                <w:lang w:eastAsia="zh-CN"/>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公章；</w:t>
            </w:r>
          </w:p>
        </w:tc>
      </w:tr>
      <w:tr w14:paraId="7104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256DA2DB">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3CF2970D">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2F389F43">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投标人具备参加政府采购活动条件承诺书</w:t>
            </w:r>
          </w:p>
        </w:tc>
        <w:tc>
          <w:tcPr>
            <w:tcW w:w="5506" w:type="dxa"/>
            <w:vAlign w:val="center"/>
          </w:tcPr>
          <w:p w14:paraId="21595FAE">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符合《政府采购法》第二十二条规定</w:t>
            </w:r>
          </w:p>
        </w:tc>
      </w:tr>
      <w:tr w14:paraId="47CB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11264598">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77869D0C">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547B71E2">
            <w:pPr>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其它实质性要求</w:t>
            </w:r>
          </w:p>
        </w:tc>
        <w:tc>
          <w:tcPr>
            <w:tcW w:w="5506" w:type="dxa"/>
            <w:vAlign w:val="center"/>
          </w:tcPr>
          <w:p w14:paraId="30ED7BD3">
            <w:pPr>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投标文件未出现其他不满足招标文件中标注★条款内容且未出现招标文件规定的其他投标无效情形</w:t>
            </w:r>
          </w:p>
        </w:tc>
      </w:tr>
      <w:tr w14:paraId="014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restart"/>
            <w:vAlign w:val="center"/>
          </w:tcPr>
          <w:p w14:paraId="57F49796">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w:t>
            </w:r>
          </w:p>
        </w:tc>
        <w:tc>
          <w:tcPr>
            <w:tcW w:w="836" w:type="dxa"/>
            <w:vMerge w:val="restart"/>
            <w:vAlign w:val="center"/>
          </w:tcPr>
          <w:p w14:paraId="103FB31B">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详细评审标准</w:t>
            </w:r>
          </w:p>
        </w:tc>
        <w:tc>
          <w:tcPr>
            <w:tcW w:w="2242" w:type="dxa"/>
            <w:vAlign w:val="center"/>
          </w:tcPr>
          <w:p w14:paraId="3D9D81E6">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1）评标总得分计算公式</w:t>
            </w:r>
          </w:p>
        </w:tc>
        <w:tc>
          <w:tcPr>
            <w:tcW w:w="5506" w:type="dxa"/>
            <w:vAlign w:val="center"/>
          </w:tcPr>
          <w:p w14:paraId="078027F9">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投标人的评标总得分＝F1＋F2</w:t>
            </w:r>
          </w:p>
          <w:p w14:paraId="54236BF2">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其中：F1、F2分别为投标报价、技术商务部分</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项评分因素的汇总得分；</w:t>
            </w:r>
          </w:p>
        </w:tc>
      </w:tr>
      <w:tr w14:paraId="1280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2C689E73">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7413DF79">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Align w:val="center"/>
          </w:tcPr>
          <w:p w14:paraId="611B6338">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2）评分因素权重</w:t>
            </w:r>
          </w:p>
        </w:tc>
        <w:tc>
          <w:tcPr>
            <w:tcW w:w="5506" w:type="dxa"/>
            <w:vAlign w:val="center"/>
          </w:tcPr>
          <w:p w14:paraId="32439770">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投标报价F1：</w:t>
            </w: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w:t>
            </w:r>
          </w:p>
          <w:p w14:paraId="18E9E9A8">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技术商务部分F2：</w:t>
            </w:r>
            <w:r>
              <w:rPr>
                <w:rFonts w:hint="eastAsia" w:ascii="宋体" w:hAnsi="宋体" w:eastAsia="宋体" w:cs="宋体"/>
                <w:color w:val="000000" w:themeColor="text1"/>
                <w:szCs w:val="21"/>
                <w:highlight w:val="none"/>
                <w:lang w:val="en-US" w:eastAsia="zh-CN"/>
                <w14:textFill>
                  <w14:solidFill>
                    <w14:schemeClr w14:val="tx1"/>
                  </w14:solidFill>
                </w14:textFill>
              </w:rPr>
              <w:t>70</w:t>
            </w:r>
            <w:r>
              <w:rPr>
                <w:rFonts w:hint="eastAsia" w:ascii="宋体" w:hAnsi="宋体" w:eastAsia="宋体" w:cs="宋体"/>
                <w:color w:val="000000" w:themeColor="text1"/>
                <w:szCs w:val="21"/>
                <w:highlight w:val="none"/>
                <w14:textFill>
                  <w14:solidFill>
                    <w14:schemeClr w14:val="tx1"/>
                  </w14:solidFill>
                </w14:textFill>
              </w:rPr>
              <w:t>分。</w:t>
            </w:r>
          </w:p>
        </w:tc>
      </w:tr>
      <w:tr w14:paraId="29E2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A9A4AA2">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52057497">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Merge w:val="restart"/>
            <w:vAlign w:val="center"/>
          </w:tcPr>
          <w:p w14:paraId="2DB3B00D">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3）投标报价得分F1</w:t>
            </w:r>
          </w:p>
          <w:p w14:paraId="5A339580">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（满分</w:t>
            </w: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分）</w:t>
            </w:r>
          </w:p>
        </w:tc>
        <w:tc>
          <w:tcPr>
            <w:tcW w:w="5506" w:type="dxa"/>
            <w:vAlign w:val="center"/>
          </w:tcPr>
          <w:p w14:paraId="4B795696">
            <w:pPr>
              <w:keepNext/>
              <w:keepLines w:val="0"/>
              <w:pageBreakBefore w:val="0"/>
              <w:kinsoku/>
              <w:topLinePunct w:val="0"/>
              <w:autoSpaceDE/>
              <w:autoSpaceDN/>
              <w:bidi w:val="0"/>
              <w:adjustRightInd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价格分采用低价优先法计算，即满足招标文件要求且投标价格最低的投标报价为评标基准价，其价格分为满分。其他投标人的价格分统一按照下列公式计算：</w:t>
            </w:r>
          </w:p>
          <w:p w14:paraId="279FB3FF">
            <w:pPr>
              <w:keepNext/>
              <w:keepLines w:val="0"/>
              <w:pageBreakBefore w:val="0"/>
              <w:kinsoku/>
              <w:topLinePunct w:val="0"/>
              <w:autoSpaceDE/>
              <w:autoSpaceDN/>
              <w:bidi w:val="0"/>
              <w:adjustRightInd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投标报价计算公式=评标基准价/投标报价×</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0</w:t>
            </w:r>
          </w:p>
          <w:p w14:paraId="322D22CE">
            <w:pPr>
              <w:keepNext/>
              <w:keepLines w:val="0"/>
              <w:pageBreakBefore w:val="0"/>
              <w:kinsoku/>
              <w:topLinePunct w:val="0"/>
              <w:autoSpaceDE/>
              <w:autoSpaceDN/>
              <w:bidi w:val="0"/>
              <w:adjustRightInd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即：F1=[C/（B1，B2，…，Bn）]×</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0</w:t>
            </w:r>
          </w:p>
          <w:p w14:paraId="7A2294D9">
            <w:pPr>
              <w:keepNext/>
              <w:keepLines w:val="0"/>
              <w:pageBreakBefore w:val="0"/>
              <w:kinsoku/>
              <w:topLinePunct w:val="0"/>
              <w:autoSpaceDE/>
              <w:autoSpaceDN/>
              <w:bidi w:val="0"/>
              <w:adjustRightInd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080BA382">
            <w:pPr>
              <w:keepNext/>
              <w:keepLines w:val="0"/>
              <w:pageBreakBefore w:val="0"/>
              <w:kinsoku/>
              <w:topLinePunct w:val="0"/>
              <w:autoSpaceDE/>
              <w:autoSpaceDN/>
              <w:bidi w:val="0"/>
              <w:adjustRightInd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C为评标基准价，即满足招标文件且投标价格最低的有效投标报价；</w:t>
            </w:r>
          </w:p>
          <w:p w14:paraId="4A4B4F73">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B1，B2，…，Bn为第n个满足招标文件的有效投标报价。</w:t>
            </w:r>
          </w:p>
          <w:p w14:paraId="41275F48">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3、本项目针对小微企业报价给予10%的扣除</w:t>
            </w:r>
            <w:r>
              <w:rPr>
                <w:rFonts w:hint="eastAsia" w:ascii="宋体" w:hAnsi="宋体" w:eastAsia="宋体" w:cs="宋体"/>
                <w:b/>
                <w:color w:val="000000" w:themeColor="text1"/>
                <w:highlight w:val="none"/>
                <w14:textFill>
                  <w14:solidFill>
                    <w14:schemeClr w14:val="tx1"/>
                  </w14:solidFill>
                </w14:textFill>
              </w:rPr>
              <w:t>，用扣除后的价格参与评审，残疾人福利性单位属于小型、微型企业的，不重复享受政策。</w:t>
            </w:r>
          </w:p>
          <w:p w14:paraId="020A73ED">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4、</w:t>
            </w:r>
            <w:r>
              <w:rPr>
                <w:rFonts w:hint="eastAsia" w:ascii="宋体" w:hAnsi="宋体" w:eastAsia="宋体" w:cs="宋体"/>
                <w:b/>
                <w:color w:val="000000" w:themeColor="text1"/>
                <w:lang w:val="en-US" w:eastAsia="zh-CN"/>
                <w14:textFill>
                  <w14:solidFill>
                    <w14:schemeClr w14:val="tx1"/>
                  </w14:solidFill>
                </w14:textFill>
              </w:rPr>
              <w:t>根据《国务院办公厅关于在政府采购中实施本国产品标准及相关政策的通知》（国办发〔2025〕34号）的规定，本项目针对符合支持政策的本国产品报价给予20%的价格扣除，用扣除后的价格参与评审。</w:t>
            </w:r>
          </w:p>
        </w:tc>
      </w:tr>
      <w:tr w14:paraId="4E6C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0D30B538">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2E5F61B6">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Merge w:val="restart"/>
            <w:vAlign w:val="center"/>
          </w:tcPr>
          <w:p w14:paraId="76A7EFEF">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4）技术商务部分得分F2</w:t>
            </w:r>
          </w:p>
          <w:p w14:paraId="18596E74">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（满分</w:t>
            </w:r>
            <w:r>
              <w:rPr>
                <w:rFonts w:hint="eastAsia" w:ascii="宋体" w:hAnsi="宋体" w:eastAsia="宋体" w:cs="宋体"/>
                <w:color w:val="000000" w:themeColor="text1"/>
                <w:szCs w:val="21"/>
                <w:highlight w:val="none"/>
                <w:lang w:val="en-US" w:eastAsia="zh-CN"/>
                <w14:textFill>
                  <w14:solidFill>
                    <w14:schemeClr w14:val="tx1"/>
                  </w14:solidFill>
                </w14:textFill>
              </w:rPr>
              <w:t>70</w:t>
            </w:r>
            <w:r>
              <w:rPr>
                <w:rFonts w:hint="eastAsia" w:ascii="宋体" w:hAnsi="宋体" w:eastAsia="宋体" w:cs="宋体"/>
                <w:color w:val="000000" w:themeColor="text1"/>
                <w:szCs w:val="21"/>
                <w:highlight w:val="none"/>
                <w14:textFill>
                  <w14:solidFill>
                    <w14:schemeClr w14:val="tx1"/>
                  </w14:solidFill>
                </w14:textFill>
              </w:rPr>
              <w:t>分）</w:t>
            </w:r>
          </w:p>
        </w:tc>
        <w:tc>
          <w:tcPr>
            <w:tcW w:w="5506" w:type="dxa"/>
            <w:vAlign w:val="center"/>
          </w:tcPr>
          <w:p w14:paraId="10302856">
            <w:pPr>
              <w:keepNext w:val="0"/>
              <w:keepLines w:val="0"/>
              <w:pageBreakBefore w:val="0"/>
              <w:widowControl w:val="0"/>
              <w:kinsoku/>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1）技</w:t>
            </w:r>
            <w:r>
              <w:rPr>
                <w:rFonts w:hint="eastAsia" w:ascii="宋体" w:hAnsi="宋体" w:eastAsia="宋体" w:cs="宋体"/>
                <w:b/>
                <w:color w:val="000000" w:themeColor="text1"/>
                <w:szCs w:val="21"/>
                <w:highlight w:val="none"/>
                <w14:textFill>
                  <w14:solidFill>
                    <w14:schemeClr w14:val="tx1"/>
                  </w14:solidFill>
                </w14:textFill>
              </w:rPr>
              <w:t>术指标响应评审评分（</w:t>
            </w:r>
            <w:r>
              <w:rPr>
                <w:rFonts w:hint="eastAsia" w:ascii="宋体" w:hAnsi="宋体" w:eastAsia="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lang w:val="en-US" w:eastAsia="zh-CN"/>
                <w14:textFill>
                  <w14:solidFill>
                    <w14:schemeClr w14:val="tx1"/>
                  </w14:solidFill>
                </w14:textFill>
              </w:rPr>
              <w:t>50</w:t>
            </w:r>
            <w:r>
              <w:rPr>
                <w:rFonts w:hint="eastAsia" w:ascii="宋体" w:hAnsi="宋体" w:eastAsia="宋体" w:cs="宋体"/>
                <w:b/>
                <w:bCs/>
                <w:color w:val="000000" w:themeColor="text1"/>
                <w:szCs w:val="21"/>
                <w:highlight w:val="none"/>
                <w14:textFill>
                  <w14:solidFill>
                    <w14:schemeClr w14:val="tx1"/>
                  </w14:solidFill>
                </w14:textFill>
              </w:rPr>
              <w:t>分</w:t>
            </w:r>
            <w:r>
              <w:rPr>
                <w:rFonts w:hint="eastAsia" w:ascii="宋体" w:hAnsi="宋体" w:eastAsia="宋体" w:cs="宋体"/>
                <w:b/>
                <w:color w:val="000000" w:themeColor="text1"/>
                <w:szCs w:val="21"/>
                <w:highlight w:val="none"/>
                <w14:textFill>
                  <w14:solidFill>
                    <w14:schemeClr w14:val="tx1"/>
                  </w14:solidFill>
                </w14:textFill>
              </w:rPr>
              <w:t>）</w:t>
            </w:r>
          </w:p>
          <w:p w14:paraId="5792A8FA">
            <w:pPr>
              <w:keepNext w:val="0"/>
              <w:keepLines w:val="0"/>
              <w:pageBreakBefore w:val="0"/>
              <w:widowControl w:val="0"/>
              <w:kinsoku/>
              <w:wordWrap w:val="0"/>
              <w:overflowPunct w:val="0"/>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技术部分按以下原则进行评分：</w:t>
            </w:r>
          </w:p>
          <w:p w14:paraId="6122F752">
            <w:pPr>
              <w:keepNext w:val="0"/>
              <w:keepLines w:val="0"/>
              <w:pageBreakBefore w:val="0"/>
              <w:widowControl w:val="0"/>
              <w:kinsoku/>
              <w:wordWrap w:val="0"/>
              <w:overflowPunct w:val="0"/>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bCs/>
                <w:color w:val="auto"/>
                <w:szCs w:val="21"/>
                <w:highlight w:val="none"/>
              </w:rPr>
            </w:pPr>
            <w:r>
              <w:rPr>
                <w:rFonts w:hint="eastAsia" w:ascii="宋体" w:hAnsi="宋体" w:eastAsia="宋体" w:cs="宋体"/>
                <w:bCs/>
                <w:color w:val="000000" w:themeColor="text1"/>
                <w:szCs w:val="21"/>
                <w:highlight w:val="none"/>
                <w14:textFill>
                  <w14:solidFill>
                    <w14:schemeClr w14:val="tx1"/>
                  </w14:solidFill>
                </w14:textFill>
              </w:rPr>
              <w:t>a.招标文件第五章《采购需求》中，标注“▲”号的技术参数为重要技术参数，每出现1项重要技术参数不满足招标文件要求，扣</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分</w:t>
            </w:r>
            <w:r>
              <w:rPr>
                <w:rFonts w:hint="eastAsia" w:ascii="宋体" w:hAnsi="宋体" w:eastAsia="宋体" w:cs="宋体"/>
                <w:bCs/>
                <w:color w:val="auto"/>
                <w:szCs w:val="21"/>
                <w:highlight w:val="none"/>
              </w:rPr>
              <w:t>。</w:t>
            </w:r>
          </w:p>
          <w:p w14:paraId="15DBA061">
            <w:pPr>
              <w:keepNext w:val="0"/>
              <w:keepLines w:val="0"/>
              <w:pageBreakBefore w:val="0"/>
              <w:widowControl w:val="0"/>
              <w:kinsoku/>
              <w:wordWrap w:val="0"/>
              <w:overflowPunct w:val="0"/>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b.招标文件第五章《采购需求》中，未标注“▲”号的技术参数为一般技术参数，每出现1项一般技术参数不满足招标文件要求，扣</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w:t>
            </w:r>
          </w:p>
          <w:p w14:paraId="4FB4BC01">
            <w:pPr>
              <w:keepNext w:val="0"/>
              <w:keepLines w:val="0"/>
              <w:pageBreakBefore w:val="0"/>
              <w:widowControl w:val="0"/>
              <w:kinsoku/>
              <w:wordWrap w:val="0"/>
              <w:overflowPunct w:val="0"/>
              <w:topLinePunct w:val="0"/>
              <w:autoSpaceDE/>
              <w:autoSpaceDN/>
              <w:bidi w:val="0"/>
              <w:adjustRightInd/>
              <w:snapToGrid/>
              <w:spacing w:beforeAutospacing="0" w:afterAutospacing="0" w:line="480" w:lineRule="exact"/>
              <w:ind w:left="0" w:leftChars="0"/>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注：招标文件第五章《采购需求》二、规格、技术条款和性</w:t>
            </w:r>
            <w:r>
              <w:rPr>
                <w:rFonts w:hint="eastAsia" w:ascii="宋体" w:hAnsi="宋体" w:eastAsia="宋体" w:cs="宋体"/>
                <w:bCs/>
                <w:color w:val="auto"/>
                <w:kern w:val="2"/>
                <w:sz w:val="21"/>
                <w:szCs w:val="21"/>
                <w:highlight w:val="none"/>
                <w:lang w:val="en-US" w:eastAsia="zh-CN" w:bidi="ar-SA"/>
              </w:rPr>
              <w:t>能要求 规格（技术参数、性能要求）中</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标注“▲”号的所有技术参数必须提供最新技术支持资料支持技术条款偏离表应答（包括提供货物、工程或者服务的技术白皮书或检测报告或图纸或印刷宣传彩页或性能参数说明等，不接受非生产制造商自行印刷、打印或者手写的技术支持资料，凡不符合上述要求的，视为无效技术支持资料。如招标文件第五章《采购需求》有特殊要求，以第五章《采购需求》要求为准。），若投标文件中技术支持资料参数与技术条款偏离表应答不符或无支持资料应答，而投标人又未在投标文件中作出说明和解释的，评标委员会在评审时可以视为不响应该条技术条款的规定。</w:t>
            </w:r>
          </w:p>
        </w:tc>
      </w:tr>
      <w:tr w14:paraId="698E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CFEB1D7">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46E680D0">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Merge w:val="continue"/>
            <w:vAlign w:val="center"/>
          </w:tcPr>
          <w:p w14:paraId="1B556CD1">
            <w:pPr>
              <w:keepNext/>
              <w:keepLines w:val="0"/>
              <w:pageBreakBefore w:val="0"/>
              <w:kinsoku/>
              <w:topLinePunct w:val="0"/>
              <w:autoSpaceDE/>
              <w:autoSpaceDN/>
              <w:bidi w:val="0"/>
              <w:snapToGrid/>
              <w:spacing w:beforeAutospacing="0" w:afterAutospacing="0" w:line="480" w:lineRule="exact"/>
              <w:ind w:left="0" w:leftChars="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5506" w:type="dxa"/>
            <w:vAlign w:val="center"/>
          </w:tcPr>
          <w:p w14:paraId="7166DCFB">
            <w:pPr>
              <w:spacing w:line="480" w:lineRule="exact"/>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）节能、环境标志产品评审评分（满分1分）</w:t>
            </w:r>
          </w:p>
          <w:p w14:paraId="1D41CAC0">
            <w:pPr>
              <w:spacing w:line="48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①产品被认定为节能产品（非政府强制采购节能产品）的得0.5分；</w:t>
            </w:r>
          </w:p>
          <w:p w14:paraId="4C5CBB67">
            <w:pPr>
              <w:spacing w:line="48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②产品被认定为环保产品的得0.5分。</w:t>
            </w:r>
          </w:p>
          <w:p w14:paraId="6597D62D">
            <w:pPr>
              <w:spacing w:line="48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产品属于节能产品或环境标志产品的，投标人需在投标文件中提供有效期内经国家确定的参与实施政府采购节能产品认证机构或参与实施政府采购环境标志产品认证机构依据标准出具的节能产品、环境标志产品认证证书并标注具体型号（扫描件加盖投标人电子公章）。</w:t>
            </w:r>
          </w:p>
        </w:tc>
      </w:tr>
      <w:tr w14:paraId="2EE8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59AB3A5B">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4FF9C001">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Merge w:val="continue"/>
            <w:vAlign w:val="center"/>
          </w:tcPr>
          <w:p w14:paraId="67176136">
            <w:pPr>
              <w:keepNext/>
              <w:keepLines w:val="0"/>
              <w:pageBreakBefore w:val="0"/>
              <w:kinsoku/>
              <w:topLinePunct w:val="0"/>
              <w:autoSpaceDE/>
              <w:autoSpaceDN/>
              <w:bidi w:val="0"/>
              <w:snapToGrid/>
              <w:spacing w:beforeAutospacing="0" w:afterAutospacing="0" w:line="480" w:lineRule="exact"/>
              <w:ind w:left="0" w:leftChars="0"/>
              <w:jc w:val="both"/>
              <w:textAlignment w:val="auto"/>
              <w:rPr>
                <w:rFonts w:hint="eastAsia" w:ascii="宋体" w:hAnsi="宋体" w:eastAsia="宋体" w:cs="宋体"/>
                <w:color w:val="000000" w:themeColor="text1"/>
                <w:szCs w:val="21"/>
                <w:highlight w:val="none"/>
                <w14:textFill>
                  <w14:solidFill>
                    <w14:schemeClr w14:val="tx1"/>
                  </w14:solidFill>
                </w14:textFill>
              </w:rPr>
            </w:pPr>
          </w:p>
        </w:tc>
        <w:tc>
          <w:tcPr>
            <w:tcW w:w="5506" w:type="dxa"/>
            <w:vAlign w:val="center"/>
          </w:tcPr>
          <w:p w14:paraId="6ED0C7D1">
            <w:pPr>
              <w:pageBreakBefore w:val="0"/>
              <w:widowControl/>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color w:val="000000" w:themeColor="text1"/>
                <w:kern w:val="0"/>
                <w:szCs w:val="21"/>
                <w:highlight w:val="none"/>
                <w14:textFill>
                  <w14:solidFill>
                    <w14:schemeClr w14:val="tx1"/>
                  </w14:solidFill>
                </w14:textFill>
              </w:rPr>
              <w:t>）培训方案评审评分（满分</w:t>
            </w:r>
            <w:r>
              <w:rPr>
                <w:rFonts w:hint="eastAsia" w:ascii="宋体" w:hAnsi="宋体" w:cs="宋体"/>
                <w:b/>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color w:val="000000" w:themeColor="text1"/>
                <w:kern w:val="0"/>
                <w:szCs w:val="21"/>
                <w:highlight w:val="none"/>
                <w14:textFill>
                  <w14:solidFill>
                    <w14:schemeClr w14:val="tx1"/>
                  </w14:solidFill>
                </w14:textFill>
              </w:rPr>
              <w:t>分）</w:t>
            </w:r>
          </w:p>
          <w:p w14:paraId="424C72B7">
            <w:pPr>
              <w:keepLines w:val="0"/>
              <w:pageBreakBefore w:val="0"/>
              <w:widowControl/>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投标人根据项目实际情况以及采购人要求提供培训方案，包含但不限于下列内容：①培训对象与方式；②培训课程安排；③培训组织计划；</w:t>
            </w:r>
          </w:p>
          <w:p w14:paraId="0275EE4C">
            <w:pPr>
              <w:keepLines w:val="0"/>
              <w:pageBreakBefore w:val="0"/>
              <w:widowControl/>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投标人提供的培训方案须包含以上三项内容，方案内容应基于本项目的特性，内容涵盖培训对象与方式、培训课程安排、培训组织计划。各环节</w:t>
            </w:r>
            <w:r>
              <w:rPr>
                <w:rFonts w:hint="eastAsia" w:ascii="宋体" w:hAnsi="宋体" w:cs="宋体"/>
                <w:color w:val="000000" w:themeColor="text1"/>
                <w:kern w:val="2"/>
                <w:sz w:val="21"/>
                <w:highlight w:val="none"/>
                <w:lang w:val="en-US" w:eastAsia="zh-CN" w:bidi="ar-SA"/>
                <w14:textFill>
                  <w14:solidFill>
                    <w14:schemeClr w14:val="tx1"/>
                  </w14:solidFill>
                </w14:textFill>
              </w:rPr>
              <w:t>培训</w:t>
            </w: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方案应专业规范、详实具体，确保培训过程可以有序进行的得满分6分。经评标委员会评审，发现投标人培训方案存在缺项漏项的，每项扣2分，各项内容中存在不足的扣1分。</w:t>
            </w:r>
          </w:p>
          <w:p w14:paraId="469C6FCB">
            <w:pPr>
              <w:keepLines w:val="0"/>
              <w:pageBreakBefore w:val="0"/>
              <w:widowControl/>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不足是指：虽然提供了培训方案</w:t>
            </w:r>
            <w:r>
              <w:rPr>
                <w:rFonts w:hint="eastAsia" w:ascii="宋体" w:hAnsi="宋体" w:cs="宋体"/>
                <w:color w:val="000000" w:themeColor="text1"/>
                <w:kern w:val="2"/>
                <w:sz w:val="21"/>
                <w:highlight w:val="none"/>
                <w:lang w:val="en-US" w:eastAsia="zh-CN" w:bidi="ar-SA"/>
                <w14:textFill>
                  <w14:solidFill>
                    <w14:schemeClr w14:val="tx1"/>
                  </w14:solidFill>
                </w14:textFill>
              </w:rPr>
              <w:t>的相应内容</w:t>
            </w: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，但存在内容空泛、没有具体可执行的步骤、方法和措施或出现逻辑错误、前后矛盾、方法不当或不可执行等缺陷或瑕疵。</w:t>
            </w:r>
          </w:p>
        </w:tc>
      </w:tr>
      <w:tr w14:paraId="3607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61E1FCC">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3FFFEE05">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Merge w:val="continue"/>
            <w:vAlign w:val="center"/>
          </w:tcPr>
          <w:p w14:paraId="5B115CB4">
            <w:pPr>
              <w:keepNext/>
              <w:keepLines w:val="0"/>
              <w:pageBreakBefore w:val="0"/>
              <w:kinsoku/>
              <w:topLinePunct w:val="0"/>
              <w:autoSpaceDE/>
              <w:autoSpaceDN/>
              <w:bidi w:val="0"/>
              <w:snapToGrid/>
              <w:spacing w:beforeAutospacing="0" w:afterAutospacing="0" w:line="480" w:lineRule="exact"/>
              <w:ind w:left="0" w:leftChars="0"/>
              <w:jc w:val="both"/>
              <w:textAlignment w:val="auto"/>
              <w:rPr>
                <w:rFonts w:hint="eastAsia" w:ascii="宋体" w:hAnsi="宋体" w:eastAsia="宋体" w:cs="宋体"/>
                <w:color w:val="000000" w:themeColor="text1"/>
                <w:szCs w:val="21"/>
                <w:highlight w:val="none"/>
                <w14:textFill>
                  <w14:solidFill>
                    <w14:schemeClr w14:val="tx1"/>
                  </w14:solidFill>
                </w14:textFill>
              </w:rPr>
            </w:pPr>
          </w:p>
        </w:tc>
        <w:tc>
          <w:tcPr>
            <w:tcW w:w="5506" w:type="dxa"/>
            <w:vAlign w:val="center"/>
          </w:tcPr>
          <w:p w14:paraId="71302BF5">
            <w:pPr>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）售后服务方案及承诺评审评分（满分</w:t>
            </w:r>
            <w:r>
              <w:rPr>
                <w:rFonts w:hint="eastAsia" w:ascii="宋体" w:hAnsi="宋体" w:cs="宋体"/>
                <w:b/>
                <w:bCs/>
                <w:color w:val="000000" w:themeColor="text1"/>
                <w:szCs w:val="21"/>
                <w:highlight w:val="none"/>
                <w:lang w:val="en-US" w:eastAsia="zh-CN"/>
                <w14:textFill>
                  <w14:solidFill>
                    <w14:schemeClr w14:val="tx1"/>
                  </w14:solidFill>
                </w14:textFill>
              </w:rPr>
              <w:t>8</w:t>
            </w:r>
            <w:r>
              <w:rPr>
                <w:rFonts w:hint="eastAsia" w:ascii="宋体" w:hAnsi="宋体" w:eastAsia="宋体" w:cs="宋体"/>
                <w:b/>
                <w:bCs/>
                <w:color w:val="000000" w:themeColor="text1"/>
                <w:szCs w:val="21"/>
                <w:highlight w:val="none"/>
                <w14:textFill>
                  <w14:solidFill>
                    <w14:schemeClr w14:val="tx1"/>
                  </w14:solidFill>
                </w14:textFill>
              </w:rPr>
              <w:t>分）</w:t>
            </w:r>
          </w:p>
          <w:p w14:paraId="35CE6AC9">
            <w:pPr>
              <w:keepLines w:val="0"/>
              <w:pageBreakBefore w:val="0"/>
              <w:widowControl/>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投标人根据项目实际情况以及采购人要求提供售后服务方案及承诺，包含但不限于下列内容：</w:t>
            </w:r>
            <w:r>
              <w:rPr>
                <w:rFonts w:hint="eastAsia" w:asciiTheme="minorEastAsia" w:hAnsiTheme="minorEastAsia" w:cstheme="minorEastAsia"/>
                <w:color w:val="auto"/>
                <w:szCs w:val="21"/>
                <w:highlight w:val="none"/>
              </w:rPr>
              <w:t>①质量保证服务方案及承诺</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lang w:val="en-US" w:eastAsia="zh-CN"/>
              </w:rPr>
              <w:t>②</w:t>
            </w:r>
            <w:r>
              <w:rPr>
                <w:rFonts w:hint="eastAsia" w:asciiTheme="minorEastAsia" w:hAnsiTheme="minorEastAsia" w:cstheme="minorEastAsia"/>
                <w:color w:val="auto"/>
                <w:szCs w:val="21"/>
                <w:highlight w:val="none"/>
              </w:rPr>
              <w:t>售后响应时间</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lang w:val="en-US" w:eastAsia="zh-CN"/>
              </w:rPr>
              <w:t>③</w:t>
            </w:r>
            <w:r>
              <w:rPr>
                <w:rFonts w:hint="eastAsia" w:asciiTheme="minorEastAsia" w:hAnsiTheme="minorEastAsia" w:cstheme="minorEastAsia"/>
                <w:color w:val="auto"/>
                <w:szCs w:val="21"/>
                <w:highlight w:val="none"/>
              </w:rPr>
              <w:t>维修</w:t>
            </w:r>
            <w:r>
              <w:rPr>
                <w:rFonts w:hint="eastAsia" w:asciiTheme="minorEastAsia" w:hAnsiTheme="minorEastAsia" w:cstheme="minorEastAsia"/>
                <w:color w:val="auto"/>
                <w:szCs w:val="21"/>
                <w:highlight w:val="none"/>
                <w:lang w:val="en-US" w:eastAsia="zh-CN"/>
              </w:rPr>
              <w:t>和</w:t>
            </w:r>
            <w:r>
              <w:rPr>
                <w:rFonts w:hint="eastAsia" w:asciiTheme="minorEastAsia" w:hAnsiTheme="minorEastAsia" w:cstheme="minorEastAsia"/>
                <w:color w:val="auto"/>
                <w:szCs w:val="21"/>
                <w:highlight w:val="none"/>
              </w:rPr>
              <w:t>更换</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lang w:val="en-US" w:eastAsia="zh-CN"/>
              </w:rPr>
              <w:t>④</w:t>
            </w:r>
            <w:r>
              <w:rPr>
                <w:rFonts w:hint="eastAsia" w:asciiTheme="minorEastAsia" w:hAnsiTheme="minorEastAsia" w:cstheme="minorEastAsia"/>
                <w:color w:val="auto"/>
                <w:szCs w:val="21"/>
                <w:highlight w:val="none"/>
              </w:rPr>
              <w:t>跟踪回访</w:t>
            </w:r>
            <w:r>
              <w:rPr>
                <w:rFonts w:hint="eastAsia"/>
                <w:color w:val="000000" w:themeColor="text1"/>
                <w:highlight w:val="none"/>
                <w:lang w:eastAsia="zh-CN" w:bidi="zh-TW"/>
                <w14:textFill>
                  <w14:solidFill>
                    <w14:schemeClr w14:val="tx1"/>
                  </w14:solidFill>
                </w14:textFill>
              </w:rPr>
              <w:t>；</w:t>
            </w:r>
          </w:p>
          <w:p w14:paraId="2D2C42C6">
            <w:pPr>
              <w:keepLines w:val="0"/>
              <w:pageBreakBefore w:val="0"/>
              <w:widowControl/>
              <w:kinsoku/>
              <w:topLinePunct w:val="0"/>
              <w:autoSpaceDE/>
              <w:autoSpaceDN/>
              <w:bidi w:val="0"/>
              <w:snapToGrid/>
              <w:spacing w:beforeAutospacing="0" w:afterAutospacing="0" w:line="480" w:lineRule="exact"/>
              <w:ind w:left="0" w:leftChars="0"/>
              <w:jc w:val="left"/>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投标人提供的售后服务方案及承诺须包含以上</w:t>
            </w:r>
            <w:r>
              <w:rPr>
                <w:rFonts w:hint="eastAsia" w:ascii="宋体" w:hAnsi="宋体" w:cs="宋体"/>
                <w:color w:val="000000" w:themeColor="text1"/>
                <w:kern w:val="2"/>
                <w:sz w:val="21"/>
                <w:highlight w:val="none"/>
                <w:lang w:val="en-US" w:eastAsia="zh-CN" w:bidi="ar-SA"/>
                <w14:textFill>
                  <w14:solidFill>
                    <w14:schemeClr w14:val="tx1"/>
                  </w14:solidFill>
                </w14:textFill>
              </w:rPr>
              <w:t>四</w:t>
            </w: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项内容，方案内容应基于本项目的特性与风险，内容涵盖</w:t>
            </w:r>
            <w:r>
              <w:rPr>
                <w:rFonts w:hint="eastAsia" w:asciiTheme="minorEastAsia" w:hAnsiTheme="minorEastAsia" w:cstheme="minorEastAsia"/>
                <w:color w:val="auto"/>
                <w:szCs w:val="21"/>
                <w:highlight w:val="none"/>
              </w:rPr>
              <w:t>质量保证服务方案及承诺</w:t>
            </w: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、售后响应时间、维修和更换、跟踪回访。各环节方案应专业规范、措施完备、详实具体、责任明确、流程清晰、响应迅速，确保售后服务可以有序进行的得满分</w:t>
            </w:r>
            <w:r>
              <w:rPr>
                <w:rFonts w:hint="eastAsia" w:ascii="宋体" w:hAnsi="宋体" w:cs="宋体"/>
                <w:color w:val="000000" w:themeColor="text1"/>
                <w:kern w:val="2"/>
                <w:sz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分。经评标委员会评审，发现投标人售后服务方案及承诺存在缺项漏项的，每项扣2分，各项内容中存在不足的扣1分。</w:t>
            </w:r>
          </w:p>
          <w:p w14:paraId="3CC413F9">
            <w:pPr>
              <w:spacing w:line="48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不足是指：虽然提供了售后服务方案及承诺</w:t>
            </w:r>
            <w:r>
              <w:rPr>
                <w:rFonts w:hint="eastAsia" w:ascii="宋体" w:hAnsi="宋体" w:cs="宋体"/>
                <w:color w:val="000000" w:themeColor="text1"/>
                <w:kern w:val="2"/>
                <w:sz w:val="21"/>
                <w:highlight w:val="none"/>
                <w:lang w:val="en-US" w:eastAsia="zh-CN" w:bidi="ar-SA"/>
                <w14:textFill>
                  <w14:solidFill>
                    <w14:schemeClr w14:val="tx1"/>
                  </w14:solidFill>
                </w14:textFill>
              </w:rPr>
              <w:t>的相应内容</w:t>
            </w: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，但存在内容空泛、没有具体可执行的步骤、方法和措施或出现逻辑错误、前后矛盾、方法不当或不可执行等缺陷或瑕疵。</w:t>
            </w:r>
          </w:p>
        </w:tc>
      </w:tr>
      <w:tr w14:paraId="0505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0" w:type="dxa"/>
            <w:vMerge w:val="continue"/>
            <w:vAlign w:val="center"/>
          </w:tcPr>
          <w:p w14:paraId="43636AF6">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6" w:type="dxa"/>
            <w:vMerge w:val="continue"/>
            <w:vAlign w:val="center"/>
          </w:tcPr>
          <w:p w14:paraId="4AC646D5">
            <w:pPr>
              <w:keepNext/>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242" w:type="dxa"/>
            <w:vMerge w:val="continue"/>
            <w:vAlign w:val="center"/>
          </w:tcPr>
          <w:p w14:paraId="53A07BA5">
            <w:pPr>
              <w:keepNext/>
              <w:keepLines w:val="0"/>
              <w:pageBreakBefore w:val="0"/>
              <w:kinsoku/>
              <w:topLinePunct w:val="0"/>
              <w:autoSpaceDE/>
              <w:autoSpaceDN/>
              <w:bidi w:val="0"/>
              <w:snapToGrid/>
              <w:spacing w:beforeAutospacing="0" w:afterAutospacing="0" w:line="480" w:lineRule="exact"/>
              <w:ind w:left="0" w:leftChars="0"/>
              <w:jc w:val="both"/>
              <w:textAlignment w:val="auto"/>
              <w:rPr>
                <w:rFonts w:hint="eastAsia" w:ascii="宋体" w:hAnsi="宋体" w:eastAsia="宋体" w:cs="宋体"/>
                <w:color w:val="000000" w:themeColor="text1"/>
                <w:szCs w:val="21"/>
                <w:highlight w:val="none"/>
                <w14:textFill>
                  <w14:solidFill>
                    <w14:schemeClr w14:val="tx1"/>
                  </w14:solidFill>
                </w14:textFill>
              </w:rPr>
            </w:pPr>
          </w:p>
        </w:tc>
        <w:tc>
          <w:tcPr>
            <w:tcW w:w="5506" w:type="dxa"/>
            <w:vAlign w:val="center"/>
          </w:tcPr>
          <w:p w14:paraId="24A6A066">
            <w:pPr>
              <w:spacing w:line="360" w:lineRule="auto"/>
              <w:jc w:val="left"/>
              <w:rPr>
                <w:rFonts w:hint="eastAsia" w:ascii="宋体" w:hAnsi="宋体" w:cs="宋体"/>
                <w:color w:val="auto"/>
                <w:szCs w:val="21"/>
                <w:highlight w:val="none"/>
              </w:rPr>
            </w:pP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auto"/>
                <w:szCs w:val="22"/>
                <w:highlight w:val="none"/>
              </w:rPr>
              <w:t>投标人履约能力评审评分（满分</w:t>
            </w:r>
            <w:r>
              <w:rPr>
                <w:rFonts w:hint="eastAsia" w:ascii="宋体" w:hAnsi="宋体" w:cs="宋体"/>
                <w:b/>
                <w:bCs/>
                <w:color w:val="auto"/>
                <w:szCs w:val="22"/>
                <w:highlight w:val="none"/>
                <w:lang w:val="en-US" w:eastAsia="zh-CN"/>
              </w:rPr>
              <w:t>5</w:t>
            </w:r>
            <w:r>
              <w:rPr>
                <w:rFonts w:hint="eastAsia" w:ascii="宋体" w:hAnsi="宋体" w:cs="宋体"/>
                <w:b/>
                <w:bCs/>
                <w:color w:val="auto"/>
                <w:szCs w:val="22"/>
                <w:highlight w:val="none"/>
              </w:rPr>
              <w:t>分）</w:t>
            </w:r>
          </w:p>
          <w:p w14:paraId="2764381C">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根据投标人在本项目投标文件提交截止时间前已完成的类似项目履约情况进行打分，每提供一项类似项目履约能力证明材料得1分，本项满分</w:t>
            </w:r>
            <w:r>
              <w:rPr>
                <w:rFonts w:hint="eastAsia" w:ascii="宋体" w:hAnsi="宋体" w:cs="宋体"/>
                <w:color w:val="auto"/>
                <w:szCs w:val="22"/>
                <w:highlight w:val="none"/>
                <w:lang w:val="en-US" w:eastAsia="zh-CN"/>
              </w:rPr>
              <w:t>5</w:t>
            </w:r>
            <w:r>
              <w:rPr>
                <w:rFonts w:hint="eastAsia" w:ascii="宋体" w:hAnsi="宋体" w:cs="宋体"/>
                <w:color w:val="auto"/>
                <w:szCs w:val="22"/>
                <w:highlight w:val="none"/>
              </w:rPr>
              <w:t>分。</w:t>
            </w:r>
          </w:p>
          <w:p w14:paraId="74AEDC13">
            <w:pPr>
              <w:keepLines w:val="0"/>
              <w:pageBreakBefore w:val="0"/>
              <w:kinsoku/>
              <w:topLinePunct w:val="0"/>
              <w:autoSpaceDE/>
              <w:autoSpaceDN/>
              <w:bidi w:val="0"/>
              <w:snapToGrid/>
              <w:spacing w:beforeAutospacing="0" w:afterAutospacing="0" w:line="480" w:lineRule="exact"/>
              <w:ind w:left="0" w:leftChars="0"/>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auto"/>
                <w:szCs w:val="22"/>
                <w:highlight w:val="none"/>
              </w:rPr>
              <w:t>注：投标文件中须提供投标人类似项目履约能力情况表及相对应的履约能力证明材料，履约能力证明材料为投标人与委托方签订的合同（合同包括：合同首页、标的及金额所在页及合同签字盖章页）或委托方出具委托证明，无证明材料或证明材料不明确、无法体现业绩内容的，不予认可。</w:t>
            </w:r>
          </w:p>
        </w:tc>
      </w:tr>
    </w:tbl>
    <w:p w14:paraId="5FD88672">
      <w:pPr>
        <w:pageBreakBefore w:val="0"/>
        <w:kinsoku/>
        <w:topLinePunct w:val="0"/>
        <w:autoSpaceDE/>
        <w:autoSpaceDN/>
        <w:bidi w:val="0"/>
        <w:snapToGrid/>
        <w:spacing w:beforeAutospacing="0" w:afterAutospacing="0" w:line="480" w:lineRule="exact"/>
        <w:ind w:left="0" w:leftChars="0"/>
        <w:textAlignment w:val="auto"/>
        <w:outlineLvl w:val="1"/>
        <w:rPr>
          <w:rFonts w:hint="eastAsia" w:ascii="宋体" w:hAnsi="宋体" w:eastAsia="宋体" w:cs="宋体"/>
          <w:b/>
          <w:bCs w:val="0"/>
          <w:color w:val="000000" w:themeColor="text1"/>
          <w:szCs w:val="22"/>
          <w:highlight w:val="none"/>
          <w14:textFill>
            <w14:solidFill>
              <w14:schemeClr w14:val="tx1"/>
            </w14:solidFill>
          </w14:textFill>
        </w:rPr>
      </w:pPr>
      <w:bookmarkStart w:id="73" w:name="_Toc3426"/>
      <w:bookmarkStart w:id="74" w:name="_Toc5633"/>
      <w:r>
        <w:rPr>
          <w:rFonts w:hint="eastAsia" w:ascii="宋体" w:hAnsi="宋体" w:eastAsia="宋体" w:cs="宋体"/>
          <w:b/>
          <w:bCs w:val="0"/>
          <w:color w:val="000000" w:themeColor="text1"/>
          <w:szCs w:val="22"/>
          <w:highlight w:val="none"/>
          <w14:textFill>
            <w14:solidFill>
              <w14:schemeClr w14:val="tx1"/>
            </w14:solidFill>
          </w14:textFill>
        </w:rPr>
        <w:t>1.符合性审查</w:t>
      </w:r>
      <w:bookmarkEnd w:id="73"/>
      <w:bookmarkEnd w:id="74"/>
    </w:p>
    <w:p w14:paraId="20D78DCE">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1.1评标</w:t>
      </w:r>
      <w:r>
        <w:rPr>
          <w:rFonts w:hint="eastAsia" w:ascii="宋体" w:hAnsi="宋体" w:eastAsia="宋体" w:cs="宋体"/>
          <w:color w:val="000000" w:themeColor="text1"/>
          <w:kern w:val="0"/>
          <w:szCs w:val="21"/>
          <w:highlight w:val="none"/>
          <w14:textFill>
            <w14:solidFill>
              <w14:schemeClr w14:val="tx1"/>
            </w14:solidFill>
          </w14:textFill>
        </w:rPr>
        <w:t>委员会</w:t>
      </w:r>
      <w:r>
        <w:rPr>
          <w:rFonts w:hint="eastAsia" w:ascii="宋体" w:hAnsi="宋体" w:eastAsia="宋体" w:cs="宋体"/>
          <w:color w:val="000000" w:themeColor="text1"/>
          <w:szCs w:val="21"/>
          <w:highlight w:val="none"/>
          <w14:textFill>
            <w14:solidFill>
              <w14:schemeClr w14:val="tx1"/>
            </w14:solidFill>
          </w14:textFill>
        </w:rPr>
        <w:t>对符合资格的投标人的投标文件进行符合性审查，以确定其是否满足招标文件的实质性要求。</w:t>
      </w:r>
    </w:p>
    <w:p w14:paraId="7C867FBD">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1.2符合性审查</w:t>
      </w:r>
      <w:r>
        <w:rPr>
          <w:rFonts w:hint="eastAsia" w:ascii="宋体" w:hAnsi="宋体" w:eastAsia="宋体" w:cs="宋体"/>
          <w:color w:val="000000" w:themeColor="text1"/>
          <w:kern w:val="0"/>
          <w:szCs w:val="21"/>
          <w:highlight w:val="none"/>
          <w14:textFill>
            <w14:solidFill>
              <w14:schemeClr w14:val="tx1"/>
            </w14:solidFill>
          </w14:textFill>
        </w:rPr>
        <w:t>内容</w:t>
      </w:r>
      <w:r>
        <w:rPr>
          <w:rFonts w:hint="eastAsia" w:ascii="宋体" w:hAnsi="宋体" w:eastAsia="宋体" w:cs="宋体"/>
          <w:color w:val="000000" w:themeColor="text1"/>
          <w:szCs w:val="21"/>
          <w:highlight w:val="none"/>
          <w14:textFill>
            <w14:solidFill>
              <w14:schemeClr w14:val="tx1"/>
            </w14:solidFill>
          </w14:textFill>
        </w:rPr>
        <w:t>及标准：详见招标文件第七章《评标方法》“评标方法前附表1.2符合性审查”，经审查有一项不符合的，该投标文件按无效投标处理。</w:t>
      </w:r>
    </w:p>
    <w:p w14:paraId="581E5D13">
      <w:pPr>
        <w:pageBreakBefore w:val="0"/>
        <w:kinsoku/>
        <w:topLinePunct w:val="0"/>
        <w:autoSpaceDE/>
        <w:autoSpaceDN/>
        <w:bidi w:val="0"/>
        <w:snapToGrid/>
        <w:spacing w:beforeAutospacing="0" w:afterAutospacing="0" w:line="480" w:lineRule="exact"/>
        <w:ind w:left="0" w:leftChars="0"/>
        <w:textAlignment w:val="auto"/>
        <w:outlineLvl w:val="1"/>
        <w:rPr>
          <w:rFonts w:hint="eastAsia" w:ascii="宋体" w:hAnsi="宋体" w:eastAsia="宋体" w:cs="宋体"/>
          <w:b/>
          <w:bCs w:val="0"/>
          <w:color w:val="000000" w:themeColor="text1"/>
          <w:szCs w:val="22"/>
          <w:highlight w:val="none"/>
          <w14:textFill>
            <w14:solidFill>
              <w14:schemeClr w14:val="tx1"/>
            </w14:solidFill>
          </w14:textFill>
        </w:rPr>
      </w:pPr>
      <w:bookmarkStart w:id="75" w:name="_Toc22202"/>
      <w:bookmarkStart w:id="76" w:name="_Toc2812"/>
      <w:r>
        <w:rPr>
          <w:rFonts w:hint="eastAsia" w:ascii="宋体" w:hAnsi="宋体" w:eastAsia="宋体" w:cs="宋体"/>
          <w:b/>
          <w:bCs w:val="0"/>
          <w:color w:val="000000" w:themeColor="text1"/>
          <w:szCs w:val="22"/>
          <w:highlight w:val="none"/>
          <w14:textFill>
            <w14:solidFill>
              <w14:schemeClr w14:val="tx1"/>
            </w14:solidFill>
          </w14:textFill>
        </w:rPr>
        <w:t>2.评标</w:t>
      </w:r>
      <w:r>
        <w:rPr>
          <w:rFonts w:hint="eastAsia" w:ascii="宋体" w:hAnsi="宋体" w:eastAsia="宋体" w:cs="宋体"/>
          <w:b/>
          <w:bCs w:val="0"/>
          <w:color w:val="000000" w:themeColor="text1"/>
          <w:szCs w:val="24"/>
          <w:highlight w:val="none"/>
          <w14:textFill>
            <w14:solidFill>
              <w14:schemeClr w14:val="tx1"/>
            </w14:solidFill>
          </w14:textFill>
        </w:rPr>
        <w:t>方法</w:t>
      </w:r>
      <w:r>
        <w:rPr>
          <w:rFonts w:hint="eastAsia" w:ascii="宋体" w:hAnsi="宋体" w:eastAsia="宋体" w:cs="宋体"/>
          <w:b/>
          <w:bCs w:val="0"/>
          <w:color w:val="000000" w:themeColor="text1"/>
          <w:szCs w:val="22"/>
          <w:highlight w:val="none"/>
          <w14:textFill>
            <w14:solidFill>
              <w14:schemeClr w14:val="tx1"/>
            </w14:solidFill>
          </w14:textFill>
        </w:rPr>
        <w:t>和标准</w:t>
      </w:r>
      <w:bookmarkEnd w:id="75"/>
      <w:bookmarkEnd w:id="76"/>
    </w:p>
    <w:p w14:paraId="74E28226">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2.1评标委员会按照</w:t>
      </w:r>
      <w:r>
        <w:rPr>
          <w:rFonts w:hint="eastAsia" w:ascii="宋体" w:hAnsi="宋体" w:eastAsia="宋体" w:cs="宋体"/>
          <w:color w:val="000000" w:themeColor="text1"/>
          <w:kern w:val="0"/>
          <w:szCs w:val="21"/>
          <w:highlight w:val="none"/>
          <w14:textFill>
            <w14:solidFill>
              <w14:schemeClr w14:val="tx1"/>
            </w14:solidFill>
          </w14:textFill>
        </w:rPr>
        <w:t>招标</w:t>
      </w:r>
      <w:r>
        <w:rPr>
          <w:rFonts w:hint="eastAsia" w:ascii="宋体" w:hAnsi="宋体" w:eastAsia="宋体" w:cs="宋体"/>
          <w:color w:val="000000" w:themeColor="text1"/>
          <w:szCs w:val="21"/>
          <w:highlight w:val="none"/>
          <w14:textFill>
            <w14:solidFill>
              <w14:schemeClr w14:val="tx1"/>
            </w14:solidFill>
          </w14:textFill>
        </w:rPr>
        <w:t>文件中规定的评标方法和标准，对符合性审查合格的投标文件进行商务和技术评估，综合比较与评价。招标文件中没有规定的方法、评审因素和标准，不作为评标依据。</w:t>
      </w:r>
    </w:p>
    <w:p w14:paraId="5960CDE7">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2.1.1投标报价得分F1：按本章《评标方法前附表》的规定对投标报价进行计算并得出F1得分；</w:t>
      </w:r>
    </w:p>
    <w:p w14:paraId="7F2552F8">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2.1.2技术商务部分得分F2：按本章《评标方法前附表》的规定对技术商务部分评分并计算出F2汇总得分</w:t>
      </w:r>
    </w:p>
    <w:p w14:paraId="5469B573">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2.1.3评标总得分：按本章《评标方法前附表》的规定计算评标总得分。</w:t>
      </w:r>
    </w:p>
    <w:p w14:paraId="0455684C">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cs="宋体"/>
          <w:kern w:val="0"/>
          <w:szCs w:val="21"/>
          <w:lang w:val="en-US" w:eastAsia="zh-CN"/>
        </w:rPr>
        <w:t>2.2</w:t>
      </w:r>
      <w:r>
        <w:rPr>
          <w:rFonts w:hint="eastAsia" w:ascii="宋体" w:hAnsi="宋体" w:eastAsia="宋体" w:cs="宋体"/>
          <w:kern w:val="0"/>
          <w:szCs w:val="21"/>
        </w:rPr>
        <w:t>评审过程中出现下列情形之一的，评标委员会应当启动异常低价投标（响应）审查程序：</w:t>
      </w:r>
    </w:p>
    <w:p w14:paraId="4B82DDE9">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（1）投标（响应）报价低于全部通过符合性审查投标人投标（响应）报价平均值50%的，即投标（响应）报价&lt;全部通过符合性审查投标人投标（响应）报价平均值×50%；</w:t>
      </w:r>
    </w:p>
    <w:p w14:paraId="659EAB00">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（2）投标（响应）报价低于通过符合性审查的次低报价投标人投标（响应）报价50%的，即投标（响应）报价&lt;通过符合性审查的次低报价投标人投标（响应）报价×50%；</w:t>
      </w:r>
    </w:p>
    <w:p w14:paraId="50808975">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（3）投标（响应）报价低于采购项目最高限价45%的，即投标（响应）报价&lt;采购项目最高限价×45%；</w:t>
      </w:r>
    </w:p>
    <w:p w14:paraId="21FEFD6D">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（4）评标委员会基于专业判断，认为投标人报价过低，有可能影响产品质量或者不能诚信履约的其他情形。</w:t>
      </w:r>
    </w:p>
    <w:p w14:paraId="5F7776B4">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2.3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7D114E82">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处理。</w:t>
      </w:r>
    </w:p>
    <w:p w14:paraId="576F377A">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2.4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7E05737">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kern w:val="0"/>
          <w:szCs w:val="21"/>
        </w:rPr>
      </w:pPr>
      <w:r>
        <w:rPr>
          <w:rFonts w:hint="eastAsia" w:ascii="宋体" w:hAnsi="宋体" w:eastAsia="宋体" w:cs="宋体"/>
          <w:kern w:val="0"/>
          <w:szCs w:val="21"/>
        </w:rPr>
        <w:t>异常低价投标（响应）审查的启动原因、审查意见和审查结果应当在评审报告中记录，并随投标人提供的相关书面说明及证明材料，以及评标委员会有关互联网浏览、查询历史一并归档。</w:t>
      </w:r>
    </w:p>
    <w:p w14:paraId="6C995489">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对投标人的价格分等客观评分项的评分应当一致，对其他需要借助专业知识评判的主观评分项，应当严格按照评分细则公正评分。</w:t>
      </w:r>
    </w:p>
    <w:p w14:paraId="042697EE">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技术商务部分（F2）由评标委员会各成员独立对每个投标人的投标文件进行评价，并汇总每个投标人的得分。投标人各项评分因素得分为该项因素评标委员会各成员汇总得分的算术平均值（保留小数点后两位），小数点后第三位“四舍五入”。</w:t>
      </w:r>
    </w:p>
    <w:p w14:paraId="0555028F">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评标委员会成员要依法独立评审，并对评审意见承担个人</w:t>
      </w:r>
      <w:r>
        <w:rPr>
          <w:rFonts w:hint="eastAsia" w:ascii="宋体" w:hAnsi="宋体" w:eastAsia="宋体" w:cs="宋体"/>
          <w:color w:val="000000" w:themeColor="text1"/>
          <w:szCs w:val="21"/>
          <w:highlight w:val="none"/>
          <w14:textFill>
            <w14:solidFill>
              <w14:schemeClr w14:val="tx1"/>
            </w14:solidFill>
          </w14:textFill>
        </w:rPr>
        <w:t>责任。</w:t>
      </w:r>
    </w:p>
    <w:p w14:paraId="33336988">
      <w:pPr>
        <w:pageBreakBefore w:val="0"/>
        <w:kinsoku/>
        <w:topLinePunct w:val="0"/>
        <w:autoSpaceDE/>
        <w:autoSpaceDN/>
        <w:bidi w:val="0"/>
        <w:snapToGrid/>
        <w:spacing w:beforeAutospacing="0" w:afterAutospacing="0" w:line="480" w:lineRule="exact"/>
        <w:ind w:left="0" w:leftChars="0"/>
        <w:textAlignment w:val="auto"/>
        <w:outlineLvl w:val="1"/>
        <w:rPr>
          <w:rFonts w:hint="eastAsia" w:ascii="宋体" w:hAnsi="宋体" w:eastAsia="宋体" w:cs="宋体"/>
          <w:b/>
          <w:bCs w:val="0"/>
          <w:color w:val="000000" w:themeColor="text1"/>
          <w:szCs w:val="22"/>
          <w:highlight w:val="none"/>
          <w14:textFill>
            <w14:solidFill>
              <w14:schemeClr w14:val="tx1"/>
            </w14:solidFill>
          </w14:textFill>
        </w:rPr>
      </w:pPr>
      <w:bookmarkStart w:id="77" w:name="_Toc27049"/>
      <w:bookmarkStart w:id="78" w:name="_Toc25861"/>
      <w:r>
        <w:rPr>
          <w:rFonts w:hint="eastAsia" w:ascii="宋体" w:hAnsi="宋体" w:eastAsia="宋体" w:cs="宋体"/>
          <w:b/>
          <w:bCs w:val="0"/>
          <w:color w:val="000000" w:themeColor="text1"/>
          <w:szCs w:val="22"/>
          <w:highlight w:val="none"/>
          <w14:textFill>
            <w14:solidFill>
              <w14:schemeClr w14:val="tx1"/>
            </w14:solidFill>
          </w14:textFill>
        </w:rPr>
        <w:t>3.投标文件的澄清、说明或者补正</w:t>
      </w:r>
      <w:bookmarkEnd w:id="77"/>
      <w:bookmarkEnd w:id="78"/>
      <w:r>
        <w:rPr>
          <w:rFonts w:hint="eastAsia" w:ascii="宋体" w:hAnsi="宋体" w:eastAsia="宋体" w:cs="宋体"/>
          <w:b/>
          <w:bCs w:val="0"/>
          <w:color w:val="000000" w:themeColor="text1"/>
          <w:szCs w:val="22"/>
          <w:highlight w:val="none"/>
          <w14:textFill>
            <w14:solidFill>
              <w14:schemeClr w14:val="tx1"/>
            </w14:solidFill>
          </w14:textFill>
        </w:rPr>
        <w:t xml:space="preserve"> </w:t>
      </w:r>
    </w:p>
    <w:p w14:paraId="68F1C62B">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投标文件中出现含义不明确、同类问题表述不一致或者有明显文字和计算错误的内容，评标委员会将以书面形式要求投标人作出必要的澄清、说明或者补正。投标人的澄清、说明或者补正应当采用书面形式，并加盖投标人公章，或者由法定代表人或其授权的代表签字。投标人的澄清、说明或者补正不得超出投标文件的范围或者改变投标文件的实质性内容。</w:t>
      </w:r>
    </w:p>
    <w:p w14:paraId="72672AE2">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3.2评标委员会不接受投标人主动提出的澄清、说明或者补正。</w:t>
      </w:r>
    </w:p>
    <w:p w14:paraId="0EDDBC1A">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 评标委员会对投标人提交的澄清、说明或者补正有疑问的，可以要求投标人进一步澄清、说明或者补正。</w:t>
      </w:r>
    </w:p>
    <w:p w14:paraId="0F4A4F1F">
      <w:pPr>
        <w:pageBreakBefore w:val="0"/>
        <w:kinsoku/>
        <w:topLinePunct w:val="0"/>
        <w:autoSpaceDE/>
        <w:autoSpaceDN/>
        <w:bidi w:val="0"/>
        <w:snapToGrid/>
        <w:spacing w:beforeAutospacing="0" w:afterAutospacing="0" w:line="480" w:lineRule="exact"/>
        <w:ind w:left="0" w:leftChars="0"/>
        <w:textAlignment w:val="auto"/>
        <w:outlineLvl w:val="1"/>
        <w:rPr>
          <w:rFonts w:hint="eastAsia" w:ascii="宋体" w:hAnsi="宋体" w:eastAsia="宋体" w:cs="宋体"/>
          <w:b/>
          <w:bCs w:val="0"/>
          <w:color w:val="000000" w:themeColor="text1"/>
          <w:szCs w:val="22"/>
          <w:highlight w:val="none"/>
          <w14:textFill>
            <w14:solidFill>
              <w14:schemeClr w14:val="tx1"/>
            </w14:solidFill>
          </w14:textFill>
        </w:rPr>
      </w:pPr>
      <w:bookmarkStart w:id="79" w:name="_Toc7788"/>
      <w:bookmarkStart w:id="80" w:name="_Toc24686"/>
      <w:r>
        <w:rPr>
          <w:rFonts w:hint="eastAsia" w:ascii="宋体" w:hAnsi="宋体" w:eastAsia="宋体" w:cs="宋体"/>
          <w:b/>
          <w:bCs w:val="0"/>
          <w:color w:val="000000" w:themeColor="text1"/>
          <w:szCs w:val="22"/>
          <w:highlight w:val="none"/>
          <w14:textFill>
            <w14:solidFill>
              <w14:schemeClr w14:val="tx1"/>
            </w14:solidFill>
          </w14:textFill>
        </w:rPr>
        <w:t>4.评标结果</w:t>
      </w:r>
      <w:bookmarkEnd w:id="79"/>
      <w:bookmarkEnd w:id="80"/>
    </w:p>
    <w:p w14:paraId="0D355517">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4.1提供相同品牌产品</w:t>
      </w:r>
      <w:r>
        <w:rPr>
          <w:rFonts w:hint="eastAsia" w:ascii="宋体" w:hAnsi="宋体" w:eastAsia="宋体" w:cs="宋体"/>
          <w:color w:val="000000" w:themeColor="text1"/>
          <w:kern w:val="0"/>
          <w:szCs w:val="21"/>
          <w:highlight w:val="none"/>
          <w14:textFill>
            <w14:solidFill>
              <w14:schemeClr w14:val="tx1"/>
            </w14:solidFill>
          </w14:textFill>
        </w:rPr>
        <w:t>且通过资格审查、符合性审查的不同投标人参加同一合同项下投标的，按一家投标人计算，评审后得分最高的同品牌投标人获得中标人推荐资格；评审得分相同的，由评标委员会按照授权齐全、资格合格且报价最低或最有利于采购人利益的方式确定一个投标人获得中标人推荐资格。</w:t>
      </w:r>
    </w:p>
    <w:p w14:paraId="1285F036">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4.2非单一产品采购项目，采购人根据采购项目技术构成、产品价格比重等确定核心产品，投标人提供的核心产品品牌相同的，按前款规定处理。</w:t>
      </w:r>
    </w:p>
    <w:p w14:paraId="4FAB5796">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4.3投标文件满足招标文件全部实质性要求，且按照评审因素的量化指标评审得分最高的投标人将会被推荐为排名第一的中标候选人。</w:t>
      </w:r>
    </w:p>
    <w:p w14:paraId="3B999872">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4.4评标委员会按评标总得分由高到低顺序推荐中标候选人，评标总得分相等时，按投标报价由低到高顺序排序，得分且投标报价相同的并列</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165B864A">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4.5评标委员会根据全体评标成员签字的原始评标记录和评标结果编写评标报告。</w:t>
      </w:r>
    </w:p>
    <w:p w14:paraId="3F3CD35C">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4.6评标委员会成员对需要共同认定的事项存在争议的，应当按照少数服从多数的原则作出结论。持不同意见的评标委员会成员应当在评标报告上签署不同意见及理由，否则视为同意评标报告。</w:t>
      </w:r>
    </w:p>
    <w:p w14:paraId="63819AAF">
      <w:pPr>
        <w:pageBreakBefore w:val="0"/>
        <w:widowControl/>
        <w:kinsoku/>
        <w:topLinePunct w:val="0"/>
        <w:autoSpaceDE/>
        <w:autoSpaceDN/>
        <w:bidi w:val="0"/>
        <w:snapToGrid/>
        <w:spacing w:beforeAutospacing="0" w:afterAutospacing="0" w:line="480" w:lineRule="exact"/>
        <w:ind w:left="0" w:leftChars="0" w:firstLine="525" w:firstLineChars="25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w:t>
      </w:r>
      <w:r>
        <w:rPr>
          <w:rFonts w:hint="eastAsia" w:ascii="宋体" w:hAnsi="宋体" w:eastAsia="宋体" w:cs="宋体"/>
          <w:color w:val="000000" w:themeColor="text1"/>
          <w:szCs w:val="21"/>
          <w:highlight w:val="none"/>
          <w14:textFill>
            <w14:solidFill>
              <w14:schemeClr w14:val="tx1"/>
            </w14:solidFill>
          </w14:textFill>
        </w:rPr>
        <w:t>组织采购活动。</w:t>
      </w:r>
      <w:bookmarkEnd w:id="9"/>
    </w:p>
    <w:sectPr>
      <w:pgSz w:w="12240" w:h="15840"/>
      <w:pgMar w:top="1440" w:right="1803" w:bottom="1440" w:left="1803" w:header="567" w:footer="56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思源黑体 CN Light">
    <w:altName w:val="黑体"/>
    <w:panose1 w:val="020B03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54BD">
    <w:pPr>
      <w:pStyle w:val="28"/>
      <w:jc w:val="right"/>
    </w:pPr>
    <w:r>
      <w:drawing>
        <wp:inline distT="0" distB="0" distL="114300" distR="114300">
          <wp:extent cx="1438275" cy="266700"/>
          <wp:effectExtent l="0" t="0" r="9525" b="0"/>
          <wp:docPr id="8"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44C85">
    <w:pPr>
      <w:pStyle w:val="28"/>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FE6FA">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EFE6FA">
                    <w:pPr>
                      <w:pStyle w:val="28"/>
                    </w:pPr>
                    <w:r>
                      <w:fldChar w:fldCharType="begin"/>
                    </w:r>
                    <w:r>
                      <w:instrText xml:space="preserve"> PAGE  \* MERGEFORMAT </w:instrText>
                    </w:r>
                    <w:r>
                      <w:fldChar w:fldCharType="separate"/>
                    </w:r>
                    <w:r>
                      <w:t>3</w:t>
                    </w:r>
                    <w:r>
                      <w:fldChar w:fldCharType="end"/>
                    </w:r>
                  </w:p>
                </w:txbxContent>
              </v:textbox>
            </v:shape>
          </w:pict>
        </mc:Fallback>
      </mc:AlternateContent>
    </w:r>
    <w:r>
      <w:drawing>
        <wp:inline distT="0" distB="0" distL="114300" distR="114300">
          <wp:extent cx="1438275" cy="266700"/>
          <wp:effectExtent l="0" t="0" r="9525" b="0"/>
          <wp:docPr id="1" name="图片 2" descr="冠睿小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冠睿小标"/>
                  <pic:cNvPicPr>
                    <a:picLocks noChangeAspect="1"/>
                  </pic:cNvPicPr>
                </pic:nvPicPr>
                <pic:blipFill>
                  <a:blip r:embed="rId1"/>
                  <a:stretch>
                    <a:fillRect/>
                  </a:stretch>
                </pic:blipFill>
                <pic:spPr>
                  <a:xfrm>
                    <a:off x="0" y="0"/>
                    <a:ext cx="1438275" cy="2667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7FA18">
    <w:pPr>
      <w:pStyle w:val="29"/>
      <w:rPr>
        <w:rFonts w:hint="default"/>
        <w:sz w:val="18"/>
        <w:szCs w:val="18"/>
        <w:lang w:val="en-US"/>
      </w:rPr>
    </w:pPr>
    <w:r>
      <w:rPr>
        <w:rFonts w:hint="eastAsia" w:ascii="Arial" w:hAnsi="Arial" w:cs="Arial"/>
        <w:color w:val="333333"/>
        <w:sz w:val="18"/>
        <w:szCs w:val="18"/>
        <w:shd w:val="clear" w:color="auto" w:fill="FFFFFF"/>
        <w:lang w:eastAsia="zh-CN"/>
      </w:rPr>
      <w:t>云南省第一人民医院彩色多普勒超声诊断仪采购项目</w:t>
    </w:r>
    <w:r>
      <w:rPr>
        <w:rFonts w:hint="eastAsia" w:ascii="Arial" w:hAnsi="Arial" w:cs="Arial"/>
        <w:color w:val="333333"/>
        <w:sz w:val="18"/>
        <w:szCs w:val="18"/>
        <w:shd w:val="clear" w:color="auto" w:fill="FFFFFF"/>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00F07"/>
    <w:multiLevelType w:val="multilevel"/>
    <w:tmpl w:val="1B500F07"/>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isLgl/>
      <w:lvlText w:val="%1.%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ascii="宋体" w:hAnsi="宋体" w:eastAsia="宋体" w:cs="宋体"/>
      </w:rPr>
    </w:lvl>
    <w:lvl w:ilvl="5" w:tentative="0">
      <w:start w:val="1"/>
      <w:numFmt w:val="decimal"/>
      <w:isLgl/>
      <w:lvlText w:val="%1.%2.%3.%4.%5.%6."/>
      <w:lvlJc w:val="left"/>
      <w:pPr>
        <w:ind w:left="1151" w:hanging="1151"/>
      </w:pPr>
      <w:rPr>
        <w:rFonts w:hint="eastAsia" w:ascii="宋体" w:hAnsi="宋体" w:eastAsia="宋体" w:cs="宋体"/>
      </w:rPr>
    </w:lvl>
    <w:lvl w:ilvl="6" w:tentative="0">
      <w:start w:val="1"/>
      <w:numFmt w:val="decimal"/>
      <w:pStyle w:val="11"/>
      <w:isLgl/>
      <w:lvlText w:val="%1.%2.%3.%4.%5.%6.%7."/>
      <w:lvlJc w:val="left"/>
      <w:pPr>
        <w:ind w:left="1296" w:hanging="1296"/>
      </w:pPr>
      <w:rPr>
        <w:rFonts w:hint="eastAsia" w:ascii="宋体" w:hAnsi="宋体" w:eastAsia="宋体" w:cs="宋体"/>
      </w:rPr>
    </w:lvl>
    <w:lvl w:ilvl="7" w:tentative="0">
      <w:start w:val="1"/>
      <w:numFmt w:val="decimal"/>
      <w:pStyle w:val="12"/>
      <w:isLgl/>
      <w:lvlText w:val="%1.%2.%3.%4.%5.%6.%7.%8."/>
      <w:lvlJc w:val="left"/>
      <w:pPr>
        <w:ind w:left="1440" w:hanging="1440"/>
      </w:pPr>
      <w:rPr>
        <w:rFonts w:hint="eastAsia" w:ascii="宋体" w:hAnsi="宋体" w:eastAsia="宋体" w:cs="宋体"/>
      </w:rPr>
    </w:lvl>
    <w:lvl w:ilvl="8" w:tentative="0">
      <w:start w:val="1"/>
      <w:numFmt w:val="decimal"/>
      <w:pStyle w:val="13"/>
      <w:isLgl/>
      <w:lvlText w:val="%1.%2.%3.%4.%5.%6.%7.%8.%9."/>
      <w:lvlJc w:val="left"/>
      <w:pPr>
        <w:ind w:left="1583" w:hanging="1583"/>
      </w:pPr>
      <w:rPr>
        <w:rFonts w:hint="eastAsia" w:ascii="宋体" w:hAnsi="宋体" w:eastAsia="宋体" w:cs="宋体"/>
      </w:rPr>
    </w:lvl>
  </w:abstractNum>
  <w:abstractNum w:abstractNumId="1">
    <w:nsid w:val="6EE514E5"/>
    <w:multiLevelType w:val="singleLevel"/>
    <w:tmpl w:val="6EE514E5"/>
    <w:lvl w:ilvl="0" w:tentative="0">
      <w:start w:val="1"/>
      <w:numFmt w:val="decimal"/>
      <w:pStyle w:val="8"/>
      <w:lvlText w:val="%1."/>
      <w:lvlJc w:val="left"/>
      <w:pPr>
        <w:tabs>
          <w:tab w:val="left" w:pos="780"/>
        </w:tabs>
        <w:ind w:left="7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 w:name="KSO_WPS_MARK_KEY" w:val="a53b32d7-a137-46ac-83f9-815eade8114c"/>
  </w:docVars>
  <w:rsids>
    <w:rsidRoot w:val="00172A27"/>
    <w:rsid w:val="000001DD"/>
    <w:rsid w:val="000007C7"/>
    <w:rsid w:val="00001193"/>
    <w:rsid w:val="000012D0"/>
    <w:rsid w:val="00002418"/>
    <w:rsid w:val="000026CF"/>
    <w:rsid w:val="00002713"/>
    <w:rsid w:val="00002AF6"/>
    <w:rsid w:val="00002CC3"/>
    <w:rsid w:val="00002DAF"/>
    <w:rsid w:val="000030C1"/>
    <w:rsid w:val="00003394"/>
    <w:rsid w:val="00005A2B"/>
    <w:rsid w:val="000062FE"/>
    <w:rsid w:val="00006587"/>
    <w:rsid w:val="000067DF"/>
    <w:rsid w:val="00006963"/>
    <w:rsid w:val="00007E1B"/>
    <w:rsid w:val="00010641"/>
    <w:rsid w:val="000129F1"/>
    <w:rsid w:val="00013089"/>
    <w:rsid w:val="00013235"/>
    <w:rsid w:val="000141BE"/>
    <w:rsid w:val="000156B4"/>
    <w:rsid w:val="000159BF"/>
    <w:rsid w:val="000163E7"/>
    <w:rsid w:val="00016724"/>
    <w:rsid w:val="0001690F"/>
    <w:rsid w:val="00016B3A"/>
    <w:rsid w:val="000170F3"/>
    <w:rsid w:val="000173C8"/>
    <w:rsid w:val="00017E2C"/>
    <w:rsid w:val="000202DF"/>
    <w:rsid w:val="00023146"/>
    <w:rsid w:val="00024837"/>
    <w:rsid w:val="00025194"/>
    <w:rsid w:val="000258E1"/>
    <w:rsid w:val="000277E1"/>
    <w:rsid w:val="00030E86"/>
    <w:rsid w:val="00031014"/>
    <w:rsid w:val="00031453"/>
    <w:rsid w:val="00031AB7"/>
    <w:rsid w:val="00034746"/>
    <w:rsid w:val="0003521E"/>
    <w:rsid w:val="000361EA"/>
    <w:rsid w:val="00036355"/>
    <w:rsid w:val="00036537"/>
    <w:rsid w:val="00037D44"/>
    <w:rsid w:val="00041C3B"/>
    <w:rsid w:val="00041F03"/>
    <w:rsid w:val="000421E6"/>
    <w:rsid w:val="00042A69"/>
    <w:rsid w:val="00043998"/>
    <w:rsid w:val="00043FF3"/>
    <w:rsid w:val="00046CDE"/>
    <w:rsid w:val="00046F86"/>
    <w:rsid w:val="00050AD7"/>
    <w:rsid w:val="00050EA2"/>
    <w:rsid w:val="00051742"/>
    <w:rsid w:val="00051E2B"/>
    <w:rsid w:val="00052436"/>
    <w:rsid w:val="00053223"/>
    <w:rsid w:val="00054319"/>
    <w:rsid w:val="000548E1"/>
    <w:rsid w:val="00055893"/>
    <w:rsid w:val="000559E2"/>
    <w:rsid w:val="00055CA8"/>
    <w:rsid w:val="00055D2D"/>
    <w:rsid w:val="000562B9"/>
    <w:rsid w:val="0005687F"/>
    <w:rsid w:val="00057EE7"/>
    <w:rsid w:val="000609A9"/>
    <w:rsid w:val="00061775"/>
    <w:rsid w:val="00061BE0"/>
    <w:rsid w:val="00061E2C"/>
    <w:rsid w:val="0006234B"/>
    <w:rsid w:val="0006298A"/>
    <w:rsid w:val="00062A4C"/>
    <w:rsid w:val="0006303A"/>
    <w:rsid w:val="00065399"/>
    <w:rsid w:val="00065B5E"/>
    <w:rsid w:val="00066088"/>
    <w:rsid w:val="000664A0"/>
    <w:rsid w:val="0007041C"/>
    <w:rsid w:val="000704E8"/>
    <w:rsid w:val="00070960"/>
    <w:rsid w:val="00070D56"/>
    <w:rsid w:val="0007105D"/>
    <w:rsid w:val="00072A96"/>
    <w:rsid w:val="000738C3"/>
    <w:rsid w:val="00073A3C"/>
    <w:rsid w:val="00073A91"/>
    <w:rsid w:val="00073BD5"/>
    <w:rsid w:val="000746CA"/>
    <w:rsid w:val="00075E0D"/>
    <w:rsid w:val="000765CB"/>
    <w:rsid w:val="00076B83"/>
    <w:rsid w:val="000770A3"/>
    <w:rsid w:val="00077676"/>
    <w:rsid w:val="000778CD"/>
    <w:rsid w:val="00077AB7"/>
    <w:rsid w:val="00077F2B"/>
    <w:rsid w:val="000803D4"/>
    <w:rsid w:val="00081818"/>
    <w:rsid w:val="00082A86"/>
    <w:rsid w:val="00082F73"/>
    <w:rsid w:val="000844D7"/>
    <w:rsid w:val="000859AC"/>
    <w:rsid w:val="00085B35"/>
    <w:rsid w:val="00087335"/>
    <w:rsid w:val="000874C1"/>
    <w:rsid w:val="000875A1"/>
    <w:rsid w:val="00087819"/>
    <w:rsid w:val="00087B28"/>
    <w:rsid w:val="000915B9"/>
    <w:rsid w:val="00091AB0"/>
    <w:rsid w:val="00092D6A"/>
    <w:rsid w:val="00092D8D"/>
    <w:rsid w:val="0009306E"/>
    <w:rsid w:val="00094070"/>
    <w:rsid w:val="00096065"/>
    <w:rsid w:val="000965B8"/>
    <w:rsid w:val="00096603"/>
    <w:rsid w:val="000967EB"/>
    <w:rsid w:val="000974FB"/>
    <w:rsid w:val="000A03C8"/>
    <w:rsid w:val="000A1714"/>
    <w:rsid w:val="000A1B7E"/>
    <w:rsid w:val="000A2880"/>
    <w:rsid w:val="000A2C52"/>
    <w:rsid w:val="000A33FA"/>
    <w:rsid w:val="000A37C8"/>
    <w:rsid w:val="000A3C50"/>
    <w:rsid w:val="000A47DF"/>
    <w:rsid w:val="000A481C"/>
    <w:rsid w:val="000A4859"/>
    <w:rsid w:val="000A51A7"/>
    <w:rsid w:val="000A5386"/>
    <w:rsid w:val="000A558D"/>
    <w:rsid w:val="000A5FB9"/>
    <w:rsid w:val="000A60BA"/>
    <w:rsid w:val="000A614E"/>
    <w:rsid w:val="000A67B9"/>
    <w:rsid w:val="000A6804"/>
    <w:rsid w:val="000A6A24"/>
    <w:rsid w:val="000A6B83"/>
    <w:rsid w:val="000A6FFB"/>
    <w:rsid w:val="000A7450"/>
    <w:rsid w:val="000A78BA"/>
    <w:rsid w:val="000A7BF4"/>
    <w:rsid w:val="000A7DB3"/>
    <w:rsid w:val="000B0F93"/>
    <w:rsid w:val="000B29FD"/>
    <w:rsid w:val="000B3EDD"/>
    <w:rsid w:val="000B4976"/>
    <w:rsid w:val="000B6CE1"/>
    <w:rsid w:val="000C2916"/>
    <w:rsid w:val="000C314C"/>
    <w:rsid w:val="000C33D3"/>
    <w:rsid w:val="000C3A7A"/>
    <w:rsid w:val="000C3F3B"/>
    <w:rsid w:val="000C554D"/>
    <w:rsid w:val="000C5EF0"/>
    <w:rsid w:val="000C6E53"/>
    <w:rsid w:val="000C7124"/>
    <w:rsid w:val="000C715D"/>
    <w:rsid w:val="000D0525"/>
    <w:rsid w:val="000D0EC7"/>
    <w:rsid w:val="000D125D"/>
    <w:rsid w:val="000D172F"/>
    <w:rsid w:val="000D27FB"/>
    <w:rsid w:val="000D306F"/>
    <w:rsid w:val="000D5478"/>
    <w:rsid w:val="000D563F"/>
    <w:rsid w:val="000D57BE"/>
    <w:rsid w:val="000D60DD"/>
    <w:rsid w:val="000D612B"/>
    <w:rsid w:val="000D6E92"/>
    <w:rsid w:val="000D784C"/>
    <w:rsid w:val="000D7D53"/>
    <w:rsid w:val="000E0B0A"/>
    <w:rsid w:val="000E0E5C"/>
    <w:rsid w:val="000E131B"/>
    <w:rsid w:val="000E1687"/>
    <w:rsid w:val="000E199E"/>
    <w:rsid w:val="000E4677"/>
    <w:rsid w:val="000E5349"/>
    <w:rsid w:val="000E5BF2"/>
    <w:rsid w:val="000E7548"/>
    <w:rsid w:val="000F0112"/>
    <w:rsid w:val="000F09A2"/>
    <w:rsid w:val="000F0BEC"/>
    <w:rsid w:val="000F13B3"/>
    <w:rsid w:val="000F16C0"/>
    <w:rsid w:val="000F40CD"/>
    <w:rsid w:val="000F452B"/>
    <w:rsid w:val="000F4C18"/>
    <w:rsid w:val="000F744F"/>
    <w:rsid w:val="000F74FB"/>
    <w:rsid w:val="000F7C20"/>
    <w:rsid w:val="0010042B"/>
    <w:rsid w:val="00101542"/>
    <w:rsid w:val="00101E4F"/>
    <w:rsid w:val="001034CA"/>
    <w:rsid w:val="0010364F"/>
    <w:rsid w:val="00103CC5"/>
    <w:rsid w:val="00105D31"/>
    <w:rsid w:val="00105D7C"/>
    <w:rsid w:val="00107796"/>
    <w:rsid w:val="00110334"/>
    <w:rsid w:val="001104EF"/>
    <w:rsid w:val="0011216F"/>
    <w:rsid w:val="001128DD"/>
    <w:rsid w:val="00114520"/>
    <w:rsid w:val="0011485F"/>
    <w:rsid w:val="00114C77"/>
    <w:rsid w:val="00114E06"/>
    <w:rsid w:val="00116821"/>
    <w:rsid w:val="00116C62"/>
    <w:rsid w:val="00116F8A"/>
    <w:rsid w:val="0012009A"/>
    <w:rsid w:val="001203DD"/>
    <w:rsid w:val="001210CD"/>
    <w:rsid w:val="00122AB2"/>
    <w:rsid w:val="00122C80"/>
    <w:rsid w:val="00123B62"/>
    <w:rsid w:val="0012504B"/>
    <w:rsid w:val="0012509F"/>
    <w:rsid w:val="001251F4"/>
    <w:rsid w:val="00125971"/>
    <w:rsid w:val="00125B78"/>
    <w:rsid w:val="00125B7B"/>
    <w:rsid w:val="00126AB0"/>
    <w:rsid w:val="00126F18"/>
    <w:rsid w:val="001279CA"/>
    <w:rsid w:val="00131DA9"/>
    <w:rsid w:val="00131F9F"/>
    <w:rsid w:val="001341F7"/>
    <w:rsid w:val="0013609E"/>
    <w:rsid w:val="0013696C"/>
    <w:rsid w:val="00136D32"/>
    <w:rsid w:val="00137774"/>
    <w:rsid w:val="00137994"/>
    <w:rsid w:val="00141382"/>
    <w:rsid w:val="0014146E"/>
    <w:rsid w:val="001420D7"/>
    <w:rsid w:val="00144125"/>
    <w:rsid w:val="00144215"/>
    <w:rsid w:val="001443EA"/>
    <w:rsid w:val="00144AE2"/>
    <w:rsid w:val="00144E1C"/>
    <w:rsid w:val="00145112"/>
    <w:rsid w:val="001465AB"/>
    <w:rsid w:val="0014661E"/>
    <w:rsid w:val="0014677E"/>
    <w:rsid w:val="001512E5"/>
    <w:rsid w:val="00151EC8"/>
    <w:rsid w:val="001522C2"/>
    <w:rsid w:val="001523DF"/>
    <w:rsid w:val="001529F8"/>
    <w:rsid w:val="001533A5"/>
    <w:rsid w:val="00153884"/>
    <w:rsid w:val="0015460E"/>
    <w:rsid w:val="00154666"/>
    <w:rsid w:val="0015534F"/>
    <w:rsid w:val="001555F9"/>
    <w:rsid w:val="00155DF7"/>
    <w:rsid w:val="00155E75"/>
    <w:rsid w:val="00156B9B"/>
    <w:rsid w:val="0016095C"/>
    <w:rsid w:val="00160E34"/>
    <w:rsid w:val="00161182"/>
    <w:rsid w:val="0016147C"/>
    <w:rsid w:val="001619E9"/>
    <w:rsid w:val="00161C98"/>
    <w:rsid w:val="00162787"/>
    <w:rsid w:val="00162A49"/>
    <w:rsid w:val="00163A9C"/>
    <w:rsid w:val="00163DB3"/>
    <w:rsid w:val="001642A1"/>
    <w:rsid w:val="00164F51"/>
    <w:rsid w:val="0016659D"/>
    <w:rsid w:val="00167E63"/>
    <w:rsid w:val="0017004F"/>
    <w:rsid w:val="0017051C"/>
    <w:rsid w:val="00170789"/>
    <w:rsid w:val="001714C8"/>
    <w:rsid w:val="00171FE3"/>
    <w:rsid w:val="0017250D"/>
    <w:rsid w:val="0017292B"/>
    <w:rsid w:val="00172A27"/>
    <w:rsid w:val="00173DAB"/>
    <w:rsid w:val="00173E4D"/>
    <w:rsid w:val="00174B18"/>
    <w:rsid w:val="001764DB"/>
    <w:rsid w:val="00176D99"/>
    <w:rsid w:val="00177AAD"/>
    <w:rsid w:val="001804D9"/>
    <w:rsid w:val="00181409"/>
    <w:rsid w:val="00181DE5"/>
    <w:rsid w:val="001834A1"/>
    <w:rsid w:val="00183717"/>
    <w:rsid w:val="00183D92"/>
    <w:rsid w:val="00185157"/>
    <w:rsid w:val="0018639E"/>
    <w:rsid w:val="001867AE"/>
    <w:rsid w:val="00187119"/>
    <w:rsid w:val="0018712A"/>
    <w:rsid w:val="00187389"/>
    <w:rsid w:val="0018773F"/>
    <w:rsid w:val="00187A06"/>
    <w:rsid w:val="00187A0A"/>
    <w:rsid w:val="00190B72"/>
    <w:rsid w:val="00190F22"/>
    <w:rsid w:val="00191076"/>
    <w:rsid w:val="0019248B"/>
    <w:rsid w:val="00192973"/>
    <w:rsid w:val="0019369F"/>
    <w:rsid w:val="00194EAD"/>
    <w:rsid w:val="00196DB9"/>
    <w:rsid w:val="0019719C"/>
    <w:rsid w:val="00197E5E"/>
    <w:rsid w:val="001A0151"/>
    <w:rsid w:val="001A071B"/>
    <w:rsid w:val="001A0BD3"/>
    <w:rsid w:val="001A0C8D"/>
    <w:rsid w:val="001A0D1F"/>
    <w:rsid w:val="001A1300"/>
    <w:rsid w:val="001A19B9"/>
    <w:rsid w:val="001A1EB1"/>
    <w:rsid w:val="001A2784"/>
    <w:rsid w:val="001A3D85"/>
    <w:rsid w:val="001A4BAA"/>
    <w:rsid w:val="001A4D00"/>
    <w:rsid w:val="001A58A2"/>
    <w:rsid w:val="001A5970"/>
    <w:rsid w:val="001A668C"/>
    <w:rsid w:val="001A71F7"/>
    <w:rsid w:val="001A74F8"/>
    <w:rsid w:val="001A7519"/>
    <w:rsid w:val="001A7CF8"/>
    <w:rsid w:val="001B2041"/>
    <w:rsid w:val="001B21E5"/>
    <w:rsid w:val="001B2738"/>
    <w:rsid w:val="001B38D6"/>
    <w:rsid w:val="001B38FB"/>
    <w:rsid w:val="001B3CFC"/>
    <w:rsid w:val="001B4184"/>
    <w:rsid w:val="001B4767"/>
    <w:rsid w:val="001B48A0"/>
    <w:rsid w:val="001B5081"/>
    <w:rsid w:val="001B5373"/>
    <w:rsid w:val="001B5433"/>
    <w:rsid w:val="001B5C8D"/>
    <w:rsid w:val="001B5CB8"/>
    <w:rsid w:val="001B65BE"/>
    <w:rsid w:val="001C082C"/>
    <w:rsid w:val="001C111F"/>
    <w:rsid w:val="001C1380"/>
    <w:rsid w:val="001C1616"/>
    <w:rsid w:val="001C169D"/>
    <w:rsid w:val="001C1B0E"/>
    <w:rsid w:val="001C2038"/>
    <w:rsid w:val="001C20DA"/>
    <w:rsid w:val="001C2E09"/>
    <w:rsid w:val="001C2F2C"/>
    <w:rsid w:val="001C350F"/>
    <w:rsid w:val="001C57A1"/>
    <w:rsid w:val="001C5FAE"/>
    <w:rsid w:val="001C6385"/>
    <w:rsid w:val="001C6470"/>
    <w:rsid w:val="001C7E87"/>
    <w:rsid w:val="001D0733"/>
    <w:rsid w:val="001D0776"/>
    <w:rsid w:val="001D175D"/>
    <w:rsid w:val="001D4434"/>
    <w:rsid w:val="001D46B7"/>
    <w:rsid w:val="001D4C09"/>
    <w:rsid w:val="001D4D81"/>
    <w:rsid w:val="001D5101"/>
    <w:rsid w:val="001D6F07"/>
    <w:rsid w:val="001E0002"/>
    <w:rsid w:val="001E0A44"/>
    <w:rsid w:val="001E162C"/>
    <w:rsid w:val="001E2844"/>
    <w:rsid w:val="001E2B45"/>
    <w:rsid w:val="001E2D8E"/>
    <w:rsid w:val="001E3AA0"/>
    <w:rsid w:val="001E5099"/>
    <w:rsid w:val="001E538E"/>
    <w:rsid w:val="001E5594"/>
    <w:rsid w:val="001E567E"/>
    <w:rsid w:val="001E7488"/>
    <w:rsid w:val="001E7F78"/>
    <w:rsid w:val="001F07E3"/>
    <w:rsid w:val="001F1152"/>
    <w:rsid w:val="001F16A1"/>
    <w:rsid w:val="001F36AD"/>
    <w:rsid w:val="001F3846"/>
    <w:rsid w:val="001F4149"/>
    <w:rsid w:val="001F45E0"/>
    <w:rsid w:val="001F47AE"/>
    <w:rsid w:val="001F4B16"/>
    <w:rsid w:val="001F785E"/>
    <w:rsid w:val="002006C1"/>
    <w:rsid w:val="00200C5F"/>
    <w:rsid w:val="002014AE"/>
    <w:rsid w:val="002014FA"/>
    <w:rsid w:val="00201ED3"/>
    <w:rsid w:val="00203833"/>
    <w:rsid w:val="00203881"/>
    <w:rsid w:val="002038E8"/>
    <w:rsid w:val="00203BD6"/>
    <w:rsid w:val="00204CC8"/>
    <w:rsid w:val="00207500"/>
    <w:rsid w:val="002078B4"/>
    <w:rsid w:val="00210407"/>
    <w:rsid w:val="0021097F"/>
    <w:rsid w:val="002126EE"/>
    <w:rsid w:val="00212F5B"/>
    <w:rsid w:val="0021464C"/>
    <w:rsid w:val="00214C4D"/>
    <w:rsid w:val="0021511B"/>
    <w:rsid w:val="00215325"/>
    <w:rsid w:val="00215EDA"/>
    <w:rsid w:val="002162BF"/>
    <w:rsid w:val="002167B3"/>
    <w:rsid w:val="002210FF"/>
    <w:rsid w:val="002227CE"/>
    <w:rsid w:val="00222BA5"/>
    <w:rsid w:val="002231A3"/>
    <w:rsid w:val="0022329E"/>
    <w:rsid w:val="002233E6"/>
    <w:rsid w:val="00223776"/>
    <w:rsid w:val="002237B5"/>
    <w:rsid w:val="00223AF7"/>
    <w:rsid w:val="00225838"/>
    <w:rsid w:val="00225D4A"/>
    <w:rsid w:val="00225E53"/>
    <w:rsid w:val="00225EED"/>
    <w:rsid w:val="002265DF"/>
    <w:rsid w:val="00227D11"/>
    <w:rsid w:val="002314F1"/>
    <w:rsid w:val="00231AAB"/>
    <w:rsid w:val="00232420"/>
    <w:rsid w:val="0023247D"/>
    <w:rsid w:val="00232D01"/>
    <w:rsid w:val="00232E59"/>
    <w:rsid w:val="00232F36"/>
    <w:rsid w:val="00233432"/>
    <w:rsid w:val="00233972"/>
    <w:rsid w:val="00233E37"/>
    <w:rsid w:val="002368E0"/>
    <w:rsid w:val="002411E8"/>
    <w:rsid w:val="002424E0"/>
    <w:rsid w:val="002431EF"/>
    <w:rsid w:val="00243B50"/>
    <w:rsid w:val="00243D67"/>
    <w:rsid w:val="00244035"/>
    <w:rsid w:val="002446EE"/>
    <w:rsid w:val="00244CA8"/>
    <w:rsid w:val="00244CED"/>
    <w:rsid w:val="00244F02"/>
    <w:rsid w:val="00245927"/>
    <w:rsid w:val="0024618E"/>
    <w:rsid w:val="00246522"/>
    <w:rsid w:val="00246C42"/>
    <w:rsid w:val="00247CFD"/>
    <w:rsid w:val="00247F4B"/>
    <w:rsid w:val="002503EC"/>
    <w:rsid w:val="0025180F"/>
    <w:rsid w:val="00251B11"/>
    <w:rsid w:val="00252891"/>
    <w:rsid w:val="00252CDB"/>
    <w:rsid w:val="00253D68"/>
    <w:rsid w:val="0025474D"/>
    <w:rsid w:val="00254B23"/>
    <w:rsid w:val="00254DDC"/>
    <w:rsid w:val="00255684"/>
    <w:rsid w:val="002557FF"/>
    <w:rsid w:val="00256557"/>
    <w:rsid w:val="0025783C"/>
    <w:rsid w:val="0026014B"/>
    <w:rsid w:val="002618D5"/>
    <w:rsid w:val="00261AF4"/>
    <w:rsid w:val="002627EB"/>
    <w:rsid w:val="00263919"/>
    <w:rsid w:val="0026563C"/>
    <w:rsid w:val="00265A27"/>
    <w:rsid w:val="00266394"/>
    <w:rsid w:val="00266672"/>
    <w:rsid w:val="00267B7D"/>
    <w:rsid w:val="0027075D"/>
    <w:rsid w:val="00270972"/>
    <w:rsid w:val="0027156B"/>
    <w:rsid w:val="00272CA0"/>
    <w:rsid w:val="0027343B"/>
    <w:rsid w:val="002746FD"/>
    <w:rsid w:val="002749CE"/>
    <w:rsid w:val="00275410"/>
    <w:rsid w:val="0027668F"/>
    <w:rsid w:val="002800D7"/>
    <w:rsid w:val="002809AE"/>
    <w:rsid w:val="00281DAC"/>
    <w:rsid w:val="00281FE1"/>
    <w:rsid w:val="00281FEF"/>
    <w:rsid w:val="00283045"/>
    <w:rsid w:val="00283C00"/>
    <w:rsid w:val="00284ED8"/>
    <w:rsid w:val="00285035"/>
    <w:rsid w:val="00285E55"/>
    <w:rsid w:val="002863CB"/>
    <w:rsid w:val="002874EE"/>
    <w:rsid w:val="00287C48"/>
    <w:rsid w:val="00287CA6"/>
    <w:rsid w:val="00287CF6"/>
    <w:rsid w:val="00290CDB"/>
    <w:rsid w:val="00291501"/>
    <w:rsid w:val="0029173A"/>
    <w:rsid w:val="00292638"/>
    <w:rsid w:val="00292C33"/>
    <w:rsid w:val="002932EC"/>
    <w:rsid w:val="00293A44"/>
    <w:rsid w:val="0029403F"/>
    <w:rsid w:val="002952DA"/>
    <w:rsid w:val="0029568C"/>
    <w:rsid w:val="00295EBB"/>
    <w:rsid w:val="0029630D"/>
    <w:rsid w:val="0029764C"/>
    <w:rsid w:val="002A045C"/>
    <w:rsid w:val="002A063E"/>
    <w:rsid w:val="002A0E89"/>
    <w:rsid w:val="002A1A3D"/>
    <w:rsid w:val="002A1BA1"/>
    <w:rsid w:val="002A1CB9"/>
    <w:rsid w:val="002A1E96"/>
    <w:rsid w:val="002A297C"/>
    <w:rsid w:val="002A36C3"/>
    <w:rsid w:val="002A3DE8"/>
    <w:rsid w:val="002A490E"/>
    <w:rsid w:val="002A4FE2"/>
    <w:rsid w:val="002A5CCA"/>
    <w:rsid w:val="002A5DE7"/>
    <w:rsid w:val="002A5F37"/>
    <w:rsid w:val="002A6EEB"/>
    <w:rsid w:val="002A7CEF"/>
    <w:rsid w:val="002B1108"/>
    <w:rsid w:val="002B2708"/>
    <w:rsid w:val="002B30B0"/>
    <w:rsid w:val="002B4378"/>
    <w:rsid w:val="002B47DC"/>
    <w:rsid w:val="002B5826"/>
    <w:rsid w:val="002B5947"/>
    <w:rsid w:val="002B6728"/>
    <w:rsid w:val="002B67C0"/>
    <w:rsid w:val="002B769A"/>
    <w:rsid w:val="002C19D5"/>
    <w:rsid w:val="002C4849"/>
    <w:rsid w:val="002C4A51"/>
    <w:rsid w:val="002C5D9F"/>
    <w:rsid w:val="002C6162"/>
    <w:rsid w:val="002C6903"/>
    <w:rsid w:val="002C69E5"/>
    <w:rsid w:val="002C73BF"/>
    <w:rsid w:val="002C7AA4"/>
    <w:rsid w:val="002D0C43"/>
    <w:rsid w:val="002D1095"/>
    <w:rsid w:val="002D1759"/>
    <w:rsid w:val="002D20C1"/>
    <w:rsid w:val="002D2DA5"/>
    <w:rsid w:val="002D3034"/>
    <w:rsid w:val="002D31E7"/>
    <w:rsid w:val="002D37BA"/>
    <w:rsid w:val="002D432F"/>
    <w:rsid w:val="002D4521"/>
    <w:rsid w:val="002D545E"/>
    <w:rsid w:val="002D69F0"/>
    <w:rsid w:val="002D6C48"/>
    <w:rsid w:val="002D7282"/>
    <w:rsid w:val="002E0F80"/>
    <w:rsid w:val="002E17AC"/>
    <w:rsid w:val="002E1BEE"/>
    <w:rsid w:val="002E1CCA"/>
    <w:rsid w:val="002E23BF"/>
    <w:rsid w:val="002E42CA"/>
    <w:rsid w:val="002E5B57"/>
    <w:rsid w:val="002E608F"/>
    <w:rsid w:val="002E6F28"/>
    <w:rsid w:val="002E7817"/>
    <w:rsid w:val="002E7BBC"/>
    <w:rsid w:val="002F2095"/>
    <w:rsid w:val="002F2D66"/>
    <w:rsid w:val="002F2E07"/>
    <w:rsid w:val="002F2E39"/>
    <w:rsid w:val="002F2EBE"/>
    <w:rsid w:val="002F32A2"/>
    <w:rsid w:val="002F4FDA"/>
    <w:rsid w:val="002F5151"/>
    <w:rsid w:val="002F51C1"/>
    <w:rsid w:val="002F5929"/>
    <w:rsid w:val="002F5B42"/>
    <w:rsid w:val="002F5DCC"/>
    <w:rsid w:val="002F6E04"/>
    <w:rsid w:val="002F750E"/>
    <w:rsid w:val="002F7703"/>
    <w:rsid w:val="00300DC6"/>
    <w:rsid w:val="00300DD0"/>
    <w:rsid w:val="00301FE7"/>
    <w:rsid w:val="00302135"/>
    <w:rsid w:val="00302686"/>
    <w:rsid w:val="00302920"/>
    <w:rsid w:val="00302BE1"/>
    <w:rsid w:val="00302C0B"/>
    <w:rsid w:val="003035F0"/>
    <w:rsid w:val="00303B1C"/>
    <w:rsid w:val="003041C8"/>
    <w:rsid w:val="00304207"/>
    <w:rsid w:val="00305476"/>
    <w:rsid w:val="003061FD"/>
    <w:rsid w:val="003105ED"/>
    <w:rsid w:val="00310795"/>
    <w:rsid w:val="00310D9A"/>
    <w:rsid w:val="00311403"/>
    <w:rsid w:val="003118EC"/>
    <w:rsid w:val="00312A89"/>
    <w:rsid w:val="00312EAE"/>
    <w:rsid w:val="00313A68"/>
    <w:rsid w:val="00313A7E"/>
    <w:rsid w:val="00313C3D"/>
    <w:rsid w:val="00314ECF"/>
    <w:rsid w:val="00315E0A"/>
    <w:rsid w:val="003175E7"/>
    <w:rsid w:val="003175F1"/>
    <w:rsid w:val="00317F7F"/>
    <w:rsid w:val="0032069B"/>
    <w:rsid w:val="00320FA6"/>
    <w:rsid w:val="00320FF1"/>
    <w:rsid w:val="00321520"/>
    <w:rsid w:val="003215AF"/>
    <w:rsid w:val="00321A56"/>
    <w:rsid w:val="00321B48"/>
    <w:rsid w:val="00322ADD"/>
    <w:rsid w:val="0032300A"/>
    <w:rsid w:val="00323076"/>
    <w:rsid w:val="0032325D"/>
    <w:rsid w:val="0032378C"/>
    <w:rsid w:val="003241C5"/>
    <w:rsid w:val="00324515"/>
    <w:rsid w:val="00324B53"/>
    <w:rsid w:val="0032505F"/>
    <w:rsid w:val="003272A0"/>
    <w:rsid w:val="00327475"/>
    <w:rsid w:val="00327549"/>
    <w:rsid w:val="00327E40"/>
    <w:rsid w:val="00330D28"/>
    <w:rsid w:val="00330D88"/>
    <w:rsid w:val="00330E0B"/>
    <w:rsid w:val="003321DD"/>
    <w:rsid w:val="003324C1"/>
    <w:rsid w:val="00332501"/>
    <w:rsid w:val="00332943"/>
    <w:rsid w:val="00332C02"/>
    <w:rsid w:val="00334E84"/>
    <w:rsid w:val="00336F95"/>
    <w:rsid w:val="00340215"/>
    <w:rsid w:val="003414BD"/>
    <w:rsid w:val="00343A4A"/>
    <w:rsid w:val="00345F13"/>
    <w:rsid w:val="003463B1"/>
    <w:rsid w:val="00346491"/>
    <w:rsid w:val="00346868"/>
    <w:rsid w:val="003478FE"/>
    <w:rsid w:val="003504B9"/>
    <w:rsid w:val="0035080C"/>
    <w:rsid w:val="00352190"/>
    <w:rsid w:val="003534BB"/>
    <w:rsid w:val="00353B83"/>
    <w:rsid w:val="003553A8"/>
    <w:rsid w:val="00355A8C"/>
    <w:rsid w:val="00355EFB"/>
    <w:rsid w:val="003561E4"/>
    <w:rsid w:val="00356AA2"/>
    <w:rsid w:val="00356F14"/>
    <w:rsid w:val="00356F21"/>
    <w:rsid w:val="00357276"/>
    <w:rsid w:val="00357A28"/>
    <w:rsid w:val="003600DB"/>
    <w:rsid w:val="003614FA"/>
    <w:rsid w:val="00362870"/>
    <w:rsid w:val="00362B2E"/>
    <w:rsid w:val="00363119"/>
    <w:rsid w:val="003631AA"/>
    <w:rsid w:val="003646CB"/>
    <w:rsid w:val="00366965"/>
    <w:rsid w:val="00366A46"/>
    <w:rsid w:val="00366B2E"/>
    <w:rsid w:val="00366C4B"/>
    <w:rsid w:val="003671BC"/>
    <w:rsid w:val="003705A3"/>
    <w:rsid w:val="00370EA5"/>
    <w:rsid w:val="00370EDB"/>
    <w:rsid w:val="00371971"/>
    <w:rsid w:val="00371E54"/>
    <w:rsid w:val="0037274D"/>
    <w:rsid w:val="00372D75"/>
    <w:rsid w:val="00375235"/>
    <w:rsid w:val="0037576D"/>
    <w:rsid w:val="00375C0E"/>
    <w:rsid w:val="003774AB"/>
    <w:rsid w:val="00377D97"/>
    <w:rsid w:val="00380A39"/>
    <w:rsid w:val="00380C96"/>
    <w:rsid w:val="00381AB2"/>
    <w:rsid w:val="0038202E"/>
    <w:rsid w:val="003824BD"/>
    <w:rsid w:val="0038302E"/>
    <w:rsid w:val="00384B74"/>
    <w:rsid w:val="0038523F"/>
    <w:rsid w:val="003852D1"/>
    <w:rsid w:val="00386540"/>
    <w:rsid w:val="00386787"/>
    <w:rsid w:val="00386A4E"/>
    <w:rsid w:val="00387118"/>
    <w:rsid w:val="003879B6"/>
    <w:rsid w:val="00391AB3"/>
    <w:rsid w:val="00391C3D"/>
    <w:rsid w:val="00391E5D"/>
    <w:rsid w:val="00392353"/>
    <w:rsid w:val="00392565"/>
    <w:rsid w:val="0039276B"/>
    <w:rsid w:val="00392B62"/>
    <w:rsid w:val="00392E3B"/>
    <w:rsid w:val="00394AFD"/>
    <w:rsid w:val="00395DAE"/>
    <w:rsid w:val="00395FD4"/>
    <w:rsid w:val="00396A31"/>
    <w:rsid w:val="00396E4E"/>
    <w:rsid w:val="00397C90"/>
    <w:rsid w:val="00397FB8"/>
    <w:rsid w:val="003A2057"/>
    <w:rsid w:val="003A2547"/>
    <w:rsid w:val="003A2AC4"/>
    <w:rsid w:val="003A3335"/>
    <w:rsid w:val="003A344E"/>
    <w:rsid w:val="003A40BC"/>
    <w:rsid w:val="003A4122"/>
    <w:rsid w:val="003A449E"/>
    <w:rsid w:val="003A44F5"/>
    <w:rsid w:val="003A4583"/>
    <w:rsid w:val="003A4A96"/>
    <w:rsid w:val="003A5A5F"/>
    <w:rsid w:val="003A619C"/>
    <w:rsid w:val="003A73C1"/>
    <w:rsid w:val="003A7F15"/>
    <w:rsid w:val="003B019D"/>
    <w:rsid w:val="003B01BE"/>
    <w:rsid w:val="003B038B"/>
    <w:rsid w:val="003B0F28"/>
    <w:rsid w:val="003B27A5"/>
    <w:rsid w:val="003B2A99"/>
    <w:rsid w:val="003B3A6B"/>
    <w:rsid w:val="003B4486"/>
    <w:rsid w:val="003B510B"/>
    <w:rsid w:val="003B5435"/>
    <w:rsid w:val="003B5C33"/>
    <w:rsid w:val="003B6E18"/>
    <w:rsid w:val="003B759C"/>
    <w:rsid w:val="003B75B5"/>
    <w:rsid w:val="003B766F"/>
    <w:rsid w:val="003B79DB"/>
    <w:rsid w:val="003C0518"/>
    <w:rsid w:val="003C07A0"/>
    <w:rsid w:val="003C0891"/>
    <w:rsid w:val="003C0BC6"/>
    <w:rsid w:val="003C10D6"/>
    <w:rsid w:val="003C2C5C"/>
    <w:rsid w:val="003C2E6A"/>
    <w:rsid w:val="003C307E"/>
    <w:rsid w:val="003C3B91"/>
    <w:rsid w:val="003C4232"/>
    <w:rsid w:val="003C50D6"/>
    <w:rsid w:val="003C5F1A"/>
    <w:rsid w:val="003C6798"/>
    <w:rsid w:val="003C6933"/>
    <w:rsid w:val="003C6F3A"/>
    <w:rsid w:val="003C7B9A"/>
    <w:rsid w:val="003C7D26"/>
    <w:rsid w:val="003D0302"/>
    <w:rsid w:val="003D0C04"/>
    <w:rsid w:val="003D1759"/>
    <w:rsid w:val="003D2042"/>
    <w:rsid w:val="003D21F2"/>
    <w:rsid w:val="003D41C8"/>
    <w:rsid w:val="003D439B"/>
    <w:rsid w:val="003D43D1"/>
    <w:rsid w:val="003D54F0"/>
    <w:rsid w:val="003D67A2"/>
    <w:rsid w:val="003D6CCB"/>
    <w:rsid w:val="003D7DFC"/>
    <w:rsid w:val="003E02B4"/>
    <w:rsid w:val="003E06A0"/>
    <w:rsid w:val="003E076C"/>
    <w:rsid w:val="003E0B97"/>
    <w:rsid w:val="003E1006"/>
    <w:rsid w:val="003E1319"/>
    <w:rsid w:val="003E26AF"/>
    <w:rsid w:val="003E2FDB"/>
    <w:rsid w:val="003E3706"/>
    <w:rsid w:val="003E4DDB"/>
    <w:rsid w:val="003E52AD"/>
    <w:rsid w:val="003E539D"/>
    <w:rsid w:val="003E5B6D"/>
    <w:rsid w:val="003E5C5E"/>
    <w:rsid w:val="003E5D13"/>
    <w:rsid w:val="003E6FA6"/>
    <w:rsid w:val="003F0C96"/>
    <w:rsid w:val="003F12D7"/>
    <w:rsid w:val="003F1811"/>
    <w:rsid w:val="003F19CF"/>
    <w:rsid w:val="003F1D97"/>
    <w:rsid w:val="003F2697"/>
    <w:rsid w:val="003F2B18"/>
    <w:rsid w:val="003F2DE9"/>
    <w:rsid w:val="003F309D"/>
    <w:rsid w:val="003F3530"/>
    <w:rsid w:val="003F3A23"/>
    <w:rsid w:val="003F415C"/>
    <w:rsid w:val="003F45BD"/>
    <w:rsid w:val="003F4771"/>
    <w:rsid w:val="003F4A5E"/>
    <w:rsid w:val="003F5222"/>
    <w:rsid w:val="003F6808"/>
    <w:rsid w:val="003F6B92"/>
    <w:rsid w:val="003F74BE"/>
    <w:rsid w:val="003F7D86"/>
    <w:rsid w:val="003F7DE1"/>
    <w:rsid w:val="00400E29"/>
    <w:rsid w:val="00401C11"/>
    <w:rsid w:val="00401C1C"/>
    <w:rsid w:val="00402674"/>
    <w:rsid w:val="00403544"/>
    <w:rsid w:val="00404DC9"/>
    <w:rsid w:val="004072C6"/>
    <w:rsid w:val="0040732F"/>
    <w:rsid w:val="00407888"/>
    <w:rsid w:val="00410CA0"/>
    <w:rsid w:val="004126F3"/>
    <w:rsid w:val="00412A97"/>
    <w:rsid w:val="00412AA7"/>
    <w:rsid w:val="0041455A"/>
    <w:rsid w:val="00414D4D"/>
    <w:rsid w:val="004168C9"/>
    <w:rsid w:val="00420045"/>
    <w:rsid w:val="00421E66"/>
    <w:rsid w:val="00423640"/>
    <w:rsid w:val="00423857"/>
    <w:rsid w:val="00423C66"/>
    <w:rsid w:val="00423D2C"/>
    <w:rsid w:val="00423DE5"/>
    <w:rsid w:val="0042436B"/>
    <w:rsid w:val="00424D01"/>
    <w:rsid w:val="00424D86"/>
    <w:rsid w:val="0042520C"/>
    <w:rsid w:val="00425F81"/>
    <w:rsid w:val="00426304"/>
    <w:rsid w:val="00426328"/>
    <w:rsid w:val="00427177"/>
    <w:rsid w:val="00427909"/>
    <w:rsid w:val="00427F1C"/>
    <w:rsid w:val="004300DE"/>
    <w:rsid w:val="004304BD"/>
    <w:rsid w:val="00430BD6"/>
    <w:rsid w:val="00430C92"/>
    <w:rsid w:val="00430F0F"/>
    <w:rsid w:val="00431F7D"/>
    <w:rsid w:val="00433C6C"/>
    <w:rsid w:val="0043584D"/>
    <w:rsid w:val="00435F2D"/>
    <w:rsid w:val="00436571"/>
    <w:rsid w:val="00436F53"/>
    <w:rsid w:val="00441FA8"/>
    <w:rsid w:val="00442AFC"/>
    <w:rsid w:val="00442D5A"/>
    <w:rsid w:val="00443184"/>
    <w:rsid w:val="00443640"/>
    <w:rsid w:val="00443A2F"/>
    <w:rsid w:val="00443F44"/>
    <w:rsid w:val="00444340"/>
    <w:rsid w:val="004446B9"/>
    <w:rsid w:val="004462E3"/>
    <w:rsid w:val="00446A22"/>
    <w:rsid w:val="00451499"/>
    <w:rsid w:val="0045165B"/>
    <w:rsid w:val="00453F59"/>
    <w:rsid w:val="004545E4"/>
    <w:rsid w:val="0045477D"/>
    <w:rsid w:val="00454A77"/>
    <w:rsid w:val="00455558"/>
    <w:rsid w:val="00456BBA"/>
    <w:rsid w:val="00456ED2"/>
    <w:rsid w:val="00457D3E"/>
    <w:rsid w:val="004619D0"/>
    <w:rsid w:val="00462730"/>
    <w:rsid w:val="00462A79"/>
    <w:rsid w:val="00462AB9"/>
    <w:rsid w:val="0046517F"/>
    <w:rsid w:val="00465A56"/>
    <w:rsid w:val="004666AD"/>
    <w:rsid w:val="00467398"/>
    <w:rsid w:val="004675F4"/>
    <w:rsid w:val="0047009E"/>
    <w:rsid w:val="00470E98"/>
    <w:rsid w:val="00472015"/>
    <w:rsid w:val="004723E8"/>
    <w:rsid w:val="004743F7"/>
    <w:rsid w:val="004752D8"/>
    <w:rsid w:val="004756B7"/>
    <w:rsid w:val="00475BFD"/>
    <w:rsid w:val="00477A95"/>
    <w:rsid w:val="00480BC6"/>
    <w:rsid w:val="00481197"/>
    <w:rsid w:val="004819D2"/>
    <w:rsid w:val="00481F1C"/>
    <w:rsid w:val="00483409"/>
    <w:rsid w:val="004849BC"/>
    <w:rsid w:val="0048547E"/>
    <w:rsid w:val="004854C9"/>
    <w:rsid w:val="00485A03"/>
    <w:rsid w:val="004879A0"/>
    <w:rsid w:val="004900AF"/>
    <w:rsid w:val="0049041E"/>
    <w:rsid w:val="00490C7A"/>
    <w:rsid w:val="00490D96"/>
    <w:rsid w:val="00490E11"/>
    <w:rsid w:val="00491965"/>
    <w:rsid w:val="00492E6B"/>
    <w:rsid w:val="004932AD"/>
    <w:rsid w:val="004937C6"/>
    <w:rsid w:val="00495232"/>
    <w:rsid w:val="00495618"/>
    <w:rsid w:val="00495889"/>
    <w:rsid w:val="00495B56"/>
    <w:rsid w:val="00496049"/>
    <w:rsid w:val="004A003C"/>
    <w:rsid w:val="004A0BF6"/>
    <w:rsid w:val="004A11EB"/>
    <w:rsid w:val="004A12BA"/>
    <w:rsid w:val="004A1EFF"/>
    <w:rsid w:val="004A217F"/>
    <w:rsid w:val="004A2297"/>
    <w:rsid w:val="004A2402"/>
    <w:rsid w:val="004A2C28"/>
    <w:rsid w:val="004A32CD"/>
    <w:rsid w:val="004A3A61"/>
    <w:rsid w:val="004A3CA4"/>
    <w:rsid w:val="004A40F8"/>
    <w:rsid w:val="004A5086"/>
    <w:rsid w:val="004A6276"/>
    <w:rsid w:val="004A7851"/>
    <w:rsid w:val="004A7F5D"/>
    <w:rsid w:val="004B086E"/>
    <w:rsid w:val="004B0C4E"/>
    <w:rsid w:val="004B0C6B"/>
    <w:rsid w:val="004B16D0"/>
    <w:rsid w:val="004B206F"/>
    <w:rsid w:val="004B2DEB"/>
    <w:rsid w:val="004B3574"/>
    <w:rsid w:val="004B4699"/>
    <w:rsid w:val="004B4A2E"/>
    <w:rsid w:val="004B4CEA"/>
    <w:rsid w:val="004B5787"/>
    <w:rsid w:val="004B63F9"/>
    <w:rsid w:val="004B66E0"/>
    <w:rsid w:val="004B792D"/>
    <w:rsid w:val="004C054A"/>
    <w:rsid w:val="004C125C"/>
    <w:rsid w:val="004C33A1"/>
    <w:rsid w:val="004C4AEE"/>
    <w:rsid w:val="004C4BA9"/>
    <w:rsid w:val="004C4EEF"/>
    <w:rsid w:val="004C520A"/>
    <w:rsid w:val="004C5DB3"/>
    <w:rsid w:val="004C66E0"/>
    <w:rsid w:val="004C7A06"/>
    <w:rsid w:val="004D0D3B"/>
    <w:rsid w:val="004D1EC8"/>
    <w:rsid w:val="004D235A"/>
    <w:rsid w:val="004D32B9"/>
    <w:rsid w:val="004D4013"/>
    <w:rsid w:val="004D428E"/>
    <w:rsid w:val="004D44E7"/>
    <w:rsid w:val="004D5A25"/>
    <w:rsid w:val="004D5EAA"/>
    <w:rsid w:val="004D71FC"/>
    <w:rsid w:val="004E1BA9"/>
    <w:rsid w:val="004E2B55"/>
    <w:rsid w:val="004E3978"/>
    <w:rsid w:val="004E7A88"/>
    <w:rsid w:val="004F2349"/>
    <w:rsid w:val="004F32ED"/>
    <w:rsid w:val="004F37C2"/>
    <w:rsid w:val="004F3B6E"/>
    <w:rsid w:val="004F427C"/>
    <w:rsid w:val="004F4C9D"/>
    <w:rsid w:val="004F5B9F"/>
    <w:rsid w:val="004F5FBF"/>
    <w:rsid w:val="004F6190"/>
    <w:rsid w:val="004F63EA"/>
    <w:rsid w:val="004F6BF5"/>
    <w:rsid w:val="004F71FE"/>
    <w:rsid w:val="004F7324"/>
    <w:rsid w:val="00500283"/>
    <w:rsid w:val="00500E61"/>
    <w:rsid w:val="00502423"/>
    <w:rsid w:val="005033C2"/>
    <w:rsid w:val="00506822"/>
    <w:rsid w:val="005069B1"/>
    <w:rsid w:val="00506C44"/>
    <w:rsid w:val="005073F1"/>
    <w:rsid w:val="0051011F"/>
    <w:rsid w:val="005114C0"/>
    <w:rsid w:val="00511F7B"/>
    <w:rsid w:val="00512290"/>
    <w:rsid w:val="00514300"/>
    <w:rsid w:val="00514EDF"/>
    <w:rsid w:val="00515374"/>
    <w:rsid w:val="00515CA8"/>
    <w:rsid w:val="005164F3"/>
    <w:rsid w:val="00516AF9"/>
    <w:rsid w:val="00520C8A"/>
    <w:rsid w:val="00521875"/>
    <w:rsid w:val="00521D8D"/>
    <w:rsid w:val="00523387"/>
    <w:rsid w:val="005255B4"/>
    <w:rsid w:val="005264A0"/>
    <w:rsid w:val="00526A22"/>
    <w:rsid w:val="00526B00"/>
    <w:rsid w:val="005277E8"/>
    <w:rsid w:val="0052795F"/>
    <w:rsid w:val="00527A3A"/>
    <w:rsid w:val="00530000"/>
    <w:rsid w:val="00530846"/>
    <w:rsid w:val="005311CD"/>
    <w:rsid w:val="00531207"/>
    <w:rsid w:val="00531870"/>
    <w:rsid w:val="00532426"/>
    <w:rsid w:val="00533143"/>
    <w:rsid w:val="005335B4"/>
    <w:rsid w:val="0053371A"/>
    <w:rsid w:val="005337B1"/>
    <w:rsid w:val="005340FF"/>
    <w:rsid w:val="00534273"/>
    <w:rsid w:val="00534398"/>
    <w:rsid w:val="005344F5"/>
    <w:rsid w:val="0053576A"/>
    <w:rsid w:val="005369F6"/>
    <w:rsid w:val="005372EC"/>
    <w:rsid w:val="005379B7"/>
    <w:rsid w:val="0054073F"/>
    <w:rsid w:val="00542550"/>
    <w:rsid w:val="00543157"/>
    <w:rsid w:val="005435DA"/>
    <w:rsid w:val="0054399A"/>
    <w:rsid w:val="00543B2D"/>
    <w:rsid w:val="0054463C"/>
    <w:rsid w:val="00545458"/>
    <w:rsid w:val="00546486"/>
    <w:rsid w:val="00546914"/>
    <w:rsid w:val="00547313"/>
    <w:rsid w:val="00547935"/>
    <w:rsid w:val="00547A15"/>
    <w:rsid w:val="005506C6"/>
    <w:rsid w:val="00550AB4"/>
    <w:rsid w:val="0055100C"/>
    <w:rsid w:val="005516F8"/>
    <w:rsid w:val="00552038"/>
    <w:rsid w:val="00553419"/>
    <w:rsid w:val="00553EE3"/>
    <w:rsid w:val="00553F22"/>
    <w:rsid w:val="00554312"/>
    <w:rsid w:val="00554A70"/>
    <w:rsid w:val="00555A3C"/>
    <w:rsid w:val="00555E51"/>
    <w:rsid w:val="0055798E"/>
    <w:rsid w:val="005579DD"/>
    <w:rsid w:val="00560B27"/>
    <w:rsid w:val="00560DAC"/>
    <w:rsid w:val="0056153F"/>
    <w:rsid w:val="0056209D"/>
    <w:rsid w:val="005629AE"/>
    <w:rsid w:val="00562B17"/>
    <w:rsid w:val="00562C7E"/>
    <w:rsid w:val="00564656"/>
    <w:rsid w:val="00564EB6"/>
    <w:rsid w:val="00565B67"/>
    <w:rsid w:val="00567046"/>
    <w:rsid w:val="00567190"/>
    <w:rsid w:val="0056772A"/>
    <w:rsid w:val="005711FF"/>
    <w:rsid w:val="005716E2"/>
    <w:rsid w:val="00572829"/>
    <w:rsid w:val="00572872"/>
    <w:rsid w:val="00572B86"/>
    <w:rsid w:val="00573730"/>
    <w:rsid w:val="0057469E"/>
    <w:rsid w:val="00574E5F"/>
    <w:rsid w:val="005754BA"/>
    <w:rsid w:val="00576CC3"/>
    <w:rsid w:val="00576DF5"/>
    <w:rsid w:val="005772B7"/>
    <w:rsid w:val="00577A03"/>
    <w:rsid w:val="00577B09"/>
    <w:rsid w:val="00577DE9"/>
    <w:rsid w:val="005801DA"/>
    <w:rsid w:val="0058045F"/>
    <w:rsid w:val="005805A5"/>
    <w:rsid w:val="00580ABD"/>
    <w:rsid w:val="00580BAC"/>
    <w:rsid w:val="00581D93"/>
    <w:rsid w:val="00582417"/>
    <w:rsid w:val="005836A7"/>
    <w:rsid w:val="00583B2B"/>
    <w:rsid w:val="00583BB0"/>
    <w:rsid w:val="00584E00"/>
    <w:rsid w:val="005855BB"/>
    <w:rsid w:val="0058564C"/>
    <w:rsid w:val="0058713B"/>
    <w:rsid w:val="00587544"/>
    <w:rsid w:val="00587800"/>
    <w:rsid w:val="00587E9E"/>
    <w:rsid w:val="00590065"/>
    <w:rsid w:val="0059127B"/>
    <w:rsid w:val="00591E17"/>
    <w:rsid w:val="00591E86"/>
    <w:rsid w:val="00593F3C"/>
    <w:rsid w:val="00594C2C"/>
    <w:rsid w:val="00594E05"/>
    <w:rsid w:val="0059521C"/>
    <w:rsid w:val="005969C9"/>
    <w:rsid w:val="00597373"/>
    <w:rsid w:val="005A00F2"/>
    <w:rsid w:val="005A143E"/>
    <w:rsid w:val="005A361E"/>
    <w:rsid w:val="005A3752"/>
    <w:rsid w:val="005A404A"/>
    <w:rsid w:val="005A439C"/>
    <w:rsid w:val="005A5320"/>
    <w:rsid w:val="005A5336"/>
    <w:rsid w:val="005A6ADD"/>
    <w:rsid w:val="005A6B32"/>
    <w:rsid w:val="005A6D7D"/>
    <w:rsid w:val="005A7130"/>
    <w:rsid w:val="005A718E"/>
    <w:rsid w:val="005A79E1"/>
    <w:rsid w:val="005B0152"/>
    <w:rsid w:val="005B047B"/>
    <w:rsid w:val="005B077F"/>
    <w:rsid w:val="005B0CC8"/>
    <w:rsid w:val="005B0E8C"/>
    <w:rsid w:val="005B19DF"/>
    <w:rsid w:val="005B1A9C"/>
    <w:rsid w:val="005B1B66"/>
    <w:rsid w:val="005B1EFA"/>
    <w:rsid w:val="005B29D4"/>
    <w:rsid w:val="005B2E81"/>
    <w:rsid w:val="005B3044"/>
    <w:rsid w:val="005B30E0"/>
    <w:rsid w:val="005B593B"/>
    <w:rsid w:val="005B5E2B"/>
    <w:rsid w:val="005B6909"/>
    <w:rsid w:val="005B7367"/>
    <w:rsid w:val="005C00A3"/>
    <w:rsid w:val="005C1FC8"/>
    <w:rsid w:val="005C2FBF"/>
    <w:rsid w:val="005C3605"/>
    <w:rsid w:val="005C3E08"/>
    <w:rsid w:val="005C4D24"/>
    <w:rsid w:val="005C66FB"/>
    <w:rsid w:val="005C6E43"/>
    <w:rsid w:val="005C7652"/>
    <w:rsid w:val="005C77D9"/>
    <w:rsid w:val="005C78B7"/>
    <w:rsid w:val="005D0E44"/>
    <w:rsid w:val="005D1556"/>
    <w:rsid w:val="005D2497"/>
    <w:rsid w:val="005D4504"/>
    <w:rsid w:val="005D4725"/>
    <w:rsid w:val="005D4B0C"/>
    <w:rsid w:val="005D5C98"/>
    <w:rsid w:val="005D6677"/>
    <w:rsid w:val="005D69FE"/>
    <w:rsid w:val="005D75FE"/>
    <w:rsid w:val="005E054D"/>
    <w:rsid w:val="005E05CC"/>
    <w:rsid w:val="005E0E7C"/>
    <w:rsid w:val="005E10A6"/>
    <w:rsid w:val="005E1B34"/>
    <w:rsid w:val="005E413D"/>
    <w:rsid w:val="005E514A"/>
    <w:rsid w:val="005E550F"/>
    <w:rsid w:val="005E599C"/>
    <w:rsid w:val="005E600D"/>
    <w:rsid w:val="005E6057"/>
    <w:rsid w:val="005E6A2B"/>
    <w:rsid w:val="005E7E49"/>
    <w:rsid w:val="005F05A7"/>
    <w:rsid w:val="005F17CE"/>
    <w:rsid w:val="005F27CC"/>
    <w:rsid w:val="005F35B7"/>
    <w:rsid w:val="005F3A69"/>
    <w:rsid w:val="005F3A6A"/>
    <w:rsid w:val="005F3BD0"/>
    <w:rsid w:val="005F3F4D"/>
    <w:rsid w:val="005F4037"/>
    <w:rsid w:val="005F5B86"/>
    <w:rsid w:val="005F65B3"/>
    <w:rsid w:val="005F661F"/>
    <w:rsid w:val="005F67D4"/>
    <w:rsid w:val="005F68A9"/>
    <w:rsid w:val="005F72A6"/>
    <w:rsid w:val="005F7960"/>
    <w:rsid w:val="005F7B09"/>
    <w:rsid w:val="00600F6A"/>
    <w:rsid w:val="0060146D"/>
    <w:rsid w:val="00602C23"/>
    <w:rsid w:val="00602D41"/>
    <w:rsid w:val="00602E0B"/>
    <w:rsid w:val="00602FD9"/>
    <w:rsid w:val="00603583"/>
    <w:rsid w:val="006039D1"/>
    <w:rsid w:val="006041F5"/>
    <w:rsid w:val="00606EF6"/>
    <w:rsid w:val="00607052"/>
    <w:rsid w:val="0060748C"/>
    <w:rsid w:val="0060752C"/>
    <w:rsid w:val="00607E52"/>
    <w:rsid w:val="00610049"/>
    <w:rsid w:val="00610F5A"/>
    <w:rsid w:val="00611FB5"/>
    <w:rsid w:val="006131DC"/>
    <w:rsid w:val="0061377D"/>
    <w:rsid w:val="006138E4"/>
    <w:rsid w:val="00614A9B"/>
    <w:rsid w:val="00615194"/>
    <w:rsid w:val="00615412"/>
    <w:rsid w:val="00615979"/>
    <w:rsid w:val="00615D52"/>
    <w:rsid w:val="006168AE"/>
    <w:rsid w:val="00616D03"/>
    <w:rsid w:val="00616EA0"/>
    <w:rsid w:val="00616FAA"/>
    <w:rsid w:val="0061775F"/>
    <w:rsid w:val="00617AC6"/>
    <w:rsid w:val="00617D1D"/>
    <w:rsid w:val="00617D49"/>
    <w:rsid w:val="00617DE3"/>
    <w:rsid w:val="00621AA8"/>
    <w:rsid w:val="006220A5"/>
    <w:rsid w:val="0062318F"/>
    <w:rsid w:val="00623855"/>
    <w:rsid w:val="006239BC"/>
    <w:rsid w:val="00623CB7"/>
    <w:rsid w:val="00625447"/>
    <w:rsid w:val="00625611"/>
    <w:rsid w:val="0062663B"/>
    <w:rsid w:val="00626D7E"/>
    <w:rsid w:val="006279AD"/>
    <w:rsid w:val="00631227"/>
    <w:rsid w:val="00631A7D"/>
    <w:rsid w:val="00631F15"/>
    <w:rsid w:val="006326DA"/>
    <w:rsid w:val="00633161"/>
    <w:rsid w:val="006335FE"/>
    <w:rsid w:val="00634888"/>
    <w:rsid w:val="00634E50"/>
    <w:rsid w:val="006351B0"/>
    <w:rsid w:val="00635B45"/>
    <w:rsid w:val="00635BA4"/>
    <w:rsid w:val="00635E05"/>
    <w:rsid w:val="00635FA7"/>
    <w:rsid w:val="0063611E"/>
    <w:rsid w:val="006362D9"/>
    <w:rsid w:val="00637316"/>
    <w:rsid w:val="0063734B"/>
    <w:rsid w:val="006402A0"/>
    <w:rsid w:val="00640B5B"/>
    <w:rsid w:val="006421F8"/>
    <w:rsid w:val="006428E2"/>
    <w:rsid w:val="00642B60"/>
    <w:rsid w:val="00643096"/>
    <w:rsid w:val="006437B9"/>
    <w:rsid w:val="00644683"/>
    <w:rsid w:val="00644E0D"/>
    <w:rsid w:val="00646855"/>
    <w:rsid w:val="00646E7B"/>
    <w:rsid w:val="00647574"/>
    <w:rsid w:val="006501CE"/>
    <w:rsid w:val="0065039D"/>
    <w:rsid w:val="006523FA"/>
    <w:rsid w:val="0065261F"/>
    <w:rsid w:val="00652CD7"/>
    <w:rsid w:val="00653924"/>
    <w:rsid w:val="00653BC3"/>
    <w:rsid w:val="00653E45"/>
    <w:rsid w:val="0065405D"/>
    <w:rsid w:val="00654911"/>
    <w:rsid w:val="00655871"/>
    <w:rsid w:val="00655CB2"/>
    <w:rsid w:val="006560E3"/>
    <w:rsid w:val="00656EA5"/>
    <w:rsid w:val="00656F43"/>
    <w:rsid w:val="0066169E"/>
    <w:rsid w:val="00661F0E"/>
    <w:rsid w:val="00661F71"/>
    <w:rsid w:val="00663311"/>
    <w:rsid w:val="00663514"/>
    <w:rsid w:val="00665908"/>
    <w:rsid w:val="00666250"/>
    <w:rsid w:val="00666A8C"/>
    <w:rsid w:val="006670B7"/>
    <w:rsid w:val="00667332"/>
    <w:rsid w:val="00670190"/>
    <w:rsid w:val="0067035F"/>
    <w:rsid w:val="006714F6"/>
    <w:rsid w:val="00671638"/>
    <w:rsid w:val="00671725"/>
    <w:rsid w:val="00671CFF"/>
    <w:rsid w:val="00673B51"/>
    <w:rsid w:val="006745EA"/>
    <w:rsid w:val="00675224"/>
    <w:rsid w:val="006764D4"/>
    <w:rsid w:val="00676827"/>
    <w:rsid w:val="00676ACD"/>
    <w:rsid w:val="00676E07"/>
    <w:rsid w:val="00677C39"/>
    <w:rsid w:val="00677EAE"/>
    <w:rsid w:val="0068135F"/>
    <w:rsid w:val="00682775"/>
    <w:rsid w:val="00682815"/>
    <w:rsid w:val="00683283"/>
    <w:rsid w:val="0068354E"/>
    <w:rsid w:val="00683B43"/>
    <w:rsid w:val="00683F9C"/>
    <w:rsid w:val="00684951"/>
    <w:rsid w:val="00684C20"/>
    <w:rsid w:val="00684F0B"/>
    <w:rsid w:val="0068566C"/>
    <w:rsid w:val="00685AC3"/>
    <w:rsid w:val="00685CCB"/>
    <w:rsid w:val="006874D1"/>
    <w:rsid w:val="00690420"/>
    <w:rsid w:val="0069083D"/>
    <w:rsid w:val="00690DDF"/>
    <w:rsid w:val="00690F1C"/>
    <w:rsid w:val="006913B1"/>
    <w:rsid w:val="006920BD"/>
    <w:rsid w:val="006920FA"/>
    <w:rsid w:val="00692772"/>
    <w:rsid w:val="00692899"/>
    <w:rsid w:val="00692C71"/>
    <w:rsid w:val="00693C08"/>
    <w:rsid w:val="00694271"/>
    <w:rsid w:val="00694B7F"/>
    <w:rsid w:val="006955D3"/>
    <w:rsid w:val="0069593A"/>
    <w:rsid w:val="006959D4"/>
    <w:rsid w:val="006961B9"/>
    <w:rsid w:val="00696F02"/>
    <w:rsid w:val="00697E1F"/>
    <w:rsid w:val="006A0912"/>
    <w:rsid w:val="006A0972"/>
    <w:rsid w:val="006A231D"/>
    <w:rsid w:val="006A2592"/>
    <w:rsid w:val="006A263B"/>
    <w:rsid w:val="006A2855"/>
    <w:rsid w:val="006A424C"/>
    <w:rsid w:val="006A4B31"/>
    <w:rsid w:val="006A4F07"/>
    <w:rsid w:val="006A595E"/>
    <w:rsid w:val="006A5A4F"/>
    <w:rsid w:val="006A6B6A"/>
    <w:rsid w:val="006A72CB"/>
    <w:rsid w:val="006A757C"/>
    <w:rsid w:val="006A765C"/>
    <w:rsid w:val="006A77A2"/>
    <w:rsid w:val="006B05EC"/>
    <w:rsid w:val="006B0668"/>
    <w:rsid w:val="006B0FC9"/>
    <w:rsid w:val="006B10E6"/>
    <w:rsid w:val="006B124C"/>
    <w:rsid w:val="006B2C1F"/>
    <w:rsid w:val="006B3F92"/>
    <w:rsid w:val="006B623E"/>
    <w:rsid w:val="006B6633"/>
    <w:rsid w:val="006B6748"/>
    <w:rsid w:val="006B6F66"/>
    <w:rsid w:val="006B7211"/>
    <w:rsid w:val="006B724A"/>
    <w:rsid w:val="006C061B"/>
    <w:rsid w:val="006C1C09"/>
    <w:rsid w:val="006C20F8"/>
    <w:rsid w:val="006C2563"/>
    <w:rsid w:val="006C3CD5"/>
    <w:rsid w:val="006C3F83"/>
    <w:rsid w:val="006C6557"/>
    <w:rsid w:val="006C7598"/>
    <w:rsid w:val="006C778A"/>
    <w:rsid w:val="006D038B"/>
    <w:rsid w:val="006D18C1"/>
    <w:rsid w:val="006D18D4"/>
    <w:rsid w:val="006D278A"/>
    <w:rsid w:val="006D7270"/>
    <w:rsid w:val="006D73EC"/>
    <w:rsid w:val="006D79AA"/>
    <w:rsid w:val="006D7DBA"/>
    <w:rsid w:val="006E01EB"/>
    <w:rsid w:val="006E0354"/>
    <w:rsid w:val="006E04D1"/>
    <w:rsid w:val="006E05B8"/>
    <w:rsid w:val="006E187A"/>
    <w:rsid w:val="006E2028"/>
    <w:rsid w:val="006E340E"/>
    <w:rsid w:val="006E4668"/>
    <w:rsid w:val="006E5015"/>
    <w:rsid w:val="006E5F5B"/>
    <w:rsid w:val="006E6A82"/>
    <w:rsid w:val="006F09BF"/>
    <w:rsid w:val="006F0B9F"/>
    <w:rsid w:val="006F0E6F"/>
    <w:rsid w:val="006F15CA"/>
    <w:rsid w:val="006F25E7"/>
    <w:rsid w:val="006F3593"/>
    <w:rsid w:val="006F3B38"/>
    <w:rsid w:val="006F3E06"/>
    <w:rsid w:val="006F3F0E"/>
    <w:rsid w:val="006F45F8"/>
    <w:rsid w:val="006F4B15"/>
    <w:rsid w:val="006F4CE4"/>
    <w:rsid w:val="006F54E5"/>
    <w:rsid w:val="006F5B09"/>
    <w:rsid w:val="006F6174"/>
    <w:rsid w:val="006F6C79"/>
    <w:rsid w:val="006F7110"/>
    <w:rsid w:val="006F75D4"/>
    <w:rsid w:val="006F7BB6"/>
    <w:rsid w:val="007014B0"/>
    <w:rsid w:val="00702694"/>
    <w:rsid w:val="00705476"/>
    <w:rsid w:val="007063FA"/>
    <w:rsid w:val="0070688F"/>
    <w:rsid w:val="0070732F"/>
    <w:rsid w:val="00707666"/>
    <w:rsid w:val="007077D4"/>
    <w:rsid w:val="00707F31"/>
    <w:rsid w:val="00710A06"/>
    <w:rsid w:val="00712488"/>
    <w:rsid w:val="00712561"/>
    <w:rsid w:val="00713C16"/>
    <w:rsid w:val="00713F4D"/>
    <w:rsid w:val="00714D3D"/>
    <w:rsid w:val="00715312"/>
    <w:rsid w:val="007169DD"/>
    <w:rsid w:val="00720295"/>
    <w:rsid w:val="00720882"/>
    <w:rsid w:val="00721FAD"/>
    <w:rsid w:val="0072392C"/>
    <w:rsid w:val="00723F9A"/>
    <w:rsid w:val="00724047"/>
    <w:rsid w:val="007244C1"/>
    <w:rsid w:val="00726A1F"/>
    <w:rsid w:val="00727993"/>
    <w:rsid w:val="00727D50"/>
    <w:rsid w:val="00727E37"/>
    <w:rsid w:val="00727F04"/>
    <w:rsid w:val="007302B0"/>
    <w:rsid w:val="00730794"/>
    <w:rsid w:val="007309F5"/>
    <w:rsid w:val="00730E52"/>
    <w:rsid w:val="00731352"/>
    <w:rsid w:val="00731E03"/>
    <w:rsid w:val="00731EBE"/>
    <w:rsid w:val="007329A2"/>
    <w:rsid w:val="00732D8B"/>
    <w:rsid w:val="00732E52"/>
    <w:rsid w:val="00734089"/>
    <w:rsid w:val="00734869"/>
    <w:rsid w:val="00734CDE"/>
    <w:rsid w:val="00734D80"/>
    <w:rsid w:val="00735982"/>
    <w:rsid w:val="00735A96"/>
    <w:rsid w:val="00735F25"/>
    <w:rsid w:val="00736308"/>
    <w:rsid w:val="00736465"/>
    <w:rsid w:val="00740A1B"/>
    <w:rsid w:val="007412F0"/>
    <w:rsid w:val="00741B51"/>
    <w:rsid w:val="00741D46"/>
    <w:rsid w:val="00742DBE"/>
    <w:rsid w:val="00744034"/>
    <w:rsid w:val="007463FB"/>
    <w:rsid w:val="00746F04"/>
    <w:rsid w:val="00747D69"/>
    <w:rsid w:val="0075007E"/>
    <w:rsid w:val="00750222"/>
    <w:rsid w:val="00750336"/>
    <w:rsid w:val="007513C6"/>
    <w:rsid w:val="00751749"/>
    <w:rsid w:val="0075244E"/>
    <w:rsid w:val="007529F4"/>
    <w:rsid w:val="00752E84"/>
    <w:rsid w:val="00753D26"/>
    <w:rsid w:val="0075403A"/>
    <w:rsid w:val="007540AB"/>
    <w:rsid w:val="0075416D"/>
    <w:rsid w:val="00755688"/>
    <w:rsid w:val="007563A4"/>
    <w:rsid w:val="00761D47"/>
    <w:rsid w:val="0076305C"/>
    <w:rsid w:val="00763133"/>
    <w:rsid w:val="0076345C"/>
    <w:rsid w:val="007648E1"/>
    <w:rsid w:val="00765082"/>
    <w:rsid w:val="00765376"/>
    <w:rsid w:val="007654B5"/>
    <w:rsid w:val="00765830"/>
    <w:rsid w:val="00766705"/>
    <w:rsid w:val="00766B64"/>
    <w:rsid w:val="007703FF"/>
    <w:rsid w:val="00770737"/>
    <w:rsid w:val="00770D7E"/>
    <w:rsid w:val="00772F26"/>
    <w:rsid w:val="00773E29"/>
    <w:rsid w:val="00774CFB"/>
    <w:rsid w:val="00775C3F"/>
    <w:rsid w:val="0077621C"/>
    <w:rsid w:val="00776A68"/>
    <w:rsid w:val="0077798C"/>
    <w:rsid w:val="00781D7B"/>
    <w:rsid w:val="0078394C"/>
    <w:rsid w:val="007846AC"/>
    <w:rsid w:val="00785166"/>
    <w:rsid w:val="0078549F"/>
    <w:rsid w:val="0078570C"/>
    <w:rsid w:val="0078661B"/>
    <w:rsid w:val="00786A9B"/>
    <w:rsid w:val="007900BA"/>
    <w:rsid w:val="00790188"/>
    <w:rsid w:val="00790885"/>
    <w:rsid w:val="007916AD"/>
    <w:rsid w:val="0079228C"/>
    <w:rsid w:val="00793619"/>
    <w:rsid w:val="00793C60"/>
    <w:rsid w:val="00793D9A"/>
    <w:rsid w:val="00793FFE"/>
    <w:rsid w:val="007949AF"/>
    <w:rsid w:val="00794BEE"/>
    <w:rsid w:val="00794E09"/>
    <w:rsid w:val="00795077"/>
    <w:rsid w:val="007950E3"/>
    <w:rsid w:val="007962A7"/>
    <w:rsid w:val="0079653C"/>
    <w:rsid w:val="007A0612"/>
    <w:rsid w:val="007A17A3"/>
    <w:rsid w:val="007A1927"/>
    <w:rsid w:val="007A3DD7"/>
    <w:rsid w:val="007A520B"/>
    <w:rsid w:val="007A5DD2"/>
    <w:rsid w:val="007A6788"/>
    <w:rsid w:val="007A6B71"/>
    <w:rsid w:val="007A758C"/>
    <w:rsid w:val="007B0083"/>
    <w:rsid w:val="007B0101"/>
    <w:rsid w:val="007B01E6"/>
    <w:rsid w:val="007B1C57"/>
    <w:rsid w:val="007B1D0C"/>
    <w:rsid w:val="007B1D28"/>
    <w:rsid w:val="007B338C"/>
    <w:rsid w:val="007B36BA"/>
    <w:rsid w:val="007B3CA7"/>
    <w:rsid w:val="007B4940"/>
    <w:rsid w:val="007B50DB"/>
    <w:rsid w:val="007B5C04"/>
    <w:rsid w:val="007B6592"/>
    <w:rsid w:val="007B7076"/>
    <w:rsid w:val="007B7AD1"/>
    <w:rsid w:val="007C01FB"/>
    <w:rsid w:val="007C0854"/>
    <w:rsid w:val="007C0868"/>
    <w:rsid w:val="007C1954"/>
    <w:rsid w:val="007C1ADC"/>
    <w:rsid w:val="007C2561"/>
    <w:rsid w:val="007C32AE"/>
    <w:rsid w:val="007C4273"/>
    <w:rsid w:val="007C4C16"/>
    <w:rsid w:val="007C4FA9"/>
    <w:rsid w:val="007C5736"/>
    <w:rsid w:val="007C664F"/>
    <w:rsid w:val="007C67E2"/>
    <w:rsid w:val="007D079E"/>
    <w:rsid w:val="007D2487"/>
    <w:rsid w:val="007D2D5E"/>
    <w:rsid w:val="007D2E18"/>
    <w:rsid w:val="007D35AE"/>
    <w:rsid w:val="007D3864"/>
    <w:rsid w:val="007D3F4D"/>
    <w:rsid w:val="007D4658"/>
    <w:rsid w:val="007D6688"/>
    <w:rsid w:val="007D6BB3"/>
    <w:rsid w:val="007D788D"/>
    <w:rsid w:val="007E0AC6"/>
    <w:rsid w:val="007E1C16"/>
    <w:rsid w:val="007E2618"/>
    <w:rsid w:val="007E2EA3"/>
    <w:rsid w:val="007E3269"/>
    <w:rsid w:val="007E4670"/>
    <w:rsid w:val="007E48E1"/>
    <w:rsid w:val="007E51BF"/>
    <w:rsid w:val="007E61B7"/>
    <w:rsid w:val="007E698E"/>
    <w:rsid w:val="007E731A"/>
    <w:rsid w:val="007E77FF"/>
    <w:rsid w:val="007F01D7"/>
    <w:rsid w:val="007F0DAD"/>
    <w:rsid w:val="007F0FEF"/>
    <w:rsid w:val="007F300E"/>
    <w:rsid w:val="007F35E9"/>
    <w:rsid w:val="007F3C6E"/>
    <w:rsid w:val="007F492A"/>
    <w:rsid w:val="007F4CB5"/>
    <w:rsid w:val="007F515D"/>
    <w:rsid w:val="007F64E4"/>
    <w:rsid w:val="00800376"/>
    <w:rsid w:val="008006D2"/>
    <w:rsid w:val="008013DE"/>
    <w:rsid w:val="00802127"/>
    <w:rsid w:val="00802F09"/>
    <w:rsid w:val="00804A01"/>
    <w:rsid w:val="008058AF"/>
    <w:rsid w:val="00805FD7"/>
    <w:rsid w:val="00806A7E"/>
    <w:rsid w:val="00807A22"/>
    <w:rsid w:val="00807EC1"/>
    <w:rsid w:val="00810B10"/>
    <w:rsid w:val="00811A5E"/>
    <w:rsid w:val="00811CC9"/>
    <w:rsid w:val="00812402"/>
    <w:rsid w:val="008131D7"/>
    <w:rsid w:val="00813AC4"/>
    <w:rsid w:val="00813D56"/>
    <w:rsid w:val="0081439C"/>
    <w:rsid w:val="008146AA"/>
    <w:rsid w:val="00814854"/>
    <w:rsid w:val="00814DFF"/>
    <w:rsid w:val="00814F7F"/>
    <w:rsid w:val="00817068"/>
    <w:rsid w:val="0081726C"/>
    <w:rsid w:val="0081744A"/>
    <w:rsid w:val="0081745C"/>
    <w:rsid w:val="008211F8"/>
    <w:rsid w:val="0082191D"/>
    <w:rsid w:val="00822370"/>
    <w:rsid w:val="0082290B"/>
    <w:rsid w:val="0082343F"/>
    <w:rsid w:val="008237E8"/>
    <w:rsid w:val="00824024"/>
    <w:rsid w:val="008241B7"/>
    <w:rsid w:val="00824973"/>
    <w:rsid w:val="00824A82"/>
    <w:rsid w:val="00824F1A"/>
    <w:rsid w:val="00824F7C"/>
    <w:rsid w:val="00825159"/>
    <w:rsid w:val="00825A21"/>
    <w:rsid w:val="00826B9C"/>
    <w:rsid w:val="00826C51"/>
    <w:rsid w:val="00826FD7"/>
    <w:rsid w:val="00827CE2"/>
    <w:rsid w:val="00830B78"/>
    <w:rsid w:val="00830D62"/>
    <w:rsid w:val="008311D6"/>
    <w:rsid w:val="00831782"/>
    <w:rsid w:val="008320D0"/>
    <w:rsid w:val="0083261E"/>
    <w:rsid w:val="0083292B"/>
    <w:rsid w:val="00832C9D"/>
    <w:rsid w:val="008334D4"/>
    <w:rsid w:val="00833B4E"/>
    <w:rsid w:val="00834BBC"/>
    <w:rsid w:val="008368FD"/>
    <w:rsid w:val="00836D8E"/>
    <w:rsid w:val="00837EA5"/>
    <w:rsid w:val="00837EDA"/>
    <w:rsid w:val="00837F95"/>
    <w:rsid w:val="00841A12"/>
    <w:rsid w:val="00842934"/>
    <w:rsid w:val="00842B77"/>
    <w:rsid w:val="00842D24"/>
    <w:rsid w:val="00843CEA"/>
    <w:rsid w:val="008450E2"/>
    <w:rsid w:val="00845868"/>
    <w:rsid w:val="00845F94"/>
    <w:rsid w:val="00846411"/>
    <w:rsid w:val="00846F28"/>
    <w:rsid w:val="008477F1"/>
    <w:rsid w:val="00847897"/>
    <w:rsid w:val="00850A1A"/>
    <w:rsid w:val="00850C6B"/>
    <w:rsid w:val="00850FA1"/>
    <w:rsid w:val="00851649"/>
    <w:rsid w:val="00852939"/>
    <w:rsid w:val="00852AB6"/>
    <w:rsid w:val="00852B5D"/>
    <w:rsid w:val="00852DAE"/>
    <w:rsid w:val="00853069"/>
    <w:rsid w:val="008530A1"/>
    <w:rsid w:val="00853BAF"/>
    <w:rsid w:val="008558DF"/>
    <w:rsid w:val="008568A2"/>
    <w:rsid w:val="00857209"/>
    <w:rsid w:val="00857FAD"/>
    <w:rsid w:val="00861540"/>
    <w:rsid w:val="008615CE"/>
    <w:rsid w:val="00861E3F"/>
    <w:rsid w:val="0086282F"/>
    <w:rsid w:val="008628B5"/>
    <w:rsid w:val="00862CCE"/>
    <w:rsid w:val="00862DE3"/>
    <w:rsid w:val="00862F0A"/>
    <w:rsid w:val="0086301C"/>
    <w:rsid w:val="008631D4"/>
    <w:rsid w:val="0086350F"/>
    <w:rsid w:val="0086393C"/>
    <w:rsid w:val="00864097"/>
    <w:rsid w:val="00865F91"/>
    <w:rsid w:val="00866014"/>
    <w:rsid w:val="008661D3"/>
    <w:rsid w:val="00866BD5"/>
    <w:rsid w:val="00866C6C"/>
    <w:rsid w:val="00870637"/>
    <w:rsid w:val="00871074"/>
    <w:rsid w:val="00872A24"/>
    <w:rsid w:val="00872C18"/>
    <w:rsid w:val="0087376D"/>
    <w:rsid w:val="00874430"/>
    <w:rsid w:val="0087445B"/>
    <w:rsid w:val="00874B3C"/>
    <w:rsid w:val="00874ED9"/>
    <w:rsid w:val="00875138"/>
    <w:rsid w:val="00875ABD"/>
    <w:rsid w:val="00875F82"/>
    <w:rsid w:val="00876115"/>
    <w:rsid w:val="0087661C"/>
    <w:rsid w:val="008771EE"/>
    <w:rsid w:val="00877B11"/>
    <w:rsid w:val="00880087"/>
    <w:rsid w:val="00881184"/>
    <w:rsid w:val="008814AD"/>
    <w:rsid w:val="008818ED"/>
    <w:rsid w:val="00881B66"/>
    <w:rsid w:val="00882CF8"/>
    <w:rsid w:val="00882F77"/>
    <w:rsid w:val="008835D6"/>
    <w:rsid w:val="0088374D"/>
    <w:rsid w:val="008842F8"/>
    <w:rsid w:val="008848DA"/>
    <w:rsid w:val="00884AAF"/>
    <w:rsid w:val="00886AE8"/>
    <w:rsid w:val="00886FAE"/>
    <w:rsid w:val="008874CF"/>
    <w:rsid w:val="00887E13"/>
    <w:rsid w:val="00890D8F"/>
    <w:rsid w:val="008914F7"/>
    <w:rsid w:val="0089160A"/>
    <w:rsid w:val="00891928"/>
    <w:rsid w:val="00892113"/>
    <w:rsid w:val="00892DB6"/>
    <w:rsid w:val="0089523C"/>
    <w:rsid w:val="00896171"/>
    <w:rsid w:val="008964F1"/>
    <w:rsid w:val="00896BFC"/>
    <w:rsid w:val="00897C79"/>
    <w:rsid w:val="008A1C7D"/>
    <w:rsid w:val="008A2A9B"/>
    <w:rsid w:val="008A2FB9"/>
    <w:rsid w:val="008A317E"/>
    <w:rsid w:val="008A318F"/>
    <w:rsid w:val="008A37DA"/>
    <w:rsid w:val="008A390E"/>
    <w:rsid w:val="008A3C3E"/>
    <w:rsid w:val="008A523F"/>
    <w:rsid w:val="008A5549"/>
    <w:rsid w:val="008A5BA0"/>
    <w:rsid w:val="008A6547"/>
    <w:rsid w:val="008A762C"/>
    <w:rsid w:val="008B090C"/>
    <w:rsid w:val="008B1DDF"/>
    <w:rsid w:val="008B1E35"/>
    <w:rsid w:val="008B4367"/>
    <w:rsid w:val="008B5FC8"/>
    <w:rsid w:val="008B693D"/>
    <w:rsid w:val="008B6EAD"/>
    <w:rsid w:val="008B77C0"/>
    <w:rsid w:val="008B7F13"/>
    <w:rsid w:val="008B7F49"/>
    <w:rsid w:val="008C07D6"/>
    <w:rsid w:val="008C1381"/>
    <w:rsid w:val="008C16C5"/>
    <w:rsid w:val="008C20DA"/>
    <w:rsid w:val="008C2747"/>
    <w:rsid w:val="008C2978"/>
    <w:rsid w:val="008C2FE4"/>
    <w:rsid w:val="008C3B31"/>
    <w:rsid w:val="008C3BB3"/>
    <w:rsid w:val="008C4A94"/>
    <w:rsid w:val="008C5B25"/>
    <w:rsid w:val="008C5DF2"/>
    <w:rsid w:val="008C6844"/>
    <w:rsid w:val="008C686B"/>
    <w:rsid w:val="008C6E4B"/>
    <w:rsid w:val="008C75B5"/>
    <w:rsid w:val="008C75C4"/>
    <w:rsid w:val="008D0524"/>
    <w:rsid w:val="008D0B26"/>
    <w:rsid w:val="008D12B1"/>
    <w:rsid w:val="008D1E2E"/>
    <w:rsid w:val="008D1EBC"/>
    <w:rsid w:val="008D2A15"/>
    <w:rsid w:val="008D2F09"/>
    <w:rsid w:val="008D34A1"/>
    <w:rsid w:val="008D397F"/>
    <w:rsid w:val="008D3A46"/>
    <w:rsid w:val="008D5148"/>
    <w:rsid w:val="008D5F85"/>
    <w:rsid w:val="008D67E2"/>
    <w:rsid w:val="008D6F25"/>
    <w:rsid w:val="008E0010"/>
    <w:rsid w:val="008E01FC"/>
    <w:rsid w:val="008E0467"/>
    <w:rsid w:val="008E0C69"/>
    <w:rsid w:val="008E1552"/>
    <w:rsid w:val="008E2A6D"/>
    <w:rsid w:val="008E3F18"/>
    <w:rsid w:val="008E4E58"/>
    <w:rsid w:val="008E5CC5"/>
    <w:rsid w:val="008E6174"/>
    <w:rsid w:val="008E6211"/>
    <w:rsid w:val="008E642E"/>
    <w:rsid w:val="008E6947"/>
    <w:rsid w:val="008E780E"/>
    <w:rsid w:val="008E7984"/>
    <w:rsid w:val="008F0332"/>
    <w:rsid w:val="008F08FB"/>
    <w:rsid w:val="008F1CCC"/>
    <w:rsid w:val="008F2962"/>
    <w:rsid w:val="008F3235"/>
    <w:rsid w:val="008F3BFF"/>
    <w:rsid w:val="008F3F8F"/>
    <w:rsid w:val="008F4015"/>
    <w:rsid w:val="008F42A9"/>
    <w:rsid w:val="008F4507"/>
    <w:rsid w:val="008F4598"/>
    <w:rsid w:val="008F4E6D"/>
    <w:rsid w:val="008F603F"/>
    <w:rsid w:val="008F6133"/>
    <w:rsid w:val="00900E91"/>
    <w:rsid w:val="00901089"/>
    <w:rsid w:val="00901A3D"/>
    <w:rsid w:val="00901DB9"/>
    <w:rsid w:val="0090222E"/>
    <w:rsid w:val="009045B9"/>
    <w:rsid w:val="0090516F"/>
    <w:rsid w:val="00905CEF"/>
    <w:rsid w:val="00905F34"/>
    <w:rsid w:val="00905F82"/>
    <w:rsid w:val="009064F8"/>
    <w:rsid w:val="009079C2"/>
    <w:rsid w:val="009101B1"/>
    <w:rsid w:val="009125BD"/>
    <w:rsid w:val="00913E79"/>
    <w:rsid w:val="009166B6"/>
    <w:rsid w:val="00916F0A"/>
    <w:rsid w:val="00917756"/>
    <w:rsid w:val="00917DF6"/>
    <w:rsid w:val="0092079C"/>
    <w:rsid w:val="00920817"/>
    <w:rsid w:val="00921333"/>
    <w:rsid w:val="00921B46"/>
    <w:rsid w:val="00921E3B"/>
    <w:rsid w:val="00922D99"/>
    <w:rsid w:val="00923106"/>
    <w:rsid w:val="009232F0"/>
    <w:rsid w:val="00923C89"/>
    <w:rsid w:val="00924B83"/>
    <w:rsid w:val="00925046"/>
    <w:rsid w:val="00925082"/>
    <w:rsid w:val="0092641B"/>
    <w:rsid w:val="0092739C"/>
    <w:rsid w:val="00927B64"/>
    <w:rsid w:val="0093022E"/>
    <w:rsid w:val="009306EF"/>
    <w:rsid w:val="009327DE"/>
    <w:rsid w:val="00932DA9"/>
    <w:rsid w:val="00933428"/>
    <w:rsid w:val="0093363A"/>
    <w:rsid w:val="00934192"/>
    <w:rsid w:val="009351C1"/>
    <w:rsid w:val="00935FD3"/>
    <w:rsid w:val="00936222"/>
    <w:rsid w:val="00937A54"/>
    <w:rsid w:val="009406F9"/>
    <w:rsid w:val="00940DC8"/>
    <w:rsid w:val="00941DE9"/>
    <w:rsid w:val="00942DA1"/>
    <w:rsid w:val="0094388D"/>
    <w:rsid w:val="00944357"/>
    <w:rsid w:val="009450B3"/>
    <w:rsid w:val="0094546D"/>
    <w:rsid w:val="00945868"/>
    <w:rsid w:val="009460E9"/>
    <w:rsid w:val="0094700A"/>
    <w:rsid w:val="0094722B"/>
    <w:rsid w:val="00951A17"/>
    <w:rsid w:val="00951E6F"/>
    <w:rsid w:val="00954424"/>
    <w:rsid w:val="009544B3"/>
    <w:rsid w:val="00955CD6"/>
    <w:rsid w:val="00955EEA"/>
    <w:rsid w:val="009601C1"/>
    <w:rsid w:val="0096035C"/>
    <w:rsid w:val="00960E42"/>
    <w:rsid w:val="00961B63"/>
    <w:rsid w:val="009622A8"/>
    <w:rsid w:val="00962B6D"/>
    <w:rsid w:val="00963310"/>
    <w:rsid w:val="009667F5"/>
    <w:rsid w:val="009676C4"/>
    <w:rsid w:val="00967CCE"/>
    <w:rsid w:val="00972896"/>
    <w:rsid w:val="009732C2"/>
    <w:rsid w:val="00973AD0"/>
    <w:rsid w:val="00973B0E"/>
    <w:rsid w:val="0097421C"/>
    <w:rsid w:val="0097497A"/>
    <w:rsid w:val="009755B0"/>
    <w:rsid w:val="00975B05"/>
    <w:rsid w:val="00975F8B"/>
    <w:rsid w:val="009765F1"/>
    <w:rsid w:val="00976BEF"/>
    <w:rsid w:val="00976C58"/>
    <w:rsid w:val="00976CC0"/>
    <w:rsid w:val="00976F76"/>
    <w:rsid w:val="009773C6"/>
    <w:rsid w:val="00977E14"/>
    <w:rsid w:val="0098056A"/>
    <w:rsid w:val="00980885"/>
    <w:rsid w:val="00981417"/>
    <w:rsid w:val="00981452"/>
    <w:rsid w:val="00981826"/>
    <w:rsid w:val="00981904"/>
    <w:rsid w:val="00981A86"/>
    <w:rsid w:val="00981C0A"/>
    <w:rsid w:val="0098426C"/>
    <w:rsid w:val="009842F1"/>
    <w:rsid w:val="00984862"/>
    <w:rsid w:val="00984AD9"/>
    <w:rsid w:val="00985366"/>
    <w:rsid w:val="009861A6"/>
    <w:rsid w:val="00986475"/>
    <w:rsid w:val="009866A5"/>
    <w:rsid w:val="00986A13"/>
    <w:rsid w:val="00987976"/>
    <w:rsid w:val="009916E1"/>
    <w:rsid w:val="009919F8"/>
    <w:rsid w:val="00991F64"/>
    <w:rsid w:val="0099261A"/>
    <w:rsid w:val="009928FD"/>
    <w:rsid w:val="009931F5"/>
    <w:rsid w:val="0099349F"/>
    <w:rsid w:val="0099365C"/>
    <w:rsid w:val="009952E4"/>
    <w:rsid w:val="009960E8"/>
    <w:rsid w:val="0099654D"/>
    <w:rsid w:val="00997295"/>
    <w:rsid w:val="00997C52"/>
    <w:rsid w:val="009A0721"/>
    <w:rsid w:val="009A0984"/>
    <w:rsid w:val="009A0C6E"/>
    <w:rsid w:val="009A1B2F"/>
    <w:rsid w:val="009A1B65"/>
    <w:rsid w:val="009A1BA4"/>
    <w:rsid w:val="009A1FC0"/>
    <w:rsid w:val="009A2F2B"/>
    <w:rsid w:val="009A34C5"/>
    <w:rsid w:val="009A3EFE"/>
    <w:rsid w:val="009A3F21"/>
    <w:rsid w:val="009A4898"/>
    <w:rsid w:val="009A4FC3"/>
    <w:rsid w:val="009A563D"/>
    <w:rsid w:val="009A600A"/>
    <w:rsid w:val="009A7910"/>
    <w:rsid w:val="009A7D86"/>
    <w:rsid w:val="009B07B1"/>
    <w:rsid w:val="009B07C1"/>
    <w:rsid w:val="009B188F"/>
    <w:rsid w:val="009B1EFE"/>
    <w:rsid w:val="009B1F85"/>
    <w:rsid w:val="009B22A8"/>
    <w:rsid w:val="009B37CE"/>
    <w:rsid w:val="009B3892"/>
    <w:rsid w:val="009B39BA"/>
    <w:rsid w:val="009B3EFF"/>
    <w:rsid w:val="009B532D"/>
    <w:rsid w:val="009B6BB8"/>
    <w:rsid w:val="009C0284"/>
    <w:rsid w:val="009C07E9"/>
    <w:rsid w:val="009C1323"/>
    <w:rsid w:val="009C1616"/>
    <w:rsid w:val="009C2A18"/>
    <w:rsid w:val="009C2FF7"/>
    <w:rsid w:val="009C313F"/>
    <w:rsid w:val="009C384C"/>
    <w:rsid w:val="009C5BB8"/>
    <w:rsid w:val="009C5F16"/>
    <w:rsid w:val="009C636F"/>
    <w:rsid w:val="009C66F3"/>
    <w:rsid w:val="009C6B2D"/>
    <w:rsid w:val="009C6C64"/>
    <w:rsid w:val="009C6C91"/>
    <w:rsid w:val="009C70CA"/>
    <w:rsid w:val="009C71B6"/>
    <w:rsid w:val="009C7AD6"/>
    <w:rsid w:val="009D06B0"/>
    <w:rsid w:val="009D088C"/>
    <w:rsid w:val="009D0B95"/>
    <w:rsid w:val="009D0CBF"/>
    <w:rsid w:val="009D0DC9"/>
    <w:rsid w:val="009D1991"/>
    <w:rsid w:val="009D258E"/>
    <w:rsid w:val="009D2E88"/>
    <w:rsid w:val="009D3563"/>
    <w:rsid w:val="009D3E88"/>
    <w:rsid w:val="009D3F35"/>
    <w:rsid w:val="009D4422"/>
    <w:rsid w:val="009D485A"/>
    <w:rsid w:val="009D5072"/>
    <w:rsid w:val="009D6706"/>
    <w:rsid w:val="009D6B79"/>
    <w:rsid w:val="009D7F68"/>
    <w:rsid w:val="009E07B4"/>
    <w:rsid w:val="009E08F9"/>
    <w:rsid w:val="009E12C1"/>
    <w:rsid w:val="009E1BDF"/>
    <w:rsid w:val="009E1FC2"/>
    <w:rsid w:val="009E2DB0"/>
    <w:rsid w:val="009E2DB4"/>
    <w:rsid w:val="009E2E21"/>
    <w:rsid w:val="009E2E24"/>
    <w:rsid w:val="009E36A2"/>
    <w:rsid w:val="009E581E"/>
    <w:rsid w:val="009E5C46"/>
    <w:rsid w:val="009E5CE5"/>
    <w:rsid w:val="009E6BE7"/>
    <w:rsid w:val="009E6EA8"/>
    <w:rsid w:val="009E7A9D"/>
    <w:rsid w:val="009E7D2A"/>
    <w:rsid w:val="009F0F56"/>
    <w:rsid w:val="009F171A"/>
    <w:rsid w:val="009F1E2C"/>
    <w:rsid w:val="009F1FDF"/>
    <w:rsid w:val="009F2E69"/>
    <w:rsid w:val="009F36CB"/>
    <w:rsid w:val="009F414D"/>
    <w:rsid w:val="009F46CC"/>
    <w:rsid w:val="009F48C1"/>
    <w:rsid w:val="009F4A81"/>
    <w:rsid w:val="009F4D5A"/>
    <w:rsid w:val="009F6ECC"/>
    <w:rsid w:val="00A01195"/>
    <w:rsid w:val="00A021E9"/>
    <w:rsid w:val="00A02656"/>
    <w:rsid w:val="00A02816"/>
    <w:rsid w:val="00A0291E"/>
    <w:rsid w:val="00A02B69"/>
    <w:rsid w:val="00A030F4"/>
    <w:rsid w:val="00A0399A"/>
    <w:rsid w:val="00A05728"/>
    <w:rsid w:val="00A05BE8"/>
    <w:rsid w:val="00A05F5F"/>
    <w:rsid w:val="00A107A6"/>
    <w:rsid w:val="00A121F1"/>
    <w:rsid w:val="00A126C8"/>
    <w:rsid w:val="00A12837"/>
    <w:rsid w:val="00A13551"/>
    <w:rsid w:val="00A137D6"/>
    <w:rsid w:val="00A13CAB"/>
    <w:rsid w:val="00A16366"/>
    <w:rsid w:val="00A16CFB"/>
    <w:rsid w:val="00A20004"/>
    <w:rsid w:val="00A21445"/>
    <w:rsid w:val="00A21543"/>
    <w:rsid w:val="00A22C47"/>
    <w:rsid w:val="00A22D0B"/>
    <w:rsid w:val="00A22E48"/>
    <w:rsid w:val="00A23963"/>
    <w:rsid w:val="00A24183"/>
    <w:rsid w:val="00A25569"/>
    <w:rsid w:val="00A2637A"/>
    <w:rsid w:val="00A270BE"/>
    <w:rsid w:val="00A27317"/>
    <w:rsid w:val="00A27462"/>
    <w:rsid w:val="00A27A88"/>
    <w:rsid w:val="00A31A88"/>
    <w:rsid w:val="00A326E0"/>
    <w:rsid w:val="00A32A97"/>
    <w:rsid w:val="00A33996"/>
    <w:rsid w:val="00A34FBB"/>
    <w:rsid w:val="00A3707C"/>
    <w:rsid w:val="00A37223"/>
    <w:rsid w:val="00A406E3"/>
    <w:rsid w:val="00A41528"/>
    <w:rsid w:val="00A41610"/>
    <w:rsid w:val="00A421FA"/>
    <w:rsid w:val="00A42B17"/>
    <w:rsid w:val="00A4342B"/>
    <w:rsid w:val="00A43795"/>
    <w:rsid w:val="00A438A1"/>
    <w:rsid w:val="00A43E91"/>
    <w:rsid w:val="00A449FC"/>
    <w:rsid w:val="00A454E6"/>
    <w:rsid w:val="00A456E1"/>
    <w:rsid w:val="00A464CC"/>
    <w:rsid w:val="00A47B30"/>
    <w:rsid w:val="00A5064D"/>
    <w:rsid w:val="00A507D5"/>
    <w:rsid w:val="00A509B8"/>
    <w:rsid w:val="00A50B2C"/>
    <w:rsid w:val="00A515A5"/>
    <w:rsid w:val="00A51F21"/>
    <w:rsid w:val="00A52A9A"/>
    <w:rsid w:val="00A530C1"/>
    <w:rsid w:val="00A5364B"/>
    <w:rsid w:val="00A53E9A"/>
    <w:rsid w:val="00A54229"/>
    <w:rsid w:val="00A54E35"/>
    <w:rsid w:val="00A5573F"/>
    <w:rsid w:val="00A55845"/>
    <w:rsid w:val="00A55CE0"/>
    <w:rsid w:val="00A56601"/>
    <w:rsid w:val="00A56E86"/>
    <w:rsid w:val="00A56F3A"/>
    <w:rsid w:val="00A578DA"/>
    <w:rsid w:val="00A57B43"/>
    <w:rsid w:val="00A60269"/>
    <w:rsid w:val="00A60494"/>
    <w:rsid w:val="00A6051D"/>
    <w:rsid w:val="00A61305"/>
    <w:rsid w:val="00A61B1A"/>
    <w:rsid w:val="00A622C3"/>
    <w:rsid w:val="00A63565"/>
    <w:rsid w:val="00A649F8"/>
    <w:rsid w:val="00A65112"/>
    <w:rsid w:val="00A65636"/>
    <w:rsid w:val="00A663E8"/>
    <w:rsid w:val="00A6649B"/>
    <w:rsid w:val="00A678C4"/>
    <w:rsid w:val="00A706C1"/>
    <w:rsid w:val="00A70BAA"/>
    <w:rsid w:val="00A70F12"/>
    <w:rsid w:val="00A710C1"/>
    <w:rsid w:val="00A71DD1"/>
    <w:rsid w:val="00A7265B"/>
    <w:rsid w:val="00A72A83"/>
    <w:rsid w:val="00A72FDF"/>
    <w:rsid w:val="00A74F98"/>
    <w:rsid w:val="00A75200"/>
    <w:rsid w:val="00A75415"/>
    <w:rsid w:val="00A75656"/>
    <w:rsid w:val="00A75727"/>
    <w:rsid w:val="00A75824"/>
    <w:rsid w:val="00A75901"/>
    <w:rsid w:val="00A75EC1"/>
    <w:rsid w:val="00A7748D"/>
    <w:rsid w:val="00A777CF"/>
    <w:rsid w:val="00A778DD"/>
    <w:rsid w:val="00A77C2F"/>
    <w:rsid w:val="00A8138A"/>
    <w:rsid w:val="00A813E1"/>
    <w:rsid w:val="00A81BD7"/>
    <w:rsid w:val="00A829DE"/>
    <w:rsid w:val="00A83C87"/>
    <w:rsid w:val="00A848E1"/>
    <w:rsid w:val="00A8631D"/>
    <w:rsid w:val="00A8742F"/>
    <w:rsid w:val="00A87E5B"/>
    <w:rsid w:val="00A903BA"/>
    <w:rsid w:val="00A91A90"/>
    <w:rsid w:val="00A91DD2"/>
    <w:rsid w:val="00A92D26"/>
    <w:rsid w:val="00A92D8A"/>
    <w:rsid w:val="00A96CF5"/>
    <w:rsid w:val="00A97166"/>
    <w:rsid w:val="00A97D07"/>
    <w:rsid w:val="00A97E39"/>
    <w:rsid w:val="00A97E96"/>
    <w:rsid w:val="00AA05C4"/>
    <w:rsid w:val="00AA0BFA"/>
    <w:rsid w:val="00AA0EF3"/>
    <w:rsid w:val="00AA246E"/>
    <w:rsid w:val="00AA5128"/>
    <w:rsid w:val="00AA5A65"/>
    <w:rsid w:val="00AA5BDB"/>
    <w:rsid w:val="00AA60DE"/>
    <w:rsid w:val="00AA63A0"/>
    <w:rsid w:val="00AA63F2"/>
    <w:rsid w:val="00AA6609"/>
    <w:rsid w:val="00AA6674"/>
    <w:rsid w:val="00AA7A4B"/>
    <w:rsid w:val="00AA7DE1"/>
    <w:rsid w:val="00AA7DE7"/>
    <w:rsid w:val="00AA7FCA"/>
    <w:rsid w:val="00AB0509"/>
    <w:rsid w:val="00AB06C6"/>
    <w:rsid w:val="00AB097A"/>
    <w:rsid w:val="00AB0AD3"/>
    <w:rsid w:val="00AB1210"/>
    <w:rsid w:val="00AB1540"/>
    <w:rsid w:val="00AB1D13"/>
    <w:rsid w:val="00AB2F12"/>
    <w:rsid w:val="00AB2F9A"/>
    <w:rsid w:val="00AB3132"/>
    <w:rsid w:val="00AB491D"/>
    <w:rsid w:val="00AB4A1D"/>
    <w:rsid w:val="00AB4D8F"/>
    <w:rsid w:val="00AB50EF"/>
    <w:rsid w:val="00AB53A7"/>
    <w:rsid w:val="00AB57B0"/>
    <w:rsid w:val="00AB58B8"/>
    <w:rsid w:val="00AB6080"/>
    <w:rsid w:val="00AB63E6"/>
    <w:rsid w:val="00AB6CF8"/>
    <w:rsid w:val="00AB6FA0"/>
    <w:rsid w:val="00AB7BC5"/>
    <w:rsid w:val="00AC136A"/>
    <w:rsid w:val="00AC168A"/>
    <w:rsid w:val="00AC1BA6"/>
    <w:rsid w:val="00AC1ED7"/>
    <w:rsid w:val="00AC1FB9"/>
    <w:rsid w:val="00AC2332"/>
    <w:rsid w:val="00AC47ED"/>
    <w:rsid w:val="00AC4B83"/>
    <w:rsid w:val="00AC58F8"/>
    <w:rsid w:val="00AC73BF"/>
    <w:rsid w:val="00AC788E"/>
    <w:rsid w:val="00AD10BF"/>
    <w:rsid w:val="00AD1A97"/>
    <w:rsid w:val="00AD1FBA"/>
    <w:rsid w:val="00AD3A38"/>
    <w:rsid w:val="00AD3BB8"/>
    <w:rsid w:val="00AD3F09"/>
    <w:rsid w:val="00AD494C"/>
    <w:rsid w:val="00AD4ED2"/>
    <w:rsid w:val="00AD61F7"/>
    <w:rsid w:val="00AD62C6"/>
    <w:rsid w:val="00AD681E"/>
    <w:rsid w:val="00AE0097"/>
    <w:rsid w:val="00AE01F3"/>
    <w:rsid w:val="00AE046A"/>
    <w:rsid w:val="00AE17A8"/>
    <w:rsid w:val="00AE1EBB"/>
    <w:rsid w:val="00AE1F03"/>
    <w:rsid w:val="00AE267B"/>
    <w:rsid w:val="00AE2CF1"/>
    <w:rsid w:val="00AE2EFB"/>
    <w:rsid w:val="00AE330C"/>
    <w:rsid w:val="00AE4366"/>
    <w:rsid w:val="00AE45F5"/>
    <w:rsid w:val="00AE4AA9"/>
    <w:rsid w:val="00AE58E3"/>
    <w:rsid w:val="00AE5FCC"/>
    <w:rsid w:val="00AE6784"/>
    <w:rsid w:val="00AE6AD5"/>
    <w:rsid w:val="00AE6D66"/>
    <w:rsid w:val="00AF07AA"/>
    <w:rsid w:val="00AF0C21"/>
    <w:rsid w:val="00AF16CE"/>
    <w:rsid w:val="00AF308F"/>
    <w:rsid w:val="00AF367E"/>
    <w:rsid w:val="00AF3A52"/>
    <w:rsid w:val="00AF45E0"/>
    <w:rsid w:val="00AF47F6"/>
    <w:rsid w:val="00AF51EF"/>
    <w:rsid w:val="00AF5EA5"/>
    <w:rsid w:val="00AF6601"/>
    <w:rsid w:val="00AF780D"/>
    <w:rsid w:val="00AF7FD7"/>
    <w:rsid w:val="00B0043D"/>
    <w:rsid w:val="00B01672"/>
    <w:rsid w:val="00B02012"/>
    <w:rsid w:val="00B024AA"/>
    <w:rsid w:val="00B0257D"/>
    <w:rsid w:val="00B02804"/>
    <w:rsid w:val="00B02902"/>
    <w:rsid w:val="00B02C2C"/>
    <w:rsid w:val="00B03ABB"/>
    <w:rsid w:val="00B0426C"/>
    <w:rsid w:val="00B04AF8"/>
    <w:rsid w:val="00B04BE2"/>
    <w:rsid w:val="00B057FD"/>
    <w:rsid w:val="00B05B4F"/>
    <w:rsid w:val="00B05FEB"/>
    <w:rsid w:val="00B06312"/>
    <w:rsid w:val="00B06B83"/>
    <w:rsid w:val="00B0790C"/>
    <w:rsid w:val="00B10363"/>
    <w:rsid w:val="00B10FC1"/>
    <w:rsid w:val="00B11D00"/>
    <w:rsid w:val="00B11EBE"/>
    <w:rsid w:val="00B13519"/>
    <w:rsid w:val="00B13587"/>
    <w:rsid w:val="00B144D4"/>
    <w:rsid w:val="00B14691"/>
    <w:rsid w:val="00B15A8F"/>
    <w:rsid w:val="00B15CEC"/>
    <w:rsid w:val="00B17162"/>
    <w:rsid w:val="00B17EBD"/>
    <w:rsid w:val="00B20444"/>
    <w:rsid w:val="00B21B7C"/>
    <w:rsid w:val="00B22CE4"/>
    <w:rsid w:val="00B23C24"/>
    <w:rsid w:val="00B23F62"/>
    <w:rsid w:val="00B24506"/>
    <w:rsid w:val="00B24CBE"/>
    <w:rsid w:val="00B26504"/>
    <w:rsid w:val="00B26835"/>
    <w:rsid w:val="00B26A9F"/>
    <w:rsid w:val="00B27293"/>
    <w:rsid w:val="00B27F49"/>
    <w:rsid w:val="00B302D7"/>
    <w:rsid w:val="00B30DB1"/>
    <w:rsid w:val="00B31DC1"/>
    <w:rsid w:val="00B321DA"/>
    <w:rsid w:val="00B3367F"/>
    <w:rsid w:val="00B34F59"/>
    <w:rsid w:val="00B35296"/>
    <w:rsid w:val="00B356D0"/>
    <w:rsid w:val="00B367EE"/>
    <w:rsid w:val="00B36A13"/>
    <w:rsid w:val="00B36CFD"/>
    <w:rsid w:val="00B379D9"/>
    <w:rsid w:val="00B37E90"/>
    <w:rsid w:val="00B37EBD"/>
    <w:rsid w:val="00B40196"/>
    <w:rsid w:val="00B41970"/>
    <w:rsid w:val="00B428BD"/>
    <w:rsid w:val="00B4477A"/>
    <w:rsid w:val="00B451C6"/>
    <w:rsid w:val="00B45810"/>
    <w:rsid w:val="00B45C90"/>
    <w:rsid w:val="00B464E5"/>
    <w:rsid w:val="00B46547"/>
    <w:rsid w:val="00B4678B"/>
    <w:rsid w:val="00B50707"/>
    <w:rsid w:val="00B5230F"/>
    <w:rsid w:val="00B52499"/>
    <w:rsid w:val="00B5273C"/>
    <w:rsid w:val="00B528FE"/>
    <w:rsid w:val="00B52B81"/>
    <w:rsid w:val="00B52E7F"/>
    <w:rsid w:val="00B533F5"/>
    <w:rsid w:val="00B53C06"/>
    <w:rsid w:val="00B55451"/>
    <w:rsid w:val="00B56BF6"/>
    <w:rsid w:val="00B60D68"/>
    <w:rsid w:val="00B60DED"/>
    <w:rsid w:val="00B6151F"/>
    <w:rsid w:val="00B6174E"/>
    <w:rsid w:val="00B61D72"/>
    <w:rsid w:val="00B6287F"/>
    <w:rsid w:val="00B63138"/>
    <w:rsid w:val="00B63E63"/>
    <w:rsid w:val="00B63F94"/>
    <w:rsid w:val="00B642EF"/>
    <w:rsid w:val="00B64867"/>
    <w:rsid w:val="00B64F6C"/>
    <w:rsid w:val="00B660D1"/>
    <w:rsid w:val="00B675AC"/>
    <w:rsid w:val="00B678D0"/>
    <w:rsid w:val="00B67BF6"/>
    <w:rsid w:val="00B7016C"/>
    <w:rsid w:val="00B70D3D"/>
    <w:rsid w:val="00B711D8"/>
    <w:rsid w:val="00B717F1"/>
    <w:rsid w:val="00B7217E"/>
    <w:rsid w:val="00B7233A"/>
    <w:rsid w:val="00B73982"/>
    <w:rsid w:val="00B7444A"/>
    <w:rsid w:val="00B74C90"/>
    <w:rsid w:val="00B764C7"/>
    <w:rsid w:val="00B806CD"/>
    <w:rsid w:val="00B8070D"/>
    <w:rsid w:val="00B8134A"/>
    <w:rsid w:val="00B822B5"/>
    <w:rsid w:val="00B83189"/>
    <w:rsid w:val="00B83349"/>
    <w:rsid w:val="00B8355A"/>
    <w:rsid w:val="00B8365F"/>
    <w:rsid w:val="00B843F3"/>
    <w:rsid w:val="00B8462A"/>
    <w:rsid w:val="00B859F2"/>
    <w:rsid w:val="00B862DC"/>
    <w:rsid w:val="00B867CF"/>
    <w:rsid w:val="00B86F12"/>
    <w:rsid w:val="00B87CD6"/>
    <w:rsid w:val="00B87F21"/>
    <w:rsid w:val="00B90972"/>
    <w:rsid w:val="00B90FD4"/>
    <w:rsid w:val="00B912C2"/>
    <w:rsid w:val="00B9378F"/>
    <w:rsid w:val="00B9380C"/>
    <w:rsid w:val="00B94638"/>
    <w:rsid w:val="00B947CA"/>
    <w:rsid w:val="00B94B4D"/>
    <w:rsid w:val="00B95190"/>
    <w:rsid w:val="00B95863"/>
    <w:rsid w:val="00B95E90"/>
    <w:rsid w:val="00B9667C"/>
    <w:rsid w:val="00BA0344"/>
    <w:rsid w:val="00BA1A31"/>
    <w:rsid w:val="00BA292A"/>
    <w:rsid w:val="00BA3685"/>
    <w:rsid w:val="00BA3C2F"/>
    <w:rsid w:val="00BA49BA"/>
    <w:rsid w:val="00BA4DD1"/>
    <w:rsid w:val="00BA50D4"/>
    <w:rsid w:val="00BA519D"/>
    <w:rsid w:val="00BA5F02"/>
    <w:rsid w:val="00BA704C"/>
    <w:rsid w:val="00BB0933"/>
    <w:rsid w:val="00BB1263"/>
    <w:rsid w:val="00BB14D8"/>
    <w:rsid w:val="00BB3176"/>
    <w:rsid w:val="00BB31BF"/>
    <w:rsid w:val="00BB370E"/>
    <w:rsid w:val="00BB4030"/>
    <w:rsid w:val="00BB6FDF"/>
    <w:rsid w:val="00BB79F0"/>
    <w:rsid w:val="00BB7C2F"/>
    <w:rsid w:val="00BB7F22"/>
    <w:rsid w:val="00BC0E19"/>
    <w:rsid w:val="00BC2CE0"/>
    <w:rsid w:val="00BC3343"/>
    <w:rsid w:val="00BC3F50"/>
    <w:rsid w:val="00BC4488"/>
    <w:rsid w:val="00BC4A21"/>
    <w:rsid w:val="00BC4EAE"/>
    <w:rsid w:val="00BC4F09"/>
    <w:rsid w:val="00BC5107"/>
    <w:rsid w:val="00BC5878"/>
    <w:rsid w:val="00BC58EF"/>
    <w:rsid w:val="00BC5B33"/>
    <w:rsid w:val="00BC7188"/>
    <w:rsid w:val="00BC7289"/>
    <w:rsid w:val="00BD04FA"/>
    <w:rsid w:val="00BD18D2"/>
    <w:rsid w:val="00BD29FA"/>
    <w:rsid w:val="00BD3226"/>
    <w:rsid w:val="00BD49E2"/>
    <w:rsid w:val="00BD4CE2"/>
    <w:rsid w:val="00BD58E7"/>
    <w:rsid w:val="00BD5BF4"/>
    <w:rsid w:val="00BD6549"/>
    <w:rsid w:val="00BD6A2B"/>
    <w:rsid w:val="00BD7DAC"/>
    <w:rsid w:val="00BE0851"/>
    <w:rsid w:val="00BE08C4"/>
    <w:rsid w:val="00BE144E"/>
    <w:rsid w:val="00BE1566"/>
    <w:rsid w:val="00BE2A2E"/>
    <w:rsid w:val="00BE309F"/>
    <w:rsid w:val="00BE3732"/>
    <w:rsid w:val="00BE4771"/>
    <w:rsid w:val="00BE4835"/>
    <w:rsid w:val="00BE4857"/>
    <w:rsid w:val="00BE4BB1"/>
    <w:rsid w:val="00BE50F3"/>
    <w:rsid w:val="00BE5EEA"/>
    <w:rsid w:val="00BE653C"/>
    <w:rsid w:val="00BE67F0"/>
    <w:rsid w:val="00BE7757"/>
    <w:rsid w:val="00BE7E09"/>
    <w:rsid w:val="00BF07A9"/>
    <w:rsid w:val="00BF1C3B"/>
    <w:rsid w:val="00BF203A"/>
    <w:rsid w:val="00BF2995"/>
    <w:rsid w:val="00BF355D"/>
    <w:rsid w:val="00BF46A7"/>
    <w:rsid w:val="00BF4B73"/>
    <w:rsid w:val="00BF565B"/>
    <w:rsid w:val="00BF5E60"/>
    <w:rsid w:val="00BF6A23"/>
    <w:rsid w:val="00BF6F97"/>
    <w:rsid w:val="00BF7109"/>
    <w:rsid w:val="00BF7538"/>
    <w:rsid w:val="00C006EE"/>
    <w:rsid w:val="00C00721"/>
    <w:rsid w:val="00C00DF7"/>
    <w:rsid w:val="00C019B5"/>
    <w:rsid w:val="00C01BCF"/>
    <w:rsid w:val="00C02094"/>
    <w:rsid w:val="00C0405A"/>
    <w:rsid w:val="00C04218"/>
    <w:rsid w:val="00C047A2"/>
    <w:rsid w:val="00C04E65"/>
    <w:rsid w:val="00C05659"/>
    <w:rsid w:val="00C05B73"/>
    <w:rsid w:val="00C06001"/>
    <w:rsid w:val="00C0711D"/>
    <w:rsid w:val="00C101C1"/>
    <w:rsid w:val="00C10F74"/>
    <w:rsid w:val="00C1102B"/>
    <w:rsid w:val="00C110AE"/>
    <w:rsid w:val="00C11256"/>
    <w:rsid w:val="00C1134F"/>
    <w:rsid w:val="00C1140F"/>
    <w:rsid w:val="00C11EA8"/>
    <w:rsid w:val="00C12836"/>
    <w:rsid w:val="00C12E6D"/>
    <w:rsid w:val="00C12F34"/>
    <w:rsid w:val="00C130D4"/>
    <w:rsid w:val="00C13494"/>
    <w:rsid w:val="00C134DE"/>
    <w:rsid w:val="00C14602"/>
    <w:rsid w:val="00C146CE"/>
    <w:rsid w:val="00C148CE"/>
    <w:rsid w:val="00C1533C"/>
    <w:rsid w:val="00C15956"/>
    <w:rsid w:val="00C15A18"/>
    <w:rsid w:val="00C162F1"/>
    <w:rsid w:val="00C1677D"/>
    <w:rsid w:val="00C17816"/>
    <w:rsid w:val="00C17847"/>
    <w:rsid w:val="00C17CD4"/>
    <w:rsid w:val="00C20E6C"/>
    <w:rsid w:val="00C2137A"/>
    <w:rsid w:val="00C2282C"/>
    <w:rsid w:val="00C229FC"/>
    <w:rsid w:val="00C22C50"/>
    <w:rsid w:val="00C23085"/>
    <w:rsid w:val="00C23C4E"/>
    <w:rsid w:val="00C246A7"/>
    <w:rsid w:val="00C25136"/>
    <w:rsid w:val="00C256BA"/>
    <w:rsid w:val="00C25A21"/>
    <w:rsid w:val="00C262A8"/>
    <w:rsid w:val="00C26501"/>
    <w:rsid w:val="00C27513"/>
    <w:rsid w:val="00C30C8F"/>
    <w:rsid w:val="00C3153D"/>
    <w:rsid w:val="00C317C8"/>
    <w:rsid w:val="00C33414"/>
    <w:rsid w:val="00C33B79"/>
    <w:rsid w:val="00C33DD5"/>
    <w:rsid w:val="00C353BD"/>
    <w:rsid w:val="00C3543C"/>
    <w:rsid w:val="00C358DB"/>
    <w:rsid w:val="00C35A76"/>
    <w:rsid w:val="00C3686F"/>
    <w:rsid w:val="00C3797C"/>
    <w:rsid w:val="00C37A7D"/>
    <w:rsid w:val="00C37F8F"/>
    <w:rsid w:val="00C403C8"/>
    <w:rsid w:val="00C40429"/>
    <w:rsid w:val="00C4062D"/>
    <w:rsid w:val="00C40E40"/>
    <w:rsid w:val="00C41924"/>
    <w:rsid w:val="00C41B96"/>
    <w:rsid w:val="00C41D74"/>
    <w:rsid w:val="00C41FC5"/>
    <w:rsid w:val="00C4219C"/>
    <w:rsid w:val="00C424E5"/>
    <w:rsid w:val="00C42CF1"/>
    <w:rsid w:val="00C43960"/>
    <w:rsid w:val="00C44139"/>
    <w:rsid w:val="00C45485"/>
    <w:rsid w:val="00C4570F"/>
    <w:rsid w:val="00C47334"/>
    <w:rsid w:val="00C50E46"/>
    <w:rsid w:val="00C51230"/>
    <w:rsid w:val="00C516F1"/>
    <w:rsid w:val="00C524AD"/>
    <w:rsid w:val="00C525D0"/>
    <w:rsid w:val="00C533B5"/>
    <w:rsid w:val="00C54536"/>
    <w:rsid w:val="00C54A08"/>
    <w:rsid w:val="00C600E7"/>
    <w:rsid w:val="00C60C40"/>
    <w:rsid w:val="00C610EA"/>
    <w:rsid w:val="00C61468"/>
    <w:rsid w:val="00C6202C"/>
    <w:rsid w:val="00C629C8"/>
    <w:rsid w:val="00C62DE3"/>
    <w:rsid w:val="00C63451"/>
    <w:rsid w:val="00C63757"/>
    <w:rsid w:val="00C638B8"/>
    <w:rsid w:val="00C63A66"/>
    <w:rsid w:val="00C63A75"/>
    <w:rsid w:val="00C65498"/>
    <w:rsid w:val="00C65A6F"/>
    <w:rsid w:val="00C668B9"/>
    <w:rsid w:val="00C66BA1"/>
    <w:rsid w:val="00C67149"/>
    <w:rsid w:val="00C67252"/>
    <w:rsid w:val="00C676E4"/>
    <w:rsid w:val="00C67761"/>
    <w:rsid w:val="00C70864"/>
    <w:rsid w:val="00C70D6B"/>
    <w:rsid w:val="00C74BD5"/>
    <w:rsid w:val="00C75F5F"/>
    <w:rsid w:val="00C76136"/>
    <w:rsid w:val="00C771C5"/>
    <w:rsid w:val="00C77D72"/>
    <w:rsid w:val="00C8029C"/>
    <w:rsid w:val="00C802C9"/>
    <w:rsid w:val="00C80C3A"/>
    <w:rsid w:val="00C81AC4"/>
    <w:rsid w:val="00C823C2"/>
    <w:rsid w:val="00C8289A"/>
    <w:rsid w:val="00C828E9"/>
    <w:rsid w:val="00C82B12"/>
    <w:rsid w:val="00C8329E"/>
    <w:rsid w:val="00C83B78"/>
    <w:rsid w:val="00C83BB1"/>
    <w:rsid w:val="00C843E2"/>
    <w:rsid w:val="00C8746A"/>
    <w:rsid w:val="00C87DF4"/>
    <w:rsid w:val="00C913E3"/>
    <w:rsid w:val="00C920B0"/>
    <w:rsid w:val="00C9289D"/>
    <w:rsid w:val="00C93743"/>
    <w:rsid w:val="00C93A2A"/>
    <w:rsid w:val="00C942C2"/>
    <w:rsid w:val="00C94C40"/>
    <w:rsid w:val="00C9558D"/>
    <w:rsid w:val="00C955F1"/>
    <w:rsid w:val="00C95D8E"/>
    <w:rsid w:val="00C97138"/>
    <w:rsid w:val="00CA021D"/>
    <w:rsid w:val="00CA0D61"/>
    <w:rsid w:val="00CA1798"/>
    <w:rsid w:val="00CA2250"/>
    <w:rsid w:val="00CA276F"/>
    <w:rsid w:val="00CA2B61"/>
    <w:rsid w:val="00CA2FE4"/>
    <w:rsid w:val="00CA3497"/>
    <w:rsid w:val="00CA3D9B"/>
    <w:rsid w:val="00CA4293"/>
    <w:rsid w:val="00CA6175"/>
    <w:rsid w:val="00CA61B5"/>
    <w:rsid w:val="00CA6F1B"/>
    <w:rsid w:val="00CA7815"/>
    <w:rsid w:val="00CA7B3D"/>
    <w:rsid w:val="00CB0031"/>
    <w:rsid w:val="00CB04BA"/>
    <w:rsid w:val="00CB47DA"/>
    <w:rsid w:val="00CB5142"/>
    <w:rsid w:val="00CB540C"/>
    <w:rsid w:val="00CB5802"/>
    <w:rsid w:val="00CB6ECA"/>
    <w:rsid w:val="00CC07C9"/>
    <w:rsid w:val="00CC1A1F"/>
    <w:rsid w:val="00CC1F31"/>
    <w:rsid w:val="00CC1FE1"/>
    <w:rsid w:val="00CC24CC"/>
    <w:rsid w:val="00CC29E0"/>
    <w:rsid w:val="00CC3481"/>
    <w:rsid w:val="00CC435F"/>
    <w:rsid w:val="00CC46E2"/>
    <w:rsid w:val="00CC48F0"/>
    <w:rsid w:val="00CC4FD0"/>
    <w:rsid w:val="00CC5A83"/>
    <w:rsid w:val="00CC5D03"/>
    <w:rsid w:val="00CC7069"/>
    <w:rsid w:val="00CD1F84"/>
    <w:rsid w:val="00CD3B8C"/>
    <w:rsid w:val="00CD4409"/>
    <w:rsid w:val="00CD59E9"/>
    <w:rsid w:val="00CD5D6A"/>
    <w:rsid w:val="00CD5F6F"/>
    <w:rsid w:val="00CD61FA"/>
    <w:rsid w:val="00CD6D09"/>
    <w:rsid w:val="00CD77BF"/>
    <w:rsid w:val="00CD7BB1"/>
    <w:rsid w:val="00CE1028"/>
    <w:rsid w:val="00CE11EB"/>
    <w:rsid w:val="00CE1465"/>
    <w:rsid w:val="00CE17CC"/>
    <w:rsid w:val="00CE1BE2"/>
    <w:rsid w:val="00CE2F5F"/>
    <w:rsid w:val="00CE300B"/>
    <w:rsid w:val="00CE37F7"/>
    <w:rsid w:val="00CE3C56"/>
    <w:rsid w:val="00CE3DBD"/>
    <w:rsid w:val="00CE3F95"/>
    <w:rsid w:val="00CE4608"/>
    <w:rsid w:val="00CE5103"/>
    <w:rsid w:val="00CE5419"/>
    <w:rsid w:val="00CE61DF"/>
    <w:rsid w:val="00CE6F0A"/>
    <w:rsid w:val="00CE6FF2"/>
    <w:rsid w:val="00CE77C0"/>
    <w:rsid w:val="00CE7B64"/>
    <w:rsid w:val="00CF0037"/>
    <w:rsid w:val="00CF027C"/>
    <w:rsid w:val="00CF037C"/>
    <w:rsid w:val="00CF0D5B"/>
    <w:rsid w:val="00CF1D47"/>
    <w:rsid w:val="00CF1DD0"/>
    <w:rsid w:val="00CF2182"/>
    <w:rsid w:val="00CF328D"/>
    <w:rsid w:val="00CF3CA2"/>
    <w:rsid w:val="00CF42FF"/>
    <w:rsid w:val="00CF4F5E"/>
    <w:rsid w:val="00CF60EF"/>
    <w:rsid w:val="00CF67E3"/>
    <w:rsid w:val="00CF72D3"/>
    <w:rsid w:val="00D00597"/>
    <w:rsid w:val="00D01530"/>
    <w:rsid w:val="00D01BEC"/>
    <w:rsid w:val="00D03552"/>
    <w:rsid w:val="00D0487A"/>
    <w:rsid w:val="00D06AC3"/>
    <w:rsid w:val="00D07957"/>
    <w:rsid w:val="00D1098E"/>
    <w:rsid w:val="00D10A53"/>
    <w:rsid w:val="00D10AB8"/>
    <w:rsid w:val="00D11042"/>
    <w:rsid w:val="00D11090"/>
    <w:rsid w:val="00D13014"/>
    <w:rsid w:val="00D1383C"/>
    <w:rsid w:val="00D13BF7"/>
    <w:rsid w:val="00D13E8A"/>
    <w:rsid w:val="00D1410B"/>
    <w:rsid w:val="00D14281"/>
    <w:rsid w:val="00D14599"/>
    <w:rsid w:val="00D151F0"/>
    <w:rsid w:val="00D1658B"/>
    <w:rsid w:val="00D17A5D"/>
    <w:rsid w:val="00D20B4B"/>
    <w:rsid w:val="00D221FA"/>
    <w:rsid w:val="00D223F5"/>
    <w:rsid w:val="00D24C48"/>
    <w:rsid w:val="00D25355"/>
    <w:rsid w:val="00D256E2"/>
    <w:rsid w:val="00D25BAE"/>
    <w:rsid w:val="00D264F5"/>
    <w:rsid w:val="00D26B24"/>
    <w:rsid w:val="00D26DAA"/>
    <w:rsid w:val="00D27334"/>
    <w:rsid w:val="00D300CF"/>
    <w:rsid w:val="00D302B7"/>
    <w:rsid w:val="00D308A0"/>
    <w:rsid w:val="00D30A1B"/>
    <w:rsid w:val="00D30CED"/>
    <w:rsid w:val="00D31E22"/>
    <w:rsid w:val="00D31F41"/>
    <w:rsid w:val="00D3206E"/>
    <w:rsid w:val="00D32A73"/>
    <w:rsid w:val="00D33663"/>
    <w:rsid w:val="00D34342"/>
    <w:rsid w:val="00D34948"/>
    <w:rsid w:val="00D35401"/>
    <w:rsid w:val="00D36D6F"/>
    <w:rsid w:val="00D37268"/>
    <w:rsid w:val="00D375D7"/>
    <w:rsid w:val="00D3795D"/>
    <w:rsid w:val="00D41576"/>
    <w:rsid w:val="00D439BD"/>
    <w:rsid w:val="00D4449B"/>
    <w:rsid w:val="00D4533F"/>
    <w:rsid w:val="00D454DD"/>
    <w:rsid w:val="00D45A5E"/>
    <w:rsid w:val="00D46A3D"/>
    <w:rsid w:val="00D46AE4"/>
    <w:rsid w:val="00D46D31"/>
    <w:rsid w:val="00D47832"/>
    <w:rsid w:val="00D50521"/>
    <w:rsid w:val="00D50E7F"/>
    <w:rsid w:val="00D51066"/>
    <w:rsid w:val="00D51119"/>
    <w:rsid w:val="00D52507"/>
    <w:rsid w:val="00D52A45"/>
    <w:rsid w:val="00D52B1B"/>
    <w:rsid w:val="00D53225"/>
    <w:rsid w:val="00D537CF"/>
    <w:rsid w:val="00D53E71"/>
    <w:rsid w:val="00D543E8"/>
    <w:rsid w:val="00D54BD7"/>
    <w:rsid w:val="00D54E99"/>
    <w:rsid w:val="00D54F88"/>
    <w:rsid w:val="00D55690"/>
    <w:rsid w:val="00D55AC3"/>
    <w:rsid w:val="00D56F46"/>
    <w:rsid w:val="00D570DB"/>
    <w:rsid w:val="00D60603"/>
    <w:rsid w:val="00D6123E"/>
    <w:rsid w:val="00D62CB7"/>
    <w:rsid w:val="00D653BA"/>
    <w:rsid w:val="00D661CE"/>
    <w:rsid w:val="00D66D39"/>
    <w:rsid w:val="00D67103"/>
    <w:rsid w:val="00D67658"/>
    <w:rsid w:val="00D70CE3"/>
    <w:rsid w:val="00D70F9F"/>
    <w:rsid w:val="00D70FEF"/>
    <w:rsid w:val="00D710C5"/>
    <w:rsid w:val="00D713C1"/>
    <w:rsid w:val="00D72842"/>
    <w:rsid w:val="00D73D33"/>
    <w:rsid w:val="00D74751"/>
    <w:rsid w:val="00D7659A"/>
    <w:rsid w:val="00D7659D"/>
    <w:rsid w:val="00D76C24"/>
    <w:rsid w:val="00D76F64"/>
    <w:rsid w:val="00D77605"/>
    <w:rsid w:val="00D77E73"/>
    <w:rsid w:val="00D80D70"/>
    <w:rsid w:val="00D816AA"/>
    <w:rsid w:val="00D84362"/>
    <w:rsid w:val="00D85035"/>
    <w:rsid w:val="00D850AD"/>
    <w:rsid w:val="00D85883"/>
    <w:rsid w:val="00D85F33"/>
    <w:rsid w:val="00D864E5"/>
    <w:rsid w:val="00D86721"/>
    <w:rsid w:val="00D87D85"/>
    <w:rsid w:val="00D90221"/>
    <w:rsid w:val="00D90296"/>
    <w:rsid w:val="00D90527"/>
    <w:rsid w:val="00D90CAF"/>
    <w:rsid w:val="00D916DF"/>
    <w:rsid w:val="00D9199C"/>
    <w:rsid w:val="00D92426"/>
    <w:rsid w:val="00D940D6"/>
    <w:rsid w:val="00D94C24"/>
    <w:rsid w:val="00D951B3"/>
    <w:rsid w:val="00D9592E"/>
    <w:rsid w:val="00D96862"/>
    <w:rsid w:val="00DA0103"/>
    <w:rsid w:val="00DA0384"/>
    <w:rsid w:val="00DA0805"/>
    <w:rsid w:val="00DA088A"/>
    <w:rsid w:val="00DA203B"/>
    <w:rsid w:val="00DA3114"/>
    <w:rsid w:val="00DA35E6"/>
    <w:rsid w:val="00DA360E"/>
    <w:rsid w:val="00DA41A9"/>
    <w:rsid w:val="00DA42E6"/>
    <w:rsid w:val="00DA589B"/>
    <w:rsid w:val="00DA617C"/>
    <w:rsid w:val="00DA63AD"/>
    <w:rsid w:val="00DA6D7B"/>
    <w:rsid w:val="00DA7358"/>
    <w:rsid w:val="00DA7E1D"/>
    <w:rsid w:val="00DB02D7"/>
    <w:rsid w:val="00DB0706"/>
    <w:rsid w:val="00DB1158"/>
    <w:rsid w:val="00DB151E"/>
    <w:rsid w:val="00DB1947"/>
    <w:rsid w:val="00DB1A3D"/>
    <w:rsid w:val="00DB1AAB"/>
    <w:rsid w:val="00DB20A8"/>
    <w:rsid w:val="00DB22A5"/>
    <w:rsid w:val="00DB26B0"/>
    <w:rsid w:val="00DB30CA"/>
    <w:rsid w:val="00DB42CB"/>
    <w:rsid w:val="00DB61D7"/>
    <w:rsid w:val="00DB623D"/>
    <w:rsid w:val="00DB6A30"/>
    <w:rsid w:val="00DC0A8B"/>
    <w:rsid w:val="00DC1C74"/>
    <w:rsid w:val="00DC33FC"/>
    <w:rsid w:val="00DC38E8"/>
    <w:rsid w:val="00DC3D23"/>
    <w:rsid w:val="00DC416F"/>
    <w:rsid w:val="00DC4799"/>
    <w:rsid w:val="00DC4D55"/>
    <w:rsid w:val="00DC5A5F"/>
    <w:rsid w:val="00DC5D24"/>
    <w:rsid w:val="00DC66A1"/>
    <w:rsid w:val="00DC672B"/>
    <w:rsid w:val="00DC6D60"/>
    <w:rsid w:val="00DC6E31"/>
    <w:rsid w:val="00DC7AED"/>
    <w:rsid w:val="00DD0000"/>
    <w:rsid w:val="00DD0CEE"/>
    <w:rsid w:val="00DD16CA"/>
    <w:rsid w:val="00DD1841"/>
    <w:rsid w:val="00DD1AA5"/>
    <w:rsid w:val="00DD1E6B"/>
    <w:rsid w:val="00DD2EA0"/>
    <w:rsid w:val="00DD2EA8"/>
    <w:rsid w:val="00DD30F6"/>
    <w:rsid w:val="00DD36BC"/>
    <w:rsid w:val="00DD3F91"/>
    <w:rsid w:val="00DD4618"/>
    <w:rsid w:val="00DD604D"/>
    <w:rsid w:val="00DD6221"/>
    <w:rsid w:val="00DD7CEA"/>
    <w:rsid w:val="00DE1652"/>
    <w:rsid w:val="00DE2274"/>
    <w:rsid w:val="00DE2517"/>
    <w:rsid w:val="00DE3661"/>
    <w:rsid w:val="00DE3D1E"/>
    <w:rsid w:val="00DE4B79"/>
    <w:rsid w:val="00DE505A"/>
    <w:rsid w:val="00DE51A7"/>
    <w:rsid w:val="00DE58F5"/>
    <w:rsid w:val="00DE5AEF"/>
    <w:rsid w:val="00DE610F"/>
    <w:rsid w:val="00DE6963"/>
    <w:rsid w:val="00DE7065"/>
    <w:rsid w:val="00DE7864"/>
    <w:rsid w:val="00DF1EE8"/>
    <w:rsid w:val="00DF26D6"/>
    <w:rsid w:val="00DF2F2D"/>
    <w:rsid w:val="00DF3103"/>
    <w:rsid w:val="00DF4334"/>
    <w:rsid w:val="00DF434E"/>
    <w:rsid w:val="00DF497A"/>
    <w:rsid w:val="00DF5148"/>
    <w:rsid w:val="00DF5E40"/>
    <w:rsid w:val="00DF614D"/>
    <w:rsid w:val="00DF6A54"/>
    <w:rsid w:val="00DF6FE3"/>
    <w:rsid w:val="00DF70C8"/>
    <w:rsid w:val="00DF7A55"/>
    <w:rsid w:val="00E000F0"/>
    <w:rsid w:val="00E01119"/>
    <w:rsid w:val="00E01520"/>
    <w:rsid w:val="00E017A1"/>
    <w:rsid w:val="00E01CDD"/>
    <w:rsid w:val="00E02B7F"/>
    <w:rsid w:val="00E033F6"/>
    <w:rsid w:val="00E03E24"/>
    <w:rsid w:val="00E044F4"/>
    <w:rsid w:val="00E045A3"/>
    <w:rsid w:val="00E06C5B"/>
    <w:rsid w:val="00E06F87"/>
    <w:rsid w:val="00E06FBD"/>
    <w:rsid w:val="00E06FF4"/>
    <w:rsid w:val="00E07B9C"/>
    <w:rsid w:val="00E07D1A"/>
    <w:rsid w:val="00E10F5F"/>
    <w:rsid w:val="00E12482"/>
    <w:rsid w:val="00E1290D"/>
    <w:rsid w:val="00E13AF2"/>
    <w:rsid w:val="00E142CA"/>
    <w:rsid w:val="00E15F84"/>
    <w:rsid w:val="00E164D2"/>
    <w:rsid w:val="00E16A49"/>
    <w:rsid w:val="00E17607"/>
    <w:rsid w:val="00E177AF"/>
    <w:rsid w:val="00E17B11"/>
    <w:rsid w:val="00E20A2A"/>
    <w:rsid w:val="00E211D7"/>
    <w:rsid w:val="00E2248B"/>
    <w:rsid w:val="00E23D54"/>
    <w:rsid w:val="00E240F6"/>
    <w:rsid w:val="00E2455E"/>
    <w:rsid w:val="00E25320"/>
    <w:rsid w:val="00E2593D"/>
    <w:rsid w:val="00E25FC4"/>
    <w:rsid w:val="00E2663F"/>
    <w:rsid w:val="00E2704D"/>
    <w:rsid w:val="00E27A18"/>
    <w:rsid w:val="00E27EB9"/>
    <w:rsid w:val="00E27F85"/>
    <w:rsid w:val="00E30860"/>
    <w:rsid w:val="00E30BC2"/>
    <w:rsid w:val="00E31182"/>
    <w:rsid w:val="00E31CA4"/>
    <w:rsid w:val="00E3258E"/>
    <w:rsid w:val="00E32C57"/>
    <w:rsid w:val="00E32D82"/>
    <w:rsid w:val="00E32E57"/>
    <w:rsid w:val="00E32E6C"/>
    <w:rsid w:val="00E3360B"/>
    <w:rsid w:val="00E33F1D"/>
    <w:rsid w:val="00E34C6E"/>
    <w:rsid w:val="00E34D45"/>
    <w:rsid w:val="00E35F06"/>
    <w:rsid w:val="00E36535"/>
    <w:rsid w:val="00E36F98"/>
    <w:rsid w:val="00E3733E"/>
    <w:rsid w:val="00E376AC"/>
    <w:rsid w:val="00E378E0"/>
    <w:rsid w:val="00E37BF8"/>
    <w:rsid w:val="00E4058D"/>
    <w:rsid w:val="00E407A1"/>
    <w:rsid w:val="00E410ED"/>
    <w:rsid w:val="00E41A96"/>
    <w:rsid w:val="00E4301F"/>
    <w:rsid w:val="00E43848"/>
    <w:rsid w:val="00E43DF4"/>
    <w:rsid w:val="00E443F8"/>
    <w:rsid w:val="00E44AF7"/>
    <w:rsid w:val="00E46907"/>
    <w:rsid w:val="00E46E91"/>
    <w:rsid w:val="00E476C2"/>
    <w:rsid w:val="00E47D51"/>
    <w:rsid w:val="00E50DD3"/>
    <w:rsid w:val="00E510DF"/>
    <w:rsid w:val="00E5119C"/>
    <w:rsid w:val="00E51828"/>
    <w:rsid w:val="00E52117"/>
    <w:rsid w:val="00E53687"/>
    <w:rsid w:val="00E5389A"/>
    <w:rsid w:val="00E53A5A"/>
    <w:rsid w:val="00E5450C"/>
    <w:rsid w:val="00E54E57"/>
    <w:rsid w:val="00E54EC8"/>
    <w:rsid w:val="00E55152"/>
    <w:rsid w:val="00E559E3"/>
    <w:rsid w:val="00E55BCC"/>
    <w:rsid w:val="00E56EC7"/>
    <w:rsid w:val="00E56F43"/>
    <w:rsid w:val="00E60B7C"/>
    <w:rsid w:val="00E6368A"/>
    <w:rsid w:val="00E64F7E"/>
    <w:rsid w:val="00E6693B"/>
    <w:rsid w:val="00E66AA2"/>
    <w:rsid w:val="00E66C22"/>
    <w:rsid w:val="00E66EFC"/>
    <w:rsid w:val="00E66F57"/>
    <w:rsid w:val="00E67AFD"/>
    <w:rsid w:val="00E70B7B"/>
    <w:rsid w:val="00E70E3C"/>
    <w:rsid w:val="00E715B8"/>
    <w:rsid w:val="00E7187B"/>
    <w:rsid w:val="00E71EAD"/>
    <w:rsid w:val="00E72FEB"/>
    <w:rsid w:val="00E75624"/>
    <w:rsid w:val="00E7597D"/>
    <w:rsid w:val="00E80F84"/>
    <w:rsid w:val="00E81088"/>
    <w:rsid w:val="00E818E0"/>
    <w:rsid w:val="00E81B1F"/>
    <w:rsid w:val="00E82B2B"/>
    <w:rsid w:val="00E83002"/>
    <w:rsid w:val="00E8388E"/>
    <w:rsid w:val="00E83B02"/>
    <w:rsid w:val="00E8403D"/>
    <w:rsid w:val="00E84F72"/>
    <w:rsid w:val="00E84FD4"/>
    <w:rsid w:val="00E85203"/>
    <w:rsid w:val="00E852AD"/>
    <w:rsid w:val="00E85FD1"/>
    <w:rsid w:val="00E86708"/>
    <w:rsid w:val="00E86A7A"/>
    <w:rsid w:val="00E872B0"/>
    <w:rsid w:val="00E87551"/>
    <w:rsid w:val="00E87EF4"/>
    <w:rsid w:val="00E902C8"/>
    <w:rsid w:val="00E91668"/>
    <w:rsid w:val="00E921CE"/>
    <w:rsid w:val="00E92933"/>
    <w:rsid w:val="00E9411A"/>
    <w:rsid w:val="00E94FB4"/>
    <w:rsid w:val="00E95233"/>
    <w:rsid w:val="00E95E15"/>
    <w:rsid w:val="00E96CC7"/>
    <w:rsid w:val="00E96E81"/>
    <w:rsid w:val="00E9708D"/>
    <w:rsid w:val="00E971F7"/>
    <w:rsid w:val="00EA0A56"/>
    <w:rsid w:val="00EA1658"/>
    <w:rsid w:val="00EA1FAE"/>
    <w:rsid w:val="00EA2034"/>
    <w:rsid w:val="00EA2238"/>
    <w:rsid w:val="00EA47C9"/>
    <w:rsid w:val="00EA59AD"/>
    <w:rsid w:val="00EA5B0B"/>
    <w:rsid w:val="00EA5C30"/>
    <w:rsid w:val="00EA6BEC"/>
    <w:rsid w:val="00EA6E35"/>
    <w:rsid w:val="00EA7BF7"/>
    <w:rsid w:val="00EB0194"/>
    <w:rsid w:val="00EB05EA"/>
    <w:rsid w:val="00EB0A5B"/>
    <w:rsid w:val="00EB19AA"/>
    <w:rsid w:val="00EB1B26"/>
    <w:rsid w:val="00EB1E70"/>
    <w:rsid w:val="00EB2A6E"/>
    <w:rsid w:val="00EB3129"/>
    <w:rsid w:val="00EB3130"/>
    <w:rsid w:val="00EB3187"/>
    <w:rsid w:val="00EB3DB5"/>
    <w:rsid w:val="00EB40A6"/>
    <w:rsid w:val="00EB464B"/>
    <w:rsid w:val="00EB526A"/>
    <w:rsid w:val="00EB6E9A"/>
    <w:rsid w:val="00EB7237"/>
    <w:rsid w:val="00EB7323"/>
    <w:rsid w:val="00EB7B92"/>
    <w:rsid w:val="00EC010F"/>
    <w:rsid w:val="00EC0B07"/>
    <w:rsid w:val="00EC0CC2"/>
    <w:rsid w:val="00EC12A3"/>
    <w:rsid w:val="00EC1E53"/>
    <w:rsid w:val="00EC2D6E"/>
    <w:rsid w:val="00EC3186"/>
    <w:rsid w:val="00EC35A8"/>
    <w:rsid w:val="00EC35DD"/>
    <w:rsid w:val="00EC3B86"/>
    <w:rsid w:val="00EC3D9C"/>
    <w:rsid w:val="00EC43EC"/>
    <w:rsid w:val="00EC526A"/>
    <w:rsid w:val="00EC5B42"/>
    <w:rsid w:val="00EC6534"/>
    <w:rsid w:val="00EC7061"/>
    <w:rsid w:val="00EC785E"/>
    <w:rsid w:val="00EC7D17"/>
    <w:rsid w:val="00ED08BB"/>
    <w:rsid w:val="00ED0B09"/>
    <w:rsid w:val="00ED14F8"/>
    <w:rsid w:val="00ED3949"/>
    <w:rsid w:val="00ED3BA0"/>
    <w:rsid w:val="00ED453E"/>
    <w:rsid w:val="00ED489F"/>
    <w:rsid w:val="00ED5173"/>
    <w:rsid w:val="00ED6F3F"/>
    <w:rsid w:val="00EE02FA"/>
    <w:rsid w:val="00EE0557"/>
    <w:rsid w:val="00EE0630"/>
    <w:rsid w:val="00EE0733"/>
    <w:rsid w:val="00EE1A09"/>
    <w:rsid w:val="00EE2305"/>
    <w:rsid w:val="00EE352A"/>
    <w:rsid w:val="00EE3808"/>
    <w:rsid w:val="00EE3EF6"/>
    <w:rsid w:val="00EE5431"/>
    <w:rsid w:val="00EE65F3"/>
    <w:rsid w:val="00EE6981"/>
    <w:rsid w:val="00EE7442"/>
    <w:rsid w:val="00EE7F4B"/>
    <w:rsid w:val="00EF00CE"/>
    <w:rsid w:val="00EF0ADA"/>
    <w:rsid w:val="00EF0AEF"/>
    <w:rsid w:val="00EF0D5E"/>
    <w:rsid w:val="00EF1F2C"/>
    <w:rsid w:val="00EF3C47"/>
    <w:rsid w:val="00EF5D9E"/>
    <w:rsid w:val="00EF6464"/>
    <w:rsid w:val="00EF79F8"/>
    <w:rsid w:val="00EF7ABE"/>
    <w:rsid w:val="00EF7E57"/>
    <w:rsid w:val="00F00D7B"/>
    <w:rsid w:val="00F00E11"/>
    <w:rsid w:val="00F01A07"/>
    <w:rsid w:val="00F0286D"/>
    <w:rsid w:val="00F0291A"/>
    <w:rsid w:val="00F02973"/>
    <w:rsid w:val="00F02C6D"/>
    <w:rsid w:val="00F02E26"/>
    <w:rsid w:val="00F044F4"/>
    <w:rsid w:val="00F04CA1"/>
    <w:rsid w:val="00F05086"/>
    <w:rsid w:val="00F055DC"/>
    <w:rsid w:val="00F05796"/>
    <w:rsid w:val="00F05FF9"/>
    <w:rsid w:val="00F061D9"/>
    <w:rsid w:val="00F062F1"/>
    <w:rsid w:val="00F06D16"/>
    <w:rsid w:val="00F07C78"/>
    <w:rsid w:val="00F07F53"/>
    <w:rsid w:val="00F110AA"/>
    <w:rsid w:val="00F11731"/>
    <w:rsid w:val="00F12E6A"/>
    <w:rsid w:val="00F13057"/>
    <w:rsid w:val="00F13098"/>
    <w:rsid w:val="00F13A3A"/>
    <w:rsid w:val="00F14AB5"/>
    <w:rsid w:val="00F14AFA"/>
    <w:rsid w:val="00F14D0F"/>
    <w:rsid w:val="00F15870"/>
    <w:rsid w:val="00F16062"/>
    <w:rsid w:val="00F170A3"/>
    <w:rsid w:val="00F174C8"/>
    <w:rsid w:val="00F1791D"/>
    <w:rsid w:val="00F17F47"/>
    <w:rsid w:val="00F2065C"/>
    <w:rsid w:val="00F20E27"/>
    <w:rsid w:val="00F20EA1"/>
    <w:rsid w:val="00F21299"/>
    <w:rsid w:val="00F218AF"/>
    <w:rsid w:val="00F22687"/>
    <w:rsid w:val="00F228F2"/>
    <w:rsid w:val="00F237B9"/>
    <w:rsid w:val="00F23C19"/>
    <w:rsid w:val="00F245C3"/>
    <w:rsid w:val="00F24DE1"/>
    <w:rsid w:val="00F25500"/>
    <w:rsid w:val="00F25C35"/>
    <w:rsid w:val="00F25D3E"/>
    <w:rsid w:val="00F2640C"/>
    <w:rsid w:val="00F2737A"/>
    <w:rsid w:val="00F30CDD"/>
    <w:rsid w:val="00F318BA"/>
    <w:rsid w:val="00F35C0C"/>
    <w:rsid w:val="00F366A4"/>
    <w:rsid w:val="00F36E38"/>
    <w:rsid w:val="00F37709"/>
    <w:rsid w:val="00F37D3A"/>
    <w:rsid w:val="00F419B3"/>
    <w:rsid w:val="00F424FE"/>
    <w:rsid w:val="00F428FF"/>
    <w:rsid w:val="00F43002"/>
    <w:rsid w:val="00F431B9"/>
    <w:rsid w:val="00F43244"/>
    <w:rsid w:val="00F43C0F"/>
    <w:rsid w:val="00F44381"/>
    <w:rsid w:val="00F449D2"/>
    <w:rsid w:val="00F44EFD"/>
    <w:rsid w:val="00F45066"/>
    <w:rsid w:val="00F4728A"/>
    <w:rsid w:val="00F4770A"/>
    <w:rsid w:val="00F509BC"/>
    <w:rsid w:val="00F50B5D"/>
    <w:rsid w:val="00F50C48"/>
    <w:rsid w:val="00F52088"/>
    <w:rsid w:val="00F5252C"/>
    <w:rsid w:val="00F52836"/>
    <w:rsid w:val="00F52EA3"/>
    <w:rsid w:val="00F534E0"/>
    <w:rsid w:val="00F542F1"/>
    <w:rsid w:val="00F55175"/>
    <w:rsid w:val="00F55524"/>
    <w:rsid w:val="00F55890"/>
    <w:rsid w:val="00F559C2"/>
    <w:rsid w:val="00F56B4E"/>
    <w:rsid w:val="00F575A3"/>
    <w:rsid w:val="00F577E6"/>
    <w:rsid w:val="00F5790D"/>
    <w:rsid w:val="00F57BA4"/>
    <w:rsid w:val="00F57F49"/>
    <w:rsid w:val="00F602D6"/>
    <w:rsid w:val="00F60BBB"/>
    <w:rsid w:val="00F60D56"/>
    <w:rsid w:val="00F61B65"/>
    <w:rsid w:val="00F6267D"/>
    <w:rsid w:val="00F62906"/>
    <w:rsid w:val="00F62BC9"/>
    <w:rsid w:val="00F62D26"/>
    <w:rsid w:val="00F62DA1"/>
    <w:rsid w:val="00F6309C"/>
    <w:rsid w:val="00F634BA"/>
    <w:rsid w:val="00F650EE"/>
    <w:rsid w:val="00F65136"/>
    <w:rsid w:val="00F655CB"/>
    <w:rsid w:val="00F65999"/>
    <w:rsid w:val="00F70638"/>
    <w:rsid w:val="00F722B9"/>
    <w:rsid w:val="00F72552"/>
    <w:rsid w:val="00F72ADB"/>
    <w:rsid w:val="00F74438"/>
    <w:rsid w:val="00F7508E"/>
    <w:rsid w:val="00F754B7"/>
    <w:rsid w:val="00F756C5"/>
    <w:rsid w:val="00F7599B"/>
    <w:rsid w:val="00F75EA1"/>
    <w:rsid w:val="00F760F8"/>
    <w:rsid w:val="00F7684E"/>
    <w:rsid w:val="00F776E2"/>
    <w:rsid w:val="00F77BF6"/>
    <w:rsid w:val="00F77E47"/>
    <w:rsid w:val="00F80B82"/>
    <w:rsid w:val="00F81163"/>
    <w:rsid w:val="00F82E6E"/>
    <w:rsid w:val="00F832EE"/>
    <w:rsid w:val="00F836C6"/>
    <w:rsid w:val="00F841AD"/>
    <w:rsid w:val="00F85398"/>
    <w:rsid w:val="00F85C7E"/>
    <w:rsid w:val="00F86543"/>
    <w:rsid w:val="00F86553"/>
    <w:rsid w:val="00F90837"/>
    <w:rsid w:val="00F90993"/>
    <w:rsid w:val="00F921BD"/>
    <w:rsid w:val="00F93903"/>
    <w:rsid w:val="00F93957"/>
    <w:rsid w:val="00F9397A"/>
    <w:rsid w:val="00F94401"/>
    <w:rsid w:val="00F94F97"/>
    <w:rsid w:val="00F958FE"/>
    <w:rsid w:val="00F96BFB"/>
    <w:rsid w:val="00FA0FB9"/>
    <w:rsid w:val="00FA1903"/>
    <w:rsid w:val="00FA2F22"/>
    <w:rsid w:val="00FA3561"/>
    <w:rsid w:val="00FA5D5F"/>
    <w:rsid w:val="00FA66D3"/>
    <w:rsid w:val="00FA727E"/>
    <w:rsid w:val="00FA787D"/>
    <w:rsid w:val="00FB00BB"/>
    <w:rsid w:val="00FB0CFF"/>
    <w:rsid w:val="00FB0E2B"/>
    <w:rsid w:val="00FB135B"/>
    <w:rsid w:val="00FB22E0"/>
    <w:rsid w:val="00FB2357"/>
    <w:rsid w:val="00FB33F9"/>
    <w:rsid w:val="00FB342A"/>
    <w:rsid w:val="00FB5066"/>
    <w:rsid w:val="00FB59BF"/>
    <w:rsid w:val="00FB69A0"/>
    <w:rsid w:val="00FB6D51"/>
    <w:rsid w:val="00FC0661"/>
    <w:rsid w:val="00FC0856"/>
    <w:rsid w:val="00FC14AA"/>
    <w:rsid w:val="00FC2132"/>
    <w:rsid w:val="00FC257D"/>
    <w:rsid w:val="00FC26A2"/>
    <w:rsid w:val="00FC2B44"/>
    <w:rsid w:val="00FC3725"/>
    <w:rsid w:val="00FC4C11"/>
    <w:rsid w:val="00FC4CC8"/>
    <w:rsid w:val="00FC507D"/>
    <w:rsid w:val="00FC535F"/>
    <w:rsid w:val="00FC645A"/>
    <w:rsid w:val="00FC67CC"/>
    <w:rsid w:val="00FD01BD"/>
    <w:rsid w:val="00FD0B0C"/>
    <w:rsid w:val="00FD139E"/>
    <w:rsid w:val="00FD1F09"/>
    <w:rsid w:val="00FD3036"/>
    <w:rsid w:val="00FD44D8"/>
    <w:rsid w:val="00FD4EBE"/>
    <w:rsid w:val="00FD73F3"/>
    <w:rsid w:val="00FD7AA4"/>
    <w:rsid w:val="00FE03BE"/>
    <w:rsid w:val="00FE1FF8"/>
    <w:rsid w:val="00FE35D5"/>
    <w:rsid w:val="00FE4CC0"/>
    <w:rsid w:val="00FE5CAC"/>
    <w:rsid w:val="00FE62C3"/>
    <w:rsid w:val="00FE6E2B"/>
    <w:rsid w:val="00FF008D"/>
    <w:rsid w:val="00FF0330"/>
    <w:rsid w:val="00FF11F0"/>
    <w:rsid w:val="00FF185C"/>
    <w:rsid w:val="00FF1DC1"/>
    <w:rsid w:val="00FF22AF"/>
    <w:rsid w:val="00FF278C"/>
    <w:rsid w:val="00FF27B5"/>
    <w:rsid w:val="00FF452A"/>
    <w:rsid w:val="00FF49CA"/>
    <w:rsid w:val="00FF5552"/>
    <w:rsid w:val="00FF5BF1"/>
    <w:rsid w:val="00FF6B8B"/>
    <w:rsid w:val="00FF7F05"/>
    <w:rsid w:val="0100646B"/>
    <w:rsid w:val="014E21CB"/>
    <w:rsid w:val="01556140"/>
    <w:rsid w:val="015D3E56"/>
    <w:rsid w:val="0169065F"/>
    <w:rsid w:val="019329D2"/>
    <w:rsid w:val="0198245E"/>
    <w:rsid w:val="01A5473C"/>
    <w:rsid w:val="01B56966"/>
    <w:rsid w:val="01B666C0"/>
    <w:rsid w:val="01BB03CB"/>
    <w:rsid w:val="01C12D51"/>
    <w:rsid w:val="01D139CD"/>
    <w:rsid w:val="01D86637"/>
    <w:rsid w:val="01DC3AD0"/>
    <w:rsid w:val="01ED64F3"/>
    <w:rsid w:val="01F94EBB"/>
    <w:rsid w:val="020B061F"/>
    <w:rsid w:val="02173256"/>
    <w:rsid w:val="021A4193"/>
    <w:rsid w:val="021A7F77"/>
    <w:rsid w:val="022E4A71"/>
    <w:rsid w:val="025B46E8"/>
    <w:rsid w:val="025E5570"/>
    <w:rsid w:val="0262456B"/>
    <w:rsid w:val="026B140F"/>
    <w:rsid w:val="026C1AB2"/>
    <w:rsid w:val="02782414"/>
    <w:rsid w:val="027C11BE"/>
    <w:rsid w:val="028D7189"/>
    <w:rsid w:val="028E4F47"/>
    <w:rsid w:val="0296725B"/>
    <w:rsid w:val="029A7D90"/>
    <w:rsid w:val="029D7472"/>
    <w:rsid w:val="02A841C4"/>
    <w:rsid w:val="02AC0EC8"/>
    <w:rsid w:val="02BC09DD"/>
    <w:rsid w:val="02CB4D2D"/>
    <w:rsid w:val="02D07F79"/>
    <w:rsid w:val="02D97A2B"/>
    <w:rsid w:val="02E307CF"/>
    <w:rsid w:val="02F8486D"/>
    <w:rsid w:val="03065425"/>
    <w:rsid w:val="03095E15"/>
    <w:rsid w:val="031711B5"/>
    <w:rsid w:val="03175ED5"/>
    <w:rsid w:val="03183B58"/>
    <w:rsid w:val="031D702B"/>
    <w:rsid w:val="03222CA7"/>
    <w:rsid w:val="032E4A1C"/>
    <w:rsid w:val="03353D48"/>
    <w:rsid w:val="03412078"/>
    <w:rsid w:val="03517F99"/>
    <w:rsid w:val="03597263"/>
    <w:rsid w:val="03604B36"/>
    <w:rsid w:val="0361265C"/>
    <w:rsid w:val="03681C3C"/>
    <w:rsid w:val="037E36DA"/>
    <w:rsid w:val="03800D34"/>
    <w:rsid w:val="03853418"/>
    <w:rsid w:val="03BD58D6"/>
    <w:rsid w:val="03E06FD0"/>
    <w:rsid w:val="03EF5EF6"/>
    <w:rsid w:val="03F317D7"/>
    <w:rsid w:val="03FF5DC2"/>
    <w:rsid w:val="04012ED0"/>
    <w:rsid w:val="0403735E"/>
    <w:rsid w:val="040D583E"/>
    <w:rsid w:val="0416567B"/>
    <w:rsid w:val="04264C88"/>
    <w:rsid w:val="042834E5"/>
    <w:rsid w:val="045142A5"/>
    <w:rsid w:val="045D4144"/>
    <w:rsid w:val="04663D7B"/>
    <w:rsid w:val="046B2354"/>
    <w:rsid w:val="047B0E94"/>
    <w:rsid w:val="04893C18"/>
    <w:rsid w:val="048E6DA9"/>
    <w:rsid w:val="048F0AFE"/>
    <w:rsid w:val="04915F8D"/>
    <w:rsid w:val="049B2754"/>
    <w:rsid w:val="04A024E7"/>
    <w:rsid w:val="04A21016"/>
    <w:rsid w:val="04A32F8A"/>
    <w:rsid w:val="04C055FE"/>
    <w:rsid w:val="04D27CEA"/>
    <w:rsid w:val="04DA1708"/>
    <w:rsid w:val="04DA3982"/>
    <w:rsid w:val="04DD72E3"/>
    <w:rsid w:val="04F03879"/>
    <w:rsid w:val="04F736B1"/>
    <w:rsid w:val="04FC2E83"/>
    <w:rsid w:val="04FD0162"/>
    <w:rsid w:val="05012DD7"/>
    <w:rsid w:val="05017B46"/>
    <w:rsid w:val="05031C1C"/>
    <w:rsid w:val="050339C8"/>
    <w:rsid w:val="0519019C"/>
    <w:rsid w:val="052B2732"/>
    <w:rsid w:val="05386477"/>
    <w:rsid w:val="053A1931"/>
    <w:rsid w:val="053C2134"/>
    <w:rsid w:val="053F4B8E"/>
    <w:rsid w:val="05400010"/>
    <w:rsid w:val="0553092A"/>
    <w:rsid w:val="056463C7"/>
    <w:rsid w:val="05735DA4"/>
    <w:rsid w:val="057D5D0B"/>
    <w:rsid w:val="05826D9A"/>
    <w:rsid w:val="05A14F91"/>
    <w:rsid w:val="05B71BE0"/>
    <w:rsid w:val="05B739CA"/>
    <w:rsid w:val="05D55D5E"/>
    <w:rsid w:val="05E0660D"/>
    <w:rsid w:val="05FB6357"/>
    <w:rsid w:val="06027784"/>
    <w:rsid w:val="06164BD3"/>
    <w:rsid w:val="061D795C"/>
    <w:rsid w:val="061F1504"/>
    <w:rsid w:val="062067FE"/>
    <w:rsid w:val="06213045"/>
    <w:rsid w:val="062C6DDC"/>
    <w:rsid w:val="06440E5A"/>
    <w:rsid w:val="064D24E5"/>
    <w:rsid w:val="065633EB"/>
    <w:rsid w:val="065C762A"/>
    <w:rsid w:val="0670142E"/>
    <w:rsid w:val="06800158"/>
    <w:rsid w:val="0696086E"/>
    <w:rsid w:val="06AB3BDA"/>
    <w:rsid w:val="06AB5C12"/>
    <w:rsid w:val="06BF627D"/>
    <w:rsid w:val="06BF6A5D"/>
    <w:rsid w:val="06D61587"/>
    <w:rsid w:val="06F50A69"/>
    <w:rsid w:val="071A2A18"/>
    <w:rsid w:val="072C54E4"/>
    <w:rsid w:val="0731103E"/>
    <w:rsid w:val="07481042"/>
    <w:rsid w:val="075348BD"/>
    <w:rsid w:val="07657C85"/>
    <w:rsid w:val="07753F60"/>
    <w:rsid w:val="07844763"/>
    <w:rsid w:val="07872CE7"/>
    <w:rsid w:val="078A03D3"/>
    <w:rsid w:val="079B478D"/>
    <w:rsid w:val="07A4385F"/>
    <w:rsid w:val="07AF242F"/>
    <w:rsid w:val="07BD5DBF"/>
    <w:rsid w:val="07C5115E"/>
    <w:rsid w:val="07CB25FF"/>
    <w:rsid w:val="07CD1207"/>
    <w:rsid w:val="07CF35B6"/>
    <w:rsid w:val="07EE4401"/>
    <w:rsid w:val="07EF468E"/>
    <w:rsid w:val="07F87DE0"/>
    <w:rsid w:val="07FF4D31"/>
    <w:rsid w:val="080E608B"/>
    <w:rsid w:val="081756DA"/>
    <w:rsid w:val="082F3E47"/>
    <w:rsid w:val="0835226D"/>
    <w:rsid w:val="085F0C80"/>
    <w:rsid w:val="08605B5A"/>
    <w:rsid w:val="08624EAC"/>
    <w:rsid w:val="08636B11"/>
    <w:rsid w:val="086D796B"/>
    <w:rsid w:val="0895702F"/>
    <w:rsid w:val="08B02830"/>
    <w:rsid w:val="08C03565"/>
    <w:rsid w:val="08DE579F"/>
    <w:rsid w:val="08E51639"/>
    <w:rsid w:val="08F11638"/>
    <w:rsid w:val="09106EFC"/>
    <w:rsid w:val="09212671"/>
    <w:rsid w:val="092C2CBD"/>
    <w:rsid w:val="096F45D4"/>
    <w:rsid w:val="09755D2F"/>
    <w:rsid w:val="098848E6"/>
    <w:rsid w:val="098A52F6"/>
    <w:rsid w:val="09A60F07"/>
    <w:rsid w:val="09B43D70"/>
    <w:rsid w:val="09D62318"/>
    <w:rsid w:val="09D63FC3"/>
    <w:rsid w:val="09E342D1"/>
    <w:rsid w:val="09F76469"/>
    <w:rsid w:val="0A0E4795"/>
    <w:rsid w:val="0A254B81"/>
    <w:rsid w:val="0A3048AC"/>
    <w:rsid w:val="0A524DED"/>
    <w:rsid w:val="0A554696"/>
    <w:rsid w:val="0A5825D5"/>
    <w:rsid w:val="0A6177E7"/>
    <w:rsid w:val="0A84084D"/>
    <w:rsid w:val="0A8852CF"/>
    <w:rsid w:val="0A8D7B8D"/>
    <w:rsid w:val="0A964BFA"/>
    <w:rsid w:val="0A972924"/>
    <w:rsid w:val="0AB7256F"/>
    <w:rsid w:val="0ABD0ABF"/>
    <w:rsid w:val="0ABD1A37"/>
    <w:rsid w:val="0ACD1CE1"/>
    <w:rsid w:val="0AD656DD"/>
    <w:rsid w:val="0AE018CB"/>
    <w:rsid w:val="0AE53A23"/>
    <w:rsid w:val="0AF04DE3"/>
    <w:rsid w:val="0AF77769"/>
    <w:rsid w:val="0B1622F3"/>
    <w:rsid w:val="0B196461"/>
    <w:rsid w:val="0B21525C"/>
    <w:rsid w:val="0B265968"/>
    <w:rsid w:val="0B2F54E8"/>
    <w:rsid w:val="0B431EA3"/>
    <w:rsid w:val="0B4B24E6"/>
    <w:rsid w:val="0B4D33F1"/>
    <w:rsid w:val="0B7756FD"/>
    <w:rsid w:val="0B790E11"/>
    <w:rsid w:val="0B8056D9"/>
    <w:rsid w:val="0B8B5F7E"/>
    <w:rsid w:val="0B934390"/>
    <w:rsid w:val="0BA47C2D"/>
    <w:rsid w:val="0BBA2991"/>
    <w:rsid w:val="0BD17C20"/>
    <w:rsid w:val="0BEE2E88"/>
    <w:rsid w:val="0BF3024D"/>
    <w:rsid w:val="0BF5457B"/>
    <w:rsid w:val="0C006D79"/>
    <w:rsid w:val="0C007A5B"/>
    <w:rsid w:val="0C0D4688"/>
    <w:rsid w:val="0C137037"/>
    <w:rsid w:val="0C245D32"/>
    <w:rsid w:val="0C351BB7"/>
    <w:rsid w:val="0C394978"/>
    <w:rsid w:val="0C3F2D45"/>
    <w:rsid w:val="0C700F92"/>
    <w:rsid w:val="0C79258B"/>
    <w:rsid w:val="0C946A5E"/>
    <w:rsid w:val="0C9E1102"/>
    <w:rsid w:val="0CB420DC"/>
    <w:rsid w:val="0CCA04AF"/>
    <w:rsid w:val="0CCE24A1"/>
    <w:rsid w:val="0CD429D0"/>
    <w:rsid w:val="0CD650A1"/>
    <w:rsid w:val="0CD86C08"/>
    <w:rsid w:val="0CE25D75"/>
    <w:rsid w:val="0CF804D1"/>
    <w:rsid w:val="0CFA155A"/>
    <w:rsid w:val="0D0526BA"/>
    <w:rsid w:val="0D0874B9"/>
    <w:rsid w:val="0D3C60E0"/>
    <w:rsid w:val="0D57274B"/>
    <w:rsid w:val="0D69568B"/>
    <w:rsid w:val="0DB732EF"/>
    <w:rsid w:val="0DBC4644"/>
    <w:rsid w:val="0DBC47C6"/>
    <w:rsid w:val="0DC108C7"/>
    <w:rsid w:val="0DF3180E"/>
    <w:rsid w:val="0E00661D"/>
    <w:rsid w:val="0E2523D3"/>
    <w:rsid w:val="0E291CFB"/>
    <w:rsid w:val="0E2948E1"/>
    <w:rsid w:val="0E4077EF"/>
    <w:rsid w:val="0E4756E1"/>
    <w:rsid w:val="0E521483"/>
    <w:rsid w:val="0E5600F2"/>
    <w:rsid w:val="0E6A22A4"/>
    <w:rsid w:val="0E6E0D82"/>
    <w:rsid w:val="0E72396F"/>
    <w:rsid w:val="0E7A409C"/>
    <w:rsid w:val="0E902D10"/>
    <w:rsid w:val="0E996911"/>
    <w:rsid w:val="0EA01FE8"/>
    <w:rsid w:val="0EB54247"/>
    <w:rsid w:val="0EC87299"/>
    <w:rsid w:val="0ECA62D4"/>
    <w:rsid w:val="0EDC2947"/>
    <w:rsid w:val="0EDF32D0"/>
    <w:rsid w:val="0EDF7FC4"/>
    <w:rsid w:val="0EE42B24"/>
    <w:rsid w:val="0EE6399A"/>
    <w:rsid w:val="0EEF5E25"/>
    <w:rsid w:val="0EF172EB"/>
    <w:rsid w:val="0F132CE6"/>
    <w:rsid w:val="0F18046C"/>
    <w:rsid w:val="0F2E69A2"/>
    <w:rsid w:val="0F37022B"/>
    <w:rsid w:val="0F427144"/>
    <w:rsid w:val="0F546367"/>
    <w:rsid w:val="0F616F92"/>
    <w:rsid w:val="0F772EAA"/>
    <w:rsid w:val="0F785333"/>
    <w:rsid w:val="0F8676D2"/>
    <w:rsid w:val="0FA6361E"/>
    <w:rsid w:val="0FAF00F9"/>
    <w:rsid w:val="0FBF6D8B"/>
    <w:rsid w:val="0FC4644C"/>
    <w:rsid w:val="0FCB35C3"/>
    <w:rsid w:val="0FD146C5"/>
    <w:rsid w:val="0FD67FB1"/>
    <w:rsid w:val="0FF137B6"/>
    <w:rsid w:val="0FF33B03"/>
    <w:rsid w:val="0FF360CA"/>
    <w:rsid w:val="0FF94B4B"/>
    <w:rsid w:val="100A79D5"/>
    <w:rsid w:val="101A223A"/>
    <w:rsid w:val="10201FC1"/>
    <w:rsid w:val="10313CB4"/>
    <w:rsid w:val="105E5C41"/>
    <w:rsid w:val="10631B5B"/>
    <w:rsid w:val="106A0DA2"/>
    <w:rsid w:val="106C1138"/>
    <w:rsid w:val="106E3076"/>
    <w:rsid w:val="10735E28"/>
    <w:rsid w:val="10861954"/>
    <w:rsid w:val="10953815"/>
    <w:rsid w:val="10A45194"/>
    <w:rsid w:val="10BC1B14"/>
    <w:rsid w:val="10BF27EB"/>
    <w:rsid w:val="10CF50A9"/>
    <w:rsid w:val="10EC519C"/>
    <w:rsid w:val="10EF4030"/>
    <w:rsid w:val="10F1536D"/>
    <w:rsid w:val="10F27F80"/>
    <w:rsid w:val="10FF652D"/>
    <w:rsid w:val="11014A62"/>
    <w:rsid w:val="1102722C"/>
    <w:rsid w:val="11032564"/>
    <w:rsid w:val="110411F6"/>
    <w:rsid w:val="11050D97"/>
    <w:rsid w:val="11142D86"/>
    <w:rsid w:val="11173CBE"/>
    <w:rsid w:val="111B3E01"/>
    <w:rsid w:val="11213EA8"/>
    <w:rsid w:val="113D1CA3"/>
    <w:rsid w:val="11432835"/>
    <w:rsid w:val="115348AA"/>
    <w:rsid w:val="11637085"/>
    <w:rsid w:val="11671785"/>
    <w:rsid w:val="116C1205"/>
    <w:rsid w:val="11727F65"/>
    <w:rsid w:val="1178794D"/>
    <w:rsid w:val="11826C6A"/>
    <w:rsid w:val="11920B2A"/>
    <w:rsid w:val="119D51A7"/>
    <w:rsid w:val="11A70D4A"/>
    <w:rsid w:val="11AE6A79"/>
    <w:rsid w:val="11D61CAA"/>
    <w:rsid w:val="11E675CE"/>
    <w:rsid w:val="11E7721B"/>
    <w:rsid w:val="11E9506F"/>
    <w:rsid w:val="11EE1F77"/>
    <w:rsid w:val="11F72B09"/>
    <w:rsid w:val="12072EA1"/>
    <w:rsid w:val="1207412A"/>
    <w:rsid w:val="121D1B58"/>
    <w:rsid w:val="12374CB3"/>
    <w:rsid w:val="12382EB4"/>
    <w:rsid w:val="123A0877"/>
    <w:rsid w:val="126224ED"/>
    <w:rsid w:val="12637BE1"/>
    <w:rsid w:val="12665599"/>
    <w:rsid w:val="126959DD"/>
    <w:rsid w:val="12974E77"/>
    <w:rsid w:val="129F4623"/>
    <w:rsid w:val="12A65E04"/>
    <w:rsid w:val="12BF4080"/>
    <w:rsid w:val="12D071A5"/>
    <w:rsid w:val="12D35128"/>
    <w:rsid w:val="12DB7D35"/>
    <w:rsid w:val="12E10D47"/>
    <w:rsid w:val="12F17558"/>
    <w:rsid w:val="12FF3991"/>
    <w:rsid w:val="13066723"/>
    <w:rsid w:val="130E4375"/>
    <w:rsid w:val="13117F9F"/>
    <w:rsid w:val="131A61FB"/>
    <w:rsid w:val="1322397E"/>
    <w:rsid w:val="1338365F"/>
    <w:rsid w:val="133A1F99"/>
    <w:rsid w:val="13450D35"/>
    <w:rsid w:val="134525F8"/>
    <w:rsid w:val="134F24D1"/>
    <w:rsid w:val="135F2F97"/>
    <w:rsid w:val="13600CB3"/>
    <w:rsid w:val="13814106"/>
    <w:rsid w:val="13865211"/>
    <w:rsid w:val="138F10CE"/>
    <w:rsid w:val="1392675C"/>
    <w:rsid w:val="139532F9"/>
    <w:rsid w:val="13BA7EB6"/>
    <w:rsid w:val="13BB2C32"/>
    <w:rsid w:val="13BB36C2"/>
    <w:rsid w:val="13C36F49"/>
    <w:rsid w:val="13CB385B"/>
    <w:rsid w:val="13D15807"/>
    <w:rsid w:val="13D853DB"/>
    <w:rsid w:val="13E6582D"/>
    <w:rsid w:val="13F145D4"/>
    <w:rsid w:val="13F95EB9"/>
    <w:rsid w:val="1401565F"/>
    <w:rsid w:val="141254B3"/>
    <w:rsid w:val="142D012C"/>
    <w:rsid w:val="14303889"/>
    <w:rsid w:val="1431010F"/>
    <w:rsid w:val="14463D5E"/>
    <w:rsid w:val="145F062C"/>
    <w:rsid w:val="145F1D72"/>
    <w:rsid w:val="14691370"/>
    <w:rsid w:val="147E741D"/>
    <w:rsid w:val="148F08B2"/>
    <w:rsid w:val="149E4086"/>
    <w:rsid w:val="14A5590C"/>
    <w:rsid w:val="14AF64EE"/>
    <w:rsid w:val="14C939D8"/>
    <w:rsid w:val="14F61844"/>
    <w:rsid w:val="14FA3656"/>
    <w:rsid w:val="14FB4178"/>
    <w:rsid w:val="14FE2CE1"/>
    <w:rsid w:val="15021A2E"/>
    <w:rsid w:val="15206F51"/>
    <w:rsid w:val="15470B0D"/>
    <w:rsid w:val="154C6ADD"/>
    <w:rsid w:val="154F0BB2"/>
    <w:rsid w:val="15621433"/>
    <w:rsid w:val="15726B7F"/>
    <w:rsid w:val="15755E45"/>
    <w:rsid w:val="15833954"/>
    <w:rsid w:val="15842905"/>
    <w:rsid w:val="15B11FCE"/>
    <w:rsid w:val="15C02C3D"/>
    <w:rsid w:val="15D475FF"/>
    <w:rsid w:val="15EE408F"/>
    <w:rsid w:val="15F1746A"/>
    <w:rsid w:val="15F31839"/>
    <w:rsid w:val="15FC044E"/>
    <w:rsid w:val="160727A5"/>
    <w:rsid w:val="16144A8D"/>
    <w:rsid w:val="161511A3"/>
    <w:rsid w:val="1624602C"/>
    <w:rsid w:val="162C6439"/>
    <w:rsid w:val="16425229"/>
    <w:rsid w:val="165C345A"/>
    <w:rsid w:val="166D5C91"/>
    <w:rsid w:val="166F6CB3"/>
    <w:rsid w:val="16787AFE"/>
    <w:rsid w:val="168814F9"/>
    <w:rsid w:val="16896BBD"/>
    <w:rsid w:val="168D5CC1"/>
    <w:rsid w:val="169A1AF1"/>
    <w:rsid w:val="16C70555"/>
    <w:rsid w:val="16D43D9D"/>
    <w:rsid w:val="16DD3690"/>
    <w:rsid w:val="16DE41CA"/>
    <w:rsid w:val="16E00C15"/>
    <w:rsid w:val="16F71208"/>
    <w:rsid w:val="16F766DA"/>
    <w:rsid w:val="16F93553"/>
    <w:rsid w:val="16FB32A6"/>
    <w:rsid w:val="17017F86"/>
    <w:rsid w:val="170F0360"/>
    <w:rsid w:val="170F7779"/>
    <w:rsid w:val="1720357C"/>
    <w:rsid w:val="17252504"/>
    <w:rsid w:val="17292E3E"/>
    <w:rsid w:val="172B6DB1"/>
    <w:rsid w:val="174A444F"/>
    <w:rsid w:val="17610B4F"/>
    <w:rsid w:val="17664374"/>
    <w:rsid w:val="176A46BD"/>
    <w:rsid w:val="176C6C24"/>
    <w:rsid w:val="176E11C2"/>
    <w:rsid w:val="17771445"/>
    <w:rsid w:val="178C2F23"/>
    <w:rsid w:val="17920BFD"/>
    <w:rsid w:val="17A0154D"/>
    <w:rsid w:val="17B35A66"/>
    <w:rsid w:val="17B55537"/>
    <w:rsid w:val="17BF3FEA"/>
    <w:rsid w:val="17D45763"/>
    <w:rsid w:val="17DD5C07"/>
    <w:rsid w:val="17E32729"/>
    <w:rsid w:val="1804162A"/>
    <w:rsid w:val="18160E17"/>
    <w:rsid w:val="1833394E"/>
    <w:rsid w:val="183B2650"/>
    <w:rsid w:val="18581E27"/>
    <w:rsid w:val="185A48ED"/>
    <w:rsid w:val="185D7391"/>
    <w:rsid w:val="186324A0"/>
    <w:rsid w:val="18633E47"/>
    <w:rsid w:val="1883086C"/>
    <w:rsid w:val="18876269"/>
    <w:rsid w:val="188A3673"/>
    <w:rsid w:val="18953D2D"/>
    <w:rsid w:val="189A181B"/>
    <w:rsid w:val="189E7942"/>
    <w:rsid w:val="18C46704"/>
    <w:rsid w:val="18D60201"/>
    <w:rsid w:val="18DB577D"/>
    <w:rsid w:val="18DC3664"/>
    <w:rsid w:val="18E731C8"/>
    <w:rsid w:val="18FB24C5"/>
    <w:rsid w:val="18FB4F3C"/>
    <w:rsid w:val="18FE6D5A"/>
    <w:rsid w:val="191B6E9B"/>
    <w:rsid w:val="19496DA2"/>
    <w:rsid w:val="195F6442"/>
    <w:rsid w:val="19813589"/>
    <w:rsid w:val="19B23C2F"/>
    <w:rsid w:val="19B723E0"/>
    <w:rsid w:val="19B83F22"/>
    <w:rsid w:val="19C15671"/>
    <w:rsid w:val="19C867C9"/>
    <w:rsid w:val="19E44233"/>
    <w:rsid w:val="19E50F6F"/>
    <w:rsid w:val="19EE6437"/>
    <w:rsid w:val="1A1919E8"/>
    <w:rsid w:val="1A200C53"/>
    <w:rsid w:val="1A6356AC"/>
    <w:rsid w:val="1A71306B"/>
    <w:rsid w:val="1A7F5449"/>
    <w:rsid w:val="1A830A51"/>
    <w:rsid w:val="1A831654"/>
    <w:rsid w:val="1A8B6100"/>
    <w:rsid w:val="1A8C739D"/>
    <w:rsid w:val="1A934634"/>
    <w:rsid w:val="1A9C249F"/>
    <w:rsid w:val="1AAD645B"/>
    <w:rsid w:val="1AB25834"/>
    <w:rsid w:val="1ABD238E"/>
    <w:rsid w:val="1AC57BFC"/>
    <w:rsid w:val="1ACD710F"/>
    <w:rsid w:val="1ADC6DBC"/>
    <w:rsid w:val="1AE62A05"/>
    <w:rsid w:val="1AF5395E"/>
    <w:rsid w:val="1AFC2F3E"/>
    <w:rsid w:val="1B0032DD"/>
    <w:rsid w:val="1B187219"/>
    <w:rsid w:val="1B265D91"/>
    <w:rsid w:val="1B294970"/>
    <w:rsid w:val="1B2D7862"/>
    <w:rsid w:val="1B2E2157"/>
    <w:rsid w:val="1B3C1E31"/>
    <w:rsid w:val="1B452A3E"/>
    <w:rsid w:val="1B497116"/>
    <w:rsid w:val="1B515CBC"/>
    <w:rsid w:val="1B5D1240"/>
    <w:rsid w:val="1B650C3A"/>
    <w:rsid w:val="1B735669"/>
    <w:rsid w:val="1B855499"/>
    <w:rsid w:val="1B9D41A2"/>
    <w:rsid w:val="1BB904EF"/>
    <w:rsid w:val="1BC91626"/>
    <w:rsid w:val="1BF64A6B"/>
    <w:rsid w:val="1BFB7F77"/>
    <w:rsid w:val="1BFF50A7"/>
    <w:rsid w:val="1C3A41E2"/>
    <w:rsid w:val="1C3C3C95"/>
    <w:rsid w:val="1C450A26"/>
    <w:rsid w:val="1C535CAF"/>
    <w:rsid w:val="1C6335E7"/>
    <w:rsid w:val="1C970FD8"/>
    <w:rsid w:val="1CC932F4"/>
    <w:rsid w:val="1CCE7826"/>
    <w:rsid w:val="1CE30CD4"/>
    <w:rsid w:val="1CE47F22"/>
    <w:rsid w:val="1CE75D1E"/>
    <w:rsid w:val="1CF10926"/>
    <w:rsid w:val="1D1A42B2"/>
    <w:rsid w:val="1D2005DF"/>
    <w:rsid w:val="1D31745E"/>
    <w:rsid w:val="1D352737"/>
    <w:rsid w:val="1D3535E0"/>
    <w:rsid w:val="1D387F66"/>
    <w:rsid w:val="1D3A2599"/>
    <w:rsid w:val="1D762E16"/>
    <w:rsid w:val="1D7E6160"/>
    <w:rsid w:val="1D897864"/>
    <w:rsid w:val="1D8F13E5"/>
    <w:rsid w:val="1D9219AE"/>
    <w:rsid w:val="1DB631DA"/>
    <w:rsid w:val="1DBC5638"/>
    <w:rsid w:val="1DC351FD"/>
    <w:rsid w:val="1DD03214"/>
    <w:rsid w:val="1DD16643"/>
    <w:rsid w:val="1DD84F0B"/>
    <w:rsid w:val="1DE3780C"/>
    <w:rsid w:val="1DE95F0B"/>
    <w:rsid w:val="1DF9733C"/>
    <w:rsid w:val="1E014285"/>
    <w:rsid w:val="1E022E1F"/>
    <w:rsid w:val="1E20277C"/>
    <w:rsid w:val="1E3625DC"/>
    <w:rsid w:val="1E4330B6"/>
    <w:rsid w:val="1E474C03"/>
    <w:rsid w:val="1E5033D7"/>
    <w:rsid w:val="1EA54846"/>
    <w:rsid w:val="1EB43F7B"/>
    <w:rsid w:val="1EB66BE5"/>
    <w:rsid w:val="1EC34BF0"/>
    <w:rsid w:val="1EC76A61"/>
    <w:rsid w:val="1ED14EAE"/>
    <w:rsid w:val="1ED327CC"/>
    <w:rsid w:val="1ED92CAC"/>
    <w:rsid w:val="1EE12B77"/>
    <w:rsid w:val="1F070CE6"/>
    <w:rsid w:val="1F0942FD"/>
    <w:rsid w:val="1F101BE5"/>
    <w:rsid w:val="1F212D73"/>
    <w:rsid w:val="1F374741"/>
    <w:rsid w:val="1F443440"/>
    <w:rsid w:val="1F4B4B5D"/>
    <w:rsid w:val="1F4F53ED"/>
    <w:rsid w:val="1F5006E6"/>
    <w:rsid w:val="1F681177"/>
    <w:rsid w:val="1F700094"/>
    <w:rsid w:val="1F7D5CD2"/>
    <w:rsid w:val="1F7E1486"/>
    <w:rsid w:val="1F7E4D91"/>
    <w:rsid w:val="1F946F45"/>
    <w:rsid w:val="1F9E4E37"/>
    <w:rsid w:val="1FA9789A"/>
    <w:rsid w:val="1FC508AF"/>
    <w:rsid w:val="1FCE1187"/>
    <w:rsid w:val="1FCE34FB"/>
    <w:rsid w:val="1FDB49E7"/>
    <w:rsid w:val="1FF43752"/>
    <w:rsid w:val="1FF55B03"/>
    <w:rsid w:val="20137704"/>
    <w:rsid w:val="20182BD0"/>
    <w:rsid w:val="20201F0B"/>
    <w:rsid w:val="202C579C"/>
    <w:rsid w:val="20340A84"/>
    <w:rsid w:val="204125F3"/>
    <w:rsid w:val="2050481D"/>
    <w:rsid w:val="2096173F"/>
    <w:rsid w:val="20B56069"/>
    <w:rsid w:val="20C07CFC"/>
    <w:rsid w:val="20DB0467"/>
    <w:rsid w:val="20F6357B"/>
    <w:rsid w:val="21157B76"/>
    <w:rsid w:val="213269CA"/>
    <w:rsid w:val="213B7313"/>
    <w:rsid w:val="213D7E0C"/>
    <w:rsid w:val="21427C63"/>
    <w:rsid w:val="21476759"/>
    <w:rsid w:val="21577F8C"/>
    <w:rsid w:val="217030B5"/>
    <w:rsid w:val="218B0B78"/>
    <w:rsid w:val="219927A2"/>
    <w:rsid w:val="219A172E"/>
    <w:rsid w:val="21A668C9"/>
    <w:rsid w:val="21C43E14"/>
    <w:rsid w:val="21DA38AD"/>
    <w:rsid w:val="21E56B43"/>
    <w:rsid w:val="221973C3"/>
    <w:rsid w:val="2220168E"/>
    <w:rsid w:val="222A51CD"/>
    <w:rsid w:val="2241662B"/>
    <w:rsid w:val="226A0AEC"/>
    <w:rsid w:val="22703FCD"/>
    <w:rsid w:val="227D5948"/>
    <w:rsid w:val="228E7A3D"/>
    <w:rsid w:val="229921EE"/>
    <w:rsid w:val="22A035A8"/>
    <w:rsid w:val="22A400DB"/>
    <w:rsid w:val="22B30C85"/>
    <w:rsid w:val="22CA6EE4"/>
    <w:rsid w:val="22CD3CFA"/>
    <w:rsid w:val="22CF23D8"/>
    <w:rsid w:val="22D879BD"/>
    <w:rsid w:val="22E33E95"/>
    <w:rsid w:val="22F5017B"/>
    <w:rsid w:val="22F53366"/>
    <w:rsid w:val="22F65BF8"/>
    <w:rsid w:val="23015402"/>
    <w:rsid w:val="23293597"/>
    <w:rsid w:val="23404877"/>
    <w:rsid w:val="23602485"/>
    <w:rsid w:val="23762A66"/>
    <w:rsid w:val="23971A56"/>
    <w:rsid w:val="23AE768F"/>
    <w:rsid w:val="23AF7BEC"/>
    <w:rsid w:val="23B2552B"/>
    <w:rsid w:val="23B871F4"/>
    <w:rsid w:val="23CE7D4E"/>
    <w:rsid w:val="23DA2A5C"/>
    <w:rsid w:val="23E15A7C"/>
    <w:rsid w:val="23F3612C"/>
    <w:rsid w:val="23F94C40"/>
    <w:rsid w:val="23FA738B"/>
    <w:rsid w:val="240B2444"/>
    <w:rsid w:val="243F44EB"/>
    <w:rsid w:val="24495770"/>
    <w:rsid w:val="244E0ACE"/>
    <w:rsid w:val="24502F21"/>
    <w:rsid w:val="24596409"/>
    <w:rsid w:val="246E68C2"/>
    <w:rsid w:val="247A6233"/>
    <w:rsid w:val="248A0A3D"/>
    <w:rsid w:val="249749E5"/>
    <w:rsid w:val="24B44534"/>
    <w:rsid w:val="24BC0FD8"/>
    <w:rsid w:val="24D64800"/>
    <w:rsid w:val="24ED238C"/>
    <w:rsid w:val="24F82DC0"/>
    <w:rsid w:val="25102BF1"/>
    <w:rsid w:val="25323F84"/>
    <w:rsid w:val="25392C87"/>
    <w:rsid w:val="254148C2"/>
    <w:rsid w:val="25493464"/>
    <w:rsid w:val="254F0B2A"/>
    <w:rsid w:val="2560365E"/>
    <w:rsid w:val="25621593"/>
    <w:rsid w:val="25657ECA"/>
    <w:rsid w:val="256967EE"/>
    <w:rsid w:val="257E11FC"/>
    <w:rsid w:val="258153D6"/>
    <w:rsid w:val="2583371E"/>
    <w:rsid w:val="258650C2"/>
    <w:rsid w:val="25876256"/>
    <w:rsid w:val="258B7976"/>
    <w:rsid w:val="25B013C5"/>
    <w:rsid w:val="25BA4F9E"/>
    <w:rsid w:val="25CA498C"/>
    <w:rsid w:val="25CD6B14"/>
    <w:rsid w:val="25D5758C"/>
    <w:rsid w:val="25DE7021"/>
    <w:rsid w:val="25E2163A"/>
    <w:rsid w:val="26127B0A"/>
    <w:rsid w:val="261C01B1"/>
    <w:rsid w:val="26201B2D"/>
    <w:rsid w:val="262D6C65"/>
    <w:rsid w:val="263C01A9"/>
    <w:rsid w:val="263C0693"/>
    <w:rsid w:val="26431D89"/>
    <w:rsid w:val="26484110"/>
    <w:rsid w:val="264C012F"/>
    <w:rsid w:val="265327A3"/>
    <w:rsid w:val="26550D4A"/>
    <w:rsid w:val="266A13BF"/>
    <w:rsid w:val="267607C5"/>
    <w:rsid w:val="267765D8"/>
    <w:rsid w:val="26795443"/>
    <w:rsid w:val="267A636E"/>
    <w:rsid w:val="26815F80"/>
    <w:rsid w:val="26883DEE"/>
    <w:rsid w:val="268A7862"/>
    <w:rsid w:val="268D7140"/>
    <w:rsid w:val="268E0511"/>
    <w:rsid w:val="2695048E"/>
    <w:rsid w:val="269E5056"/>
    <w:rsid w:val="26A762E6"/>
    <w:rsid w:val="26D347FA"/>
    <w:rsid w:val="26DB5CDF"/>
    <w:rsid w:val="26DE639E"/>
    <w:rsid w:val="26E20FC4"/>
    <w:rsid w:val="26E764DF"/>
    <w:rsid w:val="27176EF2"/>
    <w:rsid w:val="27190D17"/>
    <w:rsid w:val="271C7663"/>
    <w:rsid w:val="273B094A"/>
    <w:rsid w:val="275D2FB6"/>
    <w:rsid w:val="275E6C69"/>
    <w:rsid w:val="276533BD"/>
    <w:rsid w:val="276E5B22"/>
    <w:rsid w:val="27725103"/>
    <w:rsid w:val="277F2F2D"/>
    <w:rsid w:val="27840543"/>
    <w:rsid w:val="279C4E39"/>
    <w:rsid w:val="279F5F01"/>
    <w:rsid w:val="27A11565"/>
    <w:rsid w:val="27AB00D3"/>
    <w:rsid w:val="27AE1C11"/>
    <w:rsid w:val="27B506FD"/>
    <w:rsid w:val="27B76B3D"/>
    <w:rsid w:val="27BB2EA4"/>
    <w:rsid w:val="27C55588"/>
    <w:rsid w:val="27C745C6"/>
    <w:rsid w:val="27C85DDF"/>
    <w:rsid w:val="27DB73A6"/>
    <w:rsid w:val="27DD7769"/>
    <w:rsid w:val="27E76150"/>
    <w:rsid w:val="27F855FD"/>
    <w:rsid w:val="28072FE7"/>
    <w:rsid w:val="28156CD0"/>
    <w:rsid w:val="281A0EA7"/>
    <w:rsid w:val="281D483C"/>
    <w:rsid w:val="28223631"/>
    <w:rsid w:val="28261F89"/>
    <w:rsid w:val="28290077"/>
    <w:rsid w:val="282D371D"/>
    <w:rsid w:val="2834103B"/>
    <w:rsid w:val="28355CE1"/>
    <w:rsid w:val="284C2F7F"/>
    <w:rsid w:val="286819AC"/>
    <w:rsid w:val="28685CA3"/>
    <w:rsid w:val="28717CBC"/>
    <w:rsid w:val="287871B2"/>
    <w:rsid w:val="28896A8E"/>
    <w:rsid w:val="288E0E9B"/>
    <w:rsid w:val="28A40E75"/>
    <w:rsid w:val="28A64D85"/>
    <w:rsid w:val="28A7096E"/>
    <w:rsid w:val="28B27397"/>
    <w:rsid w:val="28BC58E0"/>
    <w:rsid w:val="28D0768F"/>
    <w:rsid w:val="28D85424"/>
    <w:rsid w:val="28EE1927"/>
    <w:rsid w:val="28F96F63"/>
    <w:rsid w:val="292B0388"/>
    <w:rsid w:val="2937372F"/>
    <w:rsid w:val="293F5CE9"/>
    <w:rsid w:val="295E3873"/>
    <w:rsid w:val="297112E8"/>
    <w:rsid w:val="298C550A"/>
    <w:rsid w:val="298E56A9"/>
    <w:rsid w:val="299B69F4"/>
    <w:rsid w:val="29AE780A"/>
    <w:rsid w:val="29AF5C11"/>
    <w:rsid w:val="29C41D6F"/>
    <w:rsid w:val="29DD03DE"/>
    <w:rsid w:val="29DD54B5"/>
    <w:rsid w:val="29E6568D"/>
    <w:rsid w:val="29F5754E"/>
    <w:rsid w:val="29F73B17"/>
    <w:rsid w:val="29FC7C4B"/>
    <w:rsid w:val="2A020879"/>
    <w:rsid w:val="2A0F04BE"/>
    <w:rsid w:val="2A0F2939"/>
    <w:rsid w:val="2A160998"/>
    <w:rsid w:val="2A244A18"/>
    <w:rsid w:val="2A281B58"/>
    <w:rsid w:val="2A302E0A"/>
    <w:rsid w:val="2A3E5D4F"/>
    <w:rsid w:val="2A476437"/>
    <w:rsid w:val="2A706EC2"/>
    <w:rsid w:val="2A707723"/>
    <w:rsid w:val="2A871EA7"/>
    <w:rsid w:val="2AE01862"/>
    <w:rsid w:val="2AE3595B"/>
    <w:rsid w:val="2B040C40"/>
    <w:rsid w:val="2B085C15"/>
    <w:rsid w:val="2B1C3B49"/>
    <w:rsid w:val="2B226E3C"/>
    <w:rsid w:val="2B425A6E"/>
    <w:rsid w:val="2B58796E"/>
    <w:rsid w:val="2B7F7BDA"/>
    <w:rsid w:val="2B836D64"/>
    <w:rsid w:val="2B8C1B11"/>
    <w:rsid w:val="2B9C0A68"/>
    <w:rsid w:val="2BA867C7"/>
    <w:rsid w:val="2BAB5F13"/>
    <w:rsid w:val="2BB55A35"/>
    <w:rsid w:val="2BBA7A9E"/>
    <w:rsid w:val="2BBD0B4F"/>
    <w:rsid w:val="2BBE0747"/>
    <w:rsid w:val="2BCB74D6"/>
    <w:rsid w:val="2BCF3C8F"/>
    <w:rsid w:val="2BD14A92"/>
    <w:rsid w:val="2BD60582"/>
    <w:rsid w:val="2BD97E7D"/>
    <w:rsid w:val="2BDB0A78"/>
    <w:rsid w:val="2BDE64E8"/>
    <w:rsid w:val="2BF17DC0"/>
    <w:rsid w:val="2C0171DD"/>
    <w:rsid w:val="2C0A66F4"/>
    <w:rsid w:val="2C146A11"/>
    <w:rsid w:val="2C3C2DE4"/>
    <w:rsid w:val="2C452415"/>
    <w:rsid w:val="2C487536"/>
    <w:rsid w:val="2C4A2442"/>
    <w:rsid w:val="2C4B517F"/>
    <w:rsid w:val="2C4C6272"/>
    <w:rsid w:val="2C4F1936"/>
    <w:rsid w:val="2C534B72"/>
    <w:rsid w:val="2C584364"/>
    <w:rsid w:val="2C6369EB"/>
    <w:rsid w:val="2C722240"/>
    <w:rsid w:val="2C8213ED"/>
    <w:rsid w:val="2C8661BB"/>
    <w:rsid w:val="2C947B55"/>
    <w:rsid w:val="2C957320"/>
    <w:rsid w:val="2CB1633D"/>
    <w:rsid w:val="2CB35738"/>
    <w:rsid w:val="2CB5323B"/>
    <w:rsid w:val="2CBC4727"/>
    <w:rsid w:val="2CD43500"/>
    <w:rsid w:val="2CD61F47"/>
    <w:rsid w:val="2CE55A9A"/>
    <w:rsid w:val="2CF84FFC"/>
    <w:rsid w:val="2D0C576E"/>
    <w:rsid w:val="2D171AE9"/>
    <w:rsid w:val="2D1944EE"/>
    <w:rsid w:val="2D1B5BD1"/>
    <w:rsid w:val="2D1E3DE7"/>
    <w:rsid w:val="2D24719C"/>
    <w:rsid w:val="2D3D6372"/>
    <w:rsid w:val="2D4F5C4B"/>
    <w:rsid w:val="2D580D59"/>
    <w:rsid w:val="2D7352E2"/>
    <w:rsid w:val="2D9670EE"/>
    <w:rsid w:val="2DAA6265"/>
    <w:rsid w:val="2DAD4F4E"/>
    <w:rsid w:val="2DB63F1A"/>
    <w:rsid w:val="2DD352DD"/>
    <w:rsid w:val="2DD965EF"/>
    <w:rsid w:val="2DDD6BFF"/>
    <w:rsid w:val="2DEE0B8D"/>
    <w:rsid w:val="2E020414"/>
    <w:rsid w:val="2E0516E2"/>
    <w:rsid w:val="2E2B1447"/>
    <w:rsid w:val="2E2B6B68"/>
    <w:rsid w:val="2E2D7714"/>
    <w:rsid w:val="2E3479AD"/>
    <w:rsid w:val="2E3E70F8"/>
    <w:rsid w:val="2E4F5130"/>
    <w:rsid w:val="2E5401F6"/>
    <w:rsid w:val="2E6B0DF2"/>
    <w:rsid w:val="2E74001E"/>
    <w:rsid w:val="2E8A0340"/>
    <w:rsid w:val="2E8C113C"/>
    <w:rsid w:val="2E95610C"/>
    <w:rsid w:val="2E964CBB"/>
    <w:rsid w:val="2EA60FC2"/>
    <w:rsid w:val="2EA92D81"/>
    <w:rsid w:val="2EB24D71"/>
    <w:rsid w:val="2ECD4896"/>
    <w:rsid w:val="2F022B10"/>
    <w:rsid w:val="2F0F1BCB"/>
    <w:rsid w:val="2F0F1D34"/>
    <w:rsid w:val="2F135F73"/>
    <w:rsid w:val="2F1B3B1F"/>
    <w:rsid w:val="2F4857F8"/>
    <w:rsid w:val="2F5271DE"/>
    <w:rsid w:val="2F5A0E01"/>
    <w:rsid w:val="2F714561"/>
    <w:rsid w:val="2F780CB5"/>
    <w:rsid w:val="2F8877BB"/>
    <w:rsid w:val="2F9110F1"/>
    <w:rsid w:val="2F954526"/>
    <w:rsid w:val="2FA266C8"/>
    <w:rsid w:val="2FB91D02"/>
    <w:rsid w:val="2FDC600F"/>
    <w:rsid w:val="2FF41FDB"/>
    <w:rsid w:val="30071D11"/>
    <w:rsid w:val="300C6536"/>
    <w:rsid w:val="30180677"/>
    <w:rsid w:val="301E39AF"/>
    <w:rsid w:val="30440DDC"/>
    <w:rsid w:val="304E6913"/>
    <w:rsid w:val="30515682"/>
    <w:rsid w:val="30633A22"/>
    <w:rsid w:val="30674ACE"/>
    <w:rsid w:val="30732FA0"/>
    <w:rsid w:val="307367A9"/>
    <w:rsid w:val="309A6F98"/>
    <w:rsid w:val="30A825CC"/>
    <w:rsid w:val="30AC3211"/>
    <w:rsid w:val="30C708AE"/>
    <w:rsid w:val="30C93B1B"/>
    <w:rsid w:val="30CD7EFD"/>
    <w:rsid w:val="30D81337"/>
    <w:rsid w:val="30ED3E75"/>
    <w:rsid w:val="30F11232"/>
    <w:rsid w:val="30F346B4"/>
    <w:rsid w:val="312070FD"/>
    <w:rsid w:val="312646F3"/>
    <w:rsid w:val="312B6DFE"/>
    <w:rsid w:val="31366EB5"/>
    <w:rsid w:val="313C1E8F"/>
    <w:rsid w:val="31470291"/>
    <w:rsid w:val="314C32D2"/>
    <w:rsid w:val="31625D70"/>
    <w:rsid w:val="31677002"/>
    <w:rsid w:val="316817BE"/>
    <w:rsid w:val="316D5522"/>
    <w:rsid w:val="31854368"/>
    <w:rsid w:val="31941F23"/>
    <w:rsid w:val="3196684B"/>
    <w:rsid w:val="31A44824"/>
    <w:rsid w:val="31A517E2"/>
    <w:rsid w:val="31AF4AD3"/>
    <w:rsid w:val="31DD1ADC"/>
    <w:rsid w:val="31F21432"/>
    <w:rsid w:val="32021F2A"/>
    <w:rsid w:val="32315B05"/>
    <w:rsid w:val="3236199F"/>
    <w:rsid w:val="32417D30"/>
    <w:rsid w:val="32517748"/>
    <w:rsid w:val="325C11C4"/>
    <w:rsid w:val="326A6BC5"/>
    <w:rsid w:val="32705150"/>
    <w:rsid w:val="32770A74"/>
    <w:rsid w:val="32871064"/>
    <w:rsid w:val="328B4E7C"/>
    <w:rsid w:val="329769CF"/>
    <w:rsid w:val="329A1A93"/>
    <w:rsid w:val="32A126F5"/>
    <w:rsid w:val="32A575F8"/>
    <w:rsid w:val="32AA3175"/>
    <w:rsid w:val="32B97894"/>
    <w:rsid w:val="32C17ED1"/>
    <w:rsid w:val="32C97D96"/>
    <w:rsid w:val="32CA3AB7"/>
    <w:rsid w:val="32CF5105"/>
    <w:rsid w:val="32D4231F"/>
    <w:rsid w:val="32D82E27"/>
    <w:rsid w:val="330274E4"/>
    <w:rsid w:val="331114A6"/>
    <w:rsid w:val="332160F9"/>
    <w:rsid w:val="3323411E"/>
    <w:rsid w:val="33274B51"/>
    <w:rsid w:val="332E7B7A"/>
    <w:rsid w:val="333851C0"/>
    <w:rsid w:val="334274B8"/>
    <w:rsid w:val="33427BB6"/>
    <w:rsid w:val="33770F5C"/>
    <w:rsid w:val="3392223A"/>
    <w:rsid w:val="33BA61C5"/>
    <w:rsid w:val="33C87900"/>
    <w:rsid w:val="33D6036E"/>
    <w:rsid w:val="33DB6E4B"/>
    <w:rsid w:val="33DD069F"/>
    <w:rsid w:val="33F04CFA"/>
    <w:rsid w:val="33F75AFD"/>
    <w:rsid w:val="34045566"/>
    <w:rsid w:val="343B0DDB"/>
    <w:rsid w:val="34406596"/>
    <w:rsid w:val="344D7C8A"/>
    <w:rsid w:val="345475FF"/>
    <w:rsid w:val="346B298C"/>
    <w:rsid w:val="346E327D"/>
    <w:rsid w:val="348957C0"/>
    <w:rsid w:val="3491331C"/>
    <w:rsid w:val="349409D7"/>
    <w:rsid w:val="3496165E"/>
    <w:rsid w:val="34AD7CFB"/>
    <w:rsid w:val="34B30686"/>
    <w:rsid w:val="34B51B07"/>
    <w:rsid w:val="34BE47D3"/>
    <w:rsid w:val="34C40731"/>
    <w:rsid w:val="34C73FCE"/>
    <w:rsid w:val="34DB3F45"/>
    <w:rsid w:val="34E7705E"/>
    <w:rsid w:val="34E94A98"/>
    <w:rsid w:val="3507608E"/>
    <w:rsid w:val="351967D4"/>
    <w:rsid w:val="35202E8D"/>
    <w:rsid w:val="352D221A"/>
    <w:rsid w:val="354B1AAA"/>
    <w:rsid w:val="35525B4F"/>
    <w:rsid w:val="355C627A"/>
    <w:rsid w:val="355D503F"/>
    <w:rsid w:val="355F1FA0"/>
    <w:rsid w:val="35613834"/>
    <w:rsid w:val="357B225F"/>
    <w:rsid w:val="358B0861"/>
    <w:rsid w:val="35913D09"/>
    <w:rsid w:val="35B87F3A"/>
    <w:rsid w:val="35BC5583"/>
    <w:rsid w:val="35D44169"/>
    <w:rsid w:val="35D92DE6"/>
    <w:rsid w:val="35DC1A3E"/>
    <w:rsid w:val="35E05D63"/>
    <w:rsid w:val="35E72858"/>
    <w:rsid w:val="35EB691D"/>
    <w:rsid w:val="35F440B6"/>
    <w:rsid w:val="36062C97"/>
    <w:rsid w:val="360F461D"/>
    <w:rsid w:val="362D48EF"/>
    <w:rsid w:val="362D4E28"/>
    <w:rsid w:val="36317647"/>
    <w:rsid w:val="364C2B74"/>
    <w:rsid w:val="365349FF"/>
    <w:rsid w:val="3667211A"/>
    <w:rsid w:val="36805056"/>
    <w:rsid w:val="3691628A"/>
    <w:rsid w:val="369928D3"/>
    <w:rsid w:val="369B04EA"/>
    <w:rsid w:val="36A02CAD"/>
    <w:rsid w:val="36A94DDA"/>
    <w:rsid w:val="36C268A3"/>
    <w:rsid w:val="36C327FF"/>
    <w:rsid w:val="36C36BD5"/>
    <w:rsid w:val="36D5431D"/>
    <w:rsid w:val="36DA57BB"/>
    <w:rsid w:val="36DD1E21"/>
    <w:rsid w:val="36E623E4"/>
    <w:rsid w:val="36F876DC"/>
    <w:rsid w:val="36FF3E66"/>
    <w:rsid w:val="370A5DF7"/>
    <w:rsid w:val="37105D0D"/>
    <w:rsid w:val="3722283C"/>
    <w:rsid w:val="372E7B0F"/>
    <w:rsid w:val="37651382"/>
    <w:rsid w:val="377E17B6"/>
    <w:rsid w:val="378B0188"/>
    <w:rsid w:val="37911D1E"/>
    <w:rsid w:val="37A126A3"/>
    <w:rsid w:val="37AD2CDE"/>
    <w:rsid w:val="37C77473"/>
    <w:rsid w:val="37C879AB"/>
    <w:rsid w:val="37CF2F7D"/>
    <w:rsid w:val="37EA0D2B"/>
    <w:rsid w:val="37EF7C5B"/>
    <w:rsid w:val="37F742DF"/>
    <w:rsid w:val="38021B0D"/>
    <w:rsid w:val="38097006"/>
    <w:rsid w:val="38164E4D"/>
    <w:rsid w:val="386462D7"/>
    <w:rsid w:val="387851CA"/>
    <w:rsid w:val="38821599"/>
    <w:rsid w:val="389B749B"/>
    <w:rsid w:val="38A930BC"/>
    <w:rsid w:val="38AF210E"/>
    <w:rsid w:val="38B9365C"/>
    <w:rsid w:val="38BD1B2F"/>
    <w:rsid w:val="38C03495"/>
    <w:rsid w:val="38E555A6"/>
    <w:rsid w:val="390C0AA3"/>
    <w:rsid w:val="391B3048"/>
    <w:rsid w:val="391E7D57"/>
    <w:rsid w:val="39361584"/>
    <w:rsid w:val="393A75DE"/>
    <w:rsid w:val="394915ED"/>
    <w:rsid w:val="394C04A3"/>
    <w:rsid w:val="395E51BB"/>
    <w:rsid w:val="396A7052"/>
    <w:rsid w:val="396C0E37"/>
    <w:rsid w:val="39751B78"/>
    <w:rsid w:val="39861EF9"/>
    <w:rsid w:val="39897BCB"/>
    <w:rsid w:val="3993096D"/>
    <w:rsid w:val="39A0641B"/>
    <w:rsid w:val="39A82BF6"/>
    <w:rsid w:val="39A8639B"/>
    <w:rsid w:val="39B8270F"/>
    <w:rsid w:val="39E61EBA"/>
    <w:rsid w:val="39F62569"/>
    <w:rsid w:val="3A1058D6"/>
    <w:rsid w:val="3A184B1B"/>
    <w:rsid w:val="3A2A1F43"/>
    <w:rsid w:val="3A5A3955"/>
    <w:rsid w:val="3A5B326E"/>
    <w:rsid w:val="3A647D60"/>
    <w:rsid w:val="3A7A7584"/>
    <w:rsid w:val="3A7C337E"/>
    <w:rsid w:val="3A972672"/>
    <w:rsid w:val="3A9F169B"/>
    <w:rsid w:val="3AA056B4"/>
    <w:rsid w:val="3AA94B12"/>
    <w:rsid w:val="3AB331C1"/>
    <w:rsid w:val="3AB80B0A"/>
    <w:rsid w:val="3AD0206F"/>
    <w:rsid w:val="3B137724"/>
    <w:rsid w:val="3B2B1626"/>
    <w:rsid w:val="3B336194"/>
    <w:rsid w:val="3B3876E0"/>
    <w:rsid w:val="3B3F3464"/>
    <w:rsid w:val="3B405E7E"/>
    <w:rsid w:val="3B493D0C"/>
    <w:rsid w:val="3B4B085A"/>
    <w:rsid w:val="3B5D38D0"/>
    <w:rsid w:val="3B69616A"/>
    <w:rsid w:val="3B724859"/>
    <w:rsid w:val="3B902E11"/>
    <w:rsid w:val="3B9169CA"/>
    <w:rsid w:val="3BA03CCD"/>
    <w:rsid w:val="3BAB6843"/>
    <w:rsid w:val="3BAC751F"/>
    <w:rsid w:val="3BAD0342"/>
    <w:rsid w:val="3BAF3BA3"/>
    <w:rsid w:val="3BAF7E68"/>
    <w:rsid w:val="3BB80376"/>
    <w:rsid w:val="3BB865B6"/>
    <w:rsid w:val="3BD466DA"/>
    <w:rsid w:val="3BD77473"/>
    <w:rsid w:val="3BE329DE"/>
    <w:rsid w:val="3C004876"/>
    <w:rsid w:val="3C0E6550"/>
    <w:rsid w:val="3C12543D"/>
    <w:rsid w:val="3C153DAE"/>
    <w:rsid w:val="3C197AA2"/>
    <w:rsid w:val="3C1A4ECF"/>
    <w:rsid w:val="3C277A20"/>
    <w:rsid w:val="3C353AFB"/>
    <w:rsid w:val="3C43303E"/>
    <w:rsid w:val="3C440A09"/>
    <w:rsid w:val="3C5F6A31"/>
    <w:rsid w:val="3C62143A"/>
    <w:rsid w:val="3C9E2BAC"/>
    <w:rsid w:val="3CA54DD0"/>
    <w:rsid w:val="3CAC1509"/>
    <w:rsid w:val="3CBE19FF"/>
    <w:rsid w:val="3CBE7BFC"/>
    <w:rsid w:val="3CC46F1C"/>
    <w:rsid w:val="3CCA47F2"/>
    <w:rsid w:val="3CCF49A4"/>
    <w:rsid w:val="3CD33363"/>
    <w:rsid w:val="3CDD4A52"/>
    <w:rsid w:val="3CDE204C"/>
    <w:rsid w:val="3CE07CCD"/>
    <w:rsid w:val="3CFF70AA"/>
    <w:rsid w:val="3D007D17"/>
    <w:rsid w:val="3D1D31AD"/>
    <w:rsid w:val="3D1F6385"/>
    <w:rsid w:val="3D246FFF"/>
    <w:rsid w:val="3D3305EA"/>
    <w:rsid w:val="3D385C00"/>
    <w:rsid w:val="3D3C52E7"/>
    <w:rsid w:val="3D4418F4"/>
    <w:rsid w:val="3D7D16E8"/>
    <w:rsid w:val="3D7D3752"/>
    <w:rsid w:val="3D821FF8"/>
    <w:rsid w:val="3D845D4A"/>
    <w:rsid w:val="3D865A5D"/>
    <w:rsid w:val="3DBD73FD"/>
    <w:rsid w:val="3DCF0787"/>
    <w:rsid w:val="3DE11CBD"/>
    <w:rsid w:val="3DE20498"/>
    <w:rsid w:val="3DE522A2"/>
    <w:rsid w:val="3DEC3227"/>
    <w:rsid w:val="3DFF5BA7"/>
    <w:rsid w:val="3E10797C"/>
    <w:rsid w:val="3E126451"/>
    <w:rsid w:val="3E260F74"/>
    <w:rsid w:val="3E2A6463"/>
    <w:rsid w:val="3E2D51B7"/>
    <w:rsid w:val="3E3101D2"/>
    <w:rsid w:val="3E31464D"/>
    <w:rsid w:val="3E3519F4"/>
    <w:rsid w:val="3E353EED"/>
    <w:rsid w:val="3E410AA9"/>
    <w:rsid w:val="3E48029F"/>
    <w:rsid w:val="3E7F4377"/>
    <w:rsid w:val="3E8567C1"/>
    <w:rsid w:val="3E8803DF"/>
    <w:rsid w:val="3E894239"/>
    <w:rsid w:val="3E976956"/>
    <w:rsid w:val="3E9C707D"/>
    <w:rsid w:val="3EBC460F"/>
    <w:rsid w:val="3EC16630"/>
    <w:rsid w:val="3ECA104B"/>
    <w:rsid w:val="3ED23E32"/>
    <w:rsid w:val="3EEA2F2A"/>
    <w:rsid w:val="3EED7561"/>
    <w:rsid w:val="3EF1129F"/>
    <w:rsid w:val="3EF17D6F"/>
    <w:rsid w:val="3EF926F9"/>
    <w:rsid w:val="3F091C3F"/>
    <w:rsid w:val="3F0A4783"/>
    <w:rsid w:val="3F1D32FF"/>
    <w:rsid w:val="3F331283"/>
    <w:rsid w:val="3F615C83"/>
    <w:rsid w:val="3F685DEA"/>
    <w:rsid w:val="3F6C4166"/>
    <w:rsid w:val="3F70114B"/>
    <w:rsid w:val="3F7C4F50"/>
    <w:rsid w:val="3F811406"/>
    <w:rsid w:val="3F814953"/>
    <w:rsid w:val="3F963A26"/>
    <w:rsid w:val="3FA3668F"/>
    <w:rsid w:val="3FA46FB0"/>
    <w:rsid w:val="3FA94203"/>
    <w:rsid w:val="3FB66B56"/>
    <w:rsid w:val="3FB84D11"/>
    <w:rsid w:val="3FC83D00"/>
    <w:rsid w:val="3FDB22EF"/>
    <w:rsid w:val="3FDD2059"/>
    <w:rsid w:val="3FE03678"/>
    <w:rsid w:val="3FE55856"/>
    <w:rsid w:val="3FF449D7"/>
    <w:rsid w:val="3FFA7E63"/>
    <w:rsid w:val="3FFD1AD0"/>
    <w:rsid w:val="3FFF491C"/>
    <w:rsid w:val="400D3F63"/>
    <w:rsid w:val="401761AF"/>
    <w:rsid w:val="40273F8A"/>
    <w:rsid w:val="403609F5"/>
    <w:rsid w:val="403A0347"/>
    <w:rsid w:val="403C32D4"/>
    <w:rsid w:val="404A3EC7"/>
    <w:rsid w:val="404A77D2"/>
    <w:rsid w:val="4058634B"/>
    <w:rsid w:val="40680762"/>
    <w:rsid w:val="40772CBF"/>
    <w:rsid w:val="407B3A38"/>
    <w:rsid w:val="408A57AC"/>
    <w:rsid w:val="4091231A"/>
    <w:rsid w:val="409D5FB3"/>
    <w:rsid w:val="40AB2E39"/>
    <w:rsid w:val="40B77932"/>
    <w:rsid w:val="40BF780F"/>
    <w:rsid w:val="40C960D3"/>
    <w:rsid w:val="40D6364F"/>
    <w:rsid w:val="40DF720C"/>
    <w:rsid w:val="40E13EB9"/>
    <w:rsid w:val="40EC510F"/>
    <w:rsid w:val="40F2566D"/>
    <w:rsid w:val="40F33CD2"/>
    <w:rsid w:val="40FD67A8"/>
    <w:rsid w:val="411F385E"/>
    <w:rsid w:val="41251231"/>
    <w:rsid w:val="41267024"/>
    <w:rsid w:val="41293340"/>
    <w:rsid w:val="412A52B7"/>
    <w:rsid w:val="41301F63"/>
    <w:rsid w:val="41342D59"/>
    <w:rsid w:val="41426296"/>
    <w:rsid w:val="414B524F"/>
    <w:rsid w:val="415E5D23"/>
    <w:rsid w:val="41697D08"/>
    <w:rsid w:val="416C4719"/>
    <w:rsid w:val="41AC1721"/>
    <w:rsid w:val="41AC2357"/>
    <w:rsid w:val="41B04689"/>
    <w:rsid w:val="41CB1AF5"/>
    <w:rsid w:val="41CE6B33"/>
    <w:rsid w:val="41E33C60"/>
    <w:rsid w:val="41EC2F23"/>
    <w:rsid w:val="41F44DDD"/>
    <w:rsid w:val="41F632AB"/>
    <w:rsid w:val="4205602F"/>
    <w:rsid w:val="420926A8"/>
    <w:rsid w:val="420E475E"/>
    <w:rsid w:val="42144998"/>
    <w:rsid w:val="421B0469"/>
    <w:rsid w:val="42254ACB"/>
    <w:rsid w:val="42403A61"/>
    <w:rsid w:val="424336BE"/>
    <w:rsid w:val="42563EA4"/>
    <w:rsid w:val="4258020C"/>
    <w:rsid w:val="426A0FC3"/>
    <w:rsid w:val="426C665F"/>
    <w:rsid w:val="427907BF"/>
    <w:rsid w:val="429F227D"/>
    <w:rsid w:val="42A95BF9"/>
    <w:rsid w:val="42AB568C"/>
    <w:rsid w:val="42AC635A"/>
    <w:rsid w:val="42B00E5C"/>
    <w:rsid w:val="42C4346C"/>
    <w:rsid w:val="42CE4911"/>
    <w:rsid w:val="42E13849"/>
    <w:rsid w:val="42F04887"/>
    <w:rsid w:val="42FC5124"/>
    <w:rsid w:val="43194545"/>
    <w:rsid w:val="43251D23"/>
    <w:rsid w:val="432A1B96"/>
    <w:rsid w:val="43311BFD"/>
    <w:rsid w:val="43367314"/>
    <w:rsid w:val="433B249B"/>
    <w:rsid w:val="433C187A"/>
    <w:rsid w:val="43420B70"/>
    <w:rsid w:val="43492257"/>
    <w:rsid w:val="435010A7"/>
    <w:rsid w:val="436F7684"/>
    <w:rsid w:val="437170D0"/>
    <w:rsid w:val="4373362C"/>
    <w:rsid w:val="43764E2E"/>
    <w:rsid w:val="4379335D"/>
    <w:rsid w:val="437C71FD"/>
    <w:rsid w:val="439C0782"/>
    <w:rsid w:val="43A37B4B"/>
    <w:rsid w:val="43A430D1"/>
    <w:rsid w:val="43AA1B61"/>
    <w:rsid w:val="43C1246B"/>
    <w:rsid w:val="43CD4BC8"/>
    <w:rsid w:val="43DA2CCD"/>
    <w:rsid w:val="43E12BAA"/>
    <w:rsid w:val="43E23ABE"/>
    <w:rsid w:val="440426ED"/>
    <w:rsid w:val="440F4776"/>
    <w:rsid w:val="44143703"/>
    <w:rsid w:val="44380E90"/>
    <w:rsid w:val="443E03E3"/>
    <w:rsid w:val="444159F1"/>
    <w:rsid w:val="4443697F"/>
    <w:rsid w:val="44451961"/>
    <w:rsid w:val="446F60B8"/>
    <w:rsid w:val="44741F34"/>
    <w:rsid w:val="4475773A"/>
    <w:rsid w:val="448D5606"/>
    <w:rsid w:val="44971C1B"/>
    <w:rsid w:val="449B7EAB"/>
    <w:rsid w:val="449C0AE3"/>
    <w:rsid w:val="44A65285"/>
    <w:rsid w:val="44B53314"/>
    <w:rsid w:val="44BF2D73"/>
    <w:rsid w:val="44C4079D"/>
    <w:rsid w:val="44C8564B"/>
    <w:rsid w:val="44DC74A2"/>
    <w:rsid w:val="44DD5A2E"/>
    <w:rsid w:val="44E02E6B"/>
    <w:rsid w:val="44EA63E7"/>
    <w:rsid w:val="44F62A20"/>
    <w:rsid w:val="44F90D29"/>
    <w:rsid w:val="44FD4E04"/>
    <w:rsid w:val="44FE4994"/>
    <w:rsid w:val="450C4042"/>
    <w:rsid w:val="45146732"/>
    <w:rsid w:val="45147150"/>
    <w:rsid w:val="451941B8"/>
    <w:rsid w:val="45310D70"/>
    <w:rsid w:val="45393E57"/>
    <w:rsid w:val="455B55D9"/>
    <w:rsid w:val="456E267D"/>
    <w:rsid w:val="457C00FD"/>
    <w:rsid w:val="459431EE"/>
    <w:rsid w:val="45947F90"/>
    <w:rsid w:val="45A3381B"/>
    <w:rsid w:val="45DF5DF0"/>
    <w:rsid w:val="45E8576F"/>
    <w:rsid w:val="45FB7ECD"/>
    <w:rsid w:val="45FC5F77"/>
    <w:rsid w:val="4604488D"/>
    <w:rsid w:val="46184820"/>
    <w:rsid w:val="46191F2F"/>
    <w:rsid w:val="461C772A"/>
    <w:rsid w:val="461D2E08"/>
    <w:rsid w:val="461F4AA7"/>
    <w:rsid w:val="463368B7"/>
    <w:rsid w:val="46393734"/>
    <w:rsid w:val="46581398"/>
    <w:rsid w:val="46900720"/>
    <w:rsid w:val="46D71F11"/>
    <w:rsid w:val="46DB6798"/>
    <w:rsid w:val="46E83CDA"/>
    <w:rsid w:val="46EB2FCD"/>
    <w:rsid w:val="46F661E4"/>
    <w:rsid w:val="46F83046"/>
    <w:rsid w:val="46FA4032"/>
    <w:rsid w:val="47037BA7"/>
    <w:rsid w:val="470741E9"/>
    <w:rsid w:val="470A5B98"/>
    <w:rsid w:val="4711367B"/>
    <w:rsid w:val="4716148D"/>
    <w:rsid w:val="471808F7"/>
    <w:rsid w:val="471A30F3"/>
    <w:rsid w:val="47211B42"/>
    <w:rsid w:val="472504F8"/>
    <w:rsid w:val="472B10A2"/>
    <w:rsid w:val="4747214E"/>
    <w:rsid w:val="4757612E"/>
    <w:rsid w:val="477639CE"/>
    <w:rsid w:val="477760D5"/>
    <w:rsid w:val="477B2488"/>
    <w:rsid w:val="478F28C0"/>
    <w:rsid w:val="47A536AD"/>
    <w:rsid w:val="47A923B9"/>
    <w:rsid w:val="47AD2D46"/>
    <w:rsid w:val="47CB222D"/>
    <w:rsid w:val="47D75D20"/>
    <w:rsid w:val="47ED61C2"/>
    <w:rsid w:val="47EF13C6"/>
    <w:rsid w:val="48147A67"/>
    <w:rsid w:val="48164FEB"/>
    <w:rsid w:val="48292EC4"/>
    <w:rsid w:val="483C2DBC"/>
    <w:rsid w:val="484A67E7"/>
    <w:rsid w:val="484B1E04"/>
    <w:rsid w:val="485B3227"/>
    <w:rsid w:val="485C4BE5"/>
    <w:rsid w:val="48602632"/>
    <w:rsid w:val="48632753"/>
    <w:rsid w:val="48792BEE"/>
    <w:rsid w:val="48875E18"/>
    <w:rsid w:val="488B5A9D"/>
    <w:rsid w:val="488E1498"/>
    <w:rsid w:val="48AB22C8"/>
    <w:rsid w:val="48B1188E"/>
    <w:rsid w:val="48B13DF3"/>
    <w:rsid w:val="48BC53EB"/>
    <w:rsid w:val="48BF5427"/>
    <w:rsid w:val="48C81747"/>
    <w:rsid w:val="48E161EB"/>
    <w:rsid w:val="48FB796E"/>
    <w:rsid w:val="4912171D"/>
    <w:rsid w:val="496A29CF"/>
    <w:rsid w:val="49725A83"/>
    <w:rsid w:val="49750BC6"/>
    <w:rsid w:val="497A203E"/>
    <w:rsid w:val="498127D2"/>
    <w:rsid w:val="498D72D3"/>
    <w:rsid w:val="49BA28BA"/>
    <w:rsid w:val="49D1575D"/>
    <w:rsid w:val="49D438AE"/>
    <w:rsid w:val="49D86CD6"/>
    <w:rsid w:val="49EF15E2"/>
    <w:rsid w:val="49F1006A"/>
    <w:rsid w:val="4A0D1B22"/>
    <w:rsid w:val="4A17094B"/>
    <w:rsid w:val="4A211667"/>
    <w:rsid w:val="4A230DAF"/>
    <w:rsid w:val="4A387522"/>
    <w:rsid w:val="4A3D47A0"/>
    <w:rsid w:val="4A521FA1"/>
    <w:rsid w:val="4A536F35"/>
    <w:rsid w:val="4A596A40"/>
    <w:rsid w:val="4A5E02F2"/>
    <w:rsid w:val="4A640647"/>
    <w:rsid w:val="4A6664DD"/>
    <w:rsid w:val="4A693944"/>
    <w:rsid w:val="4A6E1243"/>
    <w:rsid w:val="4A754B47"/>
    <w:rsid w:val="4A767D68"/>
    <w:rsid w:val="4A822DC3"/>
    <w:rsid w:val="4A835E59"/>
    <w:rsid w:val="4A9F144E"/>
    <w:rsid w:val="4AA219EE"/>
    <w:rsid w:val="4AA268B0"/>
    <w:rsid w:val="4AAF7DED"/>
    <w:rsid w:val="4AC51695"/>
    <w:rsid w:val="4ADB3B8E"/>
    <w:rsid w:val="4AEB0E78"/>
    <w:rsid w:val="4AF66465"/>
    <w:rsid w:val="4B0E61F2"/>
    <w:rsid w:val="4B0E6BEC"/>
    <w:rsid w:val="4B1B446B"/>
    <w:rsid w:val="4B233407"/>
    <w:rsid w:val="4B2C72E0"/>
    <w:rsid w:val="4B2E39CD"/>
    <w:rsid w:val="4B3A6F0B"/>
    <w:rsid w:val="4B3F45C9"/>
    <w:rsid w:val="4B6B1775"/>
    <w:rsid w:val="4B6B65A7"/>
    <w:rsid w:val="4B726F56"/>
    <w:rsid w:val="4B83478B"/>
    <w:rsid w:val="4B863FDA"/>
    <w:rsid w:val="4B881DE5"/>
    <w:rsid w:val="4B8C50D1"/>
    <w:rsid w:val="4BAB2063"/>
    <w:rsid w:val="4BB77EB1"/>
    <w:rsid w:val="4BD233D5"/>
    <w:rsid w:val="4BD47BCE"/>
    <w:rsid w:val="4BDF1B0C"/>
    <w:rsid w:val="4BEE36D0"/>
    <w:rsid w:val="4BEE63D3"/>
    <w:rsid w:val="4BF27303"/>
    <w:rsid w:val="4BFA4162"/>
    <w:rsid w:val="4C04758C"/>
    <w:rsid w:val="4C086ED3"/>
    <w:rsid w:val="4C1635B0"/>
    <w:rsid w:val="4C215104"/>
    <w:rsid w:val="4C294F8C"/>
    <w:rsid w:val="4C3F68CB"/>
    <w:rsid w:val="4C5C1437"/>
    <w:rsid w:val="4C63596A"/>
    <w:rsid w:val="4C69714A"/>
    <w:rsid w:val="4C8A6162"/>
    <w:rsid w:val="4CAF7561"/>
    <w:rsid w:val="4CB86805"/>
    <w:rsid w:val="4CC0684C"/>
    <w:rsid w:val="4D04603A"/>
    <w:rsid w:val="4D075B53"/>
    <w:rsid w:val="4D184888"/>
    <w:rsid w:val="4D1A506F"/>
    <w:rsid w:val="4D1E366B"/>
    <w:rsid w:val="4D303B32"/>
    <w:rsid w:val="4D314CE5"/>
    <w:rsid w:val="4D4203D5"/>
    <w:rsid w:val="4D4D1254"/>
    <w:rsid w:val="4D524EFC"/>
    <w:rsid w:val="4D60278B"/>
    <w:rsid w:val="4DB655BC"/>
    <w:rsid w:val="4DC3607C"/>
    <w:rsid w:val="4DC934A3"/>
    <w:rsid w:val="4DCE4BBC"/>
    <w:rsid w:val="4DDA5ECB"/>
    <w:rsid w:val="4E001070"/>
    <w:rsid w:val="4E100E0C"/>
    <w:rsid w:val="4E1A5811"/>
    <w:rsid w:val="4E2171E2"/>
    <w:rsid w:val="4E290DEA"/>
    <w:rsid w:val="4E2B3002"/>
    <w:rsid w:val="4E393351"/>
    <w:rsid w:val="4E5C454B"/>
    <w:rsid w:val="4E61585E"/>
    <w:rsid w:val="4E657CB6"/>
    <w:rsid w:val="4E6F014C"/>
    <w:rsid w:val="4E821AC1"/>
    <w:rsid w:val="4E8A3ACD"/>
    <w:rsid w:val="4E9036E4"/>
    <w:rsid w:val="4E9121A3"/>
    <w:rsid w:val="4E94223C"/>
    <w:rsid w:val="4EA315B1"/>
    <w:rsid w:val="4EA97710"/>
    <w:rsid w:val="4EB8094F"/>
    <w:rsid w:val="4EC60BE5"/>
    <w:rsid w:val="4ED33A30"/>
    <w:rsid w:val="4EE07EA5"/>
    <w:rsid w:val="4EFD45B3"/>
    <w:rsid w:val="4F020E87"/>
    <w:rsid w:val="4F0A6CD0"/>
    <w:rsid w:val="4F0E2841"/>
    <w:rsid w:val="4F39579C"/>
    <w:rsid w:val="4F5C2F8F"/>
    <w:rsid w:val="4F662E42"/>
    <w:rsid w:val="4F8C3B89"/>
    <w:rsid w:val="4FAD5783"/>
    <w:rsid w:val="4FB65B4C"/>
    <w:rsid w:val="4FC745B9"/>
    <w:rsid w:val="4FD07142"/>
    <w:rsid w:val="4FD072CA"/>
    <w:rsid w:val="4FD23C92"/>
    <w:rsid w:val="4FD33502"/>
    <w:rsid w:val="4FF1781F"/>
    <w:rsid w:val="50092979"/>
    <w:rsid w:val="500F5574"/>
    <w:rsid w:val="502A15D8"/>
    <w:rsid w:val="502C7114"/>
    <w:rsid w:val="503806DC"/>
    <w:rsid w:val="504B5ACC"/>
    <w:rsid w:val="505234C3"/>
    <w:rsid w:val="505E20A9"/>
    <w:rsid w:val="505E64D1"/>
    <w:rsid w:val="505F606E"/>
    <w:rsid w:val="50607C1B"/>
    <w:rsid w:val="50715259"/>
    <w:rsid w:val="50873195"/>
    <w:rsid w:val="50882BDA"/>
    <w:rsid w:val="508868E6"/>
    <w:rsid w:val="50896655"/>
    <w:rsid w:val="509E566B"/>
    <w:rsid w:val="50A225AF"/>
    <w:rsid w:val="50A464F4"/>
    <w:rsid w:val="50A67BA9"/>
    <w:rsid w:val="50BF136F"/>
    <w:rsid w:val="50C5039C"/>
    <w:rsid w:val="50C77DAE"/>
    <w:rsid w:val="50CC6803"/>
    <w:rsid w:val="50D83189"/>
    <w:rsid w:val="50DA72BB"/>
    <w:rsid w:val="50E956D4"/>
    <w:rsid w:val="50EB1815"/>
    <w:rsid w:val="50EE1A52"/>
    <w:rsid w:val="50F554E9"/>
    <w:rsid w:val="510252DB"/>
    <w:rsid w:val="51066084"/>
    <w:rsid w:val="510F1C91"/>
    <w:rsid w:val="51120465"/>
    <w:rsid w:val="512E0E26"/>
    <w:rsid w:val="512E4678"/>
    <w:rsid w:val="51354D5A"/>
    <w:rsid w:val="513653E6"/>
    <w:rsid w:val="513723D1"/>
    <w:rsid w:val="51381EAC"/>
    <w:rsid w:val="51382B30"/>
    <w:rsid w:val="513C649A"/>
    <w:rsid w:val="514016B7"/>
    <w:rsid w:val="514041E4"/>
    <w:rsid w:val="515701E8"/>
    <w:rsid w:val="515862F2"/>
    <w:rsid w:val="5164091A"/>
    <w:rsid w:val="51B3661D"/>
    <w:rsid w:val="51B9237E"/>
    <w:rsid w:val="51BB0BE8"/>
    <w:rsid w:val="51C24F4D"/>
    <w:rsid w:val="51C328E8"/>
    <w:rsid w:val="51C615D7"/>
    <w:rsid w:val="51D964E4"/>
    <w:rsid w:val="51EA67EF"/>
    <w:rsid w:val="51FC3136"/>
    <w:rsid w:val="5202206C"/>
    <w:rsid w:val="52045106"/>
    <w:rsid w:val="520E540D"/>
    <w:rsid w:val="521D5470"/>
    <w:rsid w:val="521E3FF3"/>
    <w:rsid w:val="52257203"/>
    <w:rsid w:val="522C4D69"/>
    <w:rsid w:val="523302F5"/>
    <w:rsid w:val="524408CC"/>
    <w:rsid w:val="52503447"/>
    <w:rsid w:val="525C5C8C"/>
    <w:rsid w:val="525E1D2A"/>
    <w:rsid w:val="526B2FB1"/>
    <w:rsid w:val="527267DE"/>
    <w:rsid w:val="527A47FF"/>
    <w:rsid w:val="527C5CC1"/>
    <w:rsid w:val="527D4E6F"/>
    <w:rsid w:val="5282014C"/>
    <w:rsid w:val="52880FB8"/>
    <w:rsid w:val="52A03397"/>
    <w:rsid w:val="52B27F46"/>
    <w:rsid w:val="52C1278F"/>
    <w:rsid w:val="52C129A5"/>
    <w:rsid w:val="52C75E27"/>
    <w:rsid w:val="52D96EA6"/>
    <w:rsid w:val="52F80DC9"/>
    <w:rsid w:val="52FE451B"/>
    <w:rsid w:val="5308530D"/>
    <w:rsid w:val="530D6D8F"/>
    <w:rsid w:val="530F1BCF"/>
    <w:rsid w:val="53325CD2"/>
    <w:rsid w:val="533A5C60"/>
    <w:rsid w:val="534121A2"/>
    <w:rsid w:val="5376698C"/>
    <w:rsid w:val="537B664F"/>
    <w:rsid w:val="53807786"/>
    <w:rsid w:val="53873E0B"/>
    <w:rsid w:val="538F59F6"/>
    <w:rsid w:val="53AB4F5C"/>
    <w:rsid w:val="53EC35D6"/>
    <w:rsid w:val="542B0ABC"/>
    <w:rsid w:val="54433422"/>
    <w:rsid w:val="544D04FE"/>
    <w:rsid w:val="544F309F"/>
    <w:rsid w:val="546008AD"/>
    <w:rsid w:val="5467499D"/>
    <w:rsid w:val="54681703"/>
    <w:rsid w:val="5472292D"/>
    <w:rsid w:val="549924CB"/>
    <w:rsid w:val="549D5D5C"/>
    <w:rsid w:val="549E05E7"/>
    <w:rsid w:val="54E52C92"/>
    <w:rsid w:val="54F3141A"/>
    <w:rsid w:val="54F44E33"/>
    <w:rsid w:val="54F478A4"/>
    <w:rsid w:val="55002113"/>
    <w:rsid w:val="552703EE"/>
    <w:rsid w:val="553B6008"/>
    <w:rsid w:val="553C2FC1"/>
    <w:rsid w:val="556A1073"/>
    <w:rsid w:val="556F5ADF"/>
    <w:rsid w:val="558333C1"/>
    <w:rsid w:val="55B87486"/>
    <w:rsid w:val="55BA087A"/>
    <w:rsid w:val="55BB289D"/>
    <w:rsid w:val="55C9645F"/>
    <w:rsid w:val="55CC00F8"/>
    <w:rsid w:val="55DB0F91"/>
    <w:rsid w:val="55DD0A7D"/>
    <w:rsid w:val="55DE4355"/>
    <w:rsid w:val="55E32B88"/>
    <w:rsid w:val="55F305A6"/>
    <w:rsid w:val="560C01BB"/>
    <w:rsid w:val="56307E67"/>
    <w:rsid w:val="563A312A"/>
    <w:rsid w:val="56426050"/>
    <w:rsid w:val="564B654C"/>
    <w:rsid w:val="565A5DC7"/>
    <w:rsid w:val="56771937"/>
    <w:rsid w:val="567F6737"/>
    <w:rsid w:val="568D183E"/>
    <w:rsid w:val="568F2767"/>
    <w:rsid w:val="56920D90"/>
    <w:rsid w:val="569C673B"/>
    <w:rsid w:val="56A106AC"/>
    <w:rsid w:val="56A254D7"/>
    <w:rsid w:val="56B15E3A"/>
    <w:rsid w:val="56C1236A"/>
    <w:rsid w:val="56CB3A71"/>
    <w:rsid w:val="56D32535"/>
    <w:rsid w:val="56F15F69"/>
    <w:rsid w:val="56FE711B"/>
    <w:rsid w:val="571B40C8"/>
    <w:rsid w:val="572E4BCE"/>
    <w:rsid w:val="57303174"/>
    <w:rsid w:val="573135BD"/>
    <w:rsid w:val="573828F4"/>
    <w:rsid w:val="573A2391"/>
    <w:rsid w:val="57571C93"/>
    <w:rsid w:val="576228FB"/>
    <w:rsid w:val="5763665A"/>
    <w:rsid w:val="57663D50"/>
    <w:rsid w:val="57711B4D"/>
    <w:rsid w:val="57776AA4"/>
    <w:rsid w:val="577E39C3"/>
    <w:rsid w:val="57931AE1"/>
    <w:rsid w:val="57A218CA"/>
    <w:rsid w:val="57A87AFB"/>
    <w:rsid w:val="57AA52A4"/>
    <w:rsid w:val="57B74973"/>
    <w:rsid w:val="57C55255"/>
    <w:rsid w:val="57E04A72"/>
    <w:rsid w:val="57E33DE9"/>
    <w:rsid w:val="57F435E4"/>
    <w:rsid w:val="58077CD4"/>
    <w:rsid w:val="580D5CD0"/>
    <w:rsid w:val="58114BCD"/>
    <w:rsid w:val="58127EAB"/>
    <w:rsid w:val="581B2CA5"/>
    <w:rsid w:val="582232DD"/>
    <w:rsid w:val="58276B45"/>
    <w:rsid w:val="583A2175"/>
    <w:rsid w:val="5862610E"/>
    <w:rsid w:val="58684D65"/>
    <w:rsid w:val="587C6644"/>
    <w:rsid w:val="5888429A"/>
    <w:rsid w:val="5888724A"/>
    <w:rsid w:val="58943136"/>
    <w:rsid w:val="58AD6080"/>
    <w:rsid w:val="58C06A53"/>
    <w:rsid w:val="58D43EA7"/>
    <w:rsid w:val="58EC6F3C"/>
    <w:rsid w:val="58F855A4"/>
    <w:rsid w:val="591567A8"/>
    <w:rsid w:val="59170C7B"/>
    <w:rsid w:val="59172982"/>
    <w:rsid w:val="591F071D"/>
    <w:rsid w:val="591F7A12"/>
    <w:rsid w:val="59224F0F"/>
    <w:rsid w:val="592B2173"/>
    <w:rsid w:val="59313F3B"/>
    <w:rsid w:val="5955311B"/>
    <w:rsid w:val="59653ED2"/>
    <w:rsid w:val="596B6014"/>
    <w:rsid w:val="59751359"/>
    <w:rsid w:val="599E7601"/>
    <w:rsid w:val="59AA0AAD"/>
    <w:rsid w:val="59BB5797"/>
    <w:rsid w:val="59C76C54"/>
    <w:rsid w:val="59D226B0"/>
    <w:rsid w:val="59D67A6F"/>
    <w:rsid w:val="59F2424D"/>
    <w:rsid w:val="59F258F7"/>
    <w:rsid w:val="59FD7B5D"/>
    <w:rsid w:val="5A246B82"/>
    <w:rsid w:val="5A29423C"/>
    <w:rsid w:val="5A2B333A"/>
    <w:rsid w:val="5A367DF2"/>
    <w:rsid w:val="5A3E0AF7"/>
    <w:rsid w:val="5A4A017C"/>
    <w:rsid w:val="5A4F5FA1"/>
    <w:rsid w:val="5A5A3450"/>
    <w:rsid w:val="5A5B4D9A"/>
    <w:rsid w:val="5A8001AB"/>
    <w:rsid w:val="5A867F2F"/>
    <w:rsid w:val="5A8B345C"/>
    <w:rsid w:val="5A8E60CA"/>
    <w:rsid w:val="5AA54958"/>
    <w:rsid w:val="5AB363F3"/>
    <w:rsid w:val="5AB93E89"/>
    <w:rsid w:val="5ABE1C88"/>
    <w:rsid w:val="5AC72CC5"/>
    <w:rsid w:val="5AD355CA"/>
    <w:rsid w:val="5ADB7912"/>
    <w:rsid w:val="5AFF2DB3"/>
    <w:rsid w:val="5B0608E3"/>
    <w:rsid w:val="5B110061"/>
    <w:rsid w:val="5B1F56C3"/>
    <w:rsid w:val="5B3771F1"/>
    <w:rsid w:val="5B50164D"/>
    <w:rsid w:val="5B5B63A2"/>
    <w:rsid w:val="5B5E43F9"/>
    <w:rsid w:val="5B761D6F"/>
    <w:rsid w:val="5B9B377A"/>
    <w:rsid w:val="5BA0695B"/>
    <w:rsid w:val="5BA3448D"/>
    <w:rsid w:val="5BB1523B"/>
    <w:rsid w:val="5BBD71F2"/>
    <w:rsid w:val="5BC9047E"/>
    <w:rsid w:val="5BED18E7"/>
    <w:rsid w:val="5BF23219"/>
    <w:rsid w:val="5BF31AD6"/>
    <w:rsid w:val="5BF9002E"/>
    <w:rsid w:val="5C09191E"/>
    <w:rsid w:val="5C0B1699"/>
    <w:rsid w:val="5C2D5150"/>
    <w:rsid w:val="5C2D6438"/>
    <w:rsid w:val="5C475999"/>
    <w:rsid w:val="5C494564"/>
    <w:rsid w:val="5C495B5D"/>
    <w:rsid w:val="5C4F54BC"/>
    <w:rsid w:val="5C5A1297"/>
    <w:rsid w:val="5C5F63CC"/>
    <w:rsid w:val="5C712CEE"/>
    <w:rsid w:val="5C7A36E7"/>
    <w:rsid w:val="5C7E67A6"/>
    <w:rsid w:val="5C8D34E9"/>
    <w:rsid w:val="5CA661BE"/>
    <w:rsid w:val="5CA8165E"/>
    <w:rsid w:val="5CAF052B"/>
    <w:rsid w:val="5CB96055"/>
    <w:rsid w:val="5CCC01E2"/>
    <w:rsid w:val="5CEC26E2"/>
    <w:rsid w:val="5CEF731D"/>
    <w:rsid w:val="5D0D5BEB"/>
    <w:rsid w:val="5D102E39"/>
    <w:rsid w:val="5D1D5347"/>
    <w:rsid w:val="5D2C1385"/>
    <w:rsid w:val="5D2D3C10"/>
    <w:rsid w:val="5D302EDA"/>
    <w:rsid w:val="5D4B49FC"/>
    <w:rsid w:val="5D703ED3"/>
    <w:rsid w:val="5D8462D2"/>
    <w:rsid w:val="5D861B81"/>
    <w:rsid w:val="5D876422"/>
    <w:rsid w:val="5D8E6B09"/>
    <w:rsid w:val="5D9440E8"/>
    <w:rsid w:val="5D9E14C7"/>
    <w:rsid w:val="5DBE0162"/>
    <w:rsid w:val="5DE46196"/>
    <w:rsid w:val="5DEA6787"/>
    <w:rsid w:val="5DEC7EBF"/>
    <w:rsid w:val="5DF237B4"/>
    <w:rsid w:val="5DFA0354"/>
    <w:rsid w:val="5E046F65"/>
    <w:rsid w:val="5E0C0060"/>
    <w:rsid w:val="5E0F087D"/>
    <w:rsid w:val="5E23390B"/>
    <w:rsid w:val="5E386880"/>
    <w:rsid w:val="5E4863F0"/>
    <w:rsid w:val="5E4E2603"/>
    <w:rsid w:val="5E507A46"/>
    <w:rsid w:val="5E510B87"/>
    <w:rsid w:val="5E512BA9"/>
    <w:rsid w:val="5E5449A6"/>
    <w:rsid w:val="5E5A03C3"/>
    <w:rsid w:val="5E5F4E61"/>
    <w:rsid w:val="5E68156F"/>
    <w:rsid w:val="5E686287"/>
    <w:rsid w:val="5E721032"/>
    <w:rsid w:val="5E806F8B"/>
    <w:rsid w:val="5E9A3FC1"/>
    <w:rsid w:val="5EBA601D"/>
    <w:rsid w:val="5EC33192"/>
    <w:rsid w:val="5ECF79C7"/>
    <w:rsid w:val="5ED40B65"/>
    <w:rsid w:val="5ED81849"/>
    <w:rsid w:val="5EFC6FEB"/>
    <w:rsid w:val="5EFF4434"/>
    <w:rsid w:val="5F1A2F60"/>
    <w:rsid w:val="5F1C4D7E"/>
    <w:rsid w:val="5F2E7065"/>
    <w:rsid w:val="5F355DB6"/>
    <w:rsid w:val="5F5209F8"/>
    <w:rsid w:val="5F530B3B"/>
    <w:rsid w:val="5F550382"/>
    <w:rsid w:val="5F635DC8"/>
    <w:rsid w:val="5F775816"/>
    <w:rsid w:val="5F81463B"/>
    <w:rsid w:val="5F8355BC"/>
    <w:rsid w:val="5F846736"/>
    <w:rsid w:val="5F921867"/>
    <w:rsid w:val="5F976163"/>
    <w:rsid w:val="5FCF1954"/>
    <w:rsid w:val="5FD547E6"/>
    <w:rsid w:val="5FFD62F5"/>
    <w:rsid w:val="60036BB3"/>
    <w:rsid w:val="600823ED"/>
    <w:rsid w:val="600A3F4F"/>
    <w:rsid w:val="60101E3D"/>
    <w:rsid w:val="601E2116"/>
    <w:rsid w:val="60345021"/>
    <w:rsid w:val="603E364A"/>
    <w:rsid w:val="60717970"/>
    <w:rsid w:val="60751C87"/>
    <w:rsid w:val="609662A4"/>
    <w:rsid w:val="60A315F3"/>
    <w:rsid w:val="60BB5DD9"/>
    <w:rsid w:val="60C06A13"/>
    <w:rsid w:val="60D12A29"/>
    <w:rsid w:val="60EA2FF4"/>
    <w:rsid w:val="60EB5790"/>
    <w:rsid w:val="610A2B60"/>
    <w:rsid w:val="610B452A"/>
    <w:rsid w:val="610D776E"/>
    <w:rsid w:val="61122B5C"/>
    <w:rsid w:val="61424B96"/>
    <w:rsid w:val="614E289C"/>
    <w:rsid w:val="61500132"/>
    <w:rsid w:val="61652AFB"/>
    <w:rsid w:val="618260B8"/>
    <w:rsid w:val="61A142EB"/>
    <w:rsid w:val="61A95916"/>
    <w:rsid w:val="61AA758F"/>
    <w:rsid w:val="61C575C8"/>
    <w:rsid w:val="61C86526"/>
    <w:rsid w:val="61E11B13"/>
    <w:rsid w:val="61E460D4"/>
    <w:rsid w:val="61F338BF"/>
    <w:rsid w:val="62097C9D"/>
    <w:rsid w:val="620D7526"/>
    <w:rsid w:val="62250D4D"/>
    <w:rsid w:val="622B048D"/>
    <w:rsid w:val="62345478"/>
    <w:rsid w:val="625C2AAE"/>
    <w:rsid w:val="62616ABC"/>
    <w:rsid w:val="628428A4"/>
    <w:rsid w:val="6289140F"/>
    <w:rsid w:val="628B0E76"/>
    <w:rsid w:val="62907D75"/>
    <w:rsid w:val="629E4172"/>
    <w:rsid w:val="62A54F1F"/>
    <w:rsid w:val="62AF2D2F"/>
    <w:rsid w:val="62BC3011"/>
    <w:rsid w:val="62C62B58"/>
    <w:rsid w:val="62D12F89"/>
    <w:rsid w:val="62F44E6B"/>
    <w:rsid w:val="63046706"/>
    <w:rsid w:val="63116428"/>
    <w:rsid w:val="631F076E"/>
    <w:rsid w:val="63310230"/>
    <w:rsid w:val="63612F0B"/>
    <w:rsid w:val="638E126B"/>
    <w:rsid w:val="63952790"/>
    <w:rsid w:val="63A31630"/>
    <w:rsid w:val="63C21069"/>
    <w:rsid w:val="63CE27D8"/>
    <w:rsid w:val="63ED4CBF"/>
    <w:rsid w:val="63F1572E"/>
    <w:rsid w:val="63F867EF"/>
    <w:rsid w:val="63F932C5"/>
    <w:rsid w:val="63FD3070"/>
    <w:rsid w:val="64040C9B"/>
    <w:rsid w:val="640D45E0"/>
    <w:rsid w:val="64107237"/>
    <w:rsid w:val="64171BB9"/>
    <w:rsid w:val="64176729"/>
    <w:rsid w:val="642B3519"/>
    <w:rsid w:val="64591E34"/>
    <w:rsid w:val="645C76B6"/>
    <w:rsid w:val="64625963"/>
    <w:rsid w:val="647B7C5D"/>
    <w:rsid w:val="647C7ED5"/>
    <w:rsid w:val="64882719"/>
    <w:rsid w:val="649A0079"/>
    <w:rsid w:val="649D7B06"/>
    <w:rsid w:val="64A23965"/>
    <w:rsid w:val="64A61003"/>
    <w:rsid w:val="64DA7510"/>
    <w:rsid w:val="64EE228F"/>
    <w:rsid w:val="65102E3B"/>
    <w:rsid w:val="652268EC"/>
    <w:rsid w:val="652561BA"/>
    <w:rsid w:val="65266929"/>
    <w:rsid w:val="6536223E"/>
    <w:rsid w:val="653D52B2"/>
    <w:rsid w:val="655015C5"/>
    <w:rsid w:val="655A3891"/>
    <w:rsid w:val="65711E24"/>
    <w:rsid w:val="6577407A"/>
    <w:rsid w:val="657F4BCB"/>
    <w:rsid w:val="658F02D3"/>
    <w:rsid w:val="65911419"/>
    <w:rsid w:val="65A078D0"/>
    <w:rsid w:val="65A32AC8"/>
    <w:rsid w:val="65B24CEA"/>
    <w:rsid w:val="65B32266"/>
    <w:rsid w:val="65DE4CE7"/>
    <w:rsid w:val="65E54F88"/>
    <w:rsid w:val="65FC33BF"/>
    <w:rsid w:val="662A2A3B"/>
    <w:rsid w:val="662A4E93"/>
    <w:rsid w:val="66325279"/>
    <w:rsid w:val="663522F2"/>
    <w:rsid w:val="663D214A"/>
    <w:rsid w:val="66525E47"/>
    <w:rsid w:val="665E09E7"/>
    <w:rsid w:val="666148D1"/>
    <w:rsid w:val="666420D5"/>
    <w:rsid w:val="666A1D5A"/>
    <w:rsid w:val="666D654A"/>
    <w:rsid w:val="666E3CE8"/>
    <w:rsid w:val="668B199B"/>
    <w:rsid w:val="668F05DE"/>
    <w:rsid w:val="66B77536"/>
    <w:rsid w:val="66BC0132"/>
    <w:rsid w:val="66C7733B"/>
    <w:rsid w:val="66C96F26"/>
    <w:rsid w:val="66D06CD4"/>
    <w:rsid w:val="66E17EAB"/>
    <w:rsid w:val="66F559E3"/>
    <w:rsid w:val="66FC78D2"/>
    <w:rsid w:val="67001DA7"/>
    <w:rsid w:val="6735767C"/>
    <w:rsid w:val="673858DF"/>
    <w:rsid w:val="675B7897"/>
    <w:rsid w:val="676404B9"/>
    <w:rsid w:val="676752FD"/>
    <w:rsid w:val="67927BBC"/>
    <w:rsid w:val="67C86443"/>
    <w:rsid w:val="67C87F78"/>
    <w:rsid w:val="67DB0FA6"/>
    <w:rsid w:val="680E09F2"/>
    <w:rsid w:val="68113F78"/>
    <w:rsid w:val="681440EA"/>
    <w:rsid w:val="68150768"/>
    <w:rsid w:val="68200E09"/>
    <w:rsid w:val="683351FB"/>
    <w:rsid w:val="684958BF"/>
    <w:rsid w:val="68600B71"/>
    <w:rsid w:val="68695E40"/>
    <w:rsid w:val="686B73FF"/>
    <w:rsid w:val="6871776D"/>
    <w:rsid w:val="68761483"/>
    <w:rsid w:val="6877254B"/>
    <w:rsid w:val="687F14FF"/>
    <w:rsid w:val="68A46AF3"/>
    <w:rsid w:val="68A75386"/>
    <w:rsid w:val="68B67474"/>
    <w:rsid w:val="68DD6146"/>
    <w:rsid w:val="690D1150"/>
    <w:rsid w:val="691A71F0"/>
    <w:rsid w:val="692341A0"/>
    <w:rsid w:val="69234312"/>
    <w:rsid w:val="69244F55"/>
    <w:rsid w:val="692846C1"/>
    <w:rsid w:val="69364132"/>
    <w:rsid w:val="69422C5E"/>
    <w:rsid w:val="694854E7"/>
    <w:rsid w:val="6949543F"/>
    <w:rsid w:val="69497CC3"/>
    <w:rsid w:val="694E3F32"/>
    <w:rsid w:val="695377A0"/>
    <w:rsid w:val="6957718E"/>
    <w:rsid w:val="69612FCA"/>
    <w:rsid w:val="696E6382"/>
    <w:rsid w:val="698B62BD"/>
    <w:rsid w:val="698C363D"/>
    <w:rsid w:val="69A02086"/>
    <w:rsid w:val="69A0462D"/>
    <w:rsid w:val="69DB0435"/>
    <w:rsid w:val="69EA1DDB"/>
    <w:rsid w:val="6A082C2D"/>
    <w:rsid w:val="6A123A03"/>
    <w:rsid w:val="6A232FA8"/>
    <w:rsid w:val="6A271C37"/>
    <w:rsid w:val="6A332941"/>
    <w:rsid w:val="6A372C18"/>
    <w:rsid w:val="6A5D329A"/>
    <w:rsid w:val="6A62486A"/>
    <w:rsid w:val="6A6E3451"/>
    <w:rsid w:val="6A7526C5"/>
    <w:rsid w:val="6A7D2A8B"/>
    <w:rsid w:val="6A8120E5"/>
    <w:rsid w:val="6A8A0DE2"/>
    <w:rsid w:val="6A8A23D9"/>
    <w:rsid w:val="6A922CE9"/>
    <w:rsid w:val="6ABA73A5"/>
    <w:rsid w:val="6AC4416A"/>
    <w:rsid w:val="6ACB1211"/>
    <w:rsid w:val="6AE40B7C"/>
    <w:rsid w:val="6AE77D65"/>
    <w:rsid w:val="6AFF6D0F"/>
    <w:rsid w:val="6B022808"/>
    <w:rsid w:val="6B06756B"/>
    <w:rsid w:val="6B084622"/>
    <w:rsid w:val="6B0869A4"/>
    <w:rsid w:val="6B2E0290"/>
    <w:rsid w:val="6B5D12ED"/>
    <w:rsid w:val="6B63767B"/>
    <w:rsid w:val="6B6C441C"/>
    <w:rsid w:val="6B754942"/>
    <w:rsid w:val="6B8D723B"/>
    <w:rsid w:val="6BA8784A"/>
    <w:rsid w:val="6BB00AB2"/>
    <w:rsid w:val="6BB17BFE"/>
    <w:rsid w:val="6BEE3EEC"/>
    <w:rsid w:val="6BEF4424"/>
    <w:rsid w:val="6BF55514"/>
    <w:rsid w:val="6C063F42"/>
    <w:rsid w:val="6C1B7B81"/>
    <w:rsid w:val="6C2955C5"/>
    <w:rsid w:val="6C3753A5"/>
    <w:rsid w:val="6C420798"/>
    <w:rsid w:val="6C5914A2"/>
    <w:rsid w:val="6C5A4BD3"/>
    <w:rsid w:val="6C5C00FF"/>
    <w:rsid w:val="6C6D0318"/>
    <w:rsid w:val="6C826356"/>
    <w:rsid w:val="6C88775B"/>
    <w:rsid w:val="6C8C1166"/>
    <w:rsid w:val="6CB80F0F"/>
    <w:rsid w:val="6CCC3278"/>
    <w:rsid w:val="6CD24037"/>
    <w:rsid w:val="6CD27DBB"/>
    <w:rsid w:val="6CD64342"/>
    <w:rsid w:val="6CE611BE"/>
    <w:rsid w:val="6CF0330A"/>
    <w:rsid w:val="6D024CF4"/>
    <w:rsid w:val="6D0C1183"/>
    <w:rsid w:val="6D13429D"/>
    <w:rsid w:val="6D17317B"/>
    <w:rsid w:val="6D316543"/>
    <w:rsid w:val="6D3A389A"/>
    <w:rsid w:val="6D3A46F0"/>
    <w:rsid w:val="6D3E606B"/>
    <w:rsid w:val="6D5A4776"/>
    <w:rsid w:val="6D655032"/>
    <w:rsid w:val="6D7E48A9"/>
    <w:rsid w:val="6DA30A00"/>
    <w:rsid w:val="6DAD1ECC"/>
    <w:rsid w:val="6DB24AD1"/>
    <w:rsid w:val="6DB91DF6"/>
    <w:rsid w:val="6DC67EBF"/>
    <w:rsid w:val="6DCC18C9"/>
    <w:rsid w:val="6DDD0932"/>
    <w:rsid w:val="6DDE4A58"/>
    <w:rsid w:val="6DE20064"/>
    <w:rsid w:val="6DE7710E"/>
    <w:rsid w:val="6DE92424"/>
    <w:rsid w:val="6DEC5026"/>
    <w:rsid w:val="6DF30532"/>
    <w:rsid w:val="6E1A5085"/>
    <w:rsid w:val="6E242B16"/>
    <w:rsid w:val="6E2B5F9D"/>
    <w:rsid w:val="6E3203BE"/>
    <w:rsid w:val="6E3A7F2E"/>
    <w:rsid w:val="6E494B06"/>
    <w:rsid w:val="6E7C509D"/>
    <w:rsid w:val="6E89672C"/>
    <w:rsid w:val="6E8E490C"/>
    <w:rsid w:val="6E971BA8"/>
    <w:rsid w:val="6E9A0985"/>
    <w:rsid w:val="6E9A79F4"/>
    <w:rsid w:val="6EA85DFD"/>
    <w:rsid w:val="6EBD1C7B"/>
    <w:rsid w:val="6EBD5521"/>
    <w:rsid w:val="6EC95E08"/>
    <w:rsid w:val="6EEA709C"/>
    <w:rsid w:val="6EF31807"/>
    <w:rsid w:val="6EF72976"/>
    <w:rsid w:val="6EFE0985"/>
    <w:rsid w:val="6F007722"/>
    <w:rsid w:val="6F1F1325"/>
    <w:rsid w:val="6F314EB2"/>
    <w:rsid w:val="6F331363"/>
    <w:rsid w:val="6F33735D"/>
    <w:rsid w:val="6F4B1047"/>
    <w:rsid w:val="6F543096"/>
    <w:rsid w:val="6F5C7D2E"/>
    <w:rsid w:val="6F6E2D13"/>
    <w:rsid w:val="6F7E17F9"/>
    <w:rsid w:val="6F881820"/>
    <w:rsid w:val="6FA73FBA"/>
    <w:rsid w:val="6FB53789"/>
    <w:rsid w:val="6FC56A53"/>
    <w:rsid w:val="6FCA1E38"/>
    <w:rsid w:val="6FF92768"/>
    <w:rsid w:val="6FFF2BBE"/>
    <w:rsid w:val="70040AAC"/>
    <w:rsid w:val="70192DFC"/>
    <w:rsid w:val="701A40CF"/>
    <w:rsid w:val="70294ED3"/>
    <w:rsid w:val="703A63A6"/>
    <w:rsid w:val="703C5FF4"/>
    <w:rsid w:val="704F17D1"/>
    <w:rsid w:val="70903A9D"/>
    <w:rsid w:val="70A62291"/>
    <w:rsid w:val="70CB7764"/>
    <w:rsid w:val="70ED5743"/>
    <w:rsid w:val="70F27A83"/>
    <w:rsid w:val="70F56853"/>
    <w:rsid w:val="7101188A"/>
    <w:rsid w:val="71091CB0"/>
    <w:rsid w:val="710D040A"/>
    <w:rsid w:val="711260B6"/>
    <w:rsid w:val="711E0D2F"/>
    <w:rsid w:val="71256EB3"/>
    <w:rsid w:val="713D789C"/>
    <w:rsid w:val="71451A1F"/>
    <w:rsid w:val="714F129E"/>
    <w:rsid w:val="714F76E9"/>
    <w:rsid w:val="715B13F5"/>
    <w:rsid w:val="71810C1C"/>
    <w:rsid w:val="71834994"/>
    <w:rsid w:val="71940950"/>
    <w:rsid w:val="71A83FC1"/>
    <w:rsid w:val="71C44822"/>
    <w:rsid w:val="71C91C3A"/>
    <w:rsid w:val="71CF7C69"/>
    <w:rsid w:val="71F20D22"/>
    <w:rsid w:val="723E3FE8"/>
    <w:rsid w:val="72413E29"/>
    <w:rsid w:val="724265FE"/>
    <w:rsid w:val="72456250"/>
    <w:rsid w:val="725122B1"/>
    <w:rsid w:val="7255106F"/>
    <w:rsid w:val="725666F5"/>
    <w:rsid w:val="725B5B2D"/>
    <w:rsid w:val="72617ACA"/>
    <w:rsid w:val="7265040D"/>
    <w:rsid w:val="726C5885"/>
    <w:rsid w:val="72742748"/>
    <w:rsid w:val="72956780"/>
    <w:rsid w:val="72A1796C"/>
    <w:rsid w:val="72B654DE"/>
    <w:rsid w:val="72B954FB"/>
    <w:rsid w:val="72CD1532"/>
    <w:rsid w:val="72CD7B8C"/>
    <w:rsid w:val="72D17CEA"/>
    <w:rsid w:val="72DC3AFD"/>
    <w:rsid w:val="72E9309C"/>
    <w:rsid w:val="72F0605F"/>
    <w:rsid w:val="72F17AAC"/>
    <w:rsid w:val="72F5541E"/>
    <w:rsid w:val="72FF629D"/>
    <w:rsid w:val="730C28F7"/>
    <w:rsid w:val="73135513"/>
    <w:rsid w:val="731B1A9F"/>
    <w:rsid w:val="7328070A"/>
    <w:rsid w:val="736E23AF"/>
    <w:rsid w:val="73757C3C"/>
    <w:rsid w:val="738B66E1"/>
    <w:rsid w:val="73A04AE1"/>
    <w:rsid w:val="73AD001F"/>
    <w:rsid w:val="73CC69B7"/>
    <w:rsid w:val="73D25872"/>
    <w:rsid w:val="73E07443"/>
    <w:rsid w:val="73ED7223"/>
    <w:rsid w:val="73F11447"/>
    <w:rsid w:val="73F751C6"/>
    <w:rsid w:val="74050794"/>
    <w:rsid w:val="740D4FB5"/>
    <w:rsid w:val="741F2CE8"/>
    <w:rsid w:val="743715FC"/>
    <w:rsid w:val="74466788"/>
    <w:rsid w:val="74493C73"/>
    <w:rsid w:val="744D5443"/>
    <w:rsid w:val="74632EE0"/>
    <w:rsid w:val="748A581C"/>
    <w:rsid w:val="74C55A6A"/>
    <w:rsid w:val="74CF1C9F"/>
    <w:rsid w:val="74D07D76"/>
    <w:rsid w:val="74D2653F"/>
    <w:rsid w:val="74E7018A"/>
    <w:rsid w:val="74ED18C0"/>
    <w:rsid w:val="75001D43"/>
    <w:rsid w:val="75292A92"/>
    <w:rsid w:val="752C6F96"/>
    <w:rsid w:val="75494133"/>
    <w:rsid w:val="75547B46"/>
    <w:rsid w:val="75593CBD"/>
    <w:rsid w:val="7572476B"/>
    <w:rsid w:val="757C07D3"/>
    <w:rsid w:val="759D1102"/>
    <w:rsid w:val="759E1E0C"/>
    <w:rsid w:val="759F7AE1"/>
    <w:rsid w:val="75B97744"/>
    <w:rsid w:val="75BE3C06"/>
    <w:rsid w:val="75D67789"/>
    <w:rsid w:val="75D94865"/>
    <w:rsid w:val="75DA0F67"/>
    <w:rsid w:val="75F07D8C"/>
    <w:rsid w:val="75FE6CDF"/>
    <w:rsid w:val="760254F7"/>
    <w:rsid w:val="760B3815"/>
    <w:rsid w:val="7621714D"/>
    <w:rsid w:val="764374AE"/>
    <w:rsid w:val="764B7067"/>
    <w:rsid w:val="766C6E1B"/>
    <w:rsid w:val="767856CA"/>
    <w:rsid w:val="76AA37AC"/>
    <w:rsid w:val="76B277C6"/>
    <w:rsid w:val="76BD4CB3"/>
    <w:rsid w:val="76C37481"/>
    <w:rsid w:val="76CA7C0D"/>
    <w:rsid w:val="76CC0B8C"/>
    <w:rsid w:val="76FC709B"/>
    <w:rsid w:val="7701490B"/>
    <w:rsid w:val="772B279D"/>
    <w:rsid w:val="77347C51"/>
    <w:rsid w:val="775038E7"/>
    <w:rsid w:val="77544FA8"/>
    <w:rsid w:val="775F7F0F"/>
    <w:rsid w:val="77652652"/>
    <w:rsid w:val="776B26B9"/>
    <w:rsid w:val="77752B8E"/>
    <w:rsid w:val="77764390"/>
    <w:rsid w:val="77784870"/>
    <w:rsid w:val="777C7831"/>
    <w:rsid w:val="77812E09"/>
    <w:rsid w:val="77875810"/>
    <w:rsid w:val="778A219E"/>
    <w:rsid w:val="778A7BCA"/>
    <w:rsid w:val="778D5A70"/>
    <w:rsid w:val="77AD62C7"/>
    <w:rsid w:val="77C2031D"/>
    <w:rsid w:val="77C614A7"/>
    <w:rsid w:val="77DF044B"/>
    <w:rsid w:val="77E175B9"/>
    <w:rsid w:val="77EB41EE"/>
    <w:rsid w:val="77F04FE9"/>
    <w:rsid w:val="78003773"/>
    <w:rsid w:val="780F730B"/>
    <w:rsid w:val="78126B52"/>
    <w:rsid w:val="781B3F17"/>
    <w:rsid w:val="78236E52"/>
    <w:rsid w:val="78321015"/>
    <w:rsid w:val="784C53E2"/>
    <w:rsid w:val="784F78EB"/>
    <w:rsid w:val="785F2185"/>
    <w:rsid w:val="78673DC0"/>
    <w:rsid w:val="78701E26"/>
    <w:rsid w:val="78762D5C"/>
    <w:rsid w:val="789001BE"/>
    <w:rsid w:val="78957828"/>
    <w:rsid w:val="78995985"/>
    <w:rsid w:val="789D0F44"/>
    <w:rsid w:val="78A505D6"/>
    <w:rsid w:val="78B36FEF"/>
    <w:rsid w:val="78B56D85"/>
    <w:rsid w:val="78C62EF6"/>
    <w:rsid w:val="78DA4592"/>
    <w:rsid w:val="78E77B5F"/>
    <w:rsid w:val="78EA2AB7"/>
    <w:rsid w:val="78F3682E"/>
    <w:rsid w:val="790D7B86"/>
    <w:rsid w:val="79167A68"/>
    <w:rsid w:val="791F0593"/>
    <w:rsid w:val="7920460E"/>
    <w:rsid w:val="792A6932"/>
    <w:rsid w:val="792F71B0"/>
    <w:rsid w:val="79436B42"/>
    <w:rsid w:val="79461F0D"/>
    <w:rsid w:val="7946323B"/>
    <w:rsid w:val="794964C4"/>
    <w:rsid w:val="79547966"/>
    <w:rsid w:val="7955034B"/>
    <w:rsid w:val="79584959"/>
    <w:rsid w:val="796D439A"/>
    <w:rsid w:val="797177C8"/>
    <w:rsid w:val="797D3FF1"/>
    <w:rsid w:val="797F5D65"/>
    <w:rsid w:val="79813ADE"/>
    <w:rsid w:val="79905B80"/>
    <w:rsid w:val="79A4224E"/>
    <w:rsid w:val="79B002F1"/>
    <w:rsid w:val="79B22B0F"/>
    <w:rsid w:val="79B22DE9"/>
    <w:rsid w:val="79B34117"/>
    <w:rsid w:val="79B746F1"/>
    <w:rsid w:val="79D96637"/>
    <w:rsid w:val="79FE105C"/>
    <w:rsid w:val="7A060E95"/>
    <w:rsid w:val="7A082774"/>
    <w:rsid w:val="7A1066ED"/>
    <w:rsid w:val="7A1B7CE2"/>
    <w:rsid w:val="7A4850B6"/>
    <w:rsid w:val="7A5C3FD5"/>
    <w:rsid w:val="7A6003FC"/>
    <w:rsid w:val="7A6658B2"/>
    <w:rsid w:val="7A6A3E8A"/>
    <w:rsid w:val="7A6F5FA1"/>
    <w:rsid w:val="7A6F776C"/>
    <w:rsid w:val="7A71106F"/>
    <w:rsid w:val="7A7A49F7"/>
    <w:rsid w:val="7A7C2F6F"/>
    <w:rsid w:val="7A856607"/>
    <w:rsid w:val="7AAC3A88"/>
    <w:rsid w:val="7AAD5345"/>
    <w:rsid w:val="7ABB5634"/>
    <w:rsid w:val="7AC16442"/>
    <w:rsid w:val="7AD602B5"/>
    <w:rsid w:val="7ADA1701"/>
    <w:rsid w:val="7AEA222C"/>
    <w:rsid w:val="7AED74F4"/>
    <w:rsid w:val="7AF14837"/>
    <w:rsid w:val="7AF741CD"/>
    <w:rsid w:val="7B072762"/>
    <w:rsid w:val="7B0C1557"/>
    <w:rsid w:val="7B0E39EF"/>
    <w:rsid w:val="7B0F3A5E"/>
    <w:rsid w:val="7B1965C0"/>
    <w:rsid w:val="7B1B14EE"/>
    <w:rsid w:val="7B365E4C"/>
    <w:rsid w:val="7B425A3F"/>
    <w:rsid w:val="7B58687E"/>
    <w:rsid w:val="7B5E29DA"/>
    <w:rsid w:val="7B657DA6"/>
    <w:rsid w:val="7B6A44CF"/>
    <w:rsid w:val="7B6D3E0C"/>
    <w:rsid w:val="7B710713"/>
    <w:rsid w:val="7B7418E9"/>
    <w:rsid w:val="7B7D1AD9"/>
    <w:rsid w:val="7B912401"/>
    <w:rsid w:val="7BA14395"/>
    <w:rsid w:val="7BA80898"/>
    <w:rsid w:val="7BB162A5"/>
    <w:rsid w:val="7BBE463E"/>
    <w:rsid w:val="7BC36771"/>
    <w:rsid w:val="7BD52290"/>
    <w:rsid w:val="7BE16742"/>
    <w:rsid w:val="7BE22277"/>
    <w:rsid w:val="7BF1032C"/>
    <w:rsid w:val="7BFD5115"/>
    <w:rsid w:val="7C17751A"/>
    <w:rsid w:val="7C1A449E"/>
    <w:rsid w:val="7C1C0457"/>
    <w:rsid w:val="7C247A0F"/>
    <w:rsid w:val="7C336D42"/>
    <w:rsid w:val="7C3D5E2D"/>
    <w:rsid w:val="7C5B5CD3"/>
    <w:rsid w:val="7C5E1319"/>
    <w:rsid w:val="7C60334E"/>
    <w:rsid w:val="7C6C12BD"/>
    <w:rsid w:val="7C7052F0"/>
    <w:rsid w:val="7C743857"/>
    <w:rsid w:val="7C8A3007"/>
    <w:rsid w:val="7CA02F04"/>
    <w:rsid w:val="7CB15751"/>
    <w:rsid w:val="7CB85B38"/>
    <w:rsid w:val="7CBF511F"/>
    <w:rsid w:val="7CC5429F"/>
    <w:rsid w:val="7CD57245"/>
    <w:rsid w:val="7CDB5685"/>
    <w:rsid w:val="7CE75F92"/>
    <w:rsid w:val="7D0B22A7"/>
    <w:rsid w:val="7D2E6E76"/>
    <w:rsid w:val="7D367981"/>
    <w:rsid w:val="7D3E0825"/>
    <w:rsid w:val="7D554062"/>
    <w:rsid w:val="7D5E677D"/>
    <w:rsid w:val="7D653ADC"/>
    <w:rsid w:val="7D696FC9"/>
    <w:rsid w:val="7D7D48C1"/>
    <w:rsid w:val="7D84553B"/>
    <w:rsid w:val="7D867E46"/>
    <w:rsid w:val="7D877CBF"/>
    <w:rsid w:val="7D89672B"/>
    <w:rsid w:val="7D92434B"/>
    <w:rsid w:val="7D977DA2"/>
    <w:rsid w:val="7DA2461C"/>
    <w:rsid w:val="7DAC0744"/>
    <w:rsid w:val="7DAF7C8C"/>
    <w:rsid w:val="7DB22223"/>
    <w:rsid w:val="7DB2462B"/>
    <w:rsid w:val="7DBB3598"/>
    <w:rsid w:val="7DC055C5"/>
    <w:rsid w:val="7DD70EAB"/>
    <w:rsid w:val="7DDE72E2"/>
    <w:rsid w:val="7DEC03E3"/>
    <w:rsid w:val="7DEC1CAA"/>
    <w:rsid w:val="7DF051F2"/>
    <w:rsid w:val="7DF154BA"/>
    <w:rsid w:val="7DF870B2"/>
    <w:rsid w:val="7DFC271F"/>
    <w:rsid w:val="7E2B4DE7"/>
    <w:rsid w:val="7E302246"/>
    <w:rsid w:val="7E3F1167"/>
    <w:rsid w:val="7E431733"/>
    <w:rsid w:val="7E480F94"/>
    <w:rsid w:val="7E501A5A"/>
    <w:rsid w:val="7E512745"/>
    <w:rsid w:val="7E516999"/>
    <w:rsid w:val="7E5E479A"/>
    <w:rsid w:val="7E666DA6"/>
    <w:rsid w:val="7E7325F1"/>
    <w:rsid w:val="7E77762F"/>
    <w:rsid w:val="7E7B342B"/>
    <w:rsid w:val="7E8111D8"/>
    <w:rsid w:val="7E876FDB"/>
    <w:rsid w:val="7E8B30DA"/>
    <w:rsid w:val="7EC21593"/>
    <w:rsid w:val="7ECF6A7A"/>
    <w:rsid w:val="7EDE37B3"/>
    <w:rsid w:val="7EE747B5"/>
    <w:rsid w:val="7EE76E1C"/>
    <w:rsid w:val="7EFF56EF"/>
    <w:rsid w:val="7F044E95"/>
    <w:rsid w:val="7F075EAF"/>
    <w:rsid w:val="7F0E395F"/>
    <w:rsid w:val="7F242B1E"/>
    <w:rsid w:val="7F284D52"/>
    <w:rsid w:val="7F3E17EF"/>
    <w:rsid w:val="7F3E270B"/>
    <w:rsid w:val="7F457BEA"/>
    <w:rsid w:val="7F4735CF"/>
    <w:rsid w:val="7F4A7714"/>
    <w:rsid w:val="7F52348C"/>
    <w:rsid w:val="7F57751E"/>
    <w:rsid w:val="7F59568B"/>
    <w:rsid w:val="7F604BC8"/>
    <w:rsid w:val="7F60712F"/>
    <w:rsid w:val="7F80415D"/>
    <w:rsid w:val="7F907C00"/>
    <w:rsid w:val="7F9E4157"/>
    <w:rsid w:val="7FB45E43"/>
    <w:rsid w:val="7FBD748D"/>
    <w:rsid w:val="7FBF303C"/>
    <w:rsid w:val="7FC15718"/>
    <w:rsid w:val="7FC23EAF"/>
    <w:rsid w:val="7FC47812"/>
    <w:rsid w:val="7FF17233"/>
    <w:rsid w:val="7FFE598C"/>
    <w:rsid w:val="7FFF5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89"/>
    <w:qFormat/>
    <w:uiPriority w:val="0"/>
    <w:pPr>
      <w:keepNext/>
      <w:keepLines/>
      <w:spacing w:before="120" w:after="120"/>
      <w:jc w:val="center"/>
      <w:outlineLvl w:val="0"/>
    </w:pPr>
    <w:rPr>
      <w:b/>
      <w:spacing w:val="20"/>
      <w:kern w:val="44"/>
      <w:sz w:val="32"/>
    </w:rPr>
  </w:style>
  <w:style w:type="paragraph" w:styleId="4">
    <w:name w:val="heading 2"/>
    <w:basedOn w:val="3"/>
    <w:next w:val="1"/>
    <w:link w:val="56"/>
    <w:autoRedefine/>
    <w:unhideWhenUsed/>
    <w:qFormat/>
    <w:uiPriority w:val="0"/>
    <w:pPr>
      <w:keepNext/>
      <w:keepLines/>
      <w:spacing w:before="240" w:line="400" w:lineRule="exact"/>
      <w:outlineLvl w:val="1"/>
    </w:pPr>
    <w:rPr>
      <w:rFonts w:ascii="Arial" w:hAnsi="Arial"/>
      <w:b/>
      <w:color w:val="000000"/>
      <w:spacing w:val="40"/>
      <w:sz w:val="32"/>
    </w:rPr>
  </w:style>
  <w:style w:type="paragraph" w:styleId="5">
    <w:name w:val="heading 3"/>
    <w:basedOn w:val="4"/>
    <w:next w:val="1"/>
    <w:link w:val="94"/>
    <w:unhideWhenUsed/>
    <w:qFormat/>
    <w:uiPriority w:val="0"/>
    <w:pPr>
      <w:keepNext/>
      <w:keepLines/>
      <w:spacing w:before="60" w:after="60" w:line="400" w:lineRule="exact"/>
      <w:ind w:firstLine="510"/>
      <w:outlineLvl w:val="2"/>
    </w:pPr>
    <w:rPr>
      <w:rFonts w:ascii="宋体"/>
      <w:sz w:val="24"/>
    </w:rPr>
  </w:style>
  <w:style w:type="paragraph" w:styleId="6">
    <w:name w:val="heading 4"/>
    <w:basedOn w:val="1"/>
    <w:next w:val="1"/>
    <w:link w:val="147"/>
    <w:autoRedefine/>
    <w:unhideWhenUsed/>
    <w:qFormat/>
    <w:uiPriority w:val="9"/>
    <w:pPr>
      <w:tabs>
        <w:tab w:val="left" w:pos="2155"/>
      </w:tabs>
      <w:adjustRightInd w:val="0"/>
      <w:spacing w:before="120" w:line="360" w:lineRule="auto"/>
      <w:ind w:left="2155" w:hanging="1078"/>
      <w:textAlignment w:val="baseline"/>
      <w:outlineLvl w:val="3"/>
    </w:pPr>
    <w:rPr>
      <w:rFonts w:ascii="Arial" w:hAnsi="Arial" w:eastAsia="黑体"/>
      <w:kern w:val="0"/>
      <w:sz w:val="28"/>
    </w:rPr>
  </w:style>
  <w:style w:type="paragraph" w:styleId="7">
    <w:name w:val="heading 5"/>
    <w:basedOn w:val="8"/>
    <w:next w:val="9"/>
    <w:link w:val="148"/>
    <w:autoRedefine/>
    <w:unhideWhenUsed/>
    <w:qFormat/>
    <w:uiPriority w:val="0"/>
    <w:pPr>
      <w:keepNext/>
      <w:keepLines/>
      <w:tabs>
        <w:tab w:val="left" w:pos="780"/>
      </w:tabs>
      <w:adjustRightInd w:val="0"/>
      <w:spacing w:before="280" w:after="290" w:line="376" w:lineRule="atLeast"/>
      <w:textAlignment w:val="baseline"/>
      <w:outlineLvl w:val="4"/>
    </w:pPr>
    <w:rPr>
      <w:b/>
      <w:kern w:val="0"/>
      <w:sz w:val="28"/>
      <w:szCs w:val="24"/>
    </w:rPr>
  </w:style>
  <w:style w:type="paragraph" w:styleId="10">
    <w:name w:val="heading 6"/>
    <w:basedOn w:val="1"/>
    <w:next w:val="1"/>
    <w:link w:val="149"/>
    <w:unhideWhenUsed/>
    <w:qFormat/>
    <w:uiPriority w:val="0"/>
    <w:pPr>
      <w:keepNext/>
      <w:keepLines/>
      <w:ind w:firstLine="200" w:firstLineChars="200"/>
      <w:outlineLvl w:val="5"/>
    </w:pPr>
    <w:rPr>
      <w:rFonts w:ascii="Arial" w:hAnsi="Arial" w:cstheme="minorBidi"/>
      <w:sz w:val="24"/>
      <w:szCs w:val="24"/>
    </w:rPr>
  </w:style>
  <w:style w:type="paragraph" w:styleId="11">
    <w:name w:val="heading 7"/>
    <w:basedOn w:val="1"/>
    <w:next w:val="1"/>
    <w:link w:val="150"/>
    <w:autoRedefine/>
    <w:unhideWhenUsed/>
    <w:qFormat/>
    <w:uiPriority w:val="0"/>
    <w:pPr>
      <w:keepNext/>
      <w:keepLines/>
      <w:numPr>
        <w:ilvl w:val="6"/>
        <w:numId w:val="1"/>
      </w:numPr>
      <w:spacing w:before="240" w:after="64" w:line="317" w:lineRule="auto"/>
      <w:outlineLvl w:val="6"/>
    </w:pPr>
    <w:rPr>
      <w:rFonts w:ascii="Arial" w:hAnsi="Arial" w:cstheme="minorBidi"/>
      <w:b/>
      <w:sz w:val="24"/>
      <w:szCs w:val="24"/>
    </w:rPr>
  </w:style>
  <w:style w:type="paragraph" w:styleId="12">
    <w:name w:val="heading 8"/>
    <w:basedOn w:val="1"/>
    <w:next w:val="1"/>
    <w:link w:val="151"/>
    <w:unhideWhenUsed/>
    <w:qFormat/>
    <w:uiPriority w:val="0"/>
    <w:pPr>
      <w:keepNext/>
      <w:keepLines/>
      <w:numPr>
        <w:ilvl w:val="7"/>
        <w:numId w:val="1"/>
      </w:numPr>
      <w:spacing w:before="240" w:after="64" w:line="317" w:lineRule="auto"/>
      <w:outlineLvl w:val="7"/>
    </w:pPr>
    <w:rPr>
      <w:rFonts w:ascii="Arial" w:hAnsi="Arial" w:cstheme="minorBidi"/>
      <w:b/>
      <w:sz w:val="22"/>
      <w:szCs w:val="24"/>
    </w:rPr>
  </w:style>
  <w:style w:type="paragraph" w:styleId="13">
    <w:name w:val="heading 9"/>
    <w:basedOn w:val="1"/>
    <w:next w:val="1"/>
    <w:link w:val="152"/>
    <w:unhideWhenUsed/>
    <w:qFormat/>
    <w:uiPriority w:val="0"/>
    <w:pPr>
      <w:keepNext/>
      <w:keepLines/>
      <w:numPr>
        <w:ilvl w:val="8"/>
        <w:numId w:val="1"/>
      </w:numPr>
      <w:spacing w:before="240" w:after="64" w:line="317" w:lineRule="auto"/>
      <w:outlineLvl w:val="8"/>
    </w:pPr>
    <w:rPr>
      <w:rFonts w:ascii="Arial" w:hAnsi="Arial" w:eastAsia="黑体" w:cstheme="minorBidi"/>
      <w:sz w:val="24"/>
      <w:szCs w:val="24"/>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3">
    <w:name w:val="List Paragraph"/>
    <w:basedOn w:val="1"/>
    <w:link w:val="144"/>
    <w:autoRedefine/>
    <w:unhideWhenUsed/>
    <w:qFormat/>
    <w:uiPriority w:val="34"/>
    <w:pPr>
      <w:ind w:firstLine="420" w:firstLineChars="200"/>
    </w:pPr>
  </w:style>
  <w:style w:type="paragraph" w:styleId="8">
    <w:name w:val="List Number 2"/>
    <w:basedOn w:val="1"/>
    <w:semiHidden/>
    <w:unhideWhenUsed/>
    <w:qFormat/>
    <w:uiPriority w:val="99"/>
    <w:pPr>
      <w:numPr>
        <w:ilvl w:val="0"/>
        <w:numId w:val="2"/>
      </w:numPr>
    </w:pPr>
  </w:style>
  <w:style w:type="paragraph" w:styleId="9">
    <w:name w:val="Normal (Web)"/>
    <w:basedOn w:val="1"/>
    <w:link w:val="140"/>
    <w:autoRedefine/>
    <w:semiHidden/>
    <w:unhideWhenUsed/>
    <w:qFormat/>
    <w:uiPriority w:val="99"/>
    <w:pPr>
      <w:widowControl/>
      <w:spacing w:before="100" w:beforeAutospacing="1" w:after="100" w:afterAutospacing="1"/>
      <w:jc w:val="left"/>
    </w:pPr>
    <w:rPr>
      <w:rFonts w:ascii="宋体" w:hAnsi="宋体"/>
      <w:kern w:val="0"/>
      <w:sz w:val="24"/>
      <w:szCs w:val="24"/>
    </w:rPr>
  </w:style>
  <w:style w:type="paragraph" w:styleId="14">
    <w:name w:val="toc 7"/>
    <w:basedOn w:val="1"/>
    <w:next w:val="1"/>
    <w:autoRedefine/>
    <w:semiHidden/>
    <w:unhideWhenUsed/>
    <w:qFormat/>
    <w:uiPriority w:val="39"/>
    <w:pPr>
      <w:ind w:left="1260"/>
      <w:jc w:val="left"/>
    </w:pPr>
    <w:rPr>
      <w:sz w:val="18"/>
      <w:szCs w:val="18"/>
    </w:rPr>
  </w:style>
  <w:style w:type="paragraph" w:styleId="15">
    <w:name w:val="Normal Indent"/>
    <w:basedOn w:val="1"/>
    <w:next w:val="1"/>
    <w:autoRedefine/>
    <w:semiHidden/>
    <w:unhideWhenUsed/>
    <w:qFormat/>
    <w:uiPriority w:val="99"/>
    <w:pPr>
      <w:ind w:firstLine="420"/>
    </w:pPr>
  </w:style>
  <w:style w:type="paragraph" w:styleId="16">
    <w:name w:val="Document Map"/>
    <w:basedOn w:val="1"/>
    <w:qFormat/>
    <w:uiPriority w:val="99"/>
    <w:pPr>
      <w:shd w:val="clear" w:color="auto" w:fill="000080"/>
    </w:pPr>
  </w:style>
  <w:style w:type="paragraph" w:styleId="17">
    <w:name w:val="annotation text"/>
    <w:basedOn w:val="1"/>
    <w:link w:val="164"/>
    <w:autoRedefine/>
    <w:unhideWhenUsed/>
    <w:qFormat/>
    <w:uiPriority w:val="99"/>
    <w:pPr>
      <w:jc w:val="left"/>
    </w:pPr>
  </w:style>
  <w:style w:type="paragraph" w:styleId="18">
    <w:name w:val="Body Text 3"/>
    <w:basedOn w:val="1"/>
    <w:semiHidden/>
    <w:unhideWhenUsed/>
    <w:qFormat/>
    <w:uiPriority w:val="99"/>
    <w:pPr>
      <w:spacing w:after="120"/>
    </w:pPr>
    <w:rPr>
      <w:sz w:val="16"/>
      <w:szCs w:val="16"/>
    </w:rPr>
  </w:style>
  <w:style w:type="paragraph" w:styleId="19">
    <w:name w:val="Body Text"/>
    <w:basedOn w:val="1"/>
    <w:link w:val="59"/>
    <w:autoRedefine/>
    <w:semiHidden/>
    <w:unhideWhenUsed/>
    <w:qFormat/>
    <w:uiPriority w:val="99"/>
    <w:rPr>
      <w:rFonts w:ascii="宋体"/>
      <w:sz w:val="24"/>
    </w:rPr>
  </w:style>
  <w:style w:type="paragraph" w:styleId="20">
    <w:name w:val="Body Text Indent"/>
    <w:basedOn w:val="1"/>
    <w:link w:val="62"/>
    <w:semiHidden/>
    <w:unhideWhenUsed/>
    <w:qFormat/>
    <w:uiPriority w:val="99"/>
    <w:pPr>
      <w:spacing w:line="460" w:lineRule="exact"/>
      <w:ind w:firstLine="510"/>
    </w:pPr>
  </w:style>
  <w:style w:type="paragraph" w:styleId="21">
    <w:name w:val="toc 5"/>
    <w:basedOn w:val="1"/>
    <w:next w:val="1"/>
    <w:autoRedefine/>
    <w:unhideWhenUsed/>
    <w:qFormat/>
    <w:uiPriority w:val="39"/>
    <w:pPr>
      <w:ind w:left="840"/>
      <w:jc w:val="left"/>
    </w:pPr>
    <w:rPr>
      <w:sz w:val="18"/>
      <w:szCs w:val="18"/>
    </w:rPr>
  </w:style>
  <w:style w:type="paragraph" w:styleId="22">
    <w:name w:val="toc 3"/>
    <w:basedOn w:val="1"/>
    <w:next w:val="1"/>
    <w:autoRedefine/>
    <w:unhideWhenUsed/>
    <w:qFormat/>
    <w:uiPriority w:val="39"/>
    <w:pPr>
      <w:ind w:left="420"/>
      <w:jc w:val="left"/>
    </w:pPr>
    <w:rPr>
      <w:i/>
      <w:iCs/>
      <w:sz w:val="20"/>
    </w:rPr>
  </w:style>
  <w:style w:type="paragraph" w:styleId="23">
    <w:name w:val="Plain Text"/>
    <w:basedOn w:val="1"/>
    <w:link w:val="156"/>
    <w:autoRedefine/>
    <w:qFormat/>
    <w:uiPriority w:val="0"/>
    <w:rPr>
      <w:rFonts w:ascii="宋体"/>
    </w:rPr>
  </w:style>
  <w:style w:type="paragraph" w:styleId="24">
    <w:name w:val="toc 8"/>
    <w:basedOn w:val="1"/>
    <w:next w:val="1"/>
    <w:autoRedefine/>
    <w:semiHidden/>
    <w:unhideWhenUsed/>
    <w:qFormat/>
    <w:uiPriority w:val="39"/>
    <w:pPr>
      <w:ind w:left="1470"/>
      <w:jc w:val="left"/>
    </w:pPr>
    <w:rPr>
      <w:sz w:val="18"/>
      <w:szCs w:val="18"/>
    </w:rPr>
  </w:style>
  <w:style w:type="paragraph" w:styleId="25">
    <w:name w:val="Date"/>
    <w:basedOn w:val="1"/>
    <w:next w:val="1"/>
    <w:link w:val="163"/>
    <w:semiHidden/>
    <w:unhideWhenUsed/>
    <w:qFormat/>
    <w:uiPriority w:val="99"/>
    <w:rPr>
      <w:kern w:val="0"/>
      <w:sz w:val="28"/>
    </w:rPr>
  </w:style>
  <w:style w:type="paragraph" w:styleId="26">
    <w:name w:val="Body Text Indent 2"/>
    <w:basedOn w:val="1"/>
    <w:link w:val="95"/>
    <w:autoRedefine/>
    <w:semiHidden/>
    <w:unhideWhenUsed/>
    <w:qFormat/>
    <w:uiPriority w:val="99"/>
    <w:pPr>
      <w:spacing w:line="500" w:lineRule="exact"/>
      <w:ind w:firstLine="510"/>
    </w:pPr>
    <w:rPr>
      <w:rFonts w:ascii="宋体"/>
      <w:sz w:val="24"/>
    </w:rPr>
  </w:style>
  <w:style w:type="paragraph" w:styleId="27">
    <w:name w:val="Balloon Text"/>
    <w:basedOn w:val="1"/>
    <w:link w:val="155"/>
    <w:autoRedefine/>
    <w:semiHidden/>
    <w:unhideWhenUsed/>
    <w:qFormat/>
    <w:uiPriority w:val="99"/>
    <w:rPr>
      <w:sz w:val="18"/>
      <w:szCs w:val="18"/>
    </w:rPr>
  </w:style>
  <w:style w:type="paragraph" w:styleId="28">
    <w:name w:val="footer"/>
    <w:basedOn w:val="1"/>
    <w:link w:val="153"/>
    <w:autoRedefine/>
    <w:qFormat/>
    <w:uiPriority w:val="99"/>
    <w:pPr>
      <w:tabs>
        <w:tab w:val="center" w:pos="4153"/>
        <w:tab w:val="right" w:pos="8306"/>
      </w:tabs>
      <w:snapToGrid w:val="0"/>
      <w:jc w:val="left"/>
    </w:pPr>
    <w:rPr>
      <w:sz w:val="18"/>
    </w:rPr>
  </w:style>
  <w:style w:type="paragraph" w:styleId="29">
    <w:name w:val="header"/>
    <w:basedOn w:val="1"/>
    <w:link w:val="154"/>
    <w:autoRedefine/>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autoRedefine/>
    <w:unhideWhenUsed/>
    <w:qFormat/>
    <w:uiPriority w:val="39"/>
    <w:pPr>
      <w:tabs>
        <w:tab w:val="right" w:leader="dot" w:pos="9663"/>
      </w:tabs>
      <w:spacing w:before="120" w:after="120"/>
      <w:jc w:val="left"/>
    </w:pPr>
    <w:rPr>
      <w:b/>
      <w:bCs/>
      <w:caps/>
      <w:sz w:val="28"/>
      <w:szCs w:val="28"/>
    </w:rPr>
  </w:style>
  <w:style w:type="paragraph" w:styleId="31">
    <w:name w:val="toc 4"/>
    <w:basedOn w:val="1"/>
    <w:next w:val="1"/>
    <w:autoRedefine/>
    <w:unhideWhenUsed/>
    <w:qFormat/>
    <w:uiPriority w:val="39"/>
    <w:pPr>
      <w:ind w:left="630"/>
      <w:jc w:val="left"/>
    </w:pPr>
    <w:rPr>
      <w:sz w:val="18"/>
      <w:szCs w:val="18"/>
    </w:rPr>
  </w:style>
  <w:style w:type="paragraph" w:styleId="32">
    <w:name w:val="toc 6"/>
    <w:basedOn w:val="1"/>
    <w:next w:val="1"/>
    <w:autoRedefine/>
    <w:semiHidden/>
    <w:unhideWhenUsed/>
    <w:qFormat/>
    <w:uiPriority w:val="39"/>
    <w:pPr>
      <w:ind w:left="1050"/>
      <w:jc w:val="left"/>
    </w:pPr>
    <w:rPr>
      <w:sz w:val="18"/>
      <w:szCs w:val="18"/>
    </w:rPr>
  </w:style>
  <w:style w:type="paragraph" w:styleId="33">
    <w:name w:val="Body Text Indent 3"/>
    <w:basedOn w:val="1"/>
    <w:autoRedefine/>
    <w:semiHidden/>
    <w:unhideWhenUsed/>
    <w:qFormat/>
    <w:uiPriority w:val="99"/>
    <w:pPr>
      <w:spacing w:line="500" w:lineRule="exact"/>
      <w:ind w:firstLine="510"/>
    </w:pPr>
    <w:rPr>
      <w:rFonts w:ascii="宋体"/>
      <w:color w:val="000000"/>
      <w:sz w:val="26"/>
    </w:rPr>
  </w:style>
  <w:style w:type="paragraph" w:styleId="34">
    <w:name w:val="table of figures"/>
    <w:basedOn w:val="1"/>
    <w:next w:val="1"/>
    <w:autoRedefine/>
    <w:semiHidden/>
    <w:unhideWhenUsed/>
    <w:qFormat/>
    <w:uiPriority w:val="99"/>
    <w:pPr>
      <w:ind w:left="840" w:hanging="420"/>
    </w:pPr>
  </w:style>
  <w:style w:type="paragraph" w:styleId="35">
    <w:name w:val="toc 2"/>
    <w:basedOn w:val="1"/>
    <w:next w:val="1"/>
    <w:autoRedefine/>
    <w:unhideWhenUsed/>
    <w:qFormat/>
    <w:uiPriority w:val="39"/>
    <w:pPr>
      <w:ind w:left="210"/>
      <w:jc w:val="left"/>
    </w:pPr>
    <w:rPr>
      <w:smallCaps/>
      <w:sz w:val="20"/>
    </w:rPr>
  </w:style>
  <w:style w:type="paragraph" w:styleId="36">
    <w:name w:val="toc 9"/>
    <w:basedOn w:val="1"/>
    <w:next w:val="1"/>
    <w:autoRedefine/>
    <w:semiHidden/>
    <w:unhideWhenUsed/>
    <w:qFormat/>
    <w:uiPriority w:val="39"/>
    <w:pPr>
      <w:ind w:left="1680"/>
      <w:jc w:val="left"/>
    </w:pPr>
    <w:rPr>
      <w:sz w:val="18"/>
      <w:szCs w:val="18"/>
    </w:rPr>
  </w:style>
  <w:style w:type="paragraph" w:styleId="37">
    <w:name w:val="annotation subject"/>
    <w:basedOn w:val="17"/>
    <w:next w:val="17"/>
    <w:link w:val="165"/>
    <w:autoRedefine/>
    <w:semiHidden/>
    <w:unhideWhenUsed/>
    <w:qFormat/>
    <w:uiPriority w:val="99"/>
    <w:rPr>
      <w:b/>
      <w:bCs/>
    </w:rPr>
  </w:style>
  <w:style w:type="paragraph" w:styleId="38">
    <w:name w:val="Body Text First Indent"/>
    <w:basedOn w:val="19"/>
    <w:autoRedefine/>
    <w:qFormat/>
    <w:uiPriority w:val="0"/>
    <w:pPr>
      <w:spacing w:line="312" w:lineRule="auto"/>
      <w:ind w:firstLine="420"/>
    </w:pPr>
  </w:style>
  <w:style w:type="paragraph" w:styleId="39">
    <w:name w:val="Body Text First Indent 2"/>
    <w:basedOn w:val="20"/>
    <w:autoRedefine/>
    <w:qFormat/>
    <w:uiPriority w:val="99"/>
    <w:pPr>
      <w:ind w:firstLine="420" w:firstLineChars="200"/>
    </w:pPr>
  </w:style>
  <w:style w:type="table" w:styleId="41">
    <w:name w:val="Table Grid"/>
    <w:basedOn w:val="4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22"/>
    <w:rPr>
      <w:b/>
      <w:bCs/>
    </w:rPr>
  </w:style>
  <w:style w:type="character" w:styleId="44">
    <w:name w:val="page number"/>
    <w:basedOn w:val="42"/>
    <w:autoRedefine/>
    <w:semiHidden/>
    <w:unhideWhenUsed/>
    <w:qFormat/>
    <w:uiPriority w:val="99"/>
  </w:style>
  <w:style w:type="character" w:styleId="45">
    <w:name w:val="FollowedHyperlink"/>
    <w:basedOn w:val="42"/>
    <w:autoRedefine/>
    <w:semiHidden/>
    <w:unhideWhenUsed/>
    <w:qFormat/>
    <w:uiPriority w:val="99"/>
    <w:rPr>
      <w:rFonts w:hint="eastAsia" w:ascii="宋体" w:hAnsi="宋体" w:eastAsia="宋体" w:cs="宋体"/>
      <w:color w:val="0033CC"/>
      <w:sz w:val="18"/>
      <w:szCs w:val="18"/>
      <w:u w:val="none"/>
    </w:rPr>
  </w:style>
  <w:style w:type="character" w:styleId="46">
    <w:name w:val="Emphasis"/>
    <w:basedOn w:val="42"/>
    <w:autoRedefine/>
    <w:qFormat/>
    <w:uiPriority w:val="20"/>
    <w:rPr>
      <w:i/>
    </w:rPr>
  </w:style>
  <w:style w:type="character" w:styleId="47">
    <w:name w:val="HTML Definition"/>
    <w:basedOn w:val="42"/>
    <w:autoRedefine/>
    <w:semiHidden/>
    <w:unhideWhenUsed/>
    <w:qFormat/>
    <w:uiPriority w:val="99"/>
    <w:rPr>
      <w:i/>
    </w:rPr>
  </w:style>
  <w:style w:type="character" w:styleId="48">
    <w:name w:val="Hyperlink"/>
    <w:basedOn w:val="42"/>
    <w:autoRedefine/>
    <w:unhideWhenUsed/>
    <w:qFormat/>
    <w:uiPriority w:val="99"/>
    <w:rPr>
      <w:rFonts w:hint="eastAsia" w:ascii="宋体" w:hAnsi="宋体" w:eastAsia="宋体" w:cs="宋体"/>
      <w:color w:val="0033CC"/>
      <w:sz w:val="18"/>
      <w:szCs w:val="18"/>
      <w:u w:val="none"/>
    </w:rPr>
  </w:style>
  <w:style w:type="character" w:styleId="49">
    <w:name w:val="HTML Code"/>
    <w:basedOn w:val="42"/>
    <w:autoRedefine/>
    <w:semiHidden/>
    <w:unhideWhenUsed/>
    <w:qFormat/>
    <w:uiPriority w:val="99"/>
    <w:rPr>
      <w:rFonts w:hint="default" w:ascii="Consolas" w:hAnsi="Consolas" w:eastAsia="Consolas" w:cs="Consolas"/>
      <w:color w:val="C7254E"/>
      <w:sz w:val="21"/>
      <w:szCs w:val="21"/>
      <w:shd w:val="clear" w:color="auto" w:fill="F9F2F4"/>
    </w:rPr>
  </w:style>
  <w:style w:type="character" w:styleId="50">
    <w:name w:val="annotation reference"/>
    <w:autoRedefine/>
    <w:semiHidden/>
    <w:unhideWhenUsed/>
    <w:qFormat/>
    <w:uiPriority w:val="99"/>
    <w:rPr>
      <w:sz w:val="21"/>
      <w:szCs w:val="21"/>
    </w:rPr>
  </w:style>
  <w:style w:type="character" w:styleId="51">
    <w:name w:val="HTML Keyboard"/>
    <w:basedOn w:val="42"/>
    <w:autoRedefine/>
    <w:semiHidden/>
    <w:unhideWhenUsed/>
    <w:qFormat/>
    <w:uiPriority w:val="99"/>
    <w:rPr>
      <w:rFonts w:hint="default" w:ascii="Consolas" w:hAnsi="Consolas" w:eastAsia="Consolas" w:cs="Consolas"/>
      <w:vanish/>
      <w:color w:val="FFFFFF"/>
      <w:sz w:val="21"/>
      <w:szCs w:val="21"/>
      <w:shd w:val="clear" w:color="auto" w:fill="333333"/>
    </w:rPr>
  </w:style>
  <w:style w:type="character" w:styleId="52">
    <w:name w:val="HTML Sample"/>
    <w:basedOn w:val="42"/>
    <w:autoRedefine/>
    <w:semiHidden/>
    <w:unhideWhenUsed/>
    <w:qFormat/>
    <w:uiPriority w:val="99"/>
    <w:rPr>
      <w:rFonts w:ascii="Consolas" w:hAnsi="Consolas" w:eastAsia="Consolas" w:cs="Consolas"/>
      <w:sz w:val="21"/>
      <w:szCs w:val="21"/>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正"/>
    <w:basedOn w:val="1"/>
    <w:autoRedefine/>
    <w:qFormat/>
    <w:uiPriority w:val="0"/>
    <w:pPr>
      <w:spacing w:line="560" w:lineRule="exact"/>
      <w:ind w:firstLine="561"/>
    </w:pPr>
    <w:rPr>
      <w:rFonts w:eastAsia="仿宋_GB2312"/>
    </w:rPr>
  </w:style>
  <w:style w:type="character" w:customStyle="1" w:styleId="55">
    <w:name w:val="标题 1 Char"/>
    <w:basedOn w:val="42"/>
    <w:link w:val="2"/>
    <w:autoRedefine/>
    <w:qFormat/>
    <w:uiPriority w:val="0"/>
    <w:rPr>
      <w:rFonts w:ascii="Arial" w:hAnsi="Arial" w:eastAsia="宋体" w:cs="Times New Roman"/>
      <w:b/>
      <w:kern w:val="44"/>
      <w:sz w:val="32"/>
      <w:szCs w:val="24"/>
    </w:rPr>
  </w:style>
  <w:style w:type="character" w:customStyle="1" w:styleId="56">
    <w:name w:val="标题 2 Char"/>
    <w:basedOn w:val="42"/>
    <w:link w:val="4"/>
    <w:autoRedefine/>
    <w:qFormat/>
    <w:uiPriority w:val="0"/>
    <w:rPr>
      <w:rFonts w:ascii="Arial" w:hAnsi="Arial" w:eastAsia="宋体" w:cs="Times New Roman"/>
      <w:b/>
      <w:sz w:val="30"/>
      <w:szCs w:val="24"/>
    </w:rPr>
  </w:style>
  <w:style w:type="character" w:customStyle="1" w:styleId="57">
    <w:name w:val="style131"/>
    <w:autoRedefine/>
    <w:qFormat/>
    <w:uiPriority w:val="0"/>
    <w:rPr>
      <w:sz w:val="18"/>
      <w:szCs w:val="18"/>
    </w:rPr>
  </w:style>
  <w:style w:type="character" w:customStyle="1" w:styleId="58">
    <w:name w:val="标题 4 字符"/>
    <w:autoRedefine/>
    <w:qFormat/>
    <w:uiPriority w:val="0"/>
    <w:rPr>
      <w:rFonts w:ascii="Arial" w:hAnsi="Arial" w:eastAsia="黑体"/>
      <w:sz w:val="28"/>
    </w:rPr>
  </w:style>
  <w:style w:type="character" w:customStyle="1" w:styleId="59">
    <w:name w:val="正文文本 Char"/>
    <w:link w:val="19"/>
    <w:autoRedefine/>
    <w:qFormat/>
    <w:uiPriority w:val="0"/>
    <w:rPr>
      <w:rFonts w:ascii="宋体"/>
      <w:kern w:val="2"/>
      <w:sz w:val="24"/>
    </w:rPr>
  </w:style>
  <w:style w:type="character" w:customStyle="1" w:styleId="60">
    <w:name w:val="GW-正文 Char"/>
    <w:link w:val="61"/>
    <w:autoRedefine/>
    <w:qFormat/>
    <w:uiPriority w:val="0"/>
    <w:rPr>
      <w:rFonts w:eastAsia="仿宋_GB2312"/>
      <w:kern w:val="2"/>
      <w:sz w:val="24"/>
      <w:szCs w:val="24"/>
    </w:rPr>
  </w:style>
  <w:style w:type="paragraph" w:customStyle="1" w:styleId="61">
    <w:name w:val="GW-正文"/>
    <w:basedOn w:val="1"/>
    <w:link w:val="60"/>
    <w:autoRedefine/>
    <w:qFormat/>
    <w:uiPriority w:val="0"/>
    <w:pPr>
      <w:spacing w:line="360" w:lineRule="auto"/>
      <w:ind w:firstLine="200" w:firstLineChars="200"/>
    </w:pPr>
    <w:rPr>
      <w:rFonts w:eastAsia="仿宋_GB2312"/>
      <w:sz w:val="24"/>
      <w:szCs w:val="24"/>
    </w:rPr>
  </w:style>
  <w:style w:type="character" w:customStyle="1" w:styleId="62">
    <w:name w:val="正文文本缩进 Char"/>
    <w:link w:val="20"/>
    <w:autoRedefine/>
    <w:qFormat/>
    <w:uiPriority w:val="0"/>
    <w:rPr>
      <w:kern w:val="2"/>
      <w:sz w:val="21"/>
    </w:rPr>
  </w:style>
  <w:style w:type="character" w:customStyle="1" w:styleId="63">
    <w:name w:val="纯文本 字符"/>
    <w:autoRedefine/>
    <w:qFormat/>
    <w:uiPriority w:val="99"/>
    <w:rPr>
      <w:rFonts w:ascii="宋体" w:eastAsia="宋体"/>
      <w:kern w:val="2"/>
      <w:sz w:val="21"/>
      <w:lang w:val="en-US" w:eastAsia="zh-CN" w:bidi="ar-SA"/>
    </w:rPr>
  </w:style>
  <w:style w:type="paragraph" w:customStyle="1" w:styleId="64">
    <w:name w:val="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65">
    <w:name w:val="正文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66">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67">
    <w:name w:val="Char Char Char Char"/>
    <w:basedOn w:val="1"/>
    <w:autoRedefine/>
    <w:qFormat/>
    <w:uiPriority w:val="0"/>
    <w:rPr>
      <w:szCs w:val="24"/>
    </w:rPr>
  </w:style>
  <w:style w:type="paragraph" w:customStyle="1" w:styleId="68">
    <w:name w:val="目录"/>
    <w:basedOn w:val="1"/>
    <w:autoRedefine/>
    <w:qFormat/>
    <w:uiPriority w:val="0"/>
    <w:pPr>
      <w:widowControl/>
      <w:jc w:val="center"/>
    </w:pPr>
    <w:rPr>
      <w:rFonts w:ascii="宋体"/>
      <w:b/>
      <w:kern w:val="0"/>
      <w:sz w:val="36"/>
    </w:rPr>
  </w:style>
  <w:style w:type="paragraph" w:customStyle="1" w:styleId="6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0">
    <w:name w:val="子弹１"/>
    <w:basedOn w:val="71"/>
    <w:autoRedefine/>
    <w:qFormat/>
    <w:uiPriority w:val="0"/>
    <w:pPr>
      <w:tabs>
        <w:tab w:val="left" w:pos="873"/>
        <w:tab w:val="left" w:pos="1134"/>
        <w:tab w:val="right" w:pos="9356"/>
      </w:tabs>
    </w:pPr>
  </w:style>
  <w:style w:type="paragraph" w:customStyle="1" w:styleId="71">
    <w:name w:val="子弹"/>
    <w:basedOn w:val="1"/>
    <w:autoRedefine/>
    <w:qFormat/>
    <w:uiPriority w:val="0"/>
    <w:pPr>
      <w:tabs>
        <w:tab w:val="left" w:pos="1134"/>
        <w:tab w:val="right" w:pos="9356"/>
      </w:tabs>
      <w:ind w:left="720" w:hanging="360"/>
    </w:pPr>
    <w:rPr>
      <w:rFonts w:ascii="新宋体" w:hAnsi="新宋体" w:eastAsia="新宋体"/>
      <w:sz w:val="28"/>
      <w:szCs w:val="28"/>
    </w:rPr>
  </w:style>
  <w:style w:type="paragraph" w:customStyle="1" w:styleId="7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列出段落1"/>
    <w:basedOn w:val="1"/>
    <w:autoRedefine/>
    <w:qFormat/>
    <w:uiPriority w:val="34"/>
    <w:pPr>
      <w:ind w:firstLine="420" w:firstLineChars="200"/>
    </w:pPr>
    <w:rPr>
      <w:szCs w:val="24"/>
    </w:rPr>
  </w:style>
  <w:style w:type="paragraph" w:customStyle="1" w:styleId="7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75">
    <w:name w:val="Char Char Char Char1"/>
    <w:basedOn w:val="16"/>
    <w:autoRedefine/>
    <w:qFormat/>
    <w:uiPriority w:val="0"/>
    <w:pPr>
      <w:adjustRightInd w:val="0"/>
      <w:snapToGrid w:val="0"/>
      <w:spacing w:line="360" w:lineRule="auto"/>
    </w:pPr>
    <w:rPr>
      <w:rFonts w:ascii="Tahoma" w:hAnsi="Tahoma"/>
      <w:sz w:val="24"/>
      <w:szCs w:val="24"/>
    </w:rPr>
  </w:style>
  <w:style w:type="paragraph" w:customStyle="1" w:styleId="76">
    <w:name w:val="默认段落字体 Para Char Char Char Char"/>
    <w:basedOn w:val="1"/>
    <w:autoRedefine/>
    <w:qFormat/>
    <w:uiPriority w:val="0"/>
    <w:rPr>
      <w:szCs w:val="24"/>
    </w:rPr>
  </w:style>
  <w:style w:type="paragraph" w:customStyle="1" w:styleId="77">
    <w:name w:val="Char Char1"/>
    <w:basedOn w:val="1"/>
    <w:autoRedefine/>
    <w:qFormat/>
    <w:uiPriority w:val="0"/>
    <w:pPr>
      <w:widowControl/>
      <w:spacing w:after="160" w:line="240" w:lineRule="exact"/>
      <w:jc w:val="left"/>
    </w:pPr>
    <w:rPr>
      <w:rFonts w:ascii="Verdana" w:hAnsi="Verdana" w:eastAsia="仿宋_GB2312"/>
      <w:kern w:val="0"/>
      <w:sz w:val="20"/>
      <w:lang w:eastAsia="en-US"/>
    </w:rPr>
  </w:style>
  <w:style w:type="paragraph" w:customStyle="1" w:styleId="78">
    <w:name w:val="列出段落11"/>
    <w:basedOn w:val="1"/>
    <w:autoRedefine/>
    <w:qFormat/>
    <w:uiPriority w:val="0"/>
    <w:pPr>
      <w:ind w:firstLine="420" w:firstLineChars="200"/>
    </w:pPr>
    <w:rPr>
      <w:rFonts w:ascii="Calibri" w:hAnsi="Calibri"/>
      <w:szCs w:val="22"/>
    </w:rPr>
  </w:style>
  <w:style w:type="paragraph" w:customStyle="1" w:styleId="79">
    <w:name w:val="Char1"/>
    <w:basedOn w:val="1"/>
    <w:autoRedefine/>
    <w:qFormat/>
    <w:uiPriority w:val="0"/>
    <w:rPr>
      <w:rFonts w:ascii="Tahoma" w:hAnsi="Tahoma"/>
      <w:sz w:val="24"/>
    </w:rPr>
  </w:style>
  <w:style w:type="paragraph" w:customStyle="1" w:styleId="80">
    <w:name w:val="样式1"/>
    <w:basedOn w:val="4"/>
    <w:autoRedefine/>
    <w:qFormat/>
    <w:uiPriority w:val="0"/>
    <w:pPr>
      <w:adjustRightInd w:val="0"/>
      <w:spacing w:line="416" w:lineRule="atLeast"/>
      <w:jc w:val="left"/>
      <w:textAlignment w:val="baseline"/>
    </w:pPr>
    <w:rPr>
      <w:rFonts w:eastAsia="黑体"/>
      <w:spacing w:val="0"/>
      <w:kern w:val="0"/>
      <w:sz w:val="30"/>
    </w:rPr>
  </w:style>
  <w:style w:type="character" w:customStyle="1" w:styleId="81">
    <w:name w:val="批注框文本 字符"/>
    <w:autoRedefine/>
    <w:qFormat/>
    <w:uiPriority w:val="0"/>
    <w:rPr>
      <w:kern w:val="2"/>
      <w:sz w:val="18"/>
      <w:szCs w:val="18"/>
    </w:rPr>
  </w:style>
  <w:style w:type="character" w:customStyle="1" w:styleId="82">
    <w:name w:val="grame"/>
    <w:autoRedefine/>
    <w:qFormat/>
    <w:uiPriority w:val="0"/>
  </w:style>
  <w:style w:type="character" w:customStyle="1" w:styleId="83">
    <w:name w:val="标题 5 字符"/>
    <w:basedOn w:val="42"/>
    <w:autoRedefine/>
    <w:qFormat/>
    <w:uiPriority w:val="0"/>
    <w:rPr>
      <w:b/>
      <w:sz w:val="28"/>
      <w:szCs w:val="24"/>
    </w:rPr>
  </w:style>
  <w:style w:type="character" w:customStyle="1" w:styleId="84">
    <w:name w:val="日期 字符"/>
    <w:autoRedefine/>
    <w:qFormat/>
    <w:uiPriority w:val="0"/>
    <w:rPr>
      <w:sz w:val="28"/>
    </w:rPr>
  </w:style>
  <w:style w:type="paragraph" w:customStyle="1" w:styleId="85">
    <w:name w:val="1"/>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6">
    <w:name w:val="孙普文字 Char"/>
    <w:autoRedefine/>
    <w:qFormat/>
    <w:uiPriority w:val="0"/>
    <w:rPr>
      <w:rFonts w:ascii="宋体" w:hAnsi="Times New Roman" w:eastAsia="宋体" w:cs="Times New Roman"/>
      <w:szCs w:val="20"/>
    </w:rPr>
  </w:style>
  <w:style w:type="character" w:customStyle="1" w:styleId="87">
    <w:name w:val="页脚 字符"/>
    <w:autoRedefine/>
    <w:qFormat/>
    <w:uiPriority w:val="99"/>
    <w:rPr>
      <w:kern w:val="2"/>
      <w:sz w:val="18"/>
    </w:rPr>
  </w:style>
  <w:style w:type="character" w:customStyle="1" w:styleId="88">
    <w:name w:val="不明显强调1"/>
    <w:autoRedefine/>
    <w:qFormat/>
    <w:uiPriority w:val="0"/>
    <w:rPr>
      <w:rFonts w:eastAsia="仿宋_GB2312"/>
      <w:iCs/>
      <w:color w:val="auto"/>
      <w:sz w:val="24"/>
    </w:rPr>
  </w:style>
  <w:style w:type="character" w:customStyle="1" w:styleId="89">
    <w:name w:val="标题 1 字符"/>
    <w:link w:val="2"/>
    <w:autoRedefine/>
    <w:qFormat/>
    <w:uiPriority w:val="0"/>
    <w:rPr>
      <w:b/>
      <w:spacing w:val="20"/>
      <w:kern w:val="44"/>
      <w:sz w:val="32"/>
    </w:rPr>
  </w:style>
  <w:style w:type="character" w:customStyle="1" w:styleId="90">
    <w:name w:val="标题 3 字符"/>
    <w:autoRedefine/>
    <w:qFormat/>
    <w:uiPriority w:val="0"/>
    <w:rPr>
      <w:rFonts w:ascii="宋体"/>
      <w:b/>
      <w:kern w:val="2"/>
      <w:sz w:val="24"/>
    </w:rPr>
  </w:style>
  <w:style w:type="character" w:customStyle="1" w:styleId="91">
    <w:name w:val="标题 3 Char1"/>
    <w:autoRedefine/>
    <w:qFormat/>
    <w:uiPriority w:val="0"/>
    <w:rPr>
      <w:rFonts w:eastAsia="宋体"/>
      <w:b/>
      <w:bCs/>
      <w:kern w:val="2"/>
      <w:sz w:val="32"/>
      <w:szCs w:val="32"/>
      <w:lang w:val="en-US" w:eastAsia="zh-CN" w:bidi="ar-SA"/>
    </w:rPr>
  </w:style>
  <w:style w:type="character" w:customStyle="1" w:styleId="92">
    <w:name w:val="short_text1"/>
    <w:autoRedefine/>
    <w:qFormat/>
    <w:uiPriority w:val="0"/>
    <w:rPr>
      <w:sz w:val="26"/>
      <w:szCs w:val="26"/>
    </w:rPr>
  </w:style>
  <w:style w:type="character" w:customStyle="1" w:styleId="93">
    <w:name w:val="标题 2 字符"/>
    <w:autoRedefine/>
    <w:qFormat/>
    <w:uiPriority w:val="0"/>
    <w:rPr>
      <w:rFonts w:ascii="Arial" w:hAnsi="Arial"/>
      <w:b/>
      <w:color w:val="000000"/>
      <w:spacing w:val="40"/>
      <w:kern w:val="2"/>
      <w:sz w:val="32"/>
    </w:rPr>
  </w:style>
  <w:style w:type="character" w:customStyle="1" w:styleId="94">
    <w:name w:val="标题 3 Char"/>
    <w:basedOn w:val="42"/>
    <w:link w:val="5"/>
    <w:autoRedefine/>
    <w:qFormat/>
    <w:uiPriority w:val="0"/>
    <w:rPr>
      <w:rFonts w:eastAsia="宋体"/>
      <w:b/>
      <w:bCs/>
      <w:kern w:val="2"/>
      <w:sz w:val="32"/>
      <w:szCs w:val="32"/>
      <w:lang w:val="en-US" w:eastAsia="zh-CN" w:bidi="ar-SA"/>
    </w:rPr>
  </w:style>
  <w:style w:type="character" w:customStyle="1" w:styleId="95">
    <w:name w:val="正文文本缩进 2 Char"/>
    <w:link w:val="26"/>
    <w:autoRedefine/>
    <w:qFormat/>
    <w:uiPriority w:val="0"/>
    <w:rPr>
      <w:rFonts w:ascii="宋体"/>
      <w:kern w:val="2"/>
      <w:sz w:val="24"/>
    </w:rPr>
  </w:style>
  <w:style w:type="character" w:customStyle="1" w:styleId="96">
    <w:name w:val="纯文本 Char2"/>
    <w:autoRedefine/>
    <w:qFormat/>
    <w:uiPriority w:val="99"/>
    <w:rPr>
      <w:rFonts w:ascii="宋体" w:eastAsia="宋体"/>
      <w:kern w:val="2"/>
      <w:sz w:val="21"/>
      <w:lang w:val="en-US" w:eastAsia="zh-CN" w:bidi="ar-SA"/>
    </w:rPr>
  </w:style>
  <w:style w:type="character" w:customStyle="1" w:styleId="97">
    <w:name w:val="纯文本 Char1"/>
    <w:autoRedefine/>
    <w:qFormat/>
    <w:uiPriority w:val="0"/>
    <w:rPr>
      <w:rFonts w:ascii="宋体" w:eastAsia="宋体"/>
      <w:kern w:val="2"/>
      <w:sz w:val="21"/>
      <w:lang w:val="en-US" w:eastAsia="zh-CN" w:bidi="ar-SA"/>
    </w:rPr>
  </w:style>
  <w:style w:type="paragraph" w:customStyle="1" w:styleId="98">
    <w:name w:val="抬头"/>
    <w:basedOn w:val="1"/>
    <w:autoRedefine/>
    <w:qFormat/>
    <w:uiPriority w:val="0"/>
    <w:pPr>
      <w:spacing w:beforeLines="50" w:line="360" w:lineRule="auto"/>
    </w:pPr>
    <w:rPr>
      <w:rFonts w:ascii="宋体"/>
      <w:sz w:val="24"/>
      <w:szCs w:val="24"/>
    </w:rPr>
  </w:style>
  <w:style w:type="paragraph" w:customStyle="1" w:styleId="99">
    <w:name w:val="5"/>
    <w:basedOn w:val="1"/>
    <w:autoRedefine/>
    <w:qFormat/>
    <w:uiPriority w:val="0"/>
    <w:pPr>
      <w:tabs>
        <w:tab w:val="right" w:pos="-2120"/>
      </w:tabs>
      <w:snapToGrid w:val="0"/>
    </w:pPr>
    <w:rPr>
      <w:rFonts w:ascii="Tahoma" w:hAnsi="Tahoma"/>
      <w:spacing w:val="6"/>
      <w:sz w:val="24"/>
    </w:rPr>
  </w:style>
  <w:style w:type="paragraph" w:customStyle="1" w:styleId="100">
    <w:name w:val="表格"/>
    <w:basedOn w:val="1"/>
    <w:autoRedefine/>
    <w:qFormat/>
    <w:uiPriority w:val="0"/>
    <w:pPr>
      <w:tabs>
        <w:tab w:val="left" w:pos="1200"/>
      </w:tabs>
      <w:spacing w:line="500" w:lineRule="exact"/>
      <w:jc w:val="center"/>
    </w:pPr>
    <w:rPr>
      <w:rFonts w:ascii="宋体"/>
      <w:sz w:val="24"/>
      <w:szCs w:val="18"/>
    </w:rPr>
  </w:style>
  <w:style w:type="paragraph" w:customStyle="1" w:styleId="101">
    <w:name w:val="xl23"/>
    <w:next w:val="36"/>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02">
    <w:name w:val="无间距"/>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Char Char Char Char Char Char Char Char Char Char Char Char"/>
    <w:basedOn w:val="1"/>
    <w:autoRedefine/>
    <w:qFormat/>
    <w:uiPriority w:val="0"/>
    <w:pPr>
      <w:tabs>
        <w:tab w:val="right" w:pos="-2120"/>
      </w:tabs>
      <w:snapToGrid w:val="0"/>
    </w:pPr>
    <w:rPr>
      <w:rFonts w:ascii="Tahoma" w:hAnsi="Tahoma"/>
      <w:spacing w:val="6"/>
      <w:sz w:val="24"/>
    </w:rPr>
  </w:style>
  <w:style w:type="paragraph" w:customStyle="1" w:styleId="104">
    <w:name w:val="Absatz2AL"/>
    <w:basedOn w:val="19"/>
    <w:next w:val="1"/>
    <w:autoRedefine/>
    <w:qFormat/>
    <w:uiPriority w:val="0"/>
    <w:pPr>
      <w:widowControl/>
      <w:overflowPunct w:val="0"/>
      <w:autoSpaceDE w:val="0"/>
      <w:autoSpaceDN w:val="0"/>
      <w:adjustRightInd w:val="0"/>
      <w:textAlignment w:val="baseline"/>
    </w:pPr>
    <w:rPr>
      <w:rFonts w:ascii="Times New Roman" w:eastAsia="楷体_GB2312"/>
      <w:kern w:val="0"/>
      <w:lang w:val="de-DE" w:eastAsia="de-DE"/>
    </w:rPr>
  </w:style>
  <w:style w:type="paragraph" w:customStyle="1" w:styleId="105">
    <w:name w:val="_Style 1"/>
    <w:basedOn w:val="1"/>
    <w:autoRedefine/>
    <w:qFormat/>
    <w:uiPriority w:val="34"/>
    <w:pPr>
      <w:spacing w:line="276" w:lineRule="auto"/>
      <w:ind w:left="720"/>
      <w:contextualSpacing/>
    </w:pPr>
    <w:rPr>
      <w:rFonts w:ascii="Calibri" w:hAnsi="Calibri"/>
      <w:szCs w:val="24"/>
    </w:rPr>
  </w:style>
  <w:style w:type="paragraph" w:customStyle="1" w:styleId="106">
    <w:name w:val="Char Char Char"/>
    <w:basedOn w:val="1"/>
    <w:autoRedefine/>
    <w:qFormat/>
    <w:uiPriority w:val="0"/>
    <w:pPr>
      <w:ind w:firstLine="200" w:firstLineChars="200"/>
    </w:pPr>
    <w:rPr>
      <w:sz w:val="24"/>
      <w:szCs w:val="24"/>
    </w:rPr>
  </w:style>
  <w:style w:type="paragraph" w:customStyle="1" w:styleId="107">
    <w:name w:val="样式2"/>
    <w:basedOn w:val="1"/>
    <w:autoRedefine/>
    <w:qFormat/>
    <w:uiPriority w:val="0"/>
    <w:pPr>
      <w:spacing w:line="360" w:lineRule="auto"/>
    </w:pPr>
    <w:rPr>
      <w:rFonts w:ascii="Century Gothic" w:hAnsi="Century Gothic" w:eastAsia="黑体"/>
      <w:b/>
      <w:sz w:val="32"/>
      <w:szCs w:val="30"/>
    </w:rPr>
  </w:style>
  <w:style w:type="paragraph" w:customStyle="1" w:styleId="108">
    <w:name w:val="Char13"/>
    <w:basedOn w:val="1"/>
    <w:autoRedefine/>
    <w:qFormat/>
    <w:uiPriority w:val="0"/>
    <w:rPr>
      <w:szCs w:val="24"/>
    </w:rPr>
  </w:style>
  <w:style w:type="paragraph" w:customStyle="1" w:styleId="109">
    <w:name w:val="缺省文本"/>
    <w:basedOn w:val="1"/>
    <w:autoRedefine/>
    <w:qFormat/>
    <w:uiPriority w:val="0"/>
    <w:pPr>
      <w:autoSpaceDE w:val="0"/>
      <w:autoSpaceDN w:val="0"/>
      <w:adjustRightInd w:val="0"/>
      <w:jc w:val="left"/>
    </w:pPr>
    <w:rPr>
      <w:kern w:val="0"/>
      <w:sz w:val="24"/>
    </w:rPr>
  </w:style>
  <w:style w:type="paragraph" w:customStyle="1" w:styleId="110">
    <w:name w:val="正文五号"/>
    <w:basedOn w:val="1"/>
    <w:autoRedefine/>
    <w:qFormat/>
    <w:uiPriority w:val="0"/>
    <w:rPr>
      <w:rFonts w:ascii="宋体" w:eastAsia="仿宋_GB2312"/>
    </w:rPr>
  </w:style>
  <w:style w:type="paragraph" w:customStyle="1" w:styleId="111">
    <w:name w:val="Char Char1 Char Char"/>
    <w:basedOn w:val="1"/>
    <w:autoRedefine/>
    <w:qFormat/>
    <w:uiPriority w:val="0"/>
    <w:pPr>
      <w:tabs>
        <w:tab w:val="left" w:pos="360"/>
      </w:tabs>
    </w:pPr>
  </w:style>
  <w:style w:type="paragraph" w:customStyle="1" w:styleId="11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spacing w:val="0"/>
      <w:kern w:val="0"/>
      <w:sz w:val="28"/>
      <w:szCs w:val="28"/>
    </w:rPr>
  </w:style>
  <w:style w:type="paragraph" w:customStyle="1" w:styleId="113">
    <w:name w:val="_Style 2"/>
    <w:basedOn w:val="1"/>
    <w:autoRedefine/>
    <w:qFormat/>
    <w:uiPriority w:val="99"/>
    <w:pPr>
      <w:ind w:firstLine="420" w:firstLineChars="200"/>
    </w:pPr>
    <w:rPr>
      <w:szCs w:val="21"/>
    </w:rPr>
  </w:style>
  <w:style w:type="paragraph" w:customStyle="1" w:styleId="114">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115">
    <w:name w:val="修订3"/>
    <w:autoRedefine/>
    <w:hidden/>
    <w:unhideWhenUsed/>
    <w:qFormat/>
    <w:uiPriority w:val="99"/>
    <w:rPr>
      <w:rFonts w:ascii="Times New Roman" w:hAnsi="Times New Roman" w:eastAsia="宋体" w:cs="Times New Roman"/>
      <w:kern w:val="2"/>
      <w:sz w:val="21"/>
      <w:lang w:val="en-US" w:eastAsia="zh-CN" w:bidi="ar-SA"/>
    </w:rPr>
  </w:style>
  <w:style w:type="paragraph" w:customStyle="1" w:styleId="116">
    <w:name w:val="修订4"/>
    <w:autoRedefine/>
    <w:hidden/>
    <w:unhideWhenUsed/>
    <w:qFormat/>
    <w:uiPriority w:val="99"/>
    <w:rPr>
      <w:rFonts w:ascii="Times New Roman" w:hAnsi="Times New Roman" w:eastAsia="宋体" w:cs="Times New Roman"/>
      <w:kern w:val="2"/>
      <w:sz w:val="21"/>
      <w:lang w:val="en-US" w:eastAsia="zh-CN" w:bidi="ar-SA"/>
    </w:rPr>
  </w:style>
  <w:style w:type="paragraph" w:customStyle="1" w:styleId="117">
    <w:name w:val="修订5"/>
    <w:autoRedefine/>
    <w:hidden/>
    <w:unhideWhenUsed/>
    <w:qFormat/>
    <w:uiPriority w:val="99"/>
    <w:rPr>
      <w:rFonts w:ascii="Times New Roman" w:hAnsi="Times New Roman" w:eastAsia="宋体" w:cs="Times New Roman"/>
      <w:kern w:val="2"/>
      <w:sz w:val="21"/>
      <w:lang w:val="en-US" w:eastAsia="zh-CN" w:bidi="ar-SA"/>
    </w:rPr>
  </w:style>
  <w:style w:type="character" w:customStyle="1" w:styleId="118">
    <w:name w:val="无"/>
    <w:autoRedefine/>
    <w:qFormat/>
    <w:uiPriority w:val="0"/>
  </w:style>
  <w:style w:type="paragraph" w:customStyle="1" w:styleId="119">
    <w:name w:val="修订6"/>
    <w:autoRedefine/>
    <w:hidden/>
    <w:unhideWhenUsed/>
    <w:qFormat/>
    <w:uiPriority w:val="99"/>
    <w:rPr>
      <w:rFonts w:ascii="Times New Roman" w:hAnsi="Times New Roman" w:eastAsia="宋体" w:cs="Times New Roman"/>
      <w:kern w:val="2"/>
      <w:sz w:val="21"/>
      <w:lang w:val="en-US" w:eastAsia="zh-CN" w:bidi="ar-SA"/>
    </w:rPr>
  </w:style>
  <w:style w:type="paragraph" w:customStyle="1" w:styleId="120">
    <w:name w:val="列出段落2"/>
    <w:basedOn w:val="1"/>
    <w:autoRedefine/>
    <w:unhideWhenUsed/>
    <w:qFormat/>
    <w:uiPriority w:val="99"/>
    <w:pPr>
      <w:ind w:firstLine="420" w:firstLineChars="200"/>
    </w:pPr>
  </w:style>
  <w:style w:type="character" w:customStyle="1" w:styleId="121">
    <w:name w:val="hover1"/>
    <w:basedOn w:val="42"/>
    <w:autoRedefine/>
    <w:qFormat/>
    <w:uiPriority w:val="0"/>
    <w:rPr>
      <w:shd w:val="clear" w:color="auto" w:fill="EEEEEE"/>
    </w:rPr>
  </w:style>
  <w:style w:type="character" w:customStyle="1" w:styleId="122">
    <w:name w:val="hour_am"/>
    <w:basedOn w:val="42"/>
    <w:autoRedefine/>
    <w:qFormat/>
    <w:uiPriority w:val="0"/>
  </w:style>
  <w:style w:type="character" w:customStyle="1" w:styleId="123">
    <w:name w:val="icon"/>
    <w:basedOn w:val="42"/>
    <w:autoRedefine/>
    <w:qFormat/>
    <w:uiPriority w:val="0"/>
  </w:style>
  <w:style w:type="character" w:customStyle="1" w:styleId="124">
    <w:name w:val="old"/>
    <w:basedOn w:val="42"/>
    <w:autoRedefine/>
    <w:qFormat/>
    <w:uiPriority w:val="0"/>
    <w:rPr>
      <w:color w:val="999999"/>
    </w:rPr>
  </w:style>
  <w:style w:type="character" w:customStyle="1" w:styleId="125">
    <w:name w:val="hour_pm"/>
    <w:basedOn w:val="42"/>
    <w:autoRedefine/>
    <w:qFormat/>
    <w:uiPriority w:val="0"/>
  </w:style>
  <w:style w:type="character" w:customStyle="1" w:styleId="126">
    <w:name w:val="glyphicon6"/>
    <w:basedOn w:val="42"/>
    <w:autoRedefine/>
    <w:qFormat/>
    <w:uiPriority w:val="0"/>
  </w:style>
  <w:style w:type="character" w:customStyle="1" w:styleId="127">
    <w:name w:val="indent"/>
    <w:basedOn w:val="42"/>
    <w:autoRedefine/>
    <w:qFormat/>
    <w:uiPriority w:val="0"/>
  </w:style>
  <w:style w:type="paragraph" w:customStyle="1" w:styleId="128">
    <w:name w:val="_Style 114"/>
    <w:basedOn w:val="1"/>
    <w:next w:val="1"/>
    <w:autoRedefine/>
    <w:qFormat/>
    <w:uiPriority w:val="0"/>
    <w:pPr>
      <w:pBdr>
        <w:bottom w:val="single" w:color="auto" w:sz="6" w:space="1"/>
      </w:pBdr>
      <w:jc w:val="center"/>
    </w:pPr>
    <w:rPr>
      <w:rFonts w:ascii="Arial"/>
      <w:vanish/>
      <w:sz w:val="16"/>
    </w:rPr>
  </w:style>
  <w:style w:type="paragraph" w:customStyle="1" w:styleId="129">
    <w:name w:val="_Style 115"/>
    <w:basedOn w:val="1"/>
    <w:next w:val="1"/>
    <w:autoRedefine/>
    <w:qFormat/>
    <w:uiPriority w:val="0"/>
    <w:pPr>
      <w:pBdr>
        <w:top w:val="single" w:color="auto" w:sz="6" w:space="1"/>
      </w:pBdr>
      <w:jc w:val="center"/>
    </w:pPr>
    <w:rPr>
      <w:rFonts w:ascii="Arial"/>
      <w:vanish/>
      <w:sz w:val="16"/>
    </w:rPr>
  </w:style>
  <w:style w:type="character" w:customStyle="1" w:styleId="130">
    <w:name w:val="glyphicon"/>
    <w:basedOn w:val="42"/>
    <w:autoRedefine/>
    <w:qFormat/>
    <w:uiPriority w:val="0"/>
  </w:style>
  <w:style w:type="character" w:customStyle="1" w:styleId="131">
    <w:name w:val="hover"/>
    <w:basedOn w:val="42"/>
    <w:autoRedefine/>
    <w:qFormat/>
    <w:uiPriority w:val="0"/>
    <w:rPr>
      <w:shd w:val="clear" w:color="auto" w:fill="EEEEEE"/>
    </w:rPr>
  </w:style>
  <w:style w:type="paragraph" w:customStyle="1" w:styleId="132">
    <w:name w:val="无间隔1"/>
    <w:autoRedefine/>
    <w:qFormat/>
    <w:uiPriority w:val="99"/>
    <w:pPr>
      <w:adjustRightInd w:val="0"/>
      <w:snapToGrid w:val="0"/>
    </w:pPr>
    <w:rPr>
      <w:rFonts w:ascii="Tahoma" w:hAnsi="Tahoma" w:eastAsia="微软雅黑" w:cs="Times New Roman"/>
      <w:sz w:val="22"/>
      <w:szCs w:val="22"/>
      <w:lang w:val="en-US" w:eastAsia="zh-CN" w:bidi="ar-SA"/>
    </w:rPr>
  </w:style>
  <w:style w:type="character" w:customStyle="1" w:styleId="133">
    <w:name w:val="font01"/>
    <w:basedOn w:val="42"/>
    <w:autoRedefine/>
    <w:qFormat/>
    <w:uiPriority w:val="0"/>
    <w:rPr>
      <w:rFonts w:hint="eastAsia" w:ascii="宋体" w:hAnsi="宋体" w:eastAsia="宋体" w:cs="宋体"/>
      <w:color w:val="000000"/>
      <w:sz w:val="20"/>
      <w:szCs w:val="20"/>
      <w:u w:val="none"/>
    </w:rPr>
  </w:style>
  <w:style w:type="character" w:customStyle="1" w:styleId="134">
    <w:name w:val="hps"/>
    <w:autoRedefine/>
    <w:qFormat/>
    <w:uiPriority w:val="0"/>
  </w:style>
  <w:style w:type="character" w:customStyle="1" w:styleId="135">
    <w:name w:val="font91"/>
    <w:autoRedefine/>
    <w:qFormat/>
    <w:uiPriority w:val="0"/>
    <w:rPr>
      <w:rFonts w:hint="eastAsia" w:ascii="宋体" w:hAnsi="宋体" w:eastAsia="宋体" w:cs="宋体"/>
      <w:color w:val="000000"/>
      <w:sz w:val="20"/>
      <w:szCs w:val="20"/>
      <w:u w:val="none"/>
    </w:rPr>
  </w:style>
  <w:style w:type="character" w:customStyle="1" w:styleId="136">
    <w:name w:val="font41"/>
    <w:autoRedefine/>
    <w:qFormat/>
    <w:uiPriority w:val="0"/>
    <w:rPr>
      <w:rFonts w:hint="default" w:ascii="Times New Roman" w:hAnsi="Times New Roman" w:cs="Times New Roman"/>
      <w:color w:val="000000"/>
      <w:sz w:val="24"/>
      <w:szCs w:val="24"/>
      <w:u w:val="none"/>
    </w:rPr>
  </w:style>
  <w:style w:type="character" w:customStyle="1" w:styleId="137">
    <w:name w:val="font71"/>
    <w:autoRedefine/>
    <w:qFormat/>
    <w:uiPriority w:val="0"/>
    <w:rPr>
      <w:rFonts w:hint="eastAsia" w:ascii="宋体" w:hAnsi="宋体" w:eastAsia="宋体" w:cs="宋体"/>
      <w:color w:val="000000"/>
      <w:sz w:val="24"/>
      <w:szCs w:val="24"/>
      <w:u w:val="none"/>
    </w:rPr>
  </w:style>
  <w:style w:type="character" w:customStyle="1" w:styleId="138">
    <w:name w:val="font51"/>
    <w:basedOn w:val="42"/>
    <w:autoRedefine/>
    <w:qFormat/>
    <w:uiPriority w:val="0"/>
    <w:rPr>
      <w:rFonts w:hint="eastAsia" w:ascii="宋体" w:hAnsi="宋体" w:eastAsia="宋体" w:cs="宋体"/>
      <w:b/>
      <w:color w:val="000000"/>
      <w:sz w:val="20"/>
      <w:szCs w:val="20"/>
      <w:u w:val="none"/>
    </w:rPr>
  </w:style>
  <w:style w:type="character" w:customStyle="1" w:styleId="139">
    <w:name w:val="font61"/>
    <w:autoRedefine/>
    <w:qFormat/>
    <w:uiPriority w:val="0"/>
    <w:rPr>
      <w:rFonts w:hint="eastAsia" w:ascii="宋体" w:hAnsi="宋体" w:eastAsia="宋体" w:cs="宋体"/>
      <w:i/>
      <w:color w:val="000000"/>
      <w:sz w:val="20"/>
      <w:szCs w:val="20"/>
      <w:u w:val="none"/>
    </w:rPr>
  </w:style>
  <w:style w:type="character" w:customStyle="1" w:styleId="140">
    <w:name w:val="普通(网站) Char"/>
    <w:link w:val="9"/>
    <w:autoRedefine/>
    <w:qFormat/>
    <w:uiPriority w:val="0"/>
    <w:rPr>
      <w:rFonts w:ascii="宋体" w:hAnsi="宋体"/>
      <w:sz w:val="24"/>
      <w:szCs w:val="24"/>
    </w:rPr>
  </w:style>
  <w:style w:type="character" w:customStyle="1" w:styleId="141">
    <w:name w:val="批注文字 字符"/>
    <w:basedOn w:val="42"/>
    <w:autoRedefine/>
    <w:qFormat/>
    <w:uiPriority w:val="99"/>
    <w:rPr>
      <w:kern w:val="2"/>
      <w:sz w:val="21"/>
    </w:rPr>
  </w:style>
  <w:style w:type="paragraph" w:customStyle="1" w:styleId="142">
    <w:name w:val="彩色列表 - 强调文字颜色 11"/>
    <w:basedOn w:val="1"/>
    <w:autoRedefine/>
    <w:qFormat/>
    <w:uiPriority w:val="0"/>
    <w:pPr>
      <w:ind w:firstLine="420" w:firstLineChars="200"/>
    </w:pPr>
    <w:rPr>
      <w:rFonts w:ascii="Cambria" w:hAnsi="Cambria"/>
      <w:sz w:val="24"/>
      <w:szCs w:val="24"/>
    </w:rPr>
  </w:style>
  <w:style w:type="character" w:customStyle="1" w:styleId="143">
    <w:name w:val="页眉 字符"/>
    <w:basedOn w:val="42"/>
    <w:autoRedefine/>
    <w:qFormat/>
    <w:uiPriority w:val="99"/>
    <w:rPr>
      <w:kern w:val="2"/>
      <w:sz w:val="18"/>
    </w:rPr>
  </w:style>
  <w:style w:type="character" w:customStyle="1" w:styleId="144">
    <w:name w:val="列出段落 Char"/>
    <w:link w:val="3"/>
    <w:autoRedefine/>
    <w:qFormat/>
    <w:uiPriority w:val="0"/>
    <w:rPr>
      <w:kern w:val="2"/>
      <w:sz w:val="21"/>
    </w:rPr>
  </w:style>
  <w:style w:type="paragraph" w:customStyle="1" w:styleId="145">
    <w:name w:val="Other|1"/>
    <w:basedOn w:val="1"/>
    <w:autoRedefine/>
    <w:qFormat/>
    <w:uiPriority w:val="0"/>
    <w:pPr>
      <w:spacing w:line="420" w:lineRule="auto"/>
    </w:pPr>
    <w:rPr>
      <w:rFonts w:ascii="宋体" w:hAnsi="宋体" w:cs="宋体"/>
      <w:u w:val="single"/>
      <w:lang w:val="zh-TW" w:eastAsia="zh-TW" w:bidi="zh-TW"/>
    </w:rPr>
  </w:style>
  <w:style w:type="paragraph" w:customStyle="1" w:styleId="146">
    <w:name w:val="自定义正文"/>
    <w:basedOn w:val="1"/>
    <w:link w:val="158"/>
    <w:autoRedefine/>
    <w:qFormat/>
    <w:uiPriority w:val="0"/>
    <w:pPr>
      <w:spacing w:before="120" w:after="60" w:line="400" w:lineRule="exact"/>
      <w:ind w:firstLine="200" w:firstLineChars="200"/>
      <w:jc w:val="left"/>
    </w:pPr>
    <w:rPr>
      <w:szCs w:val="24"/>
    </w:rPr>
  </w:style>
  <w:style w:type="character" w:customStyle="1" w:styleId="147">
    <w:name w:val="标题 4 Char"/>
    <w:basedOn w:val="42"/>
    <w:link w:val="6"/>
    <w:autoRedefine/>
    <w:qFormat/>
    <w:uiPriority w:val="9"/>
    <w:rPr>
      <w:rFonts w:ascii="Arial" w:hAnsi="Arial" w:eastAsia="宋体" w:cs="Times New Roman"/>
      <w:sz w:val="24"/>
      <w:szCs w:val="24"/>
    </w:rPr>
  </w:style>
  <w:style w:type="character" w:customStyle="1" w:styleId="148">
    <w:name w:val="标题 5 Char"/>
    <w:basedOn w:val="42"/>
    <w:link w:val="7"/>
    <w:autoRedefine/>
    <w:qFormat/>
    <w:uiPriority w:val="0"/>
    <w:rPr>
      <w:rFonts w:ascii="Arial" w:hAnsi="Arial" w:eastAsia="宋体" w:cs="Times New Roman"/>
      <w:sz w:val="24"/>
      <w:szCs w:val="24"/>
    </w:rPr>
  </w:style>
  <w:style w:type="character" w:customStyle="1" w:styleId="149">
    <w:name w:val="标题 6 Char"/>
    <w:basedOn w:val="42"/>
    <w:link w:val="10"/>
    <w:autoRedefine/>
    <w:qFormat/>
    <w:uiPriority w:val="0"/>
    <w:rPr>
      <w:rFonts w:ascii="Times New Roman" w:hAnsi="Times New Roman" w:eastAsia="宋体" w:cs="Times New Roman"/>
      <w:szCs w:val="24"/>
    </w:rPr>
  </w:style>
  <w:style w:type="character" w:customStyle="1" w:styleId="150">
    <w:name w:val="标题 7 Char"/>
    <w:basedOn w:val="42"/>
    <w:link w:val="11"/>
    <w:autoRedefine/>
    <w:qFormat/>
    <w:uiPriority w:val="0"/>
    <w:rPr>
      <w:rFonts w:ascii="Times New Roman" w:hAnsi="Times New Roman" w:eastAsia="宋体" w:cs="Times New Roman"/>
      <w:b/>
      <w:szCs w:val="24"/>
    </w:rPr>
  </w:style>
  <w:style w:type="character" w:customStyle="1" w:styleId="151">
    <w:name w:val="标题 8 Char"/>
    <w:basedOn w:val="42"/>
    <w:link w:val="12"/>
    <w:autoRedefine/>
    <w:qFormat/>
    <w:uiPriority w:val="0"/>
    <w:rPr>
      <w:rFonts w:ascii="Times New Roman" w:hAnsi="Times New Roman" w:eastAsia="宋体" w:cs="Times New Roman"/>
      <w:b/>
      <w:sz w:val="22"/>
      <w:szCs w:val="24"/>
    </w:rPr>
  </w:style>
  <w:style w:type="character" w:customStyle="1" w:styleId="152">
    <w:name w:val="标题 9 Char"/>
    <w:basedOn w:val="42"/>
    <w:link w:val="13"/>
    <w:autoRedefine/>
    <w:qFormat/>
    <w:uiPriority w:val="0"/>
    <w:rPr>
      <w:rFonts w:ascii="Times New Roman" w:hAnsi="Times New Roman" w:eastAsia="黑体" w:cs="Times New Roman"/>
      <w:szCs w:val="24"/>
    </w:rPr>
  </w:style>
  <w:style w:type="character" w:customStyle="1" w:styleId="153">
    <w:name w:val="页脚 Char"/>
    <w:basedOn w:val="42"/>
    <w:link w:val="28"/>
    <w:autoRedefine/>
    <w:qFormat/>
    <w:uiPriority w:val="99"/>
    <w:rPr>
      <w:rFonts w:ascii="Times New Roman" w:hAnsi="Times New Roman" w:eastAsia="宋体" w:cs="Times New Roman"/>
      <w:sz w:val="18"/>
      <w:szCs w:val="24"/>
    </w:rPr>
  </w:style>
  <w:style w:type="character" w:customStyle="1" w:styleId="154">
    <w:name w:val="页眉 Char"/>
    <w:basedOn w:val="42"/>
    <w:link w:val="29"/>
    <w:autoRedefine/>
    <w:qFormat/>
    <w:uiPriority w:val="0"/>
    <w:rPr>
      <w:rFonts w:ascii="Times New Roman" w:hAnsi="Times New Roman" w:eastAsia="宋体" w:cs="Times New Roman"/>
      <w:sz w:val="18"/>
      <w:szCs w:val="24"/>
    </w:rPr>
  </w:style>
  <w:style w:type="character" w:customStyle="1" w:styleId="155">
    <w:name w:val="批注框文本 Char"/>
    <w:basedOn w:val="42"/>
    <w:link w:val="27"/>
    <w:autoRedefine/>
    <w:semiHidden/>
    <w:qFormat/>
    <w:uiPriority w:val="99"/>
    <w:rPr>
      <w:rFonts w:ascii="Times New Roman" w:hAnsi="Times New Roman" w:eastAsia="宋体" w:cs="Times New Roman"/>
      <w:sz w:val="18"/>
      <w:szCs w:val="18"/>
    </w:rPr>
  </w:style>
  <w:style w:type="character" w:customStyle="1" w:styleId="156">
    <w:name w:val="纯文本 Char"/>
    <w:basedOn w:val="42"/>
    <w:link w:val="23"/>
    <w:autoRedefine/>
    <w:qFormat/>
    <w:uiPriority w:val="0"/>
    <w:rPr>
      <w:rFonts w:ascii="宋体" w:hAnsi="Courier New" w:eastAsia="宋体" w:cs="Times New Roman"/>
      <w:szCs w:val="24"/>
      <w:lang w:val="zh-CN"/>
    </w:rPr>
  </w:style>
  <w:style w:type="paragraph" w:customStyle="1" w:styleId="157">
    <w:name w:val="表格正文"/>
    <w:basedOn w:val="1"/>
    <w:autoRedefine/>
    <w:qFormat/>
    <w:uiPriority w:val="0"/>
    <w:pPr>
      <w:spacing w:line="240" w:lineRule="atLeast"/>
    </w:pPr>
    <w:rPr>
      <w:rFonts w:eastAsia="楷体_GB2312"/>
      <w:sz w:val="24"/>
      <w:szCs w:val="24"/>
    </w:rPr>
  </w:style>
  <w:style w:type="character" w:customStyle="1" w:styleId="158">
    <w:name w:val="自定义正文 Char Char"/>
    <w:link w:val="146"/>
    <w:autoRedefine/>
    <w:qFormat/>
    <w:uiPriority w:val="0"/>
    <w:rPr>
      <w:rFonts w:ascii="Times New Roman" w:hAnsi="Times New Roman" w:eastAsia="宋体" w:cs="Times New Roman"/>
      <w:szCs w:val="24"/>
    </w:rPr>
  </w:style>
  <w:style w:type="paragraph" w:customStyle="1" w:styleId="159">
    <w:name w:val="图片"/>
    <w:basedOn w:val="1"/>
    <w:link w:val="160"/>
    <w:autoRedefine/>
    <w:qFormat/>
    <w:uiPriority w:val="0"/>
    <w:pPr>
      <w:jc w:val="center"/>
    </w:pPr>
    <w:rPr>
      <w:rFonts w:ascii="仿宋_GB2312" w:eastAsia="仿宋_GB2312" w:cs="宋体"/>
      <w:color w:val="0D0D0D" w:themeColor="text1" w:themeTint="F2"/>
      <w:sz w:val="24"/>
      <w14:textFill>
        <w14:solidFill>
          <w14:schemeClr w14:val="tx1">
            <w14:lumMod w14:val="95000"/>
            <w14:lumOff w14:val="5000"/>
          </w14:schemeClr>
        </w14:solidFill>
      </w14:textFill>
    </w:rPr>
  </w:style>
  <w:style w:type="character" w:customStyle="1" w:styleId="160">
    <w:name w:val="图片 字符"/>
    <w:basedOn w:val="42"/>
    <w:link w:val="159"/>
    <w:autoRedefine/>
    <w:qFormat/>
    <w:uiPriority w:val="0"/>
    <w:rPr>
      <w:rFonts w:ascii="仿宋_GB2312" w:hAnsi="Times New Roman" w:eastAsia="仿宋_GB2312" w:cs="宋体"/>
      <w:color w:val="0D0D0D" w:themeColor="text1" w:themeTint="F2"/>
      <w:szCs w:val="20"/>
      <w14:textFill>
        <w14:solidFill>
          <w14:schemeClr w14:val="tx1">
            <w14:lumMod w14:val="95000"/>
            <w14:lumOff w14:val="5000"/>
          </w14:schemeClr>
        </w14:solidFill>
      </w14:textFill>
    </w:rPr>
  </w:style>
  <w:style w:type="paragraph" w:customStyle="1" w:styleId="161">
    <w:name w:val="学分制正文样式"/>
    <w:basedOn w:val="1"/>
    <w:link w:val="162"/>
    <w:autoRedefine/>
    <w:qFormat/>
    <w:uiPriority w:val="0"/>
    <w:pPr>
      <w:spacing w:line="360" w:lineRule="auto"/>
      <w:ind w:firstLine="560" w:firstLineChars="200"/>
      <w:jc w:val="left"/>
    </w:pPr>
    <w:rPr>
      <w:rFonts w:ascii="宋体" w:hAnsi="宋体" w:cs="宋体"/>
      <w:bCs/>
      <w:sz w:val="28"/>
      <w:szCs w:val="22"/>
    </w:rPr>
  </w:style>
  <w:style w:type="character" w:customStyle="1" w:styleId="162">
    <w:name w:val="学分制正文样式 字符"/>
    <w:basedOn w:val="42"/>
    <w:link w:val="161"/>
    <w:autoRedefine/>
    <w:qFormat/>
    <w:uiPriority w:val="0"/>
    <w:rPr>
      <w:rFonts w:ascii="宋体" w:hAnsi="宋体" w:eastAsia="宋体" w:cs="宋体"/>
      <w:bCs/>
      <w:sz w:val="28"/>
    </w:rPr>
  </w:style>
  <w:style w:type="character" w:customStyle="1" w:styleId="163">
    <w:name w:val="日期 Char"/>
    <w:basedOn w:val="42"/>
    <w:link w:val="25"/>
    <w:autoRedefine/>
    <w:semiHidden/>
    <w:qFormat/>
    <w:uiPriority w:val="99"/>
    <w:rPr>
      <w:rFonts w:ascii="Times New Roman" w:hAnsi="Times New Roman" w:eastAsia="宋体" w:cs="Times New Roman"/>
    </w:rPr>
  </w:style>
  <w:style w:type="character" w:customStyle="1" w:styleId="164">
    <w:name w:val="批注文字 Char"/>
    <w:basedOn w:val="42"/>
    <w:link w:val="17"/>
    <w:autoRedefine/>
    <w:qFormat/>
    <w:uiPriority w:val="99"/>
    <w:rPr>
      <w:rFonts w:ascii="Times New Roman" w:hAnsi="Times New Roman" w:eastAsia="宋体" w:cs="Times New Roman"/>
    </w:rPr>
  </w:style>
  <w:style w:type="character" w:customStyle="1" w:styleId="165">
    <w:name w:val="批注主题 Char"/>
    <w:basedOn w:val="164"/>
    <w:link w:val="37"/>
    <w:autoRedefine/>
    <w:semiHidden/>
    <w:qFormat/>
    <w:uiPriority w:val="99"/>
    <w:rPr>
      <w:rFonts w:ascii="Times New Roman" w:hAnsi="Times New Roman" w:eastAsia="宋体" w:cs="Times New Roman"/>
      <w:b/>
      <w:bCs/>
    </w:rPr>
  </w:style>
  <w:style w:type="paragraph" w:styleId="166">
    <w:name w:val="Intense Quote"/>
    <w:basedOn w:val="1"/>
    <w:next w:val="1"/>
    <w:link w:val="167"/>
    <w:autoRedefine/>
    <w:qFormat/>
    <w:uiPriority w:val="30"/>
    <w:pPr>
      <w:pBdr>
        <w:bottom w:val="single" w:color="4F81BD" w:themeColor="accent1" w:sz="4" w:space="4"/>
      </w:pBdr>
      <w:spacing w:before="200" w:after="280"/>
      <w:ind w:left="936" w:right="936"/>
    </w:pPr>
    <w:rPr>
      <w:rFonts w:ascii="Arial" w:hAnsi="Arial" w:cstheme="minorBidi"/>
      <w:b/>
      <w:bCs/>
      <w:i/>
      <w:iCs/>
      <w:color w:val="4F81BD" w:themeColor="accent1"/>
      <w:sz w:val="24"/>
      <w:szCs w:val="22"/>
      <w14:textFill>
        <w14:solidFill>
          <w14:schemeClr w14:val="accent1"/>
        </w14:solidFill>
      </w14:textFill>
    </w:rPr>
  </w:style>
  <w:style w:type="character" w:customStyle="1" w:styleId="167">
    <w:name w:val="明显引用 Char"/>
    <w:basedOn w:val="42"/>
    <w:link w:val="166"/>
    <w:autoRedefine/>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168">
    <w:name w:val="font21"/>
    <w:autoRedefine/>
    <w:qFormat/>
    <w:uiPriority w:val="0"/>
    <w:rPr>
      <w:rFonts w:hint="eastAsia" w:ascii="宋体" w:hAnsi="宋体" w:eastAsia="宋体" w:cs="宋体"/>
      <w:color w:val="000000"/>
      <w:sz w:val="18"/>
      <w:szCs w:val="18"/>
      <w:u w:val="none"/>
    </w:rPr>
  </w:style>
  <w:style w:type="paragraph" w:customStyle="1" w:styleId="169">
    <w:name w:val="图表目录1"/>
    <w:basedOn w:val="1"/>
    <w:next w:val="1"/>
    <w:autoRedefine/>
    <w:qFormat/>
    <w:uiPriority w:val="0"/>
    <w:pPr>
      <w:ind w:left="200" w:leftChars="200" w:hanging="200" w:hangingChars="200"/>
    </w:pPr>
    <w:rPr>
      <w:rFonts w:ascii="Calibri" w:hAnsi="Calibri" w:eastAsia="仿宋_GB2312" w:cs="宋体"/>
      <w:sz w:val="32"/>
      <w:szCs w:val="32"/>
    </w:rPr>
  </w:style>
  <w:style w:type="character" w:customStyle="1" w:styleId="170">
    <w:name w:val="font11"/>
    <w:basedOn w:val="42"/>
    <w:autoRedefine/>
    <w:qFormat/>
    <w:uiPriority w:val="0"/>
    <w:rPr>
      <w:rFonts w:hint="default" w:ascii="Calibri" w:hAnsi="Calibri" w:cs="Calibri"/>
      <w:color w:val="000000"/>
      <w:sz w:val="21"/>
      <w:szCs w:val="21"/>
      <w:u w:val="none"/>
    </w:rPr>
  </w:style>
  <w:style w:type="character" w:customStyle="1" w:styleId="171">
    <w:name w:val="font31"/>
    <w:basedOn w:val="42"/>
    <w:autoRedefine/>
    <w:qFormat/>
    <w:uiPriority w:val="0"/>
    <w:rPr>
      <w:rFonts w:hint="eastAsia" w:ascii="宋体" w:hAnsi="宋体" w:eastAsia="宋体" w:cs="宋体"/>
      <w:color w:val="000000"/>
      <w:sz w:val="18"/>
      <w:szCs w:val="18"/>
      <w:u w:val="none"/>
    </w:rPr>
  </w:style>
  <w:style w:type="paragraph" w:customStyle="1" w:styleId="172">
    <w:name w:val="WPSOffice手动目录 1"/>
    <w:autoRedefine/>
    <w:qFormat/>
    <w:uiPriority w:val="0"/>
    <w:pPr>
      <w:ind w:leftChars="0"/>
    </w:pPr>
    <w:rPr>
      <w:rFonts w:ascii="Times New Roman" w:hAnsi="Times New Roman" w:eastAsia="宋体" w:cs="Times New Roman"/>
      <w:sz w:val="20"/>
      <w:szCs w:val="20"/>
    </w:rPr>
  </w:style>
  <w:style w:type="paragraph" w:customStyle="1" w:styleId="173">
    <w:name w:val="WPSOffice手动目录 2"/>
    <w:autoRedefine/>
    <w:qFormat/>
    <w:uiPriority w:val="0"/>
    <w:pPr>
      <w:ind w:leftChars="200"/>
    </w:pPr>
    <w:rPr>
      <w:rFonts w:ascii="Times New Roman" w:hAnsi="Times New Roman" w:eastAsia="宋体" w:cs="Times New Roman"/>
      <w:sz w:val="20"/>
      <w:szCs w:val="20"/>
    </w:rPr>
  </w:style>
  <w:style w:type="paragraph" w:customStyle="1" w:styleId="174">
    <w:name w:val="PlainText"/>
    <w:basedOn w:val="1"/>
    <w:next w:val="1"/>
    <w:autoRedefine/>
    <w:qFormat/>
    <w:uiPriority w:val="0"/>
    <w:rPr>
      <w:szCs w:val="20"/>
    </w:rPr>
  </w:style>
  <w:style w:type="character" w:customStyle="1" w:styleId="175">
    <w:name w:val="NormalCharacter"/>
    <w:autoRedefine/>
    <w:semiHidden/>
    <w:qFormat/>
    <w:uiPriority w:val="0"/>
  </w:style>
  <w:style w:type="paragraph" w:customStyle="1" w:styleId="176">
    <w:name w:val="BodyTextIndent"/>
    <w:basedOn w:val="1"/>
    <w:autoRedefine/>
    <w:qFormat/>
    <w:uiPriority w:val="0"/>
    <w:pPr>
      <w:spacing w:line="460" w:lineRule="exact"/>
      <w:ind w:firstLine="510"/>
    </w:pPr>
  </w:style>
  <w:style w:type="paragraph" w:customStyle="1" w:styleId="177">
    <w:name w:val="表格文字"/>
    <w:basedOn w:val="1"/>
    <w:autoRedefine/>
    <w:qFormat/>
    <w:uiPriority w:val="0"/>
    <w:pPr>
      <w:spacing w:before="25" w:after="25"/>
      <w:jc w:val="left"/>
    </w:pPr>
    <w:rPr>
      <w:bCs/>
      <w:spacing w:val="10"/>
      <w:kern w:val="0"/>
      <w:sz w:val="24"/>
    </w:rPr>
  </w:style>
  <w:style w:type="paragraph" w:customStyle="1" w:styleId="178">
    <w:name w:val="null3"/>
    <w:autoRedefine/>
    <w:qFormat/>
    <w:uiPriority w:val="0"/>
    <w:rPr>
      <w:rFonts w:hint="eastAsia" w:ascii="Calibri" w:hAnsi="Calibri" w:eastAsia="宋体" w:cs="Times New Roman"/>
      <w:lang w:val="en-US" w:eastAsia="zh-Hans" w:bidi="ar-SA"/>
    </w:rPr>
  </w:style>
  <w:style w:type="paragraph" w:styleId="179">
    <w:name w:val="No Spacing"/>
    <w:autoRedefine/>
    <w:qFormat/>
    <w:uiPriority w:val="1"/>
    <w:pPr>
      <w:widowControl w:val="0"/>
      <w:jc w:val="both"/>
    </w:pPr>
    <w:rPr>
      <w:rFonts w:eastAsia="思源黑体 CN Light" w:asciiTheme="minorHAnsi" w:hAnsiTheme="minorHAnsi" w:cstheme="minorBidi"/>
      <w:kern w:val="2"/>
      <w:sz w:val="24"/>
      <w:szCs w:val="22"/>
      <w:lang w:val="en-US" w:eastAsia="zh-CN" w:bidi="ar-SA"/>
    </w:rPr>
  </w:style>
  <w:style w:type="character" w:customStyle="1" w:styleId="180">
    <w:name w:val="src"/>
    <w:basedOn w:val="42"/>
    <w:qFormat/>
    <w:uiPriority w:val="0"/>
  </w:style>
  <w:style w:type="paragraph" w:customStyle="1" w:styleId="18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3A102-0EC0-4C25-AE6C-1918893563A3}">
  <ds:schemaRefs/>
</ds:datastoreItem>
</file>

<file path=docProps/app.xml><?xml version="1.0" encoding="utf-8"?>
<Properties xmlns="http://schemas.openxmlformats.org/officeDocument/2006/extended-properties" xmlns:vt="http://schemas.openxmlformats.org/officeDocument/2006/docPropsVTypes">
  <Template>中国科学院昆明动物研究所便携式宽带科学鱼探仪系统7.29王国玺修改稿.dotx</Template>
  <Company>Microsoft</Company>
  <Pages>95</Pages>
  <Words>33788</Words>
  <Characters>35872</Characters>
  <Lines>339</Lines>
  <Paragraphs>95</Paragraphs>
  <TotalTime>13</TotalTime>
  <ScaleCrop>false</ScaleCrop>
  <LinksUpToDate>false</LinksUpToDate>
  <CharactersWithSpaces>36430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2021-09-17T14:50:00Z</dcterms:created>
  <dc:creator>h</dc:creator>
  <cp:lastModifiedBy>冠睿-X</cp:lastModifiedBy>
  <cp:lastPrinted>2022-04-06T02:16:00Z</cp:lastPrinted>
  <dcterms:modified xsi:type="dcterms:W3CDTF">2026-05-13T02:51:28Z</dcterms:modified>
  <dc:title>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CD8055C64BFE4F408B31AFA1D7B91C24_13</vt:lpwstr>
  </property>
  <property fmtid="{D5CDD505-2E9C-101B-9397-08002B2CF9AE}" pid="4" name="KSOTemplateDocerSaveRecord">
    <vt:lpwstr>eyJoZGlkIjoiYjk5MmQwYTE0ZjFjYWU4OTg3MmFmNmZjZTRkMmJhODUiLCJ1c2VySWQiOiIzODk4NjE3NzIifQ==</vt:lpwstr>
  </property>
</Properties>
</file>