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EB8979">
      <w:pPr>
        <w:spacing w:line="360" w:lineRule="auto"/>
        <w:jc w:val="center"/>
        <w:rPr>
          <w:rFonts w:hint="eastAsia" w:asciiTheme="majorEastAsia" w:hAnsiTheme="majorEastAsia" w:eastAsiaTheme="majorEastAsia"/>
          <w:b/>
          <w:bCs/>
          <w:color w:val="auto"/>
          <w:sz w:val="56"/>
          <w:szCs w:val="56"/>
          <w:highlight w:val="none"/>
          <w:lang w:eastAsia="zh-CN"/>
        </w:rPr>
      </w:pPr>
    </w:p>
    <w:p w14:paraId="0A83B196">
      <w:pPr>
        <w:spacing w:line="360" w:lineRule="auto"/>
        <w:jc w:val="center"/>
        <w:rPr>
          <w:rFonts w:hint="eastAsia" w:asciiTheme="minorEastAsia" w:hAnsiTheme="minorEastAsia" w:eastAsiaTheme="minorEastAsia"/>
          <w:color w:val="auto"/>
          <w:sz w:val="44"/>
          <w:szCs w:val="44"/>
          <w:highlight w:val="none"/>
          <w:lang w:eastAsia="zh-CN"/>
        </w:rPr>
      </w:pPr>
      <w:r>
        <w:rPr>
          <w:rFonts w:hint="eastAsia" w:asciiTheme="majorEastAsia" w:hAnsiTheme="majorEastAsia" w:eastAsiaTheme="majorEastAsia"/>
          <w:b/>
          <w:bCs/>
          <w:color w:val="auto"/>
          <w:sz w:val="72"/>
          <w:szCs w:val="72"/>
          <w:highlight w:val="none"/>
          <w:lang w:eastAsia="zh-CN"/>
        </w:rPr>
        <w:t>高新四小食堂物资采购</w:t>
      </w:r>
    </w:p>
    <w:p w14:paraId="7940854E">
      <w:pPr>
        <w:spacing w:line="360" w:lineRule="auto"/>
        <w:jc w:val="center"/>
        <w:rPr>
          <w:rFonts w:hint="eastAsia" w:asciiTheme="minorEastAsia" w:hAnsiTheme="minorEastAsia" w:eastAsiaTheme="minorEastAsia"/>
          <w:color w:val="auto"/>
          <w:sz w:val="24"/>
          <w:szCs w:val="24"/>
          <w:highlight w:val="none"/>
        </w:rPr>
      </w:pPr>
    </w:p>
    <w:p w14:paraId="3B46FBEB">
      <w:pPr>
        <w:spacing w:line="360" w:lineRule="auto"/>
        <w:jc w:val="center"/>
        <w:rPr>
          <w:rFonts w:hint="eastAsia" w:asciiTheme="minorEastAsia" w:hAnsiTheme="minorEastAsia" w:eastAsiaTheme="minorEastAsia"/>
          <w:color w:val="auto"/>
          <w:sz w:val="24"/>
          <w:szCs w:val="24"/>
          <w:highlight w:val="none"/>
        </w:rPr>
      </w:pPr>
    </w:p>
    <w:p w14:paraId="2D3B4681">
      <w:pPr>
        <w:spacing w:line="360" w:lineRule="auto"/>
        <w:jc w:val="center"/>
        <w:rPr>
          <w:rFonts w:hint="eastAsia" w:asciiTheme="minorEastAsia" w:hAnsiTheme="minorEastAsia" w:eastAsiaTheme="minorEastAsia"/>
          <w:color w:val="auto"/>
          <w:sz w:val="24"/>
          <w:szCs w:val="24"/>
          <w:highlight w:val="none"/>
        </w:rPr>
      </w:pPr>
    </w:p>
    <w:p w14:paraId="560C9E6D">
      <w:pPr>
        <w:spacing w:line="360" w:lineRule="auto"/>
        <w:jc w:val="center"/>
        <w:rPr>
          <w:rFonts w:asciiTheme="minorEastAsia" w:hAnsiTheme="minorEastAsia" w:eastAsiaTheme="minorEastAsia"/>
          <w:color w:val="auto"/>
          <w:sz w:val="24"/>
          <w:szCs w:val="24"/>
          <w:highlight w:val="none"/>
        </w:rPr>
      </w:pPr>
    </w:p>
    <w:p w14:paraId="58C9C052">
      <w:pPr>
        <w:spacing w:line="360" w:lineRule="auto"/>
        <w:jc w:val="center"/>
        <w:rPr>
          <w:rFonts w:asciiTheme="minorEastAsia" w:hAnsiTheme="minorEastAsia" w:eastAsiaTheme="minorEastAsia"/>
          <w:color w:val="auto"/>
          <w:sz w:val="24"/>
          <w:szCs w:val="24"/>
          <w:highlight w:val="none"/>
        </w:rPr>
      </w:pPr>
    </w:p>
    <w:p w14:paraId="197D93B2">
      <w:pPr>
        <w:spacing w:line="360" w:lineRule="auto"/>
        <w:jc w:val="center"/>
        <w:rPr>
          <w:rFonts w:hint="eastAsia" w:asciiTheme="minorEastAsia" w:hAnsiTheme="minorEastAsia" w:eastAsiaTheme="minorEastAsia"/>
          <w:color w:val="auto"/>
          <w:sz w:val="24"/>
          <w:szCs w:val="24"/>
          <w:highlight w:val="none"/>
        </w:rPr>
      </w:pPr>
    </w:p>
    <w:p w14:paraId="5CA00323">
      <w:pPr>
        <w:pStyle w:val="28"/>
        <w:jc w:val="center"/>
        <w:rPr>
          <w:rFonts w:hint="eastAsia" w:asciiTheme="minorEastAsia" w:hAnsiTheme="minorEastAsia" w:eastAsiaTheme="minorEastAsia"/>
          <w:b/>
          <w:bCs/>
          <w:color w:val="auto"/>
          <w:sz w:val="72"/>
          <w:szCs w:val="72"/>
          <w:highlight w:val="none"/>
        </w:rPr>
      </w:pPr>
      <w:r>
        <w:rPr>
          <w:rFonts w:hint="eastAsia" w:asciiTheme="minorEastAsia" w:hAnsiTheme="minorEastAsia" w:eastAsiaTheme="minorEastAsia"/>
          <w:b/>
          <w:bCs/>
          <w:color w:val="auto"/>
          <w:sz w:val="72"/>
          <w:szCs w:val="72"/>
          <w:highlight w:val="none"/>
        </w:rPr>
        <w:t>采 购 文 件</w:t>
      </w:r>
    </w:p>
    <w:p w14:paraId="01A53A7F">
      <w:pPr>
        <w:spacing w:before="120" w:beforeLines="50" w:line="360" w:lineRule="auto"/>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rPr>
        <w:t>项目编号：</w:t>
      </w:r>
      <w:r>
        <w:rPr>
          <w:rFonts w:hint="eastAsia" w:asciiTheme="minorEastAsia" w:hAnsiTheme="minorEastAsia" w:eastAsiaTheme="minorEastAsia"/>
          <w:b/>
          <w:color w:val="auto"/>
          <w:sz w:val="32"/>
          <w:szCs w:val="32"/>
          <w:highlight w:val="none"/>
          <w:lang w:eastAsia="zh-CN"/>
        </w:rPr>
        <w:t>KMZC2026-C1-00971-YNYG-0009</w:t>
      </w:r>
    </w:p>
    <w:p w14:paraId="3AC1D960">
      <w:pPr>
        <w:spacing w:line="360" w:lineRule="auto"/>
        <w:jc w:val="center"/>
        <w:rPr>
          <w:rFonts w:hint="eastAsia" w:asciiTheme="minorEastAsia" w:hAnsiTheme="minorEastAsia" w:eastAsiaTheme="minorEastAsia"/>
          <w:b/>
          <w:color w:val="auto"/>
          <w:sz w:val="32"/>
          <w:szCs w:val="32"/>
          <w:highlight w:val="none"/>
        </w:rPr>
      </w:pPr>
    </w:p>
    <w:p w14:paraId="39BD1D68">
      <w:pPr>
        <w:spacing w:line="360" w:lineRule="auto"/>
        <w:jc w:val="center"/>
        <w:rPr>
          <w:rFonts w:hint="eastAsia" w:asciiTheme="minorEastAsia" w:hAnsiTheme="minorEastAsia" w:eastAsiaTheme="minorEastAsia"/>
          <w:color w:val="auto"/>
          <w:sz w:val="24"/>
          <w:szCs w:val="24"/>
          <w:highlight w:val="none"/>
        </w:rPr>
      </w:pPr>
    </w:p>
    <w:p w14:paraId="271DE271">
      <w:pPr>
        <w:tabs>
          <w:tab w:val="left" w:pos="5190"/>
        </w:tabs>
        <w:spacing w:line="360" w:lineRule="auto"/>
        <w:jc w:val="center"/>
        <w:rPr>
          <w:rFonts w:hint="eastAsia" w:asciiTheme="minorEastAsia" w:hAnsiTheme="minorEastAsia" w:eastAsiaTheme="minorEastAsia"/>
          <w:color w:val="auto"/>
          <w:sz w:val="24"/>
          <w:szCs w:val="24"/>
          <w:highlight w:val="none"/>
        </w:rPr>
      </w:pPr>
    </w:p>
    <w:p w14:paraId="4520B514">
      <w:pPr>
        <w:tabs>
          <w:tab w:val="left" w:pos="5190"/>
        </w:tabs>
        <w:spacing w:line="360" w:lineRule="auto"/>
        <w:jc w:val="center"/>
        <w:rPr>
          <w:rFonts w:hint="eastAsia" w:asciiTheme="minorEastAsia" w:hAnsiTheme="minorEastAsia" w:eastAsiaTheme="minorEastAsia"/>
          <w:color w:val="auto"/>
          <w:sz w:val="24"/>
          <w:szCs w:val="24"/>
          <w:highlight w:val="none"/>
        </w:rPr>
      </w:pPr>
    </w:p>
    <w:p w14:paraId="12CF92B1">
      <w:pPr>
        <w:tabs>
          <w:tab w:val="left" w:pos="5190"/>
        </w:tabs>
        <w:spacing w:line="360" w:lineRule="auto"/>
        <w:jc w:val="center"/>
        <w:rPr>
          <w:rFonts w:hint="eastAsia" w:asciiTheme="minorEastAsia" w:hAnsiTheme="minorEastAsia" w:eastAsiaTheme="minorEastAsia"/>
          <w:color w:val="auto"/>
          <w:sz w:val="24"/>
          <w:szCs w:val="24"/>
          <w:highlight w:val="none"/>
        </w:rPr>
      </w:pPr>
    </w:p>
    <w:p w14:paraId="403B3C49">
      <w:pPr>
        <w:pStyle w:val="67"/>
        <w:rPr>
          <w:rFonts w:eastAsiaTheme="minorEastAsia"/>
          <w:color w:val="auto"/>
          <w:highlight w:val="none"/>
        </w:rPr>
      </w:pPr>
    </w:p>
    <w:p w14:paraId="3B8487E6">
      <w:pPr>
        <w:pStyle w:val="67"/>
        <w:rPr>
          <w:rFonts w:eastAsiaTheme="minorEastAsia"/>
          <w:color w:val="auto"/>
          <w:highlight w:val="none"/>
        </w:rPr>
      </w:pPr>
    </w:p>
    <w:p w14:paraId="665E520D">
      <w:pPr>
        <w:pStyle w:val="67"/>
        <w:ind w:left="0"/>
        <w:rPr>
          <w:rFonts w:eastAsiaTheme="minorEastAsia"/>
          <w:color w:val="auto"/>
          <w:highlight w:val="none"/>
        </w:rPr>
      </w:pPr>
    </w:p>
    <w:p w14:paraId="4B7EB236">
      <w:pPr>
        <w:tabs>
          <w:tab w:val="left" w:pos="5190"/>
        </w:tabs>
        <w:spacing w:line="360" w:lineRule="auto"/>
        <w:jc w:val="center"/>
        <w:rPr>
          <w:rFonts w:hint="eastAsia" w:asciiTheme="minorEastAsia" w:hAnsiTheme="minorEastAsia" w:eastAsiaTheme="minorEastAsia"/>
          <w:color w:val="auto"/>
          <w:sz w:val="24"/>
          <w:szCs w:val="24"/>
          <w:highlight w:val="none"/>
        </w:rPr>
      </w:pPr>
    </w:p>
    <w:p w14:paraId="56879443">
      <w:pPr>
        <w:pStyle w:val="67"/>
        <w:rPr>
          <w:rFonts w:eastAsiaTheme="minorEastAsia"/>
          <w:color w:val="auto"/>
          <w:highlight w:val="none"/>
        </w:rPr>
      </w:pPr>
    </w:p>
    <w:p w14:paraId="2A4FB598">
      <w:pPr>
        <w:spacing w:line="480" w:lineRule="auto"/>
        <w:ind w:firstLine="1205" w:firstLineChars="400"/>
        <w:rPr>
          <w:rFonts w:hint="eastAsia" w:asciiTheme="minorEastAsia" w:hAnsiTheme="minorEastAsia" w:eastAsiaTheme="minorEastAsia"/>
          <w:b/>
          <w:color w:val="auto"/>
          <w:sz w:val="30"/>
          <w:szCs w:val="30"/>
          <w:highlight w:val="none"/>
          <w:lang w:eastAsia="zh-CN"/>
        </w:rPr>
      </w:pPr>
      <w:r>
        <w:rPr>
          <w:rFonts w:hint="eastAsia" w:asciiTheme="minorEastAsia" w:hAnsiTheme="minorEastAsia" w:eastAsiaTheme="minorEastAsia"/>
          <w:b/>
          <w:color w:val="auto"/>
          <w:sz w:val="30"/>
          <w:szCs w:val="30"/>
          <w:highlight w:val="none"/>
        </w:rPr>
        <w:t>采</w:t>
      </w:r>
      <w:r>
        <w:rPr>
          <w:rFonts w:hint="eastAsia" w:asciiTheme="minorEastAsia" w:hAnsiTheme="minorEastAsia" w:eastAsiaTheme="minorEastAsia"/>
          <w:b/>
          <w:color w:val="auto"/>
          <w:sz w:val="30"/>
          <w:szCs w:val="30"/>
          <w:highlight w:val="none"/>
          <w:lang w:val="en-US" w:eastAsia="zh-CN"/>
        </w:rPr>
        <w:t xml:space="preserve">   </w:t>
      </w:r>
      <w:r>
        <w:rPr>
          <w:rFonts w:hint="eastAsia" w:asciiTheme="minorEastAsia" w:hAnsiTheme="minorEastAsia" w:eastAsiaTheme="minorEastAsia"/>
          <w:b/>
          <w:color w:val="auto"/>
          <w:sz w:val="30"/>
          <w:szCs w:val="30"/>
          <w:highlight w:val="none"/>
        </w:rPr>
        <w:t>购</w:t>
      </w:r>
      <w:r>
        <w:rPr>
          <w:rFonts w:hint="eastAsia" w:asciiTheme="minorEastAsia" w:hAnsiTheme="minorEastAsia" w:eastAsiaTheme="minorEastAsia"/>
          <w:b/>
          <w:color w:val="auto"/>
          <w:sz w:val="30"/>
          <w:szCs w:val="30"/>
          <w:highlight w:val="none"/>
          <w:lang w:val="en-US" w:eastAsia="zh-CN"/>
        </w:rPr>
        <w:t xml:space="preserve">  </w:t>
      </w:r>
      <w:r>
        <w:rPr>
          <w:rFonts w:hint="eastAsia" w:asciiTheme="minorEastAsia" w:hAnsiTheme="minorEastAsia" w:eastAsiaTheme="minorEastAsia"/>
          <w:b/>
          <w:color w:val="auto"/>
          <w:sz w:val="30"/>
          <w:szCs w:val="30"/>
          <w:highlight w:val="none"/>
        </w:rPr>
        <w:t>人：</w:t>
      </w:r>
      <w:r>
        <w:rPr>
          <w:rFonts w:hint="eastAsia" w:asciiTheme="minorEastAsia" w:hAnsiTheme="minorEastAsia" w:eastAsiaTheme="minorEastAsia"/>
          <w:b/>
          <w:color w:val="auto"/>
          <w:sz w:val="30"/>
          <w:szCs w:val="30"/>
          <w:highlight w:val="none"/>
          <w:lang w:eastAsia="zh-CN"/>
        </w:rPr>
        <w:t>昆明高新技术产业开发区第四小学</w:t>
      </w:r>
    </w:p>
    <w:p w14:paraId="4EF6473C">
      <w:pPr>
        <w:spacing w:line="480" w:lineRule="auto"/>
        <w:ind w:firstLine="1205" w:firstLineChars="400"/>
        <w:rPr>
          <w:rFonts w:hint="eastAsia" w:asciiTheme="minorEastAsia" w:hAnsiTheme="minorEastAsia" w:eastAsiaTheme="minorEastAsia"/>
          <w:b/>
          <w:color w:val="auto"/>
          <w:sz w:val="30"/>
          <w:szCs w:val="30"/>
          <w:highlight w:val="none"/>
          <w:lang w:eastAsia="zh-CN"/>
        </w:rPr>
      </w:pPr>
      <w:r>
        <w:rPr>
          <w:rFonts w:hint="eastAsia" w:asciiTheme="minorEastAsia" w:hAnsiTheme="minorEastAsia" w:eastAsiaTheme="minorEastAsia"/>
          <w:b/>
          <w:color w:val="auto"/>
          <w:sz w:val="30"/>
          <w:szCs w:val="30"/>
          <w:highlight w:val="none"/>
        </w:rPr>
        <w:t>采购代理机构：</w:t>
      </w:r>
      <w:r>
        <w:rPr>
          <w:rFonts w:hint="eastAsia" w:asciiTheme="minorEastAsia" w:hAnsiTheme="minorEastAsia" w:eastAsiaTheme="minorEastAsia"/>
          <w:b/>
          <w:color w:val="auto"/>
          <w:sz w:val="30"/>
          <w:szCs w:val="30"/>
          <w:highlight w:val="none"/>
          <w:lang w:eastAsia="zh-CN"/>
        </w:rPr>
        <w:t>云南燕国工程咨询有限公司</w:t>
      </w:r>
    </w:p>
    <w:p w14:paraId="5917996B">
      <w:pPr>
        <w:ind w:firstLine="198"/>
        <w:jc w:val="center"/>
        <w:rPr>
          <w:rFonts w:hint="eastAsia"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202</w:t>
      </w:r>
      <w:r>
        <w:rPr>
          <w:rFonts w:hint="eastAsia" w:asciiTheme="minorEastAsia" w:hAnsiTheme="minorEastAsia" w:eastAsiaTheme="minorEastAsia"/>
          <w:b/>
          <w:color w:val="auto"/>
          <w:sz w:val="30"/>
          <w:szCs w:val="30"/>
          <w:highlight w:val="none"/>
          <w:lang w:val="en-US" w:eastAsia="zh-CN"/>
        </w:rPr>
        <w:t>6</w:t>
      </w:r>
      <w:r>
        <w:rPr>
          <w:rFonts w:hint="eastAsia" w:asciiTheme="minorEastAsia" w:hAnsiTheme="minorEastAsia" w:eastAsiaTheme="minorEastAsia"/>
          <w:b/>
          <w:color w:val="auto"/>
          <w:sz w:val="30"/>
          <w:szCs w:val="30"/>
          <w:highlight w:val="none"/>
        </w:rPr>
        <w:t>年</w:t>
      </w:r>
      <w:r>
        <w:rPr>
          <w:rFonts w:hint="eastAsia" w:asciiTheme="minorEastAsia" w:hAnsiTheme="minorEastAsia" w:eastAsiaTheme="minorEastAsia"/>
          <w:b/>
          <w:color w:val="auto"/>
          <w:sz w:val="30"/>
          <w:szCs w:val="30"/>
          <w:highlight w:val="none"/>
          <w:lang w:val="en-US" w:eastAsia="zh-CN"/>
        </w:rPr>
        <w:t>5</w:t>
      </w:r>
      <w:r>
        <w:rPr>
          <w:rFonts w:hint="eastAsia" w:asciiTheme="minorEastAsia" w:hAnsiTheme="minorEastAsia" w:eastAsiaTheme="minorEastAsia"/>
          <w:b/>
          <w:color w:val="auto"/>
          <w:sz w:val="30"/>
          <w:szCs w:val="30"/>
          <w:highlight w:val="none"/>
        </w:rPr>
        <w:t>月</w:t>
      </w:r>
    </w:p>
    <w:p w14:paraId="0E1E3270">
      <w:pPr>
        <w:spacing w:line="360" w:lineRule="auto"/>
        <w:ind w:firstLine="2554" w:firstLineChars="795"/>
        <w:rPr>
          <w:rFonts w:hint="eastAsia" w:asciiTheme="minorEastAsia" w:hAnsiTheme="minorEastAsia" w:eastAsiaTheme="minorEastAsia"/>
          <w:b/>
          <w:color w:val="auto"/>
          <w:sz w:val="32"/>
          <w:szCs w:val="32"/>
          <w:highlight w:val="none"/>
        </w:rPr>
        <w:sectPr>
          <w:headerReference r:id="rId3" w:type="default"/>
          <w:footerReference r:id="rId5" w:type="default"/>
          <w:headerReference r:id="rId4" w:type="even"/>
          <w:footerReference r:id="rId6" w:type="even"/>
          <w:pgSz w:w="11906" w:h="16838"/>
          <w:pgMar w:top="1440" w:right="1474" w:bottom="1440" w:left="1474" w:header="851" w:footer="851" w:gutter="0"/>
          <w:cols w:space="720" w:num="1"/>
          <w:titlePg/>
          <w:docGrid w:linePitch="312" w:charSpace="0"/>
        </w:sectPr>
      </w:pPr>
    </w:p>
    <w:p w14:paraId="473DB54D">
      <w:pPr>
        <w:pStyle w:val="44"/>
        <w:tabs>
          <w:tab w:val="right" w:leader="dot" w:pos="9736"/>
        </w:tabs>
        <w:spacing w:line="360" w:lineRule="auto"/>
        <w:jc w:val="center"/>
        <w:rPr>
          <w:rFonts w:hint="eastAsia" w:asciiTheme="minorEastAsia" w:hAnsiTheme="minorEastAsia" w:eastAsiaTheme="minorEastAsia"/>
          <w:b/>
          <w:bCs/>
          <w:color w:val="auto"/>
          <w:sz w:val="28"/>
          <w:szCs w:val="28"/>
          <w:highlight w:val="none"/>
        </w:rPr>
      </w:pPr>
      <w:bookmarkStart w:id="0" w:name="_Toc37603093"/>
      <w:bookmarkStart w:id="1" w:name="_Toc458763736"/>
      <w:bookmarkStart w:id="2" w:name="_Hlk521320756"/>
      <w:r>
        <w:rPr>
          <w:rFonts w:hint="eastAsia" w:asciiTheme="minorEastAsia" w:hAnsiTheme="minorEastAsia" w:eastAsiaTheme="minorEastAsia"/>
          <w:b/>
          <w:bCs/>
          <w:color w:val="auto"/>
          <w:sz w:val="28"/>
          <w:szCs w:val="28"/>
          <w:highlight w:val="none"/>
        </w:rPr>
        <w:t>目 录</w:t>
      </w:r>
    </w:p>
    <w:bookmarkEnd w:id="0"/>
    <w:bookmarkEnd w:id="1"/>
    <w:p w14:paraId="256137FF">
      <w:pPr>
        <w:pStyle w:val="35"/>
        <w:tabs>
          <w:tab w:val="right" w:leader="dot" w:pos="8948"/>
        </w:tabs>
        <w:spacing w:before="0" w:after="0" w:line="480" w:lineRule="auto"/>
        <w:rPr>
          <w:rFonts w:hint="eastAsia" w:ascii="宋体" w:hAnsi="宋体" w:eastAsia="宋体" w:cs="宋体"/>
          <w:b w:val="0"/>
          <w:bCs w:val="0"/>
          <w:caps w:val="0"/>
          <w:color w:val="auto"/>
          <w:sz w:val="21"/>
          <w:szCs w:val="21"/>
          <w:highlight w:val="none"/>
        </w:rPr>
      </w:pPr>
      <w:bookmarkStart w:id="3" w:name="_Toc28359011"/>
      <w:bookmarkStart w:id="4" w:name="_Toc35393797"/>
      <w:bookmarkStart w:id="5" w:name="_Hlk9513089"/>
      <w:r>
        <w:rPr>
          <w:rStyle w:val="61"/>
          <w:rFonts w:hint="eastAsia" w:ascii="宋体" w:hAnsi="宋体" w:eastAsia="宋体" w:cs="宋体"/>
          <w:color w:val="auto"/>
          <w:sz w:val="21"/>
          <w:szCs w:val="21"/>
          <w:highlight w:val="none"/>
        </w:rPr>
        <w:fldChar w:fldCharType="begin"/>
      </w:r>
      <w:r>
        <w:rPr>
          <w:rStyle w:val="61"/>
          <w:rFonts w:hint="eastAsia" w:ascii="宋体" w:hAnsi="宋体" w:eastAsia="宋体" w:cs="宋体"/>
          <w:b w:val="0"/>
          <w:bCs w:val="0"/>
          <w:color w:val="auto"/>
          <w:sz w:val="21"/>
          <w:szCs w:val="21"/>
          <w:highlight w:val="none"/>
        </w:rPr>
        <w:instrText xml:space="preserve"> TOC \o "1-2" \h \z \u </w:instrText>
      </w:r>
      <w:r>
        <w:rPr>
          <w:rStyle w:val="61"/>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"_Toc158233411"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b w:val="0"/>
          <w:color w:val="auto"/>
          <w:sz w:val="21"/>
          <w:szCs w:val="21"/>
          <w:highlight w:val="none"/>
        </w:rPr>
        <w:t>第一章 竞争性磋商公告</w:t>
      </w:r>
      <w:r>
        <w:rPr>
          <w:rFonts w:hint="eastAsia" w:ascii="宋体" w:hAnsi="宋体" w:eastAsia="宋体" w:cs="宋体"/>
          <w:b w:val="0"/>
          <w:color w:val="auto"/>
          <w:sz w:val="21"/>
          <w:szCs w:val="21"/>
          <w:highlight w:val="none"/>
        </w:rPr>
        <w:tab/>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PAGEREF _Toc158233411 \h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b w:val="0"/>
          <w:color w:val="auto"/>
          <w:sz w:val="21"/>
          <w:szCs w:val="21"/>
          <w:highlight w:val="none"/>
        </w:rPr>
        <w:t>3</w:t>
      </w:r>
      <w:r>
        <w:rPr>
          <w:rFonts w:hint="eastAsia" w:ascii="宋体" w:hAnsi="宋体" w:eastAsia="宋体" w:cs="宋体"/>
          <w:b w:val="0"/>
          <w:color w:val="auto"/>
          <w:sz w:val="21"/>
          <w:szCs w:val="21"/>
          <w:highlight w:val="none"/>
        </w:rPr>
        <w:fldChar w:fldCharType="end"/>
      </w:r>
      <w:r>
        <w:rPr>
          <w:rFonts w:hint="eastAsia" w:ascii="宋体" w:hAnsi="宋体" w:eastAsia="宋体" w:cs="宋体"/>
          <w:b w:val="0"/>
          <w:color w:val="auto"/>
          <w:sz w:val="21"/>
          <w:szCs w:val="21"/>
          <w:highlight w:val="none"/>
        </w:rPr>
        <w:fldChar w:fldCharType="end"/>
      </w:r>
    </w:p>
    <w:p w14:paraId="1DADF021">
      <w:pPr>
        <w:pStyle w:val="35"/>
        <w:tabs>
          <w:tab w:val="right" w:leader="dot" w:pos="8948"/>
        </w:tabs>
        <w:spacing w:before="0" w:after="0" w:line="480" w:lineRule="auto"/>
        <w:rPr>
          <w:rFonts w:hint="eastAsia" w:ascii="宋体" w:hAnsi="宋体" w:eastAsia="宋体" w:cs="宋体"/>
          <w:b w:val="0"/>
          <w:bCs w:val="0"/>
          <w: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"_Toc158233412"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b w:val="0"/>
          <w:color w:val="auto"/>
          <w:sz w:val="21"/>
          <w:szCs w:val="21"/>
          <w:highlight w:val="none"/>
        </w:rPr>
        <w:t>第二章 供应商须知</w:t>
      </w:r>
      <w:r>
        <w:rPr>
          <w:rFonts w:hint="eastAsia" w:ascii="宋体" w:hAnsi="宋体" w:eastAsia="宋体" w:cs="宋体"/>
          <w:b w:val="0"/>
          <w:color w:val="auto"/>
          <w:sz w:val="21"/>
          <w:szCs w:val="21"/>
          <w:highlight w:val="none"/>
        </w:rPr>
        <w:tab/>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PAGEREF _Toc158233412 \h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b w:val="0"/>
          <w:color w:val="auto"/>
          <w:sz w:val="21"/>
          <w:szCs w:val="21"/>
          <w:highlight w:val="none"/>
        </w:rPr>
        <w:t>7</w:t>
      </w:r>
      <w:r>
        <w:rPr>
          <w:rFonts w:hint="eastAsia" w:ascii="宋体" w:hAnsi="宋体" w:eastAsia="宋体" w:cs="宋体"/>
          <w:b w:val="0"/>
          <w:color w:val="auto"/>
          <w:sz w:val="21"/>
          <w:szCs w:val="21"/>
          <w:highlight w:val="none"/>
        </w:rPr>
        <w:fldChar w:fldCharType="end"/>
      </w:r>
      <w:r>
        <w:rPr>
          <w:rFonts w:hint="eastAsia" w:ascii="宋体" w:hAnsi="宋体" w:eastAsia="宋体" w:cs="宋体"/>
          <w:b w:val="0"/>
          <w:color w:val="auto"/>
          <w:sz w:val="21"/>
          <w:szCs w:val="21"/>
          <w:highlight w:val="none"/>
        </w:rPr>
        <w:fldChar w:fldCharType="end"/>
      </w:r>
    </w:p>
    <w:p w14:paraId="34E1E832">
      <w:pPr>
        <w:pStyle w:val="44"/>
        <w:tabs>
          <w:tab w:val="right" w:leader="dot" w:pos="8948"/>
        </w:tabs>
        <w:spacing w:line="480" w:lineRule="auto"/>
        <w:rPr>
          <w:rFonts w:hint="eastAsia" w:ascii="宋体" w:hAnsi="宋体" w:eastAsia="宋体" w:cs="宋体"/>
          <w:small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"_Toc158233413"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_Toc158233413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995A792">
      <w:pPr>
        <w:pStyle w:val="44"/>
        <w:tabs>
          <w:tab w:val="right" w:leader="dot" w:pos="8948"/>
        </w:tabs>
        <w:spacing w:line="480" w:lineRule="auto"/>
        <w:rPr>
          <w:rFonts w:hint="eastAsia" w:ascii="宋体" w:hAnsi="宋体" w:eastAsia="宋体" w:cs="宋体"/>
          <w:small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"_Toc158233414"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color w:val="auto"/>
          <w:sz w:val="21"/>
          <w:szCs w:val="21"/>
          <w:highlight w:val="none"/>
        </w:rPr>
        <w:t>二、供应商须知正文部分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_Toc158233414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4A6AF9">
      <w:pPr>
        <w:pStyle w:val="35"/>
        <w:tabs>
          <w:tab w:val="right" w:leader="dot" w:pos="8948"/>
        </w:tabs>
        <w:spacing w:before="0" w:after="0" w:line="480" w:lineRule="auto"/>
        <w:rPr>
          <w:rFonts w:hint="eastAsia" w:ascii="宋体" w:hAnsi="宋体" w:eastAsia="宋体" w:cs="宋体"/>
          <w:b w:val="0"/>
          <w:bCs w:val="0"/>
          <w: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"_Toc158233415"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b w:val="0"/>
          <w:color w:val="auto"/>
          <w:sz w:val="21"/>
          <w:szCs w:val="21"/>
          <w:highlight w:val="none"/>
        </w:rPr>
        <w:t>第三章 合同条款及格式</w:t>
      </w:r>
      <w:r>
        <w:rPr>
          <w:rFonts w:hint="eastAsia" w:ascii="宋体" w:hAnsi="宋体" w:eastAsia="宋体" w:cs="宋体"/>
          <w:b w:val="0"/>
          <w:color w:val="auto"/>
          <w:sz w:val="21"/>
          <w:szCs w:val="21"/>
          <w:highlight w:val="none"/>
        </w:rPr>
        <w:tab/>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PAGEREF _Toc158233415 \h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b w:val="0"/>
          <w:color w:val="auto"/>
          <w:sz w:val="21"/>
          <w:szCs w:val="21"/>
          <w:highlight w:val="none"/>
        </w:rPr>
        <w:t>23</w:t>
      </w:r>
      <w:r>
        <w:rPr>
          <w:rFonts w:hint="eastAsia" w:ascii="宋体" w:hAnsi="宋体" w:eastAsia="宋体" w:cs="宋体"/>
          <w:b w:val="0"/>
          <w:color w:val="auto"/>
          <w:sz w:val="21"/>
          <w:szCs w:val="21"/>
          <w:highlight w:val="none"/>
        </w:rPr>
        <w:fldChar w:fldCharType="end"/>
      </w:r>
      <w:r>
        <w:rPr>
          <w:rFonts w:hint="eastAsia" w:ascii="宋体" w:hAnsi="宋体" w:eastAsia="宋体" w:cs="宋体"/>
          <w:b w:val="0"/>
          <w:color w:val="auto"/>
          <w:sz w:val="21"/>
          <w:szCs w:val="21"/>
          <w:highlight w:val="none"/>
        </w:rPr>
        <w:fldChar w:fldCharType="end"/>
      </w:r>
    </w:p>
    <w:p w14:paraId="0AF6B19F">
      <w:pPr>
        <w:pStyle w:val="35"/>
        <w:tabs>
          <w:tab w:val="right" w:leader="dot" w:pos="8948"/>
        </w:tabs>
        <w:spacing w:before="0" w:after="0" w:line="480" w:lineRule="auto"/>
        <w:rPr>
          <w:rFonts w:hint="eastAsia" w:ascii="宋体" w:hAnsi="宋体" w:eastAsia="宋体" w:cs="宋体"/>
          <w:b w:val="0"/>
          <w:bCs w:val="0"/>
          <w: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"_Toc158233416"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b w:val="0"/>
          <w:color w:val="auto"/>
          <w:sz w:val="21"/>
          <w:szCs w:val="21"/>
          <w:highlight w:val="none"/>
        </w:rPr>
        <w:t>第四章 响应文件格式</w:t>
      </w:r>
      <w:r>
        <w:rPr>
          <w:rFonts w:hint="eastAsia" w:ascii="宋体" w:hAnsi="宋体" w:eastAsia="宋体" w:cs="宋体"/>
          <w:b w:val="0"/>
          <w:color w:val="auto"/>
          <w:sz w:val="21"/>
          <w:szCs w:val="21"/>
          <w:highlight w:val="none"/>
        </w:rPr>
        <w:tab/>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PAGEREF _Toc158233416 \h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b w:val="0"/>
          <w:color w:val="auto"/>
          <w:sz w:val="21"/>
          <w:szCs w:val="21"/>
          <w:highlight w:val="none"/>
        </w:rPr>
        <w:t>23</w:t>
      </w:r>
      <w:r>
        <w:rPr>
          <w:rFonts w:hint="eastAsia" w:ascii="宋体" w:hAnsi="宋体" w:eastAsia="宋体" w:cs="宋体"/>
          <w:b w:val="0"/>
          <w:color w:val="auto"/>
          <w:sz w:val="21"/>
          <w:szCs w:val="21"/>
          <w:highlight w:val="none"/>
        </w:rPr>
        <w:fldChar w:fldCharType="end"/>
      </w:r>
      <w:r>
        <w:rPr>
          <w:rFonts w:hint="eastAsia" w:ascii="宋体" w:hAnsi="宋体" w:eastAsia="宋体" w:cs="宋体"/>
          <w:b w:val="0"/>
          <w:color w:val="auto"/>
          <w:sz w:val="21"/>
          <w:szCs w:val="21"/>
          <w:highlight w:val="none"/>
        </w:rPr>
        <w:fldChar w:fldCharType="end"/>
      </w:r>
    </w:p>
    <w:p w14:paraId="3508C81A">
      <w:pPr>
        <w:pStyle w:val="44"/>
        <w:tabs>
          <w:tab w:val="right" w:leader="dot" w:pos="8948"/>
        </w:tabs>
        <w:spacing w:line="480" w:lineRule="auto"/>
        <w:rPr>
          <w:rFonts w:hint="eastAsia" w:ascii="宋体" w:hAnsi="宋体" w:eastAsia="宋体" w:cs="宋体"/>
          <w:small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"_Toc158233417"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color w:val="auto"/>
          <w:sz w:val="21"/>
          <w:szCs w:val="21"/>
          <w:highlight w:val="none"/>
        </w:rPr>
        <w:t>一、资格文件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_Toc158233417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F14EC9">
      <w:pPr>
        <w:pStyle w:val="44"/>
        <w:tabs>
          <w:tab w:val="right" w:leader="dot" w:pos="8948"/>
        </w:tabs>
        <w:spacing w:line="480" w:lineRule="auto"/>
        <w:rPr>
          <w:rFonts w:hint="eastAsia" w:ascii="宋体" w:hAnsi="宋体" w:eastAsia="宋体" w:cs="宋体"/>
          <w:small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"_Toc158233418"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color w:val="auto"/>
          <w:sz w:val="21"/>
          <w:szCs w:val="21"/>
          <w:highlight w:val="none"/>
        </w:rPr>
        <w:t>二、商务报价文件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_Toc158233418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068377B">
      <w:pPr>
        <w:pStyle w:val="44"/>
        <w:tabs>
          <w:tab w:val="right" w:leader="dot" w:pos="8948"/>
        </w:tabs>
        <w:spacing w:line="480" w:lineRule="auto"/>
        <w:rPr>
          <w:rFonts w:hint="eastAsia" w:ascii="宋体" w:hAnsi="宋体" w:eastAsia="宋体" w:cs="宋体"/>
          <w:small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"_Toc158233419"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color w:val="auto"/>
          <w:sz w:val="21"/>
          <w:szCs w:val="21"/>
          <w:highlight w:val="none"/>
        </w:rPr>
        <w:t>三、技术文件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_Toc158233419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2547F1">
      <w:pPr>
        <w:pStyle w:val="35"/>
        <w:tabs>
          <w:tab w:val="right" w:leader="dot" w:pos="8948"/>
        </w:tabs>
        <w:spacing w:before="0" w:after="0" w:line="480" w:lineRule="auto"/>
        <w:rPr>
          <w:rFonts w:hint="eastAsia" w:ascii="宋体" w:hAnsi="宋体" w:eastAsia="宋体" w:cs="宋体"/>
          <w:b w:val="0"/>
          <w:bCs w:val="0"/>
          <w: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"_Toc158233420"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b w:val="0"/>
          <w:color w:val="auto"/>
          <w:sz w:val="21"/>
          <w:szCs w:val="21"/>
          <w:highlight w:val="none"/>
        </w:rPr>
        <w:t>第五章 采购需求</w:t>
      </w:r>
      <w:r>
        <w:rPr>
          <w:rFonts w:hint="eastAsia" w:ascii="宋体" w:hAnsi="宋体" w:eastAsia="宋体" w:cs="宋体"/>
          <w:b w:val="0"/>
          <w:color w:val="auto"/>
          <w:sz w:val="21"/>
          <w:szCs w:val="21"/>
          <w:highlight w:val="none"/>
        </w:rPr>
        <w:tab/>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PAGEREF _Toc158233420 \h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b w:val="0"/>
          <w:color w:val="auto"/>
          <w:sz w:val="21"/>
          <w:szCs w:val="21"/>
          <w:highlight w:val="none"/>
        </w:rPr>
        <w:t>60</w:t>
      </w:r>
      <w:r>
        <w:rPr>
          <w:rFonts w:hint="eastAsia" w:ascii="宋体" w:hAnsi="宋体" w:eastAsia="宋体" w:cs="宋体"/>
          <w:b w:val="0"/>
          <w:color w:val="auto"/>
          <w:sz w:val="21"/>
          <w:szCs w:val="21"/>
          <w:highlight w:val="none"/>
        </w:rPr>
        <w:fldChar w:fldCharType="end"/>
      </w:r>
      <w:r>
        <w:rPr>
          <w:rFonts w:hint="eastAsia" w:ascii="宋体" w:hAnsi="宋体" w:eastAsia="宋体" w:cs="宋体"/>
          <w:b w:val="0"/>
          <w:color w:val="auto"/>
          <w:sz w:val="21"/>
          <w:szCs w:val="21"/>
          <w:highlight w:val="none"/>
        </w:rPr>
        <w:fldChar w:fldCharType="end"/>
      </w:r>
    </w:p>
    <w:p w14:paraId="2645D5B9">
      <w:pPr>
        <w:pStyle w:val="35"/>
        <w:tabs>
          <w:tab w:val="right" w:leader="dot" w:pos="8948"/>
        </w:tabs>
        <w:spacing w:before="0" w:after="0" w:line="480" w:lineRule="auto"/>
        <w:rPr>
          <w:rFonts w:hint="eastAsia" w:ascii="宋体" w:hAnsi="宋体" w:eastAsia="宋体" w:cs="宋体"/>
          <w:b w:val="0"/>
          <w:bCs w:val="0"/>
          <w: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"_Toc158233421"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b w:val="0"/>
          <w:color w:val="auto"/>
          <w:sz w:val="21"/>
          <w:szCs w:val="21"/>
          <w:highlight w:val="none"/>
        </w:rPr>
        <w:t>第六章 评审办法（综合评分法）</w:t>
      </w:r>
      <w:r>
        <w:rPr>
          <w:rFonts w:hint="eastAsia" w:ascii="宋体" w:hAnsi="宋体" w:eastAsia="宋体" w:cs="宋体"/>
          <w:b w:val="0"/>
          <w:color w:val="auto"/>
          <w:sz w:val="21"/>
          <w:szCs w:val="21"/>
          <w:highlight w:val="none"/>
        </w:rPr>
        <w:tab/>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PAGEREF _Toc158233421 \h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b w:val="0"/>
          <w:color w:val="auto"/>
          <w:sz w:val="21"/>
          <w:szCs w:val="21"/>
          <w:highlight w:val="none"/>
        </w:rPr>
        <w:t>61</w:t>
      </w:r>
      <w:r>
        <w:rPr>
          <w:rFonts w:hint="eastAsia" w:ascii="宋体" w:hAnsi="宋体" w:eastAsia="宋体" w:cs="宋体"/>
          <w:b w:val="0"/>
          <w:color w:val="auto"/>
          <w:sz w:val="21"/>
          <w:szCs w:val="21"/>
          <w:highlight w:val="none"/>
        </w:rPr>
        <w:fldChar w:fldCharType="end"/>
      </w:r>
      <w:r>
        <w:rPr>
          <w:rFonts w:hint="eastAsia" w:ascii="宋体" w:hAnsi="宋体" w:eastAsia="宋体" w:cs="宋体"/>
          <w:b w:val="0"/>
          <w:color w:val="auto"/>
          <w:sz w:val="21"/>
          <w:szCs w:val="21"/>
          <w:highlight w:val="none"/>
        </w:rPr>
        <w:fldChar w:fldCharType="end"/>
      </w:r>
    </w:p>
    <w:p w14:paraId="6024E6B5">
      <w:pPr>
        <w:pStyle w:val="44"/>
        <w:tabs>
          <w:tab w:val="right" w:leader="dot" w:pos="8948"/>
        </w:tabs>
        <w:spacing w:line="480" w:lineRule="auto"/>
        <w:rPr>
          <w:rFonts w:hint="eastAsia" w:ascii="宋体" w:hAnsi="宋体" w:eastAsia="宋体" w:cs="宋体"/>
          <w:small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"_Toc158233422"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bCs/>
          <w:color w:val="auto"/>
          <w:sz w:val="21"/>
          <w:szCs w:val="21"/>
          <w:highlight w:val="none"/>
        </w:rPr>
        <w:t>一、评审办法前附表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_Toc158233422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B3990E">
      <w:pPr>
        <w:pStyle w:val="44"/>
        <w:tabs>
          <w:tab w:val="right" w:leader="dot" w:pos="8948"/>
        </w:tabs>
        <w:spacing w:line="480" w:lineRule="auto"/>
        <w:rPr>
          <w:rFonts w:hint="eastAsia" w:ascii="宋体" w:hAnsi="宋体" w:eastAsia="宋体" w:cs="宋体"/>
          <w:small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"_Toc158233423" </w:instrText>
      </w:r>
      <w:r>
        <w:rPr>
          <w:rFonts w:hint="eastAsia" w:ascii="宋体" w:hAnsi="宋体" w:eastAsia="宋体" w:cs="宋体"/>
          <w:color w:val="auto"/>
          <w:sz w:val="21"/>
          <w:szCs w:val="21"/>
          <w:highlight w:val="none"/>
        </w:rPr>
        <w:fldChar w:fldCharType="separate"/>
      </w:r>
      <w:r>
        <w:rPr>
          <w:rStyle w:val="61"/>
          <w:rFonts w:hint="eastAsia" w:ascii="宋体" w:hAnsi="宋体" w:eastAsia="宋体" w:cs="宋体"/>
          <w:color w:val="auto"/>
          <w:sz w:val="21"/>
          <w:szCs w:val="21"/>
          <w:highlight w:val="none"/>
        </w:rPr>
        <w:t>二、评审办法正文部分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_Toc158233423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F0365C2">
      <w:pPr>
        <w:pStyle w:val="35"/>
        <w:tabs>
          <w:tab w:val="right" w:leader="dot" w:pos="8948"/>
        </w:tabs>
        <w:spacing w:before="0" w:after="0" w:line="480" w:lineRule="auto"/>
        <w:rPr>
          <w:rFonts w:hint="eastAsia" w:asciiTheme="minorEastAsia" w:hAnsiTheme="minorEastAsia" w:eastAsiaTheme="minorEastAsia" w:cstheme="minorEastAsia"/>
          <w:smallCaps/>
          <w:color w:val="auto"/>
          <w:szCs w:val="21"/>
          <w:highlight w:val="none"/>
        </w:rPr>
      </w:pPr>
      <w:r>
        <w:rPr>
          <w:rFonts w:hint="eastAsia" w:ascii="宋体" w:hAnsi="宋体" w:eastAsia="宋体" w:cs="宋体"/>
          <w:b w:val="0"/>
          <w:bCs w:val="0"/>
          <w:color w:val="auto"/>
          <w:sz w:val="21"/>
          <w:szCs w:val="21"/>
          <w:highlight w:val="none"/>
        </w:rPr>
        <w:fldChar w:fldCharType="end"/>
      </w:r>
      <w:r>
        <w:rPr>
          <w:rFonts w:hint="eastAsia" w:asciiTheme="minorEastAsia" w:hAnsiTheme="minorEastAsia" w:eastAsiaTheme="minorEastAsia" w:cstheme="minorEastAsia"/>
          <w:color w:val="auto"/>
          <w:szCs w:val="21"/>
          <w:highlight w:val="none"/>
        </w:rPr>
        <w:br w:type="page"/>
      </w:r>
    </w:p>
    <w:p w14:paraId="00639BC0">
      <w:pPr>
        <w:pStyle w:val="44"/>
        <w:tabs>
          <w:tab w:val="right" w:leader="dot" w:pos="8948"/>
        </w:tabs>
        <w:spacing w:line="360" w:lineRule="auto"/>
        <w:ind w:left="0"/>
        <w:jc w:val="center"/>
        <w:outlineLvl w:val="0"/>
        <w:rPr>
          <w:rFonts w:hint="eastAsia" w:asciiTheme="minorEastAsia" w:hAnsiTheme="minorEastAsia" w:eastAsiaTheme="minorEastAsia"/>
          <w:b/>
          <w:bCs/>
          <w:color w:val="auto"/>
          <w:sz w:val="32"/>
          <w:szCs w:val="32"/>
          <w:highlight w:val="none"/>
        </w:rPr>
      </w:pPr>
      <w:bookmarkStart w:id="6" w:name="_Toc158233411"/>
      <w:r>
        <w:rPr>
          <w:rFonts w:hint="eastAsia" w:asciiTheme="minorEastAsia" w:hAnsiTheme="minorEastAsia" w:eastAsiaTheme="minorEastAsia"/>
          <w:b/>
          <w:bCs/>
          <w:color w:val="auto"/>
          <w:sz w:val="32"/>
          <w:szCs w:val="32"/>
          <w:highlight w:val="none"/>
        </w:rPr>
        <w:t xml:space="preserve">第一章 </w:t>
      </w:r>
      <w:bookmarkStart w:id="7" w:name="_Hlk69293590"/>
      <w:r>
        <w:rPr>
          <w:rFonts w:hint="eastAsia" w:asciiTheme="minorEastAsia" w:hAnsiTheme="minorEastAsia" w:eastAsiaTheme="minorEastAsia"/>
          <w:b/>
          <w:bCs/>
          <w:color w:val="auto"/>
          <w:sz w:val="32"/>
          <w:szCs w:val="32"/>
          <w:highlight w:val="none"/>
        </w:rPr>
        <w:t>竞争性磋商公告</w:t>
      </w:r>
      <w:bookmarkEnd w:id="3"/>
      <w:bookmarkEnd w:id="4"/>
      <w:bookmarkEnd w:id="6"/>
    </w:p>
    <w:p w14:paraId="085AB7D2">
      <w:pPr>
        <w:pBdr>
          <w:top w:val="single" w:color="auto" w:sz="4" w:space="4"/>
          <w:left w:val="single" w:color="auto" w:sz="4" w:space="0"/>
          <w:bottom w:val="single" w:color="auto" w:sz="4" w:space="1"/>
          <w:right w:val="single" w:color="auto" w:sz="4" w:space="0"/>
        </w:pBdr>
        <w:spacing w:line="36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项目概况</w:t>
      </w:r>
    </w:p>
    <w:p w14:paraId="1B4AA712">
      <w:pPr>
        <w:pBdr>
          <w:top w:val="single" w:color="auto" w:sz="4" w:space="4"/>
          <w:left w:val="single" w:color="auto" w:sz="4" w:space="0"/>
          <w:bottom w:val="single" w:color="auto" w:sz="4" w:space="1"/>
          <w:right w:val="single" w:color="auto" w:sz="4" w:space="0"/>
        </w:pBdr>
        <w:wordWrap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lang w:eastAsia="zh-CN"/>
        </w:rPr>
        <w:t>高新四小食堂物资采购</w:t>
      </w:r>
      <w:r>
        <w:rPr>
          <w:rFonts w:hint="eastAsia" w:asciiTheme="minorEastAsia" w:hAnsiTheme="minorEastAsia" w:eastAsiaTheme="minorEastAsia"/>
          <w:color w:val="auto"/>
          <w:szCs w:val="21"/>
          <w:highlight w:val="none"/>
        </w:rPr>
        <w:t>采购项目的潜在供应商应在</w:t>
      </w:r>
      <w:r>
        <w:rPr>
          <w:rFonts w:hint="eastAsia" w:asciiTheme="minorEastAsia" w:hAnsiTheme="minorEastAsia" w:eastAsiaTheme="minorEastAsia"/>
          <w:color w:val="auto"/>
          <w:szCs w:val="21"/>
          <w:highlight w:val="none"/>
          <w:u w:val="single"/>
        </w:rPr>
        <w:t>政府采购云平台（网址:</w:t>
      </w:r>
      <w:r>
        <w:rPr>
          <w:rFonts w:asciiTheme="minorEastAsia" w:hAnsiTheme="minorEastAsia" w:eastAsiaTheme="minorEastAsia"/>
          <w:color w:val="auto"/>
          <w:szCs w:val="21"/>
          <w:highlight w:val="none"/>
          <w:u w:val="single"/>
        </w:rPr>
        <w:t>https://www.zcygov.cn/</w:t>
      </w:r>
      <w:r>
        <w:rPr>
          <w:rFonts w:hint="eastAsia"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rPr>
        <w:t>获取采购文件，并于</w:t>
      </w:r>
      <w:r>
        <w:rPr>
          <w:rFonts w:hint="eastAsia" w:asciiTheme="minorEastAsia" w:hAnsiTheme="minorEastAsia" w:eastAsiaTheme="minorEastAsia"/>
          <w:color w:val="auto"/>
          <w:szCs w:val="21"/>
          <w:highlight w:val="none"/>
          <w:u w:val="single"/>
          <w:lang w:val="en-US" w:eastAsia="zh-CN"/>
        </w:rPr>
        <w:t>2026年06月05日10:00</w:t>
      </w:r>
      <w:r>
        <w:rPr>
          <w:rFonts w:hint="eastAsia" w:asciiTheme="minorEastAsia" w:hAnsiTheme="minorEastAsia" w:eastAsiaTheme="minorEastAsia"/>
          <w:color w:val="auto"/>
          <w:szCs w:val="21"/>
          <w:highlight w:val="none"/>
        </w:rPr>
        <w:t>（北京时间）前提交响应文件。</w:t>
      </w:r>
    </w:p>
    <w:p w14:paraId="19F80CBD">
      <w:pPr>
        <w:spacing w:before="156" w:beforeLines="50" w:line="360" w:lineRule="auto"/>
        <w:rPr>
          <w:rFonts w:hint="eastAsia" w:asciiTheme="minorEastAsia" w:hAnsiTheme="minorEastAsia" w:eastAsiaTheme="minorEastAsia"/>
          <w:b/>
          <w:bCs/>
          <w:color w:val="auto"/>
          <w:sz w:val="24"/>
          <w:szCs w:val="24"/>
          <w:highlight w:val="none"/>
        </w:rPr>
      </w:pPr>
      <w:bookmarkStart w:id="8" w:name="_Toc35393629"/>
      <w:bookmarkStart w:id="9" w:name="_Toc45791325"/>
      <w:bookmarkStart w:id="10" w:name="_Toc84356229"/>
      <w:bookmarkStart w:id="11" w:name="_Toc28359012"/>
      <w:bookmarkStart w:id="12" w:name="_Toc87543795"/>
      <w:bookmarkStart w:id="13" w:name="_Toc98033911"/>
      <w:bookmarkStart w:id="14" w:name="_Toc98864988"/>
      <w:bookmarkStart w:id="15" w:name="_Toc53412193"/>
      <w:bookmarkStart w:id="16" w:name="_Toc87538346"/>
      <w:bookmarkStart w:id="17" w:name="_Toc28359089"/>
      <w:bookmarkStart w:id="18" w:name="_Toc35393798"/>
      <w:bookmarkStart w:id="19" w:name="_Toc83753869"/>
      <w:bookmarkStart w:id="20" w:name="_Toc69678406"/>
      <w:bookmarkStart w:id="21" w:name="_Toc45976872"/>
      <w:bookmarkStart w:id="22" w:name="_Toc109809289"/>
      <w:r>
        <w:rPr>
          <w:rFonts w:hint="eastAsia" w:asciiTheme="minorEastAsia" w:hAnsiTheme="minorEastAsia" w:eastAsiaTheme="minorEastAsia"/>
          <w:b/>
          <w:bCs/>
          <w:color w:val="auto"/>
          <w:sz w:val="24"/>
          <w:szCs w:val="24"/>
          <w:highlight w:val="none"/>
        </w:rPr>
        <w:t>一、项目基本情况</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C0D6385">
      <w:pPr>
        <w:tabs>
          <w:tab w:val="left" w:pos="6982"/>
        </w:tabs>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项目编号：</w:t>
      </w:r>
      <w:r>
        <w:rPr>
          <w:rFonts w:hint="eastAsia" w:asciiTheme="minorEastAsia" w:hAnsiTheme="minorEastAsia" w:eastAsiaTheme="minorEastAsia"/>
          <w:color w:val="auto"/>
          <w:szCs w:val="21"/>
          <w:highlight w:val="none"/>
          <w:lang w:eastAsia="zh-CN"/>
        </w:rPr>
        <w:t>KMZC2026-C1-00971-YNYG-0009</w:t>
      </w:r>
      <w:r>
        <w:rPr>
          <w:rFonts w:hint="eastAsia" w:asciiTheme="minorEastAsia" w:hAnsiTheme="minorEastAsia" w:eastAsiaTheme="minorEastAsia"/>
          <w:color w:val="auto"/>
          <w:szCs w:val="21"/>
          <w:highlight w:val="none"/>
        </w:rPr>
        <w:tab/>
      </w:r>
    </w:p>
    <w:p w14:paraId="08AFD7FF">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项目名称：</w:t>
      </w:r>
      <w:r>
        <w:rPr>
          <w:rFonts w:hint="eastAsia" w:asciiTheme="minorEastAsia" w:hAnsiTheme="minorEastAsia" w:eastAsiaTheme="minorEastAsia"/>
          <w:color w:val="auto"/>
          <w:szCs w:val="21"/>
          <w:highlight w:val="none"/>
          <w:lang w:eastAsia="zh-CN"/>
        </w:rPr>
        <w:t>高新四小食堂物资采购</w:t>
      </w:r>
    </w:p>
    <w:p w14:paraId="5CFE185E">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采购方式：竞争性磋商</w:t>
      </w:r>
    </w:p>
    <w:p w14:paraId="1AF9B9F9">
      <w:pPr>
        <w:spacing w:line="360" w:lineRule="auto"/>
        <w:ind w:firstLine="420" w:firstLineChars="20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预算金额：</w:t>
      </w:r>
      <w:r>
        <w:rPr>
          <w:rFonts w:hint="eastAsia" w:asciiTheme="minorEastAsia" w:hAnsiTheme="minorEastAsia" w:eastAsiaTheme="minorEastAsia"/>
          <w:color w:val="auto"/>
          <w:szCs w:val="21"/>
          <w:highlight w:val="none"/>
          <w:lang w:val="en-US" w:eastAsia="zh-CN"/>
        </w:rPr>
        <w:t>93万元</w:t>
      </w:r>
    </w:p>
    <w:p w14:paraId="7960478A">
      <w:pPr>
        <w:spacing w:line="360" w:lineRule="auto"/>
        <w:ind w:firstLine="420" w:firstLineChars="200"/>
        <w:rPr>
          <w:rFonts w:hint="default" w:asciiTheme="minorEastAsia" w:hAnsiTheme="minorEastAsia" w:eastAsiaTheme="minorEastAsia"/>
          <w:color w:val="FF0000"/>
          <w:szCs w:val="21"/>
          <w:highlight w:val="none"/>
          <w:lang w:val="en-US" w:eastAsia="zh-CN"/>
        </w:rPr>
      </w:pPr>
      <w:r>
        <w:rPr>
          <w:rFonts w:hint="eastAsia" w:asciiTheme="minorEastAsia" w:hAnsiTheme="minorEastAsia" w:eastAsiaTheme="minorEastAsia"/>
          <w:color w:val="auto"/>
          <w:szCs w:val="21"/>
          <w:highlight w:val="none"/>
        </w:rPr>
        <w:t>最高限价：</w:t>
      </w:r>
      <w:r>
        <w:rPr>
          <w:rFonts w:hint="eastAsia" w:asciiTheme="minorEastAsia" w:hAnsiTheme="minorEastAsia" w:eastAsiaTheme="minorEastAsia"/>
          <w:color w:val="auto"/>
          <w:szCs w:val="21"/>
          <w:highlight w:val="none"/>
          <w:lang w:val="en-US" w:eastAsia="zh-CN"/>
        </w:rPr>
        <w:t>93万元，此金额仅作为投标经济参考指标，不作为结算依据或要求采购人提供相应采购量的依据，实际金额以实际供货量据实结算。</w:t>
      </w:r>
    </w:p>
    <w:p w14:paraId="40FE8A59">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采购需求：根据</w:t>
      </w:r>
      <w:r>
        <w:rPr>
          <w:rFonts w:hint="eastAsia" w:asciiTheme="minorEastAsia" w:hAnsiTheme="minorEastAsia" w:eastAsiaTheme="minorEastAsia"/>
          <w:color w:val="auto"/>
          <w:szCs w:val="21"/>
          <w:highlight w:val="none"/>
          <w:lang w:eastAsia="zh-CN"/>
        </w:rPr>
        <w:t>昆明高新技术产业开发区第四小学</w:t>
      </w:r>
      <w:r>
        <w:rPr>
          <w:rFonts w:hint="eastAsia" w:asciiTheme="minorEastAsia" w:hAnsiTheme="minorEastAsia" w:eastAsiaTheme="minorEastAsia"/>
          <w:color w:val="auto"/>
          <w:szCs w:val="21"/>
          <w:highlight w:val="none"/>
        </w:rPr>
        <w:t>要求，为学校食堂配送物资，种类包括：大米、面粉、食用油、肉类、禽蛋类、蔬菜类、豆制品、干菜类、调味品、</w:t>
      </w:r>
      <w:r>
        <w:rPr>
          <w:rFonts w:hint="eastAsia" w:asciiTheme="minorEastAsia" w:hAnsiTheme="minorEastAsia" w:eastAsiaTheme="minorEastAsia"/>
          <w:color w:val="auto"/>
          <w:szCs w:val="21"/>
          <w:highlight w:val="none"/>
          <w:lang w:val="en-US" w:eastAsia="zh-CN"/>
        </w:rPr>
        <w:t>牛奶、</w:t>
      </w:r>
      <w:r>
        <w:rPr>
          <w:rFonts w:hint="eastAsia" w:asciiTheme="minorEastAsia" w:hAnsiTheme="minorEastAsia" w:eastAsiaTheme="minorEastAsia"/>
          <w:color w:val="auto"/>
          <w:szCs w:val="21"/>
          <w:highlight w:val="none"/>
        </w:rPr>
        <w:t>其他等（配送物资的种类须包含但不局限于以上内容），</w:t>
      </w:r>
      <w:r>
        <w:rPr>
          <w:rFonts w:hint="eastAsia" w:asciiTheme="minorEastAsia" w:hAnsiTheme="minorEastAsia" w:eastAsiaTheme="minorEastAsia"/>
          <w:color w:val="auto"/>
          <w:szCs w:val="21"/>
          <w:highlight w:val="none"/>
          <w:lang w:val="en-US" w:eastAsia="zh-CN"/>
        </w:rPr>
        <w:t>采购人</w:t>
      </w:r>
      <w:r>
        <w:rPr>
          <w:rFonts w:hint="eastAsia" w:asciiTheme="minorEastAsia" w:hAnsiTheme="minorEastAsia" w:eastAsiaTheme="minorEastAsia"/>
          <w:color w:val="auto"/>
          <w:szCs w:val="21"/>
          <w:highlight w:val="none"/>
        </w:rPr>
        <w:t>不接受经过冷冻保存的食材</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具体内容在本竞争性磋商文件第五章《采购需求》。</w:t>
      </w:r>
    </w:p>
    <w:p w14:paraId="05AA07C2">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配送地点及要求：按照采购人要求进行分装，配送到采购人指定地点（昆明高新技术产业开发区第四小学）；配送时间：周一至周</w:t>
      </w:r>
      <w:r>
        <w:rPr>
          <w:rFonts w:hint="eastAsia" w:asciiTheme="minorEastAsia" w:hAnsiTheme="minorEastAsia" w:eastAsiaTheme="minorEastAsia"/>
          <w:color w:val="auto"/>
          <w:szCs w:val="21"/>
          <w:highlight w:val="none"/>
          <w:lang w:val="en-US" w:eastAsia="zh-CN"/>
        </w:rPr>
        <w:t>五</w:t>
      </w:r>
      <w:r>
        <w:rPr>
          <w:rFonts w:hint="eastAsia" w:asciiTheme="minorEastAsia" w:hAnsiTheme="minorEastAsia" w:eastAsiaTheme="minorEastAsia"/>
          <w:color w:val="auto"/>
          <w:szCs w:val="21"/>
          <w:highlight w:val="none"/>
          <w:lang w:eastAsia="zh-CN"/>
        </w:rPr>
        <w:t>上午</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lang w:eastAsia="zh-CN"/>
        </w:rPr>
        <w:t>:00-7:</w:t>
      </w:r>
      <w:r>
        <w:rPr>
          <w:rFonts w:hint="eastAsia" w:asciiTheme="minorEastAsia" w:hAnsiTheme="minorEastAsia" w:eastAsiaTheme="minorEastAsia"/>
          <w:color w:val="auto"/>
          <w:szCs w:val="21"/>
          <w:highlight w:val="none"/>
          <w:lang w:val="en-US" w:eastAsia="zh-CN"/>
        </w:rPr>
        <w:t>0</w:t>
      </w:r>
      <w:r>
        <w:rPr>
          <w:rFonts w:hint="eastAsia" w:asciiTheme="minorEastAsia" w:hAnsiTheme="minorEastAsia" w:eastAsiaTheme="minorEastAsia"/>
          <w:color w:val="auto"/>
          <w:szCs w:val="21"/>
          <w:highlight w:val="none"/>
          <w:lang w:eastAsia="zh-CN"/>
        </w:rPr>
        <w:t>0间完成配送。若出现特殊情况需要提前配送的，配送时间由采购人安排，供货商必须保证按要求配送，所供物品应提供检验、检疫、检测合格证明。</w:t>
      </w:r>
    </w:p>
    <w:p w14:paraId="0E00CAE0">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合同履行期限：合同签订之日起至2027年04月30日止（以实际履行期限为准）。</w:t>
      </w:r>
    </w:p>
    <w:p w14:paraId="5B35E87B">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质量要求：产品质量必须达到国家合格产品质量标准，符合《中华人民共和国产品质量法》、《中华人民共和国食品安全法》、《中华人民共和国食品安全法实施条例》等国家、行业规定及竞争性磋商文件和采购人的需求。</w:t>
      </w:r>
    </w:p>
    <w:p w14:paraId="66F84988">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本项目（否）接受联合体投标。</w:t>
      </w:r>
    </w:p>
    <w:p w14:paraId="5E29DF1D">
      <w:pPr>
        <w:spacing w:line="360" w:lineRule="auto"/>
        <w:rPr>
          <w:rFonts w:hint="eastAsia" w:asciiTheme="minorEastAsia" w:hAnsiTheme="minorEastAsia" w:eastAsiaTheme="minorEastAsia"/>
          <w:b/>
          <w:bCs/>
          <w:color w:val="auto"/>
          <w:sz w:val="24"/>
          <w:szCs w:val="24"/>
          <w:highlight w:val="none"/>
        </w:rPr>
      </w:pPr>
      <w:bookmarkStart w:id="23" w:name="_Toc84356230"/>
      <w:bookmarkStart w:id="24" w:name="_Toc69678407"/>
      <w:bookmarkStart w:id="25" w:name="_Toc87543796"/>
      <w:bookmarkStart w:id="26" w:name="_Toc45976873"/>
      <w:bookmarkStart w:id="27" w:name="_Toc83753870"/>
      <w:bookmarkStart w:id="28" w:name="_Toc98864989"/>
      <w:bookmarkStart w:id="29" w:name="_Toc28359090"/>
      <w:bookmarkStart w:id="30" w:name="_Toc35393799"/>
      <w:bookmarkStart w:id="31" w:name="_Toc28359013"/>
      <w:bookmarkStart w:id="32" w:name="_Toc109809290"/>
      <w:bookmarkStart w:id="33" w:name="_Toc35393630"/>
      <w:bookmarkStart w:id="34" w:name="_Toc53412194"/>
      <w:bookmarkStart w:id="35" w:name="_Toc45791326"/>
      <w:bookmarkStart w:id="36" w:name="_Toc87538347"/>
      <w:bookmarkStart w:id="37" w:name="_Toc98033912"/>
      <w:r>
        <w:rPr>
          <w:rFonts w:hint="eastAsia" w:asciiTheme="minorEastAsia" w:hAnsiTheme="minorEastAsia" w:eastAsiaTheme="minorEastAsia"/>
          <w:b/>
          <w:bCs/>
          <w:color w:val="auto"/>
          <w:sz w:val="24"/>
          <w:szCs w:val="24"/>
          <w:highlight w:val="none"/>
        </w:rPr>
        <w:t>二、申请人的资格要求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154E278">
      <w:pPr>
        <w:spacing w:line="360" w:lineRule="auto"/>
        <w:ind w:firstLine="420" w:firstLineChars="200"/>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1.满足《中华人民共和国政府采购法》第二十二条规定；</w:t>
      </w:r>
    </w:p>
    <w:p w14:paraId="29306C62">
      <w:pPr>
        <w:spacing w:line="360" w:lineRule="auto"/>
        <w:ind w:firstLine="420" w:firstLineChars="200"/>
        <w:rPr>
          <w:rFonts w:hint="eastAsia" w:asciiTheme="minorEastAsia" w:hAnsiTheme="minorEastAsia" w:eastAsiaTheme="minorEastAsia"/>
          <w:color w:val="auto"/>
          <w:szCs w:val="21"/>
          <w:highlight w:val="none"/>
          <w:lang w:val="en-US" w:eastAsia="zh-CN"/>
        </w:rPr>
      </w:pPr>
      <w:bookmarkStart w:id="38" w:name="_Toc35393631"/>
      <w:bookmarkStart w:id="39" w:name="_Toc28359091"/>
      <w:bookmarkStart w:id="40" w:name="_Toc35393800"/>
      <w:bookmarkStart w:id="41" w:name="_Toc28359014"/>
      <w:bookmarkStart w:id="42" w:name="_Toc45791327"/>
      <w:bookmarkStart w:id="43" w:name="_Toc87543797"/>
      <w:bookmarkStart w:id="44" w:name="_Toc98864990"/>
      <w:bookmarkStart w:id="45" w:name="_Toc83753871"/>
      <w:bookmarkStart w:id="46" w:name="_Toc69678408"/>
      <w:bookmarkStart w:id="47" w:name="_Toc53412195"/>
      <w:bookmarkStart w:id="48" w:name="_Toc109809291"/>
      <w:bookmarkStart w:id="49" w:name="_Toc45976874"/>
      <w:bookmarkStart w:id="50" w:name="_Toc98033913"/>
      <w:bookmarkStart w:id="51" w:name="_Toc87538348"/>
      <w:bookmarkStart w:id="52" w:name="_Toc84356231"/>
      <w:r>
        <w:rPr>
          <w:rFonts w:hint="eastAsia" w:asciiTheme="minorEastAsia" w:hAnsiTheme="minorEastAsia" w:eastAsiaTheme="minorEastAsia"/>
          <w:color w:val="auto"/>
          <w:szCs w:val="21"/>
          <w:highlight w:val="none"/>
          <w:lang w:val="en-US" w:eastAsia="zh-CN"/>
        </w:rPr>
        <w:t>1.1具有独立承担民事责任的能力：提供法人或者其他组织的营业执照等证明文件或自然人的身份证明（复印件加盖公章）。</w:t>
      </w:r>
    </w:p>
    <w:p w14:paraId="767B904A">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1.2具有健全的财务会计制度：</w:t>
      </w:r>
      <w:r>
        <w:rPr>
          <w:rFonts w:hint="eastAsia" w:asciiTheme="minorEastAsia" w:hAnsiTheme="minorEastAsia" w:eastAsiaTheme="minorEastAsia"/>
          <w:color w:val="auto"/>
          <w:szCs w:val="21"/>
          <w:highlight w:val="none"/>
          <w:lang w:eastAsia="zh-CN"/>
        </w:rPr>
        <w:t>提供202</w:t>
      </w:r>
      <w:r>
        <w:rPr>
          <w:rFonts w:hint="eastAsia" w:asciiTheme="minorEastAsia" w:hAnsiTheme="minorEastAsia" w:eastAsiaTheme="minorEastAsia"/>
          <w:color w:val="auto"/>
          <w:szCs w:val="21"/>
          <w:highlight w:val="none"/>
          <w:lang w:val="en-US" w:eastAsia="zh-CN"/>
        </w:rPr>
        <w:t>4年</w:t>
      </w:r>
      <w:r>
        <w:rPr>
          <w:rFonts w:hint="eastAsia" w:asciiTheme="minorEastAsia" w:hAnsiTheme="minorEastAsia" w:eastAsiaTheme="minorEastAsia"/>
          <w:color w:val="auto"/>
          <w:szCs w:val="21"/>
          <w:highlight w:val="none"/>
          <w:lang w:eastAsia="zh-CN"/>
        </w:rPr>
        <w:t>至今任意一年经审计的财务报告或其基本开户银行出具的资信证明或财政部门认可的政府采购专业担保机构出具的投标担保函；工商登记注册之日起至投标截止时间不满一年的需提供自成立至今的财务报表或承诺书（</w:t>
      </w:r>
      <w:r>
        <w:rPr>
          <w:rFonts w:hint="eastAsia" w:asciiTheme="minorEastAsia" w:hAnsiTheme="minorEastAsia" w:eastAsiaTheme="minorEastAsia"/>
          <w:color w:val="auto"/>
          <w:szCs w:val="21"/>
          <w:highlight w:val="none"/>
          <w:lang w:val="en-US" w:eastAsia="zh-CN"/>
        </w:rPr>
        <w:t>原件扫描件</w:t>
      </w:r>
      <w:r>
        <w:rPr>
          <w:rFonts w:hint="eastAsia" w:asciiTheme="minorEastAsia" w:hAnsiTheme="minorEastAsia" w:eastAsiaTheme="minorEastAsia"/>
          <w:color w:val="auto"/>
          <w:szCs w:val="21"/>
          <w:highlight w:val="none"/>
          <w:lang w:eastAsia="zh-CN"/>
        </w:rPr>
        <w:t>加盖公章）。</w:t>
      </w:r>
    </w:p>
    <w:p w14:paraId="6330DEE3">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1.3具有履行合同所必需的设备和专业技术能力：</w:t>
      </w:r>
      <w:r>
        <w:rPr>
          <w:rFonts w:hint="eastAsia" w:asciiTheme="minorEastAsia" w:hAnsiTheme="minorEastAsia" w:eastAsiaTheme="minorEastAsia"/>
          <w:color w:val="auto"/>
          <w:szCs w:val="21"/>
          <w:highlight w:val="none"/>
          <w:lang w:eastAsia="zh-CN"/>
        </w:rPr>
        <w:t>提供具备履行合同所必需的设备和专业技术能力的证明材料</w:t>
      </w:r>
      <w:r>
        <w:rPr>
          <w:rFonts w:hint="eastAsia" w:asciiTheme="minorEastAsia" w:hAnsiTheme="minorEastAsia" w:eastAsiaTheme="minorEastAsia"/>
          <w:color w:val="auto"/>
          <w:szCs w:val="21"/>
          <w:highlight w:val="none"/>
          <w:lang w:val="en-US" w:eastAsia="zh-CN"/>
        </w:rPr>
        <w:t>或书面声明</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原件加盖公章</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w:t>
      </w:r>
    </w:p>
    <w:p w14:paraId="1504CD93">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1.4有依法缴纳税收和社会保障资金的良好记录：①提供2025年01月至今任意3个月依法缴纳税收的证明(成立未满1个月的提供成立以来的税收缴纳凭据；依法免税的供应商，应提供相应文件证明其依法免税)（复印件加盖公章）。</w:t>
      </w:r>
    </w:p>
    <w:p w14:paraId="22CE746D">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②提供2025年01月至今任意3个月依法缴纳社会保障资金的证明(成立未满1个月的提供成立以来社会保障资金缴纳凭据；依法不需要缴纳社会保障资金的供应商，应提供相应文件证明其依法不需要缴纳社会保障资金)（复印件加盖公章）。</w:t>
      </w:r>
    </w:p>
    <w:p w14:paraId="6C245012">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1.5参加政府采购活动前三年内，在经营活动中没有重大违法记录：提供参加政府采购活动前三年内在经营活动中没有重大违法记录的书面声明。</w:t>
      </w:r>
    </w:p>
    <w:p w14:paraId="72D9CCFF">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1.6法律、行政法规规定的其他条件。</w:t>
      </w:r>
    </w:p>
    <w:p w14:paraId="3F66C3A0">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1.6.1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61EB44A">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1.6.2信誉要求：①在递交响应文件时，供应商的投标资格未被依法暂停或者被取消，未处于被责令停产停业、暂扣或者吊销执照，未进入清算程序或被宣告破产，无较大数额罚款等行政处罚，无其他丧失履约能力的情形(提供书面承诺);</w:t>
      </w:r>
    </w:p>
    <w:p w14:paraId="30FBBCF2">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②供应商在国家企业信用信息公示系统(http://www.gsxt.gov.cn/)中没有被列入严重违法失信名单(黑名单)信息；在“信用中国”网站(http://www.creditchina.gov.cn/)或“中国执行信息公开网”网站(http://zxgk.court.gov.cn/)中没有被列入失信被执行人名单;在中国政府采购网（www.ccgp.gov.cn）政府采购严重违法失信行为记录名单中无不良信息记录（查询时间为本公告发布之日起至提交响应文件截止时间止，查询结果以采购人、采购代理机构查询结果为准，并将查询记录和证据留存）。</w:t>
      </w:r>
    </w:p>
    <w:p w14:paraId="43FE2EEC">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2.落实政府采购政策需满足的资</w:t>
      </w:r>
      <w:r>
        <w:rPr>
          <w:rFonts w:hint="eastAsia" w:asciiTheme="minorEastAsia" w:hAnsiTheme="minorEastAsia" w:eastAsiaTheme="minorEastAsia"/>
          <w:color w:val="auto"/>
          <w:szCs w:val="21"/>
          <w:highlight w:val="none"/>
        </w:rPr>
        <w:t>格要求：</w:t>
      </w:r>
      <w:r>
        <w:rPr>
          <w:rFonts w:hint="eastAsia" w:asciiTheme="minorEastAsia" w:hAnsiTheme="minorEastAsia" w:eastAsiaTheme="minorEastAsia"/>
          <w:color w:val="auto"/>
          <w:szCs w:val="21"/>
          <w:highlight w:val="none"/>
          <w:lang w:eastAsia="zh-CN"/>
        </w:rPr>
        <w:t>本项目专门面向中小企业采购</w:t>
      </w:r>
      <w:r>
        <w:rPr>
          <w:rFonts w:hint="eastAsia" w:asciiTheme="minorEastAsia" w:hAnsiTheme="minorEastAsia" w:eastAsiaTheme="minorEastAsia"/>
          <w:color w:val="auto"/>
          <w:szCs w:val="21"/>
          <w:highlight w:val="none"/>
          <w:lang w:val="en-US" w:eastAsia="zh-CN"/>
        </w:rPr>
        <w:t>。</w:t>
      </w:r>
    </w:p>
    <w:p w14:paraId="4EFCEE72">
      <w:pPr>
        <w:spacing w:line="360" w:lineRule="auto"/>
        <w:ind w:firstLine="420" w:firstLineChars="200"/>
        <w:rPr>
          <w:rFonts w:hint="eastAsia" w:asciiTheme="minorEastAsia" w:hAnsiTheme="minorEastAsia" w:eastAsiaTheme="minorEastAsia"/>
          <w:color w:val="auto"/>
          <w:szCs w:val="21"/>
          <w:highlight w:val="none"/>
        </w:rPr>
      </w:pPr>
      <w:bookmarkStart w:id="53" w:name="_Toc32554"/>
      <w:r>
        <w:rPr>
          <w:rFonts w:hint="eastAsia" w:asciiTheme="minorEastAsia" w:hAnsiTheme="minorEastAsia" w:eastAsiaTheme="minorEastAsia"/>
          <w:color w:val="auto"/>
          <w:szCs w:val="21"/>
          <w:highlight w:val="none"/>
        </w:rPr>
        <w:t>3.本项目的特定资格要求：</w:t>
      </w:r>
      <w:bookmarkEnd w:id="53"/>
    </w:p>
    <w:p w14:paraId="065EFCA1">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3.1供应商需具有有效的《食品经营许可证》，若供应商为生产企业的须提供《食品生产许可证》（原件扫描件加盖公章）。</w:t>
      </w:r>
    </w:p>
    <w:p w14:paraId="52E3A2F7">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3.2近三年在经营活动中无食品安全事故发生事件，供应商提供书面承诺(加盖公章)。</w:t>
      </w:r>
    </w:p>
    <w:p w14:paraId="041EA6CB">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3.3供应商不允许以任何形式转包、转租，若供应商虚假承诺，一经查实，取消成交资格，供应商提供书面承诺(加盖公章)。</w:t>
      </w:r>
    </w:p>
    <w:p w14:paraId="6196E0C8">
      <w:pPr>
        <w:spacing w:line="360" w:lineRule="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三、获取</w:t>
      </w:r>
      <w:bookmarkEnd w:id="38"/>
      <w:bookmarkEnd w:id="39"/>
      <w:bookmarkEnd w:id="40"/>
      <w:bookmarkEnd w:id="41"/>
      <w:r>
        <w:rPr>
          <w:rFonts w:hint="eastAsia" w:asciiTheme="minorEastAsia" w:hAnsiTheme="minorEastAsia" w:eastAsiaTheme="minorEastAsia"/>
          <w:b/>
          <w:bCs/>
          <w:color w:val="auto"/>
          <w:sz w:val="24"/>
          <w:szCs w:val="24"/>
          <w:highlight w:val="none"/>
        </w:rPr>
        <w:t>采购文件</w:t>
      </w:r>
      <w:bookmarkEnd w:id="42"/>
      <w:bookmarkEnd w:id="43"/>
      <w:bookmarkEnd w:id="44"/>
      <w:bookmarkEnd w:id="45"/>
      <w:bookmarkEnd w:id="46"/>
      <w:bookmarkEnd w:id="47"/>
      <w:bookmarkEnd w:id="48"/>
      <w:bookmarkEnd w:id="49"/>
      <w:bookmarkEnd w:id="50"/>
      <w:bookmarkEnd w:id="51"/>
      <w:bookmarkEnd w:id="52"/>
    </w:p>
    <w:p w14:paraId="743A5506">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时间：</w:t>
      </w:r>
      <w:r>
        <w:rPr>
          <w:rFonts w:hint="eastAsia" w:asciiTheme="minorEastAsia" w:hAnsiTheme="minorEastAsia" w:eastAsiaTheme="minorEastAsia"/>
          <w:color w:val="auto"/>
          <w:szCs w:val="21"/>
          <w:highlight w:val="none"/>
          <w:u w:val="single"/>
          <w:lang w:val="en-US" w:eastAsia="zh-CN"/>
        </w:rPr>
        <w:t>2025年05月25日</w:t>
      </w:r>
      <w:r>
        <w:rPr>
          <w:rFonts w:hint="eastAsia" w:asciiTheme="minorEastAsia" w:hAnsiTheme="minorEastAsia" w:eastAsiaTheme="minorEastAsia"/>
          <w:color w:val="auto"/>
          <w:szCs w:val="21"/>
          <w:highlight w:val="none"/>
        </w:rPr>
        <w:t>06:00至</w:t>
      </w:r>
      <w:r>
        <w:rPr>
          <w:rFonts w:hint="eastAsia" w:asciiTheme="minorEastAsia" w:hAnsiTheme="minorEastAsia" w:eastAsiaTheme="minorEastAsia"/>
          <w:color w:val="auto"/>
          <w:szCs w:val="21"/>
          <w:highlight w:val="none"/>
          <w:u w:val="single"/>
          <w:lang w:val="en-US" w:eastAsia="zh-CN"/>
        </w:rPr>
        <w:t>2026年06月01日</w:t>
      </w:r>
      <w:r>
        <w:rPr>
          <w:rFonts w:asciiTheme="minorEastAsia" w:hAnsiTheme="minorEastAsia" w:eastAsiaTheme="minorEastAsia"/>
          <w:color w:val="auto"/>
          <w:szCs w:val="21"/>
          <w:highlight w:val="none"/>
        </w:rPr>
        <w:t>23</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59</w:t>
      </w:r>
      <w:r>
        <w:rPr>
          <w:rFonts w:hint="eastAsia" w:asciiTheme="minorEastAsia" w:hAnsiTheme="minorEastAsia" w:eastAsiaTheme="minorEastAsia"/>
          <w:color w:val="auto"/>
          <w:szCs w:val="21"/>
          <w:highlight w:val="none"/>
        </w:rPr>
        <w:t>，每天上午0</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:00至12:00，下午12:00至23:59（北京时间，法定节假日除外）</w:t>
      </w:r>
    </w:p>
    <w:p w14:paraId="7CDCCC2D">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地点：政府采购云平台（</w:t>
      </w:r>
      <w:r>
        <w:rPr>
          <w:rFonts w:hint="eastAsia" w:asciiTheme="minorEastAsia" w:hAnsiTheme="minorEastAsia" w:eastAsiaTheme="minorEastAsia"/>
          <w:color w:val="auto"/>
          <w:szCs w:val="21"/>
          <w:highlight w:val="none"/>
        </w:rPr>
        <w:t>网址：</w:t>
      </w:r>
      <w:r>
        <w:rPr>
          <w:rFonts w:asciiTheme="minorEastAsia" w:hAnsiTheme="minorEastAsia" w:eastAsiaTheme="minorEastAsia"/>
          <w:color w:val="auto"/>
          <w:szCs w:val="21"/>
          <w:highlight w:val="none"/>
        </w:rPr>
        <w:t>https://www.zcygov.cn/</w:t>
      </w:r>
      <w:r>
        <w:rPr>
          <w:rFonts w:hint="eastAsia" w:cs="宋体" w:asciiTheme="minorEastAsia" w:hAnsiTheme="minorEastAsia" w:eastAsiaTheme="minorEastAsia"/>
          <w:color w:val="auto"/>
          <w:szCs w:val="21"/>
          <w:highlight w:val="none"/>
        </w:rPr>
        <w:t>）</w:t>
      </w:r>
    </w:p>
    <w:p w14:paraId="1C1BCBC5">
      <w:pPr>
        <w:wordWrap w:val="0"/>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方式：凡有意参与磋商者，须在政府采购云平台办理数字证书（CA），并在政府采购云平台绑定数字证书（CA）后线上获取采购文件及其它采购资料。CA申领链接：</w:t>
      </w:r>
      <w:r>
        <w:rPr>
          <w:rFonts w:ascii="宋体" w:hAnsi="宋体"/>
          <w:color w:val="auto"/>
          <w:highlight w:val="none"/>
        </w:rPr>
        <w:t>http://yzt.ynsmartcert.cn</w:t>
      </w:r>
      <w:r>
        <w:rPr>
          <w:rFonts w:hint="eastAsia" w:cs="宋体" w:asciiTheme="minorEastAsia" w:hAnsiTheme="minorEastAsia" w:eastAsiaTheme="minorEastAsia"/>
          <w:color w:val="auto"/>
          <w:szCs w:val="21"/>
          <w:highlight w:val="none"/>
        </w:rPr>
        <w:t>（客服热线：0871-67276028&lt;紧急可拨19988166369&gt;）或https://cap.yunnanca.net/login（客服热线：4006727666）；CA申领后需登陆政府采购云平台完成数字证书（CA）绑定才可以使用；若供应商之前已经注册并办理过企业数字证书（CA）的，可以直接绑定，无需重复办理。供应商在注册办理过程中若有疑问，可以拨打客服热线95763咨询。2</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供应商申领到企业数字证书（CA）后进入政府采购云平台（</w:t>
      </w:r>
      <w:r>
        <w:rPr>
          <w:rFonts w:hint="eastAsia" w:asciiTheme="minorEastAsia" w:hAnsiTheme="minorEastAsia" w:eastAsiaTheme="minorEastAsia"/>
          <w:color w:val="auto"/>
          <w:szCs w:val="21"/>
          <w:highlight w:val="none"/>
        </w:rPr>
        <w:t>网址：</w:t>
      </w:r>
      <w:r>
        <w:rPr>
          <w:rFonts w:asciiTheme="minorEastAsia" w:hAnsiTheme="minorEastAsia" w:eastAsiaTheme="minorEastAsia"/>
          <w:color w:val="auto"/>
          <w:szCs w:val="21"/>
          <w:highlight w:val="none"/>
        </w:rPr>
        <w:t>https://www.zcygov.cn/</w:t>
      </w:r>
      <w:r>
        <w:rPr>
          <w:rFonts w:hint="eastAsia" w:cs="宋体" w:asciiTheme="minorEastAsia" w:hAnsiTheme="minorEastAsia" w:eastAsiaTheme="minorEastAsia"/>
          <w:color w:val="auto"/>
          <w:szCs w:val="21"/>
          <w:highlight w:val="none"/>
        </w:rPr>
        <w:t>）并绑定企业数字证书（CA），</w:t>
      </w:r>
      <w:r>
        <w:rPr>
          <w:rFonts w:hint="eastAsia" w:asciiTheme="minorEastAsia" w:hAnsiTheme="minorEastAsia" w:eastAsiaTheme="minorEastAsia"/>
          <w:color w:val="auto"/>
          <w:szCs w:val="21"/>
          <w:highlight w:val="none"/>
        </w:rPr>
        <w:t>在</w:t>
      </w:r>
      <w:r>
        <w:rPr>
          <w:rFonts w:hint="eastAsia" w:cs="宋体" w:asciiTheme="minorEastAsia" w:hAnsiTheme="minorEastAsia" w:eastAsiaTheme="minorEastAsia"/>
          <w:color w:val="auto"/>
          <w:szCs w:val="21"/>
          <w:highlight w:val="none"/>
        </w:rPr>
        <w:t>网上获取采购文件及其它采购资料</w:t>
      </w:r>
      <w:r>
        <w:rPr>
          <w:rFonts w:hint="eastAsia" w:asciiTheme="minorEastAsia" w:hAnsiTheme="minorEastAsia" w:eastAsiaTheme="minorEastAsia"/>
          <w:color w:val="auto"/>
          <w:szCs w:val="21"/>
          <w:highlight w:val="none"/>
        </w:rPr>
        <w:t>（操作路径：登录“</w:t>
      </w:r>
      <w:r>
        <w:rPr>
          <w:rFonts w:hint="eastAsia" w:cs="宋体" w:asciiTheme="minorEastAsia" w:hAnsiTheme="minorEastAsia" w:eastAsiaTheme="minorEastAsia"/>
          <w:color w:val="auto"/>
          <w:szCs w:val="21"/>
          <w:highlight w:val="none"/>
        </w:rPr>
        <w:t>政府采购云平台</w:t>
      </w:r>
      <w:r>
        <w:rPr>
          <w:rFonts w:hint="eastAsia" w:asciiTheme="minorEastAsia" w:hAnsiTheme="minorEastAsia" w:eastAsiaTheme="minorEastAsia"/>
          <w:color w:val="auto"/>
          <w:szCs w:val="21"/>
          <w:highlight w:val="none"/>
        </w:rPr>
        <w:t>-项目采购-获取采购文件-找到本项目-点击“申请获取采购文件”），此为参与磋商的唯一途径。</w:t>
      </w:r>
    </w:p>
    <w:p w14:paraId="71650740">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售价（元）：</w:t>
      </w:r>
      <w:r>
        <w:rPr>
          <w:rFonts w:cs="宋体" w:asciiTheme="minorEastAsia" w:hAnsiTheme="minorEastAsia" w:eastAsiaTheme="minorEastAsia"/>
          <w:color w:val="auto"/>
          <w:szCs w:val="21"/>
          <w:highlight w:val="none"/>
        </w:rPr>
        <w:t>0</w:t>
      </w:r>
    </w:p>
    <w:p w14:paraId="4BD4156A">
      <w:pPr>
        <w:spacing w:line="360" w:lineRule="auto"/>
        <w:rPr>
          <w:rFonts w:hint="eastAsia" w:asciiTheme="minorEastAsia" w:hAnsiTheme="minorEastAsia" w:eastAsiaTheme="minorEastAsia"/>
          <w:b/>
          <w:bCs/>
          <w:color w:val="auto"/>
          <w:sz w:val="24"/>
          <w:szCs w:val="24"/>
          <w:highlight w:val="none"/>
        </w:rPr>
      </w:pPr>
      <w:bookmarkStart w:id="54" w:name="_Toc45976875"/>
      <w:bookmarkStart w:id="55" w:name="_Toc98033914"/>
      <w:bookmarkStart w:id="56" w:name="_Toc83753872"/>
      <w:bookmarkStart w:id="57" w:name="_Toc53412196"/>
      <w:bookmarkStart w:id="58" w:name="_Toc87543798"/>
      <w:bookmarkStart w:id="59" w:name="_Toc28359092"/>
      <w:bookmarkStart w:id="60" w:name="_Toc45791328"/>
      <w:bookmarkStart w:id="61" w:name="_Toc69678409"/>
      <w:bookmarkStart w:id="62" w:name="_Toc84356232"/>
      <w:bookmarkStart w:id="63" w:name="_Toc109809292"/>
      <w:bookmarkStart w:id="64" w:name="_Toc98864991"/>
      <w:bookmarkStart w:id="65" w:name="_Toc28359015"/>
      <w:bookmarkStart w:id="66" w:name="_Toc35393632"/>
      <w:bookmarkStart w:id="67" w:name="_Toc87538349"/>
      <w:bookmarkStart w:id="68" w:name="_Toc35393801"/>
      <w:r>
        <w:rPr>
          <w:rFonts w:hint="eastAsia" w:asciiTheme="minorEastAsia" w:hAnsiTheme="minorEastAsia" w:eastAsiaTheme="minorEastAsia"/>
          <w:b/>
          <w:bCs/>
          <w:color w:val="auto"/>
          <w:sz w:val="24"/>
          <w:szCs w:val="24"/>
          <w:highlight w:val="none"/>
        </w:rPr>
        <w:t>四、响应文件提交</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2466464">
      <w:pPr>
        <w:spacing w:line="360" w:lineRule="auto"/>
        <w:ind w:firstLine="420"/>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截止时间：</w:t>
      </w:r>
      <w:r>
        <w:rPr>
          <w:rFonts w:hint="eastAsia" w:asciiTheme="minorEastAsia" w:hAnsiTheme="minorEastAsia" w:eastAsiaTheme="minorEastAsia"/>
          <w:bCs/>
          <w:color w:val="auto"/>
          <w:szCs w:val="21"/>
          <w:highlight w:val="none"/>
          <w:lang w:eastAsia="zh-CN"/>
        </w:rPr>
        <w:t>2026年06月</w:t>
      </w:r>
      <w:r>
        <w:rPr>
          <w:rFonts w:hint="eastAsia" w:asciiTheme="minorEastAsia" w:hAnsiTheme="minorEastAsia" w:eastAsiaTheme="minorEastAsia"/>
          <w:bCs/>
          <w:color w:val="auto"/>
          <w:szCs w:val="21"/>
          <w:highlight w:val="none"/>
          <w:lang w:val="en-US" w:eastAsia="zh-CN"/>
        </w:rPr>
        <w:t>05</w:t>
      </w:r>
      <w:r>
        <w:rPr>
          <w:rFonts w:hint="eastAsia" w:asciiTheme="minorEastAsia" w:hAnsiTheme="minorEastAsia" w:eastAsiaTheme="minorEastAsia"/>
          <w:bCs/>
          <w:color w:val="auto"/>
          <w:szCs w:val="21"/>
          <w:highlight w:val="none"/>
          <w:lang w:eastAsia="zh-CN"/>
        </w:rPr>
        <w:t>日</w:t>
      </w:r>
      <w:r>
        <w:rPr>
          <w:rFonts w:hint="eastAsia" w:asciiTheme="minorEastAsia" w:hAnsiTheme="minorEastAsia" w:eastAsiaTheme="minorEastAsia"/>
          <w:bCs/>
          <w:color w:val="auto"/>
          <w:szCs w:val="21"/>
          <w:highlight w:val="none"/>
        </w:rPr>
        <w:t>1</w:t>
      </w:r>
      <w:r>
        <w:rPr>
          <w:rFonts w:hint="eastAsia" w:asciiTheme="minorEastAsia" w:hAnsiTheme="minorEastAsia" w:eastAsiaTheme="minorEastAsia"/>
          <w:bCs/>
          <w:color w:val="auto"/>
          <w:szCs w:val="21"/>
          <w:highlight w:val="none"/>
          <w:lang w:val="en-US" w:eastAsia="zh-CN"/>
        </w:rPr>
        <w:t>0</w:t>
      </w:r>
      <w:r>
        <w:rPr>
          <w:rFonts w:hint="eastAsia" w:asciiTheme="minorEastAsia" w:hAnsiTheme="minorEastAsia" w:eastAsiaTheme="minorEastAsia"/>
          <w:bCs/>
          <w:color w:val="auto"/>
          <w:szCs w:val="21"/>
          <w:highlight w:val="none"/>
        </w:rPr>
        <w:t>:00</w:t>
      </w:r>
      <w:r>
        <w:rPr>
          <w:rFonts w:hint="eastAsia" w:asciiTheme="minorEastAsia" w:hAnsiTheme="minorEastAsia" w:eastAsiaTheme="minorEastAsia"/>
          <w:color w:val="auto"/>
          <w:szCs w:val="21"/>
          <w:highlight w:val="none"/>
        </w:rPr>
        <w:t>（北京时间）</w:t>
      </w:r>
    </w:p>
    <w:p w14:paraId="018624DA">
      <w:pPr>
        <w:spacing w:line="360" w:lineRule="auto"/>
        <w:ind w:firstLine="420"/>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地点：</w:t>
      </w:r>
      <w:r>
        <w:rPr>
          <w:rFonts w:hint="eastAsia" w:asciiTheme="minorEastAsia" w:hAnsiTheme="minorEastAsia" w:eastAsiaTheme="minorEastAsia"/>
          <w:color w:val="auto"/>
          <w:highlight w:val="none"/>
        </w:rPr>
        <w:t>政府采购云平台（</w:t>
      </w:r>
      <w:r>
        <w:rPr>
          <w:rFonts w:hint="eastAsia" w:cs="宋体" w:asciiTheme="minorEastAsia" w:hAnsiTheme="minorEastAsia" w:eastAsiaTheme="minorEastAsia"/>
          <w:color w:val="auto"/>
          <w:kern w:val="0"/>
          <w:szCs w:val="21"/>
          <w:highlight w:val="none"/>
        </w:rPr>
        <w:t>网址：https://www.zcygov.cn/</w:t>
      </w:r>
      <w:r>
        <w:rPr>
          <w:rFonts w:hint="eastAsia" w:asciiTheme="minorEastAsia" w:hAnsiTheme="minorEastAsia" w:eastAsiaTheme="minorEastAsia"/>
          <w:color w:val="auto"/>
          <w:highlight w:val="none"/>
        </w:rPr>
        <w:t>）</w:t>
      </w:r>
    </w:p>
    <w:p w14:paraId="12406E7A">
      <w:pPr>
        <w:spacing w:line="360" w:lineRule="auto"/>
        <w:rPr>
          <w:rFonts w:hint="eastAsia" w:asciiTheme="minorEastAsia" w:hAnsiTheme="minorEastAsia" w:eastAsiaTheme="minorEastAsia"/>
          <w:b/>
          <w:bCs/>
          <w:color w:val="auto"/>
          <w:sz w:val="24"/>
          <w:szCs w:val="24"/>
          <w:highlight w:val="none"/>
        </w:rPr>
      </w:pPr>
      <w:bookmarkStart w:id="69" w:name="_Toc87538350"/>
      <w:bookmarkStart w:id="70" w:name="_Toc87543799"/>
      <w:bookmarkStart w:id="71" w:name="_Toc35393633"/>
      <w:bookmarkStart w:id="72" w:name="_Toc109809293"/>
      <w:bookmarkStart w:id="73" w:name="_Toc35393802"/>
      <w:bookmarkStart w:id="74" w:name="_Toc28359093"/>
      <w:bookmarkStart w:id="75" w:name="_Toc83753873"/>
      <w:bookmarkStart w:id="76" w:name="_Toc53412197"/>
      <w:bookmarkStart w:id="77" w:name="_Toc69678410"/>
      <w:bookmarkStart w:id="78" w:name="_Toc28359016"/>
      <w:bookmarkStart w:id="79" w:name="_Toc45791329"/>
      <w:bookmarkStart w:id="80" w:name="_Toc98033915"/>
      <w:bookmarkStart w:id="81" w:name="_Toc45976876"/>
      <w:bookmarkStart w:id="82" w:name="_Toc98864992"/>
      <w:bookmarkStart w:id="83" w:name="_Toc84356233"/>
      <w:r>
        <w:rPr>
          <w:rFonts w:hint="eastAsia" w:asciiTheme="minorEastAsia" w:hAnsiTheme="minorEastAsia" w:eastAsiaTheme="minorEastAsia"/>
          <w:b/>
          <w:bCs/>
          <w:color w:val="auto"/>
          <w:sz w:val="24"/>
          <w:szCs w:val="24"/>
          <w:highlight w:val="none"/>
        </w:rPr>
        <w:t>五、开启</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CDB0966">
      <w:pPr>
        <w:spacing w:line="360" w:lineRule="auto"/>
        <w:ind w:firstLine="420" w:firstLineChars="200"/>
        <w:rPr>
          <w:rFonts w:hint="eastAsia" w:asciiTheme="minorEastAsia" w:hAnsiTheme="minorEastAsia" w:eastAsiaTheme="minorEastAsia"/>
          <w:bCs/>
          <w:color w:val="auto"/>
          <w:szCs w:val="21"/>
          <w:highlight w:val="none"/>
          <w:u w:val="single"/>
        </w:rPr>
      </w:pPr>
      <w:r>
        <w:rPr>
          <w:rFonts w:hint="eastAsia" w:asciiTheme="minorEastAsia" w:hAnsiTheme="minorEastAsia" w:eastAsiaTheme="minorEastAsia"/>
          <w:color w:val="auto"/>
          <w:szCs w:val="21"/>
          <w:highlight w:val="none"/>
        </w:rPr>
        <w:t>时间：</w:t>
      </w:r>
      <w:r>
        <w:rPr>
          <w:rFonts w:hint="eastAsia" w:asciiTheme="minorEastAsia" w:hAnsiTheme="minorEastAsia" w:eastAsiaTheme="minorEastAsia"/>
          <w:color w:val="auto"/>
          <w:szCs w:val="21"/>
          <w:highlight w:val="none"/>
          <w:lang w:eastAsia="zh-CN"/>
        </w:rPr>
        <w:t>2026年06月</w:t>
      </w:r>
      <w:r>
        <w:rPr>
          <w:rFonts w:hint="eastAsia" w:asciiTheme="minorEastAsia" w:hAnsiTheme="minorEastAsia" w:eastAsiaTheme="minorEastAsia"/>
          <w:color w:val="auto"/>
          <w:szCs w:val="21"/>
          <w:highlight w:val="none"/>
          <w:lang w:val="en-US" w:eastAsia="zh-CN"/>
        </w:rPr>
        <w:t>05</w:t>
      </w:r>
      <w:r>
        <w:rPr>
          <w:rFonts w:hint="eastAsia" w:asciiTheme="minorEastAsia" w:hAnsiTheme="minorEastAsia" w:eastAsiaTheme="minorEastAsia"/>
          <w:color w:val="auto"/>
          <w:szCs w:val="21"/>
          <w:highlight w:val="none"/>
          <w:lang w:eastAsia="zh-CN"/>
        </w:rPr>
        <w:t>日</w:t>
      </w: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0</w:t>
      </w:r>
      <w:r>
        <w:rPr>
          <w:rFonts w:hint="eastAsia" w:asciiTheme="minorEastAsia" w:hAnsiTheme="minorEastAsia" w:eastAsiaTheme="minorEastAsia"/>
          <w:color w:val="auto"/>
          <w:szCs w:val="21"/>
          <w:highlight w:val="none"/>
        </w:rPr>
        <w:t>:00（北京时间）</w:t>
      </w:r>
    </w:p>
    <w:p w14:paraId="0A04738C">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地点：云南省昆明市盘龙区白云路168号瑞鼎城B栋A15楼A1521</w:t>
      </w:r>
      <w:r>
        <w:rPr>
          <w:rFonts w:hint="eastAsia" w:asciiTheme="minorEastAsia" w:hAnsiTheme="minorEastAsia" w:eastAsiaTheme="minorEastAsia"/>
          <w:bCs/>
          <w:color w:val="auto"/>
          <w:szCs w:val="21"/>
          <w:highlight w:val="none"/>
        </w:rPr>
        <w:t>开标室</w:t>
      </w:r>
    </w:p>
    <w:p w14:paraId="67D189CA">
      <w:pPr>
        <w:spacing w:line="360" w:lineRule="auto"/>
        <w:rPr>
          <w:rFonts w:hint="eastAsia" w:asciiTheme="minorEastAsia" w:hAnsiTheme="minorEastAsia" w:eastAsiaTheme="minorEastAsia"/>
          <w:b/>
          <w:bCs/>
          <w:color w:val="auto"/>
          <w:sz w:val="24"/>
          <w:szCs w:val="24"/>
          <w:highlight w:val="none"/>
        </w:rPr>
      </w:pPr>
      <w:bookmarkStart w:id="84" w:name="_Toc28359017"/>
      <w:bookmarkStart w:id="85" w:name="_Toc45791330"/>
      <w:bookmarkStart w:id="86" w:name="_Toc35393803"/>
      <w:bookmarkStart w:id="87" w:name="_Toc45976877"/>
      <w:bookmarkStart w:id="88" w:name="_Toc35393634"/>
      <w:bookmarkStart w:id="89" w:name="_Toc28359094"/>
      <w:bookmarkStart w:id="90" w:name="_Toc83753874"/>
      <w:bookmarkStart w:id="91" w:name="_Toc98864993"/>
      <w:bookmarkStart w:id="92" w:name="_Toc98033916"/>
      <w:bookmarkStart w:id="93" w:name="_Toc87543800"/>
      <w:bookmarkStart w:id="94" w:name="_Toc87538351"/>
      <w:bookmarkStart w:id="95" w:name="_Toc84356234"/>
      <w:bookmarkStart w:id="96" w:name="_Toc109809294"/>
      <w:bookmarkStart w:id="97" w:name="_Toc53412198"/>
      <w:bookmarkStart w:id="98" w:name="_Toc69678411"/>
      <w:r>
        <w:rPr>
          <w:rFonts w:hint="eastAsia" w:asciiTheme="minorEastAsia" w:hAnsiTheme="minorEastAsia" w:eastAsiaTheme="minorEastAsia"/>
          <w:b/>
          <w:bCs/>
          <w:color w:val="auto"/>
          <w:sz w:val="24"/>
          <w:szCs w:val="24"/>
          <w:highlight w:val="none"/>
        </w:rPr>
        <w:t>六、</w:t>
      </w:r>
      <w:bookmarkEnd w:id="84"/>
      <w:bookmarkEnd w:id="85"/>
      <w:bookmarkEnd w:id="86"/>
      <w:bookmarkEnd w:id="87"/>
      <w:bookmarkEnd w:id="88"/>
      <w:bookmarkEnd w:id="89"/>
      <w:r>
        <w:rPr>
          <w:rFonts w:hint="eastAsia" w:asciiTheme="minorEastAsia" w:hAnsiTheme="minorEastAsia" w:eastAsiaTheme="minorEastAsia"/>
          <w:b/>
          <w:bCs/>
          <w:color w:val="auto"/>
          <w:sz w:val="24"/>
          <w:szCs w:val="24"/>
          <w:highlight w:val="none"/>
        </w:rPr>
        <w:t>公告期限</w:t>
      </w:r>
      <w:bookmarkEnd w:id="90"/>
      <w:bookmarkEnd w:id="91"/>
      <w:bookmarkEnd w:id="92"/>
      <w:bookmarkEnd w:id="93"/>
      <w:bookmarkEnd w:id="94"/>
      <w:bookmarkEnd w:id="95"/>
      <w:bookmarkEnd w:id="96"/>
      <w:bookmarkEnd w:id="97"/>
      <w:bookmarkEnd w:id="98"/>
    </w:p>
    <w:p w14:paraId="6C9FF29B">
      <w:pPr>
        <w:spacing w:line="360" w:lineRule="auto"/>
        <w:ind w:firstLine="420" w:firstLineChars="200"/>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自本公告发布之日起</w:t>
      </w:r>
      <w:r>
        <w:rPr>
          <w:rFonts w:hint="eastAsia" w:cs="宋体" w:asciiTheme="minorEastAsia" w:hAnsiTheme="minorEastAsia" w:eastAsiaTheme="minorEastAsia"/>
          <w:color w:val="auto"/>
          <w:kern w:val="0"/>
          <w:szCs w:val="21"/>
          <w:highlight w:val="none"/>
          <w:lang w:val="en-US" w:eastAsia="zh-CN"/>
        </w:rPr>
        <w:t>5</w:t>
      </w:r>
      <w:r>
        <w:rPr>
          <w:rFonts w:hint="eastAsia" w:cs="宋体" w:asciiTheme="minorEastAsia" w:hAnsiTheme="minorEastAsia" w:eastAsiaTheme="minorEastAsia"/>
          <w:color w:val="auto"/>
          <w:kern w:val="0"/>
          <w:szCs w:val="21"/>
          <w:highlight w:val="none"/>
        </w:rPr>
        <w:t>个工作日。</w:t>
      </w:r>
    </w:p>
    <w:p w14:paraId="4F2B178C">
      <w:pPr>
        <w:spacing w:line="360" w:lineRule="auto"/>
        <w:rPr>
          <w:rFonts w:hint="eastAsia" w:asciiTheme="minorEastAsia" w:hAnsiTheme="minorEastAsia" w:eastAsiaTheme="minorEastAsia"/>
          <w:b/>
          <w:bCs/>
          <w:color w:val="auto"/>
          <w:sz w:val="24"/>
          <w:szCs w:val="24"/>
          <w:highlight w:val="none"/>
        </w:rPr>
      </w:pPr>
      <w:bookmarkStart w:id="99" w:name="_Toc45976878"/>
      <w:bookmarkStart w:id="100" w:name="_Toc35393804"/>
      <w:bookmarkStart w:id="101" w:name="_Toc35393635"/>
      <w:bookmarkStart w:id="102" w:name="_Toc109809295"/>
      <w:bookmarkStart w:id="103" w:name="_Toc98864994"/>
      <w:bookmarkStart w:id="104" w:name="_Toc87543801"/>
      <w:bookmarkStart w:id="105" w:name="_Toc87538352"/>
      <w:bookmarkStart w:id="106" w:name="_Toc83753875"/>
      <w:bookmarkStart w:id="107" w:name="_Toc45791331"/>
      <w:bookmarkStart w:id="108" w:name="_Toc98033917"/>
      <w:bookmarkStart w:id="109" w:name="_Toc69678412"/>
      <w:bookmarkStart w:id="110" w:name="_Toc53412199"/>
      <w:bookmarkStart w:id="111" w:name="_Toc84356235"/>
      <w:r>
        <w:rPr>
          <w:rFonts w:hint="eastAsia" w:asciiTheme="minorEastAsia" w:hAnsiTheme="minorEastAsia" w:eastAsiaTheme="minorEastAsia"/>
          <w:b/>
          <w:bCs/>
          <w:color w:val="auto"/>
          <w:sz w:val="24"/>
          <w:szCs w:val="24"/>
          <w:highlight w:val="none"/>
        </w:rPr>
        <w:t>七、其他补充事宜</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43333DC9">
      <w:pPr>
        <w:pStyle w:val="53"/>
        <w:spacing w:line="360" w:lineRule="auto"/>
        <w:ind w:firstLine="405" w:firstLineChars="19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开标方式：网上开标</w:t>
      </w:r>
    </w:p>
    <w:p w14:paraId="1FD61F63">
      <w:pPr>
        <w:pStyle w:val="53"/>
        <w:spacing w:line="360" w:lineRule="auto"/>
        <w:ind w:firstLine="405" w:firstLineChars="193"/>
        <w:rPr>
          <w:rFonts w:hint="eastAsia" w:asciiTheme="minorEastAsia" w:hAnsiTheme="minorEastAsia" w:eastAsiaTheme="minorEastAsia"/>
          <w:color w:val="FF0000"/>
          <w:szCs w:val="21"/>
          <w:highlight w:val="none"/>
          <w:lang w:eastAsia="zh-CN"/>
        </w:rPr>
      </w:pPr>
      <w:r>
        <w:rPr>
          <w:rFonts w:hint="eastAsia" w:asciiTheme="minorEastAsia" w:hAnsiTheme="minorEastAsia" w:eastAsiaTheme="minorEastAsia"/>
          <w:color w:val="auto"/>
          <w:szCs w:val="21"/>
          <w:highlight w:val="none"/>
        </w:rPr>
        <w:t>是否需要缴纳投标保证金：</w:t>
      </w:r>
      <w:r>
        <w:rPr>
          <w:rFonts w:hint="eastAsia" w:asciiTheme="minorEastAsia" w:hAnsiTheme="minorEastAsia" w:eastAsiaTheme="minorEastAsia"/>
          <w:color w:val="auto"/>
          <w:szCs w:val="21"/>
          <w:highlight w:val="none"/>
          <w:lang w:val="en-US" w:eastAsia="zh-CN"/>
        </w:rPr>
        <w:t>是</w:t>
      </w:r>
    </w:p>
    <w:p w14:paraId="747EEADC">
      <w:pPr>
        <w:pStyle w:val="14"/>
        <w:spacing w:line="360" w:lineRule="auto"/>
        <w:ind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其他：</w:t>
      </w:r>
    </w:p>
    <w:p w14:paraId="7E9C88DD">
      <w:pPr>
        <w:widowControl/>
        <w:wordWrap w:val="0"/>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lang w:val="en-US" w:eastAsia="zh-CN"/>
        </w:rPr>
        <w:t>1</w:t>
      </w:r>
      <w:r>
        <w:rPr>
          <w:rFonts w:asciiTheme="minorEastAsia" w:hAnsiTheme="minorEastAsia" w:eastAsiaTheme="minorEastAsia"/>
          <w:color w:val="auto"/>
          <w:highlight w:val="none"/>
        </w:rPr>
        <w:t>.</w:t>
      </w:r>
      <w:r>
        <w:rPr>
          <w:rFonts w:hint="eastAsia" w:asciiTheme="minorEastAsia" w:hAnsiTheme="minorEastAsia" w:eastAsiaTheme="minorEastAsia"/>
          <w:color w:val="auto"/>
          <w:szCs w:val="21"/>
          <w:highlight w:val="none"/>
        </w:rPr>
        <w:t>响应文件的提交方式：凡有意参与磋商者，请自行前往政府采购云平台“客户端&amp;驱动下载”网页（网址：</w:t>
      </w:r>
      <w:r>
        <w:rPr>
          <w:rFonts w:asciiTheme="minorEastAsia" w:hAnsiTheme="minorEastAsia" w:eastAsiaTheme="minorEastAsia"/>
          <w:color w:val="auto"/>
          <w:szCs w:val="21"/>
          <w:highlight w:val="none"/>
        </w:rPr>
        <w:t>https://customer.zcygov.cn/CA-driver-download?utm=web-ca-front.3ddc8fbb.0.0.91c6cff0db1311ec8cfbc9f613d30204</w:t>
      </w:r>
      <w:r>
        <w:rPr>
          <w:rFonts w:hint="eastAsia" w:asciiTheme="minorEastAsia" w:hAnsiTheme="minorEastAsia" w:eastAsiaTheme="minorEastAsia"/>
          <w:color w:val="auto"/>
          <w:szCs w:val="21"/>
          <w:highlight w:val="none"/>
        </w:rPr>
        <w:t>）下载并安装“政采云投标客户端”。供应商按照采购文件和政府采购云平台（网址：https://www.zcygov.cn/）的要求编制、加密电子响应文件，响应文件在提交截止时间前未完成上传的，视为撤回响应文件。供应商在政府采购云平台提交电子版响应文件时，请填写参与远程开标活动经办人的联系方式。</w:t>
      </w:r>
    </w:p>
    <w:p w14:paraId="563B90AD">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rPr>
        <w:t>.响应文件的解密方式：在线解密。供应商须提前在自有场地配置有音视频通话（带摄像头及话筒的电脑）功能的相应设备及稳定网络的环境下，并按政府采购云平台开标大厅中的提示完成响应文件的解密。</w:t>
      </w:r>
    </w:p>
    <w:p w14:paraId="462A2992">
      <w:pPr>
        <w:spacing w:line="360" w:lineRule="auto"/>
        <w:rPr>
          <w:rFonts w:hint="eastAsia" w:asciiTheme="minorEastAsia" w:hAnsiTheme="minorEastAsia" w:eastAsiaTheme="minorEastAsia"/>
          <w:b/>
          <w:bCs/>
          <w:color w:val="auto"/>
          <w:sz w:val="24"/>
          <w:szCs w:val="24"/>
          <w:highlight w:val="none"/>
        </w:rPr>
      </w:pPr>
      <w:bookmarkStart w:id="112" w:name="_Toc98864995"/>
      <w:bookmarkStart w:id="113" w:name="_Toc45976881"/>
      <w:bookmarkStart w:id="114" w:name="_Toc69678413"/>
      <w:bookmarkStart w:id="115" w:name="_Toc87538353"/>
      <w:bookmarkStart w:id="116" w:name="_Toc35393636"/>
      <w:bookmarkStart w:id="117" w:name="_Toc53412200"/>
      <w:bookmarkStart w:id="118" w:name="_Toc28359095"/>
      <w:bookmarkStart w:id="119" w:name="_Toc84356236"/>
      <w:bookmarkStart w:id="120" w:name="_Toc28359018"/>
      <w:bookmarkStart w:id="121" w:name="_Toc87543802"/>
      <w:bookmarkStart w:id="122" w:name="_Toc83753876"/>
      <w:bookmarkStart w:id="123" w:name="_Toc98033918"/>
      <w:bookmarkStart w:id="124" w:name="_Toc35393805"/>
      <w:bookmarkStart w:id="125" w:name="_Toc45791335"/>
      <w:bookmarkStart w:id="126" w:name="_Toc109809296"/>
      <w:r>
        <w:rPr>
          <w:rFonts w:hint="eastAsia" w:asciiTheme="minorEastAsia" w:hAnsiTheme="minorEastAsia" w:eastAsiaTheme="minorEastAsia"/>
          <w:b/>
          <w:bCs/>
          <w:color w:val="auto"/>
          <w:sz w:val="24"/>
          <w:szCs w:val="24"/>
          <w:highlight w:val="none"/>
        </w:rPr>
        <w:t>八、凡对本次采购提出询问，请按</w:t>
      </w:r>
      <w:r>
        <w:rPr>
          <w:rFonts w:asciiTheme="minorEastAsia" w:hAnsiTheme="minorEastAsia" w:eastAsiaTheme="minorEastAsia"/>
          <w:b/>
          <w:bCs/>
          <w:color w:val="auto"/>
          <w:sz w:val="24"/>
          <w:szCs w:val="24"/>
          <w:highlight w:val="none"/>
        </w:rPr>
        <w:t>以下方式</w:t>
      </w:r>
      <w:r>
        <w:rPr>
          <w:rFonts w:hint="eastAsia" w:asciiTheme="minorEastAsia" w:hAnsiTheme="minorEastAsia" w:eastAsiaTheme="minorEastAsia"/>
          <w:b/>
          <w:bCs/>
          <w:color w:val="auto"/>
          <w:sz w:val="24"/>
          <w:szCs w:val="24"/>
          <w:highlight w:val="none"/>
        </w:rPr>
        <w:t>联系。</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bookmarkEnd w:id="2"/>
    <w:bookmarkEnd w:id="5"/>
    <w:bookmarkEnd w:id="7"/>
    <w:p w14:paraId="5A898F05">
      <w:pPr>
        <w:spacing w:line="360" w:lineRule="auto"/>
        <w:ind w:firstLine="420" w:firstLineChars="200"/>
        <w:rPr>
          <w:rFonts w:hint="eastAsia" w:cs="宋体" w:asciiTheme="minorEastAsia" w:hAnsiTheme="minorEastAsia" w:eastAsiaTheme="minorEastAsia"/>
          <w:color w:val="auto"/>
          <w:szCs w:val="21"/>
          <w:highlight w:val="none"/>
        </w:rPr>
      </w:pPr>
      <w:bookmarkStart w:id="127" w:name="_Toc35393637"/>
      <w:bookmarkStart w:id="128" w:name="_Toc45452726"/>
      <w:bookmarkStart w:id="129" w:name="_Toc28359019"/>
      <w:bookmarkStart w:id="130" w:name="_Toc45900508"/>
      <w:bookmarkStart w:id="131" w:name="_Toc35393806"/>
      <w:bookmarkStart w:id="132" w:name="_Toc28359096"/>
      <w:bookmarkStart w:id="133" w:name="_Toc37603101"/>
      <w:bookmarkStart w:id="134" w:name="_Toc42204978"/>
      <w:r>
        <w:rPr>
          <w:rFonts w:hint="eastAsia" w:asciiTheme="minorEastAsia" w:hAnsiTheme="minorEastAsia" w:eastAsiaTheme="minorEastAsia"/>
          <w:color w:val="auto"/>
          <w:szCs w:val="21"/>
          <w:highlight w:val="none"/>
        </w:rPr>
        <w:t>1.采购人信息</w:t>
      </w:r>
      <w:bookmarkEnd w:id="127"/>
      <w:bookmarkEnd w:id="128"/>
      <w:bookmarkEnd w:id="129"/>
      <w:bookmarkEnd w:id="130"/>
      <w:bookmarkEnd w:id="131"/>
      <w:bookmarkEnd w:id="132"/>
    </w:p>
    <w:p w14:paraId="6A408982">
      <w:pPr>
        <w:spacing w:line="360" w:lineRule="auto"/>
        <w:ind w:firstLine="420" w:firstLineChars="20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名    称：</w:t>
      </w:r>
      <w:r>
        <w:rPr>
          <w:rFonts w:hint="eastAsia" w:asciiTheme="minorEastAsia" w:hAnsiTheme="minorEastAsia" w:eastAsiaTheme="minorEastAsia"/>
          <w:color w:val="auto"/>
          <w:szCs w:val="21"/>
          <w:highlight w:val="none"/>
          <w:lang w:eastAsia="zh-CN"/>
        </w:rPr>
        <w:t>昆明高新技术产业开发区第四小学</w:t>
      </w:r>
    </w:p>
    <w:p w14:paraId="48E82022">
      <w:pPr>
        <w:spacing w:line="360" w:lineRule="auto"/>
        <w:ind w:firstLine="420" w:firstLineChars="20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地    址：</w:t>
      </w:r>
      <w:r>
        <w:rPr>
          <w:rFonts w:hint="eastAsia" w:asciiTheme="minorEastAsia" w:hAnsiTheme="minorEastAsia" w:eastAsiaTheme="minorEastAsia"/>
          <w:color w:val="auto"/>
          <w:szCs w:val="21"/>
          <w:highlight w:val="none"/>
          <w:lang w:val="en-US" w:eastAsia="zh-CN"/>
        </w:rPr>
        <w:t>云</w:t>
      </w:r>
      <w:r>
        <w:rPr>
          <w:rFonts w:hint="eastAsia" w:asciiTheme="minorEastAsia" w:hAnsiTheme="minorEastAsia" w:eastAsiaTheme="minorEastAsia"/>
          <w:color w:val="auto"/>
          <w:szCs w:val="21"/>
          <w:highlight w:val="none"/>
        </w:rPr>
        <w:t>南省昆明市呈贡区马金铺街道高登街2511号</w:t>
      </w:r>
    </w:p>
    <w:p w14:paraId="0C25A560">
      <w:pPr>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联系方式：</w:t>
      </w:r>
      <w:r>
        <w:rPr>
          <w:rFonts w:hint="eastAsia" w:asciiTheme="minorEastAsia" w:hAnsiTheme="minorEastAsia" w:eastAsiaTheme="minorEastAsia"/>
          <w:color w:val="auto"/>
          <w:szCs w:val="21"/>
          <w:highlight w:val="none"/>
          <w:lang w:val="en-US" w:eastAsia="zh-CN"/>
        </w:rPr>
        <w:t>陆老师</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13708761014</w:t>
      </w:r>
      <w:r>
        <w:rPr>
          <w:rFonts w:hint="eastAsia" w:asciiTheme="minorEastAsia" w:hAnsiTheme="minorEastAsia" w:eastAsiaTheme="minorEastAsia"/>
          <w:color w:val="auto"/>
          <w:szCs w:val="21"/>
          <w:highlight w:val="none"/>
        </w:rPr>
        <w:t>）</w:t>
      </w:r>
    </w:p>
    <w:p w14:paraId="1B46125E">
      <w:pPr>
        <w:spacing w:line="360" w:lineRule="auto"/>
        <w:rPr>
          <w:rFonts w:hint="eastAsia" w:asciiTheme="minorEastAsia" w:hAnsiTheme="minorEastAsia" w:eastAsiaTheme="minorEastAsia"/>
          <w:color w:val="auto"/>
          <w:highlight w:val="none"/>
        </w:rPr>
      </w:pPr>
    </w:p>
    <w:p w14:paraId="6A3B665B">
      <w:pPr>
        <w:spacing w:line="360" w:lineRule="auto"/>
        <w:ind w:firstLine="420" w:firstLineChars="200"/>
        <w:rPr>
          <w:rFonts w:hint="eastAsia" w:asciiTheme="minorEastAsia" w:hAnsiTheme="minorEastAsia" w:eastAsiaTheme="minorEastAsia"/>
          <w:color w:val="auto"/>
          <w:szCs w:val="21"/>
          <w:highlight w:val="none"/>
        </w:rPr>
      </w:pPr>
      <w:bookmarkStart w:id="135" w:name="_Toc28359097"/>
      <w:bookmarkStart w:id="136" w:name="_Toc35393638"/>
      <w:bookmarkStart w:id="137" w:name="_Toc28359020"/>
      <w:bookmarkStart w:id="138" w:name="_Toc45452727"/>
      <w:bookmarkStart w:id="139" w:name="_Toc35393807"/>
      <w:bookmarkStart w:id="140" w:name="_Toc45900509"/>
      <w:r>
        <w:rPr>
          <w:rFonts w:hint="eastAsia" w:asciiTheme="minorEastAsia" w:hAnsiTheme="minorEastAsia" w:eastAsiaTheme="minorEastAsia"/>
          <w:color w:val="auto"/>
          <w:szCs w:val="21"/>
          <w:highlight w:val="none"/>
        </w:rPr>
        <w:t>2.采购代理机构信息</w:t>
      </w:r>
      <w:bookmarkEnd w:id="135"/>
      <w:bookmarkEnd w:id="136"/>
      <w:bookmarkEnd w:id="137"/>
      <w:bookmarkEnd w:id="138"/>
      <w:bookmarkEnd w:id="139"/>
      <w:bookmarkEnd w:id="140"/>
    </w:p>
    <w:p w14:paraId="03D29278">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名    称：</w:t>
      </w:r>
      <w:r>
        <w:rPr>
          <w:rFonts w:hint="eastAsia" w:asciiTheme="minorEastAsia" w:hAnsiTheme="minorEastAsia" w:eastAsiaTheme="minorEastAsia"/>
          <w:color w:val="auto"/>
          <w:szCs w:val="21"/>
          <w:highlight w:val="none"/>
          <w:lang w:eastAsia="zh-CN"/>
        </w:rPr>
        <w:t>云南燕国工程咨询有限公司</w:t>
      </w:r>
    </w:p>
    <w:p w14:paraId="4049BE2A">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地　　址：</w:t>
      </w:r>
      <w:r>
        <w:rPr>
          <w:rFonts w:hint="eastAsia" w:asciiTheme="minorEastAsia" w:hAnsiTheme="minorEastAsia" w:eastAsiaTheme="minorEastAsia"/>
          <w:color w:val="auto"/>
          <w:szCs w:val="21"/>
          <w:highlight w:val="none"/>
          <w:lang w:eastAsia="zh-CN"/>
        </w:rPr>
        <w:t>云南省昆明市盘龙区白云路168号瑞鼎城B栋A15楼A1521室</w:t>
      </w:r>
    </w:p>
    <w:p w14:paraId="6811306A">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联系方式：</w:t>
      </w:r>
      <w:r>
        <w:rPr>
          <w:rFonts w:hint="eastAsia" w:asciiTheme="minorEastAsia" w:hAnsiTheme="minorEastAsia" w:eastAsiaTheme="minorEastAsia"/>
          <w:color w:val="auto"/>
          <w:szCs w:val="21"/>
          <w:highlight w:val="none"/>
          <w:lang w:val="en-US" w:eastAsia="zh-CN"/>
        </w:rPr>
        <w:t>15925154876/</w:t>
      </w:r>
      <w:r>
        <w:rPr>
          <w:rFonts w:hint="eastAsia" w:asciiTheme="minorEastAsia" w:hAnsiTheme="minorEastAsia" w:eastAsiaTheme="minorEastAsia"/>
          <w:color w:val="auto"/>
          <w:szCs w:val="21"/>
          <w:highlight w:val="none"/>
          <w:lang w:eastAsia="zh-CN"/>
        </w:rPr>
        <w:t>18988445786/0871-63335201</w:t>
      </w:r>
    </w:p>
    <w:p w14:paraId="767B4692">
      <w:pPr>
        <w:spacing w:line="360" w:lineRule="auto"/>
        <w:rPr>
          <w:rFonts w:hint="eastAsia" w:asciiTheme="minorEastAsia" w:hAnsiTheme="minorEastAsia" w:eastAsiaTheme="minorEastAsia"/>
          <w:color w:val="auto"/>
          <w:highlight w:val="none"/>
        </w:rPr>
      </w:pPr>
    </w:p>
    <w:p w14:paraId="724F36BD">
      <w:pPr>
        <w:spacing w:line="360" w:lineRule="auto"/>
        <w:ind w:firstLine="420" w:firstLineChars="200"/>
        <w:rPr>
          <w:rFonts w:hint="eastAsia" w:asciiTheme="minorEastAsia" w:hAnsiTheme="minorEastAsia" w:eastAsiaTheme="minorEastAsia"/>
          <w:color w:val="auto"/>
          <w:szCs w:val="21"/>
          <w:highlight w:val="none"/>
        </w:rPr>
      </w:pPr>
      <w:bookmarkStart w:id="141" w:name="_Toc45900510"/>
      <w:bookmarkStart w:id="142" w:name="_Toc28359021"/>
      <w:bookmarkStart w:id="143" w:name="_Toc35393808"/>
      <w:bookmarkStart w:id="144" w:name="_Toc35393639"/>
      <w:bookmarkStart w:id="145" w:name="_Toc28359098"/>
      <w:bookmarkStart w:id="146" w:name="_Toc45452728"/>
      <w:r>
        <w:rPr>
          <w:rFonts w:hint="eastAsia" w:asciiTheme="minorEastAsia" w:hAnsiTheme="minorEastAsia" w:eastAsiaTheme="minorEastAsia"/>
          <w:color w:val="auto"/>
          <w:szCs w:val="21"/>
          <w:highlight w:val="none"/>
        </w:rPr>
        <w:t>3.项目联系</w:t>
      </w:r>
      <w:r>
        <w:rPr>
          <w:rFonts w:asciiTheme="minorEastAsia" w:hAnsiTheme="minorEastAsia" w:eastAsiaTheme="minorEastAsia"/>
          <w:color w:val="auto"/>
          <w:szCs w:val="21"/>
          <w:highlight w:val="none"/>
        </w:rPr>
        <w:t>方式</w:t>
      </w:r>
      <w:bookmarkEnd w:id="141"/>
      <w:bookmarkEnd w:id="142"/>
      <w:bookmarkEnd w:id="143"/>
      <w:bookmarkEnd w:id="144"/>
      <w:bookmarkEnd w:id="145"/>
      <w:bookmarkEnd w:id="146"/>
    </w:p>
    <w:p w14:paraId="63F3D97C">
      <w:pPr>
        <w:pStyle w:val="28"/>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项目联系人：</w:t>
      </w:r>
      <w:r>
        <w:rPr>
          <w:rFonts w:hint="eastAsia" w:hAnsi="宋体" w:cs="宋体" w:eastAsiaTheme="minorEastAsia"/>
          <w:color w:val="auto"/>
          <w:szCs w:val="21"/>
          <w:highlight w:val="none"/>
          <w:lang w:val="en-US" w:eastAsia="zh-CN"/>
        </w:rPr>
        <w:t>黄丽</w:t>
      </w:r>
    </w:p>
    <w:p w14:paraId="1CEB4862">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　  话：</w:t>
      </w:r>
      <w:r>
        <w:rPr>
          <w:rFonts w:hint="eastAsia" w:asciiTheme="minorEastAsia" w:hAnsiTheme="minorEastAsia" w:eastAsiaTheme="minorEastAsia"/>
          <w:color w:val="auto"/>
          <w:szCs w:val="21"/>
          <w:highlight w:val="none"/>
          <w:lang w:val="en-US" w:eastAsia="zh-CN"/>
        </w:rPr>
        <w:t>15925154876/18988445786/0871-63335201</w:t>
      </w:r>
      <w:r>
        <w:rPr>
          <w:rFonts w:asciiTheme="minorEastAsia" w:hAnsiTheme="minorEastAsia" w:eastAsiaTheme="minorEastAsia"/>
          <w:color w:val="auto"/>
          <w:szCs w:val="21"/>
          <w:highlight w:val="none"/>
        </w:rPr>
        <w:br w:type="page"/>
      </w:r>
    </w:p>
    <w:p w14:paraId="0944A561">
      <w:pPr>
        <w:spacing w:line="360" w:lineRule="auto"/>
        <w:jc w:val="center"/>
        <w:outlineLvl w:val="0"/>
        <w:rPr>
          <w:rFonts w:hint="eastAsia" w:asciiTheme="minorEastAsia" w:hAnsiTheme="minorEastAsia" w:eastAsiaTheme="minorEastAsia"/>
          <w:b/>
          <w:bCs/>
          <w:color w:val="auto"/>
          <w:sz w:val="32"/>
          <w:szCs w:val="32"/>
          <w:highlight w:val="none"/>
        </w:rPr>
      </w:pPr>
      <w:bookmarkStart w:id="147" w:name="_Toc158233412"/>
      <w:r>
        <w:rPr>
          <w:rFonts w:hint="eastAsia" w:asciiTheme="minorEastAsia" w:hAnsiTheme="minorEastAsia" w:eastAsiaTheme="minorEastAsia"/>
          <w:b/>
          <w:bCs/>
          <w:color w:val="auto"/>
          <w:sz w:val="32"/>
          <w:szCs w:val="32"/>
          <w:highlight w:val="none"/>
        </w:rPr>
        <w:t>第二章 供应商须知</w:t>
      </w:r>
      <w:bookmarkEnd w:id="133"/>
      <w:bookmarkEnd w:id="134"/>
      <w:bookmarkEnd w:id="147"/>
    </w:p>
    <w:p w14:paraId="2989428C">
      <w:pPr>
        <w:pStyle w:val="4"/>
        <w:spacing w:line="360" w:lineRule="auto"/>
        <w:rPr>
          <w:rFonts w:hint="eastAsia" w:asciiTheme="minorEastAsia" w:hAnsiTheme="minorEastAsia" w:eastAsiaTheme="minorEastAsia"/>
          <w:color w:val="auto"/>
          <w:szCs w:val="28"/>
          <w:highlight w:val="none"/>
        </w:rPr>
      </w:pPr>
      <w:bookmarkStart w:id="148" w:name="_Toc132362632"/>
      <w:bookmarkStart w:id="149" w:name="_Toc158233413"/>
      <w:r>
        <w:rPr>
          <w:rFonts w:hint="eastAsia" w:asciiTheme="minorEastAsia" w:hAnsiTheme="minorEastAsia" w:eastAsiaTheme="minorEastAsia"/>
          <w:color w:val="auto"/>
          <w:szCs w:val="28"/>
          <w:highlight w:val="none"/>
        </w:rPr>
        <w:t>一、供应商须知前附表</w:t>
      </w:r>
      <w:bookmarkEnd w:id="148"/>
      <w:bookmarkEnd w:id="149"/>
    </w:p>
    <w:tbl>
      <w:tblPr>
        <w:tblStyle w:val="54"/>
        <w:tblW w:w="9067" w:type="dxa"/>
        <w:jc w:val="center"/>
        <w:tblLayout w:type="fixed"/>
        <w:tblCellMar>
          <w:top w:w="0" w:type="dxa"/>
          <w:left w:w="0" w:type="dxa"/>
          <w:bottom w:w="0" w:type="dxa"/>
          <w:right w:w="0" w:type="dxa"/>
        </w:tblCellMar>
      </w:tblPr>
      <w:tblGrid>
        <w:gridCol w:w="840"/>
        <w:gridCol w:w="2264"/>
        <w:gridCol w:w="5963"/>
      </w:tblGrid>
      <w:tr w14:paraId="27C122AF">
        <w:tblPrEx>
          <w:tblCellMar>
            <w:top w:w="0" w:type="dxa"/>
            <w:left w:w="0" w:type="dxa"/>
            <w:bottom w:w="0" w:type="dxa"/>
            <w:right w:w="0" w:type="dxa"/>
          </w:tblCellMar>
        </w:tblPrEx>
        <w:trPr>
          <w:trHeight w:val="48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1CAB334">
            <w:pPr>
              <w:autoSpaceDE w:val="0"/>
              <w:autoSpaceDN w:val="0"/>
              <w:spacing w:before="60" w:after="60"/>
              <w:contextualSpacing/>
              <w:jc w:val="cente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w:t>
            </w:r>
          </w:p>
        </w:tc>
        <w:tc>
          <w:tcPr>
            <w:tcW w:w="2264" w:type="dxa"/>
            <w:tcBorders>
              <w:top w:val="single" w:color="auto" w:sz="4" w:space="0"/>
              <w:left w:val="single" w:color="auto" w:sz="4" w:space="0"/>
              <w:bottom w:val="single" w:color="auto" w:sz="4" w:space="0"/>
              <w:right w:val="single" w:color="auto" w:sz="4" w:space="0"/>
            </w:tcBorders>
            <w:vAlign w:val="center"/>
          </w:tcPr>
          <w:p w14:paraId="28498A2A">
            <w:pPr>
              <w:wordWrap w:val="0"/>
              <w:autoSpaceDE w:val="0"/>
              <w:autoSpaceDN w:val="0"/>
              <w:spacing w:before="60" w:after="60"/>
              <w:contextualSpacing/>
              <w:jc w:val="center"/>
              <w:rPr>
                <w:rFonts w:hint="eastAsia"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条款名称</w:t>
            </w:r>
          </w:p>
        </w:tc>
        <w:tc>
          <w:tcPr>
            <w:tcW w:w="5963" w:type="dxa"/>
            <w:tcBorders>
              <w:top w:val="single" w:color="auto" w:sz="4" w:space="0"/>
              <w:left w:val="single" w:color="auto" w:sz="4" w:space="0"/>
              <w:bottom w:val="single" w:color="auto" w:sz="4" w:space="0"/>
              <w:right w:val="single" w:color="auto" w:sz="4" w:space="0"/>
            </w:tcBorders>
            <w:vAlign w:val="center"/>
          </w:tcPr>
          <w:p w14:paraId="2846308C">
            <w:pPr>
              <w:wordWrap w:val="0"/>
              <w:autoSpaceDE w:val="0"/>
              <w:autoSpaceDN w:val="0"/>
              <w:spacing w:before="60" w:after="60"/>
              <w:ind w:left="-15" w:leftChars="-7" w:firstLine="15" w:firstLineChars="7"/>
              <w:contextualSpacing/>
              <w:jc w:val="cente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编列内容</w:t>
            </w:r>
          </w:p>
        </w:tc>
      </w:tr>
      <w:tr w14:paraId="2E4A0268">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75C536A">
            <w:pPr>
              <w:wordWrap w:val="0"/>
              <w:autoSpaceDE w:val="0"/>
              <w:autoSpaceDN w:val="0"/>
              <w:spacing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1.1.2</w:t>
            </w:r>
          </w:p>
        </w:tc>
        <w:tc>
          <w:tcPr>
            <w:tcW w:w="2264" w:type="dxa"/>
            <w:tcBorders>
              <w:top w:val="single" w:color="auto" w:sz="4" w:space="0"/>
              <w:left w:val="single" w:color="auto" w:sz="4" w:space="0"/>
              <w:bottom w:val="single" w:color="auto" w:sz="4" w:space="0"/>
              <w:right w:val="single" w:color="auto" w:sz="4" w:space="0"/>
            </w:tcBorders>
            <w:vAlign w:val="center"/>
          </w:tcPr>
          <w:p w14:paraId="6BF8DA0E">
            <w:pPr>
              <w:wordWrap w:val="0"/>
              <w:autoSpaceDE w:val="0"/>
              <w:autoSpaceDN w:val="0"/>
              <w:spacing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采购人</w:t>
            </w:r>
          </w:p>
        </w:tc>
        <w:tc>
          <w:tcPr>
            <w:tcW w:w="5963" w:type="dxa"/>
            <w:tcBorders>
              <w:top w:val="single" w:color="auto" w:sz="4" w:space="0"/>
              <w:left w:val="single" w:color="auto" w:sz="4" w:space="0"/>
              <w:bottom w:val="single" w:color="auto" w:sz="4" w:space="0"/>
              <w:right w:val="single" w:color="auto" w:sz="4" w:space="0"/>
            </w:tcBorders>
          </w:tcPr>
          <w:p w14:paraId="44D22F0A">
            <w:pPr>
              <w:spacing w:before="156" w:beforeLines="50" w:line="360" w:lineRule="auto"/>
              <w:ind w:left="105" w:leftChars="50"/>
              <w:rPr>
                <w:rFonts w:hint="eastAsia" w:asciiTheme="minorEastAsia" w:hAnsiTheme="minorEastAsia" w:eastAsiaTheme="minorEastAsia"/>
                <w:color w:val="auto"/>
                <w:szCs w:val="21"/>
                <w:highlight w:val="none"/>
                <w:lang w:eastAsia="zh-CN"/>
              </w:rPr>
            </w:pPr>
            <w:bookmarkStart w:id="150" w:name="_Hlk75780510"/>
            <w:r>
              <w:rPr>
                <w:rFonts w:hint="eastAsia" w:cs="宋体" w:asciiTheme="minorEastAsia" w:hAnsiTheme="minorEastAsia" w:eastAsiaTheme="minorEastAsia"/>
                <w:color w:val="auto"/>
                <w:szCs w:val="21"/>
                <w:highlight w:val="none"/>
              </w:rPr>
              <w:t>单位名称：</w:t>
            </w:r>
            <w:r>
              <w:rPr>
                <w:rFonts w:hint="eastAsia" w:cs="宋体" w:asciiTheme="minorEastAsia" w:hAnsiTheme="minorEastAsia" w:eastAsiaTheme="minorEastAsia"/>
                <w:color w:val="auto"/>
                <w:szCs w:val="21"/>
                <w:highlight w:val="none"/>
                <w:lang w:eastAsia="zh-CN"/>
              </w:rPr>
              <w:t>昆明高新技术产业开发区第四小学</w:t>
            </w:r>
          </w:p>
          <w:p w14:paraId="4E637876">
            <w:pPr>
              <w:spacing w:line="360" w:lineRule="auto"/>
              <w:ind w:left="105" w:leftChars="5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单位地址：</w:t>
            </w:r>
            <w:r>
              <w:rPr>
                <w:rFonts w:hint="eastAsia" w:asciiTheme="minorEastAsia" w:hAnsiTheme="minorEastAsia" w:eastAsiaTheme="minorEastAsia"/>
                <w:color w:val="auto"/>
                <w:szCs w:val="21"/>
                <w:highlight w:val="none"/>
                <w:lang w:val="en-US" w:eastAsia="zh-CN"/>
              </w:rPr>
              <w:t>云</w:t>
            </w:r>
            <w:r>
              <w:rPr>
                <w:rFonts w:hint="eastAsia" w:asciiTheme="minorEastAsia" w:hAnsiTheme="minorEastAsia" w:eastAsiaTheme="minorEastAsia"/>
                <w:color w:val="auto"/>
                <w:szCs w:val="21"/>
                <w:highlight w:val="none"/>
              </w:rPr>
              <w:t>南省昆明市呈贡区马金铺街道高登街2511号</w:t>
            </w:r>
          </w:p>
          <w:p w14:paraId="59111AEF">
            <w:pPr>
              <w:spacing w:line="360" w:lineRule="auto"/>
              <w:ind w:left="105" w:leftChars="5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联 系 人：</w:t>
            </w:r>
            <w:r>
              <w:rPr>
                <w:rFonts w:hint="eastAsia" w:asciiTheme="minorEastAsia" w:hAnsiTheme="minorEastAsia" w:eastAsiaTheme="minorEastAsia"/>
                <w:color w:val="auto"/>
                <w:szCs w:val="21"/>
                <w:highlight w:val="none"/>
                <w:lang w:val="en-US" w:eastAsia="zh-CN"/>
              </w:rPr>
              <w:t>陆老师</w:t>
            </w:r>
          </w:p>
          <w:p w14:paraId="00433B63">
            <w:pPr>
              <w:spacing w:line="360" w:lineRule="auto"/>
              <w:ind w:left="105" w:lef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联系电话：</w:t>
            </w:r>
            <w:bookmarkEnd w:id="150"/>
            <w:r>
              <w:rPr>
                <w:rFonts w:hint="eastAsia" w:asciiTheme="minorEastAsia" w:hAnsiTheme="minorEastAsia" w:eastAsiaTheme="minorEastAsia"/>
                <w:color w:val="auto"/>
                <w:szCs w:val="21"/>
                <w:highlight w:val="none"/>
                <w:lang w:val="en-US" w:eastAsia="zh-CN"/>
              </w:rPr>
              <w:t>13708761014</w:t>
            </w:r>
          </w:p>
        </w:tc>
      </w:tr>
      <w:tr w14:paraId="1703727D">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84B2786">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1.1.3</w:t>
            </w:r>
          </w:p>
        </w:tc>
        <w:tc>
          <w:tcPr>
            <w:tcW w:w="2264" w:type="dxa"/>
            <w:tcBorders>
              <w:top w:val="single" w:color="auto" w:sz="4" w:space="0"/>
              <w:left w:val="single" w:color="auto" w:sz="4" w:space="0"/>
              <w:bottom w:val="single" w:color="auto" w:sz="4" w:space="0"/>
              <w:right w:val="single" w:color="auto" w:sz="4" w:space="0"/>
            </w:tcBorders>
            <w:vAlign w:val="center"/>
          </w:tcPr>
          <w:p w14:paraId="26381C71">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w:t>
            </w:r>
          </w:p>
        </w:tc>
        <w:tc>
          <w:tcPr>
            <w:tcW w:w="5963" w:type="dxa"/>
            <w:tcBorders>
              <w:top w:val="single" w:color="auto" w:sz="4" w:space="0"/>
              <w:left w:val="single" w:color="auto" w:sz="4" w:space="0"/>
              <w:bottom w:val="single" w:color="auto" w:sz="4" w:space="0"/>
              <w:right w:val="single" w:color="auto" w:sz="4" w:space="0"/>
            </w:tcBorders>
          </w:tcPr>
          <w:p w14:paraId="51A7EFF2">
            <w:pPr>
              <w:spacing w:before="156" w:beforeLines="50" w:line="360" w:lineRule="auto"/>
              <w:ind w:left="105" w:leftChars="50"/>
              <w:rPr>
                <w:rFonts w:hint="eastAsia"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单位名称：</w:t>
            </w:r>
            <w:r>
              <w:rPr>
                <w:rFonts w:hint="eastAsia" w:cs="宋体" w:asciiTheme="minorEastAsia" w:hAnsiTheme="minorEastAsia" w:eastAsiaTheme="minorEastAsia"/>
                <w:color w:val="auto"/>
                <w:szCs w:val="21"/>
                <w:highlight w:val="none"/>
                <w:lang w:eastAsia="zh-CN"/>
              </w:rPr>
              <w:t>云南燕国工程咨询有限公司</w:t>
            </w:r>
          </w:p>
          <w:p w14:paraId="32ACE909">
            <w:pPr>
              <w:spacing w:line="360" w:lineRule="auto"/>
              <w:ind w:left="105" w:leftChars="5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单位地址：</w:t>
            </w:r>
            <w:r>
              <w:rPr>
                <w:rFonts w:hint="eastAsia" w:asciiTheme="minorEastAsia" w:hAnsiTheme="minorEastAsia" w:eastAsiaTheme="minorEastAsia"/>
                <w:color w:val="auto"/>
                <w:szCs w:val="21"/>
                <w:highlight w:val="none"/>
                <w:lang w:eastAsia="zh-CN"/>
              </w:rPr>
              <w:t>云南省昆明市盘龙区白云路168号瑞鼎城B栋A15楼A1521室</w:t>
            </w:r>
          </w:p>
          <w:p w14:paraId="2E74DB1B">
            <w:pPr>
              <w:spacing w:line="360" w:lineRule="auto"/>
              <w:ind w:left="105" w:leftChars="5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联 系 人：</w:t>
            </w:r>
            <w:r>
              <w:rPr>
                <w:rFonts w:hint="eastAsia" w:hAnsi="宋体" w:cs="宋体" w:eastAsiaTheme="minorEastAsia"/>
                <w:color w:val="auto"/>
                <w:szCs w:val="21"/>
                <w:highlight w:val="none"/>
                <w:lang w:val="en-US" w:eastAsia="zh-CN"/>
              </w:rPr>
              <w:t>黄丽</w:t>
            </w:r>
          </w:p>
          <w:p w14:paraId="540676AB">
            <w:pPr>
              <w:spacing w:line="360" w:lineRule="auto"/>
              <w:ind w:left="105" w:leftChars="5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联系电话：</w:t>
            </w:r>
            <w:r>
              <w:rPr>
                <w:rFonts w:hint="eastAsia" w:asciiTheme="minorEastAsia" w:hAnsiTheme="minorEastAsia" w:eastAsiaTheme="minorEastAsia"/>
                <w:color w:val="auto"/>
                <w:szCs w:val="21"/>
                <w:highlight w:val="none"/>
                <w:lang w:val="en-US" w:eastAsia="zh-CN"/>
              </w:rPr>
              <w:t>15925154876/18988445786/0871-63335201</w:t>
            </w:r>
          </w:p>
        </w:tc>
      </w:tr>
      <w:tr w14:paraId="769FC907">
        <w:tblPrEx>
          <w:tblCellMar>
            <w:top w:w="0" w:type="dxa"/>
            <w:left w:w="0" w:type="dxa"/>
            <w:bottom w:w="0" w:type="dxa"/>
            <w:right w:w="0" w:type="dxa"/>
          </w:tblCellMar>
        </w:tblPrEx>
        <w:trPr>
          <w:trHeight w:val="41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A4BDC41">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w:t>
            </w:r>
          </w:p>
        </w:tc>
        <w:tc>
          <w:tcPr>
            <w:tcW w:w="2264" w:type="dxa"/>
            <w:tcBorders>
              <w:top w:val="single" w:color="auto" w:sz="4" w:space="0"/>
              <w:left w:val="single" w:color="auto" w:sz="4" w:space="0"/>
              <w:bottom w:val="single" w:color="auto" w:sz="4" w:space="0"/>
              <w:right w:val="single" w:color="auto" w:sz="4" w:space="0"/>
            </w:tcBorders>
            <w:vAlign w:val="center"/>
          </w:tcPr>
          <w:p w14:paraId="4B4DA851">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项目名称</w:t>
            </w:r>
          </w:p>
        </w:tc>
        <w:tc>
          <w:tcPr>
            <w:tcW w:w="5963" w:type="dxa"/>
            <w:tcBorders>
              <w:top w:val="single" w:color="auto" w:sz="4" w:space="0"/>
              <w:left w:val="single" w:color="auto" w:sz="4" w:space="0"/>
              <w:bottom w:val="single" w:color="auto" w:sz="4" w:space="0"/>
              <w:right w:val="single" w:color="auto" w:sz="4" w:space="0"/>
            </w:tcBorders>
            <w:vAlign w:val="center"/>
          </w:tcPr>
          <w:p w14:paraId="7D3F0B41">
            <w:pPr>
              <w:spacing w:before="156" w:beforeLines="50" w:line="360" w:lineRule="auto"/>
              <w:ind w:left="105" w:leftChars="50" w:right="105" w:rightChars="5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高新四小食堂物资采购</w:t>
            </w:r>
          </w:p>
        </w:tc>
      </w:tr>
      <w:tr w14:paraId="05A097A5">
        <w:tblPrEx>
          <w:tblCellMar>
            <w:top w:w="0" w:type="dxa"/>
            <w:left w:w="0" w:type="dxa"/>
            <w:bottom w:w="0" w:type="dxa"/>
            <w:right w:w="0" w:type="dxa"/>
          </w:tblCellMar>
        </w:tblPrEx>
        <w:trPr>
          <w:trHeight w:val="43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AEFFAAA">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.1.5</w:t>
            </w:r>
          </w:p>
        </w:tc>
        <w:tc>
          <w:tcPr>
            <w:tcW w:w="2264" w:type="dxa"/>
            <w:tcBorders>
              <w:top w:val="single" w:color="auto" w:sz="4" w:space="0"/>
              <w:left w:val="single" w:color="auto" w:sz="4" w:space="0"/>
              <w:bottom w:val="single" w:color="auto" w:sz="4" w:space="0"/>
              <w:right w:val="single" w:color="auto" w:sz="4" w:space="0"/>
            </w:tcBorders>
            <w:vAlign w:val="center"/>
          </w:tcPr>
          <w:p w14:paraId="137045F8">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服务地点</w:t>
            </w:r>
          </w:p>
        </w:tc>
        <w:tc>
          <w:tcPr>
            <w:tcW w:w="5963" w:type="dxa"/>
            <w:tcBorders>
              <w:top w:val="single" w:color="auto" w:sz="4" w:space="0"/>
              <w:left w:val="single" w:color="auto" w:sz="4" w:space="0"/>
              <w:bottom w:val="single" w:color="auto" w:sz="4" w:space="0"/>
              <w:right w:val="single" w:color="auto" w:sz="4" w:space="0"/>
            </w:tcBorders>
            <w:vAlign w:val="center"/>
          </w:tcPr>
          <w:p w14:paraId="5538F876">
            <w:pPr>
              <w:spacing w:before="156" w:beforeLines="50" w:line="360" w:lineRule="auto"/>
              <w:ind w:left="105" w:lef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昆明高新技术产业开发区第四小学指定地点</w:t>
            </w:r>
            <w:r>
              <w:rPr>
                <w:rFonts w:hint="eastAsia" w:asciiTheme="minorEastAsia" w:hAnsiTheme="minorEastAsia" w:eastAsiaTheme="minorEastAsia"/>
                <w:color w:val="auto"/>
                <w:szCs w:val="21"/>
                <w:highlight w:val="none"/>
              </w:rPr>
              <w:t>。</w:t>
            </w:r>
          </w:p>
        </w:tc>
      </w:tr>
      <w:tr w14:paraId="203A89D2">
        <w:tblPrEx>
          <w:tblCellMar>
            <w:top w:w="0" w:type="dxa"/>
            <w:left w:w="0" w:type="dxa"/>
            <w:bottom w:w="0" w:type="dxa"/>
            <w:right w:w="0"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CE64112">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1.2.1</w:t>
            </w:r>
          </w:p>
        </w:tc>
        <w:tc>
          <w:tcPr>
            <w:tcW w:w="2264" w:type="dxa"/>
            <w:tcBorders>
              <w:top w:val="single" w:color="auto" w:sz="4" w:space="0"/>
              <w:left w:val="single" w:color="auto" w:sz="4" w:space="0"/>
              <w:bottom w:val="single" w:color="auto" w:sz="4" w:space="0"/>
              <w:right w:val="single" w:color="auto" w:sz="4" w:space="0"/>
            </w:tcBorders>
            <w:vAlign w:val="center"/>
          </w:tcPr>
          <w:p w14:paraId="285B4F38">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资金来源</w:t>
            </w:r>
          </w:p>
        </w:tc>
        <w:tc>
          <w:tcPr>
            <w:tcW w:w="5963" w:type="dxa"/>
            <w:tcBorders>
              <w:top w:val="single" w:color="auto" w:sz="4" w:space="0"/>
              <w:left w:val="single" w:color="auto" w:sz="4" w:space="0"/>
              <w:bottom w:val="single" w:color="auto" w:sz="4" w:space="0"/>
              <w:right w:val="single" w:color="auto" w:sz="4" w:space="0"/>
            </w:tcBorders>
            <w:vAlign w:val="center"/>
          </w:tcPr>
          <w:p w14:paraId="51FADE9A">
            <w:pPr>
              <w:spacing w:before="156" w:beforeLines="50" w:line="360" w:lineRule="auto"/>
              <w:ind w:left="105" w:leftChars="5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自筹资金</w:t>
            </w:r>
          </w:p>
        </w:tc>
      </w:tr>
      <w:tr w14:paraId="45ACFC2F">
        <w:tblPrEx>
          <w:tblCellMar>
            <w:top w:w="0" w:type="dxa"/>
            <w:left w:w="0" w:type="dxa"/>
            <w:bottom w:w="0" w:type="dxa"/>
            <w:right w:w="0" w:type="dxa"/>
          </w:tblCellMar>
        </w:tblPrEx>
        <w:trPr>
          <w:trHeight w:val="41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00C608E5">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1.2.2</w:t>
            </w:r>
          </w:p>
        </w:tc>
        <w:tc>
          <w:tcPr>
            <w:tcW w:w="2264" w:type="dxa"/>
            <w:tcBorders>
              <w:top w:val="single" w:color="auto" w:sz="4" w:space="0"/>
              <w:left w:val="single" w:color="auto" w:sz="4" w:space="0"/>
              <w:bottom w:val="single" w:color="auto" w:sz="4" w:space="0"/>
              <w:right w:val="single" w:color="auto" w:sz="4" w:space="0"/>
            </w:tcBorders>
            <w:vAlign w:val="center"/>
          </w:tcPr>
          <w:p w14:paraId="484FF73B">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出资比例</w:t>
            </w:r>
          </w:p>
        </w:tc>
        <w:tc>
          <w:tcPr>
            <w:tcW w:w="5963" w:type="dxa"/>
            <w:tcBorders>
              <w:top w:val="single" w:color="auto" w:sz="4" w:space="0"/>
              <w:left w:val="single" w:color="auto" w:sz="4" w:space="0"/>
              <w:bottom w:val="single" w:color="auto" w:sz="4" w:space="0"/>
              <w:right w:val="single" w:color="auto" w:sz="4" w:space="0"/>
            </w:tcBorders>
            <w:vAlign w:val="center"/>
          </w:tcPr>
          <w:p w14:paraId="3ECC7B8F">
            <w:pPr>
              <w:spacing w:before="156" w:beforeLines="50" w:line="360" w:lineRule="auto"/>
              <w:ind w:left="105" w:lef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w:t>
            </w:r>
          </w:p>
        </w:tc>
      </w:tr>
      <w:tr w14:paraId="2551A22E">
        <w:tblPrEx>
          <w:tblCellMar>
            <w:top w:w="0" w:type="dxa"/>
            <w:left w:w="0" w:type="dxa"/>
            <w:bottom w:w="0" w:type="dxa"/>
            <w:right w:w="0" w:type="dxa"/>
          </w:tblCellMar>
        </w:tblPrEx>
        <w:trPr>
          <w:trHeight w:val="42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8536BBF">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1.2.3</w:t>
            </w:r>
          </w:p>
        </w:tc>
        <w:tc>
          <w:tcPr>
            <w:tcW w:w="2264" w:type="dxa"/>
            <w:tcBorders>
              <w:top w:val="single" w:color="auto" w:sz="4" w:space="0"/>
              <w:left w:val="single" w:color="auto" w:sz="4" w:space="0"/>
              <w:bottom w:val="single" w:color="auto" w:sz="4" w:space="0"/>
              <w:right w:val="single" w:color="auto" w:sz="4" w:space="0"/>
            </w:tcBorders>
            <w:vAlign w:val="center"/>
          </w:tcPr>
          <w:p w14:paraId="53593B9A">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资金落实情况</w:t>
            </w:r>
          </w:p>
        </w:tc>
        <w:tc>
          <w:tcPr>
            <w:tcW w:w="5963" w:type="dxa"/>
            <w:tcBorders>
              <w:top w:val="single" w:color="auto" w:sz="4" w:space="0"/>
              <w:left w:val="single" w:color="auto" w:sz="4" w:space="0"/>
              <w:bottom w:val="single" w:color="auto" w:sz="4" w:space="0"/>
              <w:right w:val="single" w:color="auto" w:sz="4" w:space="0"/>
            </w:tcBorders>
            <w:vAlign w:val="center"/>
          </w:tcPr>
          <w:p w14:paraId="21506C26">
            <w:pPr>
              <w:spacing w:before="156" w:beforeLines="50" w:line="360" w:lineRule="auto"/>
              <w:ind w:left="105" w:lef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已落实。</w:t>
            </w:r>
          </w:p>
        </w:tc>
      </w:tr>
      <w:tr w14:paraId="4C670AE8">
        <w:tblPrEx>
          <w:tblCellMar>
            <w:top w:w="0" w:type="dxa"/>
            <w:left w:w="0" w:type="dxa"/>
            <w:bottom w:w="0" w:type="dxa"/>
            <w:right w:w="0" w:type="dxa"/>
          </w:tblCellMar>
        </w:tblPrEx>
        <w:trPr>
          <w:trHeight w:val="5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7C79747">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w:t>
            </w:r>
          </w:p>
        </w:tc>
        <w:tc>
          <w:tcPr>
            <w:tcW w:w="2264" w:type="dxa"/>
            <w:tcBorders>
              <w:top w:val="single" w:color="auto" w:sz="4" w:space="0"/>
              <w:left w:val="single" w:color="auto" w:sz="4" w:space="0"/>
              <w:bottom w:val="single" w:color="auto" w:sz="4" w:space="0"/>
              <w:right w:val="single" w:color="auto" w:sz="4" w:space="0"/>
            </w:tcBorders>
            <w:vAlign w:val="center"/>
          </w:tcPr>
          <w:p w14:paraId="4F034D18">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采购内容</w:t>
            </w:r>
          </w:p>
        </w:tc>
        <w:tc>
          <w:tcPr>
            <w:tcW w:w="5963" w:type="dxa"/>
            <w:tcBorders>
              <w:top w:val="single" w:color="auto" w:sz="4" w:space="0"/>
              <w:left w:val="single" w:color="auto" w:sz="4" w:space="0"/>
              <w:bottom w:val="single" w:color="auto" w:sz="4" w:space="0"/>
              <w:right w:val="single" w:color="auto" w:sz="4" w:space="0"/>
            </w:tcBorders>
            <w:vAlign w:val="center"/>
          </w:tcPr>
          <w:p w14:paraId="7CD355EE">
            <w:pPr>
              <w:spacing w:line="360" w:lineRule="auto"/>
              <w:ind w:left="105" w:leftChars="50" w:right="105" w:rightChars="5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根据</w:t>
            </w:r>
            <w:r>
              <w:rPr>
                <w:rFonts w:hint="eastAsia" w:asciiTheme="minorEastAsia" w:hAnsiTheme="minorEastAsia" w:eastAsiaTheme="minorEastAsia"/>
                <w:color w:val="auto"/>
                <w:szCs w:val="21"/>
                <w:highlight w:val="none"/>
                <w:lang w:eastAsia="zh-CN"/>
              </w:rPr>
              <w:t>昆明高新技术产业开发区第四小学</w:t>
            </w:r>
            <w:r>
              <w:rPr>
                <w:rFonts w:hint="eastAsia" w:asciiTheme="minorEastAsia" w:hAnsiTheme="minorEastAsia" w:eastAsiaTheme="minorEastAsia"/>
                <w:color w:val="auto"/>
                <w:szCs w:val="21"/>
                <w:highlight w:val="none"/>
              </w:rPr>
              <w:t>要求，为学校食堂配送物资，种类包括：大米、面粉、食用油、肉类、禽蛋类、蔬菜类、豆制品、干菜类、调味品、</w:t>
            </w:r>
            <w:r>
              <w:rPr>
                <w:rFonts w:hint="eastAsia" w:asciiTheme="minorEastAsia" w:hAnsiTheme="minorEastAsia" w:eastAsiaTheme="minorEastAsia"/>
                <w:color w:val="auto"/>
                <w:szCs w:val="21"/>
                <w:highlight w:val="none"/>
                <w:lang w:val="en-US" w:eastAsia="zh-CN"/>
              </w:rPr>
              <w:t>牛奶、</w:t>
            </w:r>
            <w:r>
              <w:rPr>
                <w:rFonts w:hint="eastAsia" w:asciiTheme="minorEastAsia" w:hAnsiTheme="minorEastAsia" w:eastAsiaTheme="minorEastAsia"/>
                <w:color w:val="auto"/>
                <w:szCs w:val="21"/>
                <w:highlight w:val="none"/>
              </w:rPr>
              <w:t>其他等（配送物资的种类须包含但不局限于以上内容），</w:t>
            </w:r>
            <w:r>
              <w:rPr>
                <w:rFonts w:hint="eastAsia" w:asciiTheme="minorEastAsia" w:hAnsiTheme="minorEastAsia" w:eastAsiaTheme="minorEastAsia"/>
                <w:color w:val="auto"/>
                <w:szCs w:val="21"/>
                <w:highlight w:val="none"/>
                <w:lang w:val="en-US" w:eastAsia="zh-CN"/>
              </w:rPr>
              <w:t>采购人</w:t>
            </w:r>
            <w:r>
              <w:rPr>
                <w:rFonts w:hint="eastAsia" w:asciiTheme="minorEastAsia" w:hAnsiTheme="minorEastAsia" w:eastAsiaTheme="minorEastAsia"/>
                <w:color w:val="auto"/>
                <w:szCs w:val="21"/>
                <w:highlight w:val="none"/>
              </w:rPr>
              <w:t>不接受经过冷冻保存的食材</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具体内容在本竞争性磋商文件第五章《采购需求》。</w:t>
            </w:r>
          </w:p>
        </w:tc>
      </w:tr>
      <w:tr w14:paraId="34D8B848">
        <w:tblPrEx>
          <w:tblCellMar>
            <w:top w:w="0" w:type="dxa"/>
            <w:left w:w="0" w:type="dxa"/>
            <w:bottom w:w="0" w:type="dxa"/>
            <w:right w:w="0" w:type="dxa"/>
          </w:tblCellMar>
        </w:tblPrEx>
        <w:trPr>
          <w:trHeight w:val="31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81A478A">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w:t>
            </w:r>
            <w:r>
              <w:rPr>
                <w:rFonts w:asciiTheme="minorEastAsia" w:hAnsiTheme="minorEastAsia" w:eastAsiaTheme="minorEastAsia"/>
                <w:color w:val="auto"/>
                <w:szCs w:val="21"/>
                <w:highlight w:val="none"/>
              </w:rPr>
              <w:t>2</w:t>
            </w:r>
          </w:p>
        </w:tc>
        <w:tc>
          <w:tcPr>
            <w:tcW w:w="2264" w:type="dxa"/>
            <w:tcBorders>
              <w:top w:val="single" w:color="auto" w:sz="4" w:space="0"/>
              <w:left w:val="single" w:color="auto" w:sz="4" w:space="0"/>
              <w:bottom w:val="single" w:color="auto" w:sz="4" w:space="0"/>
              <w:right w:val="single" w:color="auto" w:sz="4" w:space="0"/>
            </w:tcBorders>
            <w:vAlign w:val="center"/>
          </w:tcPr>
          <w:p w14:paraId="13374A22">
            <w:pPr>
              <w:pStyle w:val="148"/>
              <w:spacing w:before="156" w:beforeLines="50" w:line="360" w:lineRule="auto"/>
              <w:jc w:val="center"/>
              <w:rPr>
                <w:rFonts w:hint="eastAsia"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szCs w:val="21"/>
                <w:highlight w:val="none"/>
                <w:lang w:val="en-US" w:eastAsia="zh-CN"/>
              </w:rPr>
              <w:t>合同履行期限</w:t>
            </w:r>
          </w:p>
        </w:tc>
        <w:tc>
          <w:tcPr>
            <w:tcW w:w="5963" w:type="dxa"/>
            <w:tcBorders>
              <w:top w:val="single" w:color="auto" w:sz="4" w:space="0"/>
              <w:left w:val="single" w:color="auto" w:sz="4" w:space="0"/>
              <w:bottom w:val="single" w:color="auto" w:sz="4" w:space="0"/>
              <w:right w:val="single" w:color="auto" w:sz="4" w:space="0"/>
            </w:tcBorders>
            <w:vAlign w:val="center"/>
          </w:tcPr>
          <w:p w14:paraId="4B23BB64">
            <w:pPr>
              <w:spacing w:before="156" w:beforeLines="50" w:line="360" w:lineRule="auto"/>
              <w:ind w:left="105" w:leftChars="50" w:right="105" w:rightChars="5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合同签订之日起至2027年04月30日止（以实际履行期限为准）。</w:t>
            </w:r>
          </w:p>
        </w:tc>
      </w:tr>
      <w:tr w14:paraId="4B73C035">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9226A89">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w:t>
            </w:r>
            <w:r>
              <w:rPr>
                <w:rFonts w:asciiTheme="minorEastAsia" w:hAnsiTheme="minorEastAsia" w:eastAsiaTheme="minorEastAsia"/>
                <w:color w:val="auto"/>
                <w:szCs w:val="21"/>
                <w:highlight w:val="none"/>
              </w:rPr>
              <w:t>3</w:t>
            </w:r>
          </w:p>
        </w:tc>
        <w:tc>
          <w:tcPr>
            <w:tcW w:w="2264" w:type="dxa"/>
            <w:tcBorders>
              <w:top w:val="single" w:color="auto" w:sz="4" w:space="0"/>
              <w:left w:val="single" w:color="auto" w:sz="4" w:space="0"/>
              <w:bottom w:val="single" w:color="auto" w:sz="4" w:space="0"/>
              <w:right w:val="single" w:color="auto" w:sz="4" w:space="0"/>
            </w:tcBorders>
            <w:vAlign w:val="center"/>
          </w:tcPr>
          <w:p w14:paraId="385DF571">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质量要求</w:t>
            </w:r>
          </w:p>
        </w:tc>
        <w:tc>
          <w:tcPr>
            <w:tcW w:w="5963" w:type="dxa"/>
            <w:tcBorders>
              <w:top w:val="single" w:color="auto" w:sz="4" w:space="0"/>
              <w:left w:val="single" w:color="auto" w:sz="4" w:space="0"/>
              <w:bottom w:val="single" w:color="auto" w:sz="4" w:space="0"/>
              <w:right w:val="single" w:color="auto" w:sz="4" w:space="0"/>
            </w:tcBorders>
            <w:vAlign w:val="center"/>
          </w:tcPr>
          <w:p w14:paraId="079DCAA5">
            <w:pPr>
              <w:pStyle w:val="14"/>
              <w:spacing w:before="156" w:beforeLines="50" w:line="360" w:lineRule="auto"/>
              <w:ind w:left="105" w:leftChars="50" w:right="105" w:rightChars="50" w:firstLine="0"/>
              <w:rPr>
                <w:rFonts w:hint="eastAsia" w:ascii="宋体" w:hAnsi="宋体" w:cs="宋体"/>
                <w:color w:val="auto"/>
                <w:szCs w:val="21"/>
                <w:highlight w:val="none"/>
              </w:rPr>
            </w:pPr>
            <w:r>
              <w:rPr>
                <w:rFonts w:hint="eastAsia" w:ascii="宋体" w:hAnsi="宋体" w:cs="宋体"/>
                <w:color w:val="auto"/>
                <w:szCs w:val="21"/>
                <w:highlight w:val="none"/>
                <w:lang w:val="en-US" w:eastAsia="zh-CN"/>
              </w:rPr>
              <w:t>产品质量必须达到国家合格产品质量标准，符合《中华人民共和国产品质量法》、《中华人民共和国食品安全法》、《中华人民共和国食品安全法实施条例》等国家、行业规定及竞争性磋商文件和采购人的需求。</w:t>
            </w:r>
          </w:p>
        </w:tc>
      </w:tr>
      <w:tr w14:paraId="3BA9EA39">
        <w:tblPrEx>
          <w:tblCellMar>
            <w:top w:w="0" w:type="dxa"/>
            <w:left w:w="0" w:type="dxa"/>
            <w:bottom w:w="0" w:type="dxa"/>
            <w:right w:w="0" w:type="dxa"/>
          </w:tblCellMar>
        </w:tblPrEx>
        <w:trPr>
          <w:trHeight w:val="46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2A187CC">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w:t>
            </w:r>
            <w:r>
              <w:rPr>
                <w:rFonts w:asciiTheme="minorEastAsia" w:hAnsiTheme="minorEastAsia" w:eastAsiaTheme="minorEastAsia"/>
                <w:color w:val="auto"/>
                <w:szCs w:val="21"/>
                <w:highlight w:val="none"/>
              </w:rPr>
              <w:t>4</w:t>
            </w:r>
          </w:p>
        </w:tc>
        <w:tc>
          <w:tcPr>
            <w:tcW w:w="2264" w:type="dxa"/>
            <w:tcBorders>
              <w:top w:val="single" w:color="auto" w:sz="4" w:space="0"/>
              <w:left w:val="single" w:color="auto" w:sz="4" w:space="0"/>
              <w:bottom w:val="single" w:color="auto" w:sz="4" w:space="0"/>
              <w:right w:val="single" w:color="auto" w:sz="4" w:space="0"/>
            </w:tcBorders>
            <w:vAlign w:val="center"/>
          </w:tcPr>
          <w:p w14:paraId="79E36F14">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包件划分</w:t>
            </w:r>
          </w:p>
        </w:tc>
        <w:tc>
          <w:tcPr>
            <w:tcW w:w="5963" w:type="dxa"/>
            <w:tcBorders>
              <w:top w:val="single" w:color="auto" w:sz="4" w:space="0"/>
              <w:left w:val="single" w:color="auto" w:sz="4" w:space="0"/>
              <w:bottom w:val="single" w:color="auto" w:sz="4" w:space="0"/>
              <w:right w:val="single" w:color="auto" w:sz="4" w:space="0"/>
            </w:tcBorders>
            <w:vAlign w:val="center"/>
          </w:tcPr>
          <w:p w14:paraId="25294788">
            <w:pPr>
              <w:spacing w:before="156" w:beforeLines="50" w:line="360" w:lineRule="auto"/>
              <w:ind w:left="105" w:lef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本项目不划分包件。</w:t>
            </w:r>
          </w:p>
        </w:tc>
      </w:tr>
      <w:tr w14:paraId="25B9070F">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008B60EE">
            <w:pPr>
              <w:wordWrap w:val="0"/>
              <w:autoSpaceDE w:val="0"/>
              <w:autoSpaceDN w:val="0"/>
              <w:spacing w:after="100" w:afterAutospacing="1"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1.4.1</w:t>
            </w:r>
          </w:p>
        </w:tc>
        <w:tc>
          <w:tcPr>
            <w:tcW w:w="2264" w:type="dxa"/>
            <w:tcBorders>
              <w:top w:val="single" w:color="auto" w:sz="4" w:space="0"/>
              <w:left w:val="single" w:color="auto" w:sz="4" w:space="0"/>
              <w:bottom w:val="single" w:color="auto" w:sz="4" w:space="0"/>
              <w:right w:val="single" w:color="auto" w:sz="4" w:space="0"/>
            </w:tcBorders>
            <w:vAlign w:val="center"/>
          </w:tcPr>
          <w:p w14:paraId="7E12443A">
            <w:pPr>
              <w:autoSpaceDE w:val="0"/>
              <w:autoSpaceDN w:val="0"/>
              <w:spacing w:after="100" w:afterAutospacing="1" w:line="360" w:lineRule="auto"/>
              <w:ind w:left="105" w:leftChars="50" w:right="105" w:rightChars="50"/>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供应商资格要求</w:t>
            </w:r>
          </w:p>
        </w:tc>
        <w:tc>
          <w:tcPr>
            <w:tcW w:w="5963" w:type="dxa"/>
            <w:tcBorders>
              <w:top w:val="single" w:color="auto" w:sz="4" w:space="0"/>
              <w:left w:val="single" w:color="auto" w:sz="4" w:space="0"/>
              <w:bottom w:val="single" w:color="auto" w:sz="4" w:space="0"/>
              <w:right w:val="single" w:color="auto" w:sz="4" w:space="0"/>
            </w:tcBorders>
            <w:vAlign w:val="center"/>
          </w:tcPr>
          <w:p w14:paraId="5286F642">
            <w:pPr>
              <w:spacing w:line="360" w:lineRule="auto"/>
              <w:ind w:firstLine="420" w:firstLineChars="200"/>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1.满足《中华人民共和国政府采购法》第二十二条规定；</w:t>
            </w:r>
          </w:p>
          <w:p w14:paraId="4D93A751">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1.1具有独立承担民事责任的能力：提供法人或者其他组织的营业执照等证明文件或自然人的身份证明（复印件加盖公章）。</w:t>
            </w:r>
          </w:p>
          <w:p w14:paraId="740F51C3">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1.2具有健全的财务会计制度：</w:t>
            </w:r>
            <w:r>
              <w:rPr>
                <w:rFonts w:hint="eastAsia" w:asciiTheme="minorEastAsia" w:hAnsiTheme="minorEastAsia" w:eastAsiaTheme="minorEastAsia"/>
                <w:color w:val="auto"/>
                <w:szCs w:val="21"/>
                <w:highlight w:val="none"/>
                <w:lang w:eastAsia="zh-CN"/>
              </w:rPr>
              <w:t>提供202</w:t>
            </w:r>
            <w:r>
              <w:rPr>
                <w:rFonts w:hint="eastAsia" w:asciiTheme="minorEastAsia" w:hAnsiTheme="minorEastAsia" w:eastAsiaTheme="minorEastAsia"/>
                <w:color w:val="auto"/>
                <w:szCs w:val="21"/>
                <w:highlight w:val="none"/>
                <w:lang w:val="en-US" w:eastAsia="zh-CN"/>
              </w:rPr>
              <w:t>4年</w:t>
            </w:r>
            <w:r>
              <w:rPr>
                <w:rFonts w:hint="eastAsia" w:asciiTheme="minorEastAsia" w:hAnsiTheme="minorEastAsia" w:eastAsiaTheme="minorEastAsia"/>
                <w:color w:val="auto"/>
                <w:szCs w:val="21"/>
                <w:highlight w:val="none"/>
                <w:lang w:eastAsia="zh-CN"/>
              </w:rPr>
              <w:t>至今任意一年经审计的财务报告或其基本开户银行出具的资信证明或财政部门认可的政府采购专业担保机构出具的投标担保函；工商登记注册之日起至投标截止时间不满一年的需提供自成立至今的财务报表或承诺书（</w:t>
            </w:r>
            <w:r>
              <w:rPr>
                <w:rFonts w:hint="eastAsia" w:asciiTheme="minorEastAsia" w:hAnsiTheme="minorEastAsia" w:eastAsiaTheme="minorEastAsia"/>
                <w:color w:val="auto"/>
                <w:szCs w:val="21"/>
                <w:highlight w:val="none"/>
                <w:lang w:val="en-US" w:eastAsia="zh-CN"/>
              </w:rPr>
              <w:t>原件扫描件</w:t>
            </w:r>
            <w:r>
              <w:rPr>
                <w:rFonts w:hint="eastAsia" w:asciiTheme="minorEastAsia" w:hAnsiTheme="minorEastAsia" w:eastAsiaTheme="minorEastAsia"/>
                <w:color w:val="auto"/>
                <w:szCs w:val="21"/>
                <w:highlight w:val="none"/>
                <w:lang w:eastAsia="zh-CN"/>
              </w:rPr>
              <w:t>加盖公章）。</w:t>
            </w:r>
          </w:p>
          <w:p w14:paraId="59459F54">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1.3具有履行合同所必需的设备和专业技术能力：</w:t>
            </w:r>
            <w:r>
              <w:rPr>
                <w:rFonts w:hint="eastAsia" w:asciiTheme="minorEastAsia" w:hAnsiTheme="minorEastAsia" w:eastAsiaTheme="minorEastAsia"/>
                <w:color w:val="auto"/>
                <w:szCs w:val="21"/>
                <w:highlight w:val="none"/>
                <w:lang w:eastAsia="zh-CN"/>
              </w:rPr>
              <w:t>提供具备履行合同所必需的设备和专业技术能力的证明材料</w:t>
            </w:r>
            <w:r>
              <w:rPr>
                <w:rFonts w:hint="eastAsia" w:asciiTheme="minorEastAsia" w:hAnsiTheme="minorEastAsia" w:eastAsiaTheme="minorEastAsia"/>
                <w:color w:val="auto"/>
                <w:szCs w:val="21"/>
                <w:highlight w:val="none"/>
                <w:lang w:val="en-US" w:eastAsia="zh-CN"/>
              </w:rPr>
              <w:t>或书面声明</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原件加盖公章</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w:t>
            </w:r>
          </w:p>
          <w:p w14:paraId="5896248E">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1.4有依法缴纳税收和社会保障资金的良好记录：①提供2025年01月至今任意3个月依法缴纳税收的证明(成立未满1个月的提供成立以来的税收缴纳凭据；依法免税的供应商，应提供相应文件证明其依法免税)（复印件加盖公章）。</w:t>
            </w:r>
          </w:p>
          <w:p w14:paraId="32626440">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②提供2025年01月至今任意3个月依法缴纳社会保障资金的证明(成立未满1个月的提供成立以来社会保障资金缴纳凭据；依法不需要缴纳社会保障资金的供应商，应提供相应文件证明其依法不需要缴纳社会保障资金)（复印件加盖公章）。</w:t>
            </w:r>
          </w:p>
          <w:p w14:paraId="54927197">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1.5参加政府采购活动前三年内，在经营活动中没有重大违法记录：提供参加政府采购活动前三年内在经营活动中没有重大违法记录的书面声明。</w:t>
            </w:r>
          </w:p>
          <w:p w14:paraId="252C2008">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1.6法律、行政法规规定的其他条件。</w:t>
            </w:r>
          </w:p>
          <w:p w14:paraId="0F5E0F8A">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1.6.1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6CBE785">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1.6.2信誉要求：①在递交响应文件时，供应商的投标资格未被依法暂停或者被取消，未处于被责令停产停业、暂扣或者吊销执照，未进入清算程序或被宣告破产，无较大数额罚款等行政处罚，无其他丧失履约能力的情形(提供书面承诺);</w:t>
            </w:r>
          </w:p>
          <w:p w14:paraId="2CC80E0C">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②供应商在国家企业信用信息公示系统(http://www.gsxt.gov.cn/)中没有被列入严重违法失信名单(黑名单)信息；在“信用中国”网站(http://www.creditchina.gov.cn/)或“中国执行信息公开网”网站(http://zxgk.court.gov.cn/)中没有被列入失信被执行人名单;在中国政府采购网（www.ccgp.gov.cn）政府采购严重违法失信行为记录名单中无不良信息记录（查询时间为本公告发布之日起至提交响应文件截止时间止，查询结果以采购人、采购代理机构查询结果为准，并将查询记录和证据留存）。</w:t>
            </w:r>
          </w:p>
          <w:p w14:paraId="5F343059">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2.落实政府采购政策需满足的资</w:t>
            </w:r>
            <w:r>
              <w:rPr>
                <w:rFonts w:hint="eastAsia" w:asciiTheme="minorEastAsia" w:hAnsiTheme="minorEastAsia" w:eastAsiaTheme="minorEastAsia"/>
                <w:color w:val="auto"/>
                <w:szCs w:val="21"/>
                <w:highlight w:val="none"/>
              </w:rPr>
              <w:t>格要求：</w:t>
            </w:r>
            <w:r>
              <w:rPr>
                <w:rFonts w:hint="eastAsia" w:asciiTheme="minorEastAsia" w:hAnsiTheme="minorEastAsia" w:eastAsiaTheme="minorEastAsia"/>
                <w:color w:val="auto"/>
                <w:szCs w:val="21"/>
                <w:highlight w:val="none"/>
                <w:lang w:eastAsia="zh-CN"/>
              </w:rPr>
              <w:t>本项目专门面向中小企业采购</w:t>
            </w:r>
            <w:r>
              <w:rPr>
                <w:rFonts w:hint="eastAsia" w:asciiTheme="minorEastAsia" w:hAnsiTheme="minorEastAsia" w:eastAsiaTheme="minorEastAsia"/>
                <w:color w:val="auto"/>
                <w:szCs w:val="21"/>
                <w:highlight w:val="none"/>
                <w:lang w:val="en-US" w:eastAsia="zh-CN"/>
              </w:rPr>
              <w:t>。</w:t>
            </w:r>
          </w:p>
          <w:p w14:paraId="05BAAC56">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3.本项目的特定资格要求：</w:t>
            </w:r>
          </w:p>
          <w:p w14:paraId="24802D8D">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3.1供应商需具有有效的《食品经营许可证》，若供应商为生产企业的须提供《食品生产许可证》（原件扫描件加盖公章）。</w:t>
            </w:r>
          </w:p>
          <w:p w14:paraId="22962557">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3.2近三年在经营活动中无食品安全事故发生事件，供应商提供书面承诺(加盖公章)。</w:t>
            </w:r>
          </w:p>
          <w:p w14:paraId="11061637">
            <w:pPr>
              <w:spacing w:line="360" w:lineRule="auto"/>
              <w:ind w:firstLine="420" w:firstLineChars="200"/>
              <w:rPr>
                <w:rFonts w:hint="eastAsia" w:ascii="宋体" w:hAnsi="宋体" w:cs="宋体"/>
                <w:bCs/>
                <w:color w:val="auto"/>
                <w:highlight w:val="none"/>
              </w:rPr>
            </w:pPr>
            <w:r>
              <w:rPr>
                <w:rFonts w:hint="eastAsia" w:asciiTheme="minorEastAsia" w:hAnsiTheme="minorEastAsia" w:eastAsiaTheme="minorEastAsia"/>
                <w:color w:val="auto"/>
                <w:szCs w:val="21"/>
                <w:highlight w:val="none"/>
                <w:lang w:val="en-US" w:eastAsia="zh-CN"/>
              </w:rPr>
              <w:t>3.3供应商不允许以任何形式转包、转租，若供应商虚假承诺，一经查实，取消成交资格，供应商提供书面承诺(加盖公章)。</w:t>
            </w:r>
          </w:p>
        </w:tc>
      </w:tr>
      <w:tr w14:paraId="1CF11379">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6508EA2">
            <w:pPr>
              <w:wordWrap w:val="0"/>
              <w:autoSpaceDE w:val="0"/>
              <w:autoSpaceDN w:val="0"/>
              <w:spacing w:before="60" w:after="60"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1.4.2</w:t>
            </w:r>
          </w:p>
        </w:tc>
        <w:tc>
          <w:tcPr>
            <w:tcW w:w="2264" w:type="dxa"/>
            <w:tcBorders>
              <w:top w:val="single" w:color="auto" w:sz="4" w:space="0"/>
              <w:left w:val="single" w:color="auto" w:sz="4" w:space="0"/>
              <w:bottom w:val="single" w:color="auto" w:sz="4" w:space="0"/>
              <w:right w:val="single" w:color="auto" w:sz="4" w:space="0"/>
            </w:tcBorders>
            <w:vAlign w:val="center"/>
          </w:tcPr>
          <w:p w14:paraId="1B7CC1EF">
            <w:pPr>
              <w:wordWrap w:val="0"/>
              <w:autoSpaceDE w:val="0"/>
              <w:autoSpaceDN w:val="0"/>
              <w:spacing w:before="60" w:after="60"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其它内容</w:t>
            </w:r>
          </w:p>
        </w:tc>
        <w:tc>
          <w:tcPr>
            <w:tcW w:w="5963" w:type="dxa"/>
            <w:tcBorders>
              <w:top w:val="single" w:color="auto" w:sz="4" w:space="0"/>
              <w:left w:val="single" w:color="auto" w:sz="4" w:space="0"/>
              <w:bottom w:val="single" w:color="auto" w:sz="4" w:space="0"/>
              <w:right w:val="single" w:color="auto" w:sz="4" w:space="0"/>
            </w:tcBorders>
            <w:vAlign w:val="center"/>
          </w:tcPr>
          <w:p w14:paraId="1C28A294">
            <w:pPr>
              <w:pStyle w:val="14"/>
              <w:wordWrap w:val="0"/>
              <w:topLinePunct/>
              <w:spacing w:before="156" w:beforeLines="50" w:line="360" w:lineRule="auto"/>
              <w:ind w:left="105" w:leftChars="50" w:right="105" w:rightChars="50" w:firstLine="0"/>
              <w:rPr>
                <w:rFonts w:hint="eastAsia" w:ascii="宋体" w:hAnsi="宋体" w:cs="宋体"/>
                <w:color w:val="auto"/>
                <w:szCs w:val="21"/>
                <w:highlight w:val="none"/>
              </w:rPr>
            </w:pPr>
            <w:r>
              <w:rPr>
                <w:rFonts w:hint="eastAsia" w:asciiTheme="minorEastAsia" w:hAnsiTheme="minorEastAsia" w:eastAsiaTheme="minorEastAsia"/>
                <w:color w:val="auto"/>
                <w:szCs w:val="21"/>
                <w:highlight w:val="none"/>
              </w:rPr>
              <w:t>1.发布公告的媒介：云南省政府采购网（网址：</w:t>
            </w:r>
            <w:r>
              <w:rPr>
                <w:color w:val="auto"/>
                <w:highlight w:val="none"/>
              </w:rPr>
              <w:fldChar w:fldCharType="begin"/>
            </w:r>
            <w:r>
              <w:rPr>
                <w:color w:val="auto"/>
                <w:highlight w:val="none"/>
              </w:rPr>
              <w:instrText xml:space="preserve"> HYPERLINK "http://www.yngp.com/" </w:instrText>
            </w:r>
            <w:r>
              <w:rPr>
                <w:color w:val="auto"/>
                <w:highlight w:val="none"/>
              </w:rPr>
              <w:fldChar w:fldCharType="separate"/>
            </w:r>
            <w:r>
              <w:rPr>
                <w:rStyle w:val="61"/>
                <w:rFonts w:hint="eastAsia" w:asciiTheme="minorEastAsia" w:hAnsiTheme="minorEastAsia" w:eastAsiaTheme="minorEastAsia"/>
                <w:color w:val="auto"/>
                <w:szCs w:val="21"/>
                <w:highlight w:val="none"/>
                <w:u w:val="none"/>
              </w:rPr>
              <w:t>http://www.yngp.com/</w:t>
            </w:r>
            <w:r>
              <w:rPr>
                <w:rStyle w:val="61"/>
                <w:rFonts w:hint="eastAsia" w:asciiTheme="minorEastAsia" w:hAnsiTheme="minorEastAsia" w:eastAsiaTheme="minorEastAsia"/>
                <w:color w:val="auto"/>
                <w:szCs w:val="21"/>
                <w:highlight w:val="none"/>
                <w:u w:val="none"/>
              </w:rPr>
              <w:fldChar w:fldCharType="end"/>
            </w:r>
            <w:r>
              <w:rPr>
                <w:rFonts w:hint="eastAsia" w:asciiTheme="minorEastAsia" w:hAnsiTheme="minorEastAsia" w:eastAsiaTheme="minorEastAsia"/>
                <w:color w:val="auto"/>
                <w:szCs w:val="21"/>
                <w:highlight w:val="none"/>
              </w:rPr>
              <w:t>）。</w:t>
            </w:r>
          </w:p>
          <w:p w14:paraId="5DF1B672">
            <w:pPr>
              <w:wordWrap w:val="0"/>
              <w:topLinePunct/>
              <w:spacing w:line="360" w:lineRule="auto"/>
              <w:ind w:left="105" w:leftChars="50" w:right="105" w:rightChars="50"/>
              <w:rPr>
                <w:color w:val="auto"/>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信誉要求：</w:t>
            </w:r>
            <w:r>
              <w:rPr>
                <w:rFonts w:hint="eastAsia" w:asciiTheme="minorEastAsia" w:hAnsiTheme="minorEastAsia" w:eastAsiaTheme="minorEastAsia"/>
                <w:color w:val="auto"/>
                <w:szCs w:val="21"/>
                <w:highlight w:val="none"/>
                <w:lang w:val="en-US" w:eastAsia="zh-CN"/>
              </w:rPr>
              <w:t>供应商在国家企业信用信息公示系统(http://www.gsxt.gov.cn/)中没有被列入严重违法失信名单(黑名单)信息；在“信用中国”网站(http://www.creditchina.gov.cn/)或“中国执行信息公开网”网站(http://zxgk.court.gov.cn/)中没有被列入失信被执行人名单;在中国政府采购网（www.ccgp.gov.cn）政府采购严重违法失信行为记录名单中无不良信息记录</w:t>
            </w:r>
            <w:r>
              <w:rPr>
                <w:rFonts w:hint="eastAsia" w:asciiTheme="minorEastAsia" w:hAnsiTheme="minorEastAsia" w:eastAsiaTheme="minorEastAsia"/>
                <w:color w:val="auto"/>
                <w:szCs w:val="21"/>
                <w:highlight w:val="none"/>
              </w:rPr>
              <w:t>（评审前采购人或采购代理机构将通过相关网站查询，并留存网站查询结果截图或打印件，提供给磋商小组）。</w:t>
            </w:r>
          </w:p>
        </w:tc>
      </w:tr>
      <w:tr w14:paraId="2A99874A">
        <w:tblPrEx>
          <w:tblCellMar>
            <w:top w:w="0" w:type="dxa"/>
            <w:left w:w="0" w:type="dxa"/>
            <w:bottom w:w="0" w:type="dxa"/>
            <w:right w:w="0" w:type="dxa"/>
          </w:tblCellMar>
        </w:tblPrEx>
        <w:trPr>
          <w:trHeight w:val="41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784DD8D">
            <w:pPr>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1.4.3</w:t>
            </w:r>
          </w:p>
        </w:tc>
        <w:tc>
          <w:tcPr>
            <w:tcW w:w="2264" w:type="dxa"/>
            <w:tcBorders>
              <w:top w:val="single" w:color="auto" w:sz="4" w:space="0"/>
              <w:left w:val="single" w:color="auto" w:sz="4" w:space="0"/>
              <w:bottom w:val="single" w:color="auto" w:sz="4" w:space="0"/>
              <w:right w:val="single" w:color="auto" w:sz="4" w:space="0"/>
            </w:tcBorders>
            <w:vAlign w:val="center"/>
          </w:tcPr>
          <w:p w14:paraId="6F3446D5">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是否接受联</w:t>
            </w:r>
          </w:p>
          <w:p w14:paraId="438E46B3">
            <w:pPr>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合体投标</w:t>
            </w:r>
          </w:p>
        </w:tc>
        <w:tc>
          <w:tcPr>
            <w:tcW w:w="5963" w:type="dxa"/>
            <w:tcBorders>
              <w:top w:val="single" w:color="auto" w:sz="4" w:space="0"/>
              <w:left w:val="single" w:color="auto" w:sz="4" w:space="0"/>
              <w:bottom w:val="single" w:color="auto" w:sz="4" w:space="0"/>
              <w:right w:val="single" w:color="auto" w:sz="4" w:space="0"/>
            </w:tcBorders>
            <w:vAlign w:val="center"/>
          </w:tcPr>
          <w:p w14:paraId="443B1B77">
            <w:pPr>
              <w:spacing w:before="156" w:beforeLines="50" w:line="360" w:lineRule="auto"/>
              <w:ind w:left="105" w:leftChars="50" w:right="105" w:rightChars="5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本项目</w:t>
            </w:r>
            <w:r>
              <w:rPr>
                <w:rFonts w:hint="eastAsia" w:asciiTheme="minorEastAsia" w:hAnsiTheme="minorEastAsia" w:eastAsiaTheme="minorEastAsia"/>
                <w:color w:val="auto"/>
                <w:szCs w:val="21"/>
                <w:highlight w:val="none"/>
              </w:rPr>
              <w:t>不</w:t>
            </w:r>
            <w:r>
              <w:rPr>
                <w:rFonts w:asciiTheme="minorEastAsia" w:hAnsiTheme="minorEastAsia" w:eastAsiaTheme="minorEastAsia"/>
                <w:color w:val="auto"/>
                <w:szCs w:val="21"/>
                <w:highlight w:val="none"/>
              </w:rPr>
              <w:t>接受联合体投标。</w:t>
            </w:r>
          </w:p>
        </w:tc>
      </w:tr>
      <w:tr w14:paraId="486046ED">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EE7DA4D">
            <w:pPr>
              <w:wordWrap w:val="0"/>
              <w:autoSpaceDE w:val="0"/>
              <w:autoSpaceDN w:val="0"/>
              <w:spacing w:before="60" w:after="60"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w:t>
            </w:r>
          </w:p>
        </w:tc>
        <w:tc>
          <w:tcPr>
            <w:tcW w:w="2264" w:type="dxa"/>
            <w:tcBorders>
              <w:top w:val="single" w:color="auto" w:sz="4" w:space="0"/>
              <w:left w:val="single" w:color="auto" w:sz="4" w:space="0"/>
              <w:bottom w:val="single" w:color="auto" w:sz="4" w:space="0"/>
              <w:right w:val="single" w:color="auto" w:sz="4" w:space="0"/>
            </w:tcBorders>
            <w:vAlign w:val="center"/>
          </w:tcPr>
          <w:p w14:paraId="7FAEB38E">
            <w:pPr>
              <w:wordWrap w:val="0"/>
              <w:autoSpaceDE w:val="0"/>
              <w:autoSpaceDN w:val="0"/>
              <w:spacing w:before="60" w:after="60"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费用承担</w:t>
            </w:r>
          </w:p>
        </w:tc>
        <w:tc>
          <w:tcPr>
            <w:tcW w:w="5963" w:type="dxa"/>
            <w:tcBorders>
              <w:top w:val="single" w:color="auto" w:sz="4" w:space="0"/>
              <w:left w:val="single" w:color="auto" w:sz="4" w:space="0"/>
              <w:bottom w:val="single" w:color="auto" w:sz="4" w:space="0"/>
              <w:right w:val="single" w:color="auto" w:sz="4" w:space="0"/>
            </w:tcBorders>
            <w:vAlign w:val="center"/>
          </w:tcPr>
          <w:p w14:paraId="0300E858">
            <w:pPr>
              <w:spacing w:before="156" w:beforeLines="50" w:line="360" w:lineRule="auto"/>
              <w:ind w:left="105" w:leftChars="50" w:right="105" w:rightChars="5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1.供应商准备和参加本项目竞争性磋商活动发生的费用自理。</w:t>
            </w:r>
          </w:p>
          <w:p w14:paraId="70FC357F">
            <w:pPr>
              <w:spacing w:line="360" w:lineRule="auto"/>
              <w:ind w:left="105" w:leftChars="50" w:right="105" w:rightChars="50"/>
              <w:rPr>
                <w:rFonts w:hint="eastAsia"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.采购代理服务费：</w:t>
            </w:r>
            <w:r>
              <w:rPr>
                <w:rFonts w:hint="eastAsia" w:ascii="宋体" w:hAnsi="宋体"/>
                <w:color w:val="auto"/>
                <w:szCs w:val="21"/>
                <w:highlight w:val="none"/>
              </w:rPr>
              <w:t>依据</w:t>
            </w:r>
            <w:r>
              <w:rPr>
                <w:rFonts w:hint="eastAsia" w:ascii="宋体" w:hAnsi="宋体"/>
                <w:color w:val="auto"/>
                <w:szCs w:val="21"/>
                <w:highlight w:val="none"/>
                <w:lang w:eastAsia="zh-CN"/>
              </w:rPr>
              <w:t>《云南省建设工程招标代理服务收费参考意见》的通知（云建招协〔2024〕58号）规定的收费标准</w:t>
            </w:r>
            <w:r>
              <w:rPr>
                <w:rFonts w:hint="eastAsia" w:ascii="宋体" w:hAnsi="宋体"/>
                <w:color w:val="auto"/>
                <w:szCs w:val="21"/>
                <w:highlight w:val="none"/>
                <w:lang w:val="en-US" w:eastAsia="zh-CN"/>
              </w:rPr>
              <w:t>收取，由成交人在领取成交通知书前一次性支付</w:t>
            </w:r>
            <w:r>
              <w:rPr>
                <w:rFonts w:hint="eastAsia" w:cs="宋体" w:asciiTheme="minorEastAsia" w:hAnsiTheme="minorEastAsia" w:eastAsiaTheme="minorEastAsia"/>
                <w:color w:val="auto"/>
                <w:szCs w:val="21"/>
                <w:highlight w:val="none"/>
              </w:rPr>
              <w:t>。</w:t>
            </w:r>
          </w:p>
          <w:p w14:paraId="116BE91C">
            <w:pPr>
              <w:spacing w:line="360" w:lineRule="auto"/>
              <w:ind w:left="105" w:leftChars="50"/>
              <w:rPr>
                <w:rFonts w:hint="eastAsia" w:cs="宋体" w:asciiTheme="minorEastAsia" w:hAnsiTheme="minorEastAsia" w:eastAsiaTheme="minorEastAsia"/>
                <w:b/>
                <w:bCs/>
                <w:color w:val="auto"/>
                <w:szCs w:val="21"/>
                <w:highlight w:val="none"/>
                <w:lang w:eastAsia="zh-CN"/>
              </w:rPr>
            </w:pPr>
            <w:r>
              <w:rPr>
                <w:rFonts w:hint="eastAsia" w:cs="宋体" w:asciiTheme="minorEastAsia" w:hAnsiTheme="minorEastAsia" w:eastAsiaTheme="minorEastAsia"/>
                <w:b/>
                <w:bCs/>
                <w:color w:val="auto"/>
                <w:szCs w:val="21"/>
                <w:highlight w:val="none"/>
              </w:rPr>
              <w:t>账户名称：</w:t>
            </w:r>
            <w:r>
              <w:rPr>
                <w:rFonts w:hint="eastAsia" w:cs="宋体" w:asciiTheme="minorEastAsia" w:hAnsiTheme="minorEastAsia" w:eastAsiaTheme="minorEastAsia"/>
                <w:b/>
                <w:bCs/>
                <w:color w:val="auto"/>
                <w:szCs w:val="21"/>
                <w:highlight w:val="none"/>
                <w:lang w:eastAsia="zh-CN"/>
              </w:rPr>
              <w:t>云南燕国工程咨询有限公司</w:t>
            </w:r>
          </w:p>
          <w:p w14:paraId="73DA94C3">
            <w:pPr>
              <w:spacing w:line="360" w:lineRule="auto"/>
              <w:ind w:left="105" w:leftChars="50"/>
              <w:rPr>
                <w:rFonts w:hint="eastAsia"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开户银行：富滇银行股份有限公司昆明岔街支行</w:t>
            </w:r>
          </w:p>
          <w:p w14:paraId="2389E285">
            <w:pPr>
              <w:spacing w:line="360" w:lineRule="auto"/>
              <w:ind w:left="105" w:leftChars="50"/>
              <w:rPr>
                <w:rFonts w:hint="eastAsia"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 xml:space="preserve">账 </w:t>
            </w:r>
            <w:r>
              <w:rPr>
                <w:rFonts w:cs="宋体" w:asciiTheme="minorEastAsia" w:hAnsiTheme="minorEastAsia" w:eastAsiaTheme="minorEastAsia"/>
                <w:b/>
                <w:bCs/>
                <w:color w:val="auto"/>
                <w:szCs w:val="21"/>
                <w:highlight w:val="none"/>
              </w:rPr>
              <w:t xml:space="preserve">   </w:t>
            </w:r>
            <w:r>
              <w:rPr>
                <w:rFonts w:hint="eastAsia" w:cs="宋体" w:asciiTheme="minorEastAsia" w:hAnsiTheme="minorEastAsia" w:eastAsiaTheme="minorEastAsia"/>
                <w:b/>
                <w:bCs/>
                <w:color w:val="auto"/>
                <w:szCs w:val="21"/>
                <w:highlight w:val="none"/>
              </w:rPr>
              <w:t>号：120871905010000003586</w:t>
            </w:r>
          </w:p>
          <w:p w14:paraId="7BC3CE85">
            <w:pPr>
              <w:spacing w:line="360" w:lineRule="auto"/>
              <w:ind w:left="105" w:leftChars="50"/>
              <w:rPr>
                <w:rFonts w:hint="eastAsia" w:cs="宋体" w:asciiTheme="minorEastAsia" w:hAnsiTheme="minorEastAsia" w:eastAsiaTheme="minorEastAsia"/>
                <w:b/>
                <w:bCs/>
                <w:color w:val="auto"/>
                <w:szCs w:val="21"/>
                <w:highlight w:val="none"/>
                <w:lang w:eastAsia="zh-CN"/>
              </w:rPr>
            </w:pPr>
            <w:r>
              <w:rPr>
                <w:rFonts w:hint="eastAsia" w:cs="宋体" w:asciiTheme="minorEastAsia" w:hAnsiTheme="minorEastAsia" w:eastAsiaTheme="minorEastAsia"/>
                <w:b/>
                <w:bCs/>
                <w:color w:val="auto"/>
                <w:szCs w:val="21"/>
                <w:highlight w:val="none"/>
              </w:rPr>
              <w:t>联系电话：</w:t>
            </w:r>
            <w:r>
              <w:rPr>
                <w:rFonts w:hint="eastAsia" w:cs="宋体" w:asciiTheme="minorEastAsia" w:hAnsiTheme="minorEastAsia" w:eastAsiaTheme="minorEastAsia"/>
                <w:b/>
                <w:bCs/>
                <w:color w:val="auto"/>
                <w:szCs w:val="21"/>
                <w:highlight w:val="none"/>
                <w:lang w:eastAsia="zh-CN"/>
              </w:rPr>
              <w:t>18988445786/0871-63335201</w:t>
            </w:r>
          </w:p>
          <w:p w14:paraId="21D6CC17">
            <w:pPr>
              <w:spacing w:line="360" w:lineRule="auto"/>
              <w:ind w:left="105" w:leftChars="50" w:right="105" w:rightChars="50"/>
              <w:rPr>
                <w:color w:val="auto"/>
                <w:highlight w:val="none"/>
              </w:rPr>
            </w:pPr>
            <w:r>
              <w:rPr>
                <w:rFonts w:hint="eastAsia" w:cs="宋体" w:asciiTheme="minorEastAsia" w:hAnsiTheme="minorEastAsia" w:eastAsiaTheme="minorEastAsia"/>
                <w:color w:val="auto"/>
                <w:szCs w:val="21"/>
                <w:highlight w:val="none"/>
              </w:rPr>
              <w:t>注：付款时，在摘要栏中写明项目名称。</w:t>
            </w:r>
          </w:p>
        </w:tc>
      </w:tr>
      <w:tr w14:paraId="513FF5AF">
        <w:tblPrEx>
          <w:tblCellMar>
            <w:top w:w="0" w:type="dxa"/>
            <w:left w:w="0" w:type="dxa"/>
            <w:bottom w:w="0" w:type="dxa"/>
            <w:right w:w="0" w:type="dxa"/>
          </w:tblCellMar>
        </w:tblPrEx>
        <w:trPr>
          <w:trHeight w:val="41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08DD142">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.9</w:t>
            </w:r>
          </w:p>
        </w:tc>
        <w:tc>
          <w:tcPr>
            <w:tcW w:w="2264" w:type="dxa"/>
            <w:tcBorders>
              <w:top w:val="single" w:color="auto" w:sz="4" w:space="0"/>
              <w:left w:val="single" w:color="auto" w:sz="4" w:space="0"/>
              <w:bottom w:val="single" w:color="auto" w:sz="4" w:space="0"/>
              <w:right w:val="single" w:color="auto" w:sz="4" w:space="0"/>
            </w:tcBorders>
            <w:vAlign w:val="center"/>
          </w:tcPr>
          <w:p w14:paraId="4BA19EAD">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踏勘现场</w:t>
            </w:r>
          </w:p>
        </w:tc>
        <w:tc>
          <w:tcPr>
            <w:tcW w:w="5963" w:type="dxa"/>
            <w:tcBorders>
              <w:top w:val="single" w:color="auto" w:sz="4" w:space="0"/>
              <w:left w:val="single" w:color="auto" w:sz="4" w:space="0"/>
              <w:bottom w:val="single" w:color="auto" w:sz="4" w:space="0"/>
              <w:right w:val="single" w:color="auto" w:sz="4" w:space="0"/>
            </w:tcBorders>
            <w:vAlign w:val="center"/>
          </w:tcPr>
          <w:p w14:paraId="12513A8D">
            <w:pPr>
              <w:spacing w:before="156" w:beforeLines="50" w:line="360" w:lineRule="auto"/>
              <w:ind w:left="105" w:lef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不组织。</w:t>
            </w:r>
          </w:p>
        </w:tc>
      </w:tr>
      <w:tr w14:paraId="537E4215">
        <w:tblPrEx>
          <w:tblCellMar>
            <w:top w:w="0" w:type="dxa"/>
            <w:left w:w="0" w:type="dxa"/>
            <w:bottom w:w="0" w:type="dxa"/>
            <w:right w:w="0" w:type="dxa"/>
          </w:tblCellMar>
        </w:tblPrEx>
        <w:trPr>
          <w:trHeight w:val="13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DC118D6">
            <w:pPr>
              <w:wordWrap w:val="0"/>
              <w:autoSpaceDE w:val="0"/>
              <w:autoSpaceDN w:val="0"/>
              <w:spacing w:before="60" w:after="60"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1.10.2</w:t>
            </w:r>
          </w:p>
        </w:tc>
        <w:tc>
          <w:tcPr>
            <w:tcW w:w="2264" w:type="dxa"/>
            <w:tcBorders>
              <w:top w:val="single" w:color="auto" w:sz="4" w:space="0"/>
              <w:left w:val="single" w:color="auto" w:sz="4" w:space="0"/>
              <w:bottom w:val="single" w:color="auto" w:sz="4" w:space="0"/>
              <w:right w:val="single" w:color="auto" w:sz="4" w:space="0"/>
            </w:tcBorders>
            <w:vAlign w:val="center"/>
          </w:tcPr>
          <w:p w14:paraId="13E2908D">
            <w:pPr>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供应商的询问及</w:t>
            </w:r>
          </w:p>
          <w:p w14:paraId="75D03DA6">
            <w:pPr>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答复的规定</w:t>
            </w:r>
          </w:p>
        </w:tc>
        <w:tc>
          <w:tcPr>
            <w:tcW w:w="5963" w:type="dxa"/>
            <w:tcBorders>
              <w:top w:val="single" w:color="auto" w:sz="4" w:space="0"/>
              <w:left w:val="single" w:color="auto" w:sz="4" w:space="0"/>
              <w:bottom w:val="single" w:color="auto" w:sz="4" w:space="0"/>
              <w:right w:val="single" w:color="auto" w:sz="4" w:space="0"/>
            </w:tcBorders>
            <w:vAlign w:val="center"/>
          </w:tcPr>
          <w:p w14:paraId="50D9EDA2">
            <w:pPr>
              <w:pStyle w:val="139"/>
              <w:wordWrap w:val="0"/>
              <w:spacing w:before="156" w:beforeLines="50"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可以向采购人或采购代理机构提出询问或者凭企业数字证书（CA）登录政府采购云平台，通过在线方式提出询问，采购人或者采购代理机构在接到询问后的3个工作日内对供应商依法提出的询问作出答复，但答复的内容不涉及商业秘密。</w:t>
            </w:r>
          </w:p>
        </w:tc>
      </w:tr>
      <w:tr w14:paraId="2FA09F64">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DB9FE7D">
            <w:pPr>
              <w:wordWrap w:val="0"/>
              <w:autoSpaceDE w:val="0"/>
              <w:autoSpaceDN w:val="0"/>
              <w:spacing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1.10.3</w:t>
            </w:r>
          </w:p>
        </w:tc>
        <w:tc>
          <w:tcPr>
            <w:tcW w:w="2264" w:type="dxa"/>
            <w:tcBorders>
              <w:top w:val="single" w:color="auto" w:sz="4" w:space="0"/>
              <w:left w:val="single" w:color="auto" w:sz="4" w:space="0"/>
              <w:bottom w:val="single" w:color="auto" w:sz="4" w:space="0"/>
              <w:right w:val="single" w:color="auto" w:sz="4" w:space="0"/>
            </w:tcBorders>
            <w:vAlign w:val="center"/>
          </w:tcPr>
          <w:p w14:paraId="5364D99A">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采购人澄清的</w:t>
            </w:r>
          </w:p>
          <w:p w14:paraId="5EFCBAC4">
            <w:pPr>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时间和方法</w:t>
            </w:r>
          </w:p>
        </w:tc>
        <w:tc>
          <w:tcPr>
            <w:tcW w:w="5963" w:type="dxa"/>
            <w:tcBorders>
              <w:top w:val="single" w:color="auto" w:sz="4" w:space="0"/>
              <w:left w:val="single" w:color="auto" w:sz="4" w:space="0"/>
              <w:bottom w:val="single" w:color="auto" w:sz="4" w:space="0"/>
              <w:right w:val="single" w:color="auto" w:sz="4" w:space="0"/>
            </w:tcBorders>
            <w:vAlign w:val="center"/>
          </w:tcPr>
          <w:p w14:paraId="2095D888">
            <w:pPr>
              <w:pStyle w:val="139"/>
              <w:spacing w:before="156" w:beforeLines="50"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交响应文件截止时间前，采购人、采购代理机构可以对已发出的采购文件进行必要的澄清，澄清的内容作为采购文件的组成部分，并具有约束力。澄清的内容可能影响采购文件编制的，采购人、采购代理机构应在提交响应文件截止时间5日前，在政府采购云平台通知所有获取采购文件的供应商，但不指明澄清问题的来源。不足5日的，应当顺延提交响应文件截止时间。</w:t>
            </w:r>
          </w:p>
        </w:tc>
      </w:tr>
      <w:tr w14:paraId="3D860D59">
        <w:tblPrEx>
          <w:tblCellMar>
            <w:top w:w="0" w:type="dxa"/>
            <w:left w:w="0" w:type="dxa"/>
            <w:bottom w:w="0" w:type="dxa"/>
            <w:right w:w="0" w:type="dxa"/>
          </w:tblCellMar>
        </w:tblPrEx>
        <w:trPr>
          <w:trHeight w:val="42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00F8BD5">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1.11</w:t>
            </w:r>
          </w:p>
        </w:tc>
        <w:tc>
          <w:tcPr>
            <w:tcW w:w="2264" w:type="dxa"/>
            <w:tcBorders>
              <w:top w:val="single" w:color="auto" w:sz="4" w:space="0"/>
              <w:left w:val="single" w:color="auto" w:sz="4" w:space="0"/>
              <w:bottom w:val="single" w:color="auto" w:sz="4" w:space="0"/>
              <w:right w:val="single" w:color="auto" w:sz="4" w:space="0"/>
            </w:tcBorders>
            <w:vAlign w:val="center"/>
          </w:tcPr>
          <w:p w14:paraId="2F742F50">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分包</w:t>
            </w:r>
          </w:p>
        </w:tc>
        <w:tc>
          <w:tcPr>
            <w:tcW w:w="5963" w:type="dxa"/>
            <w:tcBorders>
              <w:top w:val="single" w:color="auto" w:sz="4" w:space="0"/>
              <w:left w:val="single" w:color="auto" w:sz="4" w:space="0"/>
              <w:bottom w:val="single" w:color="auto" w:sz="4" w:space="0"/>
              <w:right w:val="single" w:color="auto" w:sz="4" w:space="0"/>
            </w:tcBorders>
            <w:vAlign w:val="center"/>
          </w:tcPr>
          <w:p w14:paraId="1747EE1A">
            <w:pPr>
              <w:pStyle w:val="139"/>
              <w:spacing w:before="156" w:beforeLines="50" w:line="360" w:lineRule="auto"/>
              <w:ind w:left="105" w:lef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不允许。</w:t>
            </w:r>
          </w:p>
        </w:tc>
      </w:tr>
      <w:tr w14:paraId="65719874">
        <w:tblPrEx>
          <w:tblCellMar>
            <w:top w:w="0" w:type="dxa"/>
            <w:left w:w="0" w:type="dxa"/>
            <w:bottom w:w="0" w:type="dxa"/>
            <w:right w:w="0" w:type="dxa"/>
          </w:tblCellMar>
        </w:tblPrEx>
        <w:trPr>
          <w:trHeight w:val="41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ABAE81F">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1.12</w:t>
            </w:r>
          </w:p>
        </w:tc>
        <w:tc>
          <w:tcPr>
            <w:tcW w:w="2264" w:type="dxa"/>
            <w:tcBorders>
              <w:top w:val="single" w:color="auto" w:sz="4" w:space="0"/>
              <w:left w:val="single" w:color="auto" w:sz="4" w:space="0"/>
              <w:bottom w:val="single" w:color="auto" w:sz="4" w:space="0"/>
              <w:right w:val="single" w:color="auto" w:sz="4" w:space="0"/>
            </w:tcBorders>
            <w:vAlign w:val="center"/>
          </w:tcPr>
          <w:p w14:paraId="4F67D077">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偏离</w:t>
            </w:r>
          </w:p>
        </w:tc>
        <w:tc>
          <w:tcPr>
            <w:tcW w:w="5963" w:type="dxa"/>
            <w:tcBorders>
              <w:top w:val="single" w:color="auto" w:sz="4" w:space="0"/>
              <w:left w:val="single" w:color="auto" w:sz="4" w:space="0"/>
              <w:bottom w:val="single" w:color="auto" w:sz="4" w:space="0"/>
              <w:right w:val="single" w:color="auto" w:sz="4" w:space="0"/>
            </w:tcBorders>
            <w:vAlign w:val="center"/>
          </w:tcPr>
          <w:p w14:paraId="5CB551F3">
            <w:pPr>
              <w:pStyle w:val="139"/>
              <w:spacing w:line="360" w:lineRule="auto"/>
              <w:ind w:left="105" w:leftChars="50" w:right="105" w:rightChars="50"/>
              <w:rPr>
                <w:rFonts w:hint="eastAsia" w:asciiTheme="minorEastAsia" w:hAnsiTheme="minorEastAsia" w:eastAsiaTheme="minorEastAsia"/>
                <w:b w:val="0"/>
                <w:bCs w:val="0"/>
                <w:color w:val="auto"/>
                <w:szCs w:val="21"/>
                <w:highlight w:val="none"/>
              </w:rPr>
            </w:pPr>
            <w:r>
              <w:rPr>
                <w:rFonts w:hint="eastAsia" w:asciiTheme="minorEastAsia" w:hAnsiTheme="minorEastAsia" w:eastAsiaTheme="minorEastAsia"/>
                <w:b w:val="0"/>
                <w:bCs w:val="0"/>
                <w:color w:val="auto"/>
                <w:szCs w:val="21"/>
                <w:highlight w:val="none"/>
              </w:rPr>
              <w:t>允许。</w:t>
            </w:r>
          </w:p>
          <w:p w14:paraId="3315C69F">
            <w:pPr>
              <w:pStyle w:val="139"/>
              <w:spacing w:line="360" w:lineRule="auto"/>
              <w:ind w:left="105" w:leftChars="50" w:right="105" w:rightChars="50"/>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val="0"/>
                <w:bCs w:val="0"/>
                <w:color w:val="auto"/>
                <w:kern w:val="0"/>
                <w:szCs w:val="21"/>
                <w:highlight w:val="none"/>
              </w:rPr>
              <w:t>本项目允许偏离的内容指：供应商可以在响应文件中提供优于采购文件要求的偏离。不允许负偏离，否则响应文件按否决处理</w:t>
            </w:r>
            <w:r>
              <w:rPr>
                <w:rFonts w:hint="eastAsia" w:asciiTheme="minorEastAsia" w:hAnsiTheme="minorEastAsia" w:eastAsiaTheme="minorEastAsia"/>
                <w:b/>
                <w:bCs/>
                <w:color w:val="auto"/>
                <w:kern w:val="0"/>
                <w:szCs w:val="21"/>
                <w:highlight w:val="none"/>
              </w:rPr>
              <w:t>。</w:t>
            </w:r>
          </w:p>
        </w:tc>
      </w:tr>
      <w:tr w14:paraId="418BF7ED">
        <w:tblPrEx>
          <w:tblCellMar>
            <w:top w:w="0" w:type="dxa"/>
            <w:left w:w="0" w:type="dxa"/>
            <w:bottom w:w="0" w:type="dxa"/>
            <w:right w:w="0" w:type="dxa"/>
          </w:tblCellMar>
        </w:tblPrEx>
        <w:trPr>
          <w:trHeight w:val="41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1F27A0C">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2.2.1</w:t>
            </w:r>
          </w:p>
        </w:tc>
        <w:tc>
          <w:tcPr>
            <w:tcW w:w="2264" w:type="dxa"/>
            <w:tcBorders>
              <w:top w:val="single" w:color="auto" w:sz="4" w:space="0"/>
              <w:left w:val="single" w:color="auto" w:sz="4" w:space="0"/>
              <w:bottom w:val="single" w:color="auto" w:sz="4" w:space="0"/>
              <w:right w:val="single" w:color="auto" w:sz="4" w:space="0"/>
            </w:tcBorders>
            <w:vAlign w:val="center"/>
          </w:tcPr>
          <w:p w14:paraId="5E410B61">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供应商要求澄清采购文件的截止时间和方法</w:t>
            </w:r>
          </w:p>
        </w:tc>
        <w:tc>
          <w:tcPr>
            <w:tcW w:w="5963" w:type="dxa"/>
            <w:tcBorders>
              <w:top w:val="single" w:color="auto" w:sz="4" w:space="0"/>
              <w:left w:val="single" w:color="auto" w:sz="4" w:space="0"/>
              <w:bottom w:val="single" w:color="auto" w:sz="4" w:space="0"/>
              <w:right w:val="single" w:color="auto" w:sz="4" w:space="0"/>
            </w:tcBorders>
            <w:vAlign w:val="center"/>
          </w:tcPr>
          <w:p w14:paraId="005E6D19">
            <w:pPr>
              <w:pStyle w:val="139"/>
              <w:spacing w:before="156" w:beforeLines="50" w:line="360" w:lineRule="auto"/>
              <w:ind w:left="105" w:leftChars="50" w:right="105" w:rightChars="50"/>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同1.10.2的时间要求。供应商应仔细阅读和检查采购文件的全部内容，如发现缺页或附件不全，应及时向采购人提出，以便补齐。如有疑问，应在第1.10.2条规定的时间前，要求采购人或采购代理机构对采购文件予以澄清。</w:t>
            </w:r>
          </w:p>
        </w:tc>
      </w:tr>
      <w:tr w14:paraId="6F4559D5">
        <w:tblPrEx>
          <w:tblCellMar>
            <w:top w:w="0" w:type="dxa"/>
            <w:left w:w="0" w:type="dxa"/>
            <w:bottom w:w="0" w:type="dxa"/>
            <w:right w:w="0" w:type="dxa"/>
          </w:tblCellMar>
        </w:tblPrEx>
        <w:trPr>
          <w:trHeight w:val="49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1B32082">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2.2.2</w:t>
            </w:r>
          </w:p>
        </w:tc>
        <w:tc>
          <w:tcPr>
            <w:tcW w:w="2264" w:type="dxa"/>
            <w:tcBorders>
              <w:top w:val="single" w:color="auto" w:sz="4" w:space="0"/>
              <w:left w:val="single" w:color="auto" w:sz="4" w:space="0"/>
              <w:bottom w:val="single" w:color="auto" w:sz="4" w:space="0"/>
              <w:right w:val="single" w:color="auto" w:sz="4" w:space="0"/>
            </w:tcBorders>
            <w:vAlign w:val="center"/>
          </w:tcPr>
          <w:p w14:paraId="3FF2E22F">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提交响应文件的</w:t>
            </w:r>
          </w:p>
          <w:p w14:paraId="63DBFF70">
            <w:pPr>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截止时间</w:t>
            </w:r>
          </w:p>
        </w:tc>
        <w:tc>
          <w:tcPr>
            <w:tcW w:w="5963" w:type="dxa"/>
            <w:tcBorders>
              <w:top w:val="single" w:color="auto" w:sz="4" w:space="0"/>
              <w:left w:val="single" w:color="auto" w:sz="4" w:space="0"/>
              <w:bottom w:val="single" w:color="auto" w:sz="4" w:space="0"/>
              <w:right w:val="single" w:color="auto" w:sz="4" w:space="0"/>
            </w:tcBorders>
            <w:vAlign w:val="center"/>
          </w:tcPr>
          <w:p w14:paraId="09E347C7">
            <w:pPr>
              <w:pStyle w:val="139"/>
              <w:spacing w:before="156" w:beforeLines="50" w:line="360" w:lineRule="auto"/>
              <w:ind w:left="105" w:leftChars="50"/>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同竞争性磋商公告中的“响应文件提交的截止时间”。</w:t>
            </w:r>
          </w:p>
        </w:tc>
      </w:tr>
      <w:tr w14:paraId="6E605743">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2943797">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2.2.3</w:t>
            </w:r>
          </w:p>
        </w:tc>
        <w:tc>
          <w:tcPr>
            <w:tcW w:w="2264" w:type="dxa"/>
            <w:tcBorders>
              <w:top w:val="single" w:color="auto" w:sz="4" w:space="0"/>
              <w:left w:val="single" w:color="auto" w:sz="4" w:space="0"/>
              <w:bottom w:val="single" w:color="auto" w:sz="4" w:space="0"/>
              <w:right w:val="single" w:color="auto" w:sz="4" w:space="0"/>
            </w:tcBorders>
            <w:vAlign w:val="center"/>
          </w:tcPr>
          <w:p w14:paraId="1B257566">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供应商确认收到采购</w:t>
            </w:r>
          </w:p>
          <w:p w14:paraId="07157FDB">
            <w:pPr>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文件澄清的时间</w:t>
            </w:r>
          </w:p>
        </w:tc>
        <w:tc>
          <w:tcPr>
            <w:tcW w:w="5963" w:type="dxa"/>
            <w:tcBorders>
              <w:top w:val="single" w:color="auto" w:sz="4" w:space="0"/>
              <w:left w:val="single" w:color="auto" w:sz="4" w:space="0"/>
              <w:bottom w:val="single" w:color="auto" w:sz="4" w:space="0"/>
              <w:right w:val="single" w:color="auto" w:sz="4" w:space="0"/>
            </w:tcBorders>
            <w:vAlign w:val="center"/>
          </w:tcPr>
          <w:p w14:paraId="5ED6B811">
            <w:pPr>
              <w:wordWrap w:val="0"/>
              <w:autoSpaceDE w:val="0"/>
              <w:autoSpaceDN w:val="0"/>
              <w:spacing w:line="360" w:lineRule="auto"/>
              <w:ind w:left="105" w:leftChars="50"/>
              <w:contextualSpacing/>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收到当天。</w:t>
            </w:r>
          </w:p>
        </w:tc>
      </w:tr>
      <w:tr w14:paraId="385BEE91">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0100A58C">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3.2.1</w:t>
            </w:r>
          </w:p>
        </w:tc>
        <w:tc>
          <w:tcPr>
            <w:tcW w:w="2264" w:type="dxa"/>
            <w:tcBorders>
              <w:top w:val="single" w:color="auto" w:sz="4" w:space="0"/>
              <w:left w:val="single" w:color="auto" w:sz="4" w:space="0"/>
              <w:bottom w:val="single" w:color="auto" w:sz="4" w:space="0"/>
              <w:right w:val="single" w:color="auto" w:sz="4" w:space="0"/>
            </w:tcBorders>
            <w:vAlign w:val="center"/>
          </w:tcPr>
          <w:p w14:paraId="10DB973F">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最高磋商限价</w:t>
            </w:r>
          </w:p>
        </w:tc>
        <w:tc>
          <w:tcPr>
            <w:tcW w:w="5963" w:type="dxa"/>
            <w:tcBorders>
              <w:top w:val="single" w:color="auto" w:sz="4" w:space="0"/>
              <w:left w:val="single" w:color="auto" w:sz="4" w:space="0"/>
              <w:bottom w:val="single" w:color="auto" w:sz="4" w:space="0"/>
              <w:right w:val="single" w:color="auto" w:sz="4" w:space="0"/>
            </w:tcBorders>
            <w:vAlign w:val="center"/>
          </w:tcPr>
          <w:p w14:paraId="534605E2">
            <w:pPr>
              <w:spacing w:before="156" w:beforeLines="50" w:line="360" w:lineRule="auto"/>
              <w:ind w:left="105" w:leftChars="50" w:right="105" w:rightChars="50"/>
              <w:jc w:val="left"/>
              <w:rPr>
                <w:rFonts w:hint="eastAsia" w:ascii="宋体" w:hAnsi="宋体"/>
                <w:b/>
                <w:color w:val="auto"/>
                <w:szCs w:val="21"/>
                <w:highlight w:val="none"/>
              </w:rPr>
            </w:pPr>
            <w:r>
              <w:rPr>
                <w:rFonts w:hint="eastAsia" w:asciiTheme="minorEastAsia" w:hAnsiTheme="minorEastAsia" w:eastAsiaTheme="minorEastAsia"/>
                <w:b/>
                <w:bCs/>
                <w:color w:val="auto"/>
                <w:szCs w:val="21"/>
                <w:highlight w:val="none"/>
              </w:rPr>
              <w:t>本项目的最高磋商限价为：</w:t>
            </w:r>
            <w:r>
              <w:rPr>
                <w:rFonts w:hint="eastAsia" w:ascii="宋体" w:hAnsi="宋体"/>
                <w:b/>
                <w:color w:val="auto"/>
                <w:szCs w:val="21"/>
                <w:highlight w:val="none"/>
              </w:rPr>
              <w:t>¥</w:t>
            </w:r>
            <w:r>
              <w:rPr>
                <w:rFonts w:hint="eastAsia" w:ascii="宋体" w:hAnsi="宋体"/>
                <w:b/>
                <w:color w:val="auto"/>
                <w:szCs w:val="21"/>
                <w:highlight w:val="none"/>
                <w:lang w:val="en-US" w:eastAsia="zh-CN"/>
              </w:rPr>
              <w:t>93万</w:t>
            </w:r>
            <w:r>
              <w:rPr>
                <w:rFonts w:hint="eastAsia" w:ascii="宋体" w:hAnsi="宋体"/>
                <w:b/>
                <w:color w:val="auto"/>
                <w:szCs w:val="21"/>
                <w:highlight w:val="none"/>
              </w:rPr>
              <w:t>元（大写：</w:t>
            </w:r>
            <w:r>
              <w:rPr>
                <w:rFonts w:hint="eastAsia" w:ascii="宋体" w:hAnsi="宋体"/>
                <w:b/>
                <w:color w:val="auto"/>
                <w:szCs w:val="21"/>
                <w:highlight w:val="none"/>
                <w:lang w:val="en-US" w:eastAsia="zh-CN"/>
              </w:rPr>
              <w:t>玖拾叁万元整</w:t>
            </w:r>
            <w:r>
              <w:rPr>
                <w:rFonts w:hint="eastAsia" w:ascii="宋体" w:hAnsi="宋体"/>
                <w:b/>
                <w:color w:val="auto"/>
                <w:szCs w:val="21"/>
                <w:highlight w:val="none"/>
              </w:rPr>
              <w:t>）。</w:t>
            </w:r>
          </w:p>
          <w:p w14:paraId="405C84B5">
            <w:pPr>
              <w:wordWrap w:val="0"/>
              <w:autoSpaceDE w:val="0"/>
              <w:autoSpaceDN w:val="0"/>
              <w:spacing w:line="360" w:lineRule="auto"/>
              <w:ind w:left="105" w:leftChars="50" w:right="105" w:rightChars="50"/>
              <w:contextualSpacing/>
              <w:rPr>
                <w:rFonts w:hint="eastAsia"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rPr>
              <w:t>注：供应商的磋商报价不得高于以上的最高磋商限价，否则其响应文件作否决处理。</w:t>
            </w:r>
          </w:p>
        </w:tc>
      </w:tr>
      <w:tr w14:paraId="2DDE7E19">
        <w:tblPrEx>
          <w:tblCellMar>
            <w:top w:w="0" w:type="dxa"/>
            <w:left w:w="0" w:type="dxa"/>
            <w:bottom w:w="0" w:type="dxa"/>
            <w:right w:w="0" w:type="dxa"/>
          </w:tblCellMar>
        </w:tblPrEx>
        <w:trPr>
          <w:trHeight w:val="13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9DC1036">
            <w:pPr>
              <w:wordWrap w:val="0"/>
              <w:autoSpaceDE w:val="0"/>
              <w:autoSpaceDN w:val="0"/>
              <w:spacing w:before="60" w:after="60"/>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3.2.2</w:t>
            </w:r>
          </w:p>
        </w:tc>
        <w:tc>
          <w:tcPr>
            <w:tcW w:w="2264" w:type="dxa"/>
            <w:tcBorders>
              <w:top w:val="single" w:color="auto" w:sz="4" w:space="0"/>
              <w:left w:val="single" w:color="auto" w:sz="4" w:space="0"/>
              <w:bottom w:val="single" w:color="auto" w:sz="4" w:space="0"/>
              <w:right w:val="single" w:color="auto" w:sz="4" w:space="0"/>
            </w:tcBorders>
            <w:vAlign w:val="center"/>
          </w:tcPr>
          <w:p w14:paraId="4A66B1CC">
            <w:pPr>
              <w:autoSpaceDE w:val="0"/>
              <w:autoSpaceDN w:val="0"/>
              <w:spacing w:after="60"/>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报价方式</w:t>
            </w:r>
          </w:p>
        </w:tc>
        <w:tc>
          <w:tcPr>
            <w:tcW w:w="5963" w:type="dxa"/>
            <w:tcBorders>
              <w:top w:val="single" w:color="auto" w:sz="4" w:space="0"/>
              <w:left w:val="single" w:color="auto" w:sz="4" w:space="0"/>
              <w:bottom w:val="single" w:color="auto" w:sz="4" w:space="0"/>
              <w:right w:val="single" w:color="auto" w:sz="4" w:space="0"/>
            </w:tcBorders>
            <w:vAlign w:val="center"/>
          </w:tcPr>
          <w:p w14:paraId="5F3240D7">
            <w:pPr>
              <w:spacing w:line="360" w:lineRule="auto"/>
              <w:ind w:left="105" w:leftChars="50" w:right="105" w:rightChars="50" w:firstLine="420" w:firstLineChars="200"/>
              <w:rPr>
                <w:rFonts w:hint="eastAsia"/>
                <w:color w:val="auto"/>
                <w:highlight w:val="none"/>
              </w:rPr>
            </w:pPr>
            <w:r>
              <w:rPr>
                <w:rFonts w:hint="eastAsia"/>
                <w:color w:val="auto"/>
                <w:highlight w:val="none"/>
                <w:lang w:val="en-US" w:eastAsia="zh-CN"/>
              </w:rPr>
              <w:t>（1）</w:t>
            </w:r>
            <w:r>
              <w:rPr>
                <w:rFonts w:hint="eastAsia"/>
                <w:color w:val="auto"/>
                <w:highlight w:val="none"/>
              </w:rPr>
              <w:t>报价方式：</w:t>
            </w:r>
            <w:r>
              <w:rPr>
                <w:rFonts w:hint="eastAsia"/>
                <w:color w:val="auto"/>
                <w:highlight w:val="none"/>
                <w:lang w:val="en-US" w:eastAsia="zh-CN"/>
              </w:rPr>
              <w:t>供应商</w:t>
            </w:r>
            <w:r>
              <w:rPr>
                <w:rFonts w:hint="eastAsia"/>
                <w:color w:val="auto"/>
                <w:highlight w:val="none"/>
              </w:rPr>
              <w:t>以整体下浮率进行报价，（四舍五入，小数点后保留两位）</w:t>
            </w:r>
            <w:bookmarkStart w:id="151" w:name="OLE_LINK32"/>
            <w:bookmarkStart w:id="152" w:name="OLE_LINK41"/>
            <w:r>
              <w:rPr>
                <w:rFonts w:hint="eastAsia"/>
                <w:color w:val="auto"/>
                <w:highlight w:val="none"/>
              </w:rPr>
              <w:t>下浮率须大于0</w:t>
            </w:r>
            <w:bookmarkEnd w:id="151"/>
            <w:bookmarkEnd w:id="152"/>
            <w:r>
              <w:rPr>
                <w:rFonts w:hint="eastAsia"/>
                <w:color w:val="auto"/>
                <w:highlight w:val="none"/>
              </w:rPr>
              <w:t>。合同执行期间中标下浮率固定不变，供应商不得以任何理由予以变更，</w:t>
            </w:r>
            <w:r>
              <w:rPr>
                <w:rFonts w:hint="eastAsia"/>
                <w:color w:val="auto"/>
                <w:highlight w:val="none"/>
                <w:lang w:val="en-US" w:eastAsia="zh-CN"/>
              </w:rPr>
              <w:t>供应商</w:t>
            </w:r>
            <w:r>
              <w:rPr>
                <w:rFonts w:hint="eastAsia"/>
                <w:color w:val="auto"/>
                <w:highlight w:val="none"/>
              </w:rPr>
              <w:t>在投标前须充分考虑报价。</w:t>
            </w:r>
          </w:p>
          <w:p w14:paraId="18A7DE63">
            <w:pPr>
              <w:spacing w:line="360" w:lineRule="auto"/>
              <w:ind w:left="105" w:leftChars="50" w:right="105" w:rightChars="50" w:firstLine="422" w:firstLineChars="200"/>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2</w:t>
            </w:r>
            <w:r>
              <w:rPr>
                <w:rFonts w:hint="eastAsia"/>
                <w:b/>
                <w:bCs/>
                <w:color w:val="auto"/>
                <w:highlight w:val="none"/>
                <w:lang w:eastAsia="zh-CN"/>
              </w:rPr>
              <w:t>）</w:t>
            </w:r>
            <w:r>
              <w:rPr>
                <w:rFonts w:hint="eastAsia"/>
                <w:b/>
                <w:bCs/>
                <w:color w:val="auto"/>
                <w:highlight w:val="none"/>
              </w:rPr>
              <w:t>定价方法：采购人牵头组成由采购人、相关学校、家委代表等相关人员组成的询价小组每月对市场进行考察或以昆明市发展和改革委员会官方网站公布的“昆明市重要民生商品价格信息公布表”和昆明市农业农村局官方网站公布的最近日期“价格行情”作为基准价</w:t>
            </w:r>
            <w:r>
              <w:rPr>
                <w:rFonts w:hint="eastAsia"/>
                <w:b/>
                <w:bCs/>
                <w:color w:val="auto"/>
                <w:highlight w:val="none"/>
                <w:lang w:eastAsia="zh-CN"/>
              </w:rPr>
              <w:t>，</w:t>
            </w:r>
            <w:r>
              <w:rPr>
                <w:rFonts w:hint="eastAsia"/>
                <w:b/>
                <w:bCs/>
                <w:color w:val="auto"/>
                <w:highlight w:val="none"/>
              </w:rPr>
              <w:t>依据</w:t>
            </w:r>
            <w:r>
              <w:rPr>
                <w:rFonts w:hint="eastAsia"/>
                <w:b/>
                <w:bCs/>
                <w:color w:val="auto"/>
                <w:highlight w:val="none"/>
                <w:lang w:eastAsia="zh-CN"/>
              </w:rPr>
              <w:t>：</w:t>
            </w:r>
            <w:r>
              <w:rPr>
                <w:rFonts w:hint="eastAsia"/>
                <w:b/>
                <w:bCs/>
                <w:color w:val="auto"/>
                <w:highlight w:val="none"/>
              </w:rPr>
              <w:t>基准价×（1－下浮率）</w:t>
            </w:r>
            <w:r>
              <w:rPr>
                <w:rFonts w:hint="eastAsia"/>
                <w:b/>
                <w:bCs/>
                <w:color w:val="auto"/>
                <w:highlight w:val="none"/>
                <w:lang w:val="en-US" w:eastAsia="zh-CN"/>
              </w:rPr>
              <w:t>=</w:t>
            </w:r>
            <w:r>
              <w:rPr>
                <w:rFonts w:hint="eastAsia"/>
                <w:b/>
                <w:bCs/>
                <w:color w:val="auto"/>
                <w:highlight w:val="none"/>
              </w:rPr>
              <w:t>结算单价（结算单价采用四舍五入的方法，保留到角）。</w:t>
            </w:r>
          </w:p>
          <w:p w14:paraId="3AE1C107">
            <w:pPr>
              <w:spacing w:line="360" w:lineRule="auto"/>
              <w:ind w:left="105" w:leftChars="50" w:right="105" w:rightChars="50" w:firstLine="422" w:firstLineChars="200"/>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3</w:t>
            </w:r>
            <w:r>
              <w:rPr>
                <w:rFonts w:hint="eastAsia"/>
                <w:b/>
                <w:bCs/>
                <w:color w:val="auto"/>
                <w:highlight w:val="none"/>
                <w:lang w:eastAsia="zh-CN"/>
              </w:rPr>
              <w:t>）</w:t>
            </w:r>
            <w:r>
              <w:rPr>
                <w:rFonts w:hint="eastAsia"/>
                <w:b/>
                <w:bCs/>
                <w:color w:val="auto"/>
                <w:highlight w:val="none"/>
              </w:rPr>
              <w:t>调价机制：根据市场物价变动情况，某种商品单价合计物价涨幅和降幅在 10％以内（含 10％），价格不作调整，超过10％以上将按照涨幅或降幅比例对单价进行调整。采购人牵头组成的询价小组对市场进行考察或以昆明市发展和改革委员会官方网站最近一期发布的“昆明市重要民生商品价格信息公布表”和和昆明市农业农村局官方网站公布的最近日期“价格行情”平均价格作为调价依据，采购小组询价表及“昆明市重要民生商品价格信息公布表”和昆明市农业农村局官方网站公布的最近日期“价格行情”中未列明的产品，采购人将指定相关学校进行市场调查确定。采购人有权按市场变动调整单价，结合供应商的下浮率计算结算单价。</w:t>
            </w:r>
          </w:p>
          <w:p w14:paraId="0444AF19">
            <w:pPr>
              <w:spacing w:line="360" w:lineRule="auto"/>
              <w:ind w:left="105" w:leftChars="50" w:right="105" w:rightChars="50" w:firstLine="420" w:firstLineChars="2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）供应商应承担所有与参加磋商有关的自身的所有费用，不论采购的结果如何，采购代理机构和采购人在任何情况下均无义务和责任承担这些费用。</w:t>
            </w:r>
          </w:p>
        </w:tc>
      </w:tr>
      <w:tr w14:paraId="74BA8B42">
        <w:tblPrEx>
          <w:tblCellMar>
            <w:top w:w="0" w:type="dxa"/>
            <w:left w:w="0" w:type="dxa"/>
            <w:bottom w:w="0" w:type="dxa"/>
            <w:right w:w="0" w:type="dxa"/>
          </w:tblCellMar>
        </w:tblPrEx>
        <w:trPr>
          <w:trHeight w:val="41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B985AE0">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3</w:t>
            </w:r>
          </w:p>
        </w:tc>
        <w:tc>
          <w:tcPr>
            <w:tcW w:w="2264" w:type="dxa"/>
            <w:tcBorders>
              <w:top w:val="single" w:color="auto" w:sz="4" w:space="0"/>
              <w:left w:val="single" w:color="auto" w:sz="4" w:space="0"/>
              <w:bottom w:val="single" w:color="auto" w:sz="4" w:space="0"/>
              <w:right w:val="single" w:color="auto" w:sz="4" w:space="0"/>
            </w:tcBorders>
            <w:vAlign w:val="center"/>
          </w:tcPr>
          <w:p w14:paraId="2EE31C64">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结算方式</w:t>
            </w:r>
          </w:p>
        </w:tc>
        <w:tc>
          <w:tcPr>
            <w:tcW w:w="5963" w:type="dxa"/>
            <w:tcBorders>
              <w:top w:val="single" w:color="auto" w:sz="4" w:space="0"/>
              <w:left w:val="single" w:color="auto" w:sz="4" w:space="0"/>
              <w:bottom w:val="single" w:color="auto" w:sz="4" w:space="0"/>
              <w:right w:val="single" w:color="auto" w:sz="4" w:space="0"/>
            </w:tcBorders>
            <w:vAlign w:val="center"/>
          </w:tcPr>
          <w:p w14:paraId="59C4FA13">
            <w:pPr>
              <w:adjustRightInd w:val="0"/>
              <w:spacing w:line="360" w:lineRule="auto"/>
              <w:ind w:left="105" w:leftChars="50" w:right="105" w:rightChars="50"/>
              <w:jc w:val="both"/>
              <w:textAlignment w:val="baseline"/>
              <w:rPr>
                <w:rFonts w:hint="eastAsia" w:ascii="宋体" w:hAnsi="宋体"/>
                <w:color w:val="auto"/>
                <w:szCs w:val="21"/>
                <w:highlight w:val="none"/>
              </w:rPr>
            </w:pPr>
            <w:r>
              <w:rPr>
                <w:rFonts w:hint="eastAsia" w:ascii="宋体" w:hAnsi="宋体"/>
                <w:color w:val="auto"/>
                <w:szCs w:val="21"/>
                <w:highlight w:val="none"/>
                <w:lang w:val="en-US" w:eastAsia="zh-CN"/>
              </w:rPr>
              <w:t>最终</w:t>
            </w:r>
            <w:r>
              <w:rPr>
                <w:rFonts w:hint="eastAsia" w:ascii="宋体" w:hAnsi="宋体"/>
                <w:color w:val="auto"/>
                <w:szCs w:val="21"/>
                <w:highlight w:val="none"/>
              </w:rPr>
              <w:t>以实际供货</w:t>
            </w:r>
            <w:r>
              <w:rPr>
                <w:rFonts w:hint="eastAsia" w:ascii="宋体" w:hAnsi="宋体"/>
                <w:color w:val="auto"/>
                <w:szCs w:val="21"/>
                <w:highlight w:val="none"/>
                <w:lang w:val="en-US" w:eastAsia="zh-CN"/>
              </w:rPr>
              <w:t>数量结算。</w:t>
            </w:r>
          </w:p>
        </w:tc>
      </w:tr>
      <w:tr w14:paraId="574883C1">
        <w:tblPrEx>
          <w:tblCellMar>
            <w:top w:w="0" w:type="dxa"/>
            <w:left w:w="0" w:type="dxa"/>
            <w:bottom w:w="0" w:type="dxa"/>
            <w:right w:w="0" w:type="dxa"/>
          </w:tblCellMar>
        </w:tblPrEx>
        <w:trPr>
          <w:trHeight w:val="41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37D5372">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4</w:t>
            </w:r>
          </w:p>
        </w:tc>
        <w:tc>
          <w:tcPr>
            <w:tcW w:w="2264" w:type="dxa"/>
            <w:tcBorders>
              <w:top w:val="single" w:color="auto" w:sz="4" w:space="0"/>
              <w:left w:val="single" w:color="auto" w:sz="4" w:space="0"/>
              <w:bottom w:val="single" w:color="auto" w:sz="4" w:space="0"/>
              <w:right w:val="single" w:color="auto" w:sz="4" w:space="0"/>
            </w:tcBorders>
            <w:vAlign w:val="center"/>
          </w:tcPr>
          <w:p w14:paraId="69F7089D">
            <w:pPr>
              <w:jc w:val="center"/>
              <w:rPr>
                <w:rFonts w:hint="eastAsia" w:asciiTheme="minorEastAsia" w:hAnsiTheme="minorEastAsia" w:eastAsiaTheme="minorEastAsia"/>
                <w:color w:val="auto"/>
                <w:szCs w:val="21"/>
                <w:highlight w:val="none"/>
              </w:rPr>
            </w:pPr>
            <w:r>
              <w:rPr>
                <w:rFonts w:hint="eastAsia" w:ascii="宋体" w:hAnsi="宋体"/>
                <w:color w:val="auto"/>
                <w:szCs w:val="21"/>
                <w:highlight w:val="none"/>
              </w:rPr>
              <w:t>二次报价</w:t>
            </w:r>
          </w:p>
        </w:tc>
        <w:tc>
          <w:tcPr>
            <w:tcW w:w="5963" w:type="dxa"/>
            <w:tcBorders>
              <w:top w:val="single" w:color="auto" w:sz="4" w:space="0"/>
              <w:left w:val="single" w:color="auto" w:sz="4" w:space="0"/>
              <w:bottom w:val="single" w:color="auto" w:sz="4" w:space="0"/>
              <w:right w:val="single" w:color="auto" w:sz="4" w:space="0"/>
            </w:tcBorders>
            <w:vAlign w:val="center"/>
          </w:tcPr>
          <w:p w14:paraId="451264D3">
            <w:pPr>
              <w:spacing w:before="156" w:beforeLines="50" w:line="360" w:lineRule="auto"/>
              <w:ind w:left="105" w:leftChars="50" w:right="105" w:rightChars="5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通过资格审查、符合性评审的供应商，获得二次报价（最终报价）的机会。</w:t>
            </w:r>
          </w:p>
          <w:p w14:paraId="6DB2BACE">
            <w:pPr>
              <w:spacing w:line="360" w:lineRule="auto"/>
              <w:ind w:left="105" w:leftChars="50" w:right="105" w:rightChars="5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磋商小组在政府采购云平台上发起二次报价后，供应商从政府采购云平台上下载附件《二次报价表》，按照格式在规定的时间内进行填报并上传。</w:t>
            </w:r>
          </w:p>
          <w:p w14:paraId="7CB56DF6">
            <w:pPr>
              <w:pStyle w:val="22"/>
              <w:spacing w:line="360" w:lineRule="auto"/>
              <w:ind w:left="105" w:leftChars="50" w:right="105" w:rightChars="50"/>
              <w:rPr>
                <w:rFonts w:hint="eastAsia" w:asciiTheme="minorEastAsia" w:hAnsiTheme="minorEastAsia" w:eastAsiaTheme="minorEastAsia"/>
                <w:bCs w:val="0"/>
                <w:color w:val="auto"/>
                <w:sz w:val="21"/>
                <w:szCs w:val="21"/>
                <w:highlight w:val="none"/>
              </w:rPr>
            </w:pPr>
            <w:r>
              <w:rPr>
                <w:b/>
                <w:color w:val="auto"/>
                <w:sz w:val="21"/>
                <w:szCs w:val="21"/>
                <w:highlight w:val="none"/>
              </w:rPr>
              <w:t>注：请供应商务必在规定的时间内进行二次报价</w:t>
            </w:r>
            <w:r>
              <w:rPr>
                <w:rFonts w:hint="eastAsia"/>
                <w:b/>
                <w:color w:val="auto"/>
                <w:sz w:val="21"/>
                <w:szCs w:val="21"/>
                <w:highlight w:val="none"/>
              </w:rPr>
              <w:t>并</w:t>
            </w:r>
            <w:r>
              <w:rPr>
                <w:b/>
                <w:color w:val="auto"/>
                <w:sz w:val="21"/>
                <w:szCs w:val="21"/>
                <w:highlight w:val="none"/>
              </w:rPr>
              <w:t>上传经电子签章后的《二次报价表》，同时保持通讯工具畅通。若供应商未在规定的时间内进行二次报价或联系不上的，</w:t>
            </w:r>
            <w:r>
              <w:rPr>
                <w:rFonts w:hint="eastAsia"/>
                <w:b/>
                <w:color w:val="auto"/>
                <w:sz w:val="21"/>
                <w:szCs w:val="21"/>
                <w:highlight w:val="none"/>
              </w:rPr>
              <w:t>磋商</w:t>
            </w:r>
            <w:r>
              <w:rPr>
                <w:b/>
                <w:color w:val="auto"/>
                <w:sz w:val="21"/>
                <w:szCs w:val="21"/>
                <w:highlight w:val="none"/>
              </w:rPr>
              <w:t>小组将视为其放弃二次报价，并将其响应文件中的</w:t>
            </w:r>
            <w:r>
              <w:rPr>
                <w:rFonts w:hint="eastAsia"/>
                <w:b/>
                <w:color w:val="auto"/>
                <w:sz w:val="21"/>
                <w:szCs w:val="21"/>
                <w:highlight w:val="none"/>
              </w:rPr>
              <w:t>磋商</w:t>
            </w:r>
            <w:r>
              <w:rPr>
                <w:b/>
                <w:color w:val="auto"/>
                <w:sz w:val="21"/>
                <w:szCs w:val="21"/>
                <w:highlight w:val="none"/>
              </w:rPr>
              <w:t>报价作为其最后报价参与评审。</w:t>
            </w:r>
            <w:r>
              <w:rPr>
                <w:rFonts w:hint="eastAsia"/>
                <w:b/>
                <w:color w:val="auto"/>
                <w:sz w:val="21"/>
                <w:szCs w:val="21"/>
                <w:highlight w:val="none"/>
              </w:rPr>
              <w:t>若因供应商自身原因导致出现以上情况的，供应商自行承担评审结果，与采购人和采购代理机构无关。</w:t>
            </w:r>
          </w:p>
        </w:tc>
      </w:tr>
      <w:tr w14:paraId="67523B1D">
        <w:tblPrEx>
          <w:tblCellMar>
            <w:top w:w="0" w:type="dxa"/>
            <w:left w:w="0" w:type="dxa"/>
            <w:bottom w:w="0" w:type="dxa"/>
            <w:right w:w="0" w:type="dxa"/>
          </w:tblCellMar>
        </w:tblPrEx>
        <w:trPr>
          <w:trHeight w:val="46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3F37A07">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3.3.1</w:t>
            </w:r>
          </w:p>
        </w:tc>
        <w:tc>
          <w:tcPr>
            <w:tcW w:w="2264" w:type="dxa"/>
            <w:tcBorders>
              <w:top w:val="single" w:color="auto" w:sz="4" w:space="0"/>
              <w:left w:val="single" w:color="auto" w:sz="4" w:space="0"/>
              <w:bottom w:val="single" w:color="auto" w:sz="4" w:space="0"/>
              <w:right w:val="single" w:color="auto" w:sz="4" w:space="0"/>
            </w:tcBorders>
            <w:vAlign w:val="center"/>
          </w:tcPr>
          <w:p w14:paraId="7E9D1C21">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磋商有效期</w:t>
            </w:r>
          </w:p>
        </w:tc>
        <w:tc>
          <w:tcPr>
            <w:tcW w:w="5963" w:type="dxa"/>
            <w:tcBorders>
              <w:top w:val="single" w:color="auto" w:sz="4" w:space="0"/>
              <w:left w:val="single" w:color="auto" w:sz="4" w:space="0"/>
              <w:bottom w:val="single" w:color="auto" w:sz="4" w:space="0"/>
              <w:right w:val="single" w:color="auto" w:sz="4" w:space="0"/>
            </w:tcBorders>
            <w:vAlign w:val="center"/>
          </w:tcPr>
          <w:p w14:paraId="6C4D2A07">
            <w:pPr>
              <w:spacing w:before="156" w:beforeLines="50" w:line="360" w:lineRule="auto"/>
              <w:ind w:left="105" w:leftChars="5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9</w:t>
            </w:r>
            <w:r>
              <w:rPr>
                <w:rFonts w:asciiTheme="minorEastAsia" w:hAnsiTheme="minorEastAsia" w:eastAsiaTheme="minorEastAsia"/>
                <w:color w:val="auto"/>
                <w:szCs w:val="21"/>
                <w:highlight w:val="none"/>
              </w:rPr>
              <w:t>0</w:t>
            </w:r>
            <w:r>
              <w:rPr>
                <w:rFonts w:hint="eastAsia" w:asciiTheme="minorEastAsia" w:hAnsiTheme="minorEastAsia" w:eastAsiaTheme="minorEastAsia"/>
                <w:color w:val="auto"/>
                <w:szCs w:val="21"/>
                <w:highlight w:val="none"/>
              </w:rPr>
              <w:t>日历天（从提交响应文件截止之日算起）。</w:t>
            </w:r>
          </w:p>
        </w:tc>
      </w:tr>
      <w:tr w14:paraId="72455728">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8B2A904">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w:t>
            </w:r>
            <w:r>
              <w:rPr>
                <w:rFonts w:asciiTheme="minorEastAsia" w:hAnsiTheme="minorEastAsia" w:eastAsiaTheme="minorEastAsia"/>
                <w:color w:val="auto"/>
                <w:szCs w:val="21"/>
                <w:highlight w:val="none"/>
              </w:rPr>
              <w:t>.1</w:t>
            </w:r>
          </w:p>
        </w:tc>
        <w:tc>
          <w:tcPr>
            <w:tcW w:w="2264" w:type="dxa"/>
            <w:tcBorders>
              <w:top w:val="single" w:color="auto" w:sz="4" w:space="0"/>
              <w:left w:val="single" w:color="auto" w:sz="4" w:space="0"/>
              <w:bottom w:val="single" w:color="auto" w:sz="4" w:space="0"/>
              <w:right w:val="single" w:color="auto" w:sz="4" w:space="0"/>
            </w:tcBorders>
            <w:vAlign w:val="center"/>
          </w:tcPr>
          <w:p w14:paraId="590AE45B">
            <w:pPr>
              <w:pStyle w:val="28"/>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磋商保证金</w:t>
            </w:r>
          </w:p>
        </w:tc>
        <w:tc>
          <w:tcPr>
            <w:tcW w:w="5963" w:type="dxa"/>
            <w:tcBorders>
              <w:top w:val="single" w:color="auto" w:sz="4" w:space="0"/>
              <w:left w:val="single" w:color="auto" w:sz="4" w:space="0"/>
              <w:bottom w:val="single" w:color="auto" w:sz="4" w:space="0"/>
              <w:right w:val="single" w:color="auto" w:sz="4" w:space="0"/>
            </w:tcBorders>
            <w:vAlign w:val="center"/>
          </w:tcPr>
          <w:p w14:paraId="436BAF25">
            <w:pPr>
              <w:keepNext w:val="0"/>
              <w:keepLines w:val="0"/>
              <w:widowControl/>
              <w:suppressLineNumbers w:val="0"/>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rPr>
              <w:t>保证金的形式：</w:t>
            </w:r>
            <w:r>
              <w:rPr>
                <w:rFonts w:hint="eastAsia" w:ascii="宋体" w:hAnsi="宋体" w:eastAsia="宋体" w:cs="宋体"/>
                <w:color w:val="auto"/>
                <w:kern w:val="2"/>
                <w:sz w:val="21"/>
                <w:szCs w:val="21"/>
                <w:highlight w:val="none"/>
                <w:lang w:val="en-US" w:eastAsia="zh-CN"/>
              </w:rPr>
              <w:t>银行</w:t>
            </w:r>
            <w:r>
              <w:rPr>
                <w:rFonts w:hint="eastAsia" w:ascii="宋体" w:hAnsi="宋体" w:eastAsia="宋体" w:cs="宋体"/>
                <w:color w:val="auto"/>
                <w:kern w:val="2"/>
                <w:sz w:val="21"/>
                <w:szCs w:val="21"/>
                <w:highlight w:val="none"/>
                <w:lang w:eastAsia="zh-CN"/>
              </w:rPr>
              <w:t>转帐、银行保函、保险保函(保单)、</w:t>
            </w:r>
            <w:r>
              <w:rPr>
                <w:rFonts w:ascii="宋体" w:hAnsi="宋体" w:eastAsia="宋体" w:cs="宋体"/>
                <w:color w:val="auto"/>
                <w:kern w:val="0"/>
                <w:sz w:val="21"/>
                <w:szCs w:val="21"/>
                <w:highlight w:val="none"/>
                <w:lang w:val="en-US" w:eastAsia="zh-CN" w:bidi="ar"/>
              </w:rPr>
              <w:t>支票、汇票、本票</w:t>
            </w:r>
            <w:r>
              <w:rPr>
                <w:rFonts w:hint="eastAsia" w:ascii="宋体" w:hAnsi="宋体" w:eastAsia="宋体" w:cs="宋体"/>
                <w:i w:val="0"/>
                <w:iCs w:val="0"/>
                <w:color w:val="auto"/>
                <w:sz w:val="21"/>
                <w:szCs w:val="21"/>
                <w:highlight w:val="none"/>
                <w:u w:val="none"/>
                <w:lang w:val="en-US" w:eastAsia="zh-CN"/>
              </w:rPr>
              <w:t>等其他非现金形式</w:t>
            </w:r>
            <w:r>
              <w:rPr>
                <w:rFonts w:hint="eastAsia" w:ascii="宋体" w:hAnsi="宋体" w:eastAsia="宋体" w:cs="宋体"/>
                <w:color w:val="auto"/>
                <w:kern w:val="2"/>
                <w:sz w:val="21"/>
                <w:szCs w:val="21"/>
                <w:highlight w:val="none"/>
              </w:rPr>
              <w:t>。</w:t>
            </w:r>
          </w:p>
          <w:p w14:paraId="32ACF2CA">
            <w:pPr>
              <w:widowControl w:val="0"/>
              <w:autoSpaceDE w:val="0"/>
              <w:autoSpaceDN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保证金的金额：</w:t>
            </w:r>
            <w:r>
              <w:rPr>
                <w:rFonts w:hint="eastAsia" w:ascii="宋体" w:hAnsi="宋体" w:eastAsia="宋体" w:cs="宋体"/>
                <w:color w:val="auto"/>
                <w:kern w:val="2"/>
                <w:sz w:val="21"/>
                <w:szCs w:val="21"/>
                <w:highlight w:val="none"/>
                <w:lang w:val="en-US" w:eastAsia="zh-CN"/>
              </w:rPr>
              <w:t>2000.00</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lang w:val="en-US" w:eastAsia="zh-CN"/>
              </w:rPr>
              <w:t>贰仟元整</w:t>
            </w:r>
            <w:r>
              <w:rPr>
                <w:rFonts w:hint="eastAsia" w:ascii="宋体" w:hAnsi="宋体" w:eastAsia="宋体" w:cs="宋体"/>
                <w:color w:val="auto"/>
                <w:kern w:val="2"/>
                <w:sz w:val="21"/>
                <w:szCs w:val="21"/>
                <w:highlight w:val="none"/>
              </w:rPr>
              <w:t>）</w:t>
            </w:r>
          </w:p>
          <w:p w14:paraId="01DC5724">
            <w:pPr>
              <w:widowControl w:val="0"/>
              <w:autoSpaceDE w:val="0"/>
              <w:autoSpaceDN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rPr>
              <w:t>保证金按规定数额从</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基本账户直接转至</w:t>
            </w:r>
          </w:p>
          <w:p w14:paraId="68D24D1A">
            <w:pPr>
              <w:keepNext w:val="0"/>
              <w:keepLines w:val="0"/>
              <w:widowControl/>
              <w:suppressLineNumbers w:val="0"/>
              <w:spacing w:line="360" w:lineRule="auto"/>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开户名称：云南燕国工程咨询有限公司 </w:t>
            </w:r>
          </w:p>
          <w:p w14:paraId="51A7BDA7">
            <w:pPr>
              <w:keepNext w:val="0"/>
              <w:keepLines w:val="0"/>
              <w:widowControl/>
              <w:suppressLineNumbers w:val="0"/>
              <w:spacing w:line="360" w:lineRule="auto"/>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开户银行：富滇银行股份有限公司昆明岔街支行</w:t>
            </w:r>
          </w:p>
          <w:p w14:paraId="0C4C6CF1">
            <w:pPr>
              <w:keepNext w:val="0"/>
              <w:keepLines w:val="0"/>
              <w:widowControl/>
              <w:suppressLineNumbers w:val="0"/>
              <w:spacing w:line="360" w:lineRule="auto"/>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账号：120871905010000003586</w:t>
            </w:r>
          </w:p>
          <w:p w14:paraId="647A4FD3">
            <w:pPr>
              <w:keepNext w:val="0"/>
              <w:keepLines w:val="0"/>
              <w:widowControl/>
              <w:suppressLineNumbers w:val="0"/>
              <w:spacing w:line="360" w:lineRule="auto"/>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行    号：313731000181</w:t>
            </w:r>
          </w:p>
          <w:p w14:paraId="509159FA">
            <w:pPr>
              <w:keepNext w:val="0"/>
              <w:keepLines w:val="0"/>
              <w:widowControl/>
              <w:suppressLineNumbers w:val="0"/>
              <w:spacing w:line="360" w:lineRule="auto"/>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地址：昆明市盘龙区白龙路168号瑞鼎城B栋A15楼A1521室</w:t>
            </w:r>
          </w:p>
          <w:p w14:paraId="67E79089">
            <w:pPr>
              <w:keepNext w:val="0"/>
              <w:keepLines w:val="0"/>
              <w:widowControl/>
              <w:suppressLineNumbers w:val="0"/>
              <w:spacing w:line="360" w:lineRule="auto"/>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联系电话：0871-63335201</w:t>
            </w:r>
          </w:p>
          <w:p w14:paraId="4B141067">
            <w:pPr>
              <w:widowControl w:val="0"/>
              <w:autoSpaceDE w:val="0"/>
              <w:autoSpaceDN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注意事项：</w:t>
            </w:r>
          </w:p>
          <w:p w14:paraId="09C81A72">
            <w:pPr>
              <w:widowControl w:val="0"/>
              <w:autoSpaceDE w:val="0"/>
              <w:autoSpaceDN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rPr>
              <w:t>保证金缴纳凭证复印件装订到</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 xml:space="preserve">中， </w:t>
            </w:r>
          </w:p>
          <w:p w14:paraId="5EC4BF8E">
            <w:pPr>
              <w:widowControl w:val="0"/>
              <w:autoSpaceDE w:val="0"/>
              <w:autoSpaceDN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1、保证金必须从申请人的基本账户划出；</w:t>
            </w:r>
          </w:p>
          <w:p w14:paraId="2327635A">
            <w:pPr>
              <w:widowControl w:val="0"/>
              <w:autoSpaceDE w:val="0"/>
              <w:autoSpaceDN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2、保证金转账方式仅限电汇、网银方式，其他转账方式视为无效；</w:t>
            </w:r>
          </w:p>
          <w:p w14:paraId="44EA86D4">
            <w:pPr>
              <w:widowControl w:val="0"/>
              <w:autoSpaceDE w:val="0"/>
              <w:autoSpaceDN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3、保证金截止时间为投标截止时间，到账时间以保证金实际到账时间为准，未按时到账的保证金无效；</w:t>
            </w:r>
          </w:p>
          <w:p w14:paraId="4244FB9E">
            <w:pPr>
              <w:widowControl w:val="0"/>
              <w:autoSpaceDE w:val="0"/>
              <w:autoSpaceDN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4、拒绝私人账户汇款及银行存现；</w:t>
            </w:r>
          </w:p>
          <w:p w14:paraId="4D8A91CC">
            <w:pPr>
              <w:widowControl w:val="0"/>
              <w:autoSpaceDE w:val="0"/>
              <w:autoSpaceDN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5、电汇或网银方式提交的，底单即为交纳凭证（须注明</w:t>
            </w:r>
            <w:r>
              <w:rPr>
                <w:rFonts w:hint="eastAsia" w:ascii="宋体" w:hAnsi="宋体" w:eastAsia="宋体" w:cs="宋体"/>
                <w:color w:val="auto"/>
                <w:kern w:val="2"/>
                <w:sz w:val="21"/>
                <w:szCs w:val="21"/>
                <w:highlight w:val="none"/>
                <w:lang w:val="en-US" w:eastAsia="zh-CN"/>
              </w:rPr>
              <w:t>项目名称、</w:t>
            </w:r>
            <w:r>
              <w:rPr>
                <w:rFonts w:hint="eastAsia" w:ascii="宋体" w:hAnsi="宋体" w:eastAsia="宋体" w:cs="宋体"/>
                <w:color w:val="auto"/>
                <w:kern w:val="2"/>
                <w:sz w:val="21"/>
                <w:szCs w:val="21"/>
                <w:highlight w:val="none"/>
              </w:rPr>
              <w:t>编号）；</w:t>
            </w:r>
          </w:p>
          <w:p w14:paraId="1F2A97BF">
            <w:pPr>
              <w:widowControl w:val="0"/>
              <w:autoSpaceDE w:val="0"/>
              <w:autoSpaceDN w:val="0"/>
              <w:spacing w:line="360" w:lineRule="auto"/>
              <w:jc w:val="both"/>
              <w:rPr>
                <w:rFonts w:hint="eastAsia" w:asciiTheme="minorEastAsia" w:hAnsiTheme="minorEastAsia" w:eastAsiaTheme="minorEastAsia"/>
                <w:color w:val="auto"/>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未按照</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要求提交保证金的，响应无效。</w:t>
            </w:r>
          </w:p>
        </w:tc>
      </w:tr>
      <w:tr w14:paraId="613B2161">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92D7DB5">
            <w:pPr>
              <w:wordWrap w:val="0"/>
              <w:autoSpaceDE w:val="0"/>
              <w:autoSpaceDN w:val="0"/>
              <w:spacing w:before="60" w:after="60"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3.5.1</w:t>
            </w:r>
          </w:p>
        </w:tc>
        <w:tc>
          <w:tcPr>
            <w:tcW w:w="2264" w:type="dxa"/>
            <w:tcBorders>
              <w:top w:val="single" w:color="auto" w:sz="4" w:space="0"/>
              <w:left w:val="single" w:color="auto" w:sz="4" w:space="0"/>
              <w:bottom w:val="single" w:color="auto" w:sz="4" w:space="0"/>
              <w:right w:val="single" w:color="auto" w:sz="4" w:space="0"/>
            </w:tcBorders>
            <w:vAlign w:val="center"/>
          </w:tcPr>
          <w:p w14:paraId="113C836A">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近年财务状况的</w:t>
            </w:r>
          </w:p>
          <w:p w14:paraId="598A3A3F">
            <w:pPr>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年份要求</w:t>
            </w:r>
          </w:p>
        </w:tc>
        <w:tc>
          <w:tcPr>
            <w:tcW w:w="5963" w:type="dxa"/>
            <w:tcBorders>
              <w:top w:val="single" w:color="auto" w:sz="4" w:space="0"/>
              <w:left w:val="single" w:color="auto" w:sz="4" w:space="0"/>
              <w:bottom w:val="single" w:color="auto" w:sz="4" w:space="0"/>
              <w:right w:val="single" w:color="auto" w:sz="4" w:space="0"/>
            </w:tcBorders>
            <w:vAlign w:val="center"/>
          </w:tcPr>
          <w:p w14:paraId="26E95A54">
            <w:pPr>
              <w:wordWrap w:val="0"/>
              <w:autoSpaceDE w:val="0"/>
              <w:autoSpaceDN w:val="0"/>
              <w:ind w:left="105" w:leftChars="50" w:firstLine="14" w:firstLineChars="7"/>
              <w:contextualSpacing/>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2024年</w:t>
            </w:r>
            <w:r>
              <w:rPr>
                <w:rFonts w:hint="eastAsia" w:asciiTheme="minorEastAsia" w:hAnsiTheme="minorEastAsia" w:eastAsiaTheme="minorEastAsia"/>
                <w:color w:val="auto"/>
                <w:szCs w:val="21"/>
                <w:highlight w:val="none"/>
                <w:lang w:val="en-US" w:eastAsia="zh-CN"/>
              </w:rPr>
              <w:t>至今任意一年</w:t>
            </w:r>
            <w:r>
              <w:rPr>
                <w:rFonts w:hint="eastAsia" w:asciiTheme="minorEastAsia" w:hAnsiTheme="minorEastAsia" w:eastAsiaTheme="minorEastAsia"/>
                <w:color w:val="auto"/>
                <w:szCs w:val="21"/>
                <w:highlight w:val="none"/>
                <w:lang w:eastAsia="zh-CN"/>
              </w:rPr>
              <w:t>。</w:t>
            </w:r>
          </w:p>
        </w:tc>
      </w:tr>
      <w:tr w14:paraId="15FE3178">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47C706A">
            <w:pPr>
              <w:wordWrap w:val="0"/>
              <w:autoSpaceDE w:val="0"/>
              <w:autoSpaceDN w:val="0"/>
              <w:spacing w:before="60" w:after="60"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3.5.2</w:t>
            </w:r>
          </w:p>
        </w:tc>
        <w:tc>
          <w:tcPr>
            <w:tcW w:w="2264" w:type="dxa"/>
            <w:tcBorders>
              <w:top w:val="single" w:color="auto" w:sz="4" w:space="0"/>
              <w:left w:val="single" w:color="auto" w:sz="4" w:space="0"/>
              <w:bottom w:val="single" w:color="auto" w:sz="4" w:space="0"/>
              <w:right w:val="single" w:color="auto" w:sz="4" w:space="0"/>
            </w:tcBorders>
            <w:vAlign w:val="center"/>
          </w:tcPr>
          <w:p w14:paraId="24F154BF">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没有重大违法记录的</w:t>
            </w:r>
          </w:p>
          <w:p w14:paraId="594CECBE">
            <w:pPr>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年份要求</w:t>
            </w:r>
          </w:p>
        </w:tc>
        <w:tc>
          <w:tcPr>
            <w:tcW w:w="5963" w:type="dxa"/>
            <w:tcBorders>
              <w:top w:val="single" w:color="auto" w:sz="4" w:space="0"/>
              <w:left w:val="single" w:color="auto" w:sz="4" w:space="0"/>
              <w:bottom w:val="single" w:color="auto" w:sz="4" w:space="0"/>
              <w:right w:val="single" w:color="auto" w:sz="4" w:space="0"/>
            </w:tcBorders>
            <w:vAlign w:val="center"/>
          </w:tcPr>
          <w:p w14:paraId="77230831">
            <w:pPr>
              <w:pStyle w:val="20"/>
              <w:ind w:left="105" w:leftChars="50"/>
              <w:rPr>
                <w:rFonts w:hint="eastAsia" w:asciiTheme="minorEastAsia" w:hAnsiTheme="minorEastAsia" w:eastAsiaTheme="minorEastAsia"/>
                <w:color w:val="auto"/>
                <w:szCs w:val="21"/>
                <w:highlight w:val="none"/>
              </w:rPr>
            </w:pPr>
            <w:r>
              <w:rPr>
                <w:rFonts w:hint="eastAsia"/>
                <w:color w:val="auto"/>
                <w:highlight w:val="none"/>
              </w:rPr>
              <w:t>响应文件提交截止之日前三年内。</w:t>
            </w:r>
          </w:p>
        </w:tc>
      </w:tr>
      <w:tr w14:paraId="5B8E1573">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3BC9133">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3.7.1</w:t>
            </w:r>
          </w:p>
        </w:tc>
        <w:tc>
          <w:tcPr>
            <w:tcW w:w="2264" w:type="dxa"/>
            <w:tcBorders>
              <w:top w:val="single" w:color="auto" w:sz="4" w:space="0"/>
              <w:left w:val="single" w:color="auto" w:sz="4" w:space="0"/>
              <w:bottom w:val="single" w:color="auto" w:sz="4" w:space="0"/>
              <w:right w:val="single" w:color="auto" w:sz="4" w:space="0"/>
            </w:tcBorders>
            <w:vAlign w:val="center"/>
          </w:tcPr>
          <w:p w14:paraId="041B2BBF">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响应文件的格式</w:t>
            </w:r>
          </w:p>
        </w:tc>
        <w:tc>
          <w:tcPr>
            <w:tcW w:w="5963" w:type="dxa"/>
            <w:tcBorders>
              <w:top w:val="single" w:color="auto" w:sz="4" w:space="0"/>
              <w:left w:val="single" w:color="auto" w:sz="4" w:space="0"/>
              <w:bottom w:val="single" w:color="auto" w:sz="4" w:space="0"/>
              <w:right w:val="single" w:color="auto" w:sz="4" w:space="0"/>
            </w:tcBorders>
            <w:vAlign w:val="center"/>
          </w:tcPr>
          <w:p w14:paraId="2169E62D">
            <w:pPr>
              <w:spacing w:before="156" w:beforeLines="50"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1.响应文件全部采用电子文档，必须使用政府采购云平台下载的政采云电子投标客户端制作，并进行电子签章及加密后上传至政府采购云平台。编制要求见《电子投标文件编制要求》。</w:t>
            </w:r>
          </w:p>
          <w:p w14:paraId="76B01121">
            <w:pPr>
              <w:spacing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如供应商提交的响应文件不符合以上要求的或开标时无法读取导入或解密的，其响应文件将不予受理。</w:t>
            </w:r>
          </w:p>
        </w:tc>
      </w:tr>
      <w:tr w14:paraId="65D7AF0C">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4D9BD5B">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3.7.3</w:t>
            </w:r>
          </w:p>
        </w:tc>
        <w:tc>
          <w:tcPr>
            <w:tcW w:w="2264" w:type="dxa"/>
            <w:tcBorders>
              <w:top w:val="single" w:color="auto" w:sz="4" w:space="0"/>
              <w:left w:val="single" w:color="auto" w:sz="4" w:space="0"/>
              <w:bottom w:val="single" w:color="auto" w:sz="4" w:space="0"/>
              <w:right w:val="single" w:color="auto" w:sz="4" w:space="0"/>
            </w:tcBorders>
            <w:vAlign w:val="center"/>
          </w:tcPr>
          <w:p w14:paraId="6042516E">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响应文件的签署</w:t>
            </w:r>
          </w:p>
        </w:tc>
        <w:tc>
          <w:tcPr>
            <w:tcW w:w="5963" w:type="dxa"/>
            <w:tcBorders>
              <w:top w:val="single" w:color="auto" w:sz="4" w:space="0"/>
              <w:left w:val="single" w:color="auto" w:sz="4" w:space="0"/>
              <w:bottom w:val="single" w:color="auto" w:sz="4" w:space="0"/>
              <w:right w:val="single" w:color="auto" w:sz="4" w:space="0"/>
            </w:tcBorders>
          </w:tcPr>
          <w:p w14:paraId="6B3ACF16">
            <w:pPr>
              <w:spacing w:before="156" w:beforeLines="50" w:line="360" w:lineRule="auto"/>
              <w:ind w:left="105" w:leftChars="50" w:right="105" w:rightChars="50"/>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按照第四章“响应文件格式”的要求，采用单位和个人数字证书电子签章，需要企业、法定代表人电子签章。在需要电子签章的地方进行电子签章，无需逐页电子签章。</w:t>
            </w:r>
          </w:p>
          <w:p w14:paraId="4A276EEF">
            <w:pPr>
              <w:spacing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注：响应文件格式中的《中小企业声明函》、《残疾人福利性单位声明函》，非此类单位的供应商，无需进行填写及电子签章。</w:t>
            </w:r>
          </w:p>
        </w:tc>
      </w:tr>
      <w:tr w14:paraId="59E46655">
        <w:tblPrEx>
          <w:tblCellMar>
            <w:top w:w="0" w:type="dxa"/>
            <w:left w:w="0" w:type="dxa"/>
            <w:bottom w:w="0" w:type="dxa"/>
            <w:right w:w="0" w:type="dxa"/>
          </w:tblCellMar>
        </w:tblPrEx>
        <w:trPr>
          <w:trHeight w:val="41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E63529A">
            <w:pPr>
              <w:jc w:val="center"/>
              <w:rPr>
                <w:rFonts w:hint="eastAsia" w:ascii="宋体" w:hAnsi="宋体"/>
                <w:color w:val="auto"/>
                <w:highlight w:val="none"/>
              </w:rPr>
            </w:pPr>
            <w:r>
              <w:rPr>
                <w:rFonts w:ascii="宋体" w:hAnsi="宋体"/>
                <w:color w:val="auto"/>
                <w:highlight w:val="none"/>
              </w:rPr>
              <w:t>4.1.1</w:t>
            </w:r>
          </w:p>
        </w:tc>
        <w:tc>
          <w:tcPr>
            <w:tcW w:w="2264" w:type="dxa"/>
            <w:tcBorders>
              <w:top w:val="single" w:color="auto" w:sz="4" w:space="0"/>
              <w:left w:val="single" w:color="auto" w:sz="4" w:space="0"/>
              <w:bottom w:val="single" w:color="auto" w:sz="4" w:space="0"/>
              <w:right w:val="single" w:color="auto" w:sz="4" w:space="0"/>
            </w:tcBorders>
            <w:vAlign w:val="center"/>
          </w:tcPr>
          <w:p w14:paraId="63649F5B">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响应文件的加密</w:t>
            </w:r>
          </w:p>
        </w:tc>
        <w:tc>
          <w:tcPr>
            <w:tcW w:w="5963" w:type="dxa"/>
            <w:tcBorders>
              <w:top w:val="single" w:color="auto" w:sz="4" w:space="0"/>
              <w:left w:val="single" w:color="auto" w:sz="4" w:space="0"/>
              <w:bottom w:val="single" w:color="auto" w:sz="4" w:space="0"/>
              <w:right w:val="single" w:color="auto" w:sz="4" w:space="0"/>
            </w:tcBorders>
          </w:tcPr>
          <w:p w14:paraId="264255DA">
            <w:pPr>
              <w:spacing w:before="156" w:beforeLines="50" w:line="360" w:lineRule="auto"/>
              <w:ind w:left="105" w:leftChars="5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网上提交的响应</w:t>
            </w:r>
            <w:r>
              <w:rPr>
                <w:rFonts w:asciiTheme="minorEastAsia" w:hAnsiTheme="minorEastAsia" w:eastAsiaTheme="minorEastAsia"/>
                <w:color w:val="auto"/>
                <w:szCs w:val="21"/>
                <w:highlight w:val="none"/>
              </w:rPr>
              <w:t>文件应</w:t>
            </w:r>
            <w:r>
              <w:rPr>
                <w:rFonts w:hint="eastAsia" w:asciiTheme="minorEastAsia" w:hAnsiTheme="minorEastAsia" w:eastAsiaTheme="minorEastAsia"/>
                <w:color w:val="auto"/>
                <w:szCs w:val="21"/>
                <w:highlight w:val="none"/>
              </w:rPr>
              <w:t>使用</w:t>
            </w:r>
            <w:r>
              <w:rPr>
                <w:rFonts w:asciiTheme="minorEastAsia" w:hAnsiTheme="minorEastAsia" w:eastAsiaTheme="minorEastAsia"/>
                <w:color w:val="auto"/>
                <w:szCs w:val="21"/>
                <w:highlight w:val="none"/>
              </w:rPr>
              <w:t>数</w:t>
            </w:r>
            <w:r>
              <w:rPr>
                <w:rFonts w:hint="eastAsia" w:asciiTheme="minorEastAsia" w:hAnsiTheme="minorEastAsia" w:eastAsiaTheme="minorEastAsia"/>
                <w:color w:val="auto"/>
                <w:szCs w:val="21"/>
                <w:highlight w:val="none"/>
              </w:rPr>
              <w:t>字</w:t>
            </w:r>
            <w:r>
              <w:rPr>
                <w:rFonts w:asciiTheme="minorEastAsia" w:hAnsiTheme="minorEastAsia" w:eastAsiaTheme="minorEastAsia"/>
                <w:color w:val="auto"/>
                <w:szCs w:val="21"/>
                <w:highlight w:val="none"/>
              </w:rPr>
              <w:t>证书</w:t>
            </w:r>
            <w:r>
              <w:rPr>
                <w:rFonts w:hint="eastAsia" w:asciiTheme="minorEastAsia" w:hAnsiTheme="minorEastAsia" w:eastAsiaTheme="minorEastAsia"/>
                <w:color w:val="auto"/>
                <w:szCs w:val="21"/>
                <w:highlight w:val="none"/>
              </w:rPr>
              <w:t>（CA）进行加密。</w:t>
            </w:r>
          </w:p>
        </w:tc>
      </w:tr>
      <w:tr w14:paraId="157412F7">
        <w:tblPrEx>
          <w:tblCellMar>
            <w:top w:w="0" w:type="dxa"/>
            <w:left w:w="0" w:type="dxa"/>
            <w:bottom w:w="0" w:type="dxa"/>
            <w:right w:w="0" w:type="dxa"/>
          </w:tblCellMar>
        </w:tblPrEx>
        <w:trPr>
          <w:trHeight w:val="13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A36B86D">
            <w:pPr>
              <w:wordWrap w:val="0"/>
              <w:autoSpaceDE w:val="0"/>
              <w:autoSpaceDN w:val="0"/>
              <w:spacing w:before="60" w:after="60"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4.2.1</w:t>
            </w:r>
          </w:p>
        </w:tc>
        <w:tc>
          <w:tcPr>
            <w:tcW w:w="2264" w:type="dxa"/>
            <w:tcBorders>
              <w:top w:val="single" w:color="auto" w:sz="4" w:space="0"/>
              <w:left w:val="single" w:color="auto" w:sz="4" w:space="0"/>
              <w:bottom w:val="single" w:color="auto" w:sz="4" w:space="0"/>
              <w:right w:val="single" w:color="auto" w:sz="4" w:space="0"/>
            </w:tcBorders>
            <w:vAlign w:val="center"/>
          </w:tcPr>
          <w:p w14:paraId="104DF682">
            <w:pPr>
              <w:wordWrap w:val="0"/>
              <w:autoSpaceDE w:val="0"/>
              <w:autoSpaceDN w:val="0"/>
              <w:spacing w:before="120" w:after="60"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响应文件的提交</w:t>
            </w:r>
          </w:p>
        </w:tc>
        <w:tc>
          <w:tcPr>
            <w:tcW w:w="5963" w:type="dxa"/>
            <w:tcBorders>
              <w:top w:val="single" w:color="auto" w:sz="4" w:space="0"/>
              <w:left w:val="single" w:color="auto" w:sz="4" w:space="0"/>
              <w:bottom w:val="single" w:color="auto" w:sz="4" w:space="0"/>
              <w:right w:val="single" w:color="auto" w:sz="4" w:space="0"/>
            </w:tcBorders>
          </w:tcPr>
          <w:p w14:paraId="19F68297">
            <w:pPr>
              <w:widowControl/>
              <w:wordWrap w:val="0"/>
              <w:spacing w:before="156" w:beforeLines="50" w:line="360" w:lineRule="auto"/>
              <w:ind w:left="105" w:leftChars="50" w:right="105" w:rightChars="5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凡有意参与磋商者，请自行前往政府采购云平台“客户端&amp;驱动下载”网页（网址：https://customer.zcygov.cn/CA-driver-download?utm=web-ca-front.3ddc8fbb.0.0.91c6cff0db1311ec8cfbc9f613d30204）下载并安装“政采云投标客户端”。供应商按照采购文件和政府采购云平台的要求编制、加密电子响应文件，响应文件在提交截止时间前未完成上传的，视为撤回响应文件。供应商在政府采购云平台提交电子版响应文件时，请填写参与远程开标活动经办人的联系方式。</w:t>
            </w:r>
          </w:p>
          <w:p w14:paraId="20FC9886">
            <w:pPr>
              <w:widowControl/>
              <w:wordWrap w:val="0"/>
              <w:spacing w:line="360" w:lineRule="auto"/>
              <w:ind w:left="105" w:leftChars="50" w:right="105" w:rightChars="5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注：供应商应在响应文件提交截止时间前完成电子响应文件的上传、提交，响应文件提交截止时间前可以补充、修改或者撤回电子响应文件。补充或者修改响应文件的，应当先行撤回原文件，补充、修改后重新上传、递交。响应文件提交截止时间前未完成上传、递交的，视为撤回响应文件。响应文件提交截止时间以后上传提交的，视为无效。</w:t>
            </w:r>
          </w:p>
        </w:tc>
      </w:tr>
      <w:tr w14:paraId="28CBB0F9">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1084FBF">
            <w:pPr>
              <w:spacing w:before="156" w:beforeLines="50" w:line="360" w:lineRule="auto"/>
              <w:jc w:val="cente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4.2.2</w:t>
            </w:r>
          </w:p>
        </w:tc>
        <w:tc>
          <w:tcPr>
            <w:tcW w:w="2264" w:type="dxa"/>
            <w:tcBorders>
              <w:top w:val="single" w:color="auto" w:sz="4" w:space="0"/>
              <w:left w:val="single" w:color="auto" w:sz="4" w:space="0"/>
              <w:bottom w:val="single" w:color="auto" w:sz="4" w:space="0"/>
              <w:right w:val="single" w:color="auto" w:sz="4" w:space="0"/>
            </w:tcBorders>
            <w:vAlign w:val="center"/>
          </w:tcPr>
          <w:p w14:paraId="56E806D6">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是否退还响应文件</w:t>
            </w:r>
          </w:p>
        </w:tc>
        <w:tc>
          <w:tcPr>
            <w:tcW w:w="5963" w:type="dxa"/>
            <w:tcBorders>
              <w:top w:val="single" w:color="auto" w:sz="4" w:space="0"/>
              <w:left w:val="single" w:color="auto" w:sz="4" w:space="0"/>
              <w:bottom w:val="single" w:color="auto" w:sz="4" w:space="0"/>
              <w:right w:val="single" w:color="auto" w:sz="4" w:space="0"/>
            </w:tcBorders>
            <w:vAlign w:val="center"/>
          </w:tcPr>
          <w:p w14:paraId="1E5B1F47">
            <w:pPr>
              <w:spacing w:before="156" w:beforeLines="50" w:line="360" w:lineRule="auto"/>
              <w:ind w:firstLine="105" w:firstLine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否。</w:t>
            </w:r>
          </w:p>
        </w:tc>
      </w:tr>
      <w:tr w14:paraId="3813A3B0">
        <w:tblPrEx>
          <w:tblCellMar>
            <w:top w:w="0" w:type="dxa"/>
            <w:left w:w="0" w:type="dxa"/>
            <w:bottom w:w="0" w:type="dxa"/>
            <w:right w:w="0" w:type="dxa"/>
          </w:tblCellMar>
        </w:tblPrEx>
        <w:trPr>
          <w:trHeight w:val="5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951138E">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5.1</w:t>
            </w:r>
          </w:p>
        </w:tc>
        <w:tc>
          <w:tcPr>
            <w:tcW w:w="2264" w:type="dxa"/>
            <w:tcBorders>
              <w:top w:val="single" w:color="auto" w:sz="4" w:space="0"/>
              <w:left w:val="single" w:color="auto" w:sz="4" w:space="0"/>
              <w:bottom w:val="single" w:color="auto" w:sz="4" w:space="0"/>
              <w:right w:val="single" w:color="auto" w:sz="4" w:space="0"/>
            </w:tcBorders>
            <w:vAlign w:val="center"/>
          </w:tcPr>
          <w:p w14:paraId="2667F2EC">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开标时间和地点</w:t>
            </w:r>
          </w:p>
        </w:tc>
        <w:tc>
          <w:tcPr>
            <w:tcW w:w="5963" w:type="dxa"/>
            <w:tcBorders>
              <w:top w:val="single" w:color="auto" w:sz="4" w:space="0"/>
              <w:left w:val="single" w:color="auto" w:sz="4" w:space="0"/>
              <w:bottom w:val="single" w:color="auto" w:sz="4" w:space="0"/>
              <w:right w:val="single" w:color="auto" w:sz="4" w:space="0"/>
            </w:tcBorders>
          </w:tcPr>
          <w:p w14:paraId="7CDF1462">
            <w:pPr>
              <w:spacing w:before="156" w:beforeLines="50"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开标时间：同提交响应文件的截止时间；</w:t>
            </w:r>
          </w:p>
          <w:p w14:paraId="151DECD7">
            <w:pPr>
              <w:autoSpaceDE w:val="0"/>
              <w:autoSpaceDN w:val="0"/>
              <w:spacing w:before="60" w:after="60" w:line="360" w:lineRule="auto"/>
              <w:ind w:left="105" w:leftChars="50" w:right="105" w:rightChars="50" w:firstLine="14" w:firstLineChars="7"/>
              <w:contextualSpacing/>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开标地点：政府采购云平台（网址：https://www.zcygov.cn/）。</w:t>
            </w:r>
          </w:p>
        </w:tc>
      </w:tr>
      <w:tr w14:paraId="3E1FEED0">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47B5786">
            <w:pPr>
              <w:wordWrap w:val="0"/>
              <w:autoSpaceDE w:val="0"/>
              <w:autoSpaceDN w:val="0"/>
              <w:spacing w:before="60" w:after="60"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5.2</w:t>
            </w:r>
          </w:p>
        </w:tc>
        <w:tc>
          <w:tcPr>
            <w:tcW w:w="2264" w:type="dxa"/>
            <w:tcBorders>
              <w:top w:val="single" w:color="auto" w:sz="4" w:space="0"/>
              <w:left w:val="single" w:color="auto" w:sz="4" w:space="0"/>
              <w:bottom w:val="single" w:color="auto" w:sz="4" w:space="0"/>
              <w:right w:val="single" w:color="auto" w:sz="4" w:space="0"/>
            </w:tcBorders>
            <w:vAlign w:val="center"/>
          </w:tcPr>
          <w:p w14:paraId="6AD99F8C">
            <w:pPr>
              <w:wordWrap w:val="0"/>
              <w:autoSpaceDE w:val="0"/>
              <w:autoSpaceDN w:val="0"/>
              <w:spacing w:before="60" w:after="60" w:line="360" w:lineRule="auto"/>
              <w:contextualSpacing/>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开标程序</w:t>
            </w:r>
          </w:p>
        </w:tc>
        <w:tc>
          <w:tcPr>
            <w:tcW w:w="5963" w:type="dxa"/>
            <w:tcBorders>
              <w:top w:val="single" w:color="auto" w:sz="4" w:space="0"/>
              <w:left w:val="single" w:color="auto" w:sz="4" w:space="0"/>
              <w:bottom w:val="single" w:color="auto" w:sz="4" w:space="0"/>
              <w:right w:val="single" w:color="auto" w:sz="4" w:space="0"/>
            </w:tcBorders>
          </w:tcPr>
          <w:p w14:paraId="39CA9EF8">
            <w:pPr>
              <w:spacing w:before="156" w:beforeLines="50" w:line="360" w:lineRule="auto"/>
              <w:ind w:left="105" w:leftChars="50" w:right="105" w:rightChars="5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本项目的开标程序：至响应文件提交截止时间止，采购代理机构的工作人员登录进入政府采购云平台，按照政府采购云平台的操作流程完成开标程序。</w:t>
            </w:r>
            <w:r>
              <w:rPr>
                <w:rFonts w:asciiTheme="minorEastAsia" w:hAnsiTheme="minorEastAsia" w:eastAsiaTheme="minorEastAsia"/>
                <w:color w:val="auto"/>
                <w:szCs w:val="21"/>
                <w:highlight w:val="none"/>
              </w:rPr>
              <w:t xml:space="preserve">                                                                                                                   </w:t>
            </w:r>
          </w:p>
          <w:p w14:paraId="2D415328">
            <w:pPr>
              <w:spacing w:line="360" w:lineRule="auto"/>
              <w:ind w:left="105" w:leftChars="50" w:right="105" w:rightChars="5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注：因供应商原因造成响应文件未解密的，视为撤销其响应文件。</w:t>
            </w:r>
          </w:p>
        </w:tc>
      </w:tr>
      <w:tr w14:paraId="02B917CA">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A196DC3">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5.3</w:t>
            </w:r>
          </w:p>
        </w:tc>
        <w:tc>
          <w:tcPr>
            <w:tcW w:w="2264" w:type="dxa"/>
            <w:tcBorders>
              <w:top w:val="single" w:color="auto" w:sz="4" w:space="0"/>
              <w:left w:val="single" w:color="auto" w:sz="4" w:space="0"/>
              <w:bottom w:val="single" w:color="auto" w:sz="4" w:space="0"/>
              <w:right w:val="single" w:color="auto" w:sz="4" w:space="0"/>
            </w:tcBorders>
            <w:vAlign w:val="center"/>
          </w:tcPr>
          <w:p w14:paraId="6C94C7A0">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响应文件的解密方式</w:t>
            </w:r>
          </w:p>
        </w:tc>
        <w:tc>
          <w:tcPr>
            <w:tcW w:w="5963" w:type="dxa"/>
            <w:tcBorders>
              <w:top w:val="single" w:color="auto" w:sz="4" w:space="0"/>
              <w:left w:val="single" w:color="auto" w:sz="4" w:space="0"/>
              <w:bottom w:val="single" w:color="auto" w:sz="4" w:space="0"/>
              <w:right w:val="single" w:color="auto" w:sz="4" w:space="0"/>
            </w:tcBorders>
          </w:tcPr>
          <w:p w14:paraId="22BB33A5">
            <w:pPr>
              <w:spacing w:before="156" w:beforeLines="50" w:line="360" w:lineRule="auto"/>
              <w:ind w:left="105" w:leftChars="50" w:right="105" w:rightChars="5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在线解密。供应商须提前在自有场地配置有音视频通话（带摄像头及话筒的电脑）功能的相应设备及稳定网络的环境下，并按政府采购云平台开标大厅中的提示完成采购活动</w:t>
            </w:r>
            <w:r>
              <w:rPr>
                <w:rFonts w:hint="eastAsia" w:asciiTheme="minorEastAsia" w:hAnsiTheme="minorEastAsia" w:eastAsiaTheme="minorEastAsia"/>
                <w:bCs/>
                <w:snapToGrid w:val="0"/>
                <w:color w:val="auto"/>
                <w:szCs w:val="21"/>
                <w:highlight w:val="none"/>
              </w:rPr>
              <w:t>。</w:t>
            </w:r>
          </w:p>
        </w:tc>
      </w:tr>
      <w:tr w14:paraId="3CCB287D">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1D24181">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6.1.1</w:t>
            </w:r>
          </w:p>
        </w:tc>
        <w:tc>
          <w:tcPr>
            <w:tcW w:w="2264" w:type="dxa"/>
            <w:tcBorders>
              <w:top w:val="single" w:color="auto" w:sz="4" w:space="0"/>
              <w:left w:val="single" w:color="auto" w:sz="4" w:space="0"/>
              <w:bottom w:val="single" w:color="auto" w:sz="4" w:space="0"/>
              <w:right w:val="single" w:color="auto" w:sz="4" w:space="0"/>
            </w:tcBorders>
            <w:vAlign w:val="center"/>
          </w:tcPr>
          <w:p w14:paraId="4A27B048">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w:t>
            </w:r>
            <w:r>
              <w:rPr>
                <w:rFonts w:asciiTheme="minorEastAsia" w:hAnsiTheme="minorEastAsia" w:eastAsiaTheme="minorEastAsia"/>
                <w:color w:val="auto"/>
                <w:szCs w:val="21"/>
                <w:highlight w:val="none"/>
              </w:rPr>
              <w:t>的组建</w:t>
            </w:r>
          </w:p>
        </w:tc>
        <w:tc>
          <w:tcPr>
            <w:tcW w:w="5963" w:type="dxa"/>
            <w:tcBorders>
              <w:top w:val="single" w:color="auto" w:sz="4" w:space="0"/>
              <w:left w:val="single" w:color="auto" w:sz="4" w:space="0"/>
              <w:bottom w:val="single" w:color="auto" w:sz="4" w:space="0"/>
              <w:right w:val="single" w:color="auto" w:sz="4" w:space="0"/>
            </w:tcBorders>
            <w:vAlign w:val="center"/>
          </w:tcPr>
          <w:p w14:paraId="6FA29065">
            <w:pPr>
              <w:wordWrap w:val="0"/>
              <w:spacing w:before="156" w:beforeLines="50" w:line="360" w:lineRule="auto"/>
              <w:ind w:left="105" w:lef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w:t>
            </w:r>
            <w:r>
              <w:rPr>
                <w:rFonts w:asciiTheme="minorEastAsia" w:hAnsiTheme="minorEastAsia" w:eastAsiaTheme="minorEastAsia"/>
                <w:color w:val="auto"/>
                <w:szCs w:val="21"/>
                <w:highlight w:val="none"/>
              </w:rPr>
              <w:t>人数：</w:t>
            </w:r>
            <w:r>
              <w:rPr>
                <w:rFonts w:hint="eastAsia" w:asciiTheme="minorEastAsia" w:hAnsiTheme="minorEastAsia" w:eastAsiaTheme="minorEastAsia"/>
                <w:color w:val="auto"/>
                <w:szCs w:val="21"/>
                <w:highlight w:val="none"/>
                <w:lang w:val="en-US" w:eastAsia="zh-CN"/>
              </w:rPr>
              <w:t>3</w:t>
            </w:r>
            <w:r>
              <w:rPr>
                <w:rFonts w:asciiTheme="minorEastAsia" w:hAnsiTheme="minorEastAsia" w:eastAsiaTheme="minorEastAsia"/>
                <w:color w:val="auto"/>
                <w:szCs w:val="21"/>
                <w:highlight w:val="none"/>
              </w:rPr>
              <w:t>人</w:t>
            </w:r>
            <w:r>
              <w:rPr>
                <w:rFonts w:hint="eastAsia" w:asciiTheme="minorEastAsia" w:hAnsiTheme="minorEastAsia" w:eastAsiaTheme="minorEastAsia"/>
                <w:color w:val="auto"/>
                <w:szCs w:val="21"/>
                <w:highlight w:val="none"/>
              </w:rPr>
              <w:t>及</w:t>
            </w:r>
            <w:r>
              <w:rPr>
                <w:rFonts w:asciiTheme="minorEastAsia" w:hAnsiTheme="minorEastAsia" w:eastAsiaTheme="minorEastAsia"/>
                <w:color w:val="auto"/>
                <w:szCs w:val="21"/>
                <w:highlight w:val="none"/>
              </w:rPr>
              <w:t>以上单数。</w:t>
            </w:r>
          </w:p>
          <w:p w14:paraId="4A8A7584">
            <w:pPr>
              <w:wordWrap w:val="0"/>
              <w:spacing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评审成员</w:t>
            </w:r>
            <w:r>
              <w:rPr>
                <w:rFonts w:asciiTheme="minorEastAsia" w:hAnsiTheme="minorEastAsia" w:eastAsiaTheme="minorEastAsia"/>
                <w:color w:val="auto"/>
                <w:szCs w:val="21"/>
                <w:highlight w:val="none"/>
              </w:rPr>
              <w:t>确定方式：</w:t>
            </w:r>
            <w:r>
              <w:rPr>
                <w:rFonts w:hint="eastAsia" w:asciiTheme="minorEastAsia" w:hAnsiTheme="minorEastAsia" w:eastAsiaTheme="minorEastAsia"/>
                <w:color w:val="auto"/>
                <w:szCs w:val="21"/>
                <w:highlight w:val="none"/>
              </w:rPr>
              <w:t>由采购人代表和从“云南省政府采购评审专家库”中随机抽取的技术、经济方面的专家组成</w:t>
            </w:r>
            <w:r>
              <w:rPr>
                <w:rFonts w:asciiTheme="minorEastAsia" w:hAnsiTheme="minorEastAsia" w:eastAsiaTheme="minorEastAsia"/>
                <w:color w:val="auto"/>
                <w:szCs w:val="21"/>
                <w:highlight w:val="none"/>
              </w:rPr>
              <w:t>。</w:t>
            </w:r>
          </w:p>
        </w:tc>
      </w:tr>
      <w:tr w14:paraId="098E69D0">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8DD0D97">
            <w:pPr>
              <w:jc w:val="center"/>
              <w:rPr>
                <w:rFonts w:hint="eastAsia" w:ascii="宋体" w:hAnsi="宋体"/>
                <w:color w:val="auto"/>
                <w:highlight w:val="none"/>
              </w:rPr>
            </w:pPr>
            <w:r>
              <w:rPr>
                <w:rFonts w:hint="eastAsia" w:ascii="宋体" w:hAnsi="宋体"/>
                <w:color w:val="auto"/>
                <w:highlight w:val="none"/>
              </w:rPr>
              <w:t>7.1</w:t>
            </w:r>
          </w:p>
        </w:tc>
        <w:tc>
          <w:tcPr>
            <w:tcW w:w="2264" w:type="dxa"/>
            <w:tcBorders>
              <w:top w:val="single" w:color="auto" w:sz="4" w:space="0"/>
              <w:left w:val="single" w:color="auto" w:sz="4" w:space="0"/>
              <w:bottom w:val="single" w:color="auto" w:sz="4" w:space="0"/>
              <w:right w:val="single" w:color="auto" w:sz="4" w:space="0"/>
            </w:tcBorders>
            <w:vAlign w:val="center"/>
          </w:tcPr>
          <w:p w14:paraId="335F2CF4">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是否授权磋商小组</w:t>
            </w:r>
          </w:p>
          <w:p w14:paraId="654C50F9">
            <w:pPr>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确定成交供应商</w:t>
            </w:r>
          </w:p>
        </w:tc>
        <w:tc>
          <w:tcPr>
            <w:tcW w:w="5963" w:type="dxa"/>
            <w:tcBorders>
              <w:top w:val="single" w:color="auto" w:sz="4" w:space="0"/>
              <w:left w:val="single" w:color="auto" w:sz="4" w:space="0"/>
              <w:bottom w:val="single" w:color="auto" w:sz="4" w:space="0"/>
              <w:right w:val="single" w:color="auto" w:sz="4" w:space="0"/>
            </w:tcBorders>
            <w:vAlign w:val="center"/>
          </w:tcPr>
          <w:p w14:paraId="3BCB5379">
            <w:pPr>
              <w:spacing w:before="156" w:beforeLines="50"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否。</w:t>
            </w:r>
          </w:p>
          <w:p w14:paraId="024E1BD5">
            <w:pPr>
              <w:spacing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由磋商小组根据第六章“评审办法”的相关规定推荐1～3名成交候选人，采购人根据磋商小组的推荐顺序确定成交供应商。</w:t>
            </w:r>
          </w:p>
        </w:tc>
      </w:tr>
      <w:tr w14:paraId="3768C8E3">
        <w:tblPrEx>
          <w:tblCellMar>
            <w:top w:w="0" w:type="dxa"/>
            <w:left w:w="0" w:type="dxa"/>
            <w:bottom w:w="0" w:type="dxa"/>
            <w:right w:w="0" w:type="dxa"/>
          </w:tblCellMar>
        </w:tblPrEx>
        <w:trPr>
          <w:trHeight w:val="42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77E0338">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7.3</w:t>
            </w:r>
          </w:p>
        </w:tc>
        <w:tc>
          <w:tcPr>
            <w:tcW w:w="2264" w:type="dxa"/>
            <w:tcBorders>
              <w:top w:val="single" w:color="auto" w:sz="4" w:space="0"/>
              <w:left w:val="single" w:color="auto" w:sz="4" w:space="0"/>
              <w:bottom w:val="single" w:color="auto" w:sz="4" w:space="0"/>
              <w:right w:val="single" w:color="auto" w:sz="4" w:space="0"/>
            </w:tcBorders>
            <w:vAlign w:val="center"/>
          </w:tcPr>
          <w:p w14:paraId="784E3DB8">
            <w:pPr>
              <w:spacing w:before="156"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履约担保</w:t>
            </w:r>
          </w:p>
        </w:tc>
        <w:tc>
          <w:tcPr>
            <w:tcW w:w="5963" w:type="dxa"/>
            <w:tcBorders>
              <w:top w:val="single" w:color="auto" w:sz="4" w:space="0"/>
              <w:left w:val="single" w:color="auto" w:sz="4" w:space="0"/>
              <w:bottom w:val="single" w:color="auto" w:sz="4" w:space="0"/>
              <w:right w:val="single" w:color="auto" w:sz="4" w:space="0"/>
            </w:tcBorders>
            <w:vAlign w:val="center"/>
          </w:tcPr>
          <w:p w14:paraId="6CA2AA36">
            <w:pPr>
              <w:spacing w:before="156" w:beforeLines="50"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本项目不要求提交履约担保。</w:t>
            </w:r>
          </w:p>
        </w:tc>
      </w:tr>
      <w:tr w14:paraId="037F0157">
        <w:tblPrEx>
          <w:tblCellMar>
            <w:top w:w="0" w:type="dxa"/>
            <w:left w:w="0" w:type="dxa"/>
            <w:bottom w:w="0" w:type="dxa"/>
            <w:right w:w="0" w:type="dxa"/>
          </w:tblCellMar>
        </w:tblPrEx>
        <w:trPr>
          <w:trHeight w:val="448" w:hRule="atLeast"/>
          <w:jc w:val="center"/>
        </w:trPr>
        <w:tc>
          <w:tcPr>
            <w:tcW w:w="9067" w:type="dxa"/>
            <w:gridSpan w:val="3"/>
            <w:tcBorders>
              <w:top w:val="single" w:color="auto" w:sz="4" w:space="0"/>
              <w:left w:val="single" w:color="auto" w:sz="4" w:space="0"/>
              <w:bottom w:val="single" w:color="auto" w:sz="4" w:space="0"/>
              <w:right w:val="single" w:color="auto" w:sz="4" w:space="0"/>
            </w:tcBorders>
            <w:vAlign w:val="center"/>
          </w:tcPr>
          <w:p w14:paraId="49EF7C43">
            <w:pPr>
              <w:spacing w:before="156" w:beforeLines="50"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10.需要补充的其他内容</w:t>
            </w:r>
          </w:p>
        </w:tc>
      </w:tr>
      <w:tr w14:paraId="697DC292">
        <w:tblPrEx>
          <w:tblCellMar>
            <w:top w:w="0" w:type="dxa"/>
            <w:left w:w="0" w:type="dxa"/>
            <w:bottom w:w="0" w:type="dxa"/>
            <w:right w:w="0" w:type="dxa"/>
          </w:tblCellMar>
        </w:tblPrEx>
        <w:trPr>
          <w:trHeight w:val="274" w:hRule="atLeast"/>
          <w:jc w:val="center"/>
        </w:trPr>
        <w:tc>
          <w:tcPr>
            <w:tcW w:w="9067" w:type="dxa"/>
            <w:gridSpan w:val="3"/>
            <w:tcBorders>
              <w:top w:val="single" w:color="auto" w:sz="4" w:space="0"/>
              <w:left w:val="single" w:color="auto" w:sz="4" w:space="0"/>
              <w:bottom w:val="single" w:color="auto" w:sz="4" w:space="0"/>
              <w:right w:val="single" w:color="auto" w:sz="4" w:space="0"/>
            </w:tcBorders>
            <w:vAlign w:val="center"/>
          </w:tcPr>
          <w:p w14:paraId="3A6328C5">
            <w:pPr>
              <w:spacing w:before="156" w:beforeLines="50"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1.供应商</w:t>
            </w:r>
            <w:r>
              <w:rPr>
                <w:rFonts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rPr>
              <w:t>响应文件</w:t>
            </w:r>
            <w:r>
              <w:rPr>
                <w:rFonts w:asciiTheme="minorEastAsia" w:hAnsiTheme="minorEastAsia" w:eastAsiaTheme="minorEastAsia"/>
                <w:color w:val="auto"/>
                <w:szCs w:val="21"/>
                <w:highlight w:val="none"/>
              </w:rPr>
              <w:t>必须是在接受</w:t>
            </w: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人</w:t>
            </w:r>
            <w:r>
              <w:rPr>
                <w:rFonts w:hint="eastAsia" w:asciiTheme="minorEastAsia" w:hAnsiTheme="minorEastAsia" w:eastAsiaTheme="minorEastAsia"/>
                <w:color w:val="auto"/>
                <w:szCs w:val="21"/>
                <w:highlight w:val="none"/>
              </w:rPr>
              <w:t>的</w:t>
            </w:r>
            <w:r>
              <w:rPr>
                <w:rFonts w:hint="eastAsia" w:asciiTheme="minorEastAsia" w:hAnsiTheme="minorEastAsia" w:eastAsiaTheme="minorEastAsia"/>
                <w:snapToGrid w:val="0"/>
                <w:color w:val="auto"/>
                <w:kern w:val="0"/>
                <w:szCs w:val="21"/>
                <w:highlight w:val="none"/>
              </w:rPr>
              <w:t>采购文件（</w:t>
            </w:r>
            <w:r>
              <w:rPr>
                <w:rFonts w:asciiTheme="minorEastAsia" w:hAnsiTheme="minorEastAsia" w:eastAsiaTheme="minorEastAsia"/>
                <w:color w:val="auto"/>
                <w:szCs w:val="21"/>
                <w:highlight w:val="none"/>
              </w:rPr>
              <w:t>含合同条款等）的基础上作出的承诺，若</w:t>
            </w:r>
            <w:r>
              <w:rPr>
                <w:rFonts w:hint="eastAsia" w:asciiTheme="minorEastAsia" w:hAnsiTheme="minorEastAsia" w:eastAsiaTheme="minorEastAsia"/>
                <w:color w:val="auto"/>
                <w:szCs w:val="21"/>
                <w:highlight w:val="none"/>
              </w:rPr>
              <w:t>成交供应商</w:t>
            </w:r>
            <w:r>
              <w:rPr>
                <w:rFonts w:asciiTheme="minorEastAsia" w:hAnsiTheme="minorEastAsia" w:eastAsiaTheme="minorEastAsia"/>
                <w:color w:val="auto"/>
                <w:szCs w:val="21"/>
                <w:highlight w:val="none"/>
              </w:rPr>
              <w:t>对</w:t>
            </w:r>
            <w:r>
              <w:rPr>
                <w:rFonts w:hint="eastAsia" w:asciiTheme="minorEastAsia" w:hAnsiTheme="minorEastAsia" w:eastAsiaTheme="minorEastAsia"/>
                <w:snapToGrid w:val="0"/>
                <w:color w:val="auto"/>
                <w:kern w:val="0"/>
                <w:szCs w:val="21"/>
                <w:highlight w:val="none"/>
              </w:rPr>
              <w:t>采购文件</w:t>
            </w:r>
            <w:r>
              <w:rPr>
                <w:rFonts w:asciiTheme="minorEastAsia" w:hAnsiTheme="minorEastAsia" w:eastAsiaTheme="minorEastAsia"/>
                <w:color w:val="auto"/>
                <w:szCs w:val="21"/>
                <w:highlight w:val="none"/>
              </w:rPr>
              <w:t>（含合同条款等）提出修改要求，</w:t>
            </w: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人可视为其不响应</w:t>
            </w:r>
            <w:r>
              <w:rPr>
                <w:rFonts w:hint="eastAsia" w:asciiTheme="minorEastAsia" w:hAnsiTheme="minorEastAsia" w:eastAsiaTheme="minorEastAsia"/>
                <w:snapToGrid w:val="0"/>
                <w:color w:val="auto"/>
                <w:kern w:val="0"/>
                <w:szCs w:val="21"/>
                <w:highlight w:val="none"/>
              </w:rPr>
              <w:t>采购文件</w:t>
            </w:r>
            <w:r>
              <w:rPr>
                <w:rFonts w:asciiTheme="minorEastAsia" w:hAnsiTheme="minorEastAsia" w:eastAsiaTheme="minorEastAsia"/>
                <w:color w:val="auto"/>
                <w:szCs w:val="21"/>
                <w:highlight w:val="none"/>
              </w:rPr>
              <w:t>的实质性条款，取消其</w:t>
            </w:r>
            <w:r>
              <w:rPr>
                <w:rFonts w:hint="eastAsia" w:asciiTheme="minorEastAsia" w:hAnsiTheme="minorEastAsia" w:eastAsiaTheme="minorEastAsia"/>
                <w:color w:val="auto"/>
                <w:szCs w:val="21"/>
                <w:highlight w:val="none"/>
              </w:rPr>
              <w:t>成交</w:t>
            </w:r>
            <w:r>
              <w:rPr>
                <w:rFonts w:asciiTheme="minorEastAsia" w:hAnsiTheme="minorEastAsia" w:eastAsiaTheme="minorEastAsia"/>
                <w:color w:val="auto"/>
                <w:szCs w:val="21"/>
                <w:highlight w:val="none"/>
              </w:rPr>
              <w:t>资格。</w:t>
            </w:r>
          </w:p>
          <w:p w14:paraId="091FCFF5">
            <w:pPr>
              <w:spacing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2.成交供应商</w:t>
            </w:r>
            <w:r>
              <w:rPr>
                <w:rFonts w:hint="eastAsia" w:asciiTheme="minorEastAsia" w:hAnsiTheme="minorEastAsia" w:eastAsiaTheme="minorEastAsia"/>
                <w:bCs/>
                <w:color w:val="auto"/>
                <w:szCs w:val="21"/>
                <w:highlight w:val="none"/>
              </w:rPr>
              <w:t>无故</w:t>
            </w:r>
            <w:r>
              <w:rPr>
                <w:rFonts w:asciiTheme="minorEastAsia" w:hAnsiTheme="minorEastAsia" w:eastAsiaTheme="minorEastAsia"/>
                <w:color w:val="auto"/>
                <w:szCs w:val="21"/>
                <w:highlight w:val="none"/>
              </w:rPr>
              <w:t>不与</w:t>
            </w:r>
            <w:r>
              <w:rPr>
                <w:rFonts w:hint="eastAsia" w:asciiTheme="minorEastAsia" w:hAnsiTheme="minorEastAsia" w:eastAsiaTheme="minorEastAsia"/>
                <w:color w:val="auto"/>
                <w:szCs w:val="21"/>
                <w:highlight w:val="none"/>
              </w:rPr>
              <w:t>采购人</w:t>
            </w:r>
            <w:r>
              <w:rPr>
                <w:rFonts w:asciiTheme="minorEastAsia" w:hAnsiTheme="minorEastAsia" w:eastAsiaTheme="minorEastAsia"/>
                <w:color w:val="auto"/>
                <w:szCs w:val="21"/>
                <w:highlight w:val="none"/>
              </w:rPr>
              <w:t>签订合同的，或在合同签订中无故要求变更</w:t>
            </w:r>
            <w:r>
              <w:rPr>
                <w:rFonts w:hint="eastAsia" w:asciiTheme="minorEastAsia" w:hAnsiTheme="minorEastAsia" w:eastAsiaTheme="minorEastAsia"/>
                <w:color w:val="auto"/>
                <w:szCs w:val="21"/>
                <w:highlight w:val="none"/>
              </w:rPr>
              <w:t>承诺或报价</w:t>
            </w:r>
            <w:r>
              <w:rPr>
                <w:rFonts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人</w:t>
            </w:r>
            <w:r>
              <w:rPr>
                <w:rFonts w:hint="eastAsia" w:asciiTheme="minorEastAsia" w:hAnsiTheme="minorEastAsia" w:eastAsiaTheme="minorEastAsia"/>
                <w:color w:val="auto"/>
                <w:szCs w:val="21"/>
                <w:highlight w:val="none"/>
              </w:rPr>
              <w:t>将</w:t>
            </w:r>
            <w:r>
              <w:rPr>
                <w:rFonts w:asciiTheme="minorEastAsia" w:hAnsiTheme="minorEastAsia" w:eastAsiaTheme="minorEastAsia"/>
                <w:color w:val="auto"/>
                <w:szCs w:val="21"/>
                <w:highlight w:val="none"/>
              </w:rPr>
              <w:t>取消其</w:t>
            </w:r>
            <w:r>
              <w:rPr>
                <w:rFonts w:hint="eastAsia" w:asciiTheme="minorEastAsia" w:hAnsiTheme="minorEastAsia" w:eastAsiaTheme="minorEastAsia"/>
                <w:color w:val="auto"/>
                <w:szCs w:val="21"/>
                <w:highlight w:val="none"/>
              </w:rPr>
              <w:t>成交</w:t>
            </w:r>
            <w:r>
              <w:rPr>
                <w:rFonts w:asciiTheme="minorEastAsia" w:hAnsiTheme="minorEastAsia" w:eastAsiaTheme="minorEastAsia"/>
                <w:color w:val="auto"/>
                <w:szCs w:val="21"/>
                <w:highlight w:val="none"/>
              </w:rPr>
              <w:t>资格</w:t>
            </w:r>
            <w:r>
              <w:rPr>
                <w:rFonts w:hint="eastAsia" w:asciiTheme="minorEastAsia" w:hAnsiTheme="minorEastAsia" w:eastAsiaTheme="minorEastAsia"/>
                <w:color w:val="auto"/>
                <w:szCs w:val="21"/>
                <w:highlight w:val="none"/>
              </w:rPr>
              <w:t>，并且上报采购监督管理</w:t>
            </w:r>
            <w:r>
              <w:rPr>
                <w:rFonts w:asciiTheme="minorEastAsia" w:hAnsiTheme="minorEastAsia" w:eastAsiaTheme="minorEastAsia"/>
                <w:color w:val="auto"/>
                <w:szCs w:val="21"/>
                <w:highlight w:val="none"/>
              </w:rPr>
              <w:t>部门给予</w:t>
            </w:r>
            <w:r>
              <w:rPr>
                <w:rFonts w:hint="eastAsia" w:asciiTheme="minorEastAsia" w:hAnsiTheme="minorEastAsia" w:eastAsiaTheme="minorEastAsia"/>
                <w:color w:val="auto"/>
                <w:szCs w:val="21"/>
                <w:highlight w:val="none"/>
              </w:rPr>
              <w:t>其</w:t>
            </w:r>
            <w:r>
              <w:rPr>
                <w:rFonts w:asciiTheme="minorEastAsia" w:hAnsiTheme="minorEastAsia" w:eastAsiaTheme="minorEastAsia"/>
                <w:color w:val="auto"/>
                <w:szCs w:val="21"/>
                <w:highlight w:val="none"/>
              </w:rPr>
              <w:t>不良市场行为记录。</w:t>
            </w:r>
          </w:p>
          <w:p w14:paraId="24799AEF">
            <w:pPr>
              <w:spacing w:line="360" w:lineRule="auto"/>
              <w:ind w:left="105" w:leftChars="50" w:right="105" w:rightChars="50"/>
              <w:rPr>
                <w:rFonts w:hint="eastAsia" w:asciiTheme="minorEastAsia" w:hAnsiTheme="minorEastAsia" w:eastAsiaTheme="minorEastAsia"/>
                <w:color w:val="auto"/>
                <w:szCs w:val="21"/>
                <w:highlight w:val="none"/>
              </w:rPr>
            </w:pPr>
            <w:r>
              <w:rPr>
                <w:rFonts w:asciiTheme="minorEastAsia" w:hAnsiTheme="minorEastAsia" w:eastAsiaTheme="minorEastAsia"/>
                <w:bCs/>
                <w:color w:val="auto"/>
                <w:szCs w:val="21"/>
                <w:highlight w:val="none"/>
              </w:rPr>
              <w:t>3</w:t>
            </w:r>
            <w:r>
              <w:rPr>
                <w:rFonts w:hint="eastAsia" w:asciiTheme="minorEastAsia" w:hAnsiTheme="minorEastAsia" w:eastAsiaTheme="minorEastAsia"/>
                <w:bCs/>
                <w:color w:val="auto"/>
                <w:szCs w:val="21"/>
                <w:highlight w:val="none"/>
              </w:rPr>
              <w:t>.</w:t>
            </w:r>
            <w:r>
              <w:rPr>
                <w:rFonts w:hint="eastAsia" w:asciiTheme="minorEastAsia" w:hAnsiTheme="minorEastAsia" w:eastAsiaTheme="minorEastAsia"/>
                <w:color w:val="auto"/>
                <w:szCs w:val="21"/>
                <w:highlight w:val="none"/>
              </w:rPr>
              <w:t>根据《政府采购促进中小企业发展管理办法》（财库〔2020〕46号）和《关于进一步加大政府采购支持中小企业力度的通知》（财库〔20</w:t>
            </w:r>
            <w:r>
              <w:rPr>
                <w:rFonts w:asciiTheme="minorEastAsia" w:hAnsiTheme="minorEastAsia" w:eastAsiaTheme="minorEastAsia"/>
                <w:color w:val="auto"/>
                <w:szCs w:val="21"/>
                <w:highlight w:val="none"/>
              </w:rPr>
              <w:t>22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19</w:t>
            </w:r>
            <w:r>
              <w:rPr>
                <w:rFonts w:hint="eastAsia" w:asciiTheme="minorEastAsia" w:hAnsiTheme="minorEastAsia" w:eastAsiaTheme="minorEastAsia"/>
                <w:color w:val="auto"/>
                <w:szCs w:val="21"/>
                <w:highlight w:val="none"/>
              </w:rPr>
              <w:t>号）第十二条规定：</w:t>
            </w:r>
          </w:p>
          <w:p w14:paraId="68398DC0">
            <w:pPr>
              <w:spacing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（1）依据《办法》规定享受扶持政策获得政府采购合同的，小微企业不得将合同分包给大中型企业，中型企业不得将合同分包给大型企业。若成交供应商违反以上规定，则依法承担相关责任。</w:t>
            </w:r>
          </w:p>
          <w:p w14:paraId="02FFF12B">
            <w:pPr>
              <w:spacing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对具备享受扶持政策的中小企业，在资金支付期限上的优惠措施为：根据《保障中小企业款项支付条例》（中华人民共和国国务院令第728号）第八条规定，服务期结束之日起30日内支付款项；合同另有约定的，付款期限最长不超过60日。</w:t>
            </w:r>
          </w:p>
          <w:p w14:paraId="2FD3C01C">
            <w:pPr>
              <w:spacing w:line="360" w:lineRule="auto"/>
              <w:ind w:left="105" w:leftChars="50" w:right="105" w:rightChars="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）根据《统计上大中小微型企业划分办法（2017）》规定，本项目所属行业为：</w:t>
            </w: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u w:val="single"/>
                <w:lang w:val="en-US" w:eastAsia="zh-CN"/>
              </w:rPr>
              <w:t>批发</w:t>
            </w:r>
            <w:r>
              <w:rPr>
                <w:rFonts w:hint="eastAsia" w:asciiTheme="minorEastAsia" w:hAnsiTheme="minorEastAsia" w:eastAsiaTheme="minorEastAsia"/>
                <w:b/>
                <w:bCs/>
                <w:color w:val="auto"/>
                <w:szCs w:val="21"/>
                <w:highlight w:val="none"/>
                <w:u w:val="single"/>
              </w:rPr>
              <w:t>业</w:t>
            </w: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color w:val="auto"/>
                <w:szCs w:val="21"/>
                <w:highlight w:val="none"/>
              </w:rPr>
              <w:t>。</w:t>
            </w:r>
          </w:p>
          <w:p w14:paraId="2FC15095">
            <w:pPr>
              <w:spacing w:line="360" w:lineRule="auto"/>
              <w:ind w:right="105" w:rightChars="5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lang w:eastAsia="zh-CN"/>
              </w:rPr>
              <w:t>）追加合同金额</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lang w:eastAsia="zh-CN"/>
              </w:rPr>
              <w:t>政府采购合同履行中,采购人需追加与合同标的相同的服务的,在不改变合同其他条款的前提下，可以与成交供应商签订补充合同,但所有补充合同的采购金额变更不得超过原合同采购金额的10%，其中金额增加需办理合同追加手续。</w:t>
            </w:r>
          </w:p>
        </w:tc>
      </w:tr>
    </w:tbl>
    <w:p w14:paraId="194993DB">
      <w:pPr>
        <w:rPr>
          <w:rFonts w:hint="eastAsia" w:asciiTheme="minorEastAsia" w:hAnsiTheme="minorEastAsia" w:eastAsiaTheme="minorEastAsia"/>
          <w:color w:val="auto"/>
          <w:szCs w:val="28"/>
          <w:highlight w:val="none"/>
        </w:rPr>
      </w:pPr>
      <w:bookmarkStart w:id="153" w:name="_Toc158233414"/>
      <w:bookmarkStart w:id="154" w:name="_Toc132362633"/>
      <w:r>
        <w:rPr>
          <w:rFonts w:hint="eastAsia" w:asciiTheme="minorEastAsia" w:hAnsiTheme="minorEastAsia" w:eastAsiaTheme="minorEastAsia"/>
          <w:color w:val="auto"/>
          <w:szCs w:val="28"/>
          <w:highlight w:val="none"/>
        </w:rPr>
        <w:br w:type="page"/>
      </w:r>
    </w:p>
    <w:p w14:paraId="189E4810">
      <w:pPr>
        <w:pStyle w:val="4"/>
        <w:spacing w:before="156" w:beforeLines="50" w:line="360" w:lineRule="auto"/>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二、供应商须知正文部分</w:t>
      </w:r>
      <w:bookmarkEnd w:id="153"/>
      <w:bookmarkEnd w:id="154"/>
    </w:p>
    <w:p w14:paraId="0B3F4C4E">
      <w:pPr>
        <w:spacing w:line="360" w:lineRule="auto"/>
        <w:jc w:val="center"/>
        <w:outlineLvl w:val="2"/>
        <w:rPr>
          <w:rFonts w:hint="eastAsia" w:asciiTheme="minorEastAsia" w:hAnsiTheme="minorEastAsia" w:eastAsiaTheme="minorEastAsia"/>
          <w:b/>
          <w:bCs/>
          <w:color w:val="auto"/>
          <w:sz w:val="28"/>
          <w:szCs w:val="28"/>
          <w:highlight w:val="none"/>
        </w:rPr>
      </w:pPr>
      <w:bookmarkStart w:id="155" w:name="_Toc42204979"/>
      <w:bookmarkStart w:id="156" w:name="_Toc109809298"/>
      <w:bookmarkStart w:id="157" w:name="_Toc87543804"/>
      <w:bookmarkStart w:id="158" w:name="_Toc87538355"/>
      <w:bookmarkStart w:id="159" w:name="_Toc108"/>
      <w:bookmarkStart w:id="160" w:name="_Toc110405120"/>
      <w:bookmarkStart w:id="161" w:name="_Toc45976886"/>
      <w:bookmarkStart w:id="162" w:name="_Toc83753878"/>
      <w:bookmarkStart w:id="163" w:name="_Toc98864997"/>
      <w:bookmarkStart w:id="164" w:name="_Toc116583986"/>
      <w:bookmarkStart w:id="165" w:name="_Toc45791340"/>
      <w:bookmarkStart w:id="166" w:name="_Toc98033920"/>
      <w:bookmarkStart w:id="167" w:name="_Toc42267618"/>
      <w:bookmarkStart w:id="168" w:name="_Toc84356238"/>
      <w:r>
        <w:rPr>
          <w:rFonts w:hint="eastAsia" w:asciiTheme="minorEastAsia" w:hAnsiTheme="minorEastAsia" w:eastAsiaTheme="minorEastAsia"/>
          <w:b/>
          <w:bCs/>
          <w:color w:val="auto"/>
          <w:sz w:val="28"/>
          <w:szCs w:val="28"/>
          <w:highlight w:val="none"/>
        </w:rPr>
        <w:t>1.总则</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65F128C">
      <w:pPr>
        <w:spacing w:line="360" w:lineRule="auto"/>
        <w:outlineLvl w:val="3"/>
        <w:rPr>
          <w:rFonts w:hint="eastAsia" w:ascii="宋体" w:hAnsi="宋体"/>
          <w:b/>
          <w:bCs/>
          <w:color w:val="auto"/>
          <w:sz w:val="24"/>
          <w:szCs w:val="24"/>
          <w:highlight w:val="none"/>
        </w:rPr>
      </w:pPr>
      <w:bookmarkStart w:id="169" w:name="_Toc110405121"/>
      <w:bookmarkStart w:id="170" w:name="_Toc13886"/>
      <w:bookmarkStart w:id="171" w:name="_Toc42267619"/>
      <w:bookmarkStart w:id="172" w:name="_Toc69678416"/>
      <w:bookmarkStart w:id="173" w:name="_Toc75783518"/>
      <w:bookmarkStart w:id="174" w:name="_Toc84356239"/>
      <w:bookmarkStart w:id="175" w:name="_Toc98033921"/>
      <w:bookmarkStart w:id="176" w:name="_Toc42204980"/>
      <w:bookmarkStart w:id="177" w:name="_Toc116583987"/>
      <w:bookmarkStart w:id="178" w:name="_Toc98864998"/>
      <w:bookmarkStart w:id="179" w:name="_Toc81330926"/>
      <w:bookmarkStart w:id="180" w:name="_Toc45791341"/>
      <w:bookmarkStart w:id="181" w:name="_Toc83753879"/>
      <w:bookmarkStart w:id="182" w:name="_Toc109809299"/>
      <w:bookmarkStart w:id="183" w:name="_Toc87538356"/>
      <w:bookmarkStart w:id="184" w:name="_Toc53412203"/>
      <w:bookmarkStart w:id="185" w:name="_Toc87543805"/>
      <w:bookmarkStart w:id="186" w:name="_Toc45976887"/>
      <w:r>
        <w:rPr>
          <w:rFonts w:hint="eastAsia" w:ascii="宋体" w:hAnsi="宋体"/>
          <w:b/>
          <w:bCs/>
          <w:color w:val="auto"/>
          <w:sz w:val="24"/>
          <w:szCs w:val="24"/>
          <w:highlight w:val="none"/>
        </w:rPr>
        <w:t>1.1项目概况</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8573FE7">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8"/>
          <w:highlight w:val="none"/>
        </w:rPr>
        <w:t>1.1.1</w:t>
      </w:r>
      <w:r>
        <w:rPr>
          <w:rFonts w:hint="eastAsia" w:asciiTheme="minorEastAsia" w:hAnsiTheme="minorEastAsia" w:eastAsiaTheme="minorEastAsia"/>
          <w:color w:val="auto"/>
          <w:szCs w:val="21"/>
          <w:highlight w:val="none"/>
        </w:rPr>
        <w:t>根据《中华人民共和国政府采购法》、《中华人民共和国政府采购法实施条例》（国务院令第658号）、《关于印发&lt;政府采购竞争性磋商采购方式管理暂行办法&gt;的通知》（财库〔2014〕214号）等相关法律法规的规定</w:t>
      </w:r>
      <w:r>
        <w:rPr>
          <w:rFonts w:asciiTheme="minorEastAsia" w:hAnsiTheme="minorEastAsia" w:eastAsiaTheme="minorEastAsia"/>
          <w:color w:val="auto"/>
          <w:szCs w:val="21"/>
          <w:highlight w:val="none"/>
        </w:rPr>
        <w:t>，本项目已具备</w:t>
      </w: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条件，现对本</w:t>
      </w:r>
      <w:r>
        <w:rPr>
          <w:rFonts w:hint="eastAsia" w:asciiTheme="minorEastAsia" w:hAnsiTheme="minorEastAsia" w:eastAsiaTheme="minorEastAsia"/>
          <w:color w:val="auto"/>
          <w:szCs w:val="21"/>
          <w:highlight w:val="none"/>
        </w:rPr>
        <w:t>项目</w:t>
      </w:r>
      <w:r>
        <w:rPr>
          <w:rFonts w:asciiTheme="minorEastAsia" w:hAnsiTheme="minorEastAsia" w:eastAsiaTheme="minorEastAsia"/>
          <w:color w:val="auto"/>
          <w:szCs w:val="21"/>
          <w:highlight w:val="none"/>
        </w:rPr>
        <w:t>进行</w:t>
      </w:r>
      <w:r>
        <w:rPr>
          <w:rFonts w:hint="eastAsia" w:asciiTheme="minorEastAsia" w:hAnsiTheme="minorEastAsia" w:eastAsiaTheme="minorEastAsia"/>
          <w:color w:val="auto"/>
          <w:szCs w:val="21"/>
          <w:highlight w:val="none"/>
        </w:rPr>
        <w:t>竞争性磋商采购</w:t>
      </w:r>
      <w:r>
        <w:rPr>
          <w:rFonts w:asciiTheme="minorEastAsia" w:hAnsiTheme="minorEastAsia" w:eastAsiaTheme="minorEastAsia"/>
          <w:color w:val="auto"/>
          <w:szCs w:val="21"/>
          <w:highlight w:val="none"/>
        </w:rPr>
        <w:t>。</w:t>
      </w:r>
    </w:p>
    <w:p w14:paraId="263B5FDB">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1.1.2采购人名称：详见供应商须知前附表。</w:t>
      </w:r>
    </w:p>
    <w:p w14:paraId="4ED90D5B">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1.1.3采购代理机构名称：详见供应商须知前附表。</w:t>
      </w:r>
    </w:p>
    <w:p w14:paraId="77E229C2">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项目名称：详见供应商须知前附表。</w:t>
      </w:r>
    </w:p>
    <w:p w14:paraId="3A68DF2E">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.1.5</w:t>
      </w:r>
      <w:r>
        <w:rPr>
          <w:rFonts w:hint="eastAsia" w:asciiTheme="minorEastAsia" w:hAnsiTheme="minorEastAsia" w:eastAsiaTheme="minorEastAsia"/>
          <w:color w:val="auto"/>
          <w:szCs w:val="21"/>
          <w:highlight w:val="none"/>
        </w:rPr>
        <w:t>服务地点：详见供应商须知前附表。</w:t>
      </w:r>
    </w:p>
    <w:p w14:paraId="6446AA2C">
      <w:pPr>
        <w:spacing w:line="360" w:lineRule="auto"/>
        <w:outlineLvl w:val="3"/>
        <w:rPr>
          <w:rFonts w:hint="eastAsia" w:ascii="宋体" w:hAnsi="宋体"/>
          <w:b/>
          <w:bCs/>
          <w:color w:val="auto"/>
          <w:sz w:val="24"/>
          <w:szCs w:val="24"/>
          <w:highlight w:val="none"/>
        </w:rPr>
      </w:pPr>
      <w:bookmarkStart w:id="187" w:name="_Toc69678417"/>
      <w:bookmarkStart w:id="188" w:name="_Toc98864999"/>
      <w:bookmarkStart w:id="189" w:name="_Toc25268"/>
      <w:bookmarkStart w:id="190" w:name="_Toc87538357"/>
      <w:bookmarkStart w:id="191" w:name="_Toc45976888"/>
      <w:bookmarkStart w:id="192" w:name="_Toc42204981"/>
      <w:bookmarkStart w:id="193" w:name="_Toc98033922"/>
      <w:bookmarkStart w:id="194" w:name="_Toc42267620"/>
      <w:bookmarkStart w:id="195" w:name="_Toc81330927"/>
      <w:bookmarkStart w:id="196" w:name="_Toc109809300"/>
      <w:bookmarkStart w:id="197" w:name="_Toc75783519"/>
      <w:bookmarkStart w:id="198" w:name="_Toc83753880"/>
      <w:bookmarkStart w:id="199" w:name="_Toc84356240"/>
      <w:bookmarkStart w:id="200" w:name="_Toc87543806"/>
      <w:bookmarkStart w:id="201" w:name="_Toc45791342"/>
      <w:bookmarkStart w:id="202" w:name="_Toc116583988"/>
      <w:bookmarkStart w:id="203" w:name="_Toc53412204"/>
      <w:bookmarkStart w:id="204" w:name="_Toc110405122"/>
      <w:r>
        <w:rPr>
          <w:rFonts w:hint="eastAsia" w:ascii="宋体" w:hAnsi="宋体"/>
          <w:b/>
          <w:bCs/>
          <w:color w:val="auto"/>
          <w:sz w:val="24"/>
          <w:szCs w:val="24"/>
          <w:highlight w:val="none"/>
        </w:rPr>
        <w:t>1.2 资金来源、出资比例和资金落实情况</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05FB383F">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1.2.1资金来源：详见供应商须知前附表。</w:t>
      </w:r>
    </w:p>
    <w:p w14:paraId="11A98FB2">
      <w:pPr>
        <w:adjustRightInd w:val="0"/>
        <w:snapToGrid w:val="0"/>
        <w:spacing w:line="360" w:lineRule="auto"/>
        <w:ind w:firstLine="420" w:firstLineChars="200"/>
        <w:rPr>
          <w:rFonts w:hint="eastAsia"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1.2.2</w:t>
      </w:r>
      <w:r>
        <w:rPr>
          <w:rFonts w:hint="eastAsia" w:asciiTheme="minorEastAsia" w:hAnsiTheme="minorEastAsia" w:eastAsiaTheme="minorEastAsia"/>
          <w:bCs/>
          <w:color w:val="auto"/>
          <w:szCs w:val="21"/>
          <w:highlight w:val="none"/>
        </w:rPr>
        <w:t>出资比例：</w:t>
      </w:r>
      <w:r>
        <w:rPr>
          <w:rFonts w:hint="eastAsia" w:asciiTheme="minorEastAsia" w:hAnsiTheme="minorEastAsia" w:eastAsiaTheme="minorEastAsia"/>
          <w:color w:val="auto"/>
          <w:szCs w:val="21"/>
          <w:highlight w:val="none"/>
        </w:rPr>
        <w:t>详见供应商须知前附表。</w:t>
      </w:r>
    </w:p>
    <w:p w14:paraId="30FA6C18">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1.2.3</w:t>
      </w:r>
      <w:r>
        <w:rPr>
          <w:rFonts w:hint="eastAsia" w:asciiTheme="minorEastAsia" w:hAnsiTheme="minorEastAsia" w:eastAsiaTheme="minorEastAsia"/>
          <w:color w:val="auto"/>
          <w:szCs w:val="21"/>
          <w:highlight w:val="none"/>
        </w:rPr>
        <w:t>资金落实情况：详见供应商须知前附表。</w:t>
      </w:r>
    </w:p>
    <w:p w14:paraId="121192B0">
      <w:pPr>
        <w:spacing w:line="360" w:lineRule="auto"/>
        <w:outlineLvl w:val="3"/>
        <w:rPr>
          <w:rFonts w:hint="eastAsia" w:ascii="宋体" w:hAnsi="宋体"/>
          <w:b/>
          <w:bCs/>
          <w:color w:val="auto"/>
          <w:sz w:val="24"/>
          <w:szCs w:val="24"/>
          <w:highlight w:val="none"/>
        </w:rPr>
      </w:pPr>
      <w:bookmarkStart w:id="205" w:name="_Toc69678418"/>
      <w:bookmarkStart w:id="206" w:name="_Toc45791343"/>
      <w:bookmarkStart w:id="207" w:name="_Toc87538358"/>
      <w:bookmarkStart w:id="208" w:name="_Toc109809301"/>
      <w:bookmarkStart w:id="209" w:name="_Toc110405123"/>
      <w:bookmarkStart w:id="210" w:name="_Toc83753881"/>
      <w:bookmarkStart w:id="211" w:name="_Toc45976889"/>
      <w:bookmarkStart w:id="212" w:name="_Toc42204982"/>
      <w:bookmarkStart w:id="213" w:name="_Toc75783520"/>
      <w:bookmarkStart w:id="214" w:name="_Toc98865000"/>
      <w:bookmarkStart w:id="215" w:name="_Toc81330928"/>
      <w:bookmarkStart w:id="216" w:name="_Toc98033923"/>
      <w:bookmarkStart w:id="217" w:name="_Toc53412205"/>
      <w:bookmarkStart w:id="218" w:name="_Toc42267621"/>
      <w:bookmarkStart w:id="219" w:name="_Toc27136"/>
      <w:bookmarkStart w:id="220" w:name="_Toc84356241"/>
      <w:bookmarkStart w:id="221" w:name="_Toc87543807"/>
      <w:bookmarkStart w:id="222" w:name="_Toc116583989"/>
      <w:r>
        <w:rPr>
          <w:rFonts w:hint="eastAsia" w:ascii="宋体" w:hAnsi="宋体"/>
          <w:b/>
          <w:bCs/>
          <w:color w:val="auto"/>
          <w:sz w:val="24"/>
          <w:szCs w:val="24"/>
          <w:highlight w:val="none"/>
        </w:rPr>
        <w:t>1.3 采购内容、</w:t>
      </w:r>
      <w:r>
        <w:rPr>
          <w:rFonts w:hint="eastAsia" w:ascii="宋体" w:hAnsi="宋体"/>
          <w:b/>
          <w:bCs/>
          <w:color w:val="auto"/>
          <w:sz w:val="24"/>
          <w:szCs w:val="24"/>
          <w:highlight w:val="none"/>
          <w:lang w:eastAsia="zh-CN"/>
        </w:rPr>
        <w:t>合同履行期限</w:t>
      </w:r>
      <w:r>
        <w:rPr>
          <w:rFonts w:hint="eastAsia" w:ascii="宋体" w:hAnsi="宋体"/>
          <w:b/>
          <w:bCs/>
          <w:color w:val="auto"/>
          <w:sz w:val="24"/>
          <w:szCs w:val="24"/>
          <w:highlight w:val="none"/>
        </w:rPr>
        <w:t>、质量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hint="eastAsia" w:ascii="宋体" w:hAnsi="宋体"/>
          <w:b/>
          <w:bCs/>
          <w:color w:val="auto"/>
          <w:sz w:val="24"/>
          <w:szCs w:val="24"/>
          <w:highlight w:val="none"/>
        </w:rPr>
        <w:t>要求</w:t>
      </w:r>
      <w:bookmarkEnd w:id="222"/>
      <w:r>
        <w:rPr>
          <w:rFonts w:hint="eastAsia" w:ascii="宋体" w:hAnsi="宋体"/>
          <w:b/>
          <w:bCs/>
          <w:color w:val="auto"/>
          <w:sz w:val="24"/>
          <w:szCs w:val="24"/>
          <w:highlight w:val="none"/>
        </w:rPr>
        <w:t>、包件划分</w:t>
      </w:r>
    </w:p>
    <w:p w14:paraId="473525BB">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1.3.1采购内容</w:t>
      </w:r>
      <w:r>
        <w:rPr>
          <w:rFonts w:hint="eastAsia" w:cs="宋体" w:asciiTheme="minorEastAsia" w:hAnsiTheme="minorEastAsia" w:eastAsiaTheme="minorEastAsia"/>
          <w:color w:val="auto"/>
          <w:kern w:val="0"/>
          <w:szCs w:val="21"/>
          <w:highlight w:val="none"/>
        </w:rPr>
        <w:t>：</w:t>
      </w:r>
      <w:r>
        <w:rPr>
          <w:rFonts w:hint="eastAsia" w:asciiTheme="minorEastAsia" w:hAnsiTheme="minorEastAsia" w:eastAsiaTheme="minorEastAsia"/>
          <w:color w:val="auto"/>
          <w:szCs w:val="21"/>
          <w:highlight w:val="none"/>
        </w:rPr>
        <w:t>详见供应商须知前附表。</w:t>
      </w:r>
    </w:p>
    <w:p w14:paraId="5CF54ED3">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eastAsia="zh-CN"/>
        </w:rPr>
        <w:t>合同履行期限</w:t>
      </w:r>
      <w:r>
        <w:rPr>
          <w:rFonts w:hint="eastAsia" w:asciiTheme="minorEastAsia" w:hAnsiTheme="minorEastAsia" w:eastAsiaTheme="minorEastAsia"/>
          <w:color w:val="auto"/>
          <w:szCs w:val="21"/>
          <w:highlight w:val="none"/>
        </w:rPr>
        <w:t>：详见供应商须知前附表。</w:t>
      </w:r>
    </w:p>
    <w:p w14:paraId="49DDD0F7">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bookmarkStart w:id="223" w:name="OLE_LINK1"/>
      <w:bookmarkStart w:id="224" w:name="OLE_LINK2"/>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质量要求：</w:t>
      </w:r>
      <w:bookmarkEnd w:id="223"/>
      <w:bookmarkEnd w:id="224"/>
      <w:r>
        <w:rPr>
          <w:rFonts w:hint="eastAsia" w:asciiTheme="minorEastAsia" w:hAnsiTheme="minorEastAsia" w:eastAsiaTheme="minorEastAsia"/>
          <w:color w:val="auto"/>
          <w:szCs w:val="21"/>
          <w:highlight w:val="none"/>
        </w:rPr>
        <w:t>详见供应商须知前附表。</w:t>
      </w:r>
    </w:p>
    <w:p w14:paraId="5DA6652D">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1.3.4包件划分：详见供应商须知前附表。</w:t>
      </w:r>
      <w:bookmarkStart w:id="225" w:name="_Toc53412206"/>
      <w:bookmarkStart w:id="226" w:name="_Toc109809302"/>
      <w:bookmarkStart w:id="227" w:name="_Toc45976890"/>
      <w:bookmarkStart w:id="228" w:name="_Toc98865001"/>
      <w:bookmarkStart w:id="229" w:name="_Toc110405124"/>
      <w:bookmarkStart w:id="230" w:name="_Toc42204983"/>
      <w:bookmarkStart w:id="231" w:name="_Toc75783521"/>
      <w:bookmarkStart w:id="232" w:name="_Toc87543808"/>
      <w:bookmarkStart w:id="233" w:name="_Toc83753882"/>
      <w:bookmarkStart w:id="234" w:name="_Toc98033924"/>
      <w:bookmarkStart w:id="235" w:name="_Toc42267622"/>
      <w:bookmarkStart w:id="236" w:name="_Toc116583990"/>
      <w:bookmarkStart w:id="237" w:name="_Toc69678419"/>
      <w:bookmarkStart w:id="238" w:name="_Toc81330929"/>
      <w:bookmarkStart w:id="239" w:name="_Toc2751"/>
      <w:bookmarkStart w:id="240" w:name="_Toc45791344"/>
      <w:bookmarkStart w:id="241" w:name="_Toc87538359"/>
      <w:bookmarkStart w:id="242" w:name="_Toc84356242"/>
    </w:p>
    <w:p w14:paraId="53845A32">
      <w:pPr>
        <w:spacing w:line="360" w:lineRule="auto"/>
        <w:outlineLvl w:val="3"/>
        <w:rPr>
          <w:rFonts w:hint="eastAsia" w:ascii="宋体" w:hAnsi="宋体"/>
          <w:b/>
          <w:bCs/>
          <w:color w:val="auto"/>
          <w:sz w:val="24"/>
          <w:szCs w:val="24"/>
          <w:highlight w:val="none"/>
        </w:rPr>
      </w:pPr>
      <w:r>
        <w:rPr>
          <w:rFonts w:hint="eastAsia" w:ascii="宋体" w:hAnsi="宋体"/>
          <w:b/>
          <w:bCs/>
          <w:color w:val="auto"/>
          <w:sz w:val="24"/>
          <w:szCs w:val="24"/>
          <w:highlight w:val="none"/>
        </w:rPr>
        <w:t>1.4 供应商资格要求</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7850AC1">
      <w:pPr>
        <w:autoSpaceDE w:val="0"/>
        <w:autoSpaceDN w:val="0"/>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1.4.1 供应商资格要求：详见供应商须知前附表。</w:t>
      </w:r>
    </w:p>
    <w:p w14:paraId="65FA58BD">
      <w:pPr>
        <w:autoSpaceDE w:val="0"/>
        <w:autoSpaceDN w:val="0"/>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1.4.2 其它内容：详见供应商须知前附表。</w:t>
      </w:r>
    </w:p>
    <w:p w14:paraId="502B4791">
      <w:pPr>
        <w:autoSpaceDE w:val="0"/>
        <w:autoSpaceDN w:val="0"/>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1.4.3 是否接受联合体投标：详见供应商须知前附表。</w:t>
      </w:r>
    </w:p>
    <w:p w14:paraId="276557A6">
      <w:pPr>
        <w:tabs>
          <w:tab w:val="left" w:pos="900"/>
        </w:tabs>
        <w:autoSpaceDE w:val="0"/>
        <w:autoSpaceDN w:val="0"/>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1.4.4 供应商不得存在下列情形之一：</w:t>
      </w:r>
    </w:p>
    <w:p w14:paraId="75E04A34">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（1）被责令停业的；</w:t>
      </w:r>
    </w:p>
    <w:p w14:paraId="388B90FF">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（2）被暂停或取消磋商资格的；</w:t>
      </w:r>
    </w:p>
    <w:p w14:paraId="5D4653E3">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（3）财产被接管或冻结的；</w:t>
      </w:r>
    </w:p>
    <w:p w14:paraId="6E0D0FB7">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（4）在最近三年内有骗取成交或严重违约或重大质量问题的；</w:t>
      </w:r>
    </w:p>
    <w:p w14:paraId="0620E109">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（5）提供虚假材料谋取成交的；</w:t>
      </w:r>
    </w:p>
    <w:p w14:paraId="3665CBFE">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（6）采取不正当手段诋毁、排挤其他供应商的；</w:t>
      </w:r>
    </w:p>
    <w:p w14:paraId="7A4FB22D">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（7）与采购人、其他供应商或者采购代理机构恶意串通的；</w:t>
      </w:r>
    </w:p>
    <w:p w14:paraId="5E735F8F">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（8）向采购人、采购代理机构行贿或者提供其他不正当利益的；</w:t>
      </w:r>
    </w:p>
    <w:p w14:paraId="0B25CA7E">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（9）在招标采购过程中与采购人进行协商报价的；</w:t>
      </w:r>
    </w:p>
    <w:p w14:paraId="43D5F992">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（10）拒绝有关部门监督检查或者提供虚假情况的。</w:t>
      </w:r>
    </w:p>
    <w:p w14:paraId="02D43FEB">
      <w:pPr>
        <w:tabs>
          <w:tab w:val="left" w:pos="900"/>
        </w:tabs>
        <w:autoSpaceDE w:val="0"/>
        <w:autoSpaceDN w:val="0"/>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供应商有第（5）至（9）项情形之一的，成交无效。 </w:t>
      </w:r>
    </w:p>
    <w:p w14:paraId="23A4C0BD">
      <w:pPr>
        <w:spacing w:line="360" w:lineRule="auto"/>
        <w:outlineLvl w:val="3"/>
        <w:rPr>
          <w:rFonts w:hint="eastAsia" w:ascii="宋体" w:hAnsi="宋体"/>
          <w:b/>
          <w:bCs/>
          <w:color w:val="auto"/>
          <w:sz w:val="24"/>
          <w:szCs w:val="24"/>
          <w:highlight w:val="none"/>
        </w:rPr>
      </w:pPr>
      <w:bookmarkStart w:id="243" w:name="_Toc42204984"/>
      <w:bookmarkStart w:id="244" w:name="_Toc45976891"/>
      <w:bookmarkStart w:id="245" w:name="_Toc109809303"/>
      <w:bookmarkStart w:id="246" w:name="_Toc98865002"/>
      <w:bookmarkStart w:id="247" w:name="_Toc84356243"/>
      <w:bookmarkStart w:id="248" w:name="_Toc116583991"/>
      <w:bookmarkStart w:id="249" w:name="_Toc81330930"/>
      <w:bookmarkStart w:id="250" w:name="_Toc53412207"/>
      <w:bookmarkStart w:id="251" w:name="_Toc11916"/>
      <w:bookmarkStart w:id="252" w:name="_Toc98033925"/>
      <w:bookmarkStart w:id="253" w:name="_Toc110405125"/>
      <w:bookmarkStart w:id="254" w:name="_Toc69678420"/>
      <w:bookmarkStart w:id="255" w:name="_Toc87538360"/>
      <w:bookmarkStart w:id="256" w:name="_Toc83753883"/>
      <w:bookmarkStart w:id="257" w:name="_Toc87543809"/>
      <w:bookmarkStart w:id="258" w:name="_Toc45791345"/>
      <w:bookmarkStart w:id="259" w:name="_Toc42267623"/>
      <w:bookmarkStart w:id="260" w:name="_Toc75783522"/>
      <w:r>
        <w:rPr>
          <w:rFonts w:hint="eastAsia" w:ascii="宋体" w:hAnsi="宋体"/>
          <w:b/>
          <w:bCs/>
          <w:color w:val="auto"/>
          <w:sz w:val="24"/>
          <w:szCs w:val="24"/>
          <w:highlight w:val="none"/>
        </w:rPr>
        <w:t>1.5 费用承担</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282C624">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bookmarkStart w:id="261" w:name="_Toc42204985"/>
      <w:bookmarkStart w:id="262" w:name="_Toc45791346"/>
      <w:bookmarkStart w:id="263" w:name="_Toc45976892"/>
      <w:bookmarkStart w:id="264" w:name="_Toc42267624"/>
      <w:bookmarkStart w:id="265" w:name="_Toc53412208"/>
      <w:r>
        <w:rPr>
          <w:rFonts w:hint="eastAsia" w:asciiTheme="minorEastAsia" w:hAnsiTheme="minorEastAsia" w:eastAsiaTheme="minorEastAsia"/>
          <w:color w:val="auto"/>
          <w:szCs w:val="21"/>
          <w:highlight w:val="none"/>
        </w:rPr>
        <w:t>详见供应商须知前附表。</w:t>
      </w:r>
    </w:p>
    <w:p w14:paraId="6DF81563">
      <w:pPr>
        <w:spacing w:line="360" w:lineRule="auto"/>
        <w:outlineLvl w:val="3"/>
        <w:rPr>
          <w:rFonts w:hint="eastAsia" w:ascii="宋体" w:hAnsi="宋体"/>
          <w:b/>
          <w:bCs/>
          <w:color w:val="auto"/>
          <w:sz w:val="24"/>
          <w:szCs w:val="24"/>
          <w:highlight w:val="none"/>
        </w:rPr>
      </w:pPr>
      <w:bookmarkStart w:id="266" w:name="_Toc98865003"/>
      <w:bookmarkStart w:id="267" w:name="_Toc29495"/>
      <w:bookmarkStart w:id="268" w:name="_Toc83753884"/>
      <w:bookmarkStart w:id="269" w:name="_Toc75783523"/>
      <w:bookmarkStart w:id="270" w:name="_Toc84356244"/>
      <w:bookmarkStart w:id="271" w:name="_Toc81330931"/>
      <w:bookmarkStart w:id="272" w:name="_Toc109809304"/>
      <w:bookmarkStart w:id="273" w:name="_Toc110405126"/>
      <w:bookmarkStart w:id="274" w:name="_Toc87538361"/>
      <w:bookmarkStart w:id="275" w:name="_Toc98033926"/>
      <w:bookmarkStart w:id="276" w:name="_Toc87543810"/>
      <w:bookmarkStart w:id="277" w:name="_Toc116583992"/>
      <w:bookmarkStart w:id="278" w:name="_Toc69678421"/>
      <w:r>
        <w:rPr>
          <w:rFonts w:hint="eastAsia" w:ascii="宋体" w:hAnsi="宋体"/>
          <w:b/>
          <w:bCs/>
          <w:color w:val="auto"/>
          <w:sz w:val="24"/>
          <w:szCs w:val="24"/>
          <w:highlight w:val="none"/>
        </w:rPr>
        <w:t>1.6 保密</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1596DA7">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参与竞争性磋商的各方应对</w:t>
      </w:r>
      <w:r>
        <w:rPr>
          <w:rFonts w:hint="eastAsia" w:asciiTheme="minorEastAsia" w:hAnsiTheme="minorEastAsia" w:eastAsiaTheme="minorEastAsia"/>
          <w:snapToGrid w:val="0"/>
          <w:color w:val="auto"/>
          <w:kern w:val="0"/>
          <w:szCs w:val="21"/>
          <w:highlight w:val="none"/>
        </w:rPr>
        <w:t>采购文件</w:t>
      </w:r>
      <w:r>
        <w:rPr>
          <w:rFonts w:hint="eastAsia" w:asciiTheme="minorEastAsia" w:hAnsiTheme="minorEastAsia" w:eastAsiaTheme="minorEastAsia"/>
          <w:color w:val="auto"/>
          <w:szCs w:val="21"/>
          <w:highlight w:val="none"/>
        </w:rPr>
        <w:t>和响应文件中的商业、技术等秘密保密，违者应对由此造成的后果承担法律责任。</w:t>
      </w:r>
    </w:p>
    <w:p w14:paraId="3ED085CC">
      <w:pPr>
        <w:spacing w:line="360" w:lineRule="auto"/>
        <w:outlineLvl w:val="3"/>
        <w:rPr>
          <w:rFonts w:hint="eastAsia" w:ascii="宋体" w:hAnsi="宋体"/>
          <w:b/>
          <w:bCs/>
          <w:color w:val="auto"/>
          <w:sz w:val="24"/>
          <w:szCs w:val="24"/>
          <w:highlight w:val="none"/>
        </w:rPr>
      </w:pPr>
      <w:bookmarkStart w:id="279" w:name="_Toc83753885"/>
      <w:bookmarkStart w:id="280" w:name="_Toc98033927"/>
      <w:bookmarkStart w:id="281" w:name="_Toc109809305"/>
      <w:bookmarkStart w:id="282" w:name="_Toc116583993"/>
      <w:bookmarkStart w:id="283" w:name="_Toc53412209"/>
      <w:bookmarkStart w:id="284" w:name="_Toc87543811"/>
      <w:bookmarkStart w:id="285" w:name="_Toc87538362"/>
      <w:bookmarkStart w:id="286" w:name="_Toc45976893"/>
      <w:bookmarkStart w:id="287" w:name="_Toc81330932"/>
      <w:bookmarkStart w:id="288" w:name="_Toc42204986"/>
      <w:bookmarkStart w:id="289" w:name="_Toc110405127"/>
      <w:bookmarkStart w:id="290" w:name="_Toc3702"/>
      <w:bookmarkStart w:id="291" w:name="_Toc69678422"/>
      <w:bookmarkStart w:id="292" w:name="_Toc75783524"/>
      <w:bookmarkStart w:id="293" w:name="_Toc45791347"/>
      <w:bookmarkStart w:id="294" w:name="_Toc84356245"/>
      <w:bookmarkStart w:id="295" w:name="_Toc42267625"/>
      <w:bookmarkStart w:id="296" w:name="_Toc98865004"/>
      <w:r>
        <w:rPr>
          <w:rFonts w:hint="eastAsia" w:ascii="宋体" w:hAnsi="宋体"/>
          <w:b/>
          <w:bCs/>
          <w:color w:val="auto"/>
          <w:sz w:val="24"/>
          <w:szCs w:val="24"/>
          <w:highlight w:val="none"/>
        </w:rPr>
        <w:t>1.7 语言文字</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0A9ACB0">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除专用术语外，与竞争性磋商有关的语言均使用中文。必要时专用术语应附有中文注释。</w:t>
      </w:r>
    </w:p>
    <w:p w14:paraId="6852C403">
      <w:pPr>
        <w:spacing w:line="360" w:lineRule="auto"/>
        <w:outlineLvl w:val="3"/>
        <w:rPr>
          <w:rFonts w:hint="eastAsia" w:ascii="宋体" w:hAnsi="宋体"/>
          <w:b/>
          <w:bCs/>
          <w:color w:val="auto"/>
          <w:sz w:val="24"/>
          <w:szCs w:val="24"/>
          <w:highlight w:val="none"/>
        </w:rPr>
      </w:pPr>
      <w:bookmarkStart w:id="297" w:name="_Toc81330933"/>
      <w:bookmarkStart w:id="298" w:name="_Toc75783525"/>
      <w:bookmarkStart w:id="299" w:name="_Toc21668"/>
      <w:bookmarkStart w:id="300" w:name="_Toc116583994"/>
      <w:bookmarkStart w:id="301" w:name="_Toc83753886"/>
      <w:bookmarkStart w:id="302" w:name="_Toc87543812"/>
      <w:bookmarkStart w:id="303" w:name="_Toc87538363"/>
      <w:bookmarkStart w:id="304" w:name="_Toc42267626"/>
      <w:bookmarkStart w:id="305" w:name="_Toc98865005"/>
      <w:bookmarkStart w:id="306" w:name="_Toc45791348"/>
      <w:bookmarkStart w:id="307" w:name="_Toc42204987"/>
      <w:bookmarkStart w:id="308" w:name="_Toc84356246"/>
      <w:bookmarkStart w:id="309" w:name="_Toc98033928"/>
      <w:bookmarkStart w:id="310" w:name="_Toc69678423"/>
      <w:bookmarkStart w:id="311" w:name="_Toc53412210"/>
      <w:bookmarkStart w:id="312" w:name="_Toc110405128"/>
      <w:bookmarkStart w:id="313" w:name="_Toc45976894"/>
      <w:bookmarkStart w:id="314" w:name="_Toc109809306"/>
      <w:r>
        <w:rPr>
          <w:rFonts w:hint="eastAsia" w:ascii="宋体" w:hAnsi="宋体"/>
          <w:b/>
          <w:bCs/>
          <w:color w:val="auto"/>
          <w:sz w:val="24"/>
          <w:szCs w:val="24"/>
          <w:highlight w:val="none"/>
        </w:rPr>
        <w:t>1.8 计量单位</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A368C65">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所有计量均采用中华人民共和国法定计量单位。</w:t>
      </w:r>
    </w:p>
    <w:p w14:paraId="29B4C859">
      <w:pPr>
        <w:spacing w:line="360" w:lineRule="auto"/>
        <w:outlineLvl w:val="3"/>
        <w:rPr>
          <w:rFonts w:hint="eastAsia" w:ascii="宋体" w:hAnsi="宋体"/>
          <w:b/>
          <w:bCs/>
          <w:color w:val="auto"/>
          <w:sz w:val="24"/>
          <w:szCs w:val="24"/>
          <w:highlight w:val="none"/>
        </w:rPr>
      </w:pPr>
      <w:bookmarkStart w:id="315" w:name="_Toc98865006"/>
      <w:bookmarkStart w:id="316" w:name="_Toc45976895"/>
      <w:bookmarkStart w:id="317" w:name="_Toc45791349"/>
      <w:bookmarkStart w:id="318" w:name="_Toc87538364"/>
      <w:bookmarkStart w:id="319" w:name="_Toc69678424"/>
      <w:bookmarkStart w:id="320" w:name="_Toc109809307"/>
      <w:bookmarkStart w:id="321" w:name="_Toc53412211"/>
      <w:bookmarkStart w:id="322" w:name="_Toc98033929"/>
      <w:bookmarkStart w:id="323" w:name="_Toc83753887"/>
      <w:bookmarkStart w:id="324" w:name="_Toc32582"/>
      <w:bookmarkStart w:id="325" w:name="_Toc110405129"/>
      <w:bookmarkStart w:id="326" w:name="_Toc81330934"/>
      <w:bookmarkStart w:id="327" w:name="_Toc42267627"/>
      <w:bookmarkStart w:id="328" w:name="_Toc84356247"/>
      <w:bookmarkStart w:id="329" w:name="_Toc75783526"/>
      <w:bookmarkStart w:id="330" w:name="_Toc116583995"/>
      <w:bookmarkStart w:id="331" w:name="_Toc42204988"/>
      <w:bookmarkStart w:id="332" w:name="_Toc87543813"/>
      <w:r>
        <w:rPr>
          <w:rFonts w:hint="eastAsia" w:ascii="宋体" w:hAnsi="宋体"/>
          <w:b/>
          <w:bCs/>
          <w:color w:val="auto"/>
          <w:sz w:val="24"/>
          <w:szCs w:val="24"/>
          <w:highlight w:val="none"/>
        </w:rPr>
        <w:t>1.9 踏勘现场</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1776C704">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详见供应商须知前附表</w:t>
      </w:r>
      <w:r>
        <w:rPr>
          <w:rFonts w:hint="eastAsia" w:cs="宋体" w:asciiTheme="minorEastAsia" w:hAnsiTheme="minorEastAsia" w:eastAsiaTheme="minorEastAsia"/>
          <w:color w:val="auto"/>
          <w:szCs w:val="21"/>
          <w:highlight w:val="none"/>
        </w:rPr>
        <w:t>。</w:t>
      </w:r>
    </w:p>
    <w:p w14:paraId="42BD9F46">
      <w:pPr>
        <w:spacing w:line="360" w:lineRule="auto"/>
        <w:outlineLvl w:val="3"/>
        <w:rPr>
          <w:rFonts w:hint="eastAsia" w:ascii="宋体" w:hAnsi="宋体"/>
          <w:b/>
          <w:bCs/>
          <w:color w:val="auto"/>
          <w:sz w:val="24"/>
          <w:szCs w:val="24"/>
          <w:highlight w:val="none"/>
        </w:rPr>
      </w:pPr>
      <w:bookmarkStart w:id="333" w:name="_Toc42267628"/>
      <w:bookmarkStart w:id="334" w:name="_Toc42204989"/>
      <w:bookmarkStart w:id="335" w:name="_Toc116583996"/>
      <w:bookmarkStart w:id="336" w:name="_Toc87538365"/>
      <w:bookmarkStart w:id="337" w:name="_Toc30991"/>
      <w:bookmarkStart w:id="338" w:name="_Toc109809308"/>
      <w:bookmarkStart w:id="339" w:name="_Toc53412212"/>
      <w:bookmarkStart w:id="340" w:name="_Toc98865007"/>
      <w:bookmarkStart w:id="341" w:name="_Toc81330935"/>
      <w:bookmarkStart w:id="342" w:name="_Toc45791350"/>
      <w:bookmarkStart w:id="343" w:name="_Toc110405130"/>
      <w:bookmarkStart w:id="344" w:name="_Toc83753888"/>
      <w:bookmarkStart w:id="345" w:name="_Toc87543814"/>
      <w:bookmarkStart w:id="346" w:name="_Toc84356248"/>
      <w:bookmarkStart w:id="347" w:name="_Toc45976896"/>
      <w:bookmarkStart w:id="348" w:name="_Toc75783527"/>
      <w:bookmarkStart w:id="349" w:name="_Toc98033930"/>
      <w:bookmarkStart w:id="350" w:name="_Toc69678425"/>
      <w:r>
        <w:rPr>
          <w:rFonts w:hint="eastAsia" w:ascii="宋体" w:hAnsi="宋体"/>
          <w:b/>
          <w:bCs/>
          <w:color w:val="auto"/>
          <w:sz w:val="24"/>
          <w:szCs w:val="24"/>
          <w:highlight w:val="none"/>
        </w:rPr>
        <w:t>1.10 磋商预备会</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F940A75">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1.10.1本次磋商不组织磋商预备会。</w:t>
      </w:r>
    </w:p>
    <w:p w14:paraId="6D621606">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1.10.2供应商的询问及答复的规定：详见供应商须知前附表。</w:t>
      </w:r>
    </w:p>
    <w:p w14:paraId="66F3D731">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1.10.3采购人澄清的时间和方法：详见供应商须知前附表。</w:t>
      </w:r>
    </w:p>
    <w:p w14:paraId="33936C1C">
      <w:pPr>
        <w:spacing w:line="360" w:lineRule="auto"/>
        <w:outlineLvl w:val="3"/>
        <w:rPr>
          <w:rFonts w:hint="eastAsia" w:ascii="宋体" w:hAnsi="宋体"/>
          <w:b/>
          <w:bCs/>
          <w:color w:val="auto"/>
          <w:sz w:val="24"/>
          <w:szCs w:val="24"/>
          <w:highlight w:val="none"/>
        </w:rPr>
      </w:pPr>
      <w:bookmarkStart w:id="351" w:name="_Toc98033931"/>
      <w:bookmarkStart w:id="352" w:name="_Toc42204990"/>
      <w:bookmarkStart w:id="353" w:name="_Toc69678426"/>
      <w:bookmarkStart w:id="354" w:name="_Toc45791351"/>
      <w:bookmarkStart w:id="355" w:name="_Toc53412213"/>
      <w:bookmarkStart w:id="356" w:name="_Toc110405131"/>
      <w:bookmarkStart w:id="357" w:name="_Toc98865008"/>
      <w:bookmarkStart w:id="358" w:name="_Toc2836"/>
      <w:bookmarkStart w:id="359" w:name="_Toc83753889"/>
      <w:bookmarkStart w:id="360" w:name="_Toc45976897"/>
      <w:bookmarkStart w:id="361" w:name="_Toc84356249"/>
      <w:bookmarkStart w:id="362" w:name="_Toc109809309"/>
      <w:bookmarkStart w:id="363" w:name="_Toc75783528"/>
      <w:bookmarkStart w:id="364" w:name="_Toc116583997"/>
      <w:bookmarkStart w:id="365" w:name="_Toc87543815"/>
      <w:bookmarkStart w:id="366" w:name="_Toc81330936"/>
      <w:bookmarkStart w:id="367" w:name="_Toc87538366"/>
      <w:bookmarkStart w:id="368" w:name="_Toc42267629"/>
      <w:r>
        <w:rPr>
          <w:rFonts w:hint="eastAsia" w:ascii="宋体" w:hAnsi="宋体"/>
          <w:b/>
          <w:bCs/>
          <w:color w:val="auto"/>
          <w:sz w:val="24"/>
          <w:szCs w:val="24"/>
          <w:highlight w:val="none"/>
        </w:rPr>
        <w:t>1.11 分包</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9A74AEF">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详见供应商须知前附表。</w:t>
      </w:r>
    </w:p>
    <w:p w14:paraId="61F287B7">
      <w:pPr>
        <w:spacing w:line="360" w:lineRule="auto"/>
        <w:outlineLvl w:val="3"/>
        <w:rPr>
          <w:rFonts w:hint="eastAsia" w:ascii="宋体" w:hAnsi="宋体"/>
          <w:b/>
          <w:bCs/>
          <w:color w:val="auto"/>
          <w:sz w:val="24"/>
          <w:szCs w:val="24"/>
          <w:highlight w:val="none"/>
        </w:rPr>
      </w:pPr>
      <w:bookmarkStart w:id="369" w:name="_Toc69678427"/>
      <w:bookmarkStart w:id="370" w:name="_Toc116583998"/>
      <w:bookmarkStart w:id="371" w:name="_Toc87538367"/>
      <w:bookmarkStart w:id="372" w:name="_Toc75783529"/>
      <w:bookmarkStart w:id="373" w:name="_Toc45791352"/>
      <w:bookmarkStart w:id="374" w:name="_Toc110405132"/>
      <w:bookmarkStart w:id="375" w:name="_Toc45976898"/>
      <w:bookmarkStart w:id="376" w:name="_Toc42267630"/>
      <w:bookmarkStart w:id="377" w:name="_Toc53412214"/>
      <w:bookmarkStart w:id="378" w:name="_Toc20888"/>
      <w:bookmarkStart w:id="379" w:name="_Toc98865009"/>
      <w:bookmarkStart w:id="380" w:name="_Toc81330937"/>
      <w:bookmarkStart w:id="381" w:name="_Toc109809310"/>
      <w:bookmarkStart w:id="382" w:name="_Toc87543816"/>
      <w:bookmarkStart w:id="383" w:name="_Toc42204991"/>
      <w:bookmarkStart w:id="384" w:name="_Toc84356250"/>
      <w:bookmarkStart w:id="385" w:name="_Toc98033932"/>
      <w:bookmarkStart w:id="386" w:name="_Toc83753890"/>
      <w:r>
        <w:rPr>
          <w:rFonts w:hint="eastAsia" w:ascii="宋体" w:hAnsi="宋体"/>
          <w:b/>
          <w:bCs/>
          <w:color w:val="auto"/>
          <w:sz w:val="24"/>
          <w:szCs w:val="24"/>
          <w:highlight w:val="none"/>
        </w:rPr>
        <w:t>1.12 偏离</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304D6FF7">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详见供应商须知前附表。</w:t>
      </w:r>
    </w:p>
    <w:p w14:paraId="25CD3392">
      <w:pPr>
        <w:spacing w:line="360" w:lineRule="auto"/>
        <w:jc w:val="center"/>
        <w:outlineLvl w:val="2"/>
        <w:rPr>
          <w:rFonts w:hint="eastAsia" w:asciiTheme="minorEastAsia" w:hAnsiTheme="minorEastAsia" w:eastAsiaTheme="minorEastAsia"/>
          <w:b/>
          <w:bCs/>
          <w:color w:val="auto"/>
          <w:sz w:val="28"/>
          <w:szCs w:val="28"/>
          <w:highlight w:val="none"/>
        </w:rPr>
      </w:pPr>
      <w:bookmarkStart w:id="387" w:name="_Toc45976899"/>
      <w:bookmarkStart w:id="388" w:name="_Toc42204992"/>
      <w:bookmarkStart w:id="389" w:name="_Toc87543817"/>
      <w:bookmarkStart w:id="390" w:name="_Toc87538368"/>
      <w:bookmarkStart w:id="391" w:name="_Toc84356251"/>
      <w:bookmarkStart w:id="392" w:name="_Toc98033933"/>
      <w:bookmarkStart w:id="393" w:name="_Toc83753891"/>
      <w:bookmarkStart w:id="394" w:name="_Toc45791353"/>
      <w:bookmarkStart w:id="395" w:name="_Toc42267631"/>
      <w:bookmarkStart w:id="396" w:name="_Toc116583999"/>
      <w:bookmarkStart w:id="397" w:name="_Toc98865010"/>
      <w:bookmarkStart w:id="398" w:name="_Toc22595"/>
      <w:bookmarkStart w:id="399" w:name="_Toc110405133"/>
      <w:bookmarkStart w:id="400" w:name="_Toc109809311"/>
      <w:r>
        <w:rPr>
          <w:rFonts w:hint="eastAsia" w:asciiTheme="minorEastAsia" w:hAnsiTheme="minorEastAsia" w:eastAsiaTheme="minorEastAsia"/>
          <w:b/>
          <w:bCs/>
          <w:color w:val="auto"/>
          <w:sz w:val="28"/>
          <w:szCs w:val="28"/>
          <w:highlight w:val="none"/>
        </w:rPr>
        <w:t>2.</w:t>
      </w:r>
      <w:bookmarkEnd w:id="387"/>
      <w:bookmarkEnd w:id="388"/>
      <w:bookmarkEnd w:id="389"/>
      <w:bookmarkEnd w:id="390"/>
      <w:bookmarkEnd w:id="391"/>
      <w:bookmarkEnd w:id="392"/>
      <w:bookmarkEnd w:id="393"/>
      <w:bookmarkEnd w:id="394"/>
      <w:bookmarkEnd w:id="395"/>
      <w:r>
        <w:rPr>
          <w:rFonts w:hint="eastAsia" w:asciiTheme="minorEastAsia" w:hAnsiTheme="minorEastAsia" w:eastAsiaTheme="minorEastAsia"/>
          <w:b/>
          <w:bCs/>
          <w:color w:val="auto"/>
          <w:sz w:val="28"/>
          <w:szCs w:val="28"/>
          <w:highlight w:val="none"/>
        </w:rPr>
        <w:t>采购文件</w:t>
      </w:r>
      <w:bookmarkEnd w:id="396"/>
      <w:bookmarkEnd w:id="397"/>
      <w:bookmarkEnd w:id="398"/>
      <w:bookmarkEnd w:id="399"/>
      <w:bookmarkEnd w:id="400"/>
    </w:p>
    <w:p w14:paraId="4C401D8A">
      <w:pPr>
        <w:spacing w:line="360" w:lineRule="auto"/>
        <w:outlineLvl w:val="3"/>
        <w:rPr>
          <w:rFonts w:hint="eastAsia" w:ascii="宋体" w:hAnsi="宋体"/>
          <w:b/>
          <w:bCs/>
          <w:color w:val="auto"/>
          <w:sz w:val="24"/>
          <w:szCs w:val="24"/>
          <w:highlight w:val="none"/>
        </w:rPr>
      </w:pPr>
      <w:bookmarkStart w:id="401" w:name="_Toc81330939"/>
      <w:bookmarkStart w:id="402" w:name="_Toc45791354"/>
      <w:bookmarkStart w:id="403" w:name="_Toc75783531"/>
      <w:bookmarkStart w:id="404" w:name="_Toc45976900"/>
      <w:bookmarkStart w:id="405" w:name="_Toc69678429"/>
      <w:bookmarkStart w:id="406" w:name="_Toc87543818"/>
      <w:bookmarkStart w:id="407" w:name="_Toc98033934"/>
      <w:bookmarkStart w:id="408" w:name="_Toc1486"/>
      <w:bookmarkStart w:id="409" w:name="_Toc53412216"/>
      <w:bookmarkStart w:id="410" w:name="_Toc110405134"/>
      <w:bookmarkStart w:id="411" w:name="_Toc84356252"/>
      <w:bookmarkStart w:id="412" w:name="_Toc42204993"/>
      <w:bookmarkStart w:id="413" w:name="_Toc42267632"/>
      <w:bookmarkStart w:id="414" w:name="_Toc87538369"/>
      <w:bookmarkStart w:id="415" w:name="_Toc83753892"/>
      <w:bookmarkStart w:id="416" w:name="_Toc98865011"/>
      <w:bookmarkStart w:id="417" w:name="_Toc116584000"/>
      <w:bookmarkStart w:id="418" w:name="_Toc109809312"/>
      <w:r>
        <w:rPr>
          <w:rFonts w:hint="eastAsia" w:ascii="宋体" w:hAnsi="宋体"/>
          <w:b/>
          <w:bCs/>
          <w:color w:val="auto"/>
          <w:sz w:val="24"/>
          <w:szCs w:val="24"/>
          <w:highlight w:val="none"/>
        </w:rPr>
        <w:t>2.1采购文件的构成</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52BA0522">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采购文件包括以下内容：</w:t>
      </w:r>
    </w:p>
    <w:p w14:paraId="4563C690">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第一章 竞争性磋商公告</w:t>
      </w:r>
    </w:p>
    <w:p w14:paraId="1FC55AA8">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第二章 供应商须知</w:t>
      </w:r>
    </w:p>
    <w:p w14:paraId="7133986C">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第三章 合同条款及格式</w:t>
      </w:r>
    </w:p>
    <w:p w14:paraId="636B6CAE">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第四章 响应文件格式</w:t>
      </w:r>
    </w:p>
    <w:p w14:paraId="2B353C62">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第五章 采购需求</w:t>
      </w:r>
    </w:p>
    <w:p w14:paraId="345A4808">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第六章 评审办法（综合评分法）</w:t>
      </w:r>
    </w:p>
    <w:p w14:paraId="068A18E0">
      <w:pPr>
        <w:spacing w:line="360" w:lineRule="auto"/>
        <w:ind w:firstLine="420" w:firstLineChars="200"/>
        <w:jc w:val="left"/>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2.1.1构成采购文件的其他文件：根据本章第1.10款、第2.2 款和第2.3 款采购人对</w:t>
      </w:r>
      <w:r>
        <w:rPr>
          <w:rFonts w:hint="eastAsia" w:asciiTheme="minorEastAsia" w:hAnsiTheme="minorEastAsia" w:eastAsiaTheme="minorEastAsia"/>
          <w:snapToGrid w:val="0"/>
          <w:color w:val="auto"/>
          <w:kern w:val="0"/>
          <w:szCs w:val="21"/>
          <w:highlight w:val="none"/>
        </w:rPr>
        <w:t>采购文件</w:t>
      </w:r>
      <w:r>
        <w:rPr>
          <w:rFonts w:hint="eastAsia" w:asciiTheme="minorEastAsia" w:hAnsiTheme="minorEastAsia" w:eastAsiaTheme="minorEastAsia"/>
          <w:color w:val="auto"/>
          <w:szCs w:val="28"/>
          <w:highlight w:val="none"/>
        </w:rPr>
        <w:t>所作的澄清、修改，构成采购文件的组成部分。</w:t>
      </w:r>
    </w:p>
    <w:p w14:paraId="7AE9052A">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2.1.2磋商过程中可能实质性变动的内容：在磋商过程中，磋商小组可以根据</w:t>
      </w:r>
      <w:r>
        <w:rPr>
          <w:rFonts w:hint="eastAsia" w:asciiTheme="minorEastAsia" w:hAnsiTheme="minorEastAsia" w:eastAsiaTheme="minorEastAsia"/>
          <w:snapToGrid w:val="0"/>
          <w:color w:val="auto"/>
          <w:kern w:val="0"/>
          <w:szCs w:val="21"/>
          <w:highlight w:val="none"/>
        </w:rPr>
        <w:t>采购文件</w:t>
      </w:r>
      <w:r>
        <w:rPr>
          <w:rFonts w:hint="eastAsia" w:asciiTheme="minorEastAsia" w:hAnsiTheme="minorEastAsia" w:eastAsiaTheme="minorEastAsia"/>
          <w:color w:val="auto"/>
          <w:szCs w:val="21"/>
          <w:highlight w:val="none"/>
        </w:rPr>
        <w:t>和磋商情况实质性变动采购需求中的技术要求、质量标准以及合同条款，但不得变动</w:t>
      </w:r>
      <w:r>
        <w:rPr>
          <w:rFonts w:hint="eastAsia" w:asciiTheme="minorEastAsia" w:hAnsiTheme="minorEastAsia" w:eastAsiaTheme="minorEastAsia"/>
          <w:snapToGrid w:val="0"/>
          <w:color w:val="auto"/>
          <w:kern w:val="0"/>
          <w:szCs w:val="21"/>
          <w:highlight w:val="none"/>
        </w:rPr>
        <w:t>采购文件</w:t>
      </w:r>
      <w:r>
        <w:rPr>
          <w:rFonts w:hint="eastAsia" w:asciiTheme="minorEastAsia" w:hAnsiTheme="minorEastAsia" w:eastAsiaTheme="minorEastAsia"/>
          <w:color w:val="auto"/>
          <w:szCs w:val="21"/>
          <w:highlight w:val="none"/>
        </w:rPr>
        <w:t>中的其他内容。实质性变动的内容，须经采购人代表确认。</w:t>
      </w:r>
    </w:p>
    <w:p w14:paraId="58781A83">
      <w:pPr>
        <w:spacing w:line="360" w:lineRule="auto"/>
        <w:outlineLvl w:val="3"/>
        <w:rPr>
          <w:rFonts w:hint="eastAsia" w:ascii="宋体" w:hAnsi="宋体"/>
          <w:b/>
          <w:bCs/>
          <w:color w:val="auto"/>
          <w:sz w:val="24"/>
          <w:szCs w:val="24"/>
          <w:highlight w:val="none"/>
        </w:rPr>
      </w:pPr>
      <w:bookmarkStart w:id="419" w:name="_Toc109809313"/>
      <w:bookmarkStart w:id="420" w:name="_Toc87538370"/>
      <w:bookmarkStart w:id="421" w:name="_Toc116584001"/>
      <w:bookmarkStart w:id="422" w:name="_Toc81330940"/>
      <w:bookmarkStart w:id="423" w:name="_Toc84356253"/>
      <w:bookmarkStart w:id="424" w:name="_Toc42267633"/>
      <w:bookmarkStart w:id="425" w:name="_Toc75783532"/>
      <w:bookmarkStart w:id="426" w:name="_Toc45791355"/>
      <w:bookmarkStart w:id="427" w:name="_Toc69678430"/>
      <w:bookmarkStart w:id="428" w:name="_Toc87543819"/>
      <w:bookmarkStart w:id="429" w:name="_Toc2038"/>
      <w:bookmarkStart w:id="430" w:name="_Toc98865012"/>
      <w:bookmarkStart w:id="431" w:name="_Toc98033935"/>
      <w:bookmarkStart w:id="432" w:name="_Toc110405135"/>
      <w:bookmarkStart w:id="433" w:name="_Toc45976901"/>
      <w:bookmarkStart w:id="434" w:name="_Toc53412217"/>
      <w:bookmarkStart w:id="435" w:name="_Toc42204994"/>
      <w:bookmarkStart w:id="436" w:name="_Toc83753893"/>
      <w:r>
        <w:rPr>
          <w:rFonts w:hint="eastAsia" w:ascii="宋体" w:hAnsi="宋体"/>
          <w:b/>
          <w:bCs/>
          <w:color w:val="auto"/>
          <w:sz w:val="24"/>
          <w:szCs w:val="24"/>
          <w:highlight w:val="none"/>
        </w:rPr>
        <w:t>2.2采购文件的澄清</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29DEFFB">
      <w:pPr>
        <w:adjustRightInd w:val="0"/>
        <w:snapToGrid w:val="0"/>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2.2.1供应商要求澄清采购文件的截止时间和方法：同1.10.2的时间要求。供应商应仔细阅读和检查采购文件的全部内容，如发现缺页或附件不全，应及时向采购人提出，以便补齐。如有疑问，应在供应商须知前附表规定的时间前，要求采购人对采购文件予以澄清。</w:t>
      </w:r>
    </w:p>
    <w:p w14:paraId="500C223C">
      <w:pPr>
        <w:adjustRightInd w:val="0"/>
        <w:snapToGrid w:val="0"/>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2.2.2提交响应文件的截止时间：详见供应商须知前附表。</w:t>
      </w:r>
    </w:p>
    <w:p w14:paraId="7C8A3E85">
      <w:pPr>
        <w:adjustRightInd w:val="0"/>
        <w:snapToGrid w:val="0"/>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2.2.3供应商确认收到</w:t>
      </w:r>
      <w:r>
        <w:rPr>
          <w:rFonts w:hint="eastAsia" w:asciiTheme="minorEastAsia" w:hAnsiTheme="minorEastAsia" w:eastAsiaTheme="minorEastAsia"/>
          <w:snapToGrid w:val="0"/>
          <w:color w:val="auto"/>
          <w:kern w:val="0"/>
          <w:szCs w:val="21"/>
          <w:highlight w:val="none"/>
        </w:rPr>
        <w:t>采购文件</w:t>
      </w:r>
      <w:r>
        <w:rPr>
          <w:rFonts w:hint="eastAsia" w:asciiTheme="minorEastAsia" w:hAnsiTheme="minorEastAsia" w:eastAsiaTheme="minorEastAsia"/>
          <w:color w:val="auto"/>
          <w:szCs w:val="21"/>
          <w:highlight w:val="none"/>
        </w:rPr>
        <w:t>澄清的时间：详</w:t>
      </w:r>
      <w:r>
        <w:rPr>
          <w:rFonts w:hint="eastAsia" w:asciiTheme="minorEastAsia" w:hAnsiTheme="minorEastAsia" w:eastAsiaTheme="minorEastAsia"/>
          <w:color w:val="auto"/>
          <w:szCs w:val="28"/>
          <w:highlight w:val="none"/>
        </w:rPr>
        <w:t>见供应商须知前附表。</w:t>
      </w:r>
    </w:p>
    <w:p w14:paraId="5E8D75A4">
      <w:pPr>
        <w:spacing w:line="360" w:lineRule="auto"/>
        <w:outlineLvl w:val="3"/>
        <w:rPr>
          <w:rFonts w:hint="eastAsia" w:ascii="宋体" w:hAnsi="宋体"/>
          <w:b/>
          <w:bCs/>
          <w:color w:val="auto"/>
          <w:sz w:val="24"/>
          <w:szCs w:val="24"/>
          <w:highlight w:val="none"/>
        </w:rPr>
      </w:pPr>
      <w:bookmarkStart w:id="437" w:name="_Toc13012"/>
      <w:bookmarkStart w:id="438" w:name="_Toc45791356"/>
      <w:bookmarkStart w:id="439" w:name="_Toc69678431"/>
      <w:bookmarkStart w:id="440" w:name="_Toc87538371"/>
      <w:bookmarkStart w:id="441" w:name="_Toc98865013"/>
      <w:bookmarkStart w:id="442" w:name="_Toc45976902"/>
      <w:bookmarkStart w:id="443" w:name="_Toc98033936"/>
      <w:bookmarkStart w:id="444" w:name="_Toc83753894"/>
      <w:bookmarkStart w:id="445" w:name="_Toc84356254"/>
      <w:bookmarkStart w:id="446" w:name="_Toc42204995"/>
      <w:bookmarkStart w:id="447" w:name="_Toc87543820"/>
      <w:bookmarkStart w:id="448" w:name="_Toc110405136"/>
      <w:bookmarkStart w:id="449" w:name="_Toc53412218"/>
      <w:bookmarkStart w:id="450" w:name="_Toc81330941"/>
      <w:bookmarkStart w:id="451" w:name="_Toc109809314"/>
      <w:bookmarkStart w:id="452" w:name="_Toc116584002"/>
      <w:bookmarkStart w:id="453" w:name="_Toc75783533"/>
      <w:bookmarkStart w:id="454" w:name="_Toc42267634"/>
      <w:r>
        <w:rPr>
          <w:rFonts w:hint="eastAsia" w:ascii="宋体" w:hAnsi="宋体"/>
          <w:b/>
          <w:bCs/>
          <w:color w:val="auto"/>
          <w:sz w:val="24"/>
          <w:szCs w:val="24"/>
          <w:highlight w:val="none"/>
        </w:rPr>
        <w:t>2.3采购文件的修改</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73E70232">
      <w:pPr>
        <w:adjustRightInd w:val="0"/>
        <w:snapToGrid w:val="0"/>
        <w:spacing w:line="360" w:lineRule="auto"/>
        <w:ind w:firstLine="420" w:firstLineChars="200"/>
        <w:jc w:val="left"/>
        <w:rPr>
          <w:rFonts w:hint="eastAsia" w:asciiTheme="minorEastAsia" w:hAnsiTheme="minorEastAsia" w:eastAsiaTheme="minorEastAsia"/>
          <w:color w:val="auto"/>
          <w:szCs w:val="21"/>
          <w:highlight w:val="none"/>
        </w:rPr>
      </w:pPr>
      <w:bookmarkStart w:id="455" w:name="_Toc381796409"/>
      <w:bookmarkStart w:id="456" w:name="_Toc292983019"/>
      <w:r>
        <w:rPr>
          <w:rFonts w:hint="eastAsia" w:asciiTheme="minorEastAsia" w:hAnsiTheme="minorEastAsia" w:eastAsiaTheme="minorEastAsia"/>
          <w:color w:val="auto"/>
          <w:szCs w:val="21"/>
          <w:highlight w:val="none"/>
        </w:rPr>
        <w:t>2.3.1</w:t>
      </w:r>
      <w:r>
        <w:rPr>
          <w:rFonts w:hint="eastAsia" w:asciiTheme="minorEastAsia" w:hAnsiTheme="minorEastAsia" w:eastAsiaTheme="minorEastAsia"/>
          <w:color w:val="auto"/>
          <w:highlight w:val="none"/>
        </w:rPr>
        <w:t>提交响应文件截止时间前，采购人、采购代理机构可以对已发出的采购文件进行必要的澄清，澄清的内容作为采购文件的组成部分</w:t>
      </w:r>
      <w:r>
        <w:rPr>
          <w:rFonts w:hint="eastAsia" w:asciiTheme="minorEastAsia" w:hAnsiTheme="minorEastAsia" w:eastAsiaTheme="minorEastAsia"/>
          <w:color w:val="auto"/>
          <w:szCs w:val="21"/>
          <w:highlight w:val="none"/>
        </w:rPr>
        <w:t>并具有约束力。</w:t>
      </w:r>
      <w:r>
        <w:rPr>
          <w:rFonts w:hint="eastAsia" w:asciiTheme="minorEastAsia" w:hAnsiTheme="minorEastAsia" w:eastAsiaTheme="minorEastAsia"/>
          <w:color w:val="auto"/>
          <w:highlight w:val="none"/>
        </w:rPr>
        <w:t>澄清的内容可能影响采购文件编制的，采购人、采购代理机构应在提交响应文件截止时间5日前，在政府采购云平台通知所有获取采购文件的供应商，但不指明澄清问题的来源。不足5日的，应当顺延提交响应文件截止时间。</w:t>
      </w:r>
    </w:p>
    <w:p w14:paraId="004C2E68">
      <w:pPr>
        <w:adjustRightInd w:val="0"/>
        <w:snapToGrid w:val="0"/>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2.3.2供应商应在响应文件提交截止时间前随时查看有关该项目采购文件的答疑、补遗内容。否则，由此引起的损失由供应商自负。</w:t>
      </w:r>
    </w:p>
    <w:p w14:paraId="059CF12D">
      <w:pPr>
        <w:adjustRightInd w:val="0"/>
        <w:snapToGrid w:val="0"/>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2.3.3采购文件、采购文件澄清、采购文件修改文件内容均以网上发布的为准，当采购文件、采购文件澄清、采购文件修改文件内容相互矛盾时，以最后发出的为准</w:t>
      </w:r>
      <w:r>
        <w:rPr>
          <w:rFonts w:asciiTheme="minorEastAsia" w:hAnsiTheme="minorEastAsia" w:eastAsiaTheme="minorEastAsia"/>
          <w:color w:val="auto"/>
          <w:szCs w:val="21"/>
          <w:highlight w:val="none"/>
        </w:rPr>
        <w:t>。</w:t>
      </w:r>
    </w:p>
    <w:p w14:paraId="70DCF0F6">
      <w:pPr>
        <w:spacing w:line="360" w:lineRule="auto"/>
        <w:jc w:val="center"/>
        <w:outlineLvl w:val="2"/>
        <w:rPr>
          <w:rFonts w:hint="eastAsia" w:asciiTheme="minorEastAsia" w:hAnsiTheme="minorEastAsia" w:eastAsiaTheme="minorEastAsia"/>
          <w:b/>
          <w:bCs/>
          <w:color w:val="auto"/>
          <w:sz w:val="28"/>
          <w:szCs w:val="28"/>
          <w:highlight w:val="none"/>
        </w:rPr>
      </w:pPr>
      <w:bookmarkStart w:id="457" w:name="_Toc45791357"/>
      <w:bookmarkStart w:id="458" w:name="_Toc98033937"/>
      <w:bookmarkStart w:id="459" w:name="_Toc116584003"/>
      <w:bookmarkStart w:id="460" w:name="_Toc42267635"/>
      <w:bookmarkStart w:id="461" w:name="_Toc109809315"/>
      <w:bookmarkStart w:id="462" w:name="_Toc26920"/>
      <w:bookmarkStart w:id="463" w:name="_Toc87543821"/>
      <w:bookmarkStart w:id="464" w:name="_Toc37603104"/>
      <w:bookmarkStart w:id="465" w:name="_Toc45976903"/>
      <w:bookmarkStart w:id="466" w:name="_Toc83753895"/>
      <w:bookmarkStart w:id="467" w:name="_Toc98865014"/>
      <w:bookmarkStart w:id="468" w:name="_Toc84356255"/>
      <w:bookmarkStart w:id="469" w:name="_Toc87538372"/>
      <w:bookmarkStart w:id="470" w:name="_Toc110405137"/>
      <w:bookmarkStart w:id="471" w:name="_Toc42204996"/>
      <w:r>
        <w:rPr>
          <w:rFonts w:hint="eastAsia" w:asciiTheme="minorEastAsia" w:hAnsiTheme="minorEastAsia" w:eastAsiaTheme="minorEastAsia"/>
          <w:b/>
          <w:bCs/>
          <w:color w:val="auto"/>
          <w:sz w:val="28"/>
          <w:szCs w:val="28"/>
          <w:highlight w:val="none"/>
        </w:rPr>
        <w:t>3.响应文件</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6714FC9F">
      <w:pPr>
        <w:spacing w:line="360" w:lineRule="auto"/>
        <w:outlineLvl w:val="3"/>
        <w:rPr>
          <w:rFonts w:hint="eastAsia" w:ascii="宋体" w:hAnsi="宋体"/>
          <w:b/>
          <w:bCs/>
          <w:color w:val="auto"/>
          <w:sz w:val="24"/>
          <w:szCs w:val="24"/>
          <w:highlight w:val="none"/>
        </w:rPr>
      </w:pPr>
      <w:bookmarkStart w:id="472" w:name="_Toc81330943"/>
      <w:bookmarkStart w:id="473" w:name="_Toc75783535"/>
      <w:bookmarkStart w:id="474" w:name="_Toc98033938"/>
      <w:bookmarkStart w:id="475" w:name="_Toc69678433"/>
      <w:bookmarkStart w:id="476" w:name="_Toc110405138"/>
      <w:bookmarkStart w:id="477" w:name="_Toc45976904"/>
      <w:bookmarkStart w:id="478" w:name="_Toc109809316"/>
      <w:bookmarkStart w:id="479" w:name="_Toc83753896"/>
      <w:bookmarkStart w:id="480" w:name="_Toc42204997"/>
      <w:bookmarkStart w:id="481" w:name="_Toc53412220"/>
      <w:bookmarkStart w:id="482" w:name="_Toc84356256"/>
      <w:bookmarkStart w:id="483" w:name="_Toc87543822"/>
      <w:bookmarkStart w:id="484" w:name="_Toc116584004"/>
      <w:bookmarkStart w:id="485" w:name="_Toc145"/>
      <w:bookmarkStart w:id="486" w:name="_Toc45791358"/>
      <w:bookmarkStart w:id="487" w:name="_Toc87538373"/>
      <w:bookmarkStart w:id="488" w:name="_Toc98865015"/>
      <w:bookmarkStart w:id="489" w:name="_Toc42267636"/>
      <w:r>
        <w:rPr>
          <w:rFonts w:hint="eastAsia" w:ascii="宋体" w:hAnsi="宋体"/>
          <w:b/>
          <w:bCs/>
          <w:color w:val="auto"/>
          <w:sz w:val="24"/>
          <w:szCs w:val="24"/>
          <w:highlight w:val="none"/>
        </w:rPr>
        <w:t>3.1 响应文件的组成</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2B2C3EFF">
      <w:pPr>
        <w:pStyle w:val="14"/>
        <w:spacing w:line="36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详见第四章“响应文件格式”部分。</w:t>
      </w:r>
    </w:p>
    <w:p w14:paraId="5B79914E">
      <w:pPr>
        <w:spacing w:line="360" w:lineRule="auto"/>
        <w:outlineLvl w:val="3"/>
        <w:rPr>
          <w:rFonts w:hint="eastAsia" w:ascii="宋体" w:hAnsi="宋体"/>
          <w:b/>
          <w:bCs/>
          <w:color w:val="auto"/>
          <w:sz w:val="24"/>
          <w:szCs w:val="24"/>
          <w:highlight w:val="none"/>
        </w:rPr>
      </w:pPr>
      <w:bookmarkStart w:id="490" w:name="_Toc81330944"/>
      <w:bookmarkStart w:id="491" w:name="_Toc87543823"/>
      <w:bookmarkStart w:id="492" w:name="_Toc45791359"/>
      <w:bookmarkStart w:id="493" w:name="_Toc83753897"/>
      <w:bookmarkStart w:id="494" w:name="_Toc69678434"/>
      <w:bookmarkStart w:id="495" w:name="_Toc87538374"/>
      <w:bookmarkStart w:id="496" w:name="_Toc75783536"/>
      <w:bookmarkStart w:id="497" w:name="_Toc84356257"/>
      <w:bookmarkStart w:id="498" w:name="_Toc45976905"/>
      <w:bookmarkStart w:id="499" w:name="_Toc53412221"/>
      <w:bookmarkStart w:id="500" w:name="_Toc42267637"/>
      <w:bookmarkStart w:id="501" w:name="_Toc98033939"/>
      <w:bookmarkStart w:id="502" w:name="_Toc109809317"/>
      <w:bookmarkStart w:id="503" w:name="_Toc11669"/>
      <w:bookmarkStart w:id="504" w:name="_Toc98865016"/>
      <w:bookmarkStart w:id="505" w:name="_Toc110405139"/>
      <w:bookmarkStart w:id="506" w:name="_Toc42204998"/>
      <w:bookmarkStart w:id="507" w:name="_Toc116584005"/>
      <w:r>
        <w:rPr>
          <w:rFonts w:hint="eastAsia" w:ascii="宋体" w:hAnsi="宋体"/>
          <w:b/>
          <w:bCs/>
          <w:color w:val="auto"/>
          <w:sz w:val="24"/>
          <w:szCs w:val="24"/>
          <w:highlight w:val="none"/>
        </w:rPr>
        <w:t>3.2 磋商报价</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61C840EA">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最高磋商限价：详见供应商须知前附表。</w:t>
      </w:r>
    </w:p>
    <w:p w14:paraId="5A6F3A35">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报价方式：详见供应商须知前附表。</w:t>
      </w:r>
    </w:p>
    <w:p w14:paraId="7818DDFD">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3.2.3结算方式：详见供应商须知前附表。</w:t>
      </w:r>
    </w:p>
    <w:p w14:paraId="6D0931D6">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3.2.4二次报价：详见供应商须知前附表。</w:t>
      </w:r>
    </w:p>
    <w:p w14:paraId="14C9D38F">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3.2.5任何有选择的报价将不予接受，本次竞争性磋商只允许供应商只有一个有效的报价。在响应文件中，供应商投报两个或多个方案或有两个或多个报价，又未书面声明其中哪一个有效的，其响应文件按否决处理。</w:t>
      </w:r>
    </w:p>
    <w:p w14:paraId="1DC5CF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3.2.6通过资格审查、符合性审查的供应商将进行二次报价，二次报价或二次报价依据政策扣除后的价格为供应商的评审价，供应商的二次报价是响应文件的有效组成部分。</w:t>
      </w:r>
    </w:p>
    <w:p w14:paraId="48AF435F">
      <w:pPr>
        <w:spacing w:line="360" w:lineRule="auto"/>
        <w:outlineLvl w:val="3"/>
        <w:rPr>
          <w:rFonts w:hint="eastAsia" w:ascii="宋体" w:hAnsi="宋体"/>
          <w:b/>
          <w:bCs/>
          <w:color w:val="auto"/>
          <w:sz w:val="24"/>
          <w:szCs w:val="24"/>
          <w:highlight w:val="none"/>
        </w:rPr>
      </w:pPr>
      <w:bookmarkStart w:id="508" w:name="_Toc87543824"/>
      <w:bookmarkStart w:id="509" w:name="_Toc42267638"/>
      <w:bookmarkStart w:id="510" w:name="_Toc116584006"/>
      <w:bookmarkStart w:id="511" w:name="_Toc98033940"/>
      <w:bookmarkStart w:id="512" w:name="_Toc98865017"/>
      <w:bookmarkStart w:id="513" w:name="_Toc83753898"/>
      <w:bookmarkStart w:id="514" w:name="_Toc109809318"/>
      <w:bookmarkStart w:id="515" w:name="_Toc81330945"/>
      <w:bookmarkStart w:id="516" w:name="_Toc84356258"/>
      <w:bookmarkStart w:id="517" w:name="_Toc110405140"/>
      <w:bookmarkStart w:id="518" w:name="_Toc45976906"/>
      <w:bookmarkStart w:id="519" w:name="_Toc42204999"/>
      <w:bookmarkStart w:id="520" w:name="_Toc75783537"/>
      <w:bookmarkStart w:id="521" w:name="_Toc9599"/>
      <w:bookmarkStart w:id="522" w:name="_Toc45791360"/>
      <w:bookmarkStart w:id="523" w:name="_Toc69678435"/>
      <w:bookmarkStart w:id="524" w:name="_Toc53412222"/>
      <w:bookmarkStart w:id="525" w:name="_Toc87538375"/>
      <w:r>
        <w:rPr>
          <w:rFonts w:hint="eastAsia" w:ascii="宋体" w:hAnsi="宋体"/>
          <w:b/>
          <w:bCs/>
          <w:color w:val="auto"/>
          <w:sz w:val="24"/>
          <w:szCs w:val="24"/>
          <w:highlight w:val="none"/>
        </w:rPr>
        <w:t>3.3 磋商有效期</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6B87167">
      <w:pPr>
        <w:spacing w:line="360" w:lineRule="auto"/>
        <w:ind w:firstLine="420" w:firstLineChars="200"/>
        <w:jc w:val="left"/>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3.3.1在供应商须知前附表规定的</w:t>
      </w:r>
      <w:r>
        <w:rPr>
          <w:rFonts w:hint="eastAsia" w:asciiTheme="minorEastAsia" w:hAnsiTheme="minorEastAsia" w:eastAsiaTheme="minorEastAsia"/>
          <w:color w:val="auto"/>
          <w:szCs w:val="24"/>
          <w:highlight w:val="none"/>
        </w:rPr>
        <w:t>磋商</w:t>
      </w:r>
      <w:r>
        <w:rPr>
          <w:rFonts w:hint="eastAsia" w:asciiTheme="minorEastAsia" w:hAnsiTheme="minorEastAsia" w:eastAsiaTheme="minorEastAsia"/>
          <w:color w:val="auto"/>
          <w:szCs w:val="28"/>
          <w:highlight w:val="none"/>
        </w:rPr>
        <w:t>有效期内，供应商不得要求撤销或修改其响应文件。</w:t>
      </w:r>
    </w:p>
    <w:p w14:paraId="6CE32062">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8"/>
          <w:highlight w:val="none"/>
        </w:rPr>
        <w:t>3.3.2出现特殊情况需要延长</w:t>
      </w:r>
      <w:r>
        <w:rPr>
          <w:rFonts w:hint="eastAsia" w:asciiTheme="minorEastAsia" w:hAnsiTheme="minorEastAsia" w:eastAsiaTheme="minorEastAsia"/>
          <w:color w:val="auto"/>
          <w:szCs w:val="24"/>
          <w:highlight w:val="none"/>
        </w:rPr>
        <w:t>磋商</w:t>
      </w:r>
      <w:r>
        <w:rPr>
          <w:rFonts w:hint="eastAsia" w:asciiTheme="minorEastAsia" w:hAnsiTheme="minorEastAsia" w:eastAsiaTheme="minorEastAsia"/>
          <w:color w:val="auto"/>
          <w:szCs w:val="28"/>
          <w:highlight w:val="none"/>
        </w:rPr>
        <w:t>有效期的，采购人将通知所有供应商延长</w:t>
      </w:r>
      <w:r>
        <w:rPr>
          <w:rFonts w:hint="eastAsia" w:asciiTheme="minorEastAsia" w:hAnsiTheme="minorEastAsia" w:eastAsiaTheme="minorEastAsia"/>
          <w:color w:val="auto"/>
          <w:szCs w:val="24"/>
          <w:highlight w:val="none"/>
        </w:rPr>
        <w:t>磋商</w:t>
      </w:r>
      <w:r>
        <w:rPr>
          <w:rFonts w:hint="eastAsia" w:asciiTheme="minorEastAsia" w:hAnsiTheme="minorEastAsia" w:eastAsiaTheme="minorEastAsia"/>
          <w:color w:val="auto"/>
          <w:szCs w:val="28"/>
          <w:highlight w:val="none"/>
        </w:rPr>
        <w:t>有效期。供应商同意延长的，不得要求或被允许修改或撤销其响应文件；供应商拒绝延长的，其</w:t>
      </w:r>
      <w:r>
        <w:rPr>
          <w:rFonts w:hint="eastAsia" w:asciiTheme="minorEastAsia" w:hAnsiTheme="minorEastAsia" w:eastAsiaTheme="minorEastAsia"/>
          <w:color w:val="auto"/>
          <w:szCs w:val="24"/>
          <w:highlight w:val="none"/>
        </w:rPr>
        <w:t>磋商</w:t>
      </w:r>
      <w:r>
        <w:rPr>
          <w:rFonts w:hint="eastAsia" w:asciiTheme="minorEastAsia" w:hAnsiTheme="minorEastAsia" w:eastAsiaTheme="minorEastAsia"/>
          <w:color w:val="auto"/>
          <w:szCs w:val="28"/>
          <w:highlight w:val="none"/>
        </w:rPr>
        <w:t>失效。</w:t>
      </w:r>
    </w:p>
    <w:p w14:paraId="605E30A2">
      <w:pPr>
        <w:spacing w:line="360" w:lineRule="auto"/>
        <w:outlineLvl w:val="3"/>
        <w:rPr>
          <w:rFonts w:hint="eastAsia" w:ascii="宋体" w:hAnsi="宋体"/>
          <w:b/>
          <w:bCs/>
          <w:color w:val="auto"/>
          <w:sz w:val="24"/>
          <w:szCs w:val="24"/>
          <w:highlight w:val="none"/>
        </w:rPr>
      </w:pPr>
      <w:bookmarkStart w:id="526" w:name="_Toc98865018"/>
      <w:bookmarkStart w:id="527" w:name="_Toc87543825"/>
      <w:bookmarkStart w:id="528" w:name="_Toc83753899"/>
      <w:bookmarkStart w:id="529" w:name="_Toc30417"/>
      <w:bookmarkStart w:id="530" w:name="_Toc109809319"/>
      <w:bookmarkStart w:id="531" w:name="_Toc87538376"/>
      <w:bookmarkStart w:id="532" w:name="_Toc69678436"/>
      <w:bookmarkStart w:id="533" w:name="_Toc45976907"/>
      <w:bookmarkStart w:id="534" w:name="_Toc75783538"/>
      <w:bookmarkStart w:id="535" w:name="_Toc53412223"/>
      <w:bookmarkStart w:id="536" w:name="_Toc45791361"/>
      <w:bookmarkStart w:id="537" w:name="_Toc84356259"/>
      <w:bookmarkStart w:id="538" w:name="_Toc110405141"/>
      <w:bookmarkStart w:id="539" w:name="_Toc98033941"/>
      <w:bookmarkStart w:id="540" w:name="_Toc81330946"/>
      <w:bookmarkStart w:id="541" w:name="_Toc42205000"/>
      <w:bookmarkStart w:id="542" w:name="_Toc42267639"/>
      <w:bookmarkStart w:id="543" w:name="_Toc116584007"/>
      <w:r>
        <w:rPr>
          <w:rFonts w:hint="eastAsia" w:ascii="宋体" w:hAnsi="宋体"/>
          <w:b/>
          <w:bCs/>
          <w:color w:val="auto"/>
          <w:sz w:val="24"/>
          <w:szCs w:val="24"/>
          <w:highlight w:val="none"/>
        </w:rPr>
        <w:t>3.4 磋商保证金</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87C9963">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本项目不要求供应商提交磋商保证金。</w:t>
      </w:r>
    </w:p>
    <w:p w14:paraId="7F1518F8">
      <w:pPr>
        <w:spacing w:line="360" w:lineRule="auto"/>
        <w:outlineLvl w:val="3"/>
        <w:rPr>
          <w:rFonts w:hint="eastAsia" w:ascii="宋体" w:hAnsi="宋体"/>
          <w:b/>
          <w:bCs/>
          <w:color w:val="auto"/>
          <w:sz w:val="24"/>
          <w:szCs w:val="24"/>
          <w:highlight w:val="none"/>
        </w:rPr>
      </w:pPr>
      <w:bookmarkStart w:id="544" w:name="_Toc53412224"/>
      <w:bookmarkStart w:id="545" w:name="_Toc81330947"/>
      <w:bookmarkStart w:id="546" w:name="_Toc30166"/>
      <w:bookmarkStart w:id="547" w:name="_Toc109809320"/>
      <w:bookmarkStart w:id="548" w:name="_Toc110405142"/>
      <w:bookmarkStart w:id="549" w:name="_Toc98033942"/>
      <w:bookmarkStart w:id="550" w:name="_Toc69678437"/>
      <w:bookmarkStart w:id="551" w:name="_Toc42205001"/>
      <w:bookmarkStart w:id="552" w:name="_Toc98865019"/>
      <w:bookmarkStart w:id="553" w:name="_Toc45791362"/>
      <w:bookmarkStart w:id="554" w:name="_Toc87543826"/>
      <w:bookmarkStart w:id="555" w:name="_Toc116584008"/>
      <w:bookmarkStart w:id="556" w:name="_Toc87538377"/>
      <w:bookmarkStart w:id="557" w:name="_Toc75783539"/>
      <w:bookmarkStart w:id="558" w:name="_Toc84356260"/>
      <w:bookmarkStart w:id="559" w:name="_Toc42267640"/>
      <w:bookmarkStart w:id="560" w:name="_Toc83753900"/>
      <w:bookmarkStart w:id="561" w:name="_Toc45976908"/>
      <w:r>
        <w:rPr>
          <w:rFonts w:hint="eastAsia" w:ascii="宋体" w:hAnsi="宋体"/>
          <w:b/>
          <w:bCs/>
          <w:color w:val="auto"/>
          <w:sz w:val="24"/>
          <w:szCs w:val="24"/>
          <w:highlight w:val="none"/>
        </w:rPr>
        <w:t>3.5 资格审查资料</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676BD029">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3.5.1近年财务状况的年份要求：详见供应商须知前附表。</w:t>
      </w:r>
    </w:p>
    <w:p w14:paraId="2E1DAEA8">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3.5.2没有重大违法记录的年份要求：详见供应商须知前附表。</w:t>
      </w:r>
    </w:p>
    <w:p w14:paraId="43C21CE0">
      <w:pPr>
        <w:spacing w:line="360" w:lineRule="auto"/>
        <w:ind w:firstLine="420" w:firstLineChars="200"/>
        <w:rPr>
          <w:rFonts w:hint="eastAsia"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3.5.3其他资格审查资料：详见</w:t>
      </w:r>
      <w:r>
        <w:rPr>
          <w:rFonts w:hint="eastAsia" w:asciiTheme="minorEastAsia" w:hAnsiTheme="minorEastAsia" w:eastAsiaTheme="minorEastAsia"/>
          <w:color w:val="auto"/>
          <w:szCs w:val="21"/>
          <w:highlight w:val="none"/>
        </w:rPr>
        <w:t>第四章</w:t>
      </w:r>
      <w:r>
        <w:rPr>
          <w:rFonts w:hint="eastAsia" w:cs="宋体" w:asciiTheme="minorEastAsia" w:hAnsiTheme="minorEastAsia" w:eastAsiaTheme="minorEastAsia"/>
          <w:color w:val="auto"/>
          <w:szCs w:val="21"/>
          <w:highlight w:val="none"/>
        </w:rPr>
        <w:t>“响应文件格式”资格文件中的内容。</w:t>
      </w:r>
    </w:p>
    <w:p w14:paraId="08DA9FE9">
      <w:pPr>
        <w:spacing w:line="360" w:lineRule="auto"/>
        <w:outlineLvl w:val="3"/>
        <w:rPr>
          <w:rFonts w:hint="eastAsia" w:ascii="宋体" w:hAnsi="宋体"/>
          <w:b/>
          <w:bCs/>
          <w:color w:val="auto"/>
          <w:sz w:val="24"/>
          <w:szCs w:val="24"/>
          <w:highlight w:val="none"/>
        </w:rPr>
      </w:pPr>
      <w:bookmarkStart w:id="562" w:name="_Toc83753901"/>
      <w:bookmarkStart w:id="563" w:name="_Toc53412225"/>
      <w:bookmarkStart w:id="564" w:name="_Toc116584009"/>
      <w:bookmarkStart w:id="565" w:name="_Toc75783540"/>
      <w:bookmarkStart w:id="566" w:name="_Toc87538378"/>
      <w:bookmarkStart w:id="567" w:name="_Toc45976909"/>
      <w:bookmarkStart w:id="568" w:name="_Toc81330948"/>
      <w:bookmarkStart w:id="569" w:name="_Toc42205002"/>
      <w:bookmarkStart w:id="570" w:name="_Toc98865020"/>
      <w:bookmarkStart w:id="571" w:name="_Toc98033943"/>
      <w:bookmarkStart w:id="572" w:name="_Toc109809321"/>
      <w:bookmarkStart w:id="573" w:name="_Toc69678438"/>
      <w:bookmarkStart w:id="574" w:name="_Toc87543827"/>
      <w:bookmarkStart w:id="575" w:name="_Toc42267641"/>
      <w:bookmarkStart w:id="576" w:name="_Toc110405143"/>
      <w:bookmarkStart w:id="577" w:name="_Toc45791363"/>
      <w:bookmarkStart w:id="578" w:name="_Toc1352"/>
      <w:bookmarkStart w:id="579" w:name="_Toc84356261"/>
      <w:r>
        <w:rPr>
          <w:rFonts w:hint="eastAsia" w:ascii="宋体" w:hAnsi="宋体"/>
          <w:b/>
          <w:bCs/>
          <w:color w:val="auto"/>
          <w:sz w:val="24"/>
          <w:szCs w:val="24"/>
          <w:highlight w:val="none"/>
        </w:rPr>
        <w:t>3.6 备选磋商方案</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46355BA7">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除供应商须知前附表另有规定外，供应商不得</w:t>
      </w:r>
      <w:r>
        <w:rPr>
          <w:rFonts w:hint="eastAsia" w:asciiTheme="minorEastAsia" w:hAnsiTheme="minorEastAsia" w:eastAsiaTheme="minorEastAsia"/>
          <w:color w:val="auto"/>
          <w:szCs w:val="28"/>
          <w:highlight w:val="none"/>
        </w:rPr>
        <w:t>提交</w:t>
      </w:r>
      <w:r>
        <w:rPr>
          <w:rFonts w:hint="eastAsia" w:asciiTheme="minorEastAsia" w:hAnsiTheme="minorEastAsia" w:eastAsiaTheme="minorEastAsia"/>
          <w:color w:val="auto"/>
          <w:szCs w:val="21"/>
          <w:highlight w:val="none"/>
        </w:rPr>
        <w:t>备选磋商方案。允许供应商</w:t>
      </w:r>
      <w:r>
        <w:rPr>
          <w:rFonts w:hint="eastAsia" w:asciiTheme="minorEastAsia" w:hAnsiTheme="minorEastAsia" w:eastAsiaTheme="minorEastAsia"/>
          <w:color w:val="auto"/>
          <w:szCs w:val="28"/>
          <w:highlight w:val="none"/>
        </w:rPr>
        <w:t>提交</w:t>
      </w:r>
      <w:r>
        <w:rPr>
          <w:rFonts w:hint="eastAsia" w:asciiTheme="minorEastAsia" w:hAnsiTheme="minorEastAsia" w:eastAsiaTheme="minorEastAsia"/>
          <w:color w:val="auto"/>
          <w:szCs w:val="21"/>
          <w:highlight w:val="none"/>
        </w:rPr>
        <w:t>备选磋商方案的，只有成交供应商所</w:t>
      </w:r>
      <w:r>
        <w:rPr>
          <w:rFonts w:hint="eastAsia" w:asciiTheme="minorEastAsia" w:hAnsiTheme="minorEastAsia" w:eastAsiaTheme="minorEastAsia"/>
          <w:color w:val="auto"/>
          <w:szCs w:val="28"/>
          <w:highlight w:val="none"/>
        </w:rPr>
        <w:t>提交</w:t>
      </w:r>
      <w:r>
        <w:rPr>
          <w:rFonts w:hint="eastAsia" w:asciiTheme="minorEastAsia" w:hAnsiTheme="minorEastAsia" w:eastAsiaTheme="minorEastAsia"/>
          <w:color w:val="auto"/>
          <w:szCs w:val="21"/>
          <w:highlight w:val="none"/>
        </w:rPr>
        <w:t>的备选磋商方案方可予以考虑。磋商小组认为成交供应商的备选磋商方案优于其按照采购文件要求编制的磋商方案的，采购人可以接受该备选磋商方案。</w:t>
      </w:r>
    </w:p>
    <w:p w14:paraId="0809DD61">
      <w:pPr>
        <w:spacing w:line="360" w:lineRule="auto"/>
        <w:outlineLvl w:val="3"/>
        <w:rPr>
          <w:rFonts w:hint="eastAsia" w:ascii="宋体" w:hAnsi="宋体"/>
          <w:b/>
          <w:bCs/>
          <w:color w:val="auto"/>
          <w:sz w:val="24"/>
          <w:szCs w:val="24"/>
          <w:highlight w:val="none"/>
        </w:rPr>
      </w:pPr>
      <w:bookmarkStart w:id="580" w:name="_Toc81330949"/>
      <w:bookmarkStart w:id="581" w:name="_Toc116584010"/>
      <w:bookmarkStart w:id="582" w:name="_Toc45976910"/>
      <w:bookmarkStart w:id="583" w:name="_Toc84356262"/>
      <w:bookmarkStart w:id="584" w:name="_Toc110405144"/>
      <w:bookmarkStart w:id="585" w:name="_Toc87538379"/>
      <w:bookmarkStart w:id="586" w:name="_Toc69678439"/>
      <w:bookmarkStart w:id="587" w:name="_Toc83753902"/>
      <w:bookmarkStart w:id="588" w:name="_Toc109809322"/>
      <w:bookmarkStart w:id="589" w:name="_Toc98033944"/>
      <w:bookmarkStart w:id="590" w:name="_Toc53412226"/>
      <w:bookmarkStart w:id="591" w:name="_Toc16675"/>
      <w:bookmarkStart w:id="592" w:name="_Toc42267642"/>
      <w:bookmarkStart w:id="593" w:name="_Toc75783541"/>
      <w:bookmarkStart w:id="594" w:name="_Toc87543828"/>
      <w:bookmarkStart w:id="595" w:name="_Toc45791364"/>
      <w:bookmarkStart w:id="596" w:name="_Toc98865021"/>
      <w:bookmarkStart w:id="597" w:name="_Toc42205003"/>
      <w:r>
        <w:rPr>
          <w:rFonts w:hint="eastAsia" w:ascii="宋体" w:hAnsi="宋体"/>
          <w:b/>
          <w:bCs/>
          <w:color w:val="auto"/>
          <w:sz w:val="24"/>
          <w:szCs w:val="24"/>
          <w:highlight w:val="none"/>
        </w:rPr>
        <w:t>3.7 响应文件的编制</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7D7E7F31">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3.7.1响应</w:t>
      </w:r>
      <w:r>
        <w:rPr>
          <w:rFonts w:asciiTheme="minorEastAsia" w:hAnsiTheme="minorEastAsia" w:eastAsiaTheme="minorEastAsia"/>
          <w:color w:val="auto"/>
          <w:szCs w:val="21"/>
          <w:highlight w:val="none"/>
        </w:rPr>
        <w:t>文件</w:t>
      </w:r>
      <w:r>
        <w:rPr>
          <w:rFonts w:hint="eastAsia" w:asciiTheme="minorEastAsia" w:hAnsiTheme="minorEastAsia" w:eastAsiaTheme="minorEastAsia"/>
          <w:color w:val="auto"/>
          <w:szCs w:val="21"/>
          <w:highlight w:val="none"/>
        </w:rPr>
        <w:t>的</w:t>
      </w:r>
      <w:r>
        <w:rPr>
          <w:rFonts w:asciiTheme="minorEastAsia" w:hAnsiTheme="minorEastAsia" w:eastAsiaTheme="minorEastAsia"/>
          <w:color w:val="auto"/>
          <w:szCs w:val="21"/>
          <w:highlight w:val="none"/>
        </w:rPr>
        <w:t>格式：详</w:t>
      </w:r>
      <w:r>
        <w:rPr>
          <w:rFonts w:hint="eastAsia" w:asciiTheme="minorEastAsia" w:hAnsiTheme="minorEastAsia" w:eastAsiaTheme="minorEastAsia"/>
          <w:color w:val="auto"/>
          <w:szCs w:val="21"/>
          <w:highlight w:val="none"/>
        </w:rPr>
        <w:t>见供应商须知前附表。</w:t>
      </w:r>
    </w:p>
    <w:p w14:paraId="78E27A67">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3.7.2响应文件应当对采购文件中有关采购内容、</w:t>
      </w:r>
      <w:r>
        <w:rPr>
          <w:rFonts w:hint="eastAsia" w:asciiTheme="minorEastAsia" w:hAnsiTheme="minorEastAsia" w:eastAsiaTheme="minorEastAsia"/>
          <w:color w:val="auto"/>
          <w:szCs w:val="21"/>
          <w:highlight w:val="none"/>
          <w:lang w:eastAsia="zh-CN"/>
        </w:rPr>
        <w:t>合同履行期限</w:t>
      </w:r>
      <w:r>
        <w:rPr>
          <w:rFonts w:hint="eastAsia" w:asciiTheme="minorEastAsia" w:hAnsiTheme="minorEastAsia" w:eastAsiaTheme="minorEastAsia"/>
          <w:color w:val="auto"/>
          <w:szCs w:val="21"/>
          <w:highlight w:val="none"/>
        </w:rPr>
        <w:t>、磋商有效期、质量要求等实质性内容作出响应。</w:t>
      </w:r>
    </w:p>
    <w:p w14:paraId="237EA826">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3.7.3响应文件的签署：</w:t>
      </w:r>
      <w:r>
        <w:rPr>
          <w:rFonts w:hint="eastAsia" w:asciiTheme="minorEastAsia" w:hAnsiTheme="minorEastAsia" w:eastAsiaTheme="minorEastAsia"/>
          <w:color w:val="auto"/>
          <w:highlight w:val="none"/>
        </w:rPr>
        <w:t>见供应商须知前附表。</w:t>
      </w:r>
    </w:p>
    <w:p w14:paraId="4D056E7B">
      <w:pPr>
        <w:spacing w:line="360" w:lineRule="auto"/>
        <w:jc w:val="center"/>
        <w:outlineLvl w:val="2"/>
        <w:rPr>
          <w:rFonts w:hint="eastAsia" w:asciiTheme="minorEastAsia" w:hAnsiTheme="minorEastAsia" w:eastAsiaTheme="minorEastAsia"/>
          <w:b/>
          <w:bCs/>
          <w:color w:val="auto"/>
          <w:sz w:val="28"/>
          <w:szCs w:val="28"/>
          <w:highlight w:val="none"/>
        </w:rPr>
      </w:pPr>
      <w:bookmarkStart w:id="598" w:name="_Toc381796410"/>
      <w:bookmarkStart w:id="599" w:name="_Toc83753903"/>
      <w:bookmarkStart w:id="600" w:name="_Toc98033945"/>
      <w:bookmarkStart w:id="601" w:name="_Toc109809323"/>
      <w:bookmarkStart w:id="602" w:name="_Toc42205004"/>
      <w:bookmarkStart w:id="603" w:name="_Toc98865022"/>
      <w:bookmarkStart w:id="604" w:name="_Toc87538380"/>
      <w:bookmarkStart w:id="605" w:name="_Toc42267643"/>
      <w:bookmarkStart w:id="606" w:name="_Toc292983020"/>
      <w:bookmarkStart w:id="607" w:name="_Toc37603105"/>
      <w:bookmarkStart w:id="608" w:name="_Toc45976911"/>
      <w:bookmarkStart w:id="609" w:name="_Toc87543829"/>
      <w:bookmarkStart w:id="610" w:name="_Toc45791365"/>
      <w:bookmarkStart w:id="611" w:name="_Toc84356263"/>
      <w:bookmarkStart w:id="612" w:name="_Toc24563"/>
      <w:bookmarkStart w:id="613" w:name="_Toc110405145"/>
      <w:bookmarkStart w:id="614" w:name="_Toc116584011"/>
      <w:r>
        <w:rPr>
          <w:rFonts w:hint="eastAsia" w:asciiTheme="minorEastAsia" w:hAnsiTheme="minorEastAsia" w:eastAsiaTheme="minorEastAsia"/>
          <w:b/>
          <w:bCs/>
          <w:color w:val="auto"/>
          <w:sz w:val="28"/>
          <w:szCs w:val="28"/>
          <w:highlight w:val="none"/>
        </w:rPr>
        <w:t>4.响应文件的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Pr>
          <w:rFonts w:hint="eastAsia" w:asciiTheme="minorEastAsia" w:hAnsiTheme="minorEastAsia" w:eastAsiaTheme="minorEastAsia"/>
          <w:b/>
          <w:bCs/>
          <w:color w:val="auto"/>
          <w:sz w:val="28"/>
          <w:szCs w:val="28"/>
          <w:highlight w:val="none"/>
        </w:rPr>
        <w:t>提交</w:t>
      </w:r>
      <w:bookmarkEnd w:id="614"/>
    </w:p>
    <w:p w14:paraId="646C32C2">
      <w:pPr>
        <w:spacing w:line="360" w:lineRule="auto"/>
        <w:outlineLvl w:val="3"/>
        <w:rPr>
          <w:rFonts w:hint="eastAsia" w:ascii="宋体" w:hAnsi="宋体"/>
          <w:b/>
          <w:bCs/>
          <w:color w:val="auto"/>
          <w:sz w:val="24"/>
          <w:szCs w:val="24"/>
          <w:highlight w:val="none"/>
        </w:rPr>
      </w:pPr>
      <w:bookmarkStart w:id="615" w:name="_Toc116584012"/>
      <w:bookmarkStart w:id="616" w:name="_Toc110405146"/>
      <w:bookmarkStart w:id="617" w:name="_Toc98033946"/>
      <w:bookmarkStart w:id="618" w:name="_Toc45791366"/>
      <w:bookmarkStart w:id="619" w:name="_Toc87538381"/>
      <w:bookmarkStart w:id="620" w:name="_Toc81330951"/>
      <w:bookmarkStart w:id="621" w:name="_Toc45976912"/>
      <w:bookmarkStart w:id="622" w:name="_Toc69678441"/>
      <w:bookmarkStart w:id="623" w:name="_Toc98865023"/>
      <w:bookmarkStart w:id="624" w:name="_Toc42205005"/>
      <w:bookmarkStart w:id="625" w:name="_Toc42267644"/>
      <w:bookmarkStart w:id="626" w:name="_Toc53412228"/>
      <w:bookmarkStart w:id="627" w:name="_Toc109809324"/>
      <w:bookmarkStart w:id="628" w:name="_Toc87543830"/>
      <w:bookmarkStart w:id="629" w:name="_Toc84356264"/>
      <w:bookmarkStart w:id="630" w:name="_Toc6542"/>
      <w:bookmarkStart w:id="631" w:name="_Toc75783543"/>
      <w:bookmarkStart w:id="632" w:name="_Toc83753904"/>
      <w:r>
        <w:rPr>
          <w:rFonts w:hint="eastAsia" w:ascii="宋体" w:hAnsi="宋体"/>
          <w:b/>
          <w:bCs/>
          <w:color w:val="auto"/>
          <w:sz w:val="24"/>
          <w:szCs w:val="24"/>
          <w:highlight w:val="none"/>
        </w:rPr>
        <w:t>4.1响应文件的</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Pr>
          <w:rFonts w:hint="eastAsia" w:ascii="宋体" w:hAnsi="宋体"/>
          <w:b/>
          <w:bCs/>
          <w:color w:val="auto"/>
          <w:sz w:val="24"/>
          <w:szCs w:val="24"/>
          <w:highlight w:val="none"/>
        </w:rPr>
        <w:t>加密</w:t>
      </w:r>
    </w:p>
    <w:p w14:paraId="25E420A8">
      <w:pPr>
        <w:spacing w:line="360" w:lineRule="auto"/>
        <w:ind w:firstLine="420" w:firstLineChars="200"/>
        <w:jc w:val="left"/>
        <w:rPr>
          <w:rFonts w:hint="eastAsia" w:asciiTheme="minorEastAsia" w:hAnsiTheme="minorEastAsia" w:eastAsiaTheme="minorEastAsia"/>
          <w:color w:val="auto"/>
          <w:szCs w:val="28"/>
          <w:highlight w:val="none"/>
        </w:rPr>
      </w:pPr>
      <w:bookmarkStart w:id="633" w:name="_Toc17162"/>
      <w:bookmarkStart w:id="634" w:name="_Toc110405147"/>
      <w:bookmarkStart w:id="635" w:name="_Toc69678442"/>
      <w:bookmarkStart w:id="636" w:name="_Toc87543831"/>
      <w:bookmarkStart w:id="637" w:name="_Toc45976913"/>
      <w:bookmarkStart w:id="638" w:name="_Toc98865024"/>
      <w:bookmarkStart w:id="639" w:name="_Toc81330952"/>
      <w:bookmarkStart w:id="640" w:name="_Toc83753905"/>
      <w:bookmarkStart w:id="641" w:name="_Toc87538382"/>
      <w:bookmarkStart w:id="642" w:name="_Toc75783544"/>
      <w:bookmarkStart w:id="643" w:name="_Toc53412229"/>
      <w:bookmarkStart w:id="644" w:name="_Toc84356265"/>
      <w:bookmarkStart w:id="645" w:name="_Toc45791367"/>
      <w:bookmarkStart w:id="646" w:name="_Toc42205006"/>
      <w:bookmarkStart w:id="647" w:name="_Toc42267645"/>
      <w:bookmarkStart w:id="648" w:name="_Toc109809325"/>
      <w:bookmarkStart w:id="649" w:name="_Toc98033947"/>
      <w:r>
        <w:rPr>
          <w:rFonts w:hint="eastAsia" w:asciiTheme="minorEastAsia" w:hAnsiTheme="minorEastAsia" w:eastAsiaTheme="minorEastAsia"/>
          <w:color w:val="auto"/>
          <w:szCs w:val="28"/>
          <w:highlight w:val="none"/>
        </w:rPr>
        <w:t>4.1.1响应文件的加密：见供应商须知前附表。</w:t>
      </w:r>
    </w:p>
    <w:p w14:paraId="3BC5A140">
      <w:pPr>
        <w:spacing w:line="360" w:lineRule="auto"/>
        <w:ind w:firstLine="420" w:firstLineChars="200"/>
        <w:jc w:val="left"/>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4.1.2未按本章第4.1.1项要求加密的响应文件，采购人不予受理。</w:t>
      </w:r>
    </w:p>
    <w:p w14:paraId="27C7F463">
      <w:pPr>
        <w:spacing w:line="360" w:lineRule="auto"/>
        <w:outlineLvl w:val="3"/>
        <w:rPr>
          <w:rFonts w:hint="eastAsia" w:ascii="宋体" w:hAnsi="宋体"/>
          <w:b/>
          <w:bCs/>
          <w:color w:val="auto"/>
          <w:sz w:val="24"/>
          <w:szCs w:val="24"/>
          <w:highlight w:val="none"/>
        </w:rPr>
      </w:pPr>
      <w:bookmarkStart w:id="650" w:name="_Toc116584013"/>
      <w:r>
        <w:rPr>
          <w:rFonts w:hint="eastAsia" w:ascii="宋体" w:hAnsi="宋体"/>
          <w:b/>
          <w:bCs/>
          <w:color w:val="auto"/>
          <w:sz w:val="24"/>
          <w:szCs w:val="24"/>
          <w:highlight w:val="none"/>
        </w:rPr>
        <w:t>4.2 响应文件的</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Pr>
          <w:rFonts w:hint="eastAsia" w:ascii="宋体" w:hAnsi="宋体"/>
          <w:b/>
          <w:bCs/>
          <w:color w:val="auto"/>
          <w:sz w:val="24"/>
          <w:szCs w:val="24"/>
          <w:highlight w:val="none"/>
        </w:rPr>
        <w:t>提交</w:t>
      </w:r>
      <w:bookmarkEnd w:id="650"/>
    </w:p>
    <w:p w14:paraId="3CF72F2A">
      <w:pPr>
        <w:spacing w:line="360" w:lineRule="auto"/>
        <w:ind w:firstLine="420" w:firstLineChars="200"/>
        <w:jc w:val="left"/>
        <w:rPr>
          <w:rFonts w:hint="eastAsia" w:asciiTheme="minorEastAsia" w:hAnsiTheme="minorEastAsia" w:eastAsiaTheme="minorEastAsia"/>
          <w:color w:val="auto"/>
          <w:szCs w:val="28"/>
          <w:highlight w:val="none"/>
        </w:rPr>
      </w:pPr>
      <w:bookmarkStart w:id="651" w:name="_Toc87543832"/>
      <w:bookmarkStart w:id="652" w:name="_Toc14942"/>
      <w:bookmarkStart w:id="653" w:name="_Toc53412230"/>
      <w:bookmarkStart w:id="654" w:name="_Toc110405148"/>
      <w:bookmarkStart w:id="655" w:name="_Toc42205007"/>
      <w:bookmarkStart w:id="656" w:name="_Toc83753906"/>
      <w:bookmarkStart w:id="657" w:name="_Toc109809326"/>
      <w:bookmarkStart w:id="658" w:name="_Toc81330953"/>
      <w:bookmarkStart w:id="659" w:name="_Toc87538383"/>
      <w:bookmarkStart w:id="660" w:name="_Toc69678443"/>
      <w:bookmarkStart w:id="661" w:name="_Toc45791368"/>
      <w:bookmarkStart w:id="662" w:name="_Toc98865025"/>
      <w:bookmarkStart w:id="663" w:name="_Toc84356266"/>
      <w:bookmarkStart w:id="664" w:name="_Toc45976914"/>
      <w:bookmarkStart w:id="665" w:name="_Toc75783545"/>
      <w:bookmarkStart w:id="666" w:name="_Toc98033948"/>
      <w:bookmarkStart w:id="667" w:name="_Toc42267646"/>
      <w:r>
        <w:rPr>
          <w:rFonts w:hint="eastAsia" w:asciiTheme="minorEastAsia" w:hAnsiTheme="minorEastAsia" w:eastAsiaTheme="minorEastAsia"/>
          <w:color w:val="auto"/>
          <w:szCs w:val="28"/>
          <w:highlight w:val="none"/>
        </w:rPr>
        <w:t>4.2.</w:t>
      </w:r>
      <w:r>
        <w:rPr>
          <w:rFonts w:asciiTheme="minorEastAsia" w:hAnsiTheme="minorEastAsia" w:eastAsiaTheme="minorEastAsia"/>
          <w:color w:val="auto"/>
          <w:szCs w:val="28"/>
          <w:highlight w:val="none"/>
        </w:rPr>
        <w:t>1</w:t>
      </w:r>
      <w:r>
        <w:rPr>
          <w:rFonts w:hint="eastAsia" w:asciiTheme="minorEastAsia" w:hAnsiTheme="minorEastAsia" w:eastAsiaTheme="minorEastAsia"/>
          <w:color w:val="auto"/>
          <w:szCs w:val="28"/>
          <w:highlight w:val="none"/>
        </w:rPr>
        <w:t>响应文件的提交：见供应商须知前附表。</w:t>
      </w:r>
    </w:p>
    <w:p w14:paraId="71D936BF">
      <w:pPr>
        <w:spacing w:line="360" w:lineRule="auto"/>
        <w:ind w:firstLine="420" w:firstLineChars="200"/>
        <w:jc w:val="left"/>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4.2.</w:t>
      </w:r>
      <w:r>
        <w:rPr>
          <w:rFonts w:asciiTheme="minorEastAsia" w:hAnsiTheme="minorEastAsia" w:eastAsiaTheme="minorEastAsia"/>
          <w:color w:val="auto"/>
          <w:szCs w:val="28"/>
          <w:highlight w:val="none"/>
        </w:rPr>
        <w:t>2</w:t>
      </w:r>
      <w:r>
        <w:rPr>
          <w:rFonts w:hint="eastAsia" w:asciiTheme="minorEastAsia" w:hAnsiTheme="minorEastAsia" w:eastAsiaTheme="minorEastAsia"/>
          <w:color w:val="auto"/>
          <w:szCs w:val="28"/>
          <w:highlight w:val="none"/>
        </w:rPr>
        <w:t>除供应商须知前附表另有规定外，供应商所提交的响应文件不予退还。</w:t>
      </w:r>
    </w:p>
    <w:p w14:paraId="35162B15">
      <w:pPr>
        <w:spacing w:line="360" w:lineRule="auto"/>
        <w:outlineLvl w:val="3"/>
        <w:rPr>
          <w:rFonts w:hint="eastAsia" w:ascii="宋体" w:hAnsi="宋体"/>
          <w:b/>
          <w:bCs/>
          <w:color w:val="auto"/>
          <w:sz w:val="24"/>
          <w:szCs w:val="24"/>
          <w:highlight w:val="none"/>
        </w:rPr>
      </w:pPr>
      <w:bookmarkStart w:id="668" w:name="_Toc116584014"/>
      <w:r>
        <w:rPr>
          <w:rFonts w:hint="eastAsia" w:ascii="宋体" w:hAnsi="宋体"/>
          <w:b/>
          <w:bCs/>
          <w:color w:val="auto"/>
          <w:sz w:val="24"/>
          <w:szCs w:val="24"/>
          <w:highlight w:val="none"/>
        </w:rPr>
        <w:t>4.3响应文件修改和撤回</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2E7F9B79">
      <w:pPr>
        <w:spacing w:line="360" w:lineRule="auto"/>
        <w:ind w:firstLine="420" w:firstLineChars="200"/>
        <w:jc w:val="left"/>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4.3.1在本章第2.2.2项规定的</w:t>
      </w:r>
      <w:r>
        <w:rPr>
          <w:rFonts w:hint="eastAsia" w:asciiTheme="minorEastAsia" w:hAnsiTheme="minorEastAsia" w:eastAsiaTheme="minorEastAsia"/>
          <w:color w:val="auto"/>
          <w:szCs w:val="21"/>
          <w:highlight w:val="none"/>
        </w:rPr>
        <w:t>响应文件提交截止时间</w:t>
      </w:r>
      <w:r>
        <w:rPr>
          <w:rFonts w:hint="eastAsia" w:asciiTheme="minorEastAsia" w:hAnsiTheme="minorEastAsia" w:eastAsiaTheme="minorEastAsia"/>
          <w:color w:val="auto"/>
          <w:szCs w:val="28"/>
          <w:highlight w:val="none"/>
        </w:rPr>
        <w:t>前，供应商可以修改或撤回已在网上提交的响应文件，无需通知采购人和采购代理机构。</w:t>
      </w:r>
    </w:p>
    <w:p w14:paraId="707C3870">
      <w:pPr>
        <w:spacing w:line="360" w:lineRule="auto"/>
        <w:ind w:firstLine="420" w:firstLineChars="200"/>
        <w:jc w:val="left"/>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4.3.2</w:t>
      </w:r>
      <w:r>
        <w:rPr>
          <w:color w:val="auto"/>
          <w:highlight w:val="none"/>
        </w:rPr>
        <w:t>修改的</w:t>
      </w:r>
      <w:r>
        <w:rPr>
          <w:rFonts w:hint="eastAsia"/>
          <w:color w:val="auto"/>
          <w:highlight w:val="none"/>
        </w:rPr>
        <w:t>响应</w:t>
      </w:r>
      <w:r>
        <w:rPr>
          <w:color w:val="auto"/>
          <w:highlight w:val="none"/>
        </w:rPr>
        <w:t>文件应按照规定进行编制、加密和递交。</w:t>
      </w:r>
    </w:p>
    <w:p w14:paraId="688E0577">
      <w:pPr>
        <w:spacing w:line="360" w:lineRule="auto"/>
        <w:jc w:val="center"/>
        <w:outlineLvl w:val="2"/>
        <w:rPr>
          <w:rFonts w:hint="eastAsia" w:asciiTheme="minorEastAsia" w:hAnsiTheme="minorEastAsia" w:eastAsiaTheme="minorEastAsia"/>
          <w:b/>
          <w:bCs/>
          <w:color w:val="auto"/>
          <w:sz w:val="28"/>
          <w:szCs w:val="28"/>
          <w:highlight w:val="none"/>
        </w:rPr>
      </w:pPr>
      <w:bookmarkStart w:id="669" w:name="_Toc42205008"/>
      <w:bookmarkStart w:id="670" w:name="_Toc116584015"/>
      <w:bookmarkStart w:id="671" w:name="_Toc98033949"/>
      <w:bookmarkStart w:id="672" w:name="_Toc83753907"/>
      <w:bookmarkStart w:id="673" w:name="_Toc21759"/>
      <w:bookmarkStart w:id="674" w:name="_Toc292983021"/>
      <w:bookmarkStart w:id="675" w:name="_Toc45976915"/>
      <w:bookmarkStart w:id="676" w:name="_Toc110405149"/>
      <w:bookmarkStart w:id="677" w:name="_Toc45791369"/>
      <w:bookmarkStart w:id="678" w:name="_Toc87538384"/>
      <w:bookmarkStart w:id="679" w:name="_Toc42267647"/>
      <w:bookmarkStart w:id="680" w:name="_Toc109809327"/>
      <w:bookmarkStart w:id="681" w:name="_Toc87543833"/>
      <w:bookmarkStart w:id="682" w:name="_Toc37603106"/>
      <w:bookmarkStart w:id="683" w:name="_Toc381796411"/>
      <w:bookmarkStart w:id="684" w:name="_Toc98865026"/>
      <w:bookmarkStart w:id="685" w:name="_Toc84356267"/>
      <w:r>
        <w:rPr>
          <w:rFonts w:hint="eastAsia" w:asciiTheme="minorEastAsia" w:hAnsiTheme="minorEastAsia" w:eastAsiaTheme="minorEastAsia"/>
          <w:b/>
          <w:bCs/>
          <w:color w:val="auto"/>
          <w:sz w:val="28"/>
          <w:szCs w:val="28"/>
          <w:highlight w:val="none"/>
        </w:rPr>
        <w:t>5.开标</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B748BE9">
      <w:pPr>
        <w:spacing w:line="360" w:lineRule="auto"/>
        <w:outlineLvl w:val="3"/>
        <w:rPr>
          <w:rFonts w:hint="eastAsia" w:ascii="宋体" w:hAnsi="宋体"/>
          <w:b/>
          <w:bCs/>
          <w:color w:val="auto"/>
          <w:sz w:val="24"/>
          <w:szCs w:val="24"/>
          <w:highlight w:val="none"/>
        </w:rPr>
      </w:pPr>
      <w:bookmarkStart w:id="686" w:name="_Toc75783547"/>
      <w:bookmarkStart w:id="687" w:name="_Toc110405150"/>
      <w:bookmarkStart w:id="688" w:name="_Toc81330955"/>
      <w:bookmarkStart w:id="689" w:name="_Toc87538385"/>
      <w:bookmarkStart w:id="690" w:name="_Toc83753908"/>
      <w:bookmarkStart w:id="691" w:name="_Toc109809328"/>
      <w:bookmarkStart w:id="692" w:name="_Toc45976916"/>
      <w:bookmarkStart w:id="693" w:name="_Toc42205009"/>
      <w:bookmarkStart w:id="694" w:name="_Toc12148"/>
      <w:bookmarkStart w:id="695" w:name="_Toc98033950"/>
      <w:bookmarkStart w:id="696" w:name="_Toc45791370"/>
      <w:bookmarkStart w:id="697" w:name="_Toc69678445"/>
      <w:bookmarkStart w:id="698" w:name="_Toc84356268"/>
      <w:bookmarkStart w:id="699" w:name="_Toc87543834"/>
      <w:bookmarkStart w:id="700" w:name="_Toc98865027"/>
      <w:bookmarkStart w:id="701" w:name="_Toc42267648"/>
      <w:bookmarkStart w:id="702" w:name="_Toc53412232"/>
      <w:bookmarkStart w:id="703" w:name="_Toc116584016"/>
      <w:r>
        <w:rPr>
          <w:rFonts w:hint="eastAsia" w:ascii="宋体" w:hAnsi="宋体"/>
          <w:b/>
          <w:bCs/>
          <w:color w:val="auto"/>
          <w:sz w:val="24"/>
          <w:szCs w:val="24"/>
          <w:highlight w:val="none"/>
        </w:rPr>
        <w:t>5.1</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Pr>
          <w:rFonts w:hint="eastAsia" w:ascii="宋体" w:hAnsi="宋体"/>
          <w:b/>
          <w:bCs/>
          <w:color w:val="auto"/>
          <w:sz w:val="24"/>
          <w:szCs w:val="24"/>
          <w:highlight w:val="none"/>
        </w:rPr>
        <w:t>开标时间和地点</w:t>
      </w:r>
      <w:bookmarkEnd w:id="703"/>
    </w:p>
    <w:p w14:paraId="31282FC7">
      <w:pPr>
        <w:spacing w:line="360" w:lineRule="auto"/>
        <w:ind w:firstLine="420" w:firstLineChars="200"/>
        <w:jc w:val="left"/>
        <w:rPr>
          <w:rFonts w:hint="eastAsia" w:asciiTheme="minorEastAsia" w:hAnsiTheme="minorEastAsia" w:eastAsiaTheme="minorEastAsia"/>
          <w:color w:val="auto"/>
          <w:szCs w:val="28"/>
          <w:highlight w:val="none"/>
        </w:rPr>
      </w:pPr>
      <w:bookmarkStart w:id="704" w:name="_Toc98865028"/>
      <w:bookmarkStart w:id="705" w:name="_Toc23677"/>
      <w:bookmarkStart w:id="706" w:name="_Toc42205010"/>
      <w:bookmarkStart w:id="707" w:name="_Toc42267649"/>
      <w:bookmarkStart w:id="708" w:name="_Toc45791371"/>
      <w:bookmarkStart w:id="709" w:name="_Toc84356269"/>
      <w:bookmarkStart w:id="710" w:name="_Toc69678446"/>
      <w:bookmarkStart w:id="711" w:name="_Toc109809329"/>
      <w:bookmarkStart w:id="712" w:name="_Toc87538386"/>
      <w:bookmarkStart w:id="713" w:name="_Toc75783548"/>
      <w:bookmarkStart w:id="714" w:name="_Toc81330956"/>
      <w:bookmarkStart w:id="715" w:name="_Toc110405151"/>
      <w:bookmarkStart w:id="716" w:name="_Toc45976917"/>
      <w:bookmarkStart w:id="717" w:name="_Toc98033951"/>
      <w:bookmarkStart w:id="718" w:name="_Toc53412233"/>
      <w:bookmarkStart w:id="719" w:name="_Toc83753909"/>
      <w:bookmarkStart w:id="720" w:name="_Toc87543835"/>
      <w:r>
        <w:rPr>
          <w:rFonts w:hint="eastAsia" w:asciiTheme="minorEastAsia" w:hAnsiTheme="minorEastAsia" w:eastAsiaTheme="minorEastAsia"/>
          <w:color w:val="auto"/>
          <w:szCs w:val="28"/>
          <w:highlight w:val="none"/>
        </w:rPr>
        <w:t>详见供应商须知前附表。</w:t>
      </w:r>
    </w:p>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14:paraId="6DBDBFBB">
      <w:pPr>
        <w:spacing w:line="360" w:lineRule="auto"/>
        <w:outlineLvl w:val="3"/>
        <w:rPr>
          <w:rFonts w:hint="eastAsia" w:ascii="宋体" w:hAnsi="宋体"/>
          <w:b/>
          <w:bCs/>
          <w:color w:val="auto"/>
          <w:sz w:val="24"/>
          <w:szCs w:val="24"/>
          <w:highlight w:val="none"/>
        </w:rPr>
      </w:pPr>
      <w:bookmarkStart w:id="721" w:name="_Toc69678447"/>
      <w:bookmarkStart w:id="722" w:name="_Toc45791372"/>
      <w:bookmarkStart w:id="723" w:name="_Toc84356270"/>
      <w:bookmarkStart w:id="724" w:name="_Toc42205011"/>
      <w:bookmarkStart w:id="725" w:name="_Toc81330957"/>
      <w:bookmarkStart w:id="726" w:name="_Toc75783549"/>
      <w:bookmarkStart w:id="727" w:name="_Toc87538387"/>
      <w:bookmarkStart w:id="728" w:name="_Toc11738"/>
      <w:bookmarkStart w:id="729" w:name="_Toc83753910"/>
      <w:bookmarkStart w:id="730" w:name="_Toc53412234"/>
      <w:bookmarkStart w:id="731" w:name="_Toc45976918"/>
      <w:bookmarkStart w:id="732" w:name="_Toc98865029"/>
      <w:bookmarkStart w:id="733" w:name="_Toc109809330"/>
      <w:bookmarkStart w:id="734" w:name="_Toc98033952"/>
      <w:bookmarkStart w:id="735" w:name="_Toc110405152"/>
      <w:bookmarkStart w:id="736" w:name="_Toc42267650"/>
      <w:bookmarkStart w:id="737" w:name="_Toc87543836"/>
      <w:bookmarkStart w:id="738" w:name="_Toc116584017"/>
      <w:r>
        <w:rPr>
          <w:rFonts w:hint="eastAsia" w:ascii="宋体" w:hAnsi="宋体"/>
          <w:b/>
          <w:bCs/>
          <w:color w:val="auto"/>
          <w:sz w:val="24"/>
          <w:szCs w:val="24"/>
          <w:highlight w:val="none"/>
        </w:rPr>
        <w:t>5.2</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Start w:id="739" w:name="_Toc116584018"/>
      <w:bookmarkStart w:id="740" w:name="_Toc87543837"/>
      <w:bookmarkStart w:id="741" w:name="_Toc75783550"/>
      <w:bookmarkStart w:id="742" w:name="_Toc18249"/>
      <w:bookmarkStart w:id="743" w:name="_Toc98033953"/>
      <w:bookmarkStart w:id="744" w:name="_Toc45791373"/>
      <w:bookmarkStart w:id="745" w:name="_Toc84356271"/>
      <w:bookmarkStart w:id="746" w:name="_Toc98865030"/>
      <w:bookmarkStart w:id="747" w:name="_Toc87538388"/>
      <w:bookmarkStart w:id="748" w:name="_Toc45976919"/>
      <w:bookmarkStart w:id="749" w:name="_Toc42267651"/>
      <w:bookmarkStart w:id="750" w:name="_Toc42205012"/>
      <w:bookmarkStart w:id="751" w:name="_Toc53412235"/>
      <w:bookmarkStart w:id="752" w:name="_Toc81330958"/>
      <w:bookmarkStart w:id="753" w:name="_Toc109809331"/>
      <w:bookmarkStart w:id="754" w:name="_Toc110405153"/>
      <w:bookmarkStart w:id="755" w:name="_Toc83753911"/>
      <w:bookmarkStart w:id="756" w:name="_Toc69678448"/>
      <w:r>
        <w:rPr>
          <w:rFonts w:hint="eastAsia" w:ascii="宋体" w:hAnsi="宋体"/>
          <w:b/>
          <w:bCs/>
          <w:color w:val="auto"/>
          <w:sz w:val="24"/>
          <w:szCs w:val="24"/>
          <w:highlight w:val="none"/>
        </w:rPr>
        <w:t xml:space="preserve"> 开标程序</w:t>
      </w:r>
    </w:p>
    <w:p w14:paraId="23714BFE">
      <w:pPr>
        <w:spacing w:line="360" w:lineRule="auto"/>
        <w:ind w:firstLine="420" w:firstLineChars="200"/>
        <w:jc w:val="left"/>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详见供应商须知前附表。</w:t>
      </w:r>
    </w:p>
    <w:p w14:paraId="4C7D07D8">
      <w:pPr>
        <w:spacing w:line="360" w:lineRule="auto"/>
        <w:outlineLvl w:val="3"/>
        <w:rPr>
          <w:rFonts w:hint="eastAsia" w:ascii="宋体" w:hAnsi="宋体"/>
          <w:b/>
          <w:bCs/>
          <w:color w:val="auto"/>
          <w:sz w:val="24"/>
          <w:szCs w:val="24"/>
          <w:highlight w:val="none"/>
        </w:rPr>
      </w:pPr>
      <w:r>
        <w:rPr>
          <w:rFonts w:hint="eastAsia" w:ascii="宋体" w:hAnsi="宋体"/>
          <w:b/>
          <w:bCs/>
          <w:color w:val="auto"/>
          <w:sz w:val="24"/>
          <w:szCs w:val="24"/>
          <w:highlight w:val="none"/>
        </w:rPr>
        <w:t>5.3响应文件的解密方式</w:t>
      </w:r>
      <w:bookmarkEnd w:id="739"/>
    </w:p>
    <w:p w14:paraId="73A2C8A0">
      <w:pPr>
        <w:spacing w:line="360" w:lineRule="auto"/>
        <w:ind w:firstLine="420" w:firstLineChars="200"/>
        <w:jc w:val="left"/>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详见供应商须知前附表。</w:t>
      </w:r>
    </w:p>
    <w:p w14:paraId="46F79630">
      <w:pPr>
        <w:spacing w:line="360" w:lineRule="auto"/>
        <w:outlineLvl w:val="3"/>
        <w:rPr>
          <w:rFonts w:hint="eastAsia" w:ascii="宋体" w:hAnsi="宋体"/>
          <w:b/>
          <w:bCs/>
          <w:color w:val="auto"/>
          <w:sz w:val="24"/>
          <w:szCs w:val="24"/>
          <w:highlight w:val="none"/>
        </w:rPr>
      </w:pPr>
      <w:bookmarkStart w:id="757" w:name="_Toc116584019"/>
      <w:r>
        <w:rPr>
          <w:rFonts w:hint="eastAsia" w:ascii="宋体" w:hAnsi="宋体"/>
          <w:b/>
          <w:bCs/>
          <w:color w:val="auto"/>
          <w:sz w:val="24"/>
          <w:szCs w:val="24"/>
          <w:highlight w:val="none"/>
        </w:rPr>
        <w:t>5.4响应文件有下列情形之一的，采购人不予受理</w:t>
      </w:r>
      <w:bookmarkEnd w:id="757"/>
    </w:p>
    <w:p w14:paraId="23499737">
      <w:pPr>
        <w:spacing w:line="360" w:lineRule="auto"/>
        <w:ind w:firstLine="420" w:firstLineChars="200"/>
        <w:jc w:val="left"/>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5.4.1在2.2.2项规定的</w:t>
      </w:r>
      <w:r>
        <w:rPr>
          <w:rFonts w:hint="eastAsia" w:asciiTheme="minorEastAsia" w:hAnsiTheme="minorEastAsia" w:eastAsiaTheme="minorEastAsia"/>
          <w:color w:val="auto"/>
          <w:szCs w:val="21"/>
          <w:highlight w:val="none"/>
        </w:rPr>
        <w:t>响应文件提交截止时间</w:t>
      </w:r>
      <w:r>
        <w:rPr>
          <w:rFonts w:hint="eastAsia" w:asciiTheme="minorEastAsia" w:hAnsiTheme="minorEastAsia" w:eastAsiaTheme="minorEastAsia"/>
          <w:color w:val="auto"/>
          <w:szCs w:val="28"/>
          <w:highlight w:val="none"/>
        </w:rPr>
        <w:t>以后上传或未成功上传响应文件的。</w:t>
      </w:r>
    </w:p>
    <w:p w14:paraId="593AE269">
      <w:pPr>
        <w:spacing w:line="360" w:lineRule="auto"/>
        <w:ind w:firstLine="420" w:firstLineChars="200"/>
        <w:jc w:val="left"/>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5.4.2供应商提交的电子响应文件格式不符合3.7.1项要求或无法读取导入的。</w:t>
      </w:r>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14:paraId="430CB049">
      <w:pPr>
        <w:spacing w:line="360" w:lineRule="auto"/>
        <w:jc w:val="center"/>
        <w:outlineLvl w:val="2"/>
        <w:rPr>
          <w:rFonts w:hint="eastAsia" w:asciiTheme="minorEastAsia" w:hAnsiTheme="minorEastAsia" w:eastAsiaTheme="minorEastAsia"/>
          <w:b/>
          <w:bCs/>
          <w:color w:val="auto"/>
          <w:sz w:val="28"/>
          <w:szCs w:val="28"/>
          <w:highlight w:val="none"/>
        </w:rPr>
      </w:pPr>
      <w:bookmarkStart w:id="758" w:name="_Toc45791374"/>
      <w:bookmarkStart w:id="759" w:name="_Toc110405154"/>
      <w:bookmarkStart w:id="760" w:name="_Toc87538389"/>
      <w:bookmarkStart w:id="761" w:name="_Toc116584021"/>
      <w:bookmarkStart w:id="762" w:name="_Toc87543838"/>
      <w:bookmarkStart w:id="763" w:name="_Toc98865031"/>
      <w:bookmarkStart w:id="764" w:name="_Toc42205013"/>
      <w:bookmarkStart w:id="765" w:name="_Toc42267652"/>
      <w:bookmarkStart w:id="766" w:name="_Toc109809332"/>
      <w:bookmarkStart w:id="767" w:name="_Toc45976920"/>
      <w:bookmarkStart w:id="768" w:name="_Toc19868"/>
      <w:bookmarkStart w:id="769" w:name="_Toc84356272"/>
      <w:bookmarkStart w:id="770" w:name="_Toc83753912"/>
      <w:bookmarkStart w:id="771" w:name="_Toc98033954"/>
      <w:r>
        <w:rPr>
          <w:rFonts w:hint="eastAsia" w:asciiTheme="minorEastAsia" w:hAnsiTheme="minorEastAsia" w:eastAsiaTheme="minorEastAsia"/>
          <w:b/>
          <w:bCs/>
          <w:color w:val="auto"/>
          <w:sz w:val="28"/>
          <w:szCs w:val="28"/>
          <w:highlight w:val="none"/>
        </w:rPr>
        <w:t>6.评审</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58D3A7B3">
      <w:pPr>
        <w:spacing w:line="360" w:lineRule="auto"/>
        <w:outlineLvl w:val="3"/>
        <w:rPr>
          <w:rFonts w:hint="eastAsia" w:ascii="宋体" w:hAnsi="宋体"/>
          <w:b/>
          <w:bCs/>
          <w:color w:val="auto"/>
          <w:sz w:val="24"/>
          <w:szCs w:val="24"/>
          <w:highlight w:val="none"/>
        </w:rPr>
      </w:pPr>
      <w:bookmarkStart w:id="772" w:name="_Toc84356273"/>
      <w:bookmarkStart w:id="773" w:name="_Toc109809333"/>
      <w:bookmarkStart w:id="774" w:name="_Toc69678450"/>
      <w:bookmarkStart w:id="775" w:name="_Toc87538390"/>
      <w:bookmarkStart w:id="776" w:name="_Toc98033955"/>
      <w:bookmarkStart w:id="777" w:name="_Toc42205014"/>
      <w:bookmarkStart w:id="778" w:name="_Toc45976921"/>
      <w:bookmarkStart w:id="779" w:name="_Toc45791375"/>
      <w:bookmarkStart w:id="780" w:name="_Toc116584022"/>
      <w:bookmarkStart w:id="781" w:name="_Toc83753913"/>
      <w:bookmarkStart w:id="782" w:name="_Toc110405155"/>
      <w:bookmarkStart w:id="783" w:name="_Toc42267653"/>
      <w:bookmarkStart w:id="784" w:name="_Toc81330960"/>
      <w:bookmarkStart w:id="785" w:name="_Toc98865032"/>
      <w:bookmarkStart w:id="786" w:name="_Toc4399"/>
      <w:bookmarkStart w:id="787" w:name="_Toc53412237"/>
      <w:bookmarkStart w:id="788" w:name="_Toc87543839"/>
      <w:bookmarkStart w:id="789" w:name="_Toc75783552"/>
      <w:r>
        <w:rPr>
          <w:rFonts w:hint="eastAsia" w:ascii="宋体" w:hAnsi="宋体"/>
          <w:b/>
          <w:bCs/>
          <w:color w:val="auto"/>
          <w:sz w:val="24"/>
          <w:szCs w:val="24"/>
          <w:highlight w:val="none"/>
        </w:rPr>
        <w:t>6.1 磋商小组</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4AD56D4C">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8"/>
          <w:highlight w:val="none"/>
        </w:rPr>
        <w:t>6.1.1本项目的评审工作由采购人依法组建的磋商小组负责。磋商小组</w:t>
      </w:r>
      <w:r>
        <w:rPr>
          <w:rFonts w:asciiTheme="minorEastAsia" w:hAnsiTheme="minorEastAsia" w:eastAsiaTheme="minorEastAsia"/>
          <w:color w:val="auto"/>
          <w:szCs w:val="21"/>
          <w:highlight w:val="none"/>
        </w:rPr>
        <w:t>由</w:t>
      </w:r>
      <w:r>
        <w:rPr>
          <w:rFonts w:hint="eastAsia" w:asciiTheme="minorEastAsia" w:hAnsiTheme="minorEastAsia" w:eastAsiaTheme="minorEastAsia"/>
          <w:color w:val="auto"/>
          <w:szCs w:val="28"/>
          <w:highlight w:val="none"/>
        </w:rPr>
        <w:t>采购人代表及</w:t>
      </w:r>
      <w:r>
        <w:rPr>
          <w:rFonts w:asciiTheme="minorEastAsia" w:hAnsiTheme="minorEastAsia" w:eastAsiaTheme="minorEastAsia"/>
          <w:color w:val="auto"/>
          <w:szCs w:val="21"/>
          <w:highlight w:val="none"/>
        </w:rPr>
        <w:t>有关技术、经济等方面的</w:t>
      </w:r>
      <w:r>
        <w:rPr>
          <w:rFonts w:hint="eastAsia" w:asciiTheme="minorEastAsia" w:hAnsiTheme="minorEastAsia" w:eastAsiaTheme="minorEastAsia"/>
          <w:color w:val="auto"/>
          <w:szCs w:val="21"/>
          <w:highlight w:val="none"/>
        </w:rPr>
        <w:t>人员</w:t>
      </w:r>
      <w:r>
        <w:rPr>
          <w:rFonts w:asciiTheme="minorEastAsia" w:hAnsiTheme="minorEastAsia" w:eastAsiaTheme="minorEastAsia"/>
          <w:color w:val="auto"/>
          <w:szCs w:val="21"/>
          <w:highlight w:val="none"/>
        </w:rPr>
        <w:t>组成。</w:t>
      </w:r>
      <w:r>
        <w:rPr>
          <w:rFonts w:hint="eastAsia" w:asciiTheme="minorEastAsia" w:hAnsiTheme="minorEastAsia" w:eastAsiaTheme="minorEastAsia"/>
          <w:color w:val="auto"/>
          <w:szCs w:val="28"/>
          <w:highlight w:val="none"/>
        </w:rPr>
        <w:t>磋商小组</w:t>
      </w:r>
      <w:r>
        <w:rPr>
          <w:rFonts w:asciiTheme="minorEastAsia" w:hAnsiTheme="minorEastAsia" w:eastAsiaTheme="minorEastAsia"/>
          <w:color w:val="auto"/>
          <w:szCs w:val="21"/>
          <w:highlight w:val="none"/>
        </w:rPr>
        <w:t>成员人数以及技术、经济等方面</w:t>
      </w:r>
      <w:r>
        <w:rPr>
          <w:rFonts w:hint="eastAsia" w:asciiTheme="minorEastAsia" w:hAnsiTheme="minorEastAsia" w:eastAsiaTheme="minorEastAsia"/>
          <w:color w:val="auto"/>
          <w:szCs w:val="21"/>
          <w:highlight w:val="none"/>
        </w:rPr>
        <w:t>人员</w:t>
      </w:r>
      <w:r>
        <w:rPr>
          <w:rFonts w:asciiTheme="minorEastAsia" w:hAnsiTheme="minorEastAsia" w:eastAsiaTheme="minorEastAsia"/>
          <w:color w:val="auto"/>
          <w:szCs w:val="21"/>
          <w:highlight w:val="none"/>
        </w:rPr>
        <w:t>的确定方式详见供应商须知前附表。</w:t>
      </w:r>
    </w:p>
    <w:p w14:paraId="78CECC54">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6.1.2</w:t>
      </w:r>
      <w:r>
        <w:rPr>
          <w:rFonts w:hint="eastAsia" w:asciiTheme="minorEastAsia" w:hAnsiTheme="minorEastAsia" w:eastAsiaTheme="minorEastAsia"/>
          <w:color w:val="auto"/>
          <w:szCs w:val="28"/>
          <w:highlight w:val="none"/>
        </w:rPr>
        <w:t>磋商小组</w:t>
      </w:r>
      <w:r>
        <w:rPr>
          <w:rFonts w:asciiTheme="minorEastAsia" w:hAnsiTheme="minorEastAsia" w:eastAsiaTheme="minorEastAsia"/>
          <w:color w:val="auto"/>
          <w:szCs w:val="21"/>
          <w:highlight w:val="none"/>
        </w:rPr>
        <w:t>成员有下列情形之一的，应当回避：</w:t>
      </w:r>
    </w:p>
    <w:p w14:paraId="3081BCE9">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（1）采购人或供应商的主要负责人的近亲属；</w:t>
      </w:r>
    </w:p>
    <w:p w14:paraId="7C38FD00">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（2）项目主管部门或者行政监督部门的人员；</w:t>
      </w:r>
    </w:p>
    <w:p w14:paraId="314ED858">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（3）与供应商有经济利益关系，可能影响对磋商公正评审的；</w:t>
      </w:r>
    </w:p>
    <w:p w14:paraId="38CE7ED0">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（4）曾因在招标、评</w:t>
      </w:r>
      <w:r>
        <w:rPr>
          <w:rFonts w:hint="eastAsia" w:asciiTheme="minorEastAsia" w:hAnsiTheme="minorEastAsia" w:eastAsiaTheme="minorEastAsia"/>
          <w:color w:val="auto"/>
          <w:szCs w:val="21"/>
          <w:highlight w:val="none"/>
        </w:rPr>
        <w:t>标</w:t>
      </w:r>
      <w:r>
        <w:rPr>
          <w:rFonts w:asciiTheme="minorEastAsia" w:hAnsiTheme="minorEastAsia" w:eastAsiaTheme="minorEastAsia"/>
          <w:color w:val="auto"/>
          <w:szCs w:val="21"/>
          <w:highlight w:val="none"/>
        </w:rPr>
        <w:t>以及其他与招标</w:t>
      </w:r>
      <w:r>
        <w:rPr>
          <w:rFonts w:hint="eastAsia" w:asciiTheme="minorEastAsia" w:hAnsiTheme="minorEastAsia" w:eastAsiaTheme="minorEastAsia"/>
          <w:color w:val="auto"/>
          <w:szCs w:val="21"/>
          <w:highlight w:val="none"/>
        </w:rPr>
        <w:t>投标</w:t>
      </w:r>
      <w:r>
        <w:rPr>
          <w:rFonts w:asciiTheme="minorEastAsia" w:hAnsiTheme="minorEastAsia" w:eastAsiaTheme="minorEastAsia"/>
          <w:color w:val="auto"/>
          <w:szCs w:val="21"/>
          <w:highlight w:val="none"/>
        </w:rPr>
        <w:t>有关活动中从事违法行为而受过行政处罚或刑事处罚的。</w:t>
      </w:r>
    </w:p>
    <w:p w14:paraId="64E3B90B">
      <w:pPr>
        <w:spacing w:line="360" w:lineRule="auto"/>
        <w:outlineLvl w:val="3"/>
        <w:rPr>
          <w:rFonts w:hint="eastAsia" w:ascii="宋体" w:hAnsi="宋体"/>
          <w:b/>
          <w:bCs/>
          <w:color w:val="auto"/>
          <w:sz w:val="24"/>
          <w:szCs w:val="24"/>
          <w:highlight w:val="none"/>
        </w:rPr>
      </w:pPr>
      <w:bookmarkStart w:id="790" w:name="_Toc69678451"/>
      <w:bookmarkStart w:id="791" w:name="_Toc98033956"/>
      <w:bookmarkStart w:id="792" w:name="_Toc109809334"/>
      <w:bookmarkStart w:id="793" w:name="_Toc53412238"/>
      <w:bookmarkStart w:id="794" w:name="_Toc42205015"/>
      <w:bookmarkStart w:id="795" w:name="_Toc110405156"/>
      <w:bookmarkStart w:id="796" w:name="_Toc45791376"/>
      <w:bookmarkStart w:id="797" w:name="_Toc83753914"/>
      <w:bookmarkStart w:id="798" w:name="_Toc84356274"/>
      <w:bookmarkStart w:id="799" w:name="_Toc87538391"/>
      <w:bookmarkStart w:id="800" w:name="_Toc42267654"/>
      <w:bookmarkStart w:id="801" w:name="_Toc45976922"/>
      <w:bookmarkStart w:id="802" w:name="_Toc116584023"/>
      <w:bookmarkStart w:id="803" w:name="_Toc75783553"/>
      <w:bookmarkStart w:id="804" w:name="_Toc98865033"/>
      <w:bookmarkStart w:id="805" w:name="_Toc87543840"/>
      <w:bookmarkStart w:id="806" w:name="_Toc81330961"/>
      <w:bookmarkStart w:id="807" w:name="_Toc6014"/>
      <w:r>
        <w:rPr>
          <w:rFonts w:hint="eastAsia" w:ascii="宋体" w:hAnsi="宋体"/>
          <w:b/>
          <w:bCs/>
          <w:color w:val="auto"/>
          <w:sz w:val="24"/>
          <w:szCs w:val="24"/>
          <w:highlight w:val="none"/>
        </w:rPr>
        <w:t>6.2 评审原则</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0F3EBFC7">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评审活动应遵循公平、公正、科学和择优的原则。</w:t>
      </w:r>
    </w:p>
    <w:p w14:paraId="754FF488">
      <w:pPr>
        <w:spacing w:line="360" w:lineRule="auto"/>
        <w:outlineLvl w:val="3"/>
        <w:rPr>
          <w:rFonts w:hint="eastAsia" w:ascii="宋体" w:hAnsi="宋体"/>
          <w:b/>
          <w:bCs/>
          <w:color w:val="auto"/>
          <w:sz w:val="24"/>
          <w:szCs w:val="24"/>
          <w:highlight w:val="none"/>
        </w:rPr>
      </w:pPr>
      <w:bookmarkStart w:id="808" w:name="_Toc83753915"/>
      <w:bookmarkStart w:id="809" w:name="_Toc109809335"/>
      <w:bookmarkStart w:id="810" w:name="_Toc87543841"/>
      <w:bookmarkStart w:id="811" w:name="_Toc98033957"/>
      <w:bookmarkStart w:id="812" w:name="_Toc110405157"/>
      <w:bookmarkStart w:id="813" w:name="_Toc45976923"/>
      <w:bookmarkStart w:id="814" w:name="_Toc21353"/>
      <w:bookmarkStart w:id="815" w:name="_Toc116584024"/>
      <w:bookmarkStart w:id="816" w:name="_Toc42267655"/>
      <w:bookmarkStart w:id="817" w:name="_Toc69678452"/>
      <w:bookmarkStart w:id="818" w:name="_Toc98865034"/>
      <w:bookmarkStart w:id="819" w:name="_Toc84356275"/>
      <w:bookmarkStart w:id="820" w:name="_Toc53412239"/>
      <w:bookmarkStart w:id="821" w:name="_Toc45791377"/>
      <w:bookmarkStart w:id="822" w:name="_Toc81330962"/>
      <w:bookmarkStart w:id="823" w:name="_Toc42205016"/>
      <w:bookmarkStart w:id="824" w:name="_Toc75783554"/>
      <w:bookmarkStart w:id="825" w:name="_Toc87538392"/>
      <w:r>
        <w:rPr>
          <w:rFonts w:hint="eastAsia" w:ascii="宋体" w:hAnsi="宋体"/>
          <w:b/>
          <w:bCs/>
          <w:color w:val="auto"/>
          <w:sz w:val="24"/>
          <w:szCs w:val="24"/>
          <w:highlight w:val="none"/>
        </w:rPr>
        <w:t>6.3 评审</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1764EAF0">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磋商小组按照第六章“评审办法”规定的方法、评审因素、标准和程序对响应文件进行评审，第六章“评审办法”没有规定的方法、评审因素和标准，不得作为评审依据。</w:t>
      </w:r>
    </w:p>
    <w:p w14:paraId="1595B176">
      <w:pPr>
        <w:spacing w:line="360" w:lineRule="auto"/>
        <w:jc w:val="center"/>
        <w:outlineLvl w:val="2"/>
        <w:rPr>
          <w:rFonts w:hint="eastAsia" w:asciiTheme="minorEastAsia" w:hAnsiTheme="minorEastAsia" w:eastAsiaTheme="minorEastAsia"/>
          <w:b/>
          <w:bCs/>
          <w:color w:val="auto"/>
          <w:sz w:val="28"/>
          <w:szCs w:val="28"/>
          <w:highlight w:val="none"/>
        </w:rPr>
      </w:pPr>
      <w:bookmarkStart w:id="826" w:name="_Toc84356276"/>
      <w:bookmarkStart w:id="827" w:name="_Toc110405158"/>
      <w:bookmarkStart w:id="828" w:name="_Toc98865035"/>
      <w:bookmarkStart w:id="829" w:name="_Toc109809336"/>
      <w:bookmarkStart w:id="830" w:name="_Toc292983022"/>
      <w:bookmarkStart w:id="831" w:name="_Toc45791378"/>
      <w:bookmarkStart w:id="832" w:name="_Toc83753916"/>
      <w:bookmarkStart w:id="833" w:name="_Toc87538393"/>
      <w:bookmarkStart w:id="834" w:name="_Toc37603107"/>
      <w:bookmarkStart w:id="835" w:name="_Toc98033958"/>
      <w:bookmarkStart w:id="836" w:name="_Toc45976924"/>
      <w:bookmarkStart w:id="837" w:name="_Toc11599"/>
      <w:bookmarkStart w:id="838" w:name="_Toc87543842"/>
      <w:bookmarkStart w:id="839" w:name="_Toc42205017"/>
      <w:bookmarkStart w:id="840" w:name="_Toc381796412"/>
      <w:bookmarkStart w:id="841" w:name="_Toc116584025"/>
      <w:bookmarkStart w:id="842" w:name="_Toc42267656"/>
      <w:r>
        <w:rPr>
          <w:rFonts w:hint="eastAsia" w:asciiTheme="minorEastAsia" w:hAnsiTheme="minorEastAsia" w:eastAsiaTheme="minorEastAsia"/>
          <w:b/>
          <w:bCs/>
          <w:color w:val="auto"/>
          <w:sz w:val="28"/>
          <w:szCs w:val="28"/>
          <w:highlight w:val="none"/>
        </w:rPr>
        <w:t>7.合同授予</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2AC5BF28">
      <w:pPr>
        <w:spacing w:line="360" w:lineRule="auto"/>
        <w:outlineLvl w:val="3"/>
        <w:rPr>
          <w:rFonts w:hint="eastAsia" w:ascii="宋体" w:hAnsi="宋体"/>
          <w:b/>
          <w:bCs/>
          <w:color w:val="auto"/>
          <w:sz w:val="24"/>
          <w:szCs w:val="24"/>
          <w:highlight w:val="none"/>
        </w:rPr>
      </w:pPr>
      <w:bookmarkStart w:id="843" w:name="_Toc42205018"/>
      <w:bookmarkStart w:id="844" w:name="_Toc42267657"/>
      <w:bookmarkStart w:id="845" w:name="_Toc87543843"/>
      <w:bookmarkStart w:id="846" w:name="_Toc110405159"/>
      <w:bookmarkStart w:id="847" w:name="_Toc79967649"/>
      <w:bookmarkStart w:id="848" w:name="_Toc98865036"/>
      <w:bookmarkStart w:id="849" w:name="_Toc50559278"/>
      <w:bookmarkStart w:id="850" w:name="_Toc70503243"/>
      <w:bookmarkStart w:id="851" w:name="_Toc45452769"/>
      <w:bookmarkStart w:id="852" w:name="_Toc18460"/>
      <w:bookmarkStart w:id="853" w:name="_Toc45900551"/>
      <w:bookmarkStart w:id="854" w:name="_Toc48639300"/>
      <w:bookmarkStart w:id="855" w:name="_Toc109809337"/>
      <w:bookmarkStart w:id="856" w:name="_Toc116584026"/>
      <w:bookmarkStart w:id="857" w:name="_Toc98033959"/>
      <w:bookmarkStart w:id="858" w:name="_Toc52091975"/>
      <w:bookmarkStart w:id="859" w:name="_Toc79968010"/>
      <w:bookmarkStart w:id="860" w:name="_Toc124133181"/>
      <w:bookmarkStart w:id="861" w:name="_Toc81661145"/>
      <w:bookmarkStart w:id="862" w:name="_Toc81660839"/>
      <w:bookmarkStart w:id="863" w:name="_Toc45900555"/>
      <w:bookmarkStart w:id="864" w:name="_Toc81660933"/>
      <w:bookmarkStart w:id="865" w:name="_Toc50559282"/>
      <w:bookmarkStart w:id="866" w:name="_Toc45452773"/>
      <w:bookmarkStart w:id="867" w:name="_Toc42205022"/>
      <w:bookmarkStart w:id="868" w:name="_Toc45791383"/>
      <w:bookmarkStart w:id="869" w:name="_Toc42267661"/>
      <w:bookmarkStart w:id="870" w:name="_Toc45976929"/>
      <w:bookmarkStart w:id="871" w:name="_Toc83753920"/>
      <w:bookmarkStart w:id="872" w:name="_Toc87538397"/>
      <w:bookmarkStart w:id="873" w:name="_Toc84356280"/>
      <w:r>
        <w:rPr>
          <w:rFonts w:hint="eastAsia" w:ascii="宋体" w:hAnsi="宋体"/>
          <w:b/>
          <w:bCs/>
          <w:color w:val="auto"/>
          <w:sz w:val="24"/>
          <w:szCs w:val="24"/>
          <w:highlight w:val="none"/>
        </w:rPr>
        <w:t>7.1定标方式</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F431959">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除供应商须知前附表规定磋商小组直接确定成交供应商外，采购人依据磋商小组推荐的成交候选人顺序确定成交供应商，磋商小组推荐的成交候选人的人数见供应商须知前附表。</w:t>
      </w:r>
    </w:p>
    <w:bookmarkEnd w:id="860"/>
    <w:p w14:paraId="4C3077E6">
      <w:pPr>
        <w:spacing w:line="360" w:lineRule="auto"/>
        <w:outlineLvl w:val="3"/>
        <w:rPr>
          <w:rFonts w:hint="eastAsia" w:ascii="宋体" w:hAnsi="宋体"/>
          <w:b/>
          <w:bCs/>
          <w:color w:val="auto"/>
          <w:sz w:val="24"/>
          <w:szCs w:val="24"/>
          <w:highlight w:val="none"/>
        </w:rPr>
      </w:pPr>
      <w:bookmarkStart w:id="874" w:name="_Toc45900552"/>
      <w:bookmarkStart w:id="875" w:name="_Toc42267658"/>
      <w:bookmarkStart w:id="876" w:name="_Toc70503244"/>
      <w:bookmarkStart w:id="877" w:name="_Toc52091976"/>
      <w:bookmarkStart w:id="878" w:name="_Toc42205019"/>
      <w:bookmarkStart w:id="879" w:name="_Toc45452770"/>
      <w:bookmarkStart w:id="880" w:name="_Toc48639301"/>
      <w:bookmarkStart w:id="881" w:name="_Toc50559279"/>
      <w:bookmarkStart w:id="882" w:name="_Toc98033960"/>
      <w:bookmarkStart w:id="883" w:name="_Toc98865037"/>
      <w:bookmarkStart w:id="884" w:name="_Toc116584027"/>
      <w:bookmarkStart w:id="885" w:name="_Toc110405160"/>
      <w:bookmarkStart w:id="886" w:name="_Toc79967650"/>
      <w:bookmarkStart w:id="887" w:name="_Toc18918"/>
      <w:bookmarkStart w:id="888" w:name="_Toc87543844"/>
      <w:bookmarkStart w:id="889" w:name="_Toc109809338"/>
      <w:bookmarkStart w:id="890" w:name="_Toc79968011"/>
      <w:r>
        <w:rPr>
          <w:rFonts w:hint="eastAsia" w:ascii="宋体" w:hAnsi="宋体"/>
          <w:b/>
          <w:bCs/>
          <w:color w:val="auto"/>
          <w:sz w:val="24"/>
          <w:szCs w:val="24"/>
          <w:highlight w:val="none"/>
        </w:rPr>
        <w:t>7.2成交</w:t>
      </w:r>
      <w:bookmarkEnd w:id="874"/>
      <w:bookmarkEnd w:id="875"/>
      <w:bookmarkEnd w:id="876"/>
      <w:bookmarkEnd w:id="877"/>
      <w:bookmarkEnd w:id="878"/>
      <w:bookmarkEnd w:id="879"/>
      <w:bookmarkEnd w:id="880"/>
      <w:bookmarkEnd w:id="881"/>
      <w:r>
        <w:rPr>
          <w:rFonts w:hint="eastAsia" w:ascii="宋体" w:hAnsi="宋体"/>
          <w:b/>
          <w:bCs/>
          <w:color w:val="auto"/>
          <w:sz w:val="24"/>
          <w:szCs w:val="24"/>
          <w:highlight w:val="none"/>
        </w:rPr>
        <w:t>结果</w:t>
      </w:r>
      <w:bookmarkEnd w:id="882"/>
      <w:bookmarkEnd w:id="883"/>
      <w:bookmarkEnd w:id="884"/>
      <w:bookmarkEnd w:id="885"/>
      <w:bookmarkEnd w:id="886"/>
      <w:bookmarkEnd w:id="887"/>
      <w:bookmarkEnd w:id="888"/>
      <w:bookmarkEnd w:id="889"/>
      <w:bookmarkEnd w:id="890"/>
    </w:p>
    <w:p w14:paraId="7A748319">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7.2.1采购代理机构应当在评审结束后2个工作日内将评审报告送采购人确认。</w:t>
      </w:r>
    </w:p>
    <w:p w14:paraId="62D66066">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7.2.2采购人应当在收到评审报告后5个工作日内，按照评审报告中推荐的成交候选人顺序确定成交供应商。</w:t>
      </w:r>
    </w:p>
    <w:p w14:paraId="553D0EE2">
      <w:pPr>
        <w:adjustRightInd w:val="0"/>
        <w:snapToGrid w:val="0"/>
        <w:spacing w:line="360" w:lineRule="auto"/>
        <w:ind w:firstLine="420" w:firstLineChars="200"/>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1"/>
          <w:highlight w:val="none"/>
        </w:rPr>
        <w:t>7.2.3采购代理机构应当自成交供应商确定之日起2个工作日内，</w:t>
      </w:r>
      <w:r>
        <w:rPr>
          <w:rFonts w:hint="eastAsia" w:cs="宋体" w:asciiTheme="minorEastAsia" w:hAnsiTheme="minorEastAsia" w:eastAsiaTheme="minorEastAsia"/>
          <w:snapToGrid w:val="0"/>
          <w:color w:val="auto"/>
          <w:kern w:val="0"/>
          <w:szCs w:val="21"/>
          <w:highlight w:val="none"/>
        </w:rPr>
        <w:t>在省级以上财政部门指定的政府采购信息发布媒体上公告成交结果，同时向成交供应商发出成交通知书</w:t>
      </w:r>
      <w:r>
        <w:rPr>
          <w:rFonts w:hint="eastAsia" w:asciiTheme="minorEastAsia" w:hAnsiTheme="minorEastAsia" w:eastAsiaTheme="minorEastAsia"/>
          <w:color w:val="auto"/>
          <w:szCs w:val="21"/>
          <w:highlight w:val="none"/>
        </w:rPr>
        <w:t>。</w:t>
      </w:r>
    </w:p>
    <w:p w14:paraId="2270C82C">
      <w:pPr>
        <w:spacing w:line="360" w:lineRule="auto"/>
        <w:outlineLvl w:val="3"/>
        <w:rPr>
          <w:rFonts w:hint="eastAsia" w:ascii="宋体" w:hAnsi="宋体"/>
          <w:b/>
          <w:bCs/>
          <w:color w:val="auto"/>
          <w:sz w:val="24"/>
          <w:szCs w:val="24"/>
          <w:highlight w:val="none"/>
        </w:rPr>
      </w:pPr>
      <w:bookmarkStart w:id="891" w:name="_Toc70503245"/>
      <w:bookmarkStart w:id="892" w:name="_Toc42205020"/>
      <w:bookmarkStart w:id="893" w:name="_Toc42267659"/>
      <w:bookmarkStart w:id="894" w:name="_Toc50559280"/>
      <w:bookmarkStart w:id="895" w:name="_Toc116584028"/>
      <w:bookmarkStart w:id="896" w:name="_Toc45452771"/>
      <w:bookmarkStart w:id="897" w:name="_Toc98033961"/>
      <w:bookmarkStart w:id="898" w:name="_Toc79967651"/>
      <w:bookmarkStart w:id="899" w:name="_Toc87543845"/>
      <w:bookmarkStart w:id="900" w:name="_Toc109809339"/>
      <w:bookmarkStart w:id="901" w:name="_Toc98865038"/>
      <w:bookmarkStart w:id="902" w:name="_Toc79968012"/>
      <w:bookmarkStart w:id="903" w:name="_Toc110405161"/>
      <w:bookmarkStart w:id="904" w:name="_Toc48639302"/>
      <w:bookmarkStart w:id="905" w:name="_Toc45900553"/>
      <w:bookmarkStart w:id="906" w:name="_Toc10977"/>
      <w:bookmarkStart w:id="907" w:name="_Toc52091977"/>
      <w:r>
        <w:rPr>
          <w:rFonts w:hint="eastAsia" w:ascii="宋体" w:hAnsi="宋体"/>
          <w:b/>
          <w:bCs/>
          <w:color w:val="auto"/>
          <w:sz w:val="24"/>
          <w:szCs w:val="24"/>
          <w:highlight w:val="none"/>
        </w:rPr>
        <w:t>7.3履约担保</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5BBC122E">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7.3.1成交供应商与采购人签订合同前应当按照供应商须知前附表规定的金额、担保形式向采购人提交履约担保。</w:t>
      </w:r>
    </w:p>
    <w:p w14:paraId="59125284">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7.3.2成交供应商不能按照供应商须知前附表要求提交履约担保的，视为放弃成交资格，并且采购人上报政府采购监督管理部门。</w:t>
      </w:r>
    </w:p>
    <w:p w14:paraId="2EF469B2">
      <w:pPr>
        <w:spacing w:line="360" w:lineRule="auto"/>
        <w:outlineLvl w:val="3"/>
        <w:rPr>
          <w:rFonts w:hint="eastAsia" w:ascii="宋体" w:hAnsi="宋体"/>
          <w:b/>
          <w:bCs/>
          <w:color w:val="auto"/>
          <w:sz w:val="24"/>
          <w:szCs w:val="24"/>
          <w:highlight w:val="none"/>
        </w:rPr>
      </w:pPr>
      <w:bookmarkStart w:id="908" w:name="_Toc45900554"/>
      <w:bookmarkStart w:id="909" w:name="_Toc98865039"/>
      <w:bookmarkStart w:id="910" w:name="_Toc32278"/>
      <w:bookmarkStart w:id="911" w:name="_Toc116584029"/>
      <w:bookmarkStart w:id="912" w:name="_Toc79967652"/>
      <w:bookmarkStart w:id="913" w:name="_Toc50559281"/>
      <w:bookmarkStart w:id="914" w:name="_Toc124133182"/>
      <w:bookmarkStart w:id="915" w:name="_Toc42267660"/>
      <w:bookmarkStart w:id="916" w:name="_Toc110405162"/>
      <w:bookmarkStart w:id="917" w:name="_Toc42205021"/>
      <w:bookmarkStart w:id="918" w:name="_Toc98033962"/>
      <w:bookmarkStart w:id="919" w:name="_Toc52091978"/>
      <w:bookmarkStart w:id="920" w:name="_Toc109809340"/>
      <w:bookmarkStart w:id="921" w:name="_Toc70503246"/>
      <w:bookmarkStart w:id="922" w:name="_Toc79968013"/>
      <w:bookmarkStart w:id="923" w:name="_Toc45452772"/>
      <w:bookmarkStart w:id="924" w:name="_Toc87543846"/>
      <w:bookmarkStart w:id="925" w:name="_Toc48639303"/>
      <w:r>
        <w:rPr>
          <w:rFonts w:hint="eastAsia" w:ascii="宋体" w:hAnsi="宋体"/>
          <w:b/>
          <w:bCs/>
          <w:color w:val="auto"/>
          <w:sz w:val="24"/>
          <w:szCs w:val="24"/>
          <w:highlight w:val="none"/>
        </w:rPr>
        <w:t>7.4签订合同</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7187A009">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7.4.1采购人和成交供应商应当自成交通知书发出之日起30天内，根据采购文件和成交供应商的响应文件订立书面合同。成交供应商无正当理由拒签合同的，采购人取消其成交资格；给采购人造成损失的，还应当赔偿损失。</w:t>
      </w:r>
    </w:p>
    <w:p w14:paraId="7B137952">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7.4.2发出成交通知书后，采购人无正当理由拒签合同，给成交供应商造成损失的，还应当赔偿损失。</w:t>
      </w:r>
    </w:p>
    <w:bookmarkEnd w:id="861"/>
    <w:bookmarkEnd w:id="862"/>
    <w:bookmarkEnd w:id="863"/>
    <w:bookmarkEnd w:id="864"/>
    <w:bookmarkEnd w:id="865"/>
    <w:bookmarkEnd w:id="866"/>
    <w:p w14:paraId="352228F7">
      <w:pPr>
        <w:spacing w:line="360" w:lineRule="auto"/>
        <w:jc w:val="center"/>
        <w:outlineLvl w:val="2"/>
        <w:rPr>
          <w:rFonts w:hint="eastAsia" w:asciiTheme="minorEastAsia" w:hAnsiTheme="minorEastAsia" w:eastAsiaTheme="minorEastAsia"/>
          <w:b/>
          <w:bCs/>
          <w:color w:val="auto"/>
          <w:sz w:val="28"/>
          <w:szCs w:val="28"/>
          <w:highlight w:val="none"/>
        </w:rPr>
      </w:pPr>
      <w:bookmarkStart w:id="926" w:name="_Toc87543847"/>
      <w:bookmarkStart w:id="927" w:name="_Toc98865040"/>
      <w:bookmarkStart w:id="928" w:name="_Toc109809341"/>
      <w:bookmarkStart w:id="929" w:name="_Toc26229"/>
      <w:bookmarkStart w:id="930" w:name="_Toc98033963"/>
      <w:bookmarkStart w:id="931" w:name="_Toc110405163"/>
      <w:bookmarkStart w:id="932" w:name="_Toc116584030"/>
      <w:r>
        <w:rPr>
          <w:rFonts w:hint="eastAsia" w:asciiTheme="minorEastAsia" w:hAnsiTheme="minorEastAsia" w:eastAsiaTheme="minorEastAsia"/>
          <w:b/>
          <w:bCs/>
          <w:color w:val="auto"/>
          <w:sz w:val="28"/>
          <w:szCs w:val="28"/>
          <w:highlight w:val="none"/>
        </w:rPr>
        <w:t>8.重新</w:t>
      </w:r>
      <w:bookmarkEnd w:id="867"/>
      <w:bookmarkEnd w:id="868"/>
      <w:bookmarkEnd w:id="869"/>
      <w:bookmarkEnd w:id="870"/>
      <w:r>
        <w:rPr>
          <w:rFonts w:hint="eastAsia" w:asciiTheme="minorEastAsia" w:hAnsiTheme="minorEastAsia" w:eastAsiaTheme="minorEastAsia"/>
          <w:b/>
          <w:bCs/>
          <w:color w:val="auto"/>
          <w:sz w:val="28"/>
          <w:szCs w:val="28"/>
          <w:highlight w:val="none"/>
        </w:rPr>
        <w:t>采购</w:t>
      </w:r>
      <w:bookmarkEnd w:id="871"/>
      <w:bookmarkEnd w:id="872"/>
      <w:bookmarkEnd w:id="873"/>
      <w:bookmarkEnd w:id="926"/>
      <w:bookmarkEnd w:id="927"/>
      <w:bookmarkEnd w:id="928"/>
      <w:bookmarkEnd w:id="929"/>
      <w:bookmarkEnd w:id="930"/>
      <w:bookmarkEnd w:id="931"/>
      <w:bookmarkEnd w:id="932"/>
    </w:p>
    <w:p w14:paraId="7A8A4E0A">
      <w:pPr>
        <w:spacing w:line="360" w:lineRule="auto"/>
        <w:outlineLvl w:val="3"/>
        <w:rPr>
          <w:rFonts w:hint="eastAsia" w:ascii="宋体" w:hAnsi="宋体"/>
          <w:b/>
          <w:bCs/>
          <w:color w:val="auto"/>
          <w:sz w:val="24"/>
          <w:szCs w:val="24"/>
          <w:highlight w:val="none"/>
        </w:rPr>
      </w:pPr>
      <w:bookmarkStart w:id="933" w:name="_Toc116584031"/>
      <w:bookmarkStart w:id="934" w:name="_Toc31249"/>
      <w:bookmarkStart w:id="935" w:name="_Toc110405164"/>
      <w:bookmarkStart w:id="936" w:name="_Toc98033964"/>
      <w:bookmarkStart w:id="937" w:name="_Toc87543848"/>
      <w:bookmarkStart w:id="938" w:name="_Toc109809342"/>
      <w:bookmarkStart w:id="939" w:name="_Toc98865041"/>
      <w:r>
        <w:rPr>
          <w:rFonts w:hint="eastAsia" w:ascii="宋体" w:hAnsi="宋体"/>
          <w:b/>
          <w:bCs/>
          <w:color w:val="auto"/>
          <w:sz w:val="24"/>
          <w:szCs w:val="24"/>
          <w:highlight w:val="none"/>
        </w:rPr>
        <w:t>8</w:t>
      </w:r>
      <w:r>
        <w:rPr>
          <w:rFonts w:ascii="宋体" w:hAnsi="宋体"/>
          <w:b/>
          <w:bCs/>
          <w:color w:val="auto"/>
          <w:sz w:val="24"/>
          <w:szCs w:val="24"/>
          <w:highlight w:val="none"/>
        </w:rPr>
        <w:t>.1</w:t>
      </w:r>
      <w:r>
        <w:rPr>
          <w:rFonts w:hint="eastAsia" w:ascii="宋体" w:hAnsi="宋体"/>
          <w:b/>
          <w:bCs/>
          <w:color w:val="auto"/>
          <w:sz w:val="24"/>
          <w:szCs w:val="24"/>
          <w:highlight w:val="none"/>
        </w:rPr>
        <w:t>有下列情形之一的，采购人将重新采购</w:t>
      </w:r>
      <w:bookmarkEnd w:id="933"/>
      <w:bookmarkEnd w:id="934"/>
      <w:bookmarkEnd w:id="935"/>
      <w:bookmarkEnd w:id="936"/>
      <w:bookmarkEnd w:id="937"/>
      <w:bookmarkEnd w:id="938"/>
      <w:bookmarkEnd w:id="939"/>
    </w:p>
    <w:p w14:paraId="26E0CC52">
      <w:pPr>
        <w:adjustRightInd w:val="0"/>
        <w:snapToGrid w:val="0"/>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8.1.1响应文件</w:t>
      </w:r>
      <w:r>
        <w:rPr>
          <w:rFonts w:hint="eastAsia" w:asciiTheme="minorEastAsia" w:hAnsiTheme="minorEastAsia" w:eastAsiaTheme="minorEastAsia"/>
          <w:color w:val="auto"/>
          <w:highlight w:val="none"/>
        </w:rPr>
        <w:t>提交</w:t>
      </w:r>
      <w:r>
        <w:rPr>
          <w:rFonts w:asciiTheme="minorEastAsia" w:hAnsiTheme="minorEastAsia" w:eastAsiaTheme="minorEastAsia"/>
          <w:color w:val="auto"/>
          <w:highlight w:val="none"/>
        </w:rPr>
        <w:t>截止时间止，提交响应文件的供应商少于3个的，采购人</w:t>
      </w:r>
      <w:r>
        <w:rPr>
          <w:rFonts w:hint="eastAsia" w:asciiTheme="minorEastAsia" w:hAnsiTheme="minorEastAsia" w:eastAsiaTheme="minorEastAsia"/>
          <w:color w:val="auto"/>
          <w:highlight w:val="none"/>
        </w:rPr>
        <w:t>将</w:t>
      </w:r>
      <w:r>
        <w:rPr>
          <w:rFonts w:asciiTheme="minorEastAsia" w:hAnsiTheme="minorEastAsia" w:eastAsiaTheme="minorEastAsia"/>
          <w:color w:val="auto"/>
          <w:highlight w:val="none"/>
        </w:rPr>
        <w:t>依法重新采购。</w:t>
      </w:r>
    </w:p>
    <w:p w14:paraId="190B34D7">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highlight w:val="none"/>
        </w:rPr>
        <w:t>8.1.2根据《财政部关于政府采购竞争性磋商采购方式管理暂行办法有关问题的补充通知》（财库〔2015〕124号）的规定，采用竞争性磋商采购方式采购的政府购买服务项目（含政府和社会资本合作项目），在采购过程中符合要求的供应商只有2家的，竞争性磋商采购活动可以继续进行。采购过程中符合要求的供应商只有1家的，采购人或者采购代理机构应当终止竞争性磋商活动，发布项目终止公告并说明原因，重新开展采购活动</w:t>
      </w:r>
      <w:r>
        <w:rPr>
          <w:rFonts w:hint="eastAsia" w:asciiTheme="minorEastAsia" w:hAnsiTheme="minorEastAsia" w:eastAsiaTheme="minorEastAsia"/>
          <w:color w:val="auto"/>
          <w:szCs w:val="21"/>
          <w:highlight w:val="none"/>
        </w:rPr>
        <w:t>。</w:t>
      </w:r>
    </w:p>
    <w:p w14:paraId="5DF6E7C8">
      <w:pPr>
        <w:spacing w:line="360" w:lineRule="auto"/>
        <w:jc w:val="center"/>
        <w:outlineLvl w:val="2"/>
        <w:rPr>
          <w:rFonts w:hint="eastAsia" w:asciiTheme="minorEastAsia" w:hAnsiTheme="minorEastAsia" w:eastAsiaTheme="minorEastAsia"/>
          <w:b/>
          <w:bCs/>
          <w:color w:val="auto"/>
          <w:sz w:val="28"/>
          <w:szCs w:val="28"/>
          <w:highlight w:val="none"/>
        </w:rPr>
      </w:pPr>
      <w:bookmarkStart w:id="940" w:name="_Toc16641"/>
      <w:bookmarkStart w:id="941" w:name="_Toc45791384"/>
      <w:bookmarkStart w:id="942" w:name="_Toc87543849"/>
      <w:bookmarkStart w:id="943" w:name="_Toc45976930"/>
      <w:bookmarkStart w:id="944" w:name="_Toc98033965"/>
      <w:bookmarkStart w:id="945" w:name="_Toc83753921"/>
      <w:bookmarkStart w:id="946" w:name="_Toc42205023"/>
      <w:bookmarkStart w:id="947" w:name="_Toc84356281"/>
      <w:bookmarkStart w:id="948" w:name="_Toc98865042"/>
      <w:bookmarkStart w:id="949" w:name="_Toc87538398"/>
      <w:bookmarkStart w:id="950" w:name="_Toc116584032"/>
      <w:bookmarkStart w:id="951" w:name="_Toc109809343"/>
      <w:bookmarkStart w:id="952" w:name="_Toc42267662"/>
      <w:bookmarkStart w:id="953" w:name="_Toc110405165"/>
      <w:r>
        <w:rPr>
          <w:rFonts w:hint="eastAsia" w:asciiTheme="minorEastAsia" w:hAnsiTheme="minorEastAsia" w:eastAsiaTheme="minorEastAsia"/>
          <w:b/>
          <w:bCs/>
          <w:color w:val="auto"/>
          <w:sz w:val="28"/>
          <w:szCs w:val="28"/>
          <w:highlight w:val="none"/>
        </w:rPr>
        <w:t>9.纪律和监督</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6426CF07">
      <w:pPr>
        <w:spacing w:line="360" w:lineRule="auto"/>
        <w:outlineLvl w:val="3"/>
        <w:rPr>
          <w:rFonts w:hint="eastAsia" w:ascii="宋体" w:hAnsi="宋体"/>
          <w:b/>
          <w:bCs/>
          <w:color w:val="auto"/>
          <w:sz w:val="24"/>
          <w:szCs w:val="24"/>
          <w:highlight w:val="none"/>
        </w:rPr>
      </w:pPr>
      <w:bookmarkStart w:id="954" w:name="_Toc109809344"/>
      <w:bookmarkStart w:id="955" w:name="_Toc28437"/>
      <w:bookmarkStart w:id="956" w:name="_Toc116584033"/>
      <w:bookmarkStart w:id="957" w:name="_Toc110405166"/>
      <w:bookmarkStart w:id="958" w:name="_Toc45976931"/>
      <w:bookmarkStart w:id="959" w:name="_Toc42205024"/>
      <w:bookmarkStart w:id="960" w:name="_Toc98033966"/>
      <w:bookmarkStart w:id="961" w:name="_Toc98865043"/>
      <w:bookmarkStart w:id="962" w:name="_Toc69678460"/>
      <w:bookmarkStart w:id="963" w:name="_Toc87538399"/>
      <w:bookmarkStart w:id="964" w:name="_Toc45791385"/>
      <w:bookmarkStart w:id="965" w:name="_Toc42267663"/>
      <w:bookmarkStart w:id="966" w:name="_Toc81330970"/>
      <w:bookmarkStart w:id="967" w:name="_Toc83753922"/>
      <w:bookmarkStart w:id="968" w:name="_Toc75783562"/>
      <w:bookmarkStart w:id="969" w:name="_Toc84356282"/>
      <w:bookmarkStart w:id="970" w:name="_Toc87543850"/>
      <w:bookmarkStart w:id="971" w:name="_Toc53412247"/>
      <w:r>
        <w:rPr>
          <w:rFonts w:hint="eastAsia" w:ascii="宋体" w:hAnsi="宋体"/>
          <w:b/>
          <w:bCs/>
          <w:color w:val="auto"/>
          <w:sz w:val="24"/>
          <w:szCs w:val="24"/>
          <w:highlight w:val="none"/>
        </w:rPr>
        <w:t>9.1 对采购人的纪律要求</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3FE1248C">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采购人不得泄漏采购活动中应当保密的情况和资料，不得与供应商串通损害国家利益、社会公共利益或者他人合法权益。</w:t>
      </w:r>
    </w:p>
    <w:p w14:paraId="3B43E301">
      <w:pPr>
        <w:spacing w:line="360" w:lineRule="auto"/>
        <w:outlineLvl w:val="3"/>
        <w:rPr>
          <w:rFonts w:hint="eastAsia" w:ascii="宋体" w:hAnsi="宋体"/>
          <w:b/>
          <w:bCs/>
          <w:color w:val="auto"/>
          <w:sz w:val="24"/>
          <w:szCs w:val="24"/>
          <w:highlight w:val="none"/>
        </w:rPr>
      </w:pPr>
      <w:bookmarkStart w:id="972" w:name="_Toc69678461"/>
      <w:bookmarkStart w:id="973" w:name="_Toc53412248"/>
      <w:bookmarkStart w:id="974" w:name="_Toc87538400"/>
      <w:bookmarkStart w:id="975" w:name="_Toc75783563"/>
      <w:bookmarkStart w:id="976" w:name="_Toc42267664"/>
      <w:bookmarkStart w:id="977" w:name="_Toc45976932"/>
      <w:bookmarkStart w:id="978" w:name="_Toc98033967"/>
      <w:bookmarkStart w:id="979" w:name="_Toc45791386"/>
      <w:bookmarkStart w:id="980" w:name="_Toc42205025"/>
      <w:bookmarkStart w:id="981" w:name="_Toc81330971"/>
      <w:bookmarkStart w:id="982" w:name="_Toc928"/>
      <w:bookmarkStart w:id="983" w:name="_Toc84356283"/>
      <w:bookmarkStart w:id="984" w:name="_Toc110405167"/>
      <w:bookmarkStart w:id="985" w:name="_Toc87543851"/>
      <w:bookmarkStart w:id="986" w:name="_Toc98865044"/>
      <w:bookmarkStart w:id="987" w:name="_Toc109809345"/>
      <w:bookmarkStart w:id="988" w:name="_Toc116584034"/>
      <w:bookmarkStart w:id="989" w:name="_Toc83753923"/>
      <w:r>
        <w:rPr>
          <w:rFonts w:hint="eastAsia" w:ascii="宋体" w:hAnsi="宋体"/>
          <w:b/>
          <w:bCs/>
          <w:color w:val="auto"/>
          <w:sz w:val="24"/>
          <w:szCs w:val="24"/>
          <w:highlight w:val="none"/>
        </w:rPr>
        <w:t>9.2 对供应商的纪律要求</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36687687">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供应商不得相互串通磋商或者与采购人串通磋商，不得向采购人或者磋商小组成员行贿谋取成交，不得以他人名义磋商或者以其他方式弄虚作假骗取成交；供应商不得以任何方式干扰、影响评审工作。</w:t>
      </w:r>
    </w:p>
    <w:p w14:paraId="6097F8BA">
      <w:pPr>
        <w:spacing w:line="360" w:lineRule="auto"/>
        <w:outlineLvl w:val="3"/>
        <w:rPr>
          <w:rFonts w:hint="eastAsia" w:ascii="宋体" w:hAnsi="宋体"/>
          <w:b/>
          <w:bCs/>
          <w:color w:val="auto"/>
          <w:sz w:val="24"/>
          <w:szCs w:val="24"/>
          <w:highlight w:val="none"/>
        </w:rPr>
      </w:pPr>
      <w:bookmarkStart w:id="990" w:name="_Toc42267665"/>
      <w:bookmarkStart w:id="991" w:name="_Toc13146"/>
      <w:bookmarkStart w:id="992" w:name="_Toc87538401"/>
      <w:bookmarkStart w:id="993" w:name="_Toc42205026"/>
      <w:bookmarkStart w:id="994" w:name="_Toc84356284"/>
      <w:bookmarkStart w:id="995" w:name="_Toc87543852"/>
      <w:bookmarkStart w:id="996" w:name="_Toc45976933"/>
      <w:bookmarkStart w:id="997" w:name="_Toc109809346"/>
      <w:bookmarkStart w:id="998" w:name="_Toc110405168"/>
      <w:bookmarkStart w:id="999" w:name="_Toc98865045"/>
      <w:bookmarkStart w:id="1000" w:name="_Toc83753924"/>
      <w:bookmarkStart w:id="1001" w:name="_Toc69678462"/>
      <w:bookmarkStart w:id="1002" w:name="_Toc81330972"/>
      <w:bookmarkStart w:id="1003" w:name="_Toc116584035"/>
      <w:bookmarkStart w:id="1004" w:name="_Toc75783564"/>
      <w:bookmarkStart w:id="1005" w:name="_Toc98033968"/>
      <w:bookmarkStart w:id="1006" w:name="_Toc53412249"/>
      <w:bookmarkStart w:id="1007" w:name="_Toc45791387"/>
      <w:r>
        <w:rPr>
          <w:rFonts w:hint="eastAsia" w:ascii="宋体" w:hAnsi="宋体"/>
          <w:b/>
          <w:bCs/>
          <w:color w:val="auto"/>
          <w:sz w:val="24"/>
          <w:szCs w:val="24"/>
          <w:highlight w:val="none"/>
        </w:rPr>
        <w:t>9.3 对磋商小组成员的纪律要求</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412DCFB0">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六章“评审办法”没有规定的评审因素和标准进行评审。</w:t>
      </w:r>
    </w:p>
    <w:p w14:paraId="15855DCB">
      <w:pPr>
        <w:spacing w:line="360" w:lineRule="auto"/>
        <w:outlineLvl w:val="3"/>
        <w:rPr>
          <w:rFonts w:hint="eastAsia" w:ascii="宋体" w:hAnsi="宋体"/>
          <w:b/>
          <w:bCs/>
          <w:color w:val="auto"/>
          <w:sz w:val="24"/>
          <w:szCs w:val="24"/>
          <w:highlight w:val="none"/>
        </w:rPr>
      </w:pPr>
      <w:bookmarkStart w:id="1008" w:name="_Toc16136"/>
      <w:bookmarkStart w:id="1009" w:name="_Toc42205027"/>
      <w:bookmarkStart w:id="1010" w:name="_Toc87543853"/>
      <w:bookmarkStart w:id="1011" w:name="_Toc69678463"/>
      <w:bookmarkStart w:id="1012" w:name="_Toc83753925"/>
      <w:bookmarkStart w:id="1013" w:name="_Toc109809347"/>
      <w:bookmarkStart w:id="1014" w:name="_Toc45976934"/>
      <w:bookmarkStart w:id="1015" w:name="_Toc110405169"/>
      <w:bookmarkStart w:id="1016" w:name="_Toc116584036"/>
      <w:bookmarkStart w:id="1017" w:name="_Toc87538402"/>
      <w:bookmarkStart w:id="1018" w:name="_Toc45791388"/>
      <w:bookmarkStart w:id="1019" w:name="_Toc81330973"/>
      <w:bookmarkStart w:id="1020" w:name="_Toc53412250"/>
      <w:bookmarkStart w:id="1021" w:name="_Toc98865046"/>
      <w:bookmarkStart w:id="1022" w:name="_Toc75783565"/>
      <w:bookmarkStart w:id="1023" w:name="_Toc42267666"/>
      <w:bookmarkStart w:id="1024" w:name="_Toc98033969"/>
      <w:bookmarkStart w:id="1025" w:name="_Toc84356285"/>
      <w:r>
        <w:rPr>
          <w:rFonts w:hint="eastAsia" w:ascii="宋体" w:hAnsi="宋体"/>
          <w:b/>
          <w:bCs/>
          <w:color w:val="auto"/>
          <w:sz w:val="24"/>
          <w:szCs w:val="24"/>
          <w:highlight w:val="none"/>
        </w:rPr>
        <w:t>9.4 对与评审活动有关的工作人员的纪律要求</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386BF9D5">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15C25FD">
      <w:pPr>
        <w:spacing w:line="360" w:lineRule="auto"/>
        <w:outlineLvl w:val="3"/>
        <w:rPr>
          <w:rFonts w:hint="eastAsia" w:ascii="宋体" w:hAnsi="宋体"/>
          <w:b/>
          <w:bCs/>
          <w:color w:val="auto"/>
          <w:sz w:val="24"/>
          <w:szCs w:val="24"/>
          <w:highlight w:val="none"/>
        </w:rPr>
      </w:pPr>
      <w:bookmarkStart w:id="1026" w:name="_Toc116584037"/>
      <w:r>
        <w:rPr>
          <w:rFonts w:hint="eastAsia" w:ascii="宋体" w:hAnsi="宋体"/>
          <w:b/>
          <w:bCs/>
          <w:color w:val="auto"/>
          <w:sz w:val="24"/>
          <w:szCs w:val="24"/>
          <w:highlight w:val="none"/>
        </w:rPr>
        <w:t>9</w:t>
      </w:r>
      <w:r>
        <w:rPr>
          <w:rFonts w:ascii="宋体" w:hAnsi="宋体"/>
          <w:b/>
          <w:bCs/>
          <w:color w:val="auto"/>
          <w:sz w:val="24"/>
          <w:szCs w:val="24"/>
          <w:highlight w:val="none"/>
        </w:rPr>
        <w:t>.5</w:t>
      </w:r>
      <w:r>
        <w:rPr>
          <w:rFonts w:hint="eastAsia" w:ascii="宋体" w:hAnsi="宋体"/>
          <w:b/>
          <w:bCs/>
          <w:color w:val="auto"/>
          <w:sz w:val="24"/>
          <w:szCs w:val="24"/>
          <w:highlight w:val="none"/>
        </w:rPr>
        <w:t>质疑</w:t>
      </w:r>
      <w:bookmarkEnd w:id="1026"/>
    </w:p>
    <w:p w14:paraId="672A2AEE">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9.5.1</w:t>
      </w:r>
      <w:r>
        <w:rPr>
          <w:rFonts w:hint="eastAsia" w:asciiTheme="minorEastAsia" w:hAnsiTheme="minorEastAsia" w:eastAsiaTheme="minorEastAsia"/>
          <w:color w:val="auto"/>
          <w:szCs w:val="21"/>
          <w:highlight w:val="none"/>
        </w:rPr>
        <w:t>供应商认为采购文件、采购过程和成交结果使自己的权益受到损害的，应当在知道或者应知其权益受到损害之日起7个工作日内，登录政府采购云平台向采购人或采购代理机构在线提起质疑。质疑内容不得含有虚假、恶意成分。当事人对自己提出的主张，有责任提供证据，提出质疑时应同时提交相关证据材料和注明事实的确切来源。</w:t>
      </w:r>
    </w:p>
    <w:p w14:paraId="57BDEC5D">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9.5.2</w:t>
      </w:r>
      <w:r>
        <w:rPr>
          <w:rFonts w:hint="eastAsia" w:asciiTheme="minorEastAsia" w:hAnsiTheme="minorEastAsia" w:eastAsiaTheme="minorEastAsia"/>
          <w:color w:val="auto"/>
          <w:szCs w:val="21"/>
          <w:highlight w:val="none"/>
        </w:rPr>
        <w:t>供应商应知其权益受到损害之日，是指：</w:t>
      </w:r>
    </w:p>
    <w:p w14:paraId="2C2187F3">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（1）对可以质疑的竞争性磋商提出质疑的，为供应商获取采购文件之日；</w:t>
      </w:r>
    </w:p>
    <w:p w14:paraId="1D6938CA">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（2）对采购过程提出质疑的，为各采购程序环节结束之日；</w:t>
      </w:r>
    </w:p>
    <w:p w14:paraId="68B46A1B">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（3）对成交结果提出质疑的，为成交结果公告期限届满之日。</w:t>
      </w:r>
    </w:p>
    <w:p w14:paraId="6C578E02">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w:t>
      </w:r>
      <w:r>
        <w:rPr>
          <w:rFonts w:hint="eastAsia" w:asciiTheme="minorEastAsia" w:hAnsiTheme="minorEastAsia" w:eastAsiaTheme="minorEastAsia"/>
          <w:color w:val="auto"/>
          <w:szCs w:val="21"/>
          <w:highlight w:val="none"/>
        </w:rPr>
        <w:t>3采购人、采购代理机构应在收到供应商的质疑后7个工作日内作出答复，但答复的内容不涉及商业秘密。</w:t>
      </w:r>
    </w:p>
    <w:p w14:paraId="75EFDAC2">
      <w:pPr>
        <w:adjustRightInd w:val="0"/>
        <w:snapToGrid w:val="0"/>
        <w:spacing w:line="360" w:lineRule="auto"/>
        <w:ind w:firstLine="420" w:firstLineChars="200"/>
        <w:rPr>
          <w:rFonts w:hint="eastAsia" w:cs="宋体"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w:t>
      </w:r>
      <w:r>
        <w:rPr>
          <w:rFonts w:hint="eastAsia" w:asciiTheme="minorEastAsia" w:hAnsiTheme="minorEastAsia" w:eastAsiaTheme="minorEastAsia"/>
          <w:color w:val="auto"/>
          <w:szCs w:val="21"/>
          <w:highlight w:val="none"/>
        </w:rPr>
        <w:t>4参与政府采购活动的供应商对评审过程或者结果提出质疑的，采购人或采购代理机构可以组织原磋商小组协助处理质疑事项，并依据磋商小组出具的意见进行答复。质疑答复导致成交结果改变的，采购人或采购代理机构应当将相关情况报财政部门备案。</w:t>
      </w:r>
    </w:p>
    <w:p w14:paraId="0DA84462">
      <w:pPr>
        <w:spacing w:line="360" w:lineRule="auto"/>
        <w:outlineLvl w:val="3"/>
        <w:rPr>
          <w:rFonts w:hint="eastAsia" w:ascii="宋体" w:hAnsi="宋体"/>
          <w:b/>
          <w:bCs/>
          <w:color w:val="auto"/>
          <w:sz w:val="24"/>
          <w:szCs w:val="24"/>
          <w:highlight w:val="none"/>
        </w:rPr>
      </w:pPr>
      <w:bookmarkStart w:id="1027" w:name="_Toc116584038"/>
      <w:r>
        <w:rPr>
          <w:rFonts w:ascii="宋体" w:hAnsi="宋体"/>
          <w:b/>
          <w:bCs/>
          <w:color w:val="auto"/>
          <w:sz w:val="24"/>
          <w:szCs w:val="24"/>
          <w:highlight w:val="none"/>
        </w:rPr>
        <w:t>9.6</w:t>
      </w:r>
      <w:r>
        <w:rPr>
          <w:rFonts w:hint="eastAsia" w:ascii="宋体" w:hAnsi="宋体"/>
          <w:b/>
          <w:bCs/>
          <w:color w:val="auto"/>
          <w:sz w:val="24"/>
          <w:szCs w:val="24"/>
          <w:highlight w:val="none"/>
        </w:rPr>
        <w:t>投诉</w:t>
      </w:r>
      <w:bookmarkEnd w:id="1027"/>
    </w:p>
    <w:p w14:paraId="0B54197B">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投诉必须首先经过质疑程序。质疑人对采购人、采购代理机构的答复不满意或采购人、采购代理机构未在规定的时间内做出答复的，可以在答复期满后1</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个工作日内书面向财政部门提起投诉。</w:t>
      </w:r>
    </w:p>
    <w:p w14:paraId="346227CD">
      <w:pPr>
        <w:spacing w:line="360" w:lineRule="auto"/>
        <w:jc w:val="center"/>
        <w:outlineLvl w:val="2"/>
        <w:rPr>
          <w:rFonts w:hint="eastAsia" w:asciiTheme="minorEastAsia" w:hAnsiTheme="minorEastAsia" w:eastAsiaTheme="minorEastAsia"/>
          <w:b/>
          <w:bCs/>
          <w:color w:val="auto"/>
          <w:sz w:val="28"/>
          <w:szCs w:val="28"/>
          <w:highlight w:val="none"/>
        </w:rPr>
      </w:pPr>
      <w:bookmarkStart w:id="1028" w:name="_Toc98033971"/>
      <w:bookmarkStart w:id="1029" w:name="_Toc98865048"/>
      <w:bookmarkStart w:id="1030" w:name="_Toc87543855"/>
      <w:bookmarkStart w:id="1031" w:name="_Toc45791390"/>
      <w:bookmarkStart w:id="1032" w:name="_Toc116584039"/>
      <w:bookmarkStart w:id="1033" w:name="_Toc109809349"/>
      <w:bookmarkStart w:id="1034" w:name="_Toc42205029"/>
      <w:bookmarkStart w:id="1035" w:name="_Toc110405172"/>
      <w:bookmarkStart w:id="1036" w:name="_Toc45976936"/>
      <w:bookmarkStart w:id="1037" w:name="_Toc42267668"/>
      <w:bookmarkStart w:id="1038" w:name="_Toc83753927"/>
      <w:bookmarkStart w:id="1039" w:name="_Toc87538404"/>
      <w:bookmarkStart w:id="1040" w:name="_Toc18346"/>
      <w:bookmarkStart w:id="1041" w:name="_Toc84356287"/>
      <w:r>
        <w:rPr>
          <w:rFonts w:hint="eastAsia" w:asciiTheme="minorEastAsia" w:hAnsiTheme="minorEastAsia" w:eastAsiaTheme="minorEastAsia"/>
          <w:b/>
          <w:bCs/>
          <w:color w:val="auto"/>
          <w:sz w:val="28"/>
          <w:szCs w:val="28"/>
          <w:highlight w:val="none"/>
        </w:rPr>
        <w:t>10.需要补充的其他内容</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349DAC14">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需要补充的其他内容：详</w:t>
      </w:r>
      <w:r>
        <w:rPr>
          <w:rFonts w:asciiTheme="minorEastAsia" w:hAnsiTheme="minorEastAsia" w:eastAsiaTheme="minorEastAsia"/>
          <w:color w:val="auto"/>
          <w:szCs w:val="21"/>
          <w:highlight w:val="none"/>
        </w:rPr>
        <w:t>见</w:t>
      </w:r>
      <w:r>
        <w:rPr>
          <w:rFonts w:hint="eastAsia" w:asciiTheme="minorEastAsia" w:hAnsiTheme="minorEastAsia" w:eastAsiaTheme="minorEastAsia"/>
          <w:color w:val="auto"/>
          <w:szCs w:val="21"/>
          <w:highlight w:val="none"/>
        </w:rPr>
        <w:t>供应商须知前附表。</w:t>
      </w:r>
      <w:bookmarkStart w:id="1042" w:name="_Toc29357076"/>
      <w:bookmarkStart w:id="1043" w:name="_Toc292983024"/>
      <w:bookmarkStart w:id="1044" w:name="_Toc42205030"/>
      <w:bookmarkStart w:id="1045" w:name="_Toc37603108"/>
      <w:r>
        <w:rPr>
          <w:rFonts w:asciiTheme="minorEastAsia" w:hAnsiTheme="minorEastAsia" w:eastAsiaTheme="minorEastAsia"/>
          <w:color w:val="auto"/>
          <w:szCs w:val="21"/>
          <w:highlight w:val="none"/>
        </w:rPr>
        <w:br w:type="page"/>
      </w:r>
    </w:p>
    <w:p w14:paraId="1FDF557B">
      <w:pPr>
        <w:autoSpaceDE w:val="0"/>
        <w:autoSpaceDN w:val="0"/>
        <w:adjustRightInd w:val="0"/>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附件：电子投标文件编制要求</w:t>
      </w:r>
    </w:p>
    <w:p w14:paraId="55DF1DD5">
      <w:pPr>
        <w:autoSpaceDE w:val="0"/>
        <w:autoSpaceDN w:val="0"/>
        <w:adjustRightInd w:val="0"/>
        <w:spacing w:line="360" w:lineRule="auto"/>
        <w:jc w:val="center"/>
        <w:rPr>
          <w:rFonts w:hint="eastAsia" w:cs="黑体" w:asciiTheme="minorEastAsia" w:hAnsiTheme="minorEastAsia" w:eastAsiaTheme="minorEastAsia"/>
          <w:color w:val="auto"/>
          <w:kern w:val="0"/>
          <w:sz w:val="32"/>
          <w:szCs w:val="32"/>
          <w:highlight w:val="none"/>
        </w:rPr>
      </w:pPr>
      <w:r>
        <w:rPr>
          <w:rFonts w:hint="eastAsia" w:cs="黑体" w:asciiTheme="minorEastAsia" w:hAnsiTheme="minorEastAsia" w:eastAsiaTheme="minorEastAsia"/>
          <w:color w:val="auto"/>
          <w:kern w:val="0"/>
          <w:sz w:val="32"/>
          <w:szCs w:val="32"/>
          <w:highlight w:val="none"/>
        </w:rPr>
        <w:t>电子投标文件编制要求</w:t>
      </w:r>
    </w:p>
    <w:p w14:paraId="6B885F86">
      <w:pPr>
        <w:autoSpaceDE w:val="0"/>
        <w:autoSpaceDN w:val="0"/>
        <w:adjustRightInd w:val="0"/>
        <w:spacing w:line="360" w:lineRule="auto"/>
        <w:ind w:firstLine="420" w:firstLineChars="200"/>
        <w:jc w:val="left"/>
        <w:rPr>
          <w:rFonts w:hint="eastAsia"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.电子投标文件的制作应使用“政采云投标客户端”，供应商下载“政采云投标客户端”，通过“政采云投标客户端”编制并生成加密的投标文件。</w:t>
      </w:r>
    </w:p>
    <w:p w14:paraId="69C58E24">
      <w:pPr>
        <w:autoSpaceDE w:val="0"/>
        <w:autoSpaceDN w:val="0"/>
        <w:adjustRightInd w:val="0"/>
        <w:spacing w:line="360" w:lineRule="auto"/>
        <w:ind w:firstLine="420" w:firstLineChars="200"/>
        <w:jc w:val="left"/>
        <w:rPr>
          <w:rFonts w:hint="eastAsia"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2</w:t>
      </w:r>
      <w:r>
        <w:rPr>
          <w:rFonts w:hint="eastAsia" w:cs="宋体" w:asciiTheme="minorEastAsia" w:hAnsiTheme="minorEastAsia" w:eastAsiaTheme="minorEastAsia"/>
          <w:color w:val="auto"/>
          <w:kern w:val="0"/>
          <w:szCs w:val="21"/>
          <w:highlight w:val="none"/>
        </w:rPr>
        <w:t>.“政采云投标客户端”提供数字证书（</w:t>
      </w:r>
      <w:r>
        <w:rPr>
          <w:rFonts w:cs="宋体" w:asciiTheme="minorEastAsia" w:hAnsiTheme="minorEastAsia" w:eastAsiaTheme="minorEastAsia"/>
          <w:color w:val="auto"/>
          <w:kern w:val="0"/>
          <w:szCs w:val="21"/>
          <w:highlight w:val="none"/>
        </w:rPr>
        <w:t>CA</w:t>
      </w:r>
      <w:r>
        <w:rPr>
          <w:rFonts w:hint="eastAsia" w:cs="宋体" w:asciiTheme="minorEastAsia" w:hAnsiTheme="minorEastAsia" w:eastAsiaTheme="minorEastAsia"/>
          <w:color w:val="auto"/>
          <w:kern w:val="0"/>
          <w:szCs w:val="21"/>
          <w:highlight w:val="none"/>
        </w:rPr>
        <w:t>）对投标文件进行加密功能。投标人对网上递交的投标文件应加密。如果供应商使用某个数字证书（</w:t>
      </w:r>
      <w:r>
        <w:rPr>
          <w:rFonts w:cs="宋体" w:asciiTheme="minorEastAsia" w:hAnsiTheme="minorEastAsia" w:eastAsiaTheme="minorEastAsia"/>
          <w:color w:val="auto"/>
          <w:kern w:val="0"/>
          <w:szCs w:val="21"/>
          <w:highlight w:val="none"/>
        </w:rPr>
        <w:t>CA</w:t>
      </w:r>
      <w:r>
        <w:rPr>
          <w:rFonts w:hint="eastAsia" w:cs="宋体" w:asciiTheme="minorEastAsia" w:hAnsiTheme="minorEastAsia" w:eastAsiaTheme="minorEastAsia"/>
          <w:color w:val="auto"/>
          <w:kern w:val="0"/>
          <w:szCs w:val="21"/>
          <w:highlight w:val="none"/>
        </w:rPr>
        <w:t>）对投标文件进行了数字证书（</w:t>
      </w:r>
      <w:r>
        <w:rPr>
          <w:rFonts w:cs="宋体" w:asciiTheme="minorEastAsia" w:hAnsiTheme="minorEastAsia" w:eastAsiaTheme="minorEastAsia"/>
          <w:color w:val="auto"/>
          <w:kern w:val="0"/>
          <w:szCs w:val="21"/>
          <w:highlight w:val="none"/>
        </w:rPr>
        <w:t>CA</w:t>
      </w:r>
      <w:r>
        <w:rPr>
          <w:rFonts w:hint="eastAsia" w:cs="宋体" w:asciiTheme="minorEastAsia" w:hAnsiTheme="minorEastAsia" w:eastAsiaTheme="minorEastAsia"/>
          <w:color w:val="auto"/>
          <w:kern w:val="0"/>
          <w:szCs w:val="21"/>
          <w:highlight w:val="none"/>
        </w:rPr>
        <w:t>）加密，需要在开标时使用该数字证书（</w:t>
      </w:r>
      <w:r>
        <w:rPr>
          <w:rFonts w:cs="宋体" w:asciiTheme="minorEastAsia" w:hAnsiTheme="minorEastAsia" w:eastAsiaTheme="minorEastAsia"/>
          <w:color w:val="auto"/>
          <w:kern w:val="0"/>
          <w:szCs w:val="21"/>
          <w:highlight w:val="none"/>
        </w:rPr>
        <w:t>CA</w:t>
      </w:r>
      <w:r>
        <w:rPr>
          <w:rFonts w:hint="eastAsia" w:cs="宋体" w:asciiTheme="minorEastAsia" w:hAnsiTheme="minorEastAsia" w:eastAsiaTheme="minorEastAsia"/>
          <w:color w:val="auto"/>
          <w:kern w:val="0"/>
          <w:szCs w:val="21"/>
          <w:highlight w:val="none"/>
        </w:rPr>
        <w:t>）进行解密，才能读取或导入投标文件，因供应商原因造成投标文件未解密的，视为撤回其投标文件。</w:t>
      </w:r>
    </w:p>
    <w:p w14:paraId="5AEADBA9">
      <w:pPr>
        <w:autoSpaceDE w:val="0"/>
        <w:autoSpaceDN w:val="0"/>
        <w:adjustRightInd w:val="0"/>
        <w:spacing w:line="360" w:lineRule="auto"/>
        <w:ind w:firstLine="420" w:firstLineChars="200"/>
        <w:jc w:val="left"/>
        <w:rPr>
          <w:rFonts w:hint="eastAsia"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3</w:t>
      </w:r>
      <w:r>
        <w:rPr>
          <w:rFonts w:hint="eastAsia" w:cs="宋体" w:asciiTheme="minorEastAsia" w:hAnsiTheme="minorEastAsia" w:eastAsiaTheme="minorEastAsia"/>
          <w:color w:val="auto"/>
          <w:kern w:val="0"/>
          <w:szCs w:val="21"/>
          <w:highlight w:val="none"/>
        </w:rPr>
        <w:t>.网上递交投标文件应根据采购文件要求，在投标截止时间前将电子投标文件通过政府采购云平台（网址:https://www.zcygov.cn/）上传至对应的项目，系统自动生成投标回执，以表明上传成功。</w:t>
      </w:r>
    </w:p>
    <w:p w14:paraId="7EF9C166">
      <w:pPr>
        <w:wordWrap w:val="0"/>
        <w:autoSpaceDE w:val="0"/>
        <w:autoSpaceDN w:val="0"/>
        <w:adjustRightInd w:val="0"/>
        <w:spacing w:line="360" w:lineRule="auto"/>
        <w:ind w:firstLine="420" w:firstLineChars="200"/>
        <w:jc w:val="left"/>
        <w:rPr>
          <w:rFonts w:hint="eastAsia"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4</w:t>
      </w:r>
      <w:r>
        <w:rPr>
          <w:rFonts w:hint="eastAsia" w:cs="宋体" w:asciiTheme="minorEastAsia" w:hAnsiTheme="minorEastAsia" w:eastAsiaTheme="minorEastAsia"/>
          <w:color w:val="auto"/>
          <w:kern w:val="0"/>
          <w:szCs w:val="21"/>
          <w:highlight w:val="none"/>
        </w:rPr>
        <w:t>.该投标文件制作要求如果与采购文件规定不一致，以此投标文件制作要求为准。“政采云投标客户端”及</w:t>
      </w:r>
      <w:r>
        <w:rPr>
          <w:rFonts w:cs="宋体" w:asciiTheme="minorEastAsia" w:hAnsiTheme="minorEastAsia" w:eastAsiaTheme="minorEastAsia"/>
          <w:color w:val="auto"/>
          <w:kern w:val="0"/>
          <w:szCs w:val="21"/>
          <w:highlight w:val="none"/>
        </w:rPr>
        <w:t xml:space="preserve">CA </w:t>
      </w:r>
      <w:r>
        <w:rPr>
          <w:rFonts w:hint="eastAsia" w:cs="宋体" w:asciiTheme="minorEastAsia" w:hAnsiTheme="minorEastAsia" w:eastAsiaTheme="minorEastAsia"/>
          <w:color w:val="auto"/>
          <w:kern w:val="0"/>
          <w:szCs w:val="21"/>
          <w:highlight w:val="none"/>
        </w:rPr>
        <w:t>驱动下载网址：</w:t>
      </w:r>
      <w:r>
        <w:rPr>
          <w:color w:val="auto"/>
          <w:highlight w:val="none"/>
        </w:rPr>
        <w:fldChar w:fldCharType="begin"/>
      </w:r>
      <w:r>
        <w:rPr>
          <w:color w:val="auto"/>
          <w:highlight w:val="none"/>
        </w:rPr>
        <w:instrText xml:space="preserve"> HYPERLINK "https://customer.zcygov.cn/CA-driver-download?utm=web-ca-front.3ddc8fbb.0.0.91c6cff0db1311ec8cfbc9f613d30204" </w:instrText>
      </w:r>
      <w:r>
        <w:rPr>
          <w:color w:val="auto"/>
          <w:highlight w:val="none"/>
        </w:rPr>
        <w:fldChar w:fldCharType="separate"/>
      </w:r>
      <w:r>
        <w:rPr>
          <w:rStyle w:val="61"/>
          <w:rFonts w:cs="宋体" w:asciiTheme="minorEastAsia" w:hAnsiTheme="minorEastAsia" w:eastAsiaTheme="minorEastAsia"/>
          <w:color w:val="auto"/>
          <w:kern w:val="0"/>
          <w:szCs w:val="21"/>
          <w:highlight w:val="none"/>
          <w:u w:val="none"/>
        </w:rPr>
        <w:t>https://customer.zcygov.cn/CA-driver-download?utm=web-ca-front.3ddc8fbb.0.0.91c6cff0db1311ec8cfbc9f613d30204</w:t>
      </w:r>
      <w:r>
        <w:rPr>
          <w:rStyle w:val="61"/>
          <w:rFonts w:cs="宋体" w:asciiTheme="minorEastAsia" w:hAnsiTheme="minorEastAsia" w:eastAsiaTheme="minorEastAsia"/>
          <w:color w:val="auto"/>
          <w:kern w:val="0"/>
          <w:szCs w:val="21"/>
          <w:highlight w:val="none"/>
          <w:u w:val="none"/>
        </w:rPr>
        <w:fldChar w:fldCharType="end"/>
      </w:r>
      <w:r>
        <w:rPr>
          <w:rFonts w:hint="eastAsia" w:cs="宋体" w:asciiTheme="minorEastAsia" w:hAnsiTheme="minorEastAsia" w:eastAsiaTheme="minorEastAsia"/>
          <w:color w:val="auto"/>
          <w:kern w:val="0"/>
          <w:szCs w:val="21"/>
          <w:highlight w:val="none"/>
        </w:rPr>
        <w:t>。</w:t>
      </w:r>
    </w:p>
    <w:p w14:paraId="4E7D728B">
      <w:pPr>
        <w:widowControl/>
        <w:wordWrap w:val="0"/>
        <w:jc w:val="left"/>
        <w:rPr>
          <w:rFonts w:hint="eastAsia" w:asciiTheme="minorEastAsia" w:hAnsiTheme="minorEastAsia" w:eastAsiaTheme="minorEastAsia"/>
          <w:b/>
          <w:bCs/>
          <w:color w:val="auto"/>
          <w:sz w:val="32"/>
          <w:szCs w:val="32"/>
          <w:highlight w:val="none"/>
        </w:rPr>
      </w:pPr>
      <w:r>
        <w:rPr>
          <w:rFonts w:asciiTheme="minorEastAsia" w:hAnsiTheme="minorEastAsia" w:eastAsiaTheme="minorEastAsia"/>
          <w:b/>
          <w:bCs/>
          <w:color w:val="auto"/>
          <w:sz w:val="32"/>
          <w:szCs w:val="32"/>
          <w:highlight w:val="none"/>
        </w:rPr>
        <w:br w:type="page"/>
      </w:r>
    </w:p>
    <w:p w14:paraId="3DA02E84">
      <w:pPr>
        <w:spacing w:line="360" w:lineRule="auto"/>
        <w:jc w:val="center"/>
        <w:outlineLvl w:val="0"/>
        <w:rPr>
          <w:rFonts w:hint="eastAsia" w:ascii="宋体" w:hAnsi="宋体"/>
          <w:b/>
          <w:bCs/>
          <w:color w:val="auto"/>
          <w:sz w:val="32"/>
          <w:szCs w:val="32"/>
          <w:highlight w:val="none"/>
        </w:rPr>
      </w:pPr>
      <w:bookmarkStart w:id="1046" w:name="_Toc45642883"/>
      <w:bookmarkStart w:id="1047" w:name="_Toc92312802"/>
      <w:bookmarkStart w:id="1048" w:name="_Toc158233415"/>
      <w:bookmarkStart w:id="1049" w:name="_Toc132362638"/>
      <w:r>
        <w:rPr>
          <w:rFonts w:ascii="宋体" w:hAnsi="宋体"/>
          <w:b/>
          <w:bCs/>
          <w:color w:val="auto"/>
          <w:sz w:val="32"/>
          <w:szCs w:val="32"/>
          <w:highlight w:val="none"/>
        </w:rPr>
        <w:t>第</w:t>
      </w:r>
      <w:r>
        <w:rPr>
          <w:rFonts w:hint="eastAsia" w:ascii="宋体" w:hAnsi="宋体"/>
          <w:b/>
          <w:bCs/>
          <w:color w:val="auto"/>
          <w:sz w:val="32"/>
          <w:szCs w:val="32"/>
          <w:highlight w:val="none"/>
        </w:rPr>
        <w:t>三</w:t>
      </w:r>
      <w:r>
        <w:rPr>
          <w:rFonts w:ascii="宋体" w:hAnsi="宋体"/>
          <w:b/>
          <w:bCs/>
          <w:color w:val="auto"/>
          <w:sz w:val="32"/>
          <w:szCs w:val="32"/>
          <w:highlight w:val="none"/>
        </w:rPr>
        <w:t>章 合同条款</w:t>
      </w:r>
      <w:r>
        <w:rPr>
          <w:rFonts w:hint="eastAsia" w:ascii="宋体" w:hAnsi="宋体"/>
          <w:b/>
          <w:bCs/>
          <w:color w:val="auto"/>
          <w:sz w:val="32"/>
          <w:szCs w:val="32"/>
          <w:highlight w:val="none"/>
        </w:rPr>
        <w:t>及格式</w:t>
      </w:r>
      <w:bookmarkEnd w:id="1046"/>
      <w:bookmarkEnd w:id="1047"/>
      <w:bookmarkEnd w:id="1048"/>
    </w:p>
    <w:bookmarkEnd w:id="1042"/>
    <w:bookmarkEnd w:id="1043"/>
    <w:bookmarkEnd w:id="1044"/>
    <w:bookmarkEnd w:id="1045"/>
    <w:bookmarkEnd w:id="1049"/>
    <w:p w14:paraId="0DF28DEF">
      <w:pPr>
        <w:widowControl/>
        <w:snapToGrid w:val="0"/>
        <w:spacing w:line="600" w:lineRule="auto"/>
        <w:ind w:firstLine="420" w:firstLineChars="200"/>
        <w:jc w:val="center"/>
        <w:rPr>
          <w:rFonts w:ascii="宋体" w:hAnsi="宋体"/>
          <w:b/>
          <w:color w:val="auto"/>
          <w:sz w:val="24"/>
          <w:highlight w:val="none"/>
        </w:rPr>
      </w:pPr>
      <w:bookmarkStart w:id="1050" w:name="_Toc158233416"/>
      <w:bookmarkStart w:id="1051" w:name="_Toc140508239"/>
      <w:bookmarkStart w:id="1052" w:name="_Toc92312811"/>
      <w:bookmarkStart w:id="1053" w:name="_Toc29357077"/>
      <w:bookmarkStart w:id="1054" w:name="_Toc42205043"/>
      <w:bookmarkStart w:id="1055" w:name="_Toc24540"/>
      <w:bookmarkStart w:id="1056" w:name="_Toc37603115"/>
      <w:r>
        <w:rPr>
          <w:rFonts w:hint="eastAsia" w:ascii="宋体" w:hAnsi="宋体" w:cs="宋体"/>
          <w:color w:val="auto"/>
          <w:highlight w:val="none"/>
        </w:rPr>
        <w:t xml:space="preserve"> </w:t>
      </w:r>
      <w:r>
        <w:rPr>
          <w:rFonts w:hint="eastAsia" w:ascii="宋体" w:hAnsi="宋体"/>
          <w:b/>
          <w:color w:val="auto"/>
          <w:sz w:val="24"/>
          <w:highlight w:val="none"/>
        </w:rPr>
        <w:t>(以下合同样式仅供参考，具体合同内容以签订合同时甲乙双方商定为准)</w:t>
      </w:r>
    </w:p>
    <w:p w14:paraId="125D91B9">
      <w:pPr>
        <w:keepNext w:val="0"/>
        <w:keepLines w:val="0"/>
        <w:widowControl/>
        <w:suppressLineNumbers w:val="0"/>
        <w:jc w:val="center"/>
        <w:rPr>
          <w:rFonts w:ascii="微软雅黑" w:hAnsi="微软雅黑" w:eastAsia="微软雅黑" w:cs="微软雅黑"/>
          <w:color w:val="auto"/>
          <w:kern w:val="0"/>
          <w:sz w:val="32"/>
          <w:szCs w:val="32"/>
          <w:highlight w:val="none"/>
          <w:lang w:val="en-US" w:eastAsia="zh-CN" w:bidi="ar"/>
        </w:rPr>
      </w:pPr>
    </w:p>
    <w:p w14:paraId="7C4BA933">
      <w:pPr>
        <w:keepNext w:val="0"/>
        <w:keepLines w:val="0"/>
        <w:widowControl/>
        <w:suppressLineNumbers w:val="0"/>
        <w:jc w:val="center"/>
        <w:rPr>
          <w:rFonts w:ascii="微软雅黑" w:hAnsi="微软雅黑" w:eastAsia="微软雅黑" w:cs="微软雅黑"/>
          <w:color w:val="auto"/>
          <w:kern w:val="0"/>
          <w:sz w:val="32"/>
          <w:szCs w:val="32"/>
          <w:highlight w:val="none"/>
          <w:lang w:val="en-US" w:eastAsia="zh-CN" w:bidi="ar"/>
        </w:rPr>
      </w:pPr>
    </w:p>
    <w:p w14:paraId="010AB754">
      <w:pPr>
        <w:keepNext w:val="0"/>
        <w:keepLines w:val="0"/>
        <w:widowControl/>
        <w:suppressLineNumbers w:val="0"/>
        <w:jc w:val="center"/>
        <w:rPr>
          <w:rFonts w:ascii="微软雅黑" w:hAnsi="微软雅黑" w:eastAsia="微软雅黑" w:cs="微软雅黑"/>
          <w:color w:val="auto"/>
          <w:kern w:val="0"/>
          <w:sz w:val="32"/>
          <w:szCs w:val="32"/>
          <w:highlight w:val="none"/>
          <w:lang w:val="en-US" w:eastAsia="zh-CN" w:bidi="ar"/>
        </w:rPr>
      </w:pPr>
    </w:p>
    <w:p w14:paraId="34530B4C">
      <w:pPr>
        <w:keepNext w:val="0"/>
        <w:keepLines w:val="0"/>
        <w:widowControl/>
        <w:suppressLineNumbers w:val="0"/>
        <w:jc w:val="center"/>
        <w:rPr>
          <w:color w:val="auto"/>
          <w:sz w:val="32"/>
          <w:szCs w:val="32"/>
          <w:highlight w:val="none"/>
        </w:rPr>
      </w:pPr>
      <w:r>
        <w:rPr>
          <w:rFonts w:ascii="微软雅黑" w:hAnsi="微软雅黑" w:eastAsia="微软雅黑" w:cs="微软雅黑"/>
          <w:color w:val="auto"/>
          <w:kern w:val="0"/>
          <w:sz w:val="32"/>
          <w:szCs w:val="32"/>
          <w:highlight w:val="none"/>
          <w:lang w:val="en-US" w:eastAsia="zh-CN" w:bidi="ar"/>
        </w:rPr>
        <w:t>政府采购合同</w:t>
      </w:r>
    </w:p>
    <w:p w14:paraId="28E135E4">
      <w:pPr>
        <w:keepNext w:val="0"/>
        <w:keepLines w:val="0"/>
        <w:widowControl/>
        <w:suppressLineNumbers w:val="0"/>
        <w:jc w:val="center"/>
        <w:rPr>
          <w:rFonts w:ascii="黑体" w:hAnsi="宋体" w:eastAsia="黑体" w:cs="黑体"/>
          <w:color w:val="auto"/>
          <w:kern w:val="0"/>
          <w:sz w:val="32"/>
          <w:szCs w:val="32"/>
          <w:highlight w:val="none"/>
          <w:lang w:val="en-US" w:eastAsia="zh-CN" w:bidi="ar"/>
        </w:rPr>
      </w:pPr>
    </w:p>
    <w:p w14:paraId="14D87EE7">
      <w:pPr>
        <w:keepNext w:val="0"/>
        <w:keepLines w:val="0"/>
        <w:widowControl/>
        <w:suppressLineNumbers w:val="0"/>
        <w:jc w:val="center"/>
        <w:rPr>
          <w:rFonts w:hint="eastAsia" w:ascii="黑体" w:hAnsi="宋体" w:eastAsia="黑体" w:cs="黑体"/>
          <w:color w:val="auto"/>
          <w:kern w:val="0"/>
          <w:sz w:val="32"/>
          <w:szCs w:val="32"/>
          <w:highlight w:val="none"/>
          <w:lang w:val="en-US" w:eastAsia="zh-CN" w:bidi="ar"/>
        </w:rPr>
      </w:pPr>
    </w:p>
    <w:p w14:paraId="6A2F015A">
      <w:pPr>
        <w:keepNext w:val="0"/>
        <w:keepLines w:val="0"/>
        <w:widowControl/>
        <w:suppressLineNumbers w:val="0"/>
        <w:jc w:val="center"/>
        <w:rPr>
          <w:color w:val="auto"/>
          <w:sz w:val="32"/>
          <w:szCs w:val="32"/>
          <w:highlight w:val="none"/>
        </w:rPr>
      </w:pPr>
      <w:r>
        <w:rPr>
          <w:rFonts w:hint="eastAsia" w:ascii="黑体" w:hAnsi="宋体" w:eastAsia="黑体" w:cs="黑体"/>
          <w:color w:val="auto"/>
          <w:kern w:val="0"/>
          <w:sz w:val="32"/>
          <w:szCs w:val="32"/>
          <w:highlight w:val="none"/>
          <w:lang w:val="en-US" w:eastAsia="zh-CN" w:bidi="ar"/>
        </w:rPr>
        <w:t>项 目 名 称：</w:t>
      </w:r>
    </w:p>
    <w:p w14:paraId="3537E6D8">
      <w:pPr>
        <w:keepNext w:val="0"/>
        <w:keepLines w:val="0"/>
        <w:widowControl/>
        <w:suppressLineNumbers w:val="0"/>
        <w:jc w:val="center"/>
        <w:rPr>
          <w:rFonts w:hint="eastAsia" w:ascii="黑体" w:hAnsi="宋体" w:eastAsia="黑体" w:cs="黑体"/>
          <w:color w:val="auto"/>
          <w:kern w:val="0"/>
          <w:sz w:val="32"/>
          <w:szCs w:val="32"/>
          <w:highlight w:val="none"/>
          <w:lang w:val="en-US" w:eastAsia="zh-CN" w:bidi="ar"/>
        </w:rPr>
      </w:pPr>
    </w:p>
    <w:p w14:paraId="272F7C8E">
      <w:pPr>
        <w:keepNext w:val="0"/>
        <w:keepLines w:val="0"/>
        <w:widowControl/>
        <w:suppressLineNumbers w:val="0"/>
        <w:jc w:val="center"/>
        <w:rPr>
          <w:rFonts w:hint="eastAsia" w:ascii="黑体" w:hAnsi="宋体" w:eastAsia="黑体" w:cs="黑体"/>
          <w:color w:val="auto"/>
          <w:kern w:val="0"/>
          <w:sz w:val="32"/>
          <w:szCs w:val="32"/>
          <w:highlight w:val="none"/>
          <w:lang w:val="en-US" w:eastAsia="zh-CN" w:bidi="ar"/>
        </w:rPr>
      </w:pPr>
    </w:p>
    <w:p w14:paraId="0B35F43C">
      <w:pPr>
        <w:keepNext w:val="0"/>
        <w:keepLines w:val="0"/>
        <w:widowControl/>
        <w:suppressLineNumbers w:val="0"/>
        <w:jc w:val="center"/>
        <w:rPr>
          <w:color w:val="auto"/>
          <w:sz w:val="32"/>
          <w:szCs w:val="32"/>
          <w:highlight w:val="none"/>
        </w:rPr>
      </w:pPr>
      <w:r>
        <w:rPr>
          <w:rFonts w:hint="eastAsia" w:ascii="黑体" w:hAnsi="宋体" w:eastAsia="黑体" w:cs="黑体"/>
          <w:color w:val="auto"/>
          <w:kern w:val="0"/>
          <w:sz w:val="32"/>
          <w:szCs w:val="32"/>
          <w:highlight w:val="none"/>
          <w:lang w:val="en-US" w:eastAsia="zh-CN" w:bidi="ar"/>
        </w:rPr>
        <w:t>合 同 编 号：</w:t>
      </w:r>
    </w:p>
    <w:p w14:paraId="23AC6CE7">
      <w:pPr>
        <w:keepNext w:val="0"/>
        <w:keepLines w:val="0"/>
        <w:widowControl/>
        <w:suppressLineNumbers w:val="0"/>
        <w:jc w:val="center"/>
        <w:rPr>
          <w:rFonts w:hint="eastAsia" w:ascii="黑体" w:hAnsi="宋体" w:eastAsia="黑体" w:cs="黑体"/>
          <w:color w:val="auto"/>
          <w:kern w:val="0"/>
          <w:sz w:val="32"/>
          <w:szCs w:val="32"/>
          <w:highlight w:val="none"/>
          <w:lang w:val="en-US" w:eastAsia="zh-CN" w:bidi="ar"/>
        </w:rPr>
      </w:pPr>
    </w:p>
    <w:p w14:paraId="6D171D08">
      <w:pPr>
        <w:keepNext w:val="0"/>
        <w:keepLines w:val="0"/>
        <w:widowControl/>
        <w:suppressLineNumbers w:val="0"/>
        <w:jc w:val="center"/>
        <w:rPr>
          <w:rFonts w:hint="eastAsia" w:ascii="黑体" w:hAnsi="宋体" w:eastAsia="黑体" w:cs="黑体"/>
          <w:color w:val="auto"/>
          <w:kern w:val="0"/>
          <w:sz w:val="32"/>
          <w:szCs w:val="32"/>
          <w:highlight w:val="none"/>
          <w:lang w:val="en-US" w:eastAsia="zh-CN" w:bidi="ar"/>
        </w:rPr>
      </w:pPr>
    </w:p>
    <w:p w14:paraId="3B8C5BC1">
      <w:pPr>
        <w:keepNext w:val="0"/>
        <w:keepLines w:val="0"/>
        <w:widowControl/>
        <w:suppressLineNumbers w:val="0"/>
        <w:jc w:val="center"/>
        <w:rPr>
          <w:rFonts w:hint="eastAsia" w:ascii="黑体" w:hAnsi="宋体" w:eastAsia="黑体" w:cs="黑体"/>
          <w:color w:val="auto"/>
          <w:kern w:val="0"/>
          <w:sz w:val="32"/>
          <w:szCs w:val="32"/>
          <w:highlight w:val="none"/>
          <w:lang w:val="en-US" w:eastAsia="zh-CN" w:bidi="ar"/>
        </w:rPr>
      </w:pPr>
    </w:p>
    <w:p w14:paraId="76F2ACA0">
      <w:pPr>
        <w:keepNext w:val="0"/>
        <w:keepLines w:val="0"/>
        <w:widowControl/>
        <w:suppressLineNumbers w:val="0"/>
        <w:ind w:firstLine="2560" w:firstLineChars="800"/>
        <w:jc w:val="both"/>
        <w:rPr>
          <w:rFonts w:hint="default"/>
          <w:color w:val="auto"/>
          <w:sz w:val="32"/>
          <w:szCs w:val="32"/>
          <w:highlight w:val="none"/>
          <w:lang w:val="en-US"/>
        </w:rPr>
      </w:pPr>
      <w:r>
        <w:rPr>
          <w:rFonts w:hint="eastAsia" w:ascii="黑体" w:hAnsi="宋体" w:eastAsia="黑体" w:cs="黑体"/>
          <w:color w:val="auto"/>
          <w:kern w:val="0"/>
          <w:sz w:val="32"/>
          <w:szCs w:val="32"/>
          <w:highlight w:val="none"/>
          <w:lang w:val="en-US" w:eastAsia="zh-CN" w:bidi="ar"/>
        </w:rPr>
        <w:t xml:space="preserve">甲  方： </w:t>
      </w:r>
      <w:r>
        <w:rPr>
          <w:rFonts w:hint="eastAsia" w:ascii="仿宋" w:hAnsi="仿宋" w:eastAsia="仿宋" w:cs="仿宋"/>
          <w:color w:val="auto"/>
          <w:kern w:val="0"/>
          <w:sz w:val="32"/>
          <w:szCs w:val="32"/>
          <w:highlight w:val="none"/>
          <w:lang w:val="en-US" w:eastAsia="zh-CN" w:bidi="ar"/>
        </w:rPr>
        <w:t xml:space="preserve"> </w:t>
      </w:r>
    </w:p>
    <w:p w14:paraId="1035B088">
      <w:pPr>
        <w:keepNext w:val="0"/>
        <w:keepLines w:val="0"/>
        <w:widowControl/>
        <w:suppressLineNumbers w:val="0"/>
        <w:jc w:val="both"/>
        <w:rPr>
          <w:rFonts w:hint="eastAsia" w:ascii="黑体" w:hAnsi="宋体" w:eastAsia="黑体" w:cs="黑体"/>
          <w:color w:val="auto"/>
          <w:kern w:val="0"/>
          <w:sz w:val="32"/>
          <w:szCs w:val="32"/>
          <w:highlight w:val="none"/>
          <w:lang w:val="en-US" w:eastAsia="zh-CN" w:bidi="ar"/>
        </w:rPr>
      </w:pPr>
    </w:p>
    <w:p w14:paraId="0BB38B6A">
      <w:pPr>
        <w:keepNext w:val="0"/>
        <w:keepLines w:val="0"/>
        <w:widowControl/>
        <w:suppressLineNumbers w:val="0"/>
        <w:ind w:firstLine="2560" w:firstLineChars="800"/>
        <w:jc w:val="both"/>
        <w:rPr>
          <w:rFonts w:hint="eastAsia" w:ascii="仿宋" w:hAnsi="仿宋" w:eastAsia="仿宋" w:cs="仿宋"/>
          <w:color w:val="auto"/>
          <w:kern w:val="0"/>
          <w:sz w:val="32"/>
          <w:szCs w:val="32"/>
          <w:highlight w:val="none"/>
          <w:lang w:val="en-US" w:eastAsia="zh-CN" w:bidi="ar"/>
        </w:rPr>
      </w:pPr>
      <w:r>
        <w:rPr>
          <w:rFonts w:hint="eastAsia" w:ascii="黑体" w:hAnsi="宋体" w:eastAsia="黑体" w:cs="黑体"/>
          <w:color w:val="auto"/>
          <w:kern w:val="0"/>
          <w:sz w:val="32"/>
          <w:szCs w:val="32"/>
          <w:highlight w:val="none"/>
          <w:lang w:val="en-US" w:eastAsia="zh-CN" w:bidi="ar"/>
        </w:rPr>
        <w:t xml:space="preserve">乙  方： </w:t>
      </w:r>
      <w:r>
        <w:rPr>
          <w:rFonts w:hint="eastAsia" w:ascii="仿宋" w:hAnsi="仿宋" w:eastAsia="仿宋" w:cs="仿宋"/>
          <w:color w:val="auto"/>
          <w:kern w:val="0"/>
          <w:sz w:val="32"/>
          <w:szCs w:val="32"/>
          <w:highlight w:val="none"/>
          <w:lang w:val="en-US" w:eastAsia="zh-CN" w:bidi="ar"/>
        </w:rPr>
        <w:t xml:space="preserve"> </w:t>
      </w:r>
    </w:p>
    <w:p w14:paraId="623A7CBB">
      <w:pPr>
        <w:keepNext w:val="0"/>
        <w:keepLines w:val="0"/>
        <w:widowControl/>
        <w:suppressLineNumbers w:val="0"/>
        <w:ind w:firstLine="2240" w:firstLineChars="700"/>
        <w:jc w:val="both"/>
        <w:rPr>
          <w:rFonts w:hint="eastAsia" w:ascii="仿宋" w:hAnsi="仿宋" w:eastAsia="仿宋" w:cs="仿宋"/>
          <w:color w:val="auto"/>
          <w:kern w:val="0"/>
          <w:sz w:val="32"/>
          <w:szCs w:val="32"/>
          <w:highlight w:val="none"/>
          <w:lang w:val="en-US" w:eastAsia="zh-CN" w:bidi="ar"/>
        </w:rPr>
      </w:pPr>
    </w:p>
    <w:p w14:paraId="3AEF3821">
      <w:pPr>
        <w:keepNext w:val="0"/>
        <w:keepLines w:val="0"/>
        <w:widowControl/>
        <w:suppressLineNumbers w:val="0"/>
        <w:ind w:firstLine="2240" w:firstLineChars="700"/>
        <w:jc w:val="both"/>
        <w:rPr>
          <w:rFonts w:hint="eastAsia" w:ascii="仿宋" w:hAnsi="仿宋" w:eastAsia="仿宋" w:cs="仿宋"/>
          <w:color w:val="auto"/>
          <w:kern w:val="0"/>
          <w:sz w:val="32"/>
          <w:szCs w:val="32"/>
          <w:highlight w:val="none"/>
          <w:lang w:val="en-US" w:eastAsia="zh-CN" w:bidi="ar"/>
        </w:rPr>
      </w:pPr>
    </w:p>
    <w:p w14:paraId="4412B085">
      <w:pPr>
        <w:keepNext w:val="0"/>
        <w:keepLines w:val="0"/>
        <w:widowControl/>
        <w:suppressLineNumbers w:val="0"/>
        <w:ind w:firstLine="2240" w:firstLineChars="700"/>
        <w:jc w:val="both"/>
        <w:rPr>
          <w:rFonts w:hint="eastAsia" w:ascii="仿宋" w:hAnsi="仿宋" w:eastAsia="仿宋" w:cs="仿宋"/>
          <w:color w:val="auto"/>
          <w:kern w:val="0"/>
          <w:sz w:val="32"/>
          <w:szCs w:val="32"/>
          <w:highlight w:val="none"/>
          <w:lang w:val="en-US" w:eastAsia="zh-CN" w:bidi="ar"/>
        </w:rPr>
      </w:pPr>
    </w:p>
    <w:p w14:paraId="36DB34E7">
      <w:pPr>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br w:type="page"/>
      </w:r>
    </w:p>
    <w:p w14:paraId="097C91A6">
      <w:pPr>
        <w:keepNext w:val="0"/>
        <w:keepLines w:val="0"/>
        <w:widowControl/>
        <w:suppressLineNumbers w:val="0"/>
        <w:ind w:firstLine="2240" w:firstLineChars="700"/>
        <w:jc w:val="both"/>
        <w:rPr>
          <w:rFonts w:hint="eastAsia" w:ascii="仿宋" w:hAnsi="仿宋" w:eastAsia="仿宋" w:cs="仿宋"/>
          <w:color w:val="auto"/>
          <w:kern w:val="0"/>
          <w:sz w:val="32"/>
          <w:szCs w:val="32"/>
          <w:highlight w:val="none"/>
          <w:lang w:val="en-US" w:eastAsia="zh-CN" w:bidi="ar"/>
        </w:rPr>
      </w:pPr>
    </w:p>
    <w:p w14:paraId="490B7BBB">
      <w:pPr>
        <w:keepNext w:val="0"/>
        <w:keepLines w:val="0"/>
        <w:widowControl/>
        <w:suppressLineNumbers w:val="0"/>
        <w:ind w:firstLine="2240" w:firstLineChars="700"/>
        <w:jc w:val="both"/>
        <w:rPr>
          <w:rFonts w:hint="eastAsia" w:ascii="仿宋" w:hAnsi="仿宋" w:eastAsia="仿宋" w:cs="仿宋"/>
          <w:color w:val="auto"/>
          <w:kern w:val="0"/>
          <w:sz w:val="32"/>
          <w:szCs w:val="32"/>
          <w:highlight w:val="none"/>
          <w:lang w:val="en-US" w:eastAsia="zh-CN" w:bidi="ar"/>
        </w:rPr>
      </w:pPr>
    </w:p>
    <w:tbl>
      <w:tblPr>
        <w:tblStyle w:val="54"/>
        <w:tblW w:w="8291" w:type="dxa"/>
        <w:jc w:val="center"/>
        <w:tblCellSpacing w:w="0" w:type="dxa"/>
        <w:tblLayout w:type="fixed"/>
        <w:tblCellMar>
          <w:top w:w="0" w:type="dxa"/>
          <w:left w:w="0" w:type="dxa"/>
          <w:bottom w:w="0" w:type="dxa"/>
          <w:right w:w="0" w:type="dxa"/>
        </w:tblCellMar>
      </w:tblPr>
      <w:tblGrid>
        <w:gridCol w:w="1657"/>
        <w:gridCol w:w="6634"/>
      </w:tblGrid>
      <w:tr w14:paraId="2E91305A">
        <w:tblPrEx>
          <w:tblCellMar>
            <w:top w:w="0" w:type="dxa"/>
            <w:left w:w="0" w:type="dxa"/>
            <w:bottom w:w="0" w:type="dxa"/>
            <w:right w:w="0" w:type="dxa"/>
          </w:tblCellMar>
        </w:tblPrEx>
        <w:trPr>
          <w:tblCellSpacing w:w="0" w:type="dxa"/>
          <w:jc w:val="center"/>
        </w:trPr>
        <w:tc>
          <w:tcPr>
            <w:tcW w:w="8291" w:type="dxa"/>
            <w:gridSpan w:val="2"/>
            <w:noWrap w:val="0"/>
            <w:vAlign w:val="center"/>
          </w:tcPr>
          <w:p w14:paraId="3AAFF89A">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3F085678">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甲方（采购人公章）名 称：</w:t>
            </w:r>
          </w:p>
        </w:tc>
      </w:tr>
      <w:tr w14:paraId="6CB581E3">
        <w:tblPrEx>
          <w:tblCellMar>
            <w:top w:w="0" w:type="dxa"/>
            <w:left w:w="0" w:type="dxa"/>
            <w:bottom w:w="0" w:type="dxa"/>
            <w:right w:w="0" w:type="dxa"/>
          </w:tblCellMar>
        </w:tblPrEx>
        <w:trPr>
          <w:tblCellSpacing w:w="0" w:type="dxa"/>
          <w:jc w:val="center"/>
        </w:trPr>
        <w:tc>
          <w:tcPr>
            <w:tcW w:w="1657" w:type="dxa"/>
            <w:noWrap w:val="0"/>
            <w:vAlign w:val="center"/>
          </w:tcPr>
          <w:p w14:paraId="691AE382">
            <w:pPr>
              <w:rPr>
                <w:rFonts w:hint="eastAsia" w:ascii="宋体" w:hAnsi="宋体" w:eastAsia="宋体" w:cs="宋体"/>
                <w:color w:val="auto"/>
                <w:sz w:val="24"/>
                <w:szCs w:val="24"/>
                <w:highlight w:val="none"/>
              </w:rPr>
            </w:pPr>
          </w:p>
        </w:tc>
        <w:tc>
          <w:tcPr>
            <w:tcW w:w="6634" w:type="dxa"/>
            <w:noWrap w:val="0"/>
            <w:vAlign w:val="center"/>
          </w:tcPr>
          <w:p w14:paraId="56CD78A7">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地 址：</w:t>
            </w:r>
          </w:p>
        </w:tc>
      </w:tr>
      <w:tr w14:paraId="060732C1">
        <w:tblPrEx>
          <w:tblCellMar>
            <w:top w:w="0" w:type="dxa"/>
            <w:left w:w="0" w:type="dxa"/>
            <w:bottom w:w="0" w:type="dxa"/>
            <w:right w:w="0" w:type="dxa"/>
          </w:tblCellMar>
        </w:tblPrEx>
        <w:trPr>
          <w:tblCellSpacing w:w="0" w:type="dxa"/>
          <w:jc w:val="center"/>
        </w:trPr>
        <w:tc>
          <w:tcPr>
            <w:tcW w:w="1657" w:type="dxa"/>
            <w:noWrap w:val="0"/>
            <w:vAlign w:val="center"/>
          </w:tcPr>
          <w:p w14:paraId="7766755D">
            <w:pPr>
              <w:rPr>
                <w:rFonts w:hint="eastAsia" w:ascii="宋体" w:hAnsi="宋体" w:eastAsia="宋体" w:cs="宋体"/>
                <w:color w:val="auto"/>
                <w:sz w:val="24"/>
                <w:szCs w:val="24"/>
                <w:highlight w:val="none"/>
              </w:rPr>
            </w:pPr>
          </w:p>
        </w:tc>
        <w:tc>
          <w:tcPr>
            <w:tcW w:w="6634" w:type="dxa"/>
            <w:noWrap w:val="0"/>
            <w:vAlign w:val="center"/>
          </w:tcPr>
          <w:p w14:paraId="774F99A7">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邮 编：</w:t>
            </w:r>
          </w:p>
        </w:tc>
      </w:tr>
      <w:tr w14:paraId="7A937D11">
        <w:tblPrEx>
          <w:tblCellMar>
            <w:top w:w="0" w:type="dxa"/>
            <w:left w:w="0" w:type="dxa"/>
            <w:bottom w:w="0" w:type="dxa"/>
            <w:right w:w="0" w:type="dxa"/>
          </w:tblCellMar>
        </w:tblPrEx>
        <w:trPr>
          <w:tblCellSpacing w:w="0" w:type="dxa"/>
          <w:jc w:val="center"/>
        </w:trPr>
        <w:tc>
          <w:tcPr>
            <w:tcW w:w="1657" w:type="dxa"/>
            <w:noWrap w:val="0"/>
            <w:vAlign w:val="center"/>
          </w:tcPr>
          <w:p w14:paraId="613AD972">
            <w:pPr>
              <w:rPr>
                <w:rFonts w:hint="eastAsia" w:ascii="宋体" w:hAnsi="宋体" w:eastAsia="宋体" w:cs="宋体"/>
                <w:color w:val="auto"/>
                <w:sz w:val="24"/>
                <w:szCs w:val="24"/>
                <w:highlight w:val="none"/>
              </w:rPr>
            </w:pPr>
          </w:p>
        </w:tc>
        <w:tc>
          <w:tcPr>
            <w:tcW w:w="6634" w:type="dxa"/>
            <w:noWrap w:val="0"/>
            <w:vAlign w:val="center"/>
          </w:tcPr>
          <w:p w14:paraId="7EDC44C5">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法定代表人或委托代理人：</w:t>
            </w:r>
          </w:p>
        </w:tc>
      </w:tr>
      <w:tr w14:paraId="0B54720A">
        <w:tblPrEx>
          <w:tblCellMar>
            <w:top w:w="0" w:type="dxa"/>
            <w:left w:w="0" w:type="dxa"/>
            <w:bottom w:w="0" w:type="dxa"/>
            <w:right w:w="0" w:type="dxa"/>
          </w:tblCellMar>
        </w:tblPrEx>
        <w:trPr>
          <w:tblCellSpacing w:w="0" w:type="dxa"/>
          <w:jc w:val="center"/>
        </w:trPr>
        <w:tc>
          <w:tcPr>
            <w:tcW w:w="1657" w:type="dxa"/>
            <w:noWrap w:val="0"/>
            <w:vAlign w:val="center"/>
          </w:tcPr>
          <w:p w14:paraId="464767F8">
            <w:pPr>
              <w:rPr>
                <w:rFonts w:hint="eastAsia" w:ascii="宋体" w:hAnsi="宋体" w:eastAsia="宋体" w:cs="宋体"/>
                <w:color w:val="auto"/>
                <w:sz w:val="24"/>
                <w:szCs w:val="24"/>
                <w:highlight w:val="none"/>
              </w:rPr>
            </w:pPr>
          </w:p>
        </w:tc>
        <w:tc>
          <w:tcPr>
            <w:tcW w:w="6634" w:type="dxa"/>
            <w:noWrap w:val="0"/>
            <w:vAlign w:val="center"/>
          </w:tcPr>
          <w:p w14:paraId="649C02BB">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项目（技术）负责人：</w:t>
            </w:r>
          </w:p>
        </w:tc>
      </w:tr>
      <w:tr w14:paraId="17E5E3C7">
        <w:tblPrEx>
          <w:tblCellMar>
            <w:top w:w="0" w:type="dxa"/>
            <w:left w:w="0" w:type="dxa"/>
            <w:bottom w:w="0" w:type="dxa"/>
            <w:right w:w="0" w:type="dxa"/>
          </w:tblCellMar>
        </w:tblPrEx>
        <w:trPr>
          <w:tblCellSpacing w:w="0" w:type="dxa"/>
          <w:jc w:val="center"/>
        </w:trPr>
        <w:tc>
          <w:tcPr>
            <w:tcW w:w="1657" w:type="dxa"/>
            <w:noWrap w:val="0"/>
            <w:vAlign w:val="center"/>
          </w:tcPr>
          <w:p w14:paraId="7C3F7BF2">
            <w:pPr>
              <w:rPr>
                <w:rFonts w:hint="eastAsia" w:ascii="宋体" w:hAnsi="宋体" w:eastAsia="宋体" w:cs="宋体"/>
                <w:color w:val="auto"/>
                <w:sz w:val="24"/>
                <w:szCs w:val="24"/>
                <w:highlight w:val="none"/>
              </w:rPr>
            </w:pPr>
          </w:p>
        </w:tc>
        <w:tc>
          <w:tcPr>
            <w:tcW w:w="6634" w:type="dxa"/>
            <w:noWrap w:val="0"/>
            <w:vAlign w:val="center"/>
          </w:tcPr>
          <w:p w14:paraId="1C635050">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电 话：</w:t>
            </w:r>
          </w:p>
        </w:tc>
      </w:tr>
      <w:tr w14:paraId="29E37A14">
        <w:tblPrEx>
          <w:tblCellMar>
            <w:top w:w="0" w:type="dxa"/>
            <w:left w:w="0" w:type="dxa"/>
            <w:bottom w:w="0" w:type="dxa"/>
            <w:right w:w="0" w:type="dxa"/>
          </w:tblCellMar>
        </w:tblPrEx>
        <w:trPr>
          <w:tblCellSpacing w:w="0" w:type="dxa"/>
          <w:jc w:val="center"/>
        </w:trPr>
        <w:tc>
          <w:tcPr>
            <w:tcW w:w="1657" w:type="dxa"/>
            <w:noWrap w:val="0"/>
            <w:vAlign w:val="center"/>
          </w:tcPr>
          <w:p w14:paraId="5480F6B9">
            <w:pPr>
              <w:rPr>
                <w:rFonts w:hint="eastAsia" w:ascii="宋体" w:hAnsi="宋体" w:eastAsia="宋体" w:cs="宋体"/>
                <w:color w:val="auto"/>
                <w:sz w:val="24"/>
                <w:szCs w:val="24"/>
                <w:highlight w:val="none"/>
              </w:rPr>
            </w:pPr>
          </w:p>
        </w:tc>
        <w:tc>
          <w:tcPr>
            <w:tcW w:w="6634" w:type="dxa"/>
            <w:noWrap w:val="0"/>
            <w:vAlign w:val="center"/>
          </w:tcPr>
          <w:p w14:paraId="3686AA4D">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签订日期：</w:t>
            </w:r>
          </w:p>
        </w:tc>
      </w:tr>
      <w:tr w14:paraId="5E848E9F">
        <w:tblPrEx>
          <w:tblCellMar>
            <w:top w:w="0" w:type="dxa"/>
            <w:left w:w="0" w:type="dxa"/>
            <w:bottom w:w="0" w:type="dxa"/>
            <w:right w:w="0" w:type="dxa"/>
          </w:tblCellMar>
        </w:tblPrEx>
        <w:trPr>
          <w:tblCellSpacing w:w="0" w:type="dxa"/>
          <w:jc w:val="center"/>
        </w:trPr>
        <w:tc>
          <w:tcPr>
            <w:tcW w:w="8291" w:type="dxa"/>
            <w:gridSpan w:val="2"/>
            <w:noWrap w:val="0"/>
            <w:vAlign w:val="center"/>
          </w:tcPr>
          <w:p w14:paraId="59125EC1">
            <w:pPr>
              <w:widowControl/>
              <w:spacing w:after="240"/>
              <w:jc w:val="left"/>
              <w:rPr>
                <w:rFonts w:hint="eastAsia" w:ascii="宋体" w:hAnsi="宋体" w:eastAsia="宋体" w:cs="宋体"/>
                <w:color w:val="auto"/>
                <w:kern w:val="0"/>
                <w:sz w:val="24"/>
                <w:szCs w:val="24"/>
                <w:highlight w:val="none"/>
              </w:rPr>
            </w:pPr>
          </w:p>
          <w:p w14:paraId="3010C8F1">
            <w:pPr>
              <w:widowControl/>
              <w:spacing w:after="240"/>
              <w:jc w:val="left"/>
              <w:rPr>
                <w:rFonts w:hint="eastAsia" w:ascii="宋体" w:hAnsi="宋体" w:eastAsia="宋体" w:cs="宋体"/>
                <w:color w:val="auto"/>
                <w:kern w:val="0"/>
                <w:sz w:val="24"/>
                <w:szCs w:val="24"/>
                <w:highlight w:val="none"/>
              </w:rPr>
            </w:pPr>
          </w:p>
          <w:p w14:paraId="7CCC788D">
            <w:pPr>
              <w:widowControl/>
              <w:spacing w:after="240"/>
              <w:jc w:val="left"/>
              <w:rPr>
                <w:rFonts w:hint="eastAsia" w:ascii="宋体" w:hAnsi="宋体" w:eastAsia="宋体" w:cs="宋体"/>
                <w:color w:val="auto"/>
                <w:kern w:val="0"/>
                <w:sz w:val="24"/>
                <w:szCs w:val="24"/>
                <w:highlight w:val="none"/>
              </w:rPr>
            </w:pPr>
          </w:p>
          <w:p w14:paraId="2140CCA4">
            <w:pPr>
              <w:widowControl/>
              <w:spacing w:after="240"/>
              <w:jc w:val="left"/>
              <w:rPr>
                <w:rFonts w:hint="eastAsia" w:ascii="宋体" w:hAnsi="宋体" w:eastAsia="宋体" w:cs="宋体"/>
                <w:color w:val="auto"/>
                <w:kern w:val="0"/>
                <w:sz w:val="24"/>
                <w:szCs w:val="24"/>
                <w:highlight w:val="none"/>
              </w:rPr>
            </w:pPr>
          </w:p>
          <w:p w14:paraId="5B4D105B">
            <w:pPr>
              <w:widowControl/>
              <w:spacing w:after="240"/>
              <w:jc w:val="left"/>
              <w:rPr>
                <w:rFonts w:hint="eastAsia" w:ascii="宋体" w:hAnsi="宋体" w:eastAsia="宋体" w:cs="宋体"/>
                <w:color w:val="auto"/>
                <w:kern w:val="0"/>
                <w:sz w:val="24"/>
                <w:szCs w:val="24"/>
                <w:highlight w:val="none"/>
              </w:rPr>
            </w:pPr>
          </w:p>
          <w:p w14:paraId="6A940B61">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乙方（供应商公章）名 称：</w:t>
            </w:r>
          </w:p>
        </w:tc>
      </w:tr>
      <w:tr w14:paraId="3EFBF498">
        <w:tblPrEx>
          <w:tblCellMar>
            <w:top w:w="0" w:type="dxa"/>
            <w:left w:w="0" w:type="dxa"/>
            <w:bottom w:w="0" w:type="dxa"/>
            <w:right w:w="0" w:type="dxa"/>
          </w:tblCellMar>
        </w:tblPrEx>
        <w:trPr>
          <w:tblCellSpacing w:w="0" w:type="dxa"/>
          <w:jc w:val="center"/>
        </w:trPr>
        <w:tc>
          <w:tcPr>
            <w:tcW w:w="1657" w:type="dxa"/>
            <w:noWrap w:val="0"/>
            <w:vAlign w:val="center"/>
          </w:tcPr>
          <w:p w14:paraId="1788550E">
            <w:pPr>
              <w:rPr>
                <w:rFonts w:hint="eastAsia" w:ascii="宋体" w:hAnsi="宋体" w:eastAsia="宋体" w:cs="宋体"/>
                <w:color w:val="auto"/>
                <w:sz w:val="24"/>
                <w:szCs w:val="24"/>
                <w:highlight w:val="none"/>
              </w:rPr>
            </w:pPr>
          </w:p>
        </w:tc>
        <w:tc>
          <w:tcPr>
            <w:tcW w:w="6634" w:type="dxa"/>
            <w:noWrap w:val="0"/>
            <w:vAlign w:val="center"/>
          </w:tcPr>
          <w:p w14:paraId="6CB32873">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地 址：</w:t>
            </w:r>
          </w:p>
        </w:tc>
      </w:tr>
      <w:tr w14:paraId="4461A571">
        <w:tblPrEx>
          <w:tblCellMar>
            <w:top w:w="0" w:type="dxa"/>
            <w:left w:w="0" w:type="dxa"/>
            <w:bottom w:w="0" w:type="dxa"/>
            <w:right w:w="0" w:type="dxa"/>
          </w:tblCellMar>
        </w:tblPrEx>
        <w:trPr>
          <w:tblCellSpacing w:w="0" w:type="dxa"/>
          <w:jc w:val="center"/>
        </w:trPr>
        <w:tc>
          <w:tcPr>
            <w:tcW w:w="1657" w:type="dxa"/>
            <w:noWrap w:val="0"/>
            <w:vAlign w:val="center"/>
          </w:tcPr>
          <w:p w14:paraId="027281A8">
            <w:pPr>
              <w:rPr>
                <w:rFonts w:hint="eastAsia" w:ascii="宋体" w:hAnsi="宋体" w:eastAsia="宋体" w:cs="宋体"/>
                <w:color w:val="auto"/>
                <w:sz w:val="24"/>
                <w:szCs w:val="24"/>
                <w:highlight w:val="none"/>
              </w:rPr>
            </w:pPr>
          </w:p>
        </w:tc>
        <w:tc>
          <w:tcPr>
            <w:tcW w:w="6634" w:type="dxa"/>
            <w:noWrap w:val="0"/>
            <w:vAlign w:val="center"/>
          </w:tcPr>
          <w:p w14:paraId="537DEE3F">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邮 编：</w:t>
            </w:r>
          </w:p>
        </w:tc>
      </w:tr>
      <w:tr w14:paraId="3007E907">
        <w:tblPrEx>
          <w:tblCellMar>
            <w:top w:w="0" w:type="dxa"/>
            <w:left w:w="0" w:type="dxa"/>
            <w:bottom w:w="0" w:type="dxa"/>
            <w:right w:w="0" w:type="dxa"/>
          </w:tblCellMar>
        </w:tblPrEx>
        <w:trPr>
          <w:tblCellSpacing w:w="0" w:type="dxa"/>
          <w:jc w:val="center"/>
        </w:trPr>
        <w:tc>
          <w:tcPr>
            <w:tcW w:w="1657" w:type="dxa"/>
            <w:noWrap w:val="0"/>
            <w:vAlign w:val="center"/>
          </w:tcPr>
          <w:p w14:paraId="0584EB93">
            <w:pPr>
              <w:rPr>
                <w:rFonts w:hint="eastAsia" w:ascii="宋体" w:hAnsi="宋体" w:eastAsia="宋体" w:cs="宋体"/>
                <w:color w:val="auto"/>
                <w:sz w:val="24"/>
                <w:szCs w:val="24"/>
                <w:highlight w:val="none"/>
              </w:rPr>
            </w:pPr>
          </w:p>
        </w:tc>
        <w:tc>
          <w:tcPr>
            <w:tcW w:w="6634" w:type="dxa"/>
            <w:noWrap w:val="0"/>
            <w:vAlign w:val="center"/>
          </w:tcPr>
          <w:p w14:paraId="05A510C2">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法定代表人或委托代理人：</w:t>
            </w:r>
          </w:p>
        </w:tc>
      </w:tr>
      <w:tr w14:paraId="13194738">
        <w:tblPrEx>
          <w:tblCellMar>
            <w:top w:w="0" w:type="dxa"/>
            <w:left w:w="0" w:type="dxa"/>
            <w:bottom w:w="0" w:type="dxa"/>
            <w:right w:w="0" w:type="dxa"/>
          </w:tblCellMar>
        </w:tblPrEx>
        <w:trPr>
          <w:tblCellSpacing w:w="0" w:type="dxa"/>
          <w:jc w:val="center"/>
        </w:trPr>
        <w:tc>
          <w:tcPr>
            <w:tcW w:w="1657" w:type="dxa"/>
            <w:noWrap w:val="0"/>
            <w:vAlign w:val="center"/>
          </w:tcPr>
          <w:p w14:paraId="656D32F6">
            <w:pPr>
              <w:rPr>
                <w:rFonts w:hint="eastAsia" w:ascii="宋体" w:hAnsi="宋体" w:eastAsia="宋体" w:cs="宋体"/>
                <w:color w:val="auto"/>
                <w:sz w:val="24"/>
                <w:szCs w:val="24"/>
                <w:highlight w:val="none"/>
              </w:rPr>
            </w:pPr>
          </w:p>
        </w:tc>
        <w:tc>
          <w:tcPr>
            <w:tcW w:w="6634" w:type="dxa"/>
            <w:noWrap w:val="0"/>
            <w:vAlign w:val="center"/>
          </w:tcPr>
          <w:p w14:paraId="4ACB3782">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经办人：</w:t>
            </w:r>
          </w:p>
        </w:tc>
      </w:tr>
      <w:tr w14:paraId="313AF5DB">
        <w:tblPrEx>
          <w:tblCellMar>
            <w:top w:w="0" w:type="dxa"/>
            <w:left w:w="0" w:type="dxa"/>
            <w:bottom w:w="0" w:type="dxa"/>
            <w:right w:w="0" w:type="dxa"/>
          </w:tblCellMar>
        </w:tblPrEx>
        <w:trPr>
          <w:tblCellSpacing w:w="0" w:type="dxa"/>
          <w:jc w:val="center"/>
        </w:trPr>
        <w:tc>
          <w:tcPr>
            <w:tcW w:w="1657" w:type="dxa"/>
            <w:noWrap w:val="0"/>
            <w:vAlign w:val="center"/>
          </w:tcPr>
          <w:p w14:paraId="7AE7D441">
            <w:pPr>
              <w:rPr>
                <w:rFonts w:hint="eastAsia" w:ascii="宋体" w:hAnsi="宋体" w:eastAsia="宋体" w:cs="宋体"/>
                <w:color w:val="auto"/>
                <w:sz w:val="24"/>
                <w:szCs w:val="24"/>
                <w:highlight w:val="none"/>
              </w:rPr>
            </w:pPr>
          </w:p>
        </w:tc>
        <w:tc>
          <w:tcPr>
            <w:tcW w:w="6634" w:type="dxa"/>
            <w:noWrap w:val="0"/>
            <w:vAlign w:val="center"/>
          </w:tcPr>
          <w:p w14:paraId="3946B042">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电 话：</w:t>
            </w:r>
          </w:p>
        </w:tc>
      </w:tr>
      <w:tr w14:paraId="455A99B5">
        <w:tblPrEx>
          <w:tblCellMar>
            <w:top w:w="0" w:type="dxa"/>
            <w:left w:w="0" w:type="dxa"/>
            <w:bottom w:w="0" w:type="dxa"/>
            <w:right w:w="0" w:type="dxa"/>
          </w:tblCellMar>
        </w:tblPrEx>
        <w:trPr>
          <w:tblCellSpacing w:w="0" w:type="dxa"/>
          <w:jc w:val="center"/>
        </w:trPr>
        <w:tc>
          <w:tcPr>
            <w:tcW w:w="1657" w:type="dxa"/>
            <w:noWrap w:val="0"/>
            <w:vAlign w:val="center"/>
          </w:tcPr>
          <w:p w14:paraId="16E66645">
            <w:pPr>
              <w:rPr>
                <w:rFonts w:hint="eastAsia" w:ascii="宋体" w:hAnsi="宋体" w:eastAsia="宋体" w:cs="宋体"/>
                <w:color w:val="auto"/>
                <w:sz w:val="24"/>
                <w:szCs w:val="24"/>
                <w:highlight w:val="none"/>
              </w:rPr>
            </w:pPr>
          </w:p>
        </w:tc>
        <w:tc>
          <w:tcPr>
            <w:tcW w:w="6634" w:type="dxa"/>
            <w:noWrap w:val="0"/>
            <w:vAlign w:val="center"/>
          </w:tcPr>
          <w:p w14:paraId="6E1509F7">
            <w:pPr>
              <w:widowControl/>
              <w:spacing w:after="24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签订日期：</w:t>
            </w:r>
          </w:p>
        </w:tc>
      </w:tr>
    </w:tbl>
    <w:p w14:paraId="0B33B4C4">
      <w:pPr>
        <w:rPr>
          <w:rFonts w:hint="eastAsia" w:ascii="宋体" w:hAnsi="宋体" w:eastAsia="宋体" w:cs="宋体"/>
          <w:vanish/>
          <w:color w:val="auto"/>
          <w:sz w:val="32"/>
          <w:szCs w:val="32"/>
          <w:highlight w:val="none"/>
        </w:rPr>
      </w:pPr>
    </w:p>
    <w:p w14:paraId="5110E392">
      <w:pPr>
        <w:spacing w:line="360" w:lineRule="auto"/>
        <w:rPr>
          <w:rFonts w:ascii="宋体" w:hAnsi="宋体"/>
          <w:color w:val="auto"/>
          <w:sz w:val="24"/>
          <w:szCs w:val="28"/>
          <w:highlight w:val="none"/>
        </w:rPr>
      </w:pPr>
      <w:r>
        <w:rPr>
          <w:rFonts w:hint="eastAsia" w:ascii="宋体" w:hAnsi="宋体" w:eastAsia="宋体" w:cs="宋体"/>
          <w:b/>
          <w:color w:val="auto"/>
          <w:sz w:val="32"/>
          <w:szCs w:val="32"/>
          <w:highlight w:val="none"/>
        </w:rPr>
        <w:br w:type="page"/>
      </w:r>
      <w:r>
        <w:rPr>
          <w:rFonts w:hint="eastAsia" w:ascii="宋体" w:hAnsi="宋体"/>
          <w:b/>
          <w:color w:val="auto"/>
          <w:sz w:val="24"/>
          <w:szCs w:val="28"/>
          <w:highlight w:val="none"/>
        </w:rPr>
        <w:t>甲方：</w:t>
      </w:r>
      <w:r>
        <w:rPr>
          <w:rFonts w:hint="eastAsia" w:ascii="宋体" w:hAnsi="宋体"/>
          <w:b/>
          <w:color w:val="auto"/>
          <w:sz w:val="24"/>
          <w:highlight w:val="none"/>
          <w:u w:val="single"/>
        </w:rPr>
        <w:t>（采购人全称）</w:t>
      </w:r>
    </w:p>
    <w:p w14:paraId="539B5B0F">
      <w:pPr>
        <w:spacing w:line="360" w:lineRule="auto"/>
        <w:rPr>
          <w:rFonts w:ascii="宋体" w:hAnsi="宋体"/>
          <w:b/>
          <w:color w:val="auto"/>
          <w:sz w:val="24"/>
          <w:szCs w:val="28"/>
          <w:highlight w:val="none"/>
          <w:u w:val="single"/>
        </w:rPr>
      </w:pPr>
      <w:r>
        <w:rPr>
          <w:rFonts w:hint="eastAsia" w:ascii="宋体" w:hAnsi="宋体"/>
          <w:b/>
          <w:color w:val="auto"/>
          <w:sz w:val="24"/>
          <w:szCs w:val="28"/>
          <w:highlight w:val="none"/>
        </w:rPr>
        <w:t>乙方：</w:t>
      </w:r>
      <w:r>
        <w:rPr>
          <w:rFonts w:hint="eastAsia" w:ascii="宋体" w:hAnsi="宋体"/>
          <w:b/>
          <w:color w:val="auto"/>
          <w:sz w:val="24"/>
          <w:szCs w:val="28"/>
          <w:highlight w:val="none"/>
          <w:u w:val="single"/>
        </w:rPr>
        <w:t>（供应商全称）</w:t>
      </w:r>
    </w:p>
    <w:p w14:paraId="5816AA46">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项目名称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项目于</w:t>
      </w:r>
      <w:r>
        <w:rPr>
          <w:rFonts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   月    日</w:t>
      </w:r>
      <w:r>
        <w:rPr>
          <w:rFonts w:hint="eastAsia" w:ascii="宋体" w:hAnsi="宋体"/>
          <w:color w:val="auto"/>
          <w:sz w:val="24"/>
          <w:highlight w:val="none"/>
        </w:rPr>
        <w:t>在政府采购云平台以</w:t>
      </w:r>
      <w:r>
        <w:rPr>
          <w:rFonts w:hint="eastAsia" w:ascii="宋体" w:hAnsi="宋体"/>
          <w:color w:val="auto"/>
          <w:sz w:val="24"/>
          <w:highlight w:val="none"/>
          <w:lang w:val="en-US" w:eastAsia="zh-CN"/>
        </w:rPr>
        <w:t>竞争性磋商</w:t>
      </w:r>
      <w:r>
        <w:rPr>
          <w:rFonts w:hint="eastAsia" w:ascii="宋体" w:hAnsi="宋体"/>
          <w:color w:val="auto"/>
          <w:sz w:val="24"/>
          <w:highlight w:val="none"/>
        </w:rPr>
        <w:t>的方式进行采购。经评标委员会确定</w:t>
      </w:r>
      <w:r>
        <w:rPr>
          <w:rFonts w:ascii="宋体" w:hAnsi="宋体"/>
          <w:color w:val="auto"/>
          <w:sz w:val="24"/>
          <w:highlight w:val="none"/>
          <w:u w:val="single"/>
        </w:rPr>
        <w:tab/>
      </w:r>
      <w:r>
        <w:rPr>
          <w:rFonts w:ascii="宋体" w:hAnsi="宋体"/>
          <w:color w:val="auto"/>
          <w:sz w:val="24"/>
          <w:highlight w:val="none"/>
          <w:u w:val="single"/>
        </w:rPr>
        <w:tab/>
      </w:r>
      <w:r>
        <w:rPr>
          <w:rFonts w:hint="eastAsia" w:ascii="宋体" w:hAnsi="宋体"/>
          <w:color w:val="auto"/>
          <w:sz w:val="24"/>
          <w:highlight w:val="none"/>
        </w:rPr>
        <w:t>为</w:t>
      </w:r>
      <w:r>
        <w:rPr>
          <w:rFonts w:hint="eastAsia" w:ascii="宋体" w:hAnsi="宋体"/>
          <w:color w:val="auto"/>
          <w:sz w:val="24"/>
          <w:highlight w:val="none"/>
          <w:lang w:val="en-US" w:eastAsia="zh-CN"/>
        </w:rPr>
        <w:t>成交</w:t>
      </w:r>
      <w:r>
        <w:rPr>
          <w:rFonts w:hint="eastAsia" w:ascii="宋体" w:hAnsi="宋体"/>
          <w:color w:val="auto"/>
          <w:sz w:val="24"/>
          <w:highlight w:val="none"/>
        </w:rPr>
        <w:t>人。为保障合同双方的合法权益，甲乙双方根据《中华人民共和国政府采购法》、《中华人民共和国政府采购法实施条例》、《云南省政府采购条例》、《中华人民共和国民法典》等相关法律法规的规定以及</w:t>
      </w:r>
      <w:r>
        <w:rPr>
          <w:rFonts w:hint="eastAsia" w:ascii="宋体" w:hAnsi="宋体"/>
          <w:color w:val="auto"/>
          <w:sz w:val="24"/>
          <w:highlight w:val="none"/>
          <w:lang w:eastAsia="zh-CN"/>
        </w:rPr>
        <w:t>竞争性磋商文件</w:t>
      </w:r>
      <w:r>
        <w:rPr>
          <w:rFonts w:hint="eastAsia" w:ascii="宋体" w:hAnsi="宋体"/>
          <w:color w:val="auto"/>
          <w:sz w:val="24"/>
          <w:highlight w:val="none"/>
        </w:rPr>
        <w:t>和投标文件的有关要求，并按照公正、平等、自愿、诚实信用的原则，对食品安全、配送、质量等签订本合同，内容如下：</w:t>
      </w:r>
    </w:p>
    <w:p w14:paraId="172C0D47">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w:t>
      </w:r>
      <w:r>
        <w:rPr>
          <w:rFonts w:hint="eastAsia" w:ascii="宋体" w:hAnsi="宋体" w:cs="宋体"/>
          <w:b/>
          <w:color w:val="auto"/>
          <w:sz w:val="24"/>
          <w:highlight w:val="none"/>
          <w:lang w:val="en-US" w:eastAsia="zh-CN"/>
        </w:rPr>
        <w:t>服务</w:t>
      </w:r>
      <w:r>
        <w:rPr>
          <w:rFonts w:hint="eastAsia" w:ascii="宋体" w:hAnsi="宋体" w:cs="宋体"/>
          <w:b/>
          <w:color w:val="auto"/>
          <w:sz w:val="24"/>
          <w:highlight w:val="none"/>
        </w:rPr>
        <w:t>范围</w:t>
      </w:r>
    </w:p>
    <w:p w14:paraId="7C1E9798">
      <w:pPr>
        <w:spacing w:line="440" w:lineRule="exact"/>
        <w:ind w:firstLine="480" w:firstLineChars="200"/>
        <w:rPr>
          <w:rFonts w:hint="eastAsia" w:ascii="宋体" w:hAnsi="宋体" w:cs="宋体"/>
          <w:color w:val="auto"/>
          <w:kern w:val="0"/>
          <w:sz w:val="24"/>
          <w:highlight w:val="none"/>
          <w:u w:val="single"/>
          <w:lang w:bidi="ar"/>
        </w:rPr>
      </w:pPr>
      <w:r>
        <w:rPr>
          <w:rFonts w:hint="eastAsia" w:ascii="宋体" w:hAnsi="宋体" w:cs="宋体"/>
          <w:color w:val="auto"/>
          <w:sz w:val="24"/>
          <w:highlight w:val="none"/>
          <w:u w:val="single"/>
        </w:rPr>
        <w:t>根据</w:t>
      </w:r>
      <w:r>
        <w:rPr>
          <w:rFonts w:hint="eastAsia" w:ascii="宋体" w:hAnsi="宋体" w:cs="宋体"/>
          <w:color w:val="auto"/>
          <w:sz w:val="24"/>
          <w:highlight w:val="none"/>
          <w:u w:val="single"/>
          <w:lang w:eastAsia="zh-CN"/>
        </w:rPr>
        <w:t>昆明高新技术产业开发区第四小学</w:t>
      </w:r>
      <w:r>
        <w:rPr>
          <w:rFonts w:hint="eastAsia" w:ascii="宋体" w:hAnsi="宋体" w:cs="宋体"/>
          <w:color w:val="auto"/>
          <w:sz w:val="24"/>
          <w:highlight w:val="none"/>
          <w:u w:val="single"/>
        </w:rPr>
        <w:t>要求，为学校食堂配送物资，种类包括：大米、面粉、食用油、肉类、禽蛋类、蔬菜类、豆制品、干菜类、调味品、</w:t>
      </w:r>
      <w:r>
        <w:rPr>
          <w:rFonts w:hint="eastAsia" w:ascii="宋体" w:hAnsi="宋体" w:cs="宋体"/>
          <w:color w:val="auto"/>
          <w:sz w:val="24"/>
          <w:highlight w:val="none"/>
          <w:u w:val="single"/>
          <w:lang w:val="en-US" w:eastAsia="zh-CN"/>
        </w:rPr>
        <w:t>牛奶、</w:t>
      </w:r>
      <w:r>
        <w:rPr>
          <w:rFonts w:hint="eastAsia" w:ascii="宋体" w:hAnsi="宋体" w:cs="宋体"/>
          <w:color w:val="auto"/>
          <w:sz w:val="24"/>
          <w:highlight w:val="none"/>
          <w:u w:val="single"/>
        </w:rPr>
        <w:t>其他等（配送物资的种类须包含但不局限于以上内容），</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不接受经过冷冻保存的食材</w:t>
      </w:r>
      <w:r>
        <w:rPr>
          <w:rFonts w:hint="eastAsia" w:hAnsi="宋体"/>
          <w:color w:val="auto"/>
          <w:sz w:val="24"/>
          <w:highlight w:val="none"/>
          <w:u w:val="single"/>
        </w:rPr>
        <w:t>。</w:t>
      </w:r>
    </w:p>
    <w:p w14:paraId="07B82F84">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二、中标下浮率及合同金额</w:t>
      </w:r>
    </w:p>
    <w:p w14:paraId="2EF8DE63">
      <w:pPr>
        <w:shd w:val="clear" w:color="auto" w:fill="FFFFFF"/>
        <w:adjustRightInd w:val="0"/>
        <w:snapToGrid w:val="0"/>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中标单位中标下浮率：</w:t>
      </w:r>
      <w:r>
        <w:rPr>
          <w:rFonts w:hint="eastAsia" w:ascii="宋体" w:hAnsi="宋体" w:cs="宋体"/>
          <w:color w:val="auto"/>
          <w:sz w:val="24"/>
          <w:highlight w:val="none"/>
          <w:u w:val="single"/>
          <w:lang w:val="en-US" w:eastAsia="zh-CN"/>
        </w:rPr>
        <w:t xml:space="preserve">                 。</w:t>
      </w:r>
    </w:p>
    <w:p w14:paraId="35F52FB6">
      <w:pPr>
        <w:shd w:val="clear" w:color="auto" w:fill="FFFFFF"/>
        <w:adjustRightInd w:val="0"/>
        <w:snapToGrid w:val="0"/>
        <w:spacing w:line="360" w:lineRule="auto"/>
        <w:ind w:firstLine="480" w:firstLineChars="200"/>
        <w:jc w:val="left"/>
        <w:rPr>
          <w:rFonts w:ascii="宋体" w:hAnsi="宋体" w:cs="宋体"/>
          <w:color w:val="auto"/>
          <w:sz w:val="24"/>
          <w:highlight w:val="none"/>
        </w:rPr>
      </w:pPr>
      <w:bookmarkStart w:id="1057" w:name="_Hlk157214958"/>
      <w:r>
        <w:rPr>
          <w:rFonts w:hint="eastAsia" w:ascii="宋体" w:hAnsi="宋体" w:cs="宋体"/>
          <w:color w:val="auto"/>
          <w:sz w:val="24"/>
          <w:highlight w:val="none"/>
        </w:rPr>
        <w:t>合同金额</w:t>
      </w:r>
      <w:bookmarkEnd w:id="1057"/>
      <w:r>
        <w:rPr>
          <w:rFonts w:hint="eastAsia" w:ascii="宋体" w:hAnsi="宋体" w:cs="宋体"/>
          <w:color w:val="auto"/>
          <w:sz w:val="24"/>
          <w:highlight w:val="none"/>
        </w:rPr>
        <w:t>总价人民币：</w:t>
      </w:r>
      <w:r>
        <w:rPr>
          <w:rFonts w:hint="eastAsia" w:ascii="宋体" w:hAnsi="宋体" w:cs="宋体"/>
          <w:color w:val="auto"/>
          <w:sz w:val="24"/>
          <w:highlight w:val="none"/>
          <w:u w:val="single"/>
          <w:lang w:val="en-US" w:eastAsia="zh-CN"/>
        </w:rPr>
        <w:t xml:space="preserve">                 。</w:t>
      </w:r>
    </w:p>
    <w:p w14:paraId="5FACE002">
      <w:pPr>
        <w:shd w:val="clear" w:color="auto" w:fill="FFFFFF"/>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合同金额为合同执行的最高金额，仅作为投标经济参考指标，不作为结算依据或要求采购人提供相应采购量的依据。最终结算金额按照实际人数、实际供货情况据实结算。</w:t>
      </w:r>
    </w:p>
    <w:p w14:paraId="6AC7F9DE">
      <w:pPr>
        <w:shd w:val="clear" w:color="auto" w:fill="FFFFFF"/>
        <w:adjustRightInd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三、质量要求</w:t>
      </w:r>
    </w:p>
    <w:p w14:paraId="40C3CF5B">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质量要求：产品质量必须达到国家合格产品质量标准，符合《中华人民共和国产品质量法》《中华人民共和国食品安全法》《中华人民共和国食品安全法实施条例》等国家、行业规定及竞争性磋商文件、采购人需求。</w:t>
      </w:r>
    </w:p>
    <w:p w14:paraId="672F902B">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w:t>
      </w:r>
      <w:r>
        <w:rPr>
          <w:rFonts w:hint="eastAsia" w:ascii="宋体" w:hAnsi="宋体" w:cs="宋体"/>
          <w:color w:val="auto"/>
          <w:sz w:val="24"/>
          <w:highlight w:val="none"/>
        </w:rPr>
        <w:t>供货价格不超过同期市场价格。如因成交单位所提供的食材出现任何食品安全事件及涉及所提供的食材对师生健康有影响，由成交单位负全责，采购人有权立即解除合同并追究相应责任。</w:t>
      </w:r>
    </w:p>
    <w:p w14:paraId="7B47DECE">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3.产品外包装必须符合食品包装要求，完好无损，无污迹，标识标签齐全，厂名、厂址、配料、保质期、生产日期清楚。</w:t>
      </w:r>
    </w:p>
    <w:p w14:paraId="75964707">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4.供应商应严格遵守《食品卫生法》《产品质量法》《消费者权益保护法》等相关规定，供货过程若发现供应商供应的货物存在以下情况的，除全部退货外，将取消成交单位的供货资格,并承担由此造成的经济责任和法律责任： </w:t>
      </w:r>
    </w:p>
    <w:p w14:paraId="1ECF6DC2">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（1）腐败变质、霉变、生虫、污秽不洁、混有异物或者其他感官性状异常，对人体健康有害的；</w:t>
      </w:r>
    </w:p>
    <w:p w14:paraId="5A92842C">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（2）含有毒、有害物质或者被有害物质污染，对人体健康有害的；</w:t>
      </w:r>
    </w:p>
    <w:p w14:paraId="28D8A8B0">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（3）含有致病性寄生虫、微生物或者微生物含量超过国家限定标准的；</w:t>
      </w:r>
    </w:p>
    <w:p w14:paraId="0B1B7291">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（4）掺假、掺杂、伪造，影响营养、卫生的；</w:t>
      </w:r>
    </w:p>
    <w:p w14:paraId="442EE867">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（5）对采购方提出的确实存在质量问题的物品要求更换、退货、补足商品数量、退还货款和服务费用或者赔偿损失的要求，故意拖延或者无理拒绝的；</w:t>
      </w:r>
    </w:p>
    <w:p w14:paraId="2DE24078">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（6）超过保质期限的；</w:t>
      </w:r>
    </w:p>
    <w:p w14:paraId="76BEC22C">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（7）法律、法规规定的对损害消费者权益应当予以处罚的其他情形。</w:t>
      </w:r>
    </w:p>
    <w:p w14:paraId="6FD8AAF1">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5.在供货期间，若采购人对成交单位所供货物质量产生异议，送政府质量检测部门检验。如检验不合格，检验费由成交单位承担，并依照合同承担责任。若发生类似情况两次以上，则合同终止。</w:t>
      </w:r>
    </w:p>
    <w:p w14:paraId="3C52A106">
      <w:pPr>
        <w:widowControl/>
        <w:spacing w:line="44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成交单位在合同期内应切实做到，保质、保量、准时送货。成交单位在供货期间必须按照成交规格型号供货，不得更换。凡所供货物的质量、品种、数量与采购人提供的清单不符时，采购人有权拒收，并由成交单位承担由此造成的直接经济损失。</w:t>
      </w:r>
    </w:p>
    <w:p w14:paraId="149E0DF1">
      <w:pPr>
        <w:shd w:val="clear" w:color="auto" w:fill="FFFFFF"/>
        <w:adjustRightInd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四、甲乙双方的权</w:t>
      </w:r>
      <w:r>
        <w:rPr>
          <w:rFonts w:hint="eastAsia" w:ascii="MS PMincho" w:hAnsi="MS PMincho" w:eastAsia="MS PMincho" w:cs="MS PMincho"/>
          <w:b/>
          <w:bCs/>
          <w:color w:val="auto"/>
          <w:sz w:val="24"/>
          <w:highlight w:val="none"/>
        </w:rPr>
        <w:t>利和</w:t>
      </w:r>
      <w:r>
        <w:rPr>
          <w:rFonts w:hint="eastAsia" w:ascii="宋体" w:hAnsi="宋体" w:cs="宋体"/>
          <w:b/>
          <w:bCs/>
          <w:color w:val="auto"/>
          <w:sz w:val="24"/>
          <w:highlight w:val="none"/>
        </w:rPr>
        <w:t>义务</w:t>
      </w:r>
    </w:p>
    <w:p w14:paraId="1420DAF9">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（一）甲方的权利和义务</w:t>
      </w:r>
    </w:p>
    <w:p w14:paraId="15924293">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1.依照本合同约定对乙方服务进行监督检查。</w:t>
      </w:r>
    </w:p>
    <w:p w14:paraId="6FAF58EC">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向乙方订购的食材，必须提前一天（具体时间节点由学校自行与供应商商定）以书面或电子文稿的方式向乙方下订单，订单内容应说清楚订购品名、规格、数量、送菜时间和特殊要求等，乙方必须按学校订购的要求送货。如学校采购计划没有及时送达或出现错误，乙方有义务主动提醒或通知学校纠正。当天所需物资按学校指定时间每天上午8：00以前送达指定地点。</w:t>
      </w:r>
    </w:p>
    <w:p w14:paraId="6587DA1E">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3.组织验收乙方服务项目、内容：在规定的交付期限内由乙方送达学校指定的地点，按学校要求存放，并完成交货，验收合格视为交付。</w:t>
      </w:r>
    </w:p>
    <w:p w14:paraId="5B5B5FE2">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乙方每月开具一次发票给甲方（根据甲方要求注明资金情况），甲方在签署结算单并收到乙方足额正式发票后一个月内支付上月货款给乙方，若乙方未提供发票或材料不符合财务制度要求，甲方有权拒绝支付款项，并不承担任何违约责任。</w:t>
      </w:r>
    </w:p>
    <w:p w14:paraId="7FA72FA2">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5.甲方具体工作负责人：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FAD1DE2">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（二）乙方的权利和义务</w:t>
      </w:r>
    </w:p>
    <w:p w14:paraId="39D2DB17">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1.遵守甲方食品安全及</w:t>
      </w:r>
      <w:r>
        <w:rPr>
          <w:rFonts w:hint="eastAsia" w:ascii="宋体" w:hAnsi="宋体"/>
          <w:color w:val="auto"/>
          <w:sz w:val="24"/>
          <w:highlight w:val="none"/>
        </w:rPr>
        <w:t>卫生、</w:t>
      </w:r>
      <w:r>
        <w:rPr>
          <w:rFonts w:hint="eastAsia" w:ascii="宋体" w:hAnsi="宋体" w:cs="宋体"/>
          <w:color w:val="auto"/>
          <w:sz w:val="24"/>
          <w:highlight w:val="none"/>
        </w:rPr>
        <w:t>传染病管理规定，坚持人、物、环境同防，因乙方的工作不当造成的事故责任和产生的费用全部由乙方全部承担。</w:t>
      </w:r>
    </w:p>
    <w:p w14:paraId="17A094D9">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乙方须严格遵守《食品安全法》和《动物检疫法》等相关规定，学校验收不合格的食品，学校除有权全部退货外，还有权要求乙方更换本批货物，对送货过程中出现的验收不合格，换货或退货的品种，以及学校根据就餐需要临时增配的食材，乙方必需在2个小时内送到，确保按时就餐。如拒不更换货品，应当由乙方承担违约责任，甲方及学校可以不经乙方同意将有问题的物品提交有关部门进行查处，乙方还应当承担由此造成的经济责任和法律责任，并赔偿学校因此造成的所有损失（包括直接损失和间接损失）。</w:t>
      </w:r>
    </w:p>
    <w:p w14:paraId="5B1DA1F2">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3.乙方须保证提供的食品（原材料）安全、卫生、质量优，符合相关部门的食品（原材料）管理规定；符合约定的质量、交付时限、交付的效率等。</w:t>
      </w:r>
    </w:p>
    <w:p w14:paraId="3E62AAD4">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4.向甲方提供符合财务要求的正规发票进行结算支付。</w:t>
      </w:r>
    </w:p>
    <w:p w14:paraId="5EA0E6BE">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5.乙方需向甲方提供配送人员身份信息、健康证及配送车辆信息（如车牌号等），乙方配送人员需在提供的人员名单范围内并相对固定，并将配送人员身份信息作为本合同附件的一部分。</w:t>
      </w:r>
    </w:p>
    <w:p w14:paraId="6C5F264D">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6.乙方具体工作负责人：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4603F4D">
      <w:pPr>
        <w:shd w:val="clear" w:color="auto" w:fill="FFFFFF"/>
        <w:adjustRightInd w:val="0"/>
        <w:snapToGrid w:val="0"/>
        <w:spacing w:line="360" w:lineRule="auto"/>
        <w:ind w:firstLine="482" w:firstLineChars="200"/>
        <w:jc w:val="left"/>
        <w:rPr>
          <w:rFonts w:ascii="@Yu Mincho Light"/>
          <w:color w:val="auto"/>
          <w:kern w:val="0"/>
          <w:sz w:val="18"/>
          <w:szCs w:val="18"/>
          <w:highlight w:val="none"/>
        </w:rPr>
      </w:pPr>
      <w:r>
        <w:rPr>
          <w:rFonts w:hint="eastAsia" w:ascii="宋体" w:hAnsi="宋体" w:cs="宋体"/>
          <w:b/>
          <w:bCs/>
          <w:color w:val="auto"/>
          <w:sz w:val="24"/>
          <w:highlight w:val="none"/>
        </w:rPr>
        <w:t>五、违约责任</w:t>
      </w:r>
    </w:p>
    <w:p w14:paraId="2CD12302">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1.甲方不得无故拒收乙方符合验收标准的食材货品。乙方应该为甲方提供安全、卫生、优质、价廉的产品，确实履行自己的承诺，如出现违约现象，乙方须承担全部的责任。</w:t>
      </w:r>
    </w:p>
    <w:p w14:paraId="7A0AA178">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如果乙方未能按合同规定的时间和甲方指定学校开具的采购清单按时足额交货的，急需物资如果乙方提供不了由甲方指定学校自行对外采买，所产生费用（含采购人员误工费）由乙方承担，采购价款以采购人员实际支付的价款确定。甲方指定学校开具的采购清单中的非急需物资，甲方指定学校有权选择同意延长交货期还是不予延长交货期。甲方指定学校同意延长交货期的，延期交货的时间由甲方指定学校和乙方另行确定。延期交货违约金的支付甲方指定学校有权从未付的合同货款中扣除。延期交货违约金为每迟交一次，按迟交货物金额的10%计算。</w:t>
      </w:r>
    </w:p>
    <w:p w14:paraId="14E79D85">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如果乙方未能按合同规定的时间或另行确定的延期交货期时间足额交货的，乙方依然须承担迟交货的违约责任。延期交货违约金的支付甲方有权从未付的合同货款中扣除。若乙方一个月内延期交货达2次以上的，甲方有权单方解除本合同，合同解除后，乙方仍应按上述约定支付延期临时增配交货违约金。若因此给甲方指定学校造成损失的，乙方还应赔偿甲方指定学校所受的损失。</w:t>
      </w:r>
    </w:p>
    <w:p w14:paraId="74B9701D">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果乙方未能按合同约定提供运送和提供相关服务的，乙方应每次向甲方指定学校支付当天货品金额10%违约金，因此给甲方指定学校造成损失的，乙方还应赔偿甲方指定学校所受的损失（包括直接损失和间接损失）。</w:t>
      </w:r>
    </w:p>
    <w:p w14:paraId="77429664">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在甲方指定学校验收人员验收过程中若发现乙方所供货品质量、数量达不到验收标准，且不达标货品比例超过10%，3次内可要求乙方整改，超过3次甲方可另行选择供货单位或自行采买，甲方也可于次月单方面解除合同。</w:t>
      </w:r>
    </w:p>
    <w:p w14:paraId="38616F49">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若因乙方提供的食材安全、卫生、质量原因或在运输途中受到污染导致食用者食用后产生不良反映如：腹痛、腹泻、呕吐、昏迷等症状及造成其它食品安全卫生事故的，甲方或甲方指定学校有权从未付的合同货款中扣除，经相关部门或权威检测检验机构确定为乙方责任的，除期间各种费用及责任均由乙方承担外，甲方可视情节严重或造成恶劣影响的程度依法诉诸法律解决，期间各种费用及责任均由乙方承担。</w:t>
      </w:r>
    </w:p>
    <w:p w14:paraId="3E93A76C">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供货期间，甲方及相关学校有权对乙方所供货物进行实地市场调查对比，若发现某同类别或同名称货物，乙方报价明显高于所调查的市场价，则甲方可另行选择供货单位或自行采买，费用从当期应支付给乙方货款中列支。若多次乙方报价明显高于实地调查市场价，则甲方有权要求乙方于次日调整价格或单方于次月解除本合同。</w:t>
      </w:r>
    </w:p>
    <w:p w14:paraId="3E3EAF82">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7.未经甲方书面同意，不允许乙方向第三方转让整个合同或部分合同，否则将视为违约，甲方有权解除合同，乙方需承担按本合同暂定数量计算总金额</w:t>
      </w:r>
      <w:r>
        <w:rPr>
          <w:rFonts w:ascii="宋体" w:hAnsi="宋体" w:cs="宋体"/>
          <w:color w:val="auto"/>
          <w:sz w:val="24"/>
          <w:highlight w:val="none"/>
        </w:rPr>
        <w:tab/>
      </w:r>
      <w:r>
        <w:rPr>
          <w:rFonts w:ascii="宋体" w:hAnsi="宋体" w:cs="宋体"/>
          <w:color w:val="auto"/>
          <w:sz w:val="24"/>
          <w:highlight w:val="none"/>
          <w:u w:val="single"/>
        </w:rPr>
        <w:tab/>
      </w:r>
      <w:r>
        <w:rPr>
          <w:rFonts w:hint="eastAsia" w:ascii="宋体" w:hAnsi="宋体" w:cs="宋体"/>
          <w:color w:val="auto"/>
          <w:sz w:val="24"/>
          <w:highlight w:val="none"/>
          <w:u w:val="single"/>
        </w:rPr>
        <w:t>％</w:t>
      </w:r>
      <w:r>
        <w:rPr>
          <w:rFonts w:hint="eastAsia" w:ascii="宋体" w:hAnsi="宋体" w:cs="宋体"/>
          <w:color w:val="auto"/>
          <w:sz w:val="24"/>
          <w:highlight w:val="none"/>
        </w:rPr>
        <w:t>的违约金。</w:t>
      </w:r>
    </w:p>
    <w:p w14:paraId="1E7D07A9">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合同履行期间，若因国家农村义务教育学生营养改善计划政策发生变动，导致合同无法履行，或因上级部门对农村义务教育学生营养改善计划供餐方式进行调整，视为不可抗力，合同自动终止，乙方不得向甲方提出任何赔偿要求。</w:t>
      </w:r>
    </w:p>
    <w:p w14:paraId="6F211288">
      <w:pPr>
        <w:pStyle w:val="22"/>
        <w:ind w:firstLine="480" w:firstLineChars="200"/>
        <w:rPr>
          <w:rFonts w:hint="eastAsia"/>
          <w:color w:val="auto"/>
          <w:highlight w:val="none"/>
        </w:rPr>
      </w:pPr>
      <w:r>
        <w:rPr>
          <w:rFonts w:hint="eastAsia" w:ascii="宋体" w:hAnsi="宋体"/>
          <w:color w:val="auto"/>
          <w:sz w:val="24"/>
          <w:highlight w:val="none"/>
        </w:rPr>
        <w:t>9</w:t>
      </w:r>
      <w:r>
        <w:rPr>
          <w:rFonts w:ascii="宋体" w:hAnsi="宋体"/>
          <w:color w:val="auto"/>
          <w:sz w:val="24"/>
          <w:highlight w:val="none"/>
        </w:rPr>
        <w:t>.</w:t>
      </w:r>
      <w:r>
        <w:rPr>
          <w:rFonts w:hint="eastAsia" w:ascii="宋体" w:hAnsi="宋体"/>
          <w:color w:val="auto"/>
          <w:sz w:val="24"/>
          <w:highlight w:val="none"/>
        </w:rPr>
        <w:t xml:space="preserve"> 因供应商提供发票或材料不符合财务制度要求及采购人正常审批程序未完成导致延迟付款的，不属于采购人违约行为。</w:t>
      </w:r>
    </w:p>
    <w:p w14:paraId="015CA6AC">
      <w:pPr>
        <w:shd w:val="clear" w:color="auto" w:fill="FFFFFF"/>
        <w:adjustRightInd w:val="0"/>
        <w:snapToGrid w:val="0"/>
        <w:spacing w:line="360" w:lineRule="auto"/>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六、</w:t>
      </w:r>
      <w:r>
        <w:rPr>
          <w:rFonts w:hint="eastAsia" w:ascii="宋体" w:hAnsi="宋体"/>
          <w:b/>
          <w:color w:val="auto"/>
          <w:sz w:val="24"/>
          <w:highlight w:val="none"/>
          <w:lang w:val="en-US" w:eastAsia="zh-CN"/>
        </w:rPr>
        <w:t>合同</w:t>
      </w:r>
      <w:r>
        <w:rPr>
          <w:rFonts w:hint="eastAsia" w:ascii="宋体" w:hAnsi="宋体"/>
          <w:b/>
          <w:color w:val="auto"/>
          <w:sz w:val="24"/>
          <w:highlight w:val="none"/>
        </w:rPr>
        <w:t>的数量、采购项目交付或者实施的时间和地点</w:t>
      </w:r>
      <w:r>
        <w:rPr>
          <w:rFonts w:hint="eastAsia" w:ascii="宋体" w:hAnsi="宋体" w:cs="宋体"/>
          <w:b/>
          <w:bCs/>
          <w:color w:val="auto"/>
          <w:sz w:val="24"/>
          <w:highlight w:val="none"/>
        </w:rPr>
        <w:t>。</w:t>
      </w:r>
    </w:p>
    <w:p w14:paraId="5EDB95DB">
      <w:pPr>
        <w:pStyle w:val="28"/>
        <w:autoSpaceDE/>
        <w:autoSpaceDN/>
        <w:adjustRightInd/>
        <w:spacing w:line="400" w:lineRule="exact"/>
        <w:ind w:firstLine="480" w:firstLineChars="200"/>
        <w:jc w:val="both"/>
        <w:rPr>
          <w:rFonts w:hint="eastAsia" w:hAnsi="宋体" w:cs="宋体"/>
          <w:color w:val="auto"/>
          <w:sz w:val="24"/>
          <w:szCs w:val="24"/>
          <w:highlight w:val="none"/>
        </w:rPr>
      </w:pPr>
      <w:r>
        <w:rPr>
          <w:rFonts w:hint="eastAsia" w:ascii="宋体" w:hAnsi="宋体" w:cs="宋体"/>
          <w:color w:val="auto"/>
          <w:sz w:val="24"/>
          <w:highlight w:val="none"/>
        </w:rPr>
        <w:t>1.</w:t>
      </w:r>
      <w:r>
        <w:rPr>
          <w:rFonts w:hint="eastAsia" w:hAnsi="宋体" w:cs="宋体"/>
          <w:color w:val="auto"/>
          <w:sz w:val="24"/>
          <w:szCs w:val="24"/>
          <w:highlight w:val="none"/>
        </w:rPr>
        <w:t>采购量：</w:t>
      </w:r>
      <w:r>
        <w:rPr>
          <w:rFonts w:hint="eastAsia" w:hAnsi="宋体" w:cs="宋体"/>
          <w:color w:val="auto"/>
          <w:sz w:val="24"/>
          <w:szCs w:val="24"/>
          <w:highlight w:val="none"/>
          <w:lang w:eastAsia="zh-CN"/>
        </w:rPr>
        <w:t>昆明高新技术产业开发区第四小学</w:t>
      </w:r>
      <w:r>
        <w:rPr>
          <w:rFonts w:hint="eastAsia" w:hAnsi="宋体" w:cs="宋体"/>
          <w:color w:val="auto"/>
          <w:sz w:val="24"/>
          <w:szCs w:val="24"/>
          <w:highlight w:val="none"/>
        </w:rPr>
        <w:t>：</w:t>
      </w:r>
      <w:r>
        <w:rPr>
          <w:rFonts w:hint="eastAsia" w:hAnsi="宋体" w:cs="宋体"/>
          <w:color w:val="auto"/>
          <w:sz w:val="24"/>
          <w:szCs w:val="24"/>
          <w:highlight w:val="none"/>
          <w:lang w:eastAsia="zh-CN"/>
        </w:rPr>
        <w:t>早餐</w:t>
      </w:r>
      <w:r>
        <w:rPr>
          <w:rFonts w:hint="eastAsia" w:hAnsi="宋体" w:cs="宋体"/>
          <w:color w:val="auto"/>
          <w:sz w:val="24"/>
          <w:szCs w:val="24"/>
          <w:highlight w:val="none"/>
        </w:rPr>
        <w:t>供应约</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200</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w:t>
      </w:r>
      <w:r>
        <w:rPr>
          <w:rFonts w:hint="eastAsia" w:hAnsi="宋体" w:cs="宋体"/>
          <w:color w:val="auto"/>
          <w:sz w:val="24"/>
          <w:szCs w:val="24"/>
          <w:highlight w:val="none"/>
          <w:lang w:eastAsia="zh-CN"/>
        </w:rPr>
        <w:t>，午餐供应约</w:t>
      </w:r>
      <w:r>
        <w:rPr>
          <w:rFonts w:hint="eastAsia" w:hAnsi="宋体" w:cs="宋体"/>
          <w:color w:val="auto"/>
          <w:sz w:val="24"/>
          <w:szCs w:val="24"/>
          <w:highlight w:val="none"/>
          <w:u w:val="single"/>
          <w:lang w:val="en-US" w:eastAsia="zh-CN"/>
        </w:rPr>
        <w:t>2600</w:t>
      </w:r>
      <w:r>
        <w:rPr>
          <w:rFonts w:hint="eastAsia" w:hAnsi="宋体" w:cs="宋体"/>
          <w:color w:val="auto"/>
          <w:sz w:val="24"/>
          <w:szCs w:val="24"/>
          <w:highlight w:val="none"/>
          <w:lang w:val="en-US" w:eastAsia="zh-CN"/>
        </w:rPr>
        <w:t>人，晚餐供应约</w:t>
      </w:r>
      <w:r>
        <w:rPr>
          <w:rFonts w:hint="eastAsia" w:hAnsi="宋体" w:cs="宋体"/>
          <w:color w:val="auto"/>
          <w:sz w:val="24"/>
          <w:szCs w:val="24"/>
          <w:highlight w:val="none"/>
          <w:u w:val="single"/>
          <w:lang w:val="en-US" w:eastAsia="zh-CN"/>
        </w:rPr>
        <w:t>100</w:t>
      </w:r>
      <w:r>
        <w:rPr>
          <w:rFonts w:hint="eastAsia" w:hAnsi="宋体" w:cs="宋体"/>
          <w:color w:val="auto"/>
          <w:sz w:val="24"/>
          <w:szCs w:val="24"/>
          <w:highlight w:val="none"/>
          <w:lang w:val="en-US" w:eastAsia="zh-CN"/>
        </w:rPr>
        <w:t>人</w:t>
      </w:r>
      <w:r>
        <w:rPr>
          <w:rFonts w:hint="eastAsia" w:hAnsi="宋体" w:cs="宋体"/>
          <w:color w:val="auto"/>
          <w:sz w:val="24"/>
          <w:szCs w:val="24"/>
          <w:highlight w:val="none"/>
        </w:rPr>
        <w:t>，具体配送数量及类别以采购人实际委托为准，采购人每</w:t>
      </w:r>
      <w:r>
        <w:rPr>
          <w:rFonts w:hint="eastAsia" w:hAnsi="宋体" w:cs="宋体"/>
          <w:color w:val="auto"/>
          <w:sz w:val="24"/>
          <w:szCs w:val="24"/>
          <w:highlight w:val="none"/>
          <w:lang w:val="en-US" w:eastAsia="zh-CN"/>
        </w:rPr>
        <w:t>天</w:t>
      </w:r>
      <w:r>
        <w:rPr>
          <w:rFonts w:hint="eastAsia" w:hAnsi="宋体" w:cs="宋体"/>
          <w:color w:val="auto"/>
          <w:sz w:val="24"/>
          <w:szCs w:val="24"/>
          <w:highlight w:val="none"/>
          <w:u w:val="single"/>
        </w:rPr>
        <w:t>17:00</w:t>
      </w:r>
      <w:r>
        <w:rPr>
          <w:rFonts w:hint="eastAsia" w:hAnsi="宋体" w:cs="宋体"/>
          <w:color w:val="auto"/>
          <w:sz w:val="24"/>
          <w:szCs w:val="24"/>
          <w:highlight w:val="none"/>
        </w:rPr>
        <w:t>以前给出</w:t>
      </w:r>
      <w:r>
        <w:rPr>
          <w:rFonts w:hint="eastAsia" w:hAnsi="宋体" w:cs="宋体"/>
          <w:color w:val="auto"/>
          <w:sz w:val="24"/>
          <w:szCs w:val="24"/>
          <w:highlight w:val="none"/>
          <w:lang w:val="en-US" w:eastAsia="zh-CN"/>
        </w:rPr>
        <w:t>第二天</w:t>
      </w:r>
      <w:r>
        <w:rPr>
          <w:rFonts w:hint="eastAsia" w:hAnsi="宋体" w:cs="宋体"/>
          <w:color w:val="auto"/>
          <w:sz w:val="24"/>
          <w:szCs w:val="24"/>
          <w:highlight w:val="none"/>
        </w:rPr>
        <w:t>具体配送数量及明细；</w:t>
      </w:r>
    </w:p>
    <w:p w14:paraId="0FC1CB8A">
      <w:pPr>
        <w:spacing w:line="432"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2.配送地点及要求：按照采购人要求进行分装，配送到采购人指定地点（</w:t>
      </w:r>
      <w:r>
        <w:rPr>
          <w:rFonts w:hint="eastAsia" w:ascii="宋体" w:hAnsi="宋体" w:cs="宋体"/>
          <w:color w:val="auto"/>
          <w:sz w:val="24"/>
          <w:highlight w:val="none"/>
          <w:lang w:eastAsia="zh-CN"/>
        </w:rPr>
        <w:t>昆明高新技术产业开发区第四小学</w:t>
      </w:r>
      <w:r>
        <w:rPr>
          <w:rFonts w:hint="eastAsia" w:ascii="宋体" w:hAnsi="宋体" w:cs="宋体"/>
          <w:color w:val="auto"/>
          <w:sz w:val="24"/>
          <w:highlight w:val="none"/>
        </w:rPr>
        <w:t>）；配送时间：周一至周</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上午</w:t>
      </w:r>
      <w:r>
        <w:rPr>
          <w:rFonts w:hint="eastAsia" w:ascii="宋体" w:hAnsi="宋体" w:cs="宋体"/>
          <w:color w:val="FF0000"/>
          <w:sz w:val="24"/>
          <w:highlight w:val="none"/>
          <w:lang w:val="en-US" w:eastAsia="zh-CN"/>
        </w:rPr>
        <w:t>6</w:t>
      </w:r>
      <w:r>
        <w:rPr>
          <w:rFonts w:hint="eastAsia" w:ascii="宋体" w:hAnsi="宋体" w:cs="宋体"/>
          <w:color w:val="FF0000"/>
          <w:sz w:val="24"/>
          <w:highlight w:val="none"/>
        </w:rPr>
        <w:t>:00-7:</w:t>
      </w:r>
      <w:r>
        <w:rPr>
          <w:rFonts w:hint="eastAsia" w:ascii="宋体" w:hAnsi="宋体" w:cs="宋体"/>
          <w:color w:val="FF0000"/>
          <w:sz w:val="24"/>
          <w:highlight w:val="none"/>
          <w:lang w:val="en-US" w:eastAsia="zh-CN"/>
        </w:rPr>
        <w:t>00</w:t>
      </w:r>
      <w:r>
        <w:rPr>
          <w:rFonts w:hint="eastAsia" w:ascii="宋体" w:hAnsi="宋体" w:cs="宋体"/>
          <w:color w:val="auto"/>
          <w:sz w:val="24"/>
          <w:highlight w:val="none"/>
        </w:rPr>
        <w:t>间完成配送。若出现特殊情况需要提前配送的，配送时间由采购人安排，供货商必须保证按要求配送，所供物品应提供检验、检疫、检测合格证明。</w:t>
      </w:r>
    </w:p>
    <w:p w14:paraId="01504ABD">
      <w:pPr>
        <w:spacing w:before="156" w:beforeLines="50" w:after="156" w:afterLines="50"/>
        <w:ind w:firstLine="241" w:firstLineChars="100"/>
        <w:rPr>
          <w:rFonts w:hint="eastAsia"/>
          <w:color w:val="auto"/>
          <w:highlight w:val="none"/>
        </w:rPr>
      </w:pPr>
      <w:r>
        <w:rPr>
          <w:rFonts w:hint="eastAsia" w:ascii="宋体" w:hAnsi="宋体"/>
          <w:b/>
          <w:color w:val="auto"/>
          <w:sz w:val="24"/>
          <w:highlight w:val="none"/>
          <w:lang w:val="en-US" w:eastAsia="zh-CN"/>
        </w:rPr>
        <w:t>七、</w:t>
      </w:r>
      <w:r>
        <w:rPr>
          <w:rFonts w:hint="eastAsia" w:ascii="宋体" w:hAnsi="宋体"/>
          <w:b/>
          <w:color w:val="auto"/>
          <w:sz w:val="24"/>
          <w:highlight w:val="none"/>
        </w:rPr>
        <w:t>需满足的服务标准、期限、效率等要求：</w:t>
      </w:r>
    </w:p>
    <w:p w14:paraId="68FD7F5F">
      <w:pPr>
        <w:spacing w:line="440" w:lineRule="exact"/>
        <w:ind w:firstLine="600" w:firstLineChars="250"/>
        <w:jc w:val="left"/>
        <w:rPr>
          <w:rFonts w:hint="eastAsia" w:ascii="宋体" w:hAnsi="宋体"/>
          <w:color w:val="auto"/>
          <w:sz w:val="24"/>
          <w:highlight w:val="none"/>
        </w:rPr>
      </w:pPr>
      <w:r>
        <w:rPr>
          <w:rFonts w:hint="eastAsia" w:ascii="宋体" w:hAnsi="宋体"/>
          <w:color w:val="auto"/>
          <w:sz w:val="24"/>
          <w:highlight w:val="none"/>
        </w:rPr>
        <w:t>1.采购标的需满足的服务标准：</w:t>
      </w:r>
    </w:p>
    <w:p w14:paraId="57805F4D">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rPr>
        <w:t>具体配送数量及类别以采购人实际委托为准，采购人每周五17:00以前给出下一周具体配送数量及明细；</w:t>
      </w:r>
      <w:r>
        <w:rPr>
          <w:rFonts w:hint="eastAsia" w:ascii="宋体" w:hAnsi="宋体"/>
          <w:color w:val="auto"/>
          <w:sz w:val="24"/>
          <w:highlight w:val="none"/>
        </w:rPr>
        <w:t>成交单位按时、按质、按量完成供货。</w:t>
      </w:r>
    </w:p>
    <w:p w14:paraId="5761FE1C">
      <w:pPr>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（2）成交单位认真审查供货渠道和货源，供货渠道正规、货物来源清晰，清真食品须具有清真标识或相关证明材料，确保所供货物质量安全、无超标的食品或原材料。</w:t>
      </w:r>
    </w:p>
    <w:p w14:paraId="46446315">
      <w:pPr>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（3）所供食品必须符合保质期要求，无转基因食品，提供食品具有进货票证及相关有效证明。</w:t>
      </w:r>
    </w:p>
    <w:p w14:paraId="547F65DE">
      <w:pPr>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（4）须在响应文件中提供“食品安全承诺书”。</w:t>
      </w:r>
    </w:p>
    <w:p w14:paraId="26FF1BFA">
      <w:pPr>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（5）采购人按供应商提供各批次货物检验报告进行验收，质量不得低于各项产品的要求，发现霉变、受潮、污染、异味及可能存在安全、卫生隐患等的货物采购人有权拒绝收货。</w:t>
      </w:r>
    </w:p>
    <w:p w14:paraId="786FD098">
      <w:pPr>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采购单位不定期委托具备相关资质的第三方检测机构或市场监督管理局检测部门抽检，检验费用由成交单位承担。供货期间如出现2次抽检结果不合格的，采购人有权单方面终止合同，成交单位承担相应违约责任以及对采购人造成的一切损失。</w:t>
      </w:r>
    </w:p>
    <w:p w14:paraId="19F52670">
      <w:pPr>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7）配送车辆、驾驶员及配送人员必须相对固定，如有调整必需及时与学校联系；配送车辆必须保持清洁卫生，做到专车专用，每次运输食品前必须进行清洁消毒，在运输装卸过程中保持清洁，防止食品在运输过程中受到污染；驾驶员必须持有合法有效的机动车驾驶证件和健康体检合格证，其它配送人员必须具有健康体检合格证，在配送期间须着统一清洁的工作服并佩带胸卡。配送人员数量及配送车辆数量需能满足配送需求，不得延误配送相关工作，如一个月内延误2次及以上的，采购人有权解除合同。</w:t>
      </w:r>
    </w:p>
    <w:p w14:paraId="50E1C73F">
      <w:pPr>
        <w:spacing w:line="43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2.采购标的需满足的服务效率：</w:t>
      </w:r>
    </w:p>
    <w:p w14:paraId="1B79C78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rPr>
        <w:t>合同履行期限（服务期限）：</w:t>
      </w:r>
      <w:r>
        <w:rPr>
          <w:rFonts w:hint="eastAsia" w:ascii="宋体" w:hAnsi="宋体" w:eastAsia="宋体" w:cs="宋体"/>
          <w:color w:val="auto"/>
          <w:sz w:val="24"/>
          <w:highlight w:val="none"/>
          <w:lang w:val="en-US" w:eastAsia="zh-CN"/>
        </w:rPr>
        <w:t>合同签订之日起至2027年04月30日止（以实际履行期限为准）。1、合同结算总价达到最高限价时，合同终止，供应方无权要求采购方支付任何超过最高限价部分的价款。2、因政策或资金拨付等原因，采购人可无责终止合同或变更合同，变更合同的，由双方共同签署补充协议</w:t>
      </w:r>
      <w:r>
        <w:rPr>
          <w:rFonts w:hint="eastAsia" w:ascii="宋体" w:hAnsi="宋体" w:cs="宋体"/>
          <w:color w:val="auto"/>
          <w:sz w:val="24"/>
          <w:highlight w:val="none"/>
          <w:lang w:eastAsia="zh-CN"/>
        </w:rPr>
        <w:t>。</w:t>
      </w:r>
    </w:p>
    <w:p w14:paraId="20F4303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①在合同执行过程中如出现合同违约、达不到采购人对成交供应商的考核标准或出现食品安全卫生问题或出现违法违规、转租转包、擅自调价或不服从管理等行为的，服务立即终止，本项目终止。</w:t>
      </w:r>
    </w:p>
    <w:p w14:paraId="3F8511DF">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②在合同执行过程中如受到采购方实际工作调整或政策性因素影响导致不能继续履行合同的，采购人可根据《中华人民共和国政府采购法》第五十条规定保留变更、中止、终止服务合同的权利，成交供应商不得以任何理由向采购人提出续签、索赔等申请。</w:t>
      </w:r>
    </w:p>
    <w:p w14:paraId="1D4960FB">
      <w:pPr>
        <w:spacing w:line="43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（2）应急配送时间要求：根据学校实际需求制定供货方案，如发生紧急调货、补货时（除无法抗拒的自然因素外）保证1小时内配送到学校。</w:t>
      </w:r>
    </w:p>
    <w:p w14:paraId="11E0336F">
      <w:pPr>
        <w:spacing w:line="43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（3）具有完整的配送及售后服务体系，提供</w:t>
      </w:r>
      <w:r>
        <w:rPr>
          <w:rFonts w:ascii="宋体" w:hAnsi="宋体"/>
          <w:color w:val="auto"/>
          <w:sz w:val="24"/>
          <w:highlight w:val="none"/>
        </w:rPr>
        <w:t>24</w:t>
      </w:r>
      <w:r>
        <w:rPr>
          <w:rFonts w:hint="eastAsia" w:ascii="宋体" w:hAnsi="宋体"/>
          <w:color w:val="auto"/>
          <w:sz w:val="24"/>
          <w:highlight w:val="none"/>
        </w:rPr>
        <w:t>小时畅通的电话或手机，若出现产品配送、质量、安全等问题，在接到采购人电话后应立即响应，1小时内到达现场处理，3小时内解决问题，并承担因此产生的一切费用和责任。</w:t>
      </w:r>
    </w:p>
    <w:p w14:paraId="4F530504">
      <w:pPr>
        <w:spacing w:line="43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val="en-US" w:eastAsia="zh-CN"/>
        </w:rPr>
        <w:t>八、</w:t>
      </w:r>
      <w:r>
        <w:rPr>
          <w:rFonts w:hint="eastAsia" w:ascii="宋体" w:hAnsi="宋体"/>
          <w:b/>
          <w:color w:val="auto"/>
          <w:sz w:val="24"/>
          <w:highlight w:val="none"/>
        </w:rPr>
        <w:t>的验收标准：</w:t>
      </w:r>
    </w:p>
    <w:p w14:paraId="3167D4E0">
      <w:pPr>
        <w:pStyle w:val="28"/>
        <w:autoSpaceDE/>
        <w:autoSpaceDN/>
        <w:adjustRightInd/>
        <w:spacing w:line="430" w:lineRule="exact"/>
        <w:ind w:firstLine="480" w:firstLineChars="200"/>
        <w:rPr>
          <w:rFonts w:hint="eastAsia" w:hAnsi="宋体"/>
          <w:color w:val="auto"/>
          <w:sz w:val="24"/>
          <w:szCs w:val="24"/>
          <w:highlight w:val="none"/>
        </w:rPr>
      </w:pPr>
      <w:r>
        <w:rPr>
          <w:rFonts w:hint="eastAsia" w:hAnsi="宋体"/>
          <w:color w:val="auto"/>
          <w:sz w:val="24"/>
          <w:szCs w:val="24"/>
          <w:highlight w:val="none"/>
        </w:rPr>
        <w:t>1.项目实施过程由采购人组织相关单位人员根据合同、竞争性磋商文件和响应文件负责组织验收。</w:t>
      </w:r>
    </w:p>
    <w:p w14:paraId="0C4302F3">
      <w:pPr>
        <w:pStyle w:val="28"/>
        <w:autoSpaceDE/>
        <w:autoSpaceDN/>
        <w:adjustRightInd/>
        <w:spacing w:line="430" w:lineRule="exact"/>
        <w:ind w:firstLine="480" w:firstLineChars="200"/>
        <w:rPr>
          <w:rFonts w:hint="eastAsia" w:hAnsi="宋体"/>
          <w:color w:val="auto"/>
          <w:sz w:val="24"/>
          <w:szCs w:val="24"/>
          <w:highlight w:val="none"/>
        </w:rPr>
      </w:pPr>
      <w:r>
        <w:rPr>
          <w:rFonts w:hint="eastAsia" w:hAnsi="宋体"/>
          <w:color w:val="auto"/>
          <w:sz w:val="24"/>
          <w:szCs w:val="24"/>
          <w:highlight w:val="none"/>
        </w:rPr>
        <w:t>2.每次供货需提供产品合格证（检测证明）复印件并签字，食品检验为合格，采购人将长期所供应物资质检报告及食品检验票证保存备查。</w:t>
      </w:r>
    </w:p>
    <w:p w14:paraId="75D3494F">
      <w:pPr>
        <w:pStyle w:val="28"/>
        <w:autoSpaceDE/>
        <w:autoSpaceDN/>
        <w:adjustRightInd/>
        <w:spacing w:line="430" w:lineRule="exact"/>
        <w:ind w:firstLine="480" w:firstLineChars="200"/>
        <w:rPr>
          <w:rFonts w:hint="eastAsia" w:hAnsi="宋体"/>
          <w:color w:val="auto"/>
          <w:sz w:val="24"/>
          <w:szCs w:val="24"/>
          <w:highlight w:val="none"/>
        </w:rPr>
      </w:pPr>
      <w:r>
        <w:rPr>
          <w:rFonts w:hint="eastAsia" w:hAnsi="宋体"/>
          <w:color w:val="auto"/>
          <w:sz w:val="24"/>
          <w:szCs w:val="24"/>
          <w:highlight w:val="none"/>
        </w:rPr>
        <w:t>3.由采购人及供货方每天对所供货物的数量、质量、单价进行验收。</w:t>
      </w:r>
    </w:p>
    <w:p w14:paraId="6A3A8EF5">
      <w:pPr>
        <w:pStyle w:val="28"/>
        <w:autoSpaceDE/>
        <w:autoSpaceDN/>
        <w:adjustRightInd/>
        <w:spacing w:line="430" w:lineRule="exact"/>
        <w:ind w:firstLine="480" w:firstLineChars="200"/>
        <w:rPr>
          <w:rFonts w:hint="eastAsia" w:hAnsi="宋体"/>
          <w:color w:val="auto"/>
          <w:sz w:val="24"/>
          <w:szCs w:val="24"/>
          <w:highlight w:val="none"/>
        </w:rPr>
      </w:pPr>
      <w:r>
        <w:rPr>
          <w:rFonts w:hint="eastAsia" w:hAnsi="宋体"/>
          <w:color w:val="auto"/>
          <w:sz w:val="24"/>
          <w:szCs w:val="24"/>
          <w:highlight w:val="none"/>
        </w:rPr>
        <w:t>4.采购人有权对供应商所供食品（原材料）委托相关职能部门进行不定期抽检，若所供食品（原材料）抽检结果判定为不合格的，视为违约，采购人有权单方面解除合同，并要求供货方承担相应的违约金。</w:t>
      </w:r>
    </w:p>
    <w:p w14:paraId="08A0D894">
      <w:pPr>
        <w:spacing w:line="430" w:lineRule="exact"/>
        <w:ind w:firstLine="480" w:firstLineChars="200"/>
        <w:rPr>
          <w:rFonts w:hint="eastAsia" w:ascii="宋体" w:hAnsi="宋体" w:cs="宋体"/>
          <w:color w:val="auto"/>
          <w:sz w:val="24"/>
          <w:highlight w:val="none"/>
        </w:rPr>
      </w:pPr>
      <w:r>
        <w:rPr>
          <w:rFonts w:hint="eastAsia" w:ascii="宋体" w:hAnsi="宋体"/>
          <w:color w:val="auto"/>
          <w:sz w:val="24"/>
          <w:highlight w:val="none"/>
        </w:rPr>
        <w:t>5.供货方按招标要求，提供新鲜、优质并符合中华人民共和国有关质量标准及卫生标准。确保其供应的货物质量达到合同买方要求，如不能满足采购方要求，则采购方有权向供货方提出退换或索赔的要求，情节严重的提前终止年度采购合同，并承担相应经济及法律责任。</w:t>
      </w:r>
    </w:p>
    <w:p w14:paraId="34BF0760">
      <w:pPr>
        <w:spacing w:line="43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九、</w:t>
      </w:r>
      <w:r>
        <w:rPr>
          <w:rFonts w:hint="eastAsia" w:ascii="宋体" w:hAnsi="宋体"/>
          <w:b/>
          <w:color w:val="auto"/>
          <w:sz w:val="24"/>
          <w:highlight w:val="none"/>
        </w:rPr>
        <w:t>其他技术、服务等要求：</w:t>
      </w:r>
    </w:p>
    <w:p w14:paraId="33B1E1F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1.供货要求</w:t>
      </w:r>
    </w:p>
    <w:p w14:paraId="78C5D0A8">
      <w:pPr>
        <w:spacing w:line="43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（1）根据学校实际需求制定供货方案，如发生紧急调货、补货时（除无法抗拒的自然因素外）保证1小时内配送到学校。</w:t>
      </w:r>
    </w:p>
    <w:p w14:paraId="2EFDA563">
      <w:pPr>
        <w:spacing w:line="43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（2）无条件更换运输过程中破损产品，所需费用由成交单位自行承担。</w:t>
      </w:r>
    </w:p>
    <w:p w14:paraId="2D538779">
      <w:pPr>
        <w:spacing w:line="43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（3）货物的标签标识内容必须真实，符合国家法律法规规定，并符合相应产品(标签)标准的要求，标明产品名称、厂名、厂址、配料表、生产日期、保质期等。</w:t>
      </w:r>
    </w:p>
    <w:p w14:paraId="54FC74AF">
      <w:pPr>
        <w:spacing w:line="43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（4）成交人必须使用专用车辆配送，禁止运输其他任何货物，并定期对车辆清洁消毒。运输时应有效避免日晒、雨淋。禁止与有毒、有害、有异味的物品混装配送，配送期间不得有污染事故发生。</w:t>
      </w:r>
    </w:p>
    <w:p w14:paraId="726CC0B2">
      <w:pPr>
        <w:spacing w:line="43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（5）须安排责任心强、工作认真负责、身心健康的人员随车配送，做到专人专车配送。配送人员必须保证24小时通讯畅通，配送人员必须持有健康证。</w:t>
      </w:r>
    </w:p>
    <w:p w14:paraId="5D27AE56">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2.其他要求</w:t>
      </w:r>
    </w:p>
    <w:p w14:paraId="0BED8868">
      <w:pPr>
        <w:pStyle w:val="28"/>
        <w:autoSpaceDE/>
        <w:autoSpaceDN/>
        <w:adjustRightInd/>
        <w:spacing w:line="420" w:lineRule="exact"/>
        <w:ind w:firstLine="480" w:firstLineChars="200"/>
        <w:jc w:val="both"/>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）因食品质量、安全、卫生等问题发生退货或被食品安全执法部门处理等情形造成的经济损失由成交方全额负责。</w:t>
      </w:r>
    </w:p>
    <w:p w14:paraId="368D7D7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）每次配送到学校的产品必须免费向学校提供留样1份，并完善留样相关记录。 </w:t>
      </w:r>
    </w:p>
    <w:p w14:paraId="67A9AF8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）付款方式、结算价格、结算方式：</w:t>
      </w:r>
    </w:p>
    <w:p w14:paraId="002FFE66">
      <w:pPr>
        <w:spacing w:line="440" w:lineRule="exact"/>
        <w:ind w:firstLine="720" w:firstLineChars="300"/>
        <w:rPr>
          <w:rFonts w:hint="eastAsia" w:ascii="宋体" w:hAnsi="宋体" w:cs="宋体"/>
          <w:b/>
          <w:color w:val="auto"/>
          <w:sz w:val="24"/>
          <w:highlight w:val="none"/>
        </w:rPr>
      </w:pPr>
      <w:r>
        <w:rPr>
          <w:rFonts w:hint="eastAsia" w:ascii="宋体" w:hAnsi="宋体"/>
          <w:bCs/>
          <w:color w:val="auto"/>
          <w:sz w:val="24"/>
          <w:highlight w:val="none"/>
        </w:rPr>
        <w:t>①</w:t>
      </w:r>
      <w:r>
        <w:rPr>
          <w:rFonts w:hint="eastAsia" w:ascii="宋体" w:hAnsi="宋体" w:cs="宋体"/>
          <w:color w:val="auto"/>
          <w:sz w:val="24"/>
          <w:highlight w:val="none"/>
        </w:rPr>
        <w:t>付款方式：</w:t>
      </w:r>
      <w:r>
        <w:rPr>
          <w:rFonts w:hint="eastAsia" w:ascii="宋体" w:hAnsi="宋体"/>
          <w:b/>
          <w:bCs w:val="0"/>
          <w:color w:val="auto"/>
          <w:sz w:val="24"/>
          <w:highlight w:val="none"/>
        </w:rPr>
        <w:t>本次采购数量以实际供货量为准，结算时以实际供货量进行结算。</w:t>
      </w:r>
      <w:r>
        <w:rPr>
          <w:rFonts w:hint="eastAsia" w:hAnsi="宋体"/>
          <w:b/>
          <w:bCs w:val="0"/>
          <w:color w:val="auto"/>
          <w:sz w:val="24"/>
          <w:highlight w:val="none"/>
        </w:rPr>
        <w:t>甲、乙双方根据实际情况，</w:t>
      </w:r>
      <w:r>
        <w:rPr>
          <w:rFonts w:hint="eastAsia" w:hAnsi="宋体"/>
          <w:b/>
          <w:color w:val="auto"/>
          <w:sz w:val="24"/>
          <w:highlight w:val="none"/>
        </w:rPr>
        <w:t>在供货产品验收及使用合格后采用按日核算（</w:t>
      </w:r>
      <w:r>
        <w:rPr>
          <w:rFonts w:hint="eastAsia" w:ascii="宋体" w:hAnsi="宋体" w:cs="宋体"/>
          <w:b/>
          <w:color w:val="auto"/>
          <w:sz w:val="24"/>
          <w:highlight w:val="none"/>
        </w:rPr>
        <w:t>每</w:t>
      </w:r>
    </w:p>
    <w:p w14:paraId="7F4BD5DD">
      <w:pPr>
        <w:spacing w:line="440" w:lineRule="exact"/>
        <w:rPr>
          <w:rFonts w:hint="eastAsia" w:ascii="宋体" w:hAnsi="宋体"/>
          <w:bCs/>
          <w:color w:val="auto"/>
          <w:sz w:val="24"/>
          <w:highlight w:val="none"/>
        </w:rPr>
      </w:pPr>
      <w:r>
        <w:rPr>
          <w:rFonts w:hint="eastAsia" w:ascii="宋体" w:hAnsi="宋体" w:cs="宋体"/>
          <w:b/>
          <w:color w:val="auto"/>
          <w:sz w:val="24"/>
          <w:highlight w:val="none"/>
        </w:rPr>
        <w:t>日提供货品签单，包括所供货物的数量、单价</w:t>
      </w:r>
      <w:r>
        <w:rPr>
          <w:rFonts w:hint="eastAsia" w:hAnsi="宋体"/>
          <w:b/>
          <w:color w:val="auto"/>
          <w:sz w:val="24"/>
          <w:highlight w:val="none"/>
        </w:rPr>
        <w:t>）、按月结算</w:t>
      </w:r>
      <w:r>
        <w:rPr>
          <w:rFonts w:hint="eastAsia" w:hAnsi="宋体"/>
          <w:bCs/>
          <w:color w:val="auto"/>
          <w:sz w:val="24"/>
          <w:highlight w:val="none"/>
        </w:rPr>
        <w:t>，每月由乙方按照验收结算情况提供足额发票，经甲方核对无误后，</w:t>
      </w:r>
      <w:r>
        <w:rPr>
          <w:rFonts w:hint="eastAsia" w:ascii="宋体" w:hAnsi="宋体"/>
          <w:bCs/>
          <w:color w:val="auto"/>
          <w:sz w:val="24"/>
          <w:highlight w:val="none"/>
        </w:rPr>
        <w:t>由甲方在一个月内对公转账支付给乙方。因乙方提供发票或材料不符合财务制度要求及甲方正常审批程序未完成导致延迟付款的，不属于违约行为。</w:t>
      </w:r>
    </w:p>
    <w:p w14:paraId="6B8645ED">
      <w:pPr>
        <w:pStyle w:val="28"/>
        <w:autoSpaceDE/>
        <w:autoSpaceDN/>
        <w:adjustRightInd/>
        <w:spacing w:line="440" w:lineRule="exact"/>
        <w:ind w:firstLine="480" w:firstLineChars="200"/>
        <w:rPr>
          <w:rFonts w:hint="eastAsia" w:hAnsi="宋体" w:cs="宋体"/>
          <w:color w:val="auto"/>
          <w:sz w:val="24"/>
          <w:szCs w:val="24"/>
          <w:highlight w:val="none"/>
        </w:rPr>
      </w:pPr>
      <w:r>
        <w:rPr>
          <w:rFonts w:hint="eastAsia" w:hAnsi="宋体"/>
          <w:bCs/>
          <w:color w:val="auto"/>
          <w:sz w:val="24"/>
          <w:szCs w:val="24"/>
          <w:highlight w:val="none"/>
        </w:rPr>
        <w:t>②结算价格：基准价×成交折扣率后的价格作为供货价格（供货价格采用四舍五入的方法，保留到角），结算金额以实际供货情况进行结算。</w:t>
      </w:r>
    </w:p>
    <w:p w14:paraId="2347A62F">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结算方式：基准价×成交折扣率后的价格作为供货价格（供货价格采用四舍五入的方法，保留到角）；货物验收合格后，乙方向甲方开具符合国家税务规定使用的正式发票，凭学校签盖的“货物验收单”，每月15日之前（国家法定节假日顺延）按实际配送量结算上月货款。</w:t>
      </w:r>
    </w:p>
    <w:p w14:paraId="0747BEF6">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应急处置要求：因成交单位所供食品（食材）发生质量安全事故时，必须立即派专人到学校配合相关部门进行现场处置，做好学生及家长安抚工作，必要时及时送往医院进行救治，并承担所产生的一切费用。因质量问题给学生造成身体伤害及经济损失时，由成交人赔偿由此发生的一切经济损失及承担全部法律责任。</w:t>
      </w:r>
    </w:p>
    <w:p w14:paraId="1FD3B17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对提供的食品及原料因假冒伪劣、腐烂变质、过期等导致园方就餐人员食物中毒或损害健康的，经有关法定检测机构鉴定确为食品质量原因引起的，成交单位必须承担相应法律责任和赔偿责任，由此产生的一切后果（含经济及法律后果）均由成交单位承担。</w:t>
      </w:r>
    </w:p>
    <w:p w14:paraId="36472CA1">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）成交单位须按采购人有关要求按时、按质、按量将所订购的食品、食材送达，如遇不可抗力导致不能送达，成交单位需在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小时内通知学校，以便学校及时解决食品供应问题。非不可抗力因素导致食品不能送达的，由成交单位承担学校相应损失。</w:t>
      </w:r>
    </w:p>
    <w:p w14:paraId="6B0FC6B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）成交单位员工在配送食品过程中遭遇意外事故（含第三人侵害、交通事故、工伤及其他不可抗因素等）造成经济损失或人员伤亡的，由成交单位自行承担所有后果，采购人不承担任何责任。</w:t>
      </w:r>
    </w:p>
    <w:p w14:paraId="4C91FF4A">
      <w:pPr>
        <w:rPr>
          <w:color w:val="auto"/>
          <w:highlight w:val="none"/>
        </w:rPr>
      </w:pPr>
    </w:p>
    <w:p w14:paraId="49551CF0">
      <w:pPr>
        <w:shd w:val="clear" w:color="auto" w:fill="FFFFFF"/>
        <w:adjustRightInd w:val="0"/>
        <w:snapToGrid w:val="0"/>
        <w:spacing w:line="360" w:lineRule="auto"/>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十、乙方售后服务联系人、联系地址、联系电话：</w:t>
      </w:r>
    </w:p>
    <w:p w14:paraId="6F88D65C">
      <w:pPr>
        <w:shd w:val="clear" w:color="auto" w:fill="FFFFFF"/>
        <w:adjustRightInd w:val="0"/>
        <w:snapToGrid w:val="0"/>
        <w:spacing w:line="360" w:lineRule="auto"/>
        <w:ind w:firstLine="470" w:firstLineChars="196"/>
        <w:jc w:val="left"/>
        <w:rPr>
          <w:rFonts w:ascii="宋体" w:hAnsi="宋体" w:cs="宋体"/>
          <w:bCs/>
          <w:color w:val="auto"/>
          <w:sz w:val="24"/>
          <w:highlight w:val="none"/>
        </w:rPr>
      </w:pPr>
      <w:r>
        <w:rPr>
          <w:rFonts w:hint="eastAsia" w:ascii="宋体" w:hAnsi="宋体" w:cs="宋体"/>
          <w:color w:val="auto"/>
          <w:sz w:val="24"/>
          <w:highlight w:val="none"/>
        </w:rPr>
        <w:t>乙方售后服务联系人：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8B298FE">
      <w:pPr>
        <w:shd w:val="clear" w:color="auto" w:fill="FFFFFF"/>
        <w:adjustRightInd w:val="0"/>
        <w:snapToGrid w:val="0"/>
        <w:spacing w:line="360" w:lineRule="auto"/>
        <w:ind w:firstLine="472" w:firstLineChars="196"/>
        <w:jc w:val="left"/>
        <w:rPr>
          <w:rFonts w:ascii="宋体" w:hAnsi="宋体" w:cs="宋体"/>
          <w:bCs/>
          <w:color w:val="auto"/>
          <w:sz w:val="24"/>
          <w:highlight w:val="none"/>
        </w:rPr>
      </w:pPr>
      <w:r>
        <w:rPr>
          <w:rFonts w:hint="eastAsia" w:ascii="宋体" w:hAnsi="宋体" w:cs="宋体"/>
          <w:b/>
          <w:bCs/>
          <w:color w:val="auto"/>
          <w:sz w:val="24"/>
          <w:highlight w:val="none"/>
        </w:rPr>
        <w:t>十一、其他事宜约定</w:t>
      </w:r>
    </w:p>
    <w:p w14:paraId="3AFA001B">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 凡有下列情形之一的，终止乙方食品配送合同；</w:t>
      </w:r>
    </w:p>
    <w:p w14:paraId="03CB7A8B">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1.违反食品安全法律法规，被质检、工商、农业等部门处罚的；违反相关法律法规，被登记机关处罚的；因违法犯罪行为被追究刑事责任的。</w:t>
      </w:r>
    </w:p>
    <w:p w14:paraId="5C485E07">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2.导致食物中毒或发生食品安全事故的；</w:t>
      </w:r>
    </w:p>
    <w:p w14:paraId="1B27FA87">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3.擅自提高价格、私自串换供应品牌、厂家及包装、擅自更换履约人等其他违约或违反法律法规的；</w:t>
      </w:r>
    </w:p>
    <w:p w14:paraId="383A13B7">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4.供货期间存在克扣、减量、服务态度恶劣、故意延时、拒绝供货等行为，情节较为严重的；</w:t>
      </w:r>
    </w:p>
    <w:p w14:paraId="0AF150A2">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5.因供货有关问题造成重大社会不良影响的；</w:t>
      </w:r>
    </w:p>
    <w:p w14:paraId="1A59DAB7">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6.学校或相关部门在供货期内抽检不合格的；</w:t>
      </w:r>
    </w:p>
    <w:p w14:paraId="78726063">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7.其他违反国家法律法规的行为。</w:t>
      </w:r>
    </w:p>
    <w:p w14:paraId="150C81B8">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w:t>
      </w:r>
      <w:bookmarkStart w:id="1058" w:name="_Hlk157215749"/>
      <w:r>
        <w:rPr>
          <w:rFonts w:hint="eastAsia" w:ascii="宋体" w:hAnsi="宋体" w:cs="宋体"/>
          <w:color w:val="auto"/>
          <w:sz w:val="24"/>
          <w:highlight w:val="none"/>
        </w:rPr>
        <w:t>合同履行期间</w:t>
      </w:r>
      <w:bookmarkEnd w:id="1058"/>
      <w:r>
        <w:rPr>
          <w:rFonts w:hint="eastAsia" w:ascii="宋体" w:hAnsi="宋体" w:cs="宋体"/>
          <w:color w:val="auto"/>
          <w:sz w:val="24"/>
          <w:highlight w:val="none"/>
        </w:rPr>
        <w:t>，①合同履行期限截止前合同结算金额达到本项目最高限价，则合同终止；②因相关政策变动或上级部门对项目执行方式进行调整，致使合同不能继续履行的，视为不可抗力，采购人有权终止合同，供应商不得向采购人提出任何赔偿要求。</w:t>
      </w:r>
    </w:p>
    <w:p w14:paraId="28417E7B">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 如一旦有构成不可抗力的事件发生， 且签约方被认为无力履行全部或部分合同中规定的职责，签约方需以书面形式提前一个月通知甲方告知有关细节。</w:t>
      </w:r>
    </w:p>
    <w:p w14:paraId="3C2D7CCC">
      <w:pPr>
        <w:shd w:val="clear" w:color="auto" w:fill="FFFFFF"/>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因政策或资金拨付等原因，采购人可无责终止合同或变更合同，变更合同的，由双方共同签署补充协议。</w:t>
      </w:r>
    </w:p>
    <w:p w14:paraId="5873F063">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二、乙方不得向第三方转让整个或部分合同，如发生此类情形，甲方有权取消合同，所造成的全部损失（包括人身和资金等）由乙方全部承担。本合同在履行过程中发生争议，甲、乙双方协商解决，如协商不成，则向甲方所在地呈贡区人民法院提起诉讼决解，各方均应当忠实履行法庭的裁决。</w:t>
      </w:r>
    </w:p>
    <w:p w14:paraId="5D8AFF3E">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十三、本合同其他未尽事宜，按《中华人民共和国民法典》有关规定处理。</w:t>
      </w:r>
    </w:p>
    <w:p w14:paraId="744705D3">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十四、本合同一式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份，采购代理机构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p>
    <w:p w14:paraId="08986485">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十五、本合同自签订双方法定代表人或委托代表人签字并加盖公章之日起生效。</w:t>
      </w:r>
    </w:p>
    <w:p w14:paraId="7A264675">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十六、本合同不可分割之部分。</w:t>
      </w:r>
    </w:p>
    <w:p w14:paraId="5E0C8794">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w:t>
      </w:r>
    </w:p>
    <w:p w14:paraId="62A0E6D2">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2.中标人投标文件及澄清；</w:t>
      </w:r>
    </w:p>
    <w:p w14:paraId="2C8BB45A">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3.中标通知书；</w:t>
      </w:r>
    </w:p>
    <w:p w14:paraId="61EE0B3D">
      <w:pPr>
        <w:shd w:val="clear" w:color="auto" w:fill="FFFFFF"/>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4.合同书附件。</w:t>
      </w:r>
    </w:p>
    <w:p w14:paraId="20548C03">
      <w:pPr>
        <w:pStyle w:val="14"/>
        <w:ind w:firstLine="400"/>
        <w:rPr>
          <w:color w:val="auto"/>
          <w:highlight w:val="none"/>
        </w:rPr>
      </w:pPr>
    </w:p>
    <w:p w14:paraId="66350B81">
      <w:pPr>
        <w:spacing w:line="324" w:lineRule="auto"/>
        <w:ind w:firstLine="412"/>
        <w:jc w:val="left"/>
        <w:rPr>
          <w:rFonts w:ascii="宋体" w:hAnsi="宋体"/>
          <w:color w:val="auto"/>
          <w:highlight w:val="none"/>
        </w:rPr>
      </w:pPr>
      <w:r>
        <w:rPr>
          <w:rFonts w:hint="eastAsia" w:ascii="宋体" w:hAnsi="宋体"/>
          <w:b/>
          <w:color w:val="auto"/>
          <w:sz w:val="24"/>
          <w:highlight w:val="none"/>
        </w:rPr>
        <w:t>（注：本章协议条款及格式仅作为参考，本章节中未明确内容将在协议谈判中明确，涉及专业术语根据实际情况调整，采购人保留最终修订合同的权利，最终本合同以实际签订为准。）</w:t>
      </w:r>
    </w:p>
    <w:p w14:paraId="29FA8AE5">
      <w:pPr>
        <w:spacing w:line="60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食 品 质 量 保 证 协 议</w:t>
      </w:r>
    </w:p>
    <w:p w14:paraId="469B306B">
      <w:pPr>
        <w:spacing w:line="600" w:lineRule="exact"/>
        <w:jc w:val="center"/>
        <w:rPr>
          <w:rFonts w:hint="eastAsia" w:ascii="宋体" w:hAnsi="宋体"/>
          <w:b/>
          <w:color w:val="auto"/>
          <w:sz w:val="28"/>
          <w:szCs w:val="36"/>
          <w:highlight w:val="none"/>
        </w:rPr>
      </w:pPr>
      <w:r>
        <w:rPr>
          <w:rFonts w:hint="eastAsia" w:ascii="宋体" w:hAnsi="宋体"/>
          <w:b/>
          <w:color w:val="auto"/>
          <w:sz w:val="28"/>
          <w:szCs w:val="36"/>
          <w:highlight w:val="none"/>
        </w:rPr>
        <w:t>（本协议内容仅供参考，甲乙双方可根据国家相关法律法规及本项目的情况另行约定）</w:t>
      </w:r>
    </w:p>
    <w:p w14:paraId="54E72C93">
      <w:pPr>
        <w:spacing w:line="600" w:lineRule="exact"/>
        <w:ind w:firstLine="480" w:firstLineChars="200"/>
        <w:rPr>
          <w:rFonts w:ascii="宋体" w:hAnsi="宋体"/>
          <w:b/>
          <w:color w:val="auto"/>
          <w:sz w:val="36"/>
          <w:szCs w:val="36"/>
          <w:highlight w:val="none"/>
        </w:rPr>
      </w:pPr>
      <w:r>
        <w:rPr>
          <w:rFonts w:hint="eastAsia" w:ascii="宋体" w:hAnsi="宋体"/>
          <w:color w:val="auto"/>
          <w:sz w:val="24"/>
          <w:highlight w:val="none"/>
        </w:rPr>
        <w:t>甲方：</w:t>
      </w:r>
    </w:p>
    <w:p w14:paraId="34AA3A17">
      <w:pPr>
        <w:pStyle w:val="1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乙方：</w:t>
      </w:r>
    </w:p>
    <w:p w14:paraId="214B62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鉴于甲乙双方合作关系，并于以后更好的合作、承担品质风险，本着相互信任、平等、互惠互利、风险共担、共同发展的原则，甲乙双方经过友好协商，达成以下协议：</w:t>
      </w:r>
    </w:p>
    <w:p w14:paraId="4C8D9184">
      <w:pPr>
        <w:numPr>
          <w:ilvl w:val="0"/>
          <w:numId w:val="2"/>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乙方在签订合同时须向甲方提供食品安全保证承诺书，并向甲方提供生产许可证、卫生许可证、食品经营许可证、检验报告、销售（配送）人员的姓名、电话、身份证和健康证复印件等材料。</w:t>
      </w:r>
    </w:p>
    <w:p w14:paraId="1FB921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2.食品安全保证承诺书是用于督促乙方食品食品安全、质量及积极配合甲方处理品质问题，并承担因乙方产品责任造成的甲方食品安全事故。具体乙方保证产品质量责任如下：</w:t>
      </w:r>
    </w:p>
    <w:p w14:paraId="221402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乙方所供产品须严格执行各项国家法律、法规、规章的规定和强制性标准的要求，所供应甲方的产品须为最近日期生产的产品，生产期限不得超过保质期三分之一，不得为临期产品。乙方承担违反法律、法规、规章的规定所产生的一切后果。</w:t>
      </w:r>
    </w:p>
    <w:p w14:paraId="3FD92F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乙方保证提供的产品质量符合国家有关产品标准、卫生规范的要求，不含有塑化剂，不违规使用添加剂，不过量使用添加剂、不使用含塑化剂的包装材料或其它虽没命令禁止但有可能影响学生身心健康的材料。</w:t>
      </w:r>
    </w:p>
    <w:p w14:paraId="77A04A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C：乙方保证严格控制原料采购、生产加工、储藏和销售过程，保证杜绝使用含有塑化剂、苏丹红等国家禁止添加的的不合格原材料其它虽没命令禁止但有可能影响学生身心健康的材料。如甲方在验收货物</w:t>
      </w:r>
    </w:p>
    <w:p w14:paraId="148065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乙方所提供的产品缺货、少货、供错货时，在确保供餐不受影响的前提下，应在1小时内完成补、换货(不可抗拒因素除外。经甲方验收不合格或乙方按甲方指定学校的订货时间和需求按时提供相应产品，因客观原因无法按时提供的，应在第一时间告知甲方和学校，为确保供餐不受影响，甲方和学校可自行到市场采购符合要求的产品，采购费用由乙方支付。</w:t>
      </w:r>
    </w:p>
    <w:p w14:paraId="5D4196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乙方同甲方合作期间，如发生乙方拒绝承担已明确是因乙方责任造成甲方损失的情形，甲方可视甲方实际损失扣除已产生但尚未支付的货款，同时甲方有权因此终止所有双方的合作协议，直至追回甲方的损失。</w:t>
      </w:r>
    </w:p>
    <w:p w14:paraId="06D115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F：因食品质量、卫生等问题及运输过程造成的食品安全事故，乙方须积极配合处理，并承担一切经济和法律责任。</w:t>
      </w:r>
    </w:p>
    <w:p w14:paraId="3AC62E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G：其他应由乙方保证的产品质量责任。</w:t>
      </w:r>
    </w:p>
    <w:p w14:paraId="4191B8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食品安全保证承诺书不能豁免乙方交货后的品质责任，当由于乙方品质、安全等问题导致的损失时（含直接损失和间接损失），甲方有权拒绝支付已产生但尚未支付的货款，此外乙方还须承担超过拒绝支付货款金额的全部损失，同时赔偿给甲方造成的直接和间接损失，包括律师费、诉讼费、保全费、保险费、检验费、鉴定费等维权合理费用。</w:t>
      </w:r>
    </w:p>
    <w:p w14:paraId="0D099D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4.当乙方采用已产生但尚未支付的货款弥补甲方的损失时，需出具情况说明书，并需在一周内及时补足超出部分，否则甲方有权终止双方合作，所有损失全部由乙方承担（包括直接损失和间接损失）</w:t>
      </w:r>
    </w:p>
    <w:p w14:paraId="7C9D03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5.本协议经双方法定代表人（负责人）或授权代表签字且加盖双方公章后生效，双方履行完协议约定的工作后合同宣告终止。</w:t>
      </w:r>
    </w:p>
    <w:p w14:paraId="28304C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6.双方产生的一切争议由双方友好协商解决，协商解决不成的，双方应将争议提交甲方所在地人民法院裁决。</w:t>
      </w:r>
    </w:p>
    <w:p w14:paraId="4933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7.本协议解释权属甲方。</w:t>
      </w:r>
    </w:p>
    <w:p w14:paraId="54D90B30">
      <w:pPr>
        <w:pStyle w:val="14"/>
        <w:spacing w:line="360" w:lineRule="auto"/>
        <w:ind w:firstLine="480"/>
        <w:rPr>
          <w:rFonts w:ascii="宋体" w:hAnsi="宋体"/>
          <w:color w:val="auto"/>
          <w:sz w:val="24"/>
          <w:szCs w:val="24"/>
          <w:highlight w:val="none"/>
        </w:rPr>
      </w:pPr>
    </w:p>
    <w:p w14:paraId="17B32AE1">
      <w:pPr>
        <w:pStyle w:val="1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采购单位（甲方）签章                </w:t>
      </w:r>
      <w:r>
        <w:rPr>
          <w:rFonts w:ascii="宋体" w:hAnsi="宋体"/>
          <w:color w:val="auto"/>
          <w:sz w:val="24"/>
          <w:szCs w:val="24"/>
          <w:highlight w:val="none"/>
        </w:rPr>
        <w:t xml:space="preserve"> </w:t>
      </w:r>
      <w:r>
        <w:rPr>
          <w:rFonts w:hint="eastAsia" w:ascii="宋体" w:hAnsi="宋体"/>
          <w:color w:val="auto"/>
          <w:sz w:val="24"/>
          <w:szCs w:val="24"/>
          <w:highlight w:val="none"/>
        </w:rPr>
        <w:t>中标单位（乙方）签章</w:t>
      </w:r>
    </w:p>
    <w:p w14:paraId="292A1FCE">
      <w:pPr>
        <w:pStyle w:val="1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甲方单位代表人：                    </w:t>
      </w:r>
      <w:r>
        <w:rPr>
          <w:rFonts w:ascii="宋体" w:hAnsi="宋体"/>
          <w:color w:val="auto"/>
          <w:sz w:val="24"/>
          <w:szCs w:val="24"/>
          <w:highlight w:val="none"/>
        </w:rPr>
        <w:t xml:space="preserve"> </w:t>
      </w:r>
      <w:r>
        <w:rPr>
          <w:rFonts w:hint="eastAsia" w:ascii="宋体" w:hAnsi="宋体"/>
          <w:color w:val="auto"/>
          <w:sz w:val="24"/>
          <w:szCs w:val="24"/>
          <w:highlight w:val="none"/>
        </w:rPr>
        <w:t>乙方单位法定代表人：</w:t>
      </w:r>
    </w:p>
    <w:p w14:paraId="4E4F59CC">
      <w:pPr>
        <w:pStyle w:val="1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联系电话：                    </w:t>
      </w:r>
      <w:r>
        <w:rPr>
          <w:rFonts w:ascii="宋体" w:hAnsi="宋体"/>
          <w:color w:val="auto"/>
          <w:sz w:val="24"/>
          <w:szCs w:val="24"/>
          <w:highlight w:val="none"/>
        </w:rPr>
        <w:t xml:space="preserve">       </w:t>
      </w:r>
      <w:r>
        <w:rPr>
          <w:rFonts w:hint="eastAsia" w:ascii="宋体" w:hAnsi="宋体"/>
          <w:color w:val="auto"/>
          <w:sz w:val="24"/>
          <w:szCs w:val="24"/>
          <w:highlight w:val="none"/>
        </w:rPr>
        <w:t>联系电话：</w:t>
      </w:r>
    </w:p>
    <w:p w14:paraId="7D03E4A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日 </w:t>
      </w:r>
      <w:r>
        <w:rPr>
          <w:rFonts w:ascii="宋体" w:hAnsi="宋体"/>
          <w:color w:val="auto"/>
          <w:sz w:val="24"/>
          <w:highlight w:val="none"/>
        </w:rPr>
        <w:t xml:space="preserve">   </w:t>
      </w:r>
      <w:r>
        <w:rPr>
          <w:rFonts w:hint="eastAsia" w:ascii="宋体" w:hAnsi="宋体"/>
          <w:color w:val="auto"/>
          <w:sz w:val="24"/>
          <w:highlight w:val="none"/>
        </w:rPr>
        <w:t>期：</w:t>
      </w:r>
    </w:p>
    <w:p w14:paraId="3D26E13C">
      <w:pPr>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br w:type="page"/>
      </w:r>
    </w:p>
    <w:p w14:paraId="28B6A100">
      <w:pPr>
        <w:spacing w:line="360" w:lineRule="auto"/>
        <w:jc w:val="center"/>
        <w:outlineLvl w:val="0"/>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第四章 响应文件格式</w:t>
      </w:r>
      <w:bookmarkEnd w:id="1050"/>
    </w:p>
    <w:p w14:paraId="014B52F2">
      <w:pPr>
        <w:spacing w:line="360" w:lineRule="auto"/>
        <w:jc w:val="center"/>
        <w:rPr>
          <w:rFonts w:hint="eastAsia" w:asciiTheme="minorEastAsia" w:hAnsiTheme="minorEastAsia" w:eastAsiaTheme="minorEastAsia"/>
          <w:color w:val="auto"/>
          <w:sz w:val="24"/>
          <w:szCs w:val="24"/>
          <w:highlight w:val="none"/>
          <w:lang w:eastAsia="zh-CN"/>
        </w:rPr>
      </w:pPr>
      <w:bookmarkStart w:id="1059" w:name="_Hlk521082080"/>
      <w:bookmarkStart w:id="1060" w:name="_Toc381796416"/>
      <w:bookmarkStart w:id="1061" w:name="_Toc292983027"/>
      <w:bookmarkStart w:id="1062" w:name="_Toc292983029"/>
      <w:bookmarkStart w:id="1063" w:name="_Toc381796417"/>
      <w:bookmarkStart w:id="1064" w:name="_Toc186354393"/>
      <w:bookmarkStart w:id="1065" w:name="_Toc84356306"/>
      <w:bookmarkStart w:id="1066" w:name="_Toc42205044"/>
      <w:bookmarkStart w:id="1067" w:name="_Toc265766858"/>
      <w:bookmarkStart w:id="1068" w:name="_Toc14337"/>
      <w:bookmarkStart w:id="1069" w:name="_Toc37603116"/>
      <w:r>
        <w:rPr>
          <w:rFonts w:hint="eastAsia" w:asciiTheme="minorEastAsia" w:hAnsiTheme="minorEastAsia" w:eastAsiaTheme="minorEastAsia"/>
          <w:b/>
          <w:bCs/>
          <w:color w:val="auto"/>
          <w:sz w:val="40"/>
          <w:szCs w:val="40"/>
          <w:highlight w:val="none"/>
          <w:lang w:eastAsia="zh-CN"/>
        </w:rPr>
        <w:t>高新四小食堂物资采购</w:t>
      </w:r>
    </w:p>
    <w:p w14:paraId="41B9CE81">
      <w:pPr>
        <w:spacing w:line="360" w:lineRule="auto"/>
        <w:jc w:val="center"/>
        <w:rPr>
          <w:rFonts w:hint="eastAsia" w:asciiTheme="minorEastAsia" w:hAnsiTheme="minorEastAsia" w:eastAsiaTheme="minorEastAsia"/>
          <w:color w:val="auto"/>
          <w:sz w:val="24"/>
          <w:szCs w:val="24"/>
          <w:highlight w:val="none"/>
        </w:rPr>
      </w:pPr>
    </w:p>
    <w:p w14:paraId="1033F45F">
      <w:pPr>
        <w:spacing w:line="360" w:lineRule="auto"/>
        <w:jc w:val="center"/>
        <w:rPr>
          <w:rFonts w:hint="eastAsia" w:asciiTheme="minorEastAsia" w:hAnsiTheme="minorEastAsia" w:eastAsiaTheme="minorEastAsia"/>
          <w:color w:val="auto"/>
          <w:sz w:val="24"/>
          <w:szCs w:val="24"/>
          <w:highlight w:val="none"/>
        </w:rPr>
      </w:pPr>
    </w:p>
    <w:p w14:paraId="3432A6B8">
      <w:pPr>
        <w:spacing w:line="360" w:lineRule="auto"/>
        <w:jc w:val="center"/>
        <w:rPr>
          <w:rFonts w:hint="eastAsia" w:asciiTheme="minorEastAsia" w:hAnsiTheme="minorEastAsia" w:eastAsiaTheme="minorEastAsia"/>
          <w:color w:val="auto"/>
          <w:sz w:val="24"/>
          <w:szCs w:val="24"/>
          <w:highlight w:val="none"/>
        </w:rPr>
      </w:pPr>
    </w:p>
    <w:p w14:paraId="1632C241">
      <w:pPr>
        <w:spacing w:line="360" w:lineRule="auto"/>
        <w:jc w:val="center"/>
        <w:rPr>
          <w:rFonts w:asciiTheme="minorEastAsia" w:hAnsiTheme="minorEastAsia" w:eastAsiaTheme="minorEastAsia"/>
          <w:color w:val="auto"/>
          <w:sz w:val="24"/>
          <w:szCs w:val="24"/>
          <w:highlight w:val="none"/>
        </w:rPr>
      </w:pPr>
    </w:p>
    <w:p w14:paraId="27870288">
      <w:pPr>
        <w:spacing w:line="360" w:lineRule="auto"/>
        <w:jc w:val="center"/>
        <w:rPr>
          <w:rFonts w:asciiTheme="minorEastAsia" w:hAnsiTheme="minorEastAsia" w:eastAsiaTheme="minorEastAsia"/>
          <w:color w:val="auto"/>
          <w:sz w:val="24"/>
          <w:szCs w:val="24"/>
          <w:highlight w:val="none"/>
        </w:rPr>
      </w:pPr>
    </w:p>
    <w:p w14:paraId="3452F02F">
      <w:pPr>
        <w:spacing w:line="360" w:lineRule="auto"/>
        <w:jc w:val="center"/>
        <w:rPr>
          <w:rFonts w:hint="eastAsia" w:asciiTheme="minorEastAsia" w:hAnsiTheme="minorEastAsia" w:eastAsiaTheme="minorEastAsia"/>
          <w:color w:val="auto"/>
          <w:sz w:val="24"/>
          <w:szCs w:val="24"/>
          <w:highlight w:val="none"/>
        </w:rPr>
      </w:pPr>
    </w:p>
    <w:p w14:paraId="6CD51A3B">
      <w:pPr>
        <w:spacing w:line="360" w:lineRule="auto"/>
        <w:jc w:val="center"/>
        <w:rPr>
          <w:rFonts w:hint="eastAsia" w:asciiTheme="minorEastAsia" w:hAnsiTheme="minorEastAsia" w:eastAsiaTheme="minorEastAsia"/>
          <w:color w:val="auto"/>
          <w:sz w:val="24"/>
          <w:szCs w:val="24"/>
          <w:highlight w:val="none"/>
        </w:rPr>
      </w:pPr>
    </w:p>
    <w:p w14:paraId="465C3D7F">
      <w:pPr>
        <w:pStyle w:val="28"/>
        <w:jc w:val="center"/>
        <w:rPr>
          <w:rFonts w:hint="eastAsia" w:asciiTheme="minorEastAsia" w:hAnsiTheme="minorEastAsia" w:eastAsiaTheme="minorEastAsia"/>
          <w:b/>
          <w:bCs/>
          <w:color w:val="auto"/>
          <w:sz w:val="72"/>
          <w:szCs w:val="72"/>
          <w:highlight w:val="none"/>
        </w:rPr>
      </w:pPr>
      <w:r>
        <w:rPr>
          <w:rFonts w:hint="eastAsia" w:asciiTheme="minorEastAsia" w:hAnsiTheme="minorEastAsia" w:eastAsiaTheme="minorEastAsia"/>
          <w:b/>
          <w:bCs/>
          <w:color w:val="auto"/>
          <w:sz w:val="72"/>
          <w:szCs w:val="72"/>
          <w:highlight w:val="none"/>
        </w:rPr>
        <w:t>响 应 文 件</w:t>
      </w:r>
    </w:p>
    <w:p w14:paraId="5BB018E9">
      <w:pPr>
        <w:spacing w:before="120" w:beforeLines="50" w:line="360" w:lineRule="auto"/>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rPr>
        <w:t>项目编号：</w:t>
      </w:r>
      <w:r>
        <w:rPr>
          <w:rFonts w:hint="eastAsia" w:asciiTheme="minorEastAsia" w:hAnsiTheme="minorEastAsia" w:eastAsiaTheme="minorEastAsia"/>
          <w:b/>
          <w:color w:val="auto"/>
          <w:sz w:val="32"/>
          <w:szCs w:val="32"/>
          <w:highlight w:val="none"/>
          <w:lang w:eastAsia="zh-CN"/>
        </w:rPr>
        <w:t>KMZC2026-C1-00971-YNYG-0009</w:t>
      </w:r>
    </w:p>
    <w:p w14:paraId="0DB89271">
      <w:pPr>
        <w:spacing w:line="360" w:lineRule="auto"/>
        <w:jc w:val="center"/>
        <w:rPr>
          <w:rFonts w:hint="eastAsia" w:asciiTheme="minorEastAsia" w:hAnsiTheme="minorEastAsia" w:eastAsiaTheme="minorEastAsia"/>
          <w:color w:val="auto"/>
          <w:sz w:val="24"/>
          <w:highlight w:val="none"/>
        </w:rPr>
      </w:pPr>
    </w:p>
    <w:p w14:paraId="7CD6ACD3">
      <w:pPr>
        <w:spacing w:line="360" w:lineRule="auto"/>
        <w:jc w:val="center"/>
        <w:rPr>
          <w:rFonts w:hint="eastAsia" w:asciiTheme="minorEastAsia" w:hAnsiTheme="minorEastAsia" w:eastAsiaTheme="minorEastAsia"/>
          <w:color w:val="auto"/>
          <w:sz w:val="24"/>
          <w:highlight w:val="none"/>
        </w:rPr>
      </w:pPr>
    </w:p>
    <w:p w14:paraId="52B10832">
      <w:pPr>
        <w:spacing w:line="360" w:lineRule="auto"/>
        <w:jc w:val="center"/>
        <w:rPr>
          <w:rFonts w:hint="eastAsia" w:asciiTheme="minorEastAsia" w:hAnsiTheme="minorEastAsia" w:eastAsiaTheme="minorEastAsia"/>
          <w:color w:val="auto"/>
          <w:sz w:val="24"/>
          <w:highlight w:val="none"/>
        </w:rPr>
      </w:pPr>
    </w:p>
    <w:p w14:paraId="6C945594">
      <w:pPr>
        <w:spacing w:line="360" w:lineRule="auto"/>
        <w:jc w:val="center"/>
        <w:rPr>
          <w:rFonts w:hint="eastAsia" w:asciiTheme="minorEastAsia" w:hAnsiTheme="minorEastAsia" w:eastAsiaTheme="minorEastAsia"/>
          <w:color w:val="auto"/>
          <w:sz w:val="24"/>
          <w:highlight w:val="none"/>
        </w:rPr>
      </w:pPr>
    </w:p>
    <w:p w14:paraId="11A412CB">
      <w:pPr>
        <w:spacing w:line="360" w:lineRule="auto"/>
        <w:jc w:val="center"/>
        <w:rPr>
          <w:rFonts w:hint="eastAsia" w:asciiTheme="minorEastAsia" w:hAnsiTheme="minorEastAsia" w:eastAsiaTheme="minorEastAsia"/>
          <w:color w:val="auto"/>
          <w:sz w:val="24"/>
          <w:highlight w:val="none"/>
        </w:rPr>
      </w:pPr>
    </w:p>
    <w:p w14:paraId="5E71AB51">
      <w:pPr>
        <w:spacing w:line="360" w:lineRule="auto"/>
        <w:rPr>
          <w:rFonts w:hint="eastAsia" w:asciiTheme="minorEastAsia" w:hAnsiTheme="minorEastAsia" w:eastAsiaTheme="minorEastAsia"/>
          <w:color w:val="auto"/>
          <w:sz w:val="24"/>
          <w:highlight w:val="none"/>
        </w:rPr>
      </w:pPr>
    </w:p>
    <w:p w14:paraId="49C63DC2">
      <w:pPr>
        <w:spacing w:line="360" w:lineRule="auto"/>
        <w:rPr>
          <w:rFonts w:hint="eastAsia" w:asciiTheme="minorEastAsia" w:hAnsiTheme="minorEastAsia" w:eastAsiaTheme="minorEastAsia"/>
          <w:color w:val="auto"/>
          <w:sz w:val="24"/>
          <w:highlight w:val="none"/>
        </w:rPr>
      </w:pPr>
    </w:p>
    <w:p w14:paraId="553C1491">
      <w:pPr>
        <w:spacing w:line="360" w:lineRule="auto"/>
        <w:rPr>
          <w:rFonts w:hint="eastAsia" w:asciiTheme="minorEastAsia" w:hAnsiTheme="minorEastAsia" w:eastAsiaTheme="minorEastAsia"/>
          <w:color w:val="auto"/>
          <w:sz w:val="24"/>
          <w:highlight w:val="none"/>
        </w:rPr>
      </w:pPr>
    </w:p>
    <w:p w14:paraId="7CEDD763">
      <w:pPr>
        <w:spacing w:line="360" w:lineRule="auto"/>
        <w:ind w:firstLine="993" w:firstLineChars="309"/>
        <w:jc w:val="left"/>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供应商</w:t>
      </w:r>
      <w:r>
        <w:rPr>
          <w:rFonts w:asciiTheme="minorEastAsia" w:hAnsiTheme="minorEastAsia" w:eastAsiaTheme="minorEastAsia"/>
          <w:b/>
          <w:bCs/>
          <w:color w:val="auto"/>
          <w:sz w:val="32"/>
          <w:szCs w:val="32"/>
          <w:highlight w:val="none"/>
        </w:rPr>
        <w:t>（</w:t>
      </w:r>
      <w:r>
        <w:rPr>
          <w:rFonts w:hint="eastAsia" w:asciiTheme="minorEastAsia" w:hAnsiTheme="minorEastAsia" w:eastAsiaTheme="minorEastAsia"/>
          <w:b/>
          <w:bCs/>
          <w:color w:val="auto"/>
          <w:sz w:val="32"/>
          <w:szCs w:val="32"/>
          <w:highlight w:val="none"/>
        </w:rPr>
        <w:t>电子签章</w:t>
      </w:r>
      <w:r>
        <w:rPr>
          <w:rFonts w:asciiTheme="minorEastAsia" w:hAnsiTheme="minorEastAsia" w:eastAsiaTheme="minorEastAsia"/>
          <w:b/>
          <w:bCs/>
          <w:color w:val="auto"/>
          <w:sz w:val="32"/>
          <w:szCs w:val="32"/>
          <w:highlight w:val="none"/>
        </w:rPr>
        <w:t>）：</w:t>
      </w:r>
      <w:r>
        <w:rPr>
          <w:rFonts w:asciiTheme="minorEastAsia" w:hAnsiTheme="minorEastAsia" w:eastAsiaTheme="minorEastAsia"/>
          <w:b/>
          <w:bCs/>
          <w:color w:val="auto"/>
          <w:sz w:val="32"/>
          <w:szCs w:val="32"/>
          <w:highlight w:val="none"/>
          <w:u w:val="single"/>
        </w:rPr>
        <w:t xml:space="preserve">               </w:t>
      </w:r>
      <w:r>
        <w:rPr>
          <w:rFonts w:hint="eastAsia" w:asciiTheme="minorEastAsia" w:hAnsiTheme="minorEastAsia" w:eastAsiaTheme="minorEastAsia"/>
          <w:b/>
          <w:bCs/>
          <w:color w:val="auto"/>
          <w:sz w:val="32"/>
          <w:szCs w:val="32"/>
          <w:highlight w:val="none"/>
          <w:u w:val="single"/>
        </w:rPr>
        <w:t xml:space="preserve">    </w:t>
      </w:r>
      <w:r>
        <w:rPr>
          <w:rFonts w:asciiTheme="minorEastAsia" w:hAnsiTheme="minorEastAsia" w:eastAsiaTheme="minorEastAsia"/>
          <w:b/>
          <w:bCs/>
          <w:color w:val="auto"/>
          <w:sz w:val="32"/>
          <w:szCs w:val="32"/>
          <w:highlight w:val="none"/>
          <w:u w:val="single"/>
        </w:rPr>
        <w:t xml:space="preserve"> </w:t>
      </w:r>
    </w:p>
    <w:p w14:paraId="4B6CF391">
      <w:pPr>
        <w:spacing w:line="360" w:lineRule="auto"/>
        <w:ind w:firstLine="957" w:firstLineChars="298"/>
        <w:jc w:val="left"/>
        <w:rPr>
          <w:rFonts w:hint="eastAsia" w:asciiTheme="minorEastAsia" w:hAnsiTheme="minorEastAsia" w:eastAsiaTheme="minorEastAsia"/>
          <w:b/>
          <w:bCs/>
          <w:color w:val="auto"/>
          <w:sz w:val="32"/>
          <w:szCs w:val="32"/>
          <w:highlight w:val="none"/>
        </w:rPr>
      </w:pPr>
      <w:r>
        <w:rPr>
          <w:rFonts w:asciiTheme="minorEastAsia" w:hAnsiTheme="minorEastAsia" w:eastAsiaTheme="minorEastAsia"/>
          <w:b/>
          <w:bCs/>
          <w:color w:val="auto"/>
          <w:sz w:val="32"/>
          <w:szCs w:val="32"/>
          <w:highlight w:val="none"/>
        </w:rPr>
        <w:t>法定代表人</w:t>
      </w:r>
      <w:r>
        <w:rPr>
          <w:rFonts w:hint="eastAsia" w:asciiTheme="minorEastAsia" w:hAnsiTheme="minorEastAsia" w:eastAsiaTheme="minorEastAsia"/>
          <w:b/>
          <w:bCs/>
          <w:color w:val="auto"/>
          <w:sz w:val="32"/>
          <w:szCs w:val="32"/>
          <w:highlight w:val="none"/>
        </w:rPr>
        <w:t>（电子签章）</w:t>
      </w:r>
      <w:r>
        <w:rPr>
          <w:rFonts w:asciiTheme="minorEastAsia" w:hAnsiTheme="minorEastAsia" w:eastAsiaTheme="minorEastAsia"/>
          <w:b/>
          <w:bCs/>
          <w:color w:val="auto"/>
          <w:sz w:val="32"/>
          <w:szCs w:val="32"/>
          <w:highlight w:val="none"/>
        </w:rPr>
        <w:t>：</w:t>
      </w:r>
      <w:r>
        <w:rPr>
          <w:rFonts w:asciiTheme="minorEastAsia" w:hAnsiTheme="minorEastAsia" w:eastAsiaTheme="minorEastAsia"/>
          <w:b/>
          <w:bCs/>
          <w:color w:val="auto"/>
          <w:sz w:val="32"/>
          <w:szCs w:val="32"/>
          <w:highlight w:val="none"/>
          <w:u w:val="single"/>
        </w:rPr>
        <w:t xml:space="preserve">    </w:t>
      </w:r>
      <w:r>
        <w:rPr>
          <w:rFonts w:hint="eastAsia" w:asciiTheme="minorEastAsia" w:hAnsiTheme="minorEastAsia" w:eastAsiaTheme="minorEastAsia"/>
          <w:b/>
          <w:bCs/>
          <w:color w:val="auto"/>
          <w:sz w:val="32"/>
          <w:szCs w:val="32"/>
          <w:highlight w:val="none"/>
          <w:u w:val="single"/>
        </w:rPr>
        <w:t xml:space="preserve"> </w:t>
      </w:r>
      <w:r>
        <w:rPr>
          <w:rFonts w:asciiTheme="minorEastAsia" w:hAnsiTheme="minorEastAsia" w:eastAsiaTheme="minorEastAsia"/>
          <w:b/>
          <w:bCs/>
          <w:color w:val="auto"/>
          <w:sz w:val="32"/>
          <w:szCs w:val="32"/>
          <w:highlight w:val="none"/>
          <w:u w:val="single"/>
        </w:rPr>
        <w:t xml:space="preserve">     </w:t>
      </w:r>
      <w:r>
        <w:rPr>
          <w:rFonts w:hint="eastAsia" w:asciiTheme="minorEastAsia" w:hAnsiTheme="minorEastAsia" w:eastAsiaTheme="minorEastAsia"/>
          <w:b/>
          <w:bCs/>
          <w:color w:val="auto"/>
          <w:sz w:val="32"/>
          <w:szCs w:val="32"/>
          <w:highlight w:val="none"/>
          <w:u w:val="single"/>
        </w:rPr>
        <w:t xml:space="preserve">      </w:t>
      </w:r>
    </w:p>
    <w:p w14:paraId="2DC8CC3B">
      <w:pPr>
        <w:spacing w:line="360" w:lineRule="auto"/>
        <w:ind w:firstLine="2731" w:firstLineChars="850"/>
        <w:jc w:val="left"/>
        <w:rPr>
          <w:rFonts w:hint="eastAsia" w:asciiTheme="minorEastAsia" w:hAnsiTheme="minorEastAsia" w:eastAsiaTheme="minorEastAsia"/>
          <w:b/>
          <w:bCs/>
          <w:color w:val="auto"/>
          <w:sz w:val="32"/>
          <w:szCs w:val="32"/>
          <w:highlight w:val="none"/>
        </w:rPr>
      </w:pPr>
      <w:r>
        <w:rPr>
          <w:rFonts w:asciiTheme="minorEastAsia" w:hAnsiTheme="minorEastAsia" w:eastAsiaTheme="minorEastAsia"/>
          <w:b/>
          <w:bCs/>
          <w:color w:val="auto"/>
          <w:sz w:val="32"/>
          <w:szCs w:val="32"/>
          <w:highlight w:val="none"/>
          <w:u w:val="single"/>
        </w:rPr>
        <w:t xml:space="preserve">        </w:t>
      </w:r>
      <w:r>
        <w:rPr>
          <w:rFonts w:asciiTheme="minorEastAsia" w:hAnsiTheme="minorEastAsia" w:eastAsiaTheme="minorEastAsia"/>
          <w:b/>
          <w:bCs/>
          <w:color w:val="auto"/>
          <w:sz w:val="32"/>
          <w:szCs w:val="32"/>
          <w:highlight w:val="none"/>
        </w:rPr>
        <w:t>年</w:t>
      </w:r>
      <w:r>
        <w:rPr>
          <w:rFonts w:asciiTheme="minorEastAsia" w:hAnsiTheme="minorEastAsia" w:eastAsiaTheme="minorEastAsia"/>
          <w:b/>
          <w:bCs/>
          <w:color w:val="auto"/>
          <w:sz w:val="32"/>
          <w:szCs w:val="32"/>
          <w:highlight w:val="none"/>
          <w:u w:val="single"/>
        </w:rPr>
        <w:t xml:space="preserve">     </w:t>
      </w:r>
      <w:r>
        <w:rPr>
          <w:rFonts w:asciiTheme="minorEastAsia" w:hAnsiTheme="minorEastAsia" w:eastAsiaTheme="minorEastAsia"/>
          <w:b/>
          <w:bCs/>
          <w:color w:val="auto"/>
          <w:sz w:val="32"/>
          <w:szCs w:val="32"/>
          <w:highlight w:val="none"/>
        </w:rPr>
        <w:t>月</w:t>
      </w:r>
      <w:r>
        <w:rPr>
          <w:rFonts w:asciiTheme="minorEastAsia" w:hAnsiTheme="minorEastAsia" w:eastAsiaTheme="minorEastAsia"/>
          <w:b/>
          <w:bCs/>
          <w:color w:val="auto"/>
          <w:sz w:val="32"/>
          <w:szCs w:val="32"/>
          <w:highlight w:val="none"/>
          <w:u w:val="single"/>
        </w:rPr>
        <w:t xml:space="preserve">     </w:t>
      </w:r>
      <w:r>
        <w:rPr>
          <w:rFonts w:asciiTheme="minorEastAsia" w:hAnsiTheme="minorEastAsia" w:eastAsiaTheme="minorEastAsia"/>
          <w:b/>
          <w:bCs/>
          <w:color w:val="auto"/>
          <w:sz w:val="32"/>
          <w:szCs w:val="32"/>
          <w:highlight w:val="none"/>
        </w:rPr>
        <w:t>日</w:t>
      </w:r>
      <w:bookmarkEnd w:id="1059"/>
      <w:bookmarkEnd w:id="1060"/>
      <w:bookmarkEnd w:id="1061"/>
      <w:r>
        <w:rPr>
          <w:rFonts w:asciiTheme="minorEastAsia" w:hAnsiTheme="minorEastAsia" w:eastAsiaTheme="minorEastAsia"/>
          <w:b/>
          <w:color w:val="auto"/>
          <w:kern w:val="0"/>
          <w:sz w:val="32"/>
          <w:szCs w:val="32"/>
          <w:highlight w:val="none"/>
        </w:rPr>
        <w:br w:type="page"/>
      </w:r>
    </w:p>
    <w:p w14:paraId="0B4FC303">
      <w:pPr>
        <w:spacing w:line="360" w:lineRule="auto"/>
        <w:jc w:val="center"/>
        <w:outlineLvl w:val="1"/>
        <w:rPr>
          <w:rFonts w:hint="eastAsia" w:asciiTheme="minorEastAsia" w:hAnsiTheme="minorEastAsia" w:eastAsiaTheme="minorEastAsia"/>
          <w:b/>
          <w:color w:val="auto"/>
          <w:sz w:val="30"/>
          <w:szCs w:val="30"/>
          <w:highlight w:val="none"/>
        </w:rPr>
      </w:pPr>
      <w:bookmarkStart w:id="1070" w:name="_Toc128658855"/>
      <w:bookmarkStart w:id="1071" w:name="_Toc158233417"/>
      <w:r>
        <w:rPr>
          <w:rFonts w:hint="eastAsia" w:asciiTheme="minorEastAsia" w:hAnsiTheme="minorEastAsia" w:eastAsiaTheme="minorEastAsia"/>
          <w:b/>
          <w:color w:val="auto"/>
          <w:sz w:val="30"/>
          <w:szCs w:val="30"/>
          <w:highlight w:val="none"/>
        </w:rPr>
        <w:t>一、资格文件</w:t>
      </w:r>
      <w:bookmarkEnd w:id="1070"/>
      <w:bookmarkEnd w:id="1071"/>
    </w:p>
    <w:p w14:paraId="0DF8F9D3">
      <w:pPr>
        <w:spacing w:line="360" w:lineRule="auto"/>
        <w:jc w:val="center"/>
        <w:outlineLvl w:val="2"/>
        <w:rPr>
          <w:rFonts w:hint="eastAsia" w:asciiTheme="minorEastAsia" w:hAnsiTheme="minorEastAsia" w:eastAsiaTheme="minorEastAsia"/>
          <w:b/>
          <w:color w:val="auto"/>
          <w:sz w:val="28"/>
          <w:szCs w:val="28"/>
          <w:highlight w:val="none"/>
        </w:rPr>
      </w:pPr>
      <w:bookmarkStart w:id="1072" w:name="_Toc110405198"/>
      <w:bookmarkStart w:id="1073" w:name="_Toc45976960"/>
      <w:bookmarkStart w:id="1074" w:name="_Toc3350"/>
      <w:bookmarkStart w:id="1075" w:name="_Toc75783586"/>
      <w:bookmarkStart w:id="1076" w:name="_Toc116584064"/>
      <w:bookmarkStart w:id="1077" w:name="_Toc109809379"/>
      <w:bookmarkStart w:id="1078" w:name="_Toc81331001"/>
      <w:bookmarkStart w:id="1079" w:name="_Toc98865068"/>
      <w:bookmarkStart w:id="1080" w:name="_Toc53412271"/>
      <w:bookmarkStart w:id="1081" w:name="_Toc42205046"/>
      <w:bookmarkStart w:id="1082" w:name="_Toc69678483"/>
      <w:bookmarkStart w:id="1083" w:name="_Toc265766862"/>
      <w:bookmarkStart w:id="1084" w:name="_Toc292983033"/>
      <w:r>
        <w:rPr>
          <w:rFonts w:hint="eastAsia" w:asciiTheme="minorEastAsia" w:hAnsiTheme="minorEastAsia" w:eastAsiaTheme="minorEastAsia"/>
          <w:b/>
          <w:color w:val="auto"/>
          <w:sz w:val="28"/>
          <w:szCs w:val="28"/>
          <w:highlight w:val="none"/>
        </w:rPr>
        <w:t>（一）</w:t>
      </w:r>
      <w:bookmarkEnd w:id="1072"/>
      <w:bookmarkEnd w:id="1073"/>
      <w:bookmarkEnd w:id="1074"/>
      <w:bookmarkEnd w:id="1075"/>
      <w:bookmarkEnd w:id="1076"/>
      <w:bookmarkEnd w:id="1077"/>
      <w:bookmarkEnd w:id="1078"/>
      <w:bookmarkEnd w:id="1079"/>
      <w:bookmarkEnd w:id="1080"/>
      <w:bookmarkEnd w:id="1081"/>
      <w:bookmarkEnd w:id="1082"/>
      <w:r>
        <w:rPr>
          <w:rFonts w:hint="eastAsia" w:asciiTheme="minorEastAsia" w:hAnsiTheme="minorEastAsia" w:eastAsiaTheme="minorEastAsia"/>
          <w:b/>
          <w:color w:val="auto"/>
          <w:sz w:val="28"/>
          <w:szCs w:val="28"/>
          <w:highlight w:val="none"/>
        </w:rPr>
        <w:t>具有独立承担民事责任的能力</w:t>
      </w:r>
    </w:p>
    <w:p w14:paraId="65B7D103">
      <w:pPr>
        <w:wordWrap w:val="0"/>
        <w:topLinePunct/>
        <w:spacing w:before="120" w:beforeLines="50" w:line="360" w:lineRule="auto"/>
        <w:ind w:firstLine="420"/>
        <w:jc w:val="left"/>
        <w:rPr>
          <w:rFonts w:hint="eastAsia" w:asciiTheme="minorEastAsia" w:hAnsiTheme="minorEastAsia" w:eastAsiaTheme="minorEastAsia"/>
          <w:color w:val="auto"/>
          <w:highlight w:val="none"/>
        </w:rPr>
        <w:sectPr>
          <w:headerReference r:id="rId7" w:type="first"/>
          <w:footerReference r:id="rId9" w:type="first"/>
          <w:footerReference r:id="rId8" w:type="default"/>
          <w:pgSz w:w="11906" w:h="16838"/>
          <w:pgMar w:top="1440" w:right="1474" w:bottom="1440" w:left="1474" w:header="851" w:footer="1247" w:gutter="0"/>
          <w:cols w:space="720" w:num="1"/>
          <w:docGrid w:linePitch="312" w:charSpace="0"/>
        </w:sectPr>
      </w:pPr>
      <w:r>
        <w:rPr>
          <w:rFonts w:hint="eastAsia" w:asciiTheme="minorEastAsia" w:hAnsiTheme="minorEastAsia" w:eastAsiaTheme="minorEastAsia"/>
          <w:color w:val="auto"/>
          <w:highlight w:val="none"/>
        </w:rPr>
        <w:t>注：</w:t>
      </w:r>
      <w:r>
        <w:rPr>
          <w:rFonts w:hint="eastAsia" w:asciiTheme="minorEastAsia" w:hAnsiTheme="minorEastAsia" w:eastAsiaTheme="minorEastAsia"/>
          <w:color w:val="auto"/>
          <w:szCs w:val="21"/>
          <w:highlight w:val="none"/>
          <w:lang w:val="en-US" w:eastAsia="zh-CN"/>
        </w:rPr>
        <w:t>提供法人或者其他组织的营业执照等证明文件或自然人的身份证明（复印件加盖公章）。</w:t>
      </w:r>
    </w:p>
    <w:bookmarkEnd w:id="1083"/>
    <w:bookmarkEnd w:id="1084"/>
    <w:p w14:paraId="1BF60231">
      <w:pPr>
        <w:spacing w:line="360" w:lineRule="auto"/>
        <w:jc w:val="center"/>
        <w:outlineLvl w:val="2"/>
        <w:rPr>
          <w:rFonts w:hint="eastAsia" w:asciiTheme="minorEastAsia" w:hAnsiTheme="minorEastAsia" w:eastAsiaTheme="minorEastAsia"/>
          <w:b/>
          <w:color w:val="auto"/>
          <w:sz w:val="28"/>
          <w:szCs w:val="28"/>
          <w:highlight w:val="none"/>
        </w:rPr>
      </w:pPr>
      <w:bookmarkStart w:id="1085" w:name="_Toc98865069"/>
      <w:bookmarkStart w:id="1086" w:name="_Toc116584065"/>
      <w:bookmarkStart w:id="1087" w:name="_Toc42205047"/>
      <w:bookmarkStart w:id="1088" w:name="_Toc45976961"/>
      <w:bookmarkStart w:id="1089" w:name="_Toc109809380"/>
      <w:bookmarkStart w:id="1090" w:name="_Toc11887"/>
      <w:bookmarkStart w:id="1091" w:name="_Toc53412272"/>
      <w:bookmarkStart w:id="1092" w:name="_Toc81331002"/>
      <w:bookmarkStart w:id="1093" w:name="_Toc110405199"/>
      <w:bookmarkStart w:id="1094" w:name="_Toc69678484"/>
      <w:bookmarkStart w:id="1095" w:name="_Toc75783587"/>
      <w:r>
        <w:rPr>
          <w:rFonts w:hint="eastAsia" w:asciiTheme="minorEastAsia" w:hAnsiTheme="minorEastAsia" w:eastAsiaTheme="minorEastAsia"/>
          <w:b/>
          <w:color w:val="auto"/>
          <w:sz w:val="28"/>
          <w:szCs w:val="28"/>
          <w:highlight w:val="none"/>
        </w:rPr>
        <w:t>（二）</w:t>
      </w:r>
      <w:bookmarkEnd w:id="1085"/>
      <w:bookmarkEnd w:id="1086"/>
      <w:bookmarkEnd w:id="1087"/>
      <w:bookmarkEnd w:id="1088"/>
      <w:bookmarkEnd w:id="1089"/>
      <w:bookmarkEnd w:id="1090"/>
      <w:bookmarkEnd w:id="1091"/>
      <w:bookmarkEnd w:id="1092"/>
      <w:bookmarkEnd w:id="1093"/>
      <w:bookmarkEnd w:id="1094"/>
      <w:bookmarkEnd w:id="1095"/>
      <w:r>
        <w:rPr>
          <w:rFonts w:hint="eastAsia" w:asciiTheme="minorEastAsia" w:hAnsiTheme="minorEastAsia" w:eastAsiaTheme="minorEastAsia"/>
          <w:b/>
          <w:color w:val="auto"/>
          <w:sz w:val="28"/>
          <w:szCs w:val="28"/>
          <w:highlight w:val="none"/>
          <w:lang w:val="en-US" w:eastAsia="zh-CN"/>
        </w:rPr>
        <w:t>具有健全的财务会计制度</w:t>
      </w:r>
    </w:p>
    <w:p w14:paraId="7DD698A0">
      <w:pPr>
        <w:widowControl/>
        <w:jc w:val="left"/>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color w:val="auto"/>
          <w:highlight w:val="none"/>
        </w:rPr>
        <w:t>注：</w:t>
      </w:r>
      <w:bookmarkStart w:id="1096" w:name="_Toc110405200"/>
      <w:bookmarkStart w:id="1097" w:name="_Toc116584066"/>
      <w:bookmarkStart w:id="1098" w:name="_Toc81331003"/>
      <w:bookmarkStart w:id="1099" w:name="_Toc45976962"/>
      <w:bookmarkStart w:id="1100" w:name="_Toc98865070"/>
      <w:bookmarkStart w:id="1101" w:name="_Toc522397136"/>
      <w:bookmarkStart w:id="1102" w:name="_Toc109809381"/>
      <w:bookmarkStart w:id="1103" w:name="_Toc69678485"/>
      <w:bookmarkStart w:id="1104" w:name="_Toc21738"/>
      <w:bookmarkStart w:id="1105" w:name="_Toc75783588"/>
      <w:bookmarkStart w:id="1106" w:name="_Toc53412273"/>
      <w:bookmarkStart w:id="1107" w:name="_Toc42205048"/>
      <w:bookmarkStart w:id="1108" w:name="_Toc517710844"/>
      <w:bookmarkStart w:id="1109" w:name="_Toc518141928"/>
      <w:bookmarkStart w:id="1110" w:name="_Toc494495988"/>
      <w:r>
        <w:rPr>
          <w:rFonts w:hint="eastAsia" w:asciiTheme="minorEastAsia" w:hAnsiTheme="minorEastAsia" w:eastAsiaTheme="minorEastAsia"/>
          <w:color w:val="auto"/>
          <w:highlight w:val="none"/>
          <w:lang w:eastAsia="zh-CN"/>
        </w:rPr>
        <w:t>提供202</w:t>
      </w:r>
      <w:r>
        <w:rPr>
          <w:rFonts w:hint="eastAsia" w:asciiTheme="minorEastAsia" w:hAnsiTheme="minorEastAsia" w:eastAsiaTheme="minorEastAsia"/>
          <w:color w:val="auto"/>
          <w:highlight w:val="none"/>
          <w:lang w:val="en-US" w:eastAsia="zh-CN"/>
        </w:rPr>
        <w:t>4年</w:t>
      </w:r>
      <w:r>
        <w:rPr>
          <w:rFonts w:hint="eastAsia" w:asciiTheme="minorEastAsia" w:hAnsiTheme="minorEastAsia" w:eastAsiaTheme="minorEastAsia"/>
          <w:color w:val="auto"/>
          <w:highlight w:val="none"/>
          <w:lang w:eastAsia="zh-CN"/>
        </w:rPr>
        <w:t>至今任意一年经审计的财务报告或其基本开户银行出具的资信证明或财政部门认可的政府采购专业担保机构出具的投标担保函；工商登记注册之日起至投标截止时间不满一年的需提供自成立至今的财务报表或承诺书（</w:t>
      </w:r>
      <w:r>
        <w:rPr>
          <w:rFonts w:hint="eastAsia" w:asciiTheme="minorEastAsia" w:hAnsiTheme="minorEastAsia" w:eastAsiaTheme="minorEastAsia"/>
          <w:color w:val="auto"/>
          <w:highlight w:val="none"/>
          <w:lang w:val="en-US" w:eastAsia="zh-CN"/>
        </w:rPr>
        <w:t>原件扫描件</w:t>
      </w:r>
      <w:r>
        <w:rPr>
          <w:rFonts w:hint="eastAsia" w:asciiTheme="minorEastAsia" w:hAnsiTheme="minorEastAsia" w:eastAsiaTheme="minorEastAsia"/>
          <w:color w:val="auto"/>
          <w:highlight w:val="none"/>
          <w:lang w:eastAsia="zh-CN"/>
        </w:rPr>
        <w:t>加盖公章）。</w:t>
      </w:r>
      <w:r>
        <w:rPr>
          <w:rFonts w:asciiTheme="minorEastAsia" w:hAnsiTheme="minorEastAsia" w:eastAsiaTheme="minorEastAsia"/>
          <w:b/>
          <w:color w:val="auto"/>
          <w:sz w:val="28"/>
          <w:szCs w:val="28"/>
          <w:highlight w:val="none"/>
        </w:rPr>
        <w:br w:type="page"/>
      </w:r>
    </w:p>
    <w:p w14:paraId="2CAA1EEC">
      <w:pPr>
        <w:spacing w:line="360" w:lineRule="auto"/>
        <w:jc w:val="center"/>
        <w:outlineLvl w:val="2"/>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（三）</w:t>
      </w:r>
      <w:bookmarkEnd w:id="1096"/>
      <w:bookmarkEnd w:id="1097"/>
      <w:bookmarkEnd w:id="1098"/>
      <w:bookmarkEnd w:id="1099"/>
      <w:bookmarkEnd w:id="1100"/>
      <w:bookmarkEnd w:id="1101"/>
      <w:bookmarkEnd w:id="1102"/>
      <w:bookmarkEnd w:id="1103"/>
      <w:bookmarkEnd w:id="1104"/>
      <w:bookmarkEnd w:id="1105"/>
      <w:bookmarkEnd w:id="1106"/>
      <w:bookmarkEnd w:id="1107"/>
      <w:r>
        <w:rPr>
          <w:rFonts w:hint="eastAsia" w:asciiTheme="minorEastAsia" w:hAnsiTheme="minorEastAsia" w:eastAsiaTheme="minorEastAsia"/>
          <w:b/>
          <w:color w:val="auto"/>
          <w:sz w:val="28"/>
          <w:szCs w:val="28"/>
          <w:highlight w:val="none"/>
          <w:lang w:val="en-US" w:eastAsia="zh-CN"/>
        </w:rPr>
        <w:t>具有履行合同所必需的设备和专业技术能力</w:t>
      </w:r>
    </w:p>
    <w:p w14:paraId="157113B0">
      <w:pPr>
        <w:spacing w:line="360" w:lineRule="auto"/>
        <w:jc w:val="center"/>
        <w:rPr>
          <w:rFonts w:hint="eastAsia" w:asciiTheme="minorEastAsia" w:hAnsiTheme="minorEastAsia" w:eastAsiaTheme="minorEastAsia"/>
          <w:color w:val="auto"/>
          <w:highlight w:val="none"/>
        </w:rPr>
      </w:pPr>
      <w:bookmarkStart w:id="1111" w:name="_Hlk6220935"/>
      <w:r>
        <w:rPr>
          <w:rFonts w:hint="eastAsia" w:asciiTheme="minorEastAsia" w:hAnsiTheme="minorEastAsia" w:eastAsiaTheme="minorEastAsia"/>
          <w:color w:val="auto"/>
          <w:highlight w:val="none"/>
        </w:rPr>
        <w:t>注：</w:t>
      </w:r>
      <w:r>
        <w:rPr>
          <w:rFonts w:hint="eastAsia" w:asciiTheme="minorEastAsia" w:hAnsiTheme="minorEastAsia" w:eastAsiaTheme="minorEastAsia"/>
          <w:color w:val="auto"/>
          <w:highlight w:val="none"/>
          <w:lang w:eastAsia="zh-CN"/>
        </w:rPr>
        <w:t>提供具备履行合同所必需的设备和专业技术能力的证明材料</w:t>
      </w:r>
      <w:r>
        <w:rPr>
          <w:rFonts w:hint="eastAsia" w:asciiTheme="minorEastAsia" w:hAnsiTheme="minorEastAsia" w:eastAsiaTheme="minorEastAsia"/>
          <w:color w:val="auto"/>
          <w:highlight w:val="none"/>
          <w:lang w:val="en-US" w:eastAsia="zh-CN"/>
        </w:rPr>
        <w:t>或书面声明</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原件加盖公章</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w:t>
      </w:r>
    </w:p>
    <w:bookmarkEnd w:id="1111"/>
    <w:p w14:paraId="2E0CF326">
      <w:pPr>
        <w:widowControl/>
        <w:jc w:val="left"/>
        <w:rPr>
          <w:rFonts w:hint="eastAsia" w:asciiTheme="minorEastAsia" w:hAnsiTheme="minorEastAsia" w:eastAsiaTheme="minorEastAsia"/>
          <w:b/>
          <w:color w:val="auto"/>
          <w:sz w:val="28"/>
          <w:szCs w:val="28"/>
          <w:highlight w:val="none"/>
        </w:rPr>
      </w:pPr>
      <w:bookmarkStart w:id="1112" w:name="_Toc110405201"/>
      <w:bookmarkStart w:id="1113" w:name="_Toc98865071"/>
      <w:bookmarkStart w:id="1114" w:name="_Toc8980"/>
      <w:bookmarkStart w:id="1115" w:name="_Toc81331004"/>
      <w:bookmarkStart w:id="1116" w:name="_Toc53412274"/>
      <w:bookmarkStart w:id="1117" w:name="_Toc45976963"/>
      <w:bookmarkStart w:id="1118" w:name="_Toc109809382"/>
      <w:bookmarkStart w:id="1119" w:name="_Toc116584067"/>
      <w:bookmarkStart w:id="1120" w:name="_Toc75783589"/>
      <w:bookmarkStart w:id="1121" w:name="_Toc69678486"/>
      <w:bookmarkStart w:id="1122" w:name="_Toc42205049"/>
      <w:bookmarkStart w:id="1123" w:name="_Toc522397137"/>
      <w:r>
        <w:rPr>
          <w:rFonts w:asciiTheme="minorEastAsia" w:hAnsiTheme="minorEastAsia" w:eastAsiaTheme="minorEastAsia"/>
          <w:b/>
          <w:color w:val="auto"/>
          <w:sz w:val="28"/>
          <w:szCs w:val="28"/>
          <w:highlight w:val="none"/>
        </w:rPr>
        <w:br w:type="page"/>
      </w:r>
    </w:p>
    <w:p w14:paraId="41D8B2B9">
      <w:pPr>
        <w:spacing w:line="360" w:lineRule="auto"/>
        <w:jc w:val="center"/>
        <w:outlineLvl w:val="2"/>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（四）</w:t>
      </w:r>
      <w:bookmarkEnd w:id="1112"/>
      <w:bookmarkEnd w:id="1113"/>
      <w:bookmarkEnd w:id="1114"/>
      <w:bookmarkEnd w:id="1115"/>
      <w:bookmarkEnd w:id="1116"/>
      <w:bookmarkEnd w:id="1117"/>
      <w:bookmarkEnd w:id="1118"/>
      <w:bookmarkEnd w:id="1119"/>
      <w:bookmarkEnd w:id="1120"/>
      <w:bookmarkEnd w:id="1121"/>
      <w:bookmarkEnd w:id="1122"/>
      <w:bookmarkEnd w:id="1123"/>
      <w:r>
        <w:rPr>
          <w:rFonts w:hint="eastAsia" w:asciiTheme="minorEastAsia" w:hAnsiTheme="minorEastAsia" w:eastAsiaTheme="minorEastAsia"/>
          <w:b/>
          <w:color w:val="auto"/>
          <w:sz w:val="28"/>
          <w:szCs w:val="28"/>
          <w:highlight w:val="none"/>
          <w:lang w:val="en-US" w:eastAsia="zh-CN"/>
        </w:rPr>
        <w:t>有依法缴纳税收和社会保障资金的良好记录</w:t>
      </w:r>
    </w:p>
    <w:p w14:paraId="017597E6">
      <w:pPr>
        <w:tabs>
          <w:tab w:val="left" w:pos="709"/>
        </w:tabs>
        <w:spacing w:line="360" w:lineRule="auto"/>
        <w:ind w:firstLine="840" w:firstLineChars="400"/>
        <w:jc w:val="left"/>
        <w:rPr>
          <w:rFonts w:hint="eastAsia" w:asciiTheme="minorEastAsia" w:hAnsiTheme="minorEastAsia" w:eastAsiaTheme="minorEastAsia"/>
          <w:color w:val="auto"/>
          <w:highlight w:val="none"/>
          <w:lang w:val="en-US" w:eastAsia="zh-CN"/>
        </w:rPr>
      </w:pPr>
      <w:bookmarkStart w:id="1124" w:name="_Toc53412275"/>
      <w:bookmarkStart w:id="1125" w:name="_Toc69678487"/>
      <w:bookmarkStart w:id="1126" w:name="_Toc42205050"/>
      <w:bookmarkStart w:id="1127" w:name="_Toc522397138"/>
      <w:bookmarkStart w:id="1128" w:name="_Toc81331005"/>
      <w:bookmarkStart w:id="1129" w:name="_Toc45976964"/>
      <w:bookmarkStart w:id="1130" w:name="_Toc75783590"/>
      <w:r>
        <w:rPr>
          <w:rFonts w:hint="eastAsia" w:asciiTheme="minorEastAsia" w:hAnsiTheme="minorEastAsia" w:eastAsiaTheme="minorEastAsia"/>
          <w:color w:val="auto"/>
          <w:highlight w:val="none"/>
        </w:rPr>
        <w:t>注：</w:t>
      </w:r>
      <w:r>
        <w:rPr>
          <w:rFonts w:hint="eastAsia" w:asciiTheme="minorEastAsia" w:hAnsiTheme="minorEastAsia" w:eastAsiaTheme="minorEastAsia"/>
          <w:color w:val="auto"/>
          <w:highlight w:val="none"/>
          <w:lang w:val="en-US" w:eastAsia="zh-CN"/>
        </w:rPr>
        <w:t>①提供2025年01月至今任意3个月依法缴纳税收的证明(成立未满1个月的提供成立以来的税收缴纳凭据；依法免税的供应商，应提供相应文件证明其依法免税)（复印件加盖公章）。</w:t>
      </w:r>
    </w:p>
    <w:p w14:paraId="331C75C3">
      <w:pPr>
        <w:tabs>
          <w:tab w:val="left" w:pos="709"/>
        </w:tabs>
        <w:spacing w:line="360" w:lineRule="auto"/>
        <w:ind w:firstLine="840" w:firstLineChars="400"/>
        <w:jc w:val="left"/>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②提供2025年01月至今任意3个月依法缴纳社会保障资金的证明(成立未满1个月的提供成立以来社会保障资金缴纳凭据；依法不需要缴纳社会保障资金的供应商，应提供相应文件证明其依法不需要缴纳社会保障资金)（复印件加盖公章）。</w:t>
      </w:r>
    </w:p>
    <w:p w14:paraId="3692475D">
      <w:pPr>
        <w:tabs>
          <w:tab w:val="left" w:pos="709"/>
        </w:tabs>
        <w:spacing w:line="360" w:lineRule="auto"/>
        <w:ind w:firstLine="1124" w:firstLineChars="400"/>
        <w:jc w:val="left"/>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14:paraId="24C88D5C">
      <w:pPr>
        <w:spacing w:line="360" w:lineRule="auto"/>
        <w:jc w:val="center"/>
        <w:outlineLvl w:val="2"/>
        <w:rPr>
          <w:rFonts w:hint="eastAsia" w:asciiTheme="minorEastAsia" w:hAnsiTheme="minorEastAsia" w:eastAsiaTheme="minorEastAsia"/>
          <w:b/>
          <w:color w:val="auto"/>
          <w:sz w:val="28"/>
          <w:szCs w:val="28"/>
          <w:highlight w:val="none"/>
        </w:rPr>
      </w:pPr>
      <w:bookmarkStart w:id="1131" w:name="_Toc98865072"/>
      <w:bookmarkStart w:id="1132" w:name="_Toc4146"/>
      <w:bookmarkStart w:id="1133" w:name="_Toc116584068"/>
      <w:bookmarkStart w:id="1134" w:name="_Toc109809383"/>
      <w:bookmarkStart w:id="1135" w:name="_Toc110405202"/>
      <w:r>
        <w:rPr>
          <w:rFonts w:hint="eastAsia" w:asciiTheme="minorEastAsia" w:hAnsiTheme="minorEastAsia" w:eastAsiaTheme="minorEastAsia"/>
          <w:b/>
          <w:color w:val="auto"/>
          <w:sz w:val="28"/>
          <w:szCs w:val="28"/>
          <w:highlight w:val="none"/>
        </w:rPr>
        <w:t>（五）</w:t>
      </w:r>
      <w:r>
        <w:rPr>
          <w:rFonts w:hint="eastAsia" w:asciiTheme="minorEastAsia" w:hAnsiTheme="minorEastAsia" w:eastAsiaTheme="minorEastAsia"/>
          <w:b/>
          <w:color w:val="auto"/>
          <w:sz w:val="28"/>
          <w:szCs w:val="28"/>
          <w:highlight w:val="none"/>
          <w:lang w:val="en-US" w:eastAsia="zh-CN"/>
        </w:rPr>
        <w:t>参加政府采购活动前三年内，在经营活动中没有重大违法记录</w:t>
      </w:r>
    </w:p>
    <w:p w14:paraId="3CE3BC58">
      <w:pPr>
        <w:spacing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注：</w:t>
      </w:r>
      <w:r>
        <w:rPr>
          <w:rFonts w:hint="eastAsia" w:asciiTheme="minorEastAsia" w:hAnsiTheme="minorEastAsia" w:eastAsiaTheme="minorEastAsia"/>
          <w:color w:val="auto"/>
          <w:highlight w:val="none"/>
          <w:lang w:val="en-US" w:eastAsia="zh-CN"/>
        </w:rPr>
        <w:t>提供参加政府采购活动前三年内在经营活动中没有重大违法记录的书面声明。</w:t>
      </w:r>
    </w:p>
    <w:p w14:paraId="46C3B15D">
      <w:pPr>
        <w:widowControl/>
        <w:jc w:val="left"/>
        <w:rPr>
          <w:rFonts w:hint="eastAsia" w:asciiTheme="minorEastAsia" w:hAnsiTheme="minorEastAsia" w:eastAsiaTheme="minorEastAsia"/>
          <w:color w:val="auto"/>
          <w:highlight w:val="none"/>
        </w:rPr>
      </w:pPr>
      <w:r>
        <w:rPr>
          <w:rFonts w:asciiTheme="minorEastAsia" w:hAnsiTheme="minorEastAsia" w:eastAsiaTheme="minorEastAsia"/>
          <w:b/>
          <w:color w:val="auto"/>
          <w:sz w:val="28"/>
          <w:szCs w:val="28"/>
          <w:highlight w:val="none"/>
        </w:rPr>
        <w:br w:type="page"/>
      </w:r>
    </w:p>
    <w:bookmarkEnd w:id="1108"/>
    <w:bookmarkEnd w:id="1109"/>
    <w:bookmarkEnd w:id="1110"/>
    <w:bookmarkEnd w:id="1124"/>
    <w:bookmarkEnd w:id="1125"/>
    <w:bookmarkEnd w:id="1126"/>
    <w:bookmarkEnd w:id="1127"/>
    <w:bookmarkEnd w:id="1128"/>
    <w:bookmarkEnd w:id="1129"/>
    <w:bookmarkEnd w:id="1130"/>
    <w:bookmarkEnd w:id="1131"/>
    <w:bookmarkEnd w:id="1132"/>
    <w:bookmarkEnd w:id="1133"/>
    <w:bookmarkEnd w:id="1134"/>
    <w:bookmarkEnd w:id="1135"/>
    <w:p w14:paraId="14FE9559">
      <w:pPr>
        <w:spacing w:line="360" w:lineRule="auto"/>
        <w:jc w:val="center"/>
        <w:outlineLvl w:val="2"/>
        <w:rPr>
          <w:rFonts w:hint="eastAsia" w:asciiTheme="minorEastAsia" w:hAnsiTheme="minorEastAsia" w:eastAsiaTheme="minorEastAsia"/>
          <w:b/>
          <w:color w:val="auto"/>
          <w:sz w:val="28"/>
          <w:szCs w:val="28"/>
          <w:highlight w:val="none"/>
        </w:rPr>
      </w:pPr>
      <w:bookmarkStart w:id="1136" w:name="_Toc158233418"/>
      <w:bookmarkStart w:id="1137" w:name="_Toc128658856"/>
      <w:bookmarkStart w:id="1138" w:name="_Toc21376"/>
      <w:bookmarkStart w:id="1139" w:name="_Toc103586124"/>
      <w:bookmarkStart w:id="1140" w:name="_Toc42205066"/>
      <w:bookmarkStart w:id="1141" w:name="_Toc37603119"/>
      <w:r>
        <w:rPr>
          <w:rFonts w:hint="eastAsia" w:asciiTheme="minorEastAsia" w:hAnsiTheme="minorEastAsia" w:eastAsiaTheme="minorEastAsia"/>
          <w:b/>
          <w:color w:val="auto"/>
          <w:sz w:val="28"/>
          <w:szCs w:val="28"/>
          <w:highlight w:val="none"/>
          <w:lang w:eastAsia="zh-CN"/>
        </w:rPr>
        <w:t>（</w:t>
      </w:r>
      <w:r>
        <w:rPr>
          <w:rFonts w:hint="eastAsia" w:asciiTheme="minorEastAsia" w:hAnsiTheme="minorEastAsia" w:eastAsiaTheme="minorEastAsia"/>
          <w:b/>
          <w:color w:val="auto"/>
          <w:sz w:val="28"/>
          <w:szCs w:val="28"/>
          <w:highlight w:val="none"/>
          <w:lang w:val="en-US" w:eastAsia="zh-CN"/>
        </w:rPr>
        <w:t>六</w:t>
      </w:r>
      <w:r>
        <w:rPr>
          <w:rFonts w:hint="eastAsia" w:asciiTheme="minorEastAsia" w:hAnsiTheme="minorEastAsia" w:eastAsiaTheme="minorEastAsia"/>
          <w:b/>
          <w:color w:val="auto"/>
          <w:sz w:val="28"/>
          <w:szCs w:val="28"/>
          <w:highlight w:val="none"/>
          <w:lang w:eastAsia="zh-CN"/>
        </w:rPr>
        <w:t>）</w:t>
      </w:r>
      <w:r>
        <w:rPr>
          <w:rFonts w:hint="eastAsia" w:asciiTheme="minorEastAsia" w:hAnsiTheme="minorEastAsia" w:eastAsiaTheme="minorEastAsia"/>
          <w:b/>
          <w:color w:val="auto"/>
          <w:sz w:val="28"/>
          <w:szCs w:val="28"/>
          <w:highlight w:val="none"/>
          <w:lang w:val="en-US" w:eastAsia="zh-CN"/>
        </w:rPr>
        <w:t>法律、行政法规规定的其他条件</w:t>
      </w:r>
    </w:p>
    <w:p w14:paraId="5B211EEE">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1.6.1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58D8CBB">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1.6.2信誉要求：①在递交响应文件时，供应商的投标资格未被依法暂停或者被取消，未处于被责令停产停业、暂扣或者吊销执照，未进入清算程序或被宣告破产，无较大数额罚款等行政处罚，无其他丧失履约能力的情形(提供书面承诺);</w:t>
      </w:r>
    </w:p>
    <w:p w14:paraId="203D5BC8">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②供应商在国家企业信用信息公示系统(http://www.gsxt.gov.cn/)中没有被列入严重违法失信名单(黑名单)信息；在“信用中国”网站(http://www.creditchina.gov.cn/)或“中国执行信息公开网”网站(http://zxgk.court.gov.cn/)中没有被列入失信被执行人名单;在中国政府采购网（www.ccgp.gov.cn）政府采购严重违法失信行为记录名单中无不良信息记录（查询时间为本公告发布之日起至提交响应文件截止时间止，查询结果以采购人、采购代理机构查询结果为准，并将查询记录和证据留存）。</w:t>
      </w:r>
    </w:p>
    <w:p w14:paraId="69A9CC34">
      <w:pPr>
        <w:rPr>
          <w:rFonts w:hint="eastAsia"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br w:type="page"/>
      </w:r>
    </w:p>
    <w:p w14:paraId="4583A1FE">
      <w:pPr>
        <w:spacing w:line="360" w:lineRule="auto"/>
        <w:jc w:val="center"/>
        <w:outlineLvl w:val="2"/>
        <w:rPr>
          <w:rFonts w:hint="eastAsia" w:cs="Times New Roman" w:asciiTheme="minorEastAsia" w:hAnsiTheme="minorEastAsia" w:eastAsiaTheme="minorEastAsia"/>
          <w:b/>
          <w:color w:val="auto"/>
          <w:sz w:val="28"/>
          <w:szCs w:val="28"/>
          <w:highlight w:val="none"/>
          <w:lang w:eastAsia="zh-CN"/>
        </w:rPr>
      </w:pPr>
      <w:r>
        <w:rPr>
          <w:rFonts w:hint="eastAsia" w:cs="Times New Roman" w:asciiTheme="minorEastAsia" w:hAnsiTheme="minorEastAsia" w:eastAsiaTheme="minorEastAsia"/>
          <w:b/>
          <w:color w:val="auto"/>
          <w:sz w:val="28"/>
          <w:szCs w:val="28"/>
          <w:highlight w:val="none"/>
          <w:lang w:eastAsia="zh-CN"/>
        </w:rPr>
        <w:t>（</w:t>
      </w:r>
      <w:r>
        <w:rPr>
          <w:rFonts w:hint="eastAsia" w:cs="Times New Roman" w:asciiTheme="minorEastAsia" w:hAnsiTheme="minorEastAsia" w:eastAsiaTheme="minorEastAsia"/>
          <w:b/>
          <w:color w:val="auto"/>
          <w:sz w:val="28"/>
          <w:szCs w:val="28"/>
          <w:highlight w:val="none"/>
          <w:lang w:val="en-US" w:eastAsia="zh-CN"/>
        </w:rPr>
        <w:t>七</w:t>
      </w:r>
      <w:r>
        <w:rPr>
          <w:rFonts w:hint="eastAsia" w:cs="Times New Roman" w:asciiTheme="minorEastAsia" w:hAnsiTheme="minorEastAsia" w:eastAsiaTheme="minorEastAsia"/>
          <w:b/>
          <w:color w:val="auto"/>
          <w:sz w:val="28"/>
          <w:szCs w:val="28"/>
          <w:highlight w:val="none"/>
          <w:lang w:eastAsia="zh-CN"/>
        </w:rPr>
        <w:t>）特定资格要求</w:t>
      </w:r>
    </w:p>
    <w:p w14:paraId="6101D1C6">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注：1、供应商需具有有效的《食品经营许可证》，若供应商为生产企业的须提供《食品生产许可证》（原件扫描件加盖公章）。</w:t>
      </w:r>
    </w:p>
    <w:p w14:paraId="2455A84D">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2、近三年在经营活动中无食品安全事故发生事件，供应商提供书面承诺(加盖公章)。</w:t>
      </w:r>
    </w:p>
    <w:p w14:paraId="7DFF586D">
      <w:pPr>
        <w:spacing w:line="360"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3、供应商不允许以任何形式转包、转租，若供应商虚假承诺，一经查实，取消成交资格，供应商提供书面承诺(加盖公章)。</w:t>
      </w:r>
    </w:p>
    <w:p w14:paraId="1DA17859">
      <w:pPr>
        <w:bidi w:val="0"/>
        <w:rPr>
          <w:rFonts w:hint="eastAsia"/>
          <w:highlight w:val="none"/>
        </w:rPr>
      </w:pPr>
      <w:r>
        <w:rPr>
          <w:rFonts w:hint="eastAsia"/>
          <w:highlight w:val="none"/>
        </w:rPr>
        <w:br w:type="page"/>
      </w:r>
    </w:p>
    <w:p w14:paraId="36229739">
      <w:pPr>
        <w:spacing w:line="360" w:lineRule="auto"/>
        <w:jc w:val="center"/>
        <w:outlineLvl w:val="1"/>
        <w:rPr>
          <w:rFonts w:hint="eastAsia"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二、商务报价文件</w:t>
      </w:r>
      <w:bookmarkEnd w:id="1136"/>
      <w:bookmarkEnd w:id="1137"/>
    </w:p>
    <w:p w14:paraId="68102ED6">
      <w:pPr>
        <w:spacing w:line="360" w:lineRule="auto"/>
        <w:jc w:val="center"/>
        <w:outlineLvl w:val="2"/>
        <w:rPr>
          <w:rFonts w:hint="eastAsia" w:asciiTheme="minorEastAsia" w:hAnsiTheme="minorEastAsia" w:eastAsiaTheme="minorEastAsia"/>
          <w:b/>
          <w:color w:val="auto"/>
          <w:sz w:val="28"/>
          <w:szCs w:val="28"/>
          <w:highlight w:val="none"/>
        </w:rPr>
      </w:pPr>
      <w:bookmarkStart w:id="1142" w:name="_Toc116584073"/>
      <w:r>
        <w:rPr>
          <w:rFonts w:hint="eastAsia" w:asciiTheme="minorEastAsia" w:hAnsiTheme="minorEastAsia" w:eastAsiaTheme="minorEastAsia"/>
          <w:b/>
          <w:color w:val="auto"/>
          <w:sz w:val="28"/>
          <w:szCs w:val="28"/>
          <w:highlight w:val="none"/>
        </w:rPr>
        <w:t>（一）磋商</w:t>
      </w:r>
      <w:r>
        <w:rPr>
          <w:rFonts w:asciiTheme="minorEastAsia" w:hAnsiTheme="minorEastAsia" w:eastAsiaTheme="minorEastAsia"/>
          <w:b/>
          <w:color w:val="auto"/>
          <w:sz w:val="28"/>
          <w:szCs w:val="28"/>
          <w:highlight w:val="none"/>
        </w:rPr>
        <w:t>函</w:t>
      </w:r>
      <w:bookmarkEnd w:id="1142"/>
    </w:p>
    <w:p w14:paraId="4FE1AC5F">
      <w:pPr>
        <w:spacing w:line="36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致：</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（采购人名称）</w:t>
      </w:r>
    </w:p>
    <w:p w14:paraId="1F9E902E">
      <w:pPr>
        <w:wordWrap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.根据你方采购项目编号为</w:t>
      </w:r>
      <w:r>
        <w:rPr>
          <w:rFonts w:hint="eastAsia" w:asciiTheme="minorEastAsia" w:hAnsiTheme="minorEastAsia" w:eastAsiaTheme="minorEastAsia"/>
          <w:color w:val="auto"/>
          <w:szCs w:val="21"/>
          <w:highlight w:val="none"/>
          <w:u w:val="single"/>
        </w:rPr>
        <w:t xml:space="preserve">  （项目编号）  </w:t>
      </w:r>
      <w:r>
        <w:rPr>
          <w:rFonts w:hint="eastAsia"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（项目名称）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采购文件，遵照《中华人民共和国政府采购法》、《中华人民共和国政府采购法实施条例》等相关法律法规的规定，经研究上述采购文件的供应商须知及采购需求后，</w:t>
      </w:r>
      <w:r>
        <w:rPr>
          <w:rFonts w:hint="eastAsia" w:asciiTheme="minorEastAsia" w:hAnsiTheme="minorEastAsia" w:eastAsiaTheme="minorEastAsia"/>
          <w:snapToGrid w:val="0"/>
          <w:color w:val="auto"/>
          <w:kern w:val="0"/>
          <w:szCs w:val="21"/>
          <w:highlight w:val="none"/>
        </w:rPr>
        <w:t>我方愿意按照“报价一览表”中的报价</w:t>
      </w:r>
      <w:r>
        <w:rPr>
          <w:rFonts w:hint="eastAsia" w:asciiTheme="minorEastAsia" w:hAnsiTheme="minorEastAsia" w:eastAsiaTheme="minorEastAsia"/>
          <w:color w:val="auto"/>
          <w:highlight w:val="none"/>
        </w:rPr>
        <w:t>参与本项目的竞争性磋商活动。</w:t>
      </w:r>
    </w:p>
    <w:p w14:paraId="210DFC1F">
      <w:pPr>
        <w:wordWrap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.我方承诺我方所提交的响应文件在采购文件第二章“供应商须知”前附表第3</w:t>
      </w:r>
      <w:r>
        <w:rPr>
          <w:rFonts w:asciiTheme="minorEastAsia" w:hAnsiTheme="minorEastAsia" w:eastAsiaTheme="minorEastAsia"/>
          <w:color w:val="auto"/>
          <w:szCs w:val="21"/>
          <w:highlight w:val="none"/>
        </w:rPr>
        <w:t>.3.1</w:t>
      </w:r>
      <w:r>
        <w:rPr>
          <w:rFonts w:hint="eastAsia" w:asciiTheme="minorEastAsia" w:hAnsiTheme="minorEastAsia" w:eastAsiaTheme="minorEastAsia"/>
          <w:color w:val="auto"/>
          <w:szCs w:val="21"/>
          <w:highlight w:val="none"/>
        </w:rPr>
        <w:t>项规定的磋商有效期内有效。</w:t>
      </w:r>
    </w:p>
    <w:p w14:paraId="308DE8B6">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如我方</w:t>
      </w:r>
      <w:r>
        <w:rPr>
          <w:rFonts w:hint="eastAsia" w:asciiTheme="minorEastAsia" w:hAnsiTheme="minorEastAsia" w:eastAsiaTheme="minorEastAsia"/>
          <w:color w:val="auto"/>
          <w:szCs w:val="21"/>
          <w:highlight w:val="none"/>
        </w:rPr>
        <w:t>成交</w:t>
      </w:r>
      <w:r>
        <w:rPr>
          <w:rFonts w:asciiTheme="minorEastAsia" w:hAnsiTheme="minorEastAsia" w:eastAsiaTheme="minorEastAsia"/>
          <w:color w:val="auto"/>
          <w:szCs w:val="21"/>
          <w:highlight w:val="none"/>
        </w:rPr>
        <w:t>：</w:t>
      </w:r>
    </w:p>
    <w:p w14:paraId="4F25517A">
      <w:pPr>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（1）我方承诺在收到</w:t>
      </w:r>
      <w:r>
        <w:rPr>
          <w:rFonts w:hint="eastAsia" w:asciiTheme="minorEastAsia" w:hAnsiTheme="minorEastAsia" w:eastAsiaTheme="minorEastAsia"/>
          <w:color w:val="auto"/>
          <w:szCs w:val="21"/>
          <w:highlight w:val="none"/>
        </w:rPr>
        <w:t>成交通知书</w:t>
      </w:r>
      <w:r>
        <w:rPr>
          <w:rFonts w:asciiTheme="minorEastAsia" w:hAnsiTheme="minorEastAsia" w:eastAsiaTheme="minorEastAsia"/>
          <w:color w:val="auto"/>
          <w:szCs w:val="21"/>
          <w:highlight w:val="none"/>
        </w:rPr>
        <w:t>后，在</w:t>
      </w:r>
      <w:r>
        <w:rPr>
          <w:rFonts w:hint="eastAsia" w:asciiTheme="minorEastAsia" w:hAnsiTheme="minorEastAsia" w:eastAsiaTheme="minorEastAsia"/>
          <w:color w:val="auto"/>
          <w:szCs w:val="21"/>
          <w:highlight w:val="none"/>
        </w:rPr>
        <w:t>成交通知书</w:t>
      </w:r>
      <w:r>
        <w:rPr>
          <w:rFonts w:asciiTheme="minorEastAsia" w:hAnsiTheme="minorEastAsia" w:eastAsiaTheme="minorEastAsia"/>
          <w:color w:val="auto"/>
          <w:szCs w:val="21"/>
          <w:highlight w:val="none"/>
        </w:rPr>
        <w:t>规定的期限内与你方签订合同</w:t>
      </w:r>
      <w:r>
        <w:rPr>
          <w:rFonts w:hint="eastAsia" w:asciiTheme="minorEastAsia" w:hAnsiTheme="minorEastAsia" w:eastAsiaTheme="minorEastAsia"/>
          <w:color w:val="auto"/>
          <w:szCs w:val="21"/>
          <w:highlight w:val="none"/>
        </w:rPr>
        <w:t>；</w:t>
      </w:r>
    </w:p>
    <w:p w14:paraId="65B39A79">
      <w:pPr>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）我方承诺在合同约定的</w:t>
      </w:r>
      <w:r>
        <w:rPr>
          <w:rFonts w:hint="eastAsia" w:asciiTheme="minorEastAsia" w:hAnsiTheme="minorEastAsia" w:eastAsiaTheme="minorEastAsia"/>
          <w:color w:val="auto"/>
          <w:szCs w:val="21"/>
          <w:highlight w:val="none"/>
          <w:lang w:eastAsia="zh-CN"/>
        </w:rPr>
        <w:t>合同履行期限</w:t>
      </w:r>
      <w:r>
        <w:rPr>
          <w:rFonts w:asciiTheme="minorEastAsia" w:hAnsiTheme="minorEastAsia" w:eastAsiaTheme="minorEastAsia"/>
          <w:color w:val="auto"/>
          <w:szCs w:val="21"/>
          <w:highlight w:val="none"/>
        </w:rPr>
        <w:t>内</w:t>
      </w:r>
      <w:r>
        <w:rPr>
          <w:rFonts w:hint="eastAsia" w:asciiTheme="minorEastAsia" w:hAnsiTheme="minorEastAsia" w:eastAsiaTheme="minorEastAsia"/>
          <w:color w:val="auto"/>
          <w:szCs w:val="21"/>
          <w:highlight w:val="none"/>
        </w:rPr>
        <w:t>按你方要求</w:t>
      </w:r>
      <w:r>
        <w:rPr>
          <w:rFonts w:asciiTheme="minorEastAsia" w:hAnsiTheme="minorEastAsia" w:eastAsiaTheme="minorEastAsia"/>
          <w:color w:val="auto"/>
          <w:szCs w:val="21"/>
          <w:highlight w:val="none"/>
        </w:rPr>
        <w:t>完</w:t>
      </w:r>
      <w:r>
        <w:rPr>
          <w:rFonts w:hint="eastAsia" w:asciiTheme="minorEastAsia" w:hAnsiTheme="minorEastAsia" w:eastAsiaTheme="minorEastAsia"/>
          <w:color w:val="auto"/>
          <w:szCs w:val="21"/>
          <w:highlight w:val="none"/>
        </w:rPr>
        <w:t>所有服务工作</w:t>
      </w:r>
      <w:r>
        <w:rPr>
          <w:rFonts w:asciiTheme="minorEastAsia" w:hAnsiTheme="minorEastAsia" w:eastAsiaTheme="minorEastAsia"/>
          <w:color w:val="auto"/>
          <w:szCs w:val="21"/>
          <w:highlight w:val="none"/>
        </w:rPr>
        <w:t>。</w:t>
      </w:r>
    </w:p>
    <w:p w14:paraId="3639F60A">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我方在此声明，所</w:t>
      </w:r>
      <w:r>
        <w:rPr>
          <w:rFonts w:hint="eastAsia" w:asciiTheme="minorEastAsia" w:hAnsiTheme="minorEastAsia" w:eastAsiaTheme="minorEastAsia"/>
          <w:color w:val="auto"/>
          <w:szCs w:val="21"/>
          <w:highlight w:val="none"/>
        </w:rPr>
        <w:t>提</w:t>
      </w:r>
      <w:r>
        <w:rPr>
          <w:rFonts w:asciiTheme="minorEastAsia" w:hAnsiTheme="minorEastAsia" w:eastAsiaTheme="minorEastAsia"/>
          <w:color w:val="auto"/>
          <w:szCs w:val="21"/>
          <w:highlight w:val="none"/>
        </w:rPr>
        <w:t>交的</w:t>
      </w:r>
      <w:r>
        <w:rPr>
          <w:rFonts w:hint="eastAsia" w:asciiTheme="minorEastAsia" w:hAnsiTheme="minorEastAsia" w:eastAsiaTheme="minorEastAsia"/>
          <w:color w:val="auto"/>
          <w:szCs w:val="21"/>
          <w:highlight w:val="none"/>
        </w:rPr>
        <w:t>响应</w:t>
      </w:r>
      <w:r>
        <w:rPr>
          <w:rFonts w:asciiTheme="minorEastAsia" w:hAnsiTheme="minorEastAsia" w:eastAsiaTheme="minorEastAsia"/>
          <w:color w:val="auto"/>
          <w:szCs w:val="21"/>
          <w:highlight w:val="none"/>
        </w:rPr>
        <w:t>文件及有关资料内容完整、真实和准确。</w:t>
      </w:r>
    </w:p>
    <w:p w14:paraId="68A0AE8E">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5.在合同协议书正式签署生效之前，本磋商函连同你方的成交通知书将构成我们双方之间共同遵守的文件，对双方具有约束力。</w:t>
      </w:r>
    </w:p>
    <w:p w14:paraId="77555E04">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（其他补充说明）。</w:t>
      </w:r>
    </w:p>
    <w:p w14:paraId="2104B6E4">
      <w:pPr>
        <w:autoSpaceDE w:val="0"/>
        <w:autoSpaceDN w:val="0"/>
        <w:adjustRightInd w:val="0"/>
        <w:spacing w:line="36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p>
    <w:p w14:paraId="4CE910FC">
      <w:pPr>
        <w:autoSpaceDE w:val="0"/>
        <w:autoSpaceDN w:val="0"/>
        <w:adjustRightInd w:val="0"/>
        <w:spacing w:line="360" w:lineRule="auto"/>
        <w:rPr>
          <w:rFonts w:hint="eastAsia" w:asciiTheme="minorEastAsia" w:hAnsiTheme="minorEastAsia" w:eastAsiaTheme="minorEastAsia"/>
          <w:color w:val="auto"/>
          <w:szCs w:val="21"/>
          <w:highlight w:val="none"/>
        </w:rPr>
      </w:pPr>
    </w:p>
    <w:p w14:paraId="243D6A51">
      <w:pPr>
        <w:autoSpaceDE w:val="0"/>
        <w:autoSpaceDN w:val="0"/>
        <w:adjustRightInd w:val="0"/>
        <w:spacing w:line="480" w:lineRule="auto"/>
        <w:rPr>
          <w:rFonts w:hint="eastAsia" w:asciiTheme="minorEastAsia" w:hAnsiTheme="minorEastAsia" w:eastAsiaTheme="minorEastAsia"/>
          <w:color w:val="auto"/>
          <w:szCs w:val="21"/>
          <w:highlight w:val="none"/>
        </w:rPr>
      </w:pPr>
    </w:p>
    <w:p w14:paraId="632465F0">
      <w:pPr>
        <w:autoSpaceDE w:val="0"/>
        <w:autoSpaceDN w:val="0"/>
        <w:adjustRightInd w:val="0"/>
        <w:spacing w:line="360" w:lineRule="auto"/>
        <w:ind w:firstLine="5040" w:firstLineChars="24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供应商：</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color w:val="auto"/>
          <w:szCs w:val="21"/>
          <w:highlight w:val="none"/>
          <w:u w:val="single"/>
        </w:rPr>
        <w:t>电子签章</w:t>
      </w:r>
      <w:r>
        <w:rPr>
          <w:rFonts w:hint="eastAsia" w:asciiTheme="minorEastAsia" w:hAnsiTheme="minorEastAsia" w:eastAsiaTheme="minorEastAsia"/>
          <w:bCs/>
          <w:color w:val="auto"/>
          <w:szCs w:val="21"/>
          <w:highlight w:val="none"/>
          <w:u w:val="single"/>
        </w:rPr>
        <w:t>）</w:t>
      </w:r>
    </w:p>
    <w:p w14:paraId="06679117">
      <w:pPr>
        <w:autoSpaceDE w:val="0"/>
        <w:autoSpaceDN w:val="0"/>
        <w:adjustRightInd w:val="0"/>
        <w:spacing w:line="360" w:lineRule="auto"/>
        <w:ind w:firstLine="5040" w:firstLineChars="24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法定代表人：</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 xml:space="preserve">   (电子签章)</w:t>
      </w:r>
      <w:r>
        <w:rPr>
          <w:rFonts w:asciiTheme="minorEastAsia" w:hAnsiTheme="minorEastAsia" w:eastAsiaTheme="minorEastAsia"/>
          <w:bCs/>
          <w:color w:val="auto"/>
          <w:szCs w:val="21"/>
          <w:highlight w:val="none"/>
          <w:u w:val="single"/>
        </w:rPr>
        <w:t xml:space="preserve"> </w:t>
      </w:r>
    </w:p>
    <w:p w14:paraId="4E35DE38">
      <w:pPr>
        <w:autoSpaceDE w:val="0"/>
        <w:autoSpaceDN w:val="0"/>
        <w:adjustRightInd w:val="0"/>
        <w:spacing w:line="360" w:lineRule="auto"/>
        <w:ind w:firstLine="5040" w:firstLineChars="2400"/>
        <w:jc w:val="left"/>
        <w:rPr>
          <w:rFonts w:hint="eastAsia" w:asciiTheme="minorEastAsia" w:hAnsiTheme="minorEastAsia" w:eastAsiaTheme="minorEastAsia"/>
          <w:bCs/>
          <w:color w:val="auto"/>
          <w:szCs w:val="21"/>
          <w:highlight w:val="none"/>
          <w:u w:val="single"/>
        </w:rPr>
      </w:pPr>
      <w:r>
        <w:rPr>
          <w:rFonts w:hint="eastAsia" w:asciiTheme="minorEastAsia" w:hAnsiTheme="minorEastAsia" w:eastAsiaTheme="minorEastAsia"/>
          <w:bCs/>
          <w:color w:val="auto"/>
          <w:szCs w:val="21"/>
          <w:highlight w:val="none"/>
        </w:rPr>
        <w:t>地址：</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p>
    <w:p w14:paraId="039AF366">
      <w:pPr>
        <w:autoSpaceDE w:val="0"/>
        <w:autoSpaceDN w:val="0"/>
        <w:adjustRightInd w:val="0"/>
        <w:spacing w:line="360" w:lineRule="auto"/>
        <w:ind w:firstLine="5040" w:firstLineChars="2400"/>
        <w:jc w:val="left"/>
        <w:rPr>
          <w:rFonts w:hint="eastAsia" w:asciiTheme="minorEastAsia" w:hAnsiTheme="minorEastAsia" w:eastAsiaTheme="minorEastAsia"/>
          <w:bCs/>
          <w:color w:val="auto"/>
          <w:szCs w:val="21"/>
          <w:highlight w:val="none"/>
          <w:u w:val="single"/>
        </w:rPr>
      </w:pPr>
      <w:r>
        <w:rPr>
          <w:rFonts w:hint="eastAsia" w:asciiTheme="minorEastAsia" w:hAnsiTheme="minorEastAsia" w:eastAsiaTheme="minorEastAsia"/>
          <w:bCs/>
          <w:color w:val="auto"/>
          <w:szCs w:val="21"/>
          <w:highlight w:val="none"/>
        </w:rPr>
        <w:t>电话：</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p>
    <w:p w14:paraId="6A78367E">
      <w:pPr>
        <w:autoSpaceDE w:val="0"/>
        <w:autoSpaceDN w:val="0"/>
        <w:adjustRightInd w:val="0"/>
        <w:spacing w:line="360" w:lineRule="auto"/>
        <w:ind w:firstLine="5040" w:firstLineChars="24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日期：</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年</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月</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日</w:t>
      </w:r>
    </w:p>
    <w:p w14:paraId="20CF6095">
      <w:pPr>
        <w:autoSpaceDE w:val="0"/>
        <w:autoSpaceDN w:val="0"/>
        <w:adjustRightInd w:val="0"/>
        <w:spacing w:line="360" w:lineRule="auto"/>
        <w:ind w:firstLine="4305" w:firstLineChars="2050"/>
        <w:rPr>
          <w:rFonts w:hint="eastAsia" w:asciiTheme="minorEastAsia" w:hAnsiTheme="minorEastAsia" w:eastAsiaTheme="minorEastAsia"/>
          <w:color w:val="auto"/>
          <w:szCs w:val="21"/>
          <w:highlight w:val="none"/>
        </w:rPr>
      </w:pPr>
    </w:p>
    <w:p w14:paraId="4EB901AE">
      <w:pPr>
        <w:spacing w:line="360" w:lineRule="auto"/>
        <w:rPr>
          <w:rFonts w:hint="eastAsia" w:asciiTheme="minorEastAsia" w:hAnsiTheme="minorEastAsia" w:eastAsiaTheme="minorEastAsia"/>
          <w:color w:val="auto"/>
          <w:highlight w:val="none"/>
        </w:rPr>
      </w:pPr>
    </w:p>
    <w:p w14:paraId="2A8249FA">
      <w:pPr>
        <w:spacing w:line="360" w:lineRule="auto"/>
        <w:rPr>
          <w:rFonts w:hint="eastAsia" w:asciiTheme="minorEastAsia" w:hAnsiTheme="minorEastAsia" w:eastAsiaTheme="minorEastAsia"/>
          <w:color w:val="auto"/>
          <w:highlight w:val="none"/>
        </w:rPr>
      </w:pPr>
    </w:p>
    <w:p w14:paraId="635CC686">
      <w:pPr>
        <w:spacing w:line="360" w:lineRule="auto"/>
        <w:rPr>
          <w:rFonts w:hint="eastAsia" w:asciiTheme="minorEastAsia" w:hAnsiTheme="minorEastAsia" w:eastAsiaTheme="minorEastAsia"/>
          <w:color w:val="auto"/>
          <w:highlight w:val="none"/>
        </w:rPr>
      </w:pPr>
    </w:p>
    <w:p w14:paraId="7938E030">
      <w:pPr>
        <w:spacing w:line="360" w:lineRule="auto"/>
        <w:rPr>
          <w:rFonts w:hint="eastAsia" w:asciiTheme="minorEastAsia" w:hAnsiTheme="minorEastAsia" w:eastAsiaTheme="minorEastAsia"/>
          <w:color w:val="auto"/>
          <w:highlight w:val="none"/>
        </w:rPr>
      </w:pPr>
    </w:p>
    <w:p w14:paraId="15FD85A7">
      <w:pPr>
        <w:widowControl/>
        <w:jc w:val="left"/>
        <w:rPr>
          <w:rFonts w:hint="eastAsia" w:asciiTheme="minorEastAsia" w:hAnsiTheme="minorEastAsia" w:eastAsiaTheme="minorEastAsia"/>
          <w:b/>
          <w:color w:val="auto"/>
          <w:sz w:val="28"/>
          <w:szCs w:val="28"/>
          <w:highlight w:val="none"/>
        </w:rPr>
      </w:pPr>
      <w:bookmarkStart w:id="1143" w:name="_Toc116584074"/>
    </w:p>
    <w:p w14:paraId="39FD2705">
      <w:pPr>
        <w:widowControl/>
        <w:jc w:val="left"/>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14:paraId="3FCEAC01">
      <w:pPr>
        <w:spacing w:line="360" w:lineRule="auto"/>
        <w:jc w:val="center"/>
        <w:outlineLvl w:val="2"/>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w:t>
      </w:r>
      <w:r>
        <w:rPr>
          <w:rFonts w:asciiTheme="minorEastAsia" w:hAnsiTheme="minorEastAsia" w:eastAsiaTheme="minorEastAsia"/>
          <w:b/>
          <w:color w:val="auto"/>
          <w:sz w:val="28"/>
          <w:szCs w:val="28"/>
          <w:highlight w:val="none"/>
        </w:rPr>
        <w:t>法定代表人身份证明</w:t>
      </w:r>
      <w:bookmarkEnd w:id="1143"/>
      <w:r>
        <w:rPr>
          <w:rFonts w:hint="eastAsia" w:asciiTheme="minorEastAsia" w:hAnsiTheme="minorEastAsia" w:eastAsiaTheme="minorEastAsia"/>
          <w:b/>
          <w:color w:val="auto"/>
          <w:sz w:val="28"/>
          <w:szCs w:val="28"/>
          <w:highlight w:val="none"/>
        </w:rPr>
        <w:t>及授权委托书</w:t>
      </w:r>
    </w:p>
    <w:p w14:paraId="76A97D40">
      <w:pPr>
        <w:spacing w:line="360" w:lineRule="auto"/>
        <w:jc w:val="center"/>
        <w:outlineLvl w:val="3"/>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1、</w:t>
      </w:r>
      <w:r>
        <w:rPr>
          <w:rFonts w:asciiTheme="minorEastAsia" w:hAnsiTheme="minorEastAsia" w:eastAsiaTheme="minorEastAsia"/>
          <w:b/>
          <w:color w:val="auto"/>
          <w:sz w:val="28"/>
          <w:szCs w:val="28"/>
          <w:highlight w:val="none"/>
        </w:rPr>
        <w:t>法定代表人身份证明</w:t>
      </w:r>
    </w:p>
    <w:p w14:paraId="5F36E6C0">
      <w:pPr>
        <w:spacing w:line="360" w:lineRule="auto"/>
        <w:rPr>
          <w:rFonts w:hint="eastAsia" w:asciiTheme="minorEastAsia" w:hAnsiTheme="minorEastAsia" w:eastAsiaTheme="minorEastAsia"/>
          <w:color w:val="auto"/>
          <w:highlight w:val="none"/>
        </w:rPr>
      </w:pPr>
    </w:p>
    <w:p w14:paraId="583F402C">
      <w:pPr>
        <w:spacing w:line="360" w:lineRule="auto"/>
        <w:ind w:firstLine="539" w:firstLineChars="257"/>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供应商：</w:t>
      </w:r>
      <w:r>
        <w:rPr>
          <w:rFonts w:hint="eastAsia" w:cs="仿宋_GB2312" w:asciiTheme="minorEastAsia" w:hAnsiTheme="minorEastAsia" w:eastAsiaTheme="minorEastAsia"/>
          <w:color w:val="auto"/>
          <w:szCs w:val="21"/>
          <w:highlight w:val="none"/>
          <w:u w:val="single"/>
        </w:rPr>
        <w:t xml:space="preserve">                                           </w:t>
      </w:r>
    </w:p>
    <w:p w14:paraId="0D8DAB75">
      <w:pPr>
        <w:spacing w:line="360" w:lineRule="auto"/>
        <w:ind w:firstLine="539" w:firstLineChars="257"/>
        <w:rPr>
          <w:rFonts w:hint="eastAsia"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单位性质：</w:t>
      </w:r>
      <w:r>
        <w:rPr>
          <w:rFonts w:hint="eastAsia" w:cs="仿宋_GB2312" w:asciiTheme="minorEastAsia" w:hAnsiTheme="minorEastAsia" w:eastAsiaTheme="minorEastAsia"/>
          <w:color w:val="auto"/>
          <w:szCs w:val="21"/>
          <w:highlight w:val="none"/>
          <w:u w:val="single"/>
        </w:rPr>
        <w:t xml:space="preserve">                                         </w:t>
      </w:r>
    </w:p>
    <w:p w14:paraId="0EF76852">
      <w:pPr>
        <w:spacing w:line="360" w:lineRule="auto"/>
        <w:ind w:firstLine="539" w:firstLineChars="257"/>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地    址：</w:t>
      </w:r>
      <w:r>
        <w:rPr>
          <w:rFonts w:hint="eastAsia" w:cs="仿宋_GB2312" w:asciiTheme="minorEastAsia" w:hAnsiTheme="minorEastAsia" w:eastAsiaTheme="minorEastAsia"/>
          <w:color w:val="auto"/>
          <w:szCs w:val="21"/>
          <w:highlight w:val="none"/>
          <w:u w:val="single"/>
        </w:rPr>
        <w:t xml:space="preserve">                                         </w:t>
      </w:r>
    </w:p>
    <w:p w14:paraId="4469C9D6">
      <w:pPr>
        <w:spacing w:line="360" w:lineRule="auto"/>
        <w:ind w:firstLine="539" w:firstLineChars="257"/>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成立时间：</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年</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月</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日</w:t>
      </w:r>
    </w:p>
    <w:p w14:paraId="2970EB7D">
      <w:pPr>
        <w:spacing w:line="360" w:lineRule="auto"/>
        <w:ind w:firstLine="539" w:firstLineChars="257"/>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经营期限：</w:t>
      </w:r>
      <w:r>
        <w:rPr>
          <w:rFonts w:hint="eastAsia" w:cs="仿宋_GB2312" w:asciiTheme="minorEastAsia" w:hAnsiTheme="minorEastAsia" w:eastAsiaTheme="minorEastAsia"/>
          <w:color w:val="auto"/>
          <w:szCs w:val="21"/>
          <w:highlight w:val="none"/>
          <w:u w:val="single"/>
        </w:rPr>
        <w:t xml:space="preserve">                                         </w:t>
      </w:r>
    </w:p>
    <w:p w14:paraId="6C06DE98">
      <w:pPr>
        <w:spacing w:line="360" w:lineRule="auto"/>
        <w:ind w:firstLine="539" w:firstLineChars="257"/>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姓    名：</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 xml:space="preserve">    性    别：</w:t>
      </w:r>
      <w:r>
        <w:rPr>
          <w:rFonts w:hint="eastAsia" w:cs="仿宋_GB2312" w:asciiTheme="minorEastAsia" w:hAnsiTheme="minorEastAsia" w:eastAsiaTheme="minorEastAsia"/>
          <w:color w:val="auto"/>
          <w:szCs w:val="21"/>
          <w:highlight w:val="none"/>
          <w:u w:val="single"/>
        </w:rPr>
        <w:t xml:space="preserve">           </w:t>
      </w:r>
    </w:p>
    <w:p w14:paraId="5E96524C">
      <w:pPr>
        <w:spacing w:line="360" w:lineRule="auto"/>
        <w:ind w:firstLine="539" w:firstLineChars="257"/>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年    龄：</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 xml:space="preserve">    职    务：</w:t>
      </w:r>
      <w:r>
        <w:rPr>
          <w:rFonts w:hint="eastAsia" w:cs="仿宋_GB2312" w:asciiTheme="minorEastAsia" w:hAnsiTheme="minorEastAsia" w:eastAsiaTheme="minorEastAsia"/>
          <w:color w:val="auto"/>
          <w:szCs w:val="21"/>
          <w:highlight w:val="none"/>
          <w:u w:val="single"/>
        </w:rPr>
        <w:t xml:space="preserve">           </w:t>
      </w:r>
    </w:p>
    <w:p w14:paraId="47E008CC">
      <w:pPr>
        <w:spacing w:line="360" w:lineRule="auto"/>
        <w:ind w:firstLine="539" w:firstLineChars="257"/>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系</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（供应商）的法定代表人。</w:t>
      </w:r>
    </w:p>
    <w:p w14:paraId="78BE561E">
      <w:pPr>
        <w:autoSpaceDE w:val="0"/>
        <w:autoSpaceDN w:val="0"/>
        <w:adjustRightInd w:val="0"/>
        <w:spacing w:line="360" w:lineRule="auto"/>
        <w:ind w:firstLine="420"/>
        <w:jc w:val="center"/>
        <w:rPr>
          <w:rFonts w:hint="eastAsia" w:asciiTheme="minorEastAsia" w:hAnsiTheme="minorEastAsia" w:eastAsiaTheme="minorEastAsia"/>
          <w:color w:val="auto"/>
          <w:szCs w:val="21"/>
          <w:highlight w:val="none"/>
        </w:rPr>
      </w:pPr>
    </w:p>
    <w:p w14:paraId="38FABF33">
      <w:pPr>
        <w:spacing w:line="360" w:lineRule="auto"/>
        <w:ind w:firstLine="539" w:firstLineChars="257"/>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特此证明。</w:t>
      </w:r>
    </w:p>
    <w:p w14:paraId="0685DC93">
      <w:pPr>
        <w:autoSpaceDE w:val="0"/>
        <w:autoSpaceDN w:val="0"/>
        <w:adjustRightInd w:val="0"/>
        <w:spacing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附：法定代表人身份证的原件扫描件。</w:t>
      </w:r>
    </w:p>
    <w:p w14:paraId="586BAD19">
      <w:pPr>
        <w:spacing w:line="360" w:lineRule="auto"/>
        <w:rPr>
          <w:rFonts w:hint="eastAsia" w:cs="仿宋_GB2312" w:asciiTheme="minorEastAsia" w:hAnsiTheme="minorEastAsia" w:eastAsiaTheme="minorEastAsia"/>
          <w:color w:val="auto"/>
          <w:szCs w:val="21"/>
          <w:highlight w:val="none"/>
        </w:rPr>
      </w:pPr>
    </w:p>
    <w:p w14:paraId="35DC6CAD">
      <w:pPr>
        <w:spacing w:line="360" w:lineRule="auto"/>
        <w:rPr>
          <w:rFonts w:hint="eastAsia" w:cs="仿宋_GB2312" w:asciiTheme="minorEastAsia" w:hAnsiTheme="minorEastAsia" w:eastAsiaTheme="minorEastAsia"/>
          <w:color w:val="auto"/>
          <w:szCs w:val="21"/>
          <w:highlight w:val="none"/>
        </w:rPr>
      </w:pPr>
    </w:p>
    <w:p w14:paraId="64420575">
      <w:pPr>
        <w:spacing w:line="360" w:lineRule="auto"/>
        <w:rPr>
          <w:rFonts w:hint="eastAsia" w:cs="仿宋_GB2312" w:asciiTheme="minorEastAsia" w:hAnsiTheme="minorEastAsia" w:eastAsiaTheme="minorEastAsia"/>
          <w:color w:val="auto"/>
          <w:szCs w:val="21"/>
          <w:highlight w:val="none"/>
        </w:rPr>
      </w:pPr>
    </w:p>
    <w:p w14:paraId="53D846D3">
      <w:pPr>
        <w:spacing w:line="360" w:lineRule="auto"/>
        <w:rPr>
          <w:rFonts w:hint="eastAsia" w:cs="仿宋_GB2312" w:asciiTheme="minorEastAsia" w:hAnsiTheme="minorEastAsia" w:eastAsiaTheme="minorEastAsia"/>
          <w:color w:val="auto"/>
          <w:szCs w:val="21"/>
          <w:highlight w:val="none"/>
        </w:rPr>
      </w:pPr>
    </w:p>
    <w:p w14:paraId="2B21E704">
      <w:pPr>
        <w:spacing w:line="360" w:lineRule="auto"/>
        <w:rPr>
          <w:rFonts w:hint="eastAsia" w:cs="仿宋_GB2312" w:asciiTheme="minorEastAsia" w:hAnsiTheme="minorEastAsia" w:eastAsiaTheme="minorEastAsia"/>
          <w:color w:val="auto"/>
          <w:szCs w:val="21"/>
          <w:highlight w:val="none"/>
        </w:rPr>
      </w:pPr>
    </w:p>
    <w:p w14:paraId="4EA8608A">
      <w:pPr>
        <w:spacing w:line="360" w:lineRule="auto"/>
        <w:rPr>
          <w:rFonts w:hint="eastAsia" w:cs="仿宋_GB2312" w:asciiTheme="minorEastAsia" w:hAnsiTheme="minorEastAsia" w:eastAsiaTheme="minorEastAsia"/>
          <w:color w:val="auto"/>
          <w:szCs w:val="21"/>
          <w:highlight w:val="none"/>
        </w:rPr>
      </w:pPr>
    </w:p>
    <w:p w14:paraId="2C8C710A">
      <w:pPr>
        <w:spacing w:line="360" w:lineRule="auto"/>
        <w:rPr>
          <w:rFonts w:hint="eastAsia" w:cs="仿宋_GB2312" w:asciiTheme="minorEastAsia" w:hAnsiTheme="minorEastAsia" w:eastAsiaTheme="minorEastAsia"/>
          <w:color w:val="auto"/>
          <w:szCs w:val="21"/>
          <w:highlight w:val="none"/>
        </w:rPr>
      </w:pPr>
    </w:p>
    <w:p w14:paraId="22D95D7C">
      <w:pPr>
        <w:spacing w:line="360" w:lineRule="auto"/>
        <w:rPr>
          <w:rFonts w:hint="eastAsia" w:cs="仿宋_GB2312" w:asciiTheme="minorEastAsia" w:hAnsiTheme="minorEastAsia" w:eastAsiaTheme="minorEastAsia"/>
          <w:color w:val="auto"/>
          <w:szCs w:val="21"/>
          <w:highlight w:val="none"/>
        </w:rPr>
      </w:pPr>
    </w:p>
    <w:p w14:paraId="07E41127">
      <w:pPr>
        <w:spacing w:line="360" w:lineRule="auto"/>
        <w:rPr>
          <w:rFonts w:hint="eastAsia" w:cs="仿宋_GB2312" w:asciiTheme="minorEastAsia" w:hAnsiTheme="minorEastAsia" w:eastAsiaTheme="minorEastAsia"/>
          <w:color w:val="auto"/>
          <w:szCs w:val="21"/>
          <w:highlight w:val="none"/>
        </w:rPr>
      </w:pPr>
    </w:p>
    <w:p w14:paraId="5372B3FF">
      <w:pPr>
        <w:wordWrap w:val="0"/>
        <w:spacing w:line="360" w:lineRule="auto"/>
        <w:ind w:right="105"/>
        <w:jc w:val="right"/>
        <w:rPr>
          <w:rFonts w:hint="eastAsia" w:cs="仿宋_GB2312" w:asciiTheme="minorEastAsia" w:hAnsiTheme="minorEastAsia" w:eastAsiaTheme="minorEastAsia"/>
          <w:color w:val="auto"/>
          <w:szCs w:val="21"/>
          <w:highlight w:val="none"/>
        </w:rPr>
      </w:pPr>
    </w:p>
    <w:p w14:paraId="72702BA1">
      <w:pPr>
        <w:spacing w:line="360" w:lineRule="auto"/>
        <w:ind w:right="105"/>
        <w:jc w:val="right"/>
        <w:rPr>
          <w:rFonts w:hint="eastAsia" w:cs="仿宋_GB2312" w:asciiTheme="minorEastAsia" w:hAnsiTheme="minorEastAsia" w:eastAsiaTheme="minorEastAsia"/>
          <w:color w:val="auto"/>
          <w:szCs w:val="21"/>
          <w:highlight w:val="none"/>
        </w:rPr>
      </w:pPr>
    </w:p>
    <w:p w14:paraId="5446B234">
      <w:pPr>
        <w:spacing w:line="360" w:lineRule="auto"/>
        <w:ind w:right="105"/>
        <w:jc w:val="left"/>
        <w:rPr>
          <w:rFonts w:hint="eastAsia" w:cs="仿宋_GB2312" w:asciiTheme="minorEastAsia" w:hAnsiTheme="minorEastAsia" w:eastAsiaTheme="minorEastAsia"/>
          <w:color w:val="auto"/>
          <w:szCs w:val="21"/>
          <w:highlight w:val="none"/>
        </w:rPr>
      </w:pPr>
    </w:p>
    <w:p w14:paraId="372F5254">
      <w:pPr>
        <w:spacing w:line="360" w:lineRule="auto"/>
        <w:ind w:right="169"/>
        <w:jc w:val="left"/>
        <w:rPr>
          <w:rFonts w:hint="eastAsia"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 xml:space="preserve">                                                </w:t>
      </w:r>
      <w:r>
        <w:rPr>
          <w:rFonts w:cs="仿宋_GB2312" w:asciiTheme="minorEastAsia" w:hAnsiTheme="minorEastAsia" w:eastAsiaTheme="minorEastAsia"/>
          <w:color w:val="auto"/>
          <w:szCs w:val="21"/>
          <w:highlight w:val="none"/>
        </w:rPr>
        <w:t xml:space="preserve">  </w:t>
      </w:r>
      <w:r>
        <w:rPr>
          <w:rFonts w:hint="eastAsia" w:cs="仿宋_GB2312" w:asciiTheme="minorEastAsia" w:hAnsiTheme="minorEastAsia" w:eastAsiaTheme="minorEastAsia"/>
          <w:color w:val="auto"/>
          <w:szCs w:val="21"/>
          <w:highlight w:val="none"/>
        </w:rPr>
        <w:t>供应商：</w:t>
      </w:r>
      <w:r>
        <w:rPr>
          <w:rFonts w:hint="eastAsia" w:cs="仿宋_GB2312"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电子签章</w:t>
      </w:r>
      <w:r>
        <w:rPr>
          <w:rFonts w:hint="eastAsia" w:cs="仿宋_GB2312" w:asciiTheme="minorEastAsia" w:hAnsiTheme="minorEastAsia" w:eastAsiaTheme="minorEastAsia"/>
          <w:color w:val="auto"/>
          <w:szCs w:val="21"/>
          <w:highlight w:val="none"/>
          <w:u w:val="single"/>
        </w:rPr>
        <w:t>）</w:t>
      </w:r>
    </w:p>
    <w:p w14:paraId="2D762766">
      <w:pPr>
        <w:spacing w:before="60" w:after="60" w:line="360" w:lineRule="auto"/>
        <w:ind w:right="420" w:firstLine="5250" w:firstLineChars="25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 期：</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28D24774">
      <w:pPr>
        <w:spacing w:line="360" w:lineRule="auto"/>
        <w:ind w:firstLine="358" w:firstLineChars="170"/>
        <w:rPr>
          <w:rFonts w:hint="eastAsia" w:cs="宋体" w:asciiTheme="minorEastAsia" w:hAnsiTheme="minorEastAsia" w:eastAsiaTheme="minorEastAsia"/>
          <w:b/>
          <w:color w:val="auto"/>
          <w:szCs w:val="21"/>
          <w:highlight w:val="none"/>
        </w:rPr>
      </w:pPr>
    </w:p>
    <w:p w14:paraId="260BE6FD">
      <w:pPr>
        <w:widowControl/>
        <w:spacing w:line="360" w:lineRule="auto"/>
        <w:jc w:val="left"/>
        <w:rPr>
          <w:rFonts w:hint="eastAsia" w:cs="仿宋_GB2312" w:asciiTheme="minorEastAsia" w:hAnsiTheme="minorEastAsia" w:eastAsiaTheme="minorEastAsia"/>
          <w:color w:val="auto"/>
          <w:szCs w:val="21"/>
          <w:highlight w:val="none"/>
        </w:rPr>
      </w:pPr>
    </w:p>
    <w:p w14:paraId="61219000">
      <w:pPr>
        <w:spacing w:line="360" w:lineRule="auto"/>
        <w:jc w:val="center"/>
        <w:outlineLvl w:val="2"/>
        <w:rPr>
          <w:rFonts w:hint="eastAsia" w:asciiTheme="minorEastAsia" w:hAnsiTheme="minorEastAsia" w:eastAsiaTheme="minorEastAsia"/>
          <w:b/>
          <w:color w:val="auto"/>
          <w:sz w:val="28"/>
          <w:szCs w:val="28"/>
          <w:highlight w:val="none"/>
        </w:rPr>
        <w:sectPr>
          <w:headerReference r:id="rId10" w:type="first"/>
          <w:footerReference r:id="rId11" w:type="first"/>
          <w:pgSz w:w="11906" w:h="16838"/>
          <w:pgMar w:top="1440" w:right="1474" w:bottom="1440" w:left="1474" w:header="851" w:footer="851" w:gutter="0"/>
          <w:cols w:space="720" w:num="1"/>
          <w:docGrid w:linePitch="312" w:charSpace="0"/>
        </w:sectPr>
      </w:pPr>
    </w:p>
    <w:p w14:paraId="433FB7A3">
      <w:pPr>
        <w:spacing w:line="360" w:lineRule="auto"/>
        <w:jc w:val="center"/>
        <w:outlineLvl w:val="3"/>
        <w:rPr>
          <w:rFonts w:hint="eastAsia" w:asciiTheme="minorEastAsia" w:hAnsiTheme="minorEastAsia" w:eastAsiaTheme="minorEastAsia"/>
          <w:b/>
          <w:color w:val="auto"/>
          <w:sz w:val="28"/>
          <w:szCs w:val="28"/>
          <w:highlight w:val="none"/>
        </w:rPr>
      </w:pPr>
      <w:bookmarkStart w:id="1144" w:name="_Toc116584075"/>
      <w:r>
        <w:rPr>
          <w:rFonts w:hint="eastAsia" w:asciiTheme="minorEastAsia" w:hAnsiTheme="minorEastAsia" w:eastAsiaTheme="minorEastAsia"/>
          <w:b/>
          <w:color w:val="auto"/>
          <w:sz w:val="28"/>
          <w:szCs w:val="28"/>
          <w:highlight w:val="none"/>
        </w:rPr>
        <w:t>2、</w:t>
      </w:r>
      <w:r>
        <w:rPr>
          <w:rFonts w:asciiTheme="minorEastAsia" w:hAnsiTheme="minorEastAsia" w:eastAsiaTheme="minorEastAsia"/>
          <w:b/>
          <w:color w:val="auto"/>
          <w:sz w:val="28"/>
          <w:szCs w:val="28"/>
          <w:highlight w:val="none"/>
        </w:rPr>
        <w:t>授权委托书</w:t>
      </w:r>
      <w:bookmarkEnd w:id="1144"/>
    </w:p>
    <w:p w14:paraId="7E74AFEB">
      <w:pPr>
        <w:spacing w:line="360" w:lineRule="auto"/>
        <w:rPr>
          <w:rFonts w:hint="eastAsia" w:asciiTheme="minorEastAsia" w:hAnsiTheme="minorEastAsia" w:eastAsiaTheme="minorEastAsia"/>
          <w:color w:val="auto"/>
          <w:highlight w:val="none"/>
        </w:rPr>
      </w:pPr>
    </w:p>
    <w:p w14:paraId="5D8DC40E">
      <w:pPr>
        <w:spacing w:line="360" w:lineRule="auto"/>
        <w:ind w:firstLine="420" w:firstLineChars="200"/>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本人</w:t>
      </w:r>
      <w:r>
        <w:rPr>
          <w:rFonts w:hint="eastAsia" w:cs="仿宋_GB2312" w:asciiTheme="minorEastAsia" w:hAnsiTheme="minorEastAsia" w:eastAsiaTheme="minorEastAsia"/>
          <w:color w:val="auto"/>
          <w:szCs w:val="21"/>
          <w:highlight w:val="none"/>
          <w:u w:val="single"/>
        </w:rPr>
        <w:t xml:space="preserve">    </w:t>
      </w:r>
      <w:r>
        <w:rPr>
          <w:rFonts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（姓名）系</w:t>
      </w:r>
      <w:r>
        <w:rPr>
          <w:rFonts w:hint="eastAsia" w:cs="仿宋_GB2312" w:asciiTheme="minorEastAsia" w:hAnsiTheme="minorEastAsia" w:eastAsiaTheme="minorEastAsia"/>
          <w:color w:val="auto"/>
          <w:szCs w:val="21"/>
          <w:highlight w:val="none"/>
          <w:u w:val="single"/>
        </w:rPr>
        <w:t xml:space="preserve">     </w:t>
      </w:r>
      <w:r>
        <w:rPr>
          <w:rFonts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（供应商名称）的法定代表人，现委托</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（姓名）为我方代理人。代理人根据授权，以我方名义签署、澄清、说明、补正、</w:t>
      </w:r>
      <w:r>
        <w:rPr>
          <w:rFonts w:hint="eastAsia" w:asciiTheme="minorEastAsia" w:hAnsiTheme="minorEastAsia" w:eastAsiaTheme="minorEastAsia"/>
          <w:color w:val="auto"/>
          <w:szCs w:val="28"/>
          <w:highlight w:val="none"/>
        </w:rPr>
        <w:t>提交</w:t>
      </w:r>
      <w:r>
        <w:rPr>
          <w:rFonts w:hint="eastAsia" w:cs="仿宋_GB2312" w:asciiTheme="minorEastAsia" w:hAnsiTheme="minorEastAsia" w:eastAsiaTheme="minorEastAsia"/>
          <w:color w:val="auto"/>
          <w:szCs w:val="21"/>
          <w:highlight w:val="none"/>
        </w:rPr>
        <w:t>、撤回、修改</w:t>
      </w:r>
      <w:r>
        <w:rPr>
          <w:rFonts w:hint="eastAsia" w:cs="仿宋_GB2312" w:asciiTheme="minorEastAsia" w:hAnsiTheme="minorEastAsia" w:eastAsiaTheme="minorEastAsia"/>
          <w:color w:val="auto"/>
          <w:szCs w:val="21"/>
          <w:highlight w:val="none"/>
          <w:u w:val="single"/>
        </w:rPr>
        <w:t xml:space="preserve">（项目名称） </w:t>
      </w:r>
      <w:r>
        <w:rPr>
          <w:rFonts w:hint="eastAsia" w:cs="仿宋_GB2312" w:asciiTheme="minorEastAsia" w:hAnsiTheme="minorEastAsia" w:eastAsiaTheme="minorEastAsia"/>
          <w:color w:val="auto"/>
          <w:szCs w:val="21"/>
          <w:highlight w:val="none"/>
        </w:rPr>
        <w:t>的响应文件，其法律后果由我方承担。</w:t>
      </w:r>
    </w:p>
    <w:p w14:paraId="22A72654">
      <w:pPr>
        <w:spacing w:line="360" w:lineRule="auto"/>
        <w:ind w:firstLine="420" w:firstLineChars="200"/>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委托期限：</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w:t>
      </w:r>
    </w:p>
    <w:p w14:paraId="017624CF">
      <w:pPr>
        <w:spacing w:line="360" w:lineRule="auto"/>
        <w:ind w:firstLine="420" w:firstLineChars="200"/>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代理人无转委托权。</w:t>
      </w:r>
    </w:p>
    <w:p w14:paraId="2C6EC6D5">
      <w:pPr>
        <w:autoSpaceDE w:val="0"/>
        <w:autoSpaceDN w:val="0"/>
        <w:adjustRightInd w:val="0"/>
        <w:spacing w:line="360" w:lineRule="auto"/>
        <w:rPr>
          <w:rFonts w:hint="eastAsia"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 xml:space="preserve">        </w:t>
      </w:r>
    </w:p>
    <w:p w14:paraId="30CEA49C">
      <w:pPr>
        <w:autoSpaceDE w:val="0"/>
        <w:autoSpaceDN w:val="0"/>
        <w:adjustRightInd w:val="0"/>
        <w:spacing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附：委托代理人身份证的原件扫描件。</w:t>
      </w:r>
    </w:p>
    <w:p w14:paraId="028DC1BD">
      <w:pPr>
        <w:spacing w:line="360" w:lineRule="auto"/>
        <w:ind w:firstLine="420" w:firstLineChars="200"/>
        <w:rPr>
          <w:rFonts w:hint="eastAsia" w:cs="仿宋_GB2312" w:asciiTheme="minorEastAsia" w:hAnsiTheme="minorEastAsia" w:eastAsiaTheme="minorEastAsia"/>
          <w:color w:val="auto"/>
          <w:szCs w:val="21"/>
          <w:highlight w:val="none"/>
        </w:rPr>
      </w:pPr>
    </w:p>
    <w:p w14:paraId="134E2F51">
      <w:pPr>
        <w:spacing w:line="360" w:lineRule="auto"/>
        <w:ind w:firstLine="420" w:firstLineChars="200"/>
        <w:rPr>
          <w:rFonts w:hint="eastAsia" w:cs="仿宋_GB2312" w:asciiTheme="minorEastAsia" w:hAnsiTheme="minorEastAsia" w:eastAsiaTheme="minorEastAsia"/>
          <w:color w:val="auto"/>
          <w:szCs w:val="21"/>
          <w:highlight w:val="none"/>
        </w:rPr>
      </w:pPr>
    </w:p>
    <w:p w14:paraId="3979E260">
      <w:pPr>
        <w:spacing w:line="360" w:lineRule="auto"/>
        <w:ind w:firstLine="420" w:firstLineChars="200"/>
        <w:rPr>
          <w:rFonts w:hint="eastAsia" w:cs="仿宋_GB2312" w:asciiTheme="minorEastAsia" w:hAnsiTheme="minorEastAsia" w:eastAsiaTheme="minorEastAsia"/>
          <w:color w:val="auto"/>
          <w:szCs w:val="21"/>
          <w:highlight w:val="none"/>
        </w:rPr>
      </w:pPr>
    </w:p>
    <w:p w14:paraId="13EE4898">
      <w:pPr>
        <w:spacing w:line="360" w:lineRule="auto"/>
        <w:rPr>
          <w:rFonts w:hint="eastAsia" w:cs="仿宋_GB2312" w:asciiTheme="minorEastAsia" w:hAnsiTheme="minorEastAsia" w:eastAsiaTheme="minorEastAsia"/>
          <w:color w:val="auto"/>
          <w:szCs w:val="21"/>
          <w:highlight w:val="none"/>
        </w:rPr>
      </w:pPr>
    </w:p>
    <w:p w14:paraId="3763A492">
      <w:pPr>
        <w:spacing w:line="360" w:lineRule="auto"/>
        <w:ind w:firstLine="420" w:firstLineChars="200"/>
        <w:rPr>
          <w:rFonts w:hint="eastAsia" w:cs="仿宋_GB2312" w:asciiTheme="minorEastAsia" w:hAnsiTheme="minorEastAsia" w:eastAsiaTheme="minorEastAsia"/>
          <w:color w:val="auto"/>
          <w:szCs w:val="21"/>
          <w:highlight w:val="none"/>
        </w:rPr>
      </w:pPr>
    </w:p>
    <w:p w14:paraId="04AD351B">
      <w:pPr>
        <w:spacing w:line="360" w:lineRule="auto"/>
        <w:ind w:firstLine="539" w:firstLineChars="257"/>
        <w:rPr>
          <w:rFonts w:hint="eastAsia" w:cs="仿宋_GB2312" w:asciiTheme="minorEastAsia" w:hAnsiTheme="minorEastAsia" w:eastAsiaTheme="minorEastAsia"/>
          <w:color w:val="auto"/>
          <w:szCs w:val="21"/>
          <w:highlight w:val="none"/>
        </w:rPr>
      </w:pPr>
    </w:p>
    <w:p w14:paraId="03DB0BE7">
      <w:pPr>
        <w:spacing w:line="360" w:lineRule="auto"/>
        <w:ind w:firstLine="539" w:firstLineChars="257"/>
        <w:rPr>
          <w:rFonts w:hint="eastAsia" w:cs="仿宋_GB2312" w:asciiTheme="minorEastAsia" w:hAnsiTheme="minorEastAsia" w:eastAsiaTheme="minorEastAsia"/>
          <w:color w:val="auto"/>
          <w:szCs w:val="21"/>
          <w:highlight w:val="none"/>
        </w:rPr>
      </w:pPr>
    </w:p>
    <w:p w14:paraId="05644E26">
      <w:pPr>
        <w:spacing w:line="360" w:lineRule="auto"/>
        <w:ind w:firstLine="539" w:firstLineChars="257"/>
        <w:rPr>
          <w:rFonts w:hint="eastAsia" w:cs="仿宋_GB2312" w:asciiTheme="minorEastAsia" w:hAnsiTheme="minorEastAsia" w:eastAsiaTheme="minorEastAsia"/>
          <w:color w:val="auto"/>
          <w:szCs w:val="21"/>
          <w:highlight w:val="none"/>
        </w:rPr>
      </w:pPr>
    </w:p>
    <w:p w14:paraId="7416C83D">
      <w:pPr>
        <w:spacing w:line="360" w:lineRule="auto"/>
        <w:ind w:firstLine="539" w:firstLineChars="257"/>
        <w:rPr>
          <w:rFonts w:hint="eastAsia" w:cs="仿宋_GB2312" w:asciiTheme="minorEastAsia" w:hAnsiTheme="minorEastAsia" w:eastAsiaTheme="minorEastAsia"/>
          <w:color w:val="auto"/>
          <w:szCs w:val="21"/>
          <w:highlight w:val="none"/>
        </w:rPr>
      </w:pPr>
    </w:p>
    <w:p w14:paraId="290CD475">
      <w:pPr>
        <w:spacing w:line="360" w:lineRule="auto"/>
        <w:ind w:right="420" w:firstLine="4095" w:firstLineChars="1950"/>
        <w:jc w:val="left"/>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供应商：</w:t>
      </w:r>
      <w:r>
        <w:rPr>
          <w:rFonts w:hint="eastAsia" w:cs="仿宋_GB2312"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电子签章</w:t>
      </w:r>
      <w:r>
        <w:rPr>
          <w:rFonts w:hint="eastAsia" w:cs="仿宋_GB2312" w:asciiTheme="minorEastAsia" w:hAnsiTheme="minorEastAsia" w:eastAsiaTheme="minorEastAsia"/>
          <w:color w:val="auto"/>
          <w:szCs w:val="21"/>
          <w:highlight w:val="none"/>
          <w:u w:val="single"/>
        </w:rPr>
        <w:t>）</w:t>
      </w:r>
    </w:p>
    <w:p w14:paraId="6C3F4F90">
      <w:pPr>
        <w:wordWrap w:val="0"/>
        <w:spacing w:line="360" w:lineRule="auto"/>
        <w:ind w:right="420" w:firstLine="4095" w:firstLineChars="1950"/>
        <w:jc w:val="left"/>
        <w:rPr>
          <w:rFonts w:hint="eastAsia"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法定代表人：</w:t>
      </w:r>
      <w:r>
        <w:rPr>
          <w:rFonts w:hint="eastAsia" w:cs="仿宋_GB2312" w:asciiTheme="minorEastAsia" w:hAnsiTheme="minorEastAsia" w:eastAsiaTheme="minorEastAsia"/>
          <w:color w:val="auto"/>
          <w:szCs w:val="21"/>
          <w:highlight w:val="none"/>
          <w:u w:val="single"/>
        </w:rPr>
        <w:t xml:space="preserve">           </w:t>
      </w:r>
      <w:r>
        <w:rPr>
          <w:rFonts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电子签章</w:t>
      </w:r>
      <w:r>
        <w:rPr>
          <w:rFonts w:hint="eastAsia" w:cs="仿宋_GB2312" w:asciiTheme="minorEastAsia" w:hAnsiTheme="minorEastAsia" w:eastAsiaTheme="minorEastAsia"/>
          <w:color w:val="auto"/>
          <w:szCs w:val="21"/>
          <w:highlight w:val="none"/>
          <w:u w:val="single"/>
        </w:rPr>
        <w:t>）</w:t>
      </w:r>
    </w:p>
    <w:p w14:paraId="53DC36F4">
      <w:pPr>
        <w:wordWrap w:val="0"/>
        <w:spacing w:line="360" w:lineRule="auto"/>
        <w:ind w:right="464" w:firstLine="4095" w:firstLineChars="1950"/>
        <w:jc w:val="left"/>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身份证号码：</w:t>
      </w:r>
      <w:r>
        <w:rPr>
          <w:rFonts w:hint="eastAsia" w:cs="仿宋_GB2312" w:asciiTheme="minorEastAsia" w:hAnsiTheme="minorEastAsia" w:eastAsiaTheme="minorEastAsia"/>
          <w:color w:val="auto"/>
          <w:szCs w:val="21"/>
          <w:highlight w:val="none"/>
          <w:u w:val="single"/>
        </w:rPr>
        <w:t xml:space="preserve">                         </w:t>
      </w:r>
    </w:p>
    <w:p w14:paraId="4235215B">
      <w:pPr>
        <w:wordWrap w:val="0"/>
        <w:spacing w:line="360" w:lineRule="auto"/>
        <w:ind w:right="420" w:firstLine="4095" w:firstLineChars="1950"/>
        <w:jc w:val="left"/>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授权委托人：</w:t>
      </w:r>
      <w:r>
        <w:rPr>
          <w:rFonts w:hint="eastAsia" w:cs="仿宋_GB2312" w:asciiTheme="minorEastAsia" w:hAnsiTheme="minorEastAsia" w:eastAsiaTheme="minorEastAsia"/>
          <w:color w:val="auto"/>
          <w:szCs w:val="21"/>
          <w:highlight w:val="none"/>
          <w:u w:val="single"/>
        </w:rPr>
        <w:t xml:space="preserve">                 </w:t>
      </w:r>
      <w:r>
        <w:rPr>
          <w:rFonts w:cs="仿宋_GB2312" w:asciiTheme="minorEastAsia" w:hAnsiTheme="minorEastAsia" w:eastAsiaTheme="minorEastAsia"/>
          <w:color w:val="auto"/>
          <w:szCs w:val="21"/>
          <w:highlight w:val="none"/>
          <w:u w:val="single"/>
        </w:rPr>
        <w:t xml:space="preserve">        </w:t>
      </w:r>
    </w:p>
    <w:p w14:paraId="0B4D7D6C">
      <w:pPr>
        <w:wordWrap w:val="0"/>
        <w:spacing w:line="360" w:lineRule="auto"/>
        <w:ind w:right="464" w:firstLine="4095" w:firstLineChars="1950"/>
        <w:jc w:val="left"/>
        <w:rPr>
          <w:rFonts w:hint="eastAsia"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身份证号码：</w:t>
      </w:r>
      <w:r>
        <w:rPr>
          <w:rFonts w:hint="eastAsia" w:cs="仿宋_GB2312" w:asciiTheme="minorEastAsia" w:hAnsiTheme="minorEastAsia" w:eastAsiaTheme="minorEastAsia"/>
          <w:color w:val="auto"/>
          <w:szCs w:val="21"/>
          <w:highlight w:val="none"/>
          <w:u w:val="single"/>
        </w:rPr>
        <w:t xml:space="preserve">                         </w:t>
      </w:r>
    </w:p>
    <w:p w14:paraId="36D15826">
      <w:pPr>
        <w:wordWrap w:val="0"/>
        <w:spacing w:line="360" w:lineRule="auto"/>
        <w:ind w:right="464" w:firstLine="4095" w:firstLineChars="1950"/>
        <w:jc w:val="left"/>
        <w:rPr>
          <w:rFonts w:hint="eastAsia" w:cs="仿宋_GB2312"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 期：</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182F8153">
      <w:pPr>
        <w:spacing w:before="60" w:after="60" w:line="360" w:lineRule="auto"/>
        <w:ind w:right="840"/>
        <w:jc w:val="center"/>
        <w:rPr>
          <w:rFonts w:hint="eastAsia" w:asciiTheme="minorEastAsia" w:hAnsiTheme="minorEastAsia" w:eastAsiaTheme="minorEastAsia"/>
          <w:color w:val="auto"/>
          <w:szCs w:val="21"/>
          <w:highlight w:val="none"/>
        </w:rPr>
      </w:pPr>
    </w:p>
    <w:p w14:paraId="7181069F">
      <w:pPr>
        <w:spacing w:line="360" w:lineRule="auto"/>
        <w:ind w:right="420"/>
        <w:rPr>
          <w:rFonts w:hint="eastAsia" w:cs="仿宋_GB2312" w:asciiTheme="minorEastAsia" w:hAnsiTheme="minorEastAsia" w:eastAsiaTheme="minorEastAsia"/>
          <w:b/>
          <w:color w:val="auto"/>
          <w:szCs w:val="21"/>
          <w:highlight w:val="none"/>
        </w:rPr>
      </w:pPr>
    </w:p>
    <w:p w14:paraId="7DE7E7D0">
      <w:pPr>
        <w:spacing w:line="360" w:lineRule="auto"/>
        <w:ind w:right="420" w:firstLine="422" w:firstLineChars="200"/>
        <w:rPr>
          <w:rFonts w:hint="eastAsia"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注：1.如供应商由法定代表人亲自签署响应文件并参与相关活动，则不需要办理授权；如有被授权的代理人签署上述文件，则必须按本格式规定填报并提交授权书，否则被授权的代理人将不被认可。</w:t>
      </w:r>
    </w:p>
    <w:p w14:paraId="44B4FFB0">
      <w:pPr>
        <w:spacing w:line="360" w:lineRule="auto"/>
        <w:ind w:right="420" w:firstLine="738" w:firstLineChars="350"/>
        <w:rPr>
          <w:rFonts w:hint="eastAsia"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2.本授权委托书配合法定代表人身份证明使用方可生效。</w:t>
      </w:r>
    </w:p>
    <w:p w14:paraId="486599C5">
      <w:pPr>
        <w:pStyle w:val="14"/>
        <w:spacing w:line="360" w:lineRule="auto"/>
        <w:rPr>
          <w:rFonts w:hint="eastAsia" w:asciiTheme="minorEastAsia" w:hAnsiTheme="minorEastAsia" w:eastAsiaTheme="minorEastAsia"/>
          <w:color w:val="auto"/>
          <w:highlight w:val="none"/>
        </w:rPr>
        <w:sectPr>
          <w:pgSz w:w="11906" w:h="16838"/>
          <w:pgMar w:top="1440" w:right="1474" w:bottom="1440" w:left="1474" w:header="851" w:footer="851" w:gutter="0"/>
          <w:cols w:space="720" w:num="1"/>
          <w:docGrid w:linePitch="312" w:charSpace="0"/>
        </w:sectPr>
      </w:pPr>
    </w:p>
    <w:p w14:paraId="1D599A50">
      <w:pPr>
        <w:spacing w:line="360" w:lineRule="auto"/>
        <w:jc w:val="center"/>
        <w:outlineLvl w:val="2"/>
        <w:rPr>
          <w:rFonts w:hint="eastAsia" w:asciiTheme="minorEastAsia" w:hAnsiTheme="minorEastAsia" w:eastAsiaTheme="minorEastAsia"/>
          <w:b/>
          <w:color w:val="auto"/>
          <w:sz w:val="28"/>
          <w:szCs w:val="28"/>
          <w:highlight w:val="none"/>
        </w:rPr>
      </w:pPr>
      <w:bookmarkStart w:id="1145" w:name="_Toc116584077"/>
      <w:r>
        <w:rPr>
          <w:rFonts w:hint="eastAsia" w:asciiTheme="minorEastAsia" w:hAnsiTheme="minorEastAsia" w:eastAsiaTheme="minorEastAsia"/>
          <w:b/>
          <w:color w:val="auto"/>
          <w:sz w:val="28"/>
          <w:szCs w:val="28"/>
          <w:highlight w:val="none"/>
        </w:rPr>
        <w:t>（三）供应商承诺</w:t>
      </w:r>
      <w:r>
        <w:rPr>
          <w:rFonts w:asciiTheme="minorEastAsia" w:hAnsiTheme="minorEastAsia" w:eastAsiaTheme="minorEastAsia"/>
          <w:b/>
          <w:color w:val="auto"/>
          <w:sz w:val="28"/>
          <w:szCs w:val="28"/>
          <w:highlight w:val="none"/>
        </w:rPr>
        <w:t>书</w:t>
      </w:r>
      <w:bookmarkEnd w:id="1145"/>
    </w:p>
    <w:p w14:paraId="1181B905">
      <w:pPr>
        <w:pStyle w:val="137"/>
        <w:spacing w:line="360" w:lineRule="auto"/>
        <w:rPr>
          <w:rFonts w:hint="eastAsia" w:asciiTheme="minorEastAsia" w:hAnsiTheme="minorEastAsia" w:eastAsiaTheme="minorEastAsia"/>
          <w:color w:val="auto"/>
          <w:highlight w:val="none"/>
          <w:lang w:val="zh-CN"/>
        </w:rPr>
      </w:pPr>
    </w:p>
    <w:p w14:paraId="38A3B302">
      <w:pPr>
        <w:pStyle w:val="137"/>
        <w:spacing w:line="360" w:lineRule="auto"/>
        <w:ind w:firstLine="420" w:firstLineChars="200"/>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我方</w:t>
      </w:r>
      <w:r>
        <w:rPr>
          <w:rFonts w:hint="eastAsia" w:cs="宋体" w:asciiTheme="minorEastAsia" w:hAnsiTheme="minorEastAsia" w:eastAsiaTheme="minorEastAsia"/>
          <w:color w:val="auto"/>
          <w:szCs w:val="21"/>
          <w:highlight w:val="none"/>
          <w:u w:val="single"/>
        </w:rPr>
        <w:t xml:space="preserve">   （供应商名称）   </w:t>
      </w:r>
      <w:r>
        <w:rPr>
          <w:rFonts w:hint="eastAsia" w:asciiTheme="minorEastAsia" w:hAnsiTheme="minorEastAsia" w:eastAsiaTheme="minorEastAsia"/>
          <w:color w:val="auto"/>
          <w:highlight w:val="none"/>
          <w:lang w:val="zh-CN"/>
        </w:rPr>
        <w:t>参与</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highlight w:val="none"/>
          <w:u w:val="single"/>
          <w:lang w:val="zh-CN"/>
        </w:rPr>
        <w:t xml:space="preserve">项目名称） </w:t>
      </w:r>
      <w:r>
        <w:rPr>
          <w:rFonts w:asciiTheme="minorEastAsia" w:hAnsiTheme="minorEastAsia" w:eastAsiaTheme="minorEastAsia"/>
          <w:color w:val="auto"/>
          <w:highlight w:val="none"/>
          <w:u w:val="single"/>
          <w:lang w:val="zh-CN"/>
        </w:rPr>
        <w:t xml:space="preserve">  </w:t>
      </w:r>
      <w:r>
        <w:rPr>
          <w:rFonts w:hint="eastAsia" w:asciiTheme="minorEastAsia" w:hAnsiTheme="minorEastAsia" w:eastAsiaTheme="minorEastAsia"/>
          <w:color w:val="auto"/>
          <w:highlight w:val="none"/>
          <w:lang w:val="zh-CN"/>
        </w:rPr>
        <w:t>的竞争性磋商，现作如下承诺：</w:t>
      </w:r>
    </w:p>
    <w:p w14:paraId="7B17246C">
      <w:pPr>
        <w:pStyle w:val="137"/>
        <w:spacing w:line="360" w:lineRule="auto"/>
        <w:ind w:firstLine="420" w:firstLineChars="200"/>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1.我方参与此次磋商活动所提交的所有资料都是合法、真实、有效的。</w:t>
      </w:r>
    </w:p>
    <w:p w14:paraId="41DD3520">
      <w:pPr>
        <w:pStyle w:val="137"/>
        <w:spacing w:line="360" w:lineRule="auto"/>
        <w:ind w:firstLine="420" w:firstLineChars="200"/>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2.不与其他</w:t>
      </w:r>
      <w:r>
        <w:rPr>
          <w:rFonts w:hint="eastAsia" w:asciiTheme="minorEastAsia" w:hAnsiTheme="minorEastAsia" w:eastAsiaTheme="minorEastAsia"/>
          <w:bCs/>
          <w:color w:val="auto"/>
          <w:szCs w:val="21"/>
          <w:highlight w:val="none"/>
        </w:rPr>
        <w:t>供应商</w:t>
      </w:r>
      <w:r>
        <w:rPr>
          <w:rFonts w:hint="eastAsia" w:asciiTheme="minorEastAsia" w:hAnsiTheme="minorEastAsia" w:eastAsiaTheme="minorEastAsia"/>
          <w:color w:val="auto"/>
          <w:highlight w:val="none"/>
          <w:lang w:val="zh-CN"/>
        </w:rPr>
        <w:t>串通磋商、围标，依法、依规公平竞争，不损害采购人或其他供应商的合法权益。</w:t>
      </w:r>
    </w:p>
    <w:p w14:paraId="5E4BEA0F">
      <w:pPr>
        <w:pStyle w:val="137"/>
        <w:spacing w:line="360" w:lineRule="auto"/>
        <w:ind w:firstLine="420" w:firstLineChars="200"/>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3.不转让、出租、出借资质证书、人员岗位证书，不以法律、法规禁止的方式磋商。</w:t>
      </w:r>
    </w:p>
    <w:p w14:paraId="215F2EB2">
      <w:pPr>
        <w:pStyle w:val="137"/>
        <w:spacing w:line="360" w:lineRule="auto"/>
        <w:ind w:firstLine="420" w:firstLineChars="200"/>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4.不与采购人或采购代理机构串通磋商，不损害国家利益、社会公共利益或其他当事人的合法权益。</w:t>
      </w:r>
    </w:p>
    <w:p w14:paraId="5B8F360F">
      <w:pPr>
        <w:pStyle w:val="137"/>
        <w:spacing w:line="360" w:lineRule="auto"/>
        <w:ind w:firstLine="420" w:firstLineChars="200"/>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5.不向采购人、磋商小组成员、监督人员行贿。</w:t>
      </w:r>
    </w:p>
    <w:p w14:paraId="2019BDA9">
      <w:pPr>
        <w:pStyle w:val="137"/>
        <w:spacing w:line="360" w:lineRule="auto"/>
        <w:ind w:firstLine="420" w:firstLineChars="200"/>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6.不扰乱交易活动正常秩序。</w:t>
      </w:r>
    </w:p>
    <w:p w14:paraId="168DB891">
      <w:pPr>
        <w:pStyle w:val="137"/>
        <w:spacing w:line="360" w:lineRule="auto"/>
        <w:ind w:firstLine="420" w:firstLineChars="200"/>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7.不进行虚假恶意投诉。</w:t>
      </w:r>
    </w:p>
    <w:p w14:paraId="55EE40AE">
      <w:pPr>
        <w:pStyle w:val="137"/>
        <w:spacing w:line="360" w:lineRule="auto"/>
        <w:ind w:firstLine="420" w:firstLineChars="200"/>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8.因违反法律、法规或相关规定被查处的，不干预案件查处。</w:t>
      </w:r>
    </w:p>
    <w:p w14:paraId="30344148">
      <w:pPr>
        <w:pStyle w:val="137"/>
        <w:spacing w:line="360" w:lineRule="auto"/>
        <w:ind w:firstLine="420" w:firstLineChars="200"/>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如出现违法、违规或不良行为，甘愿接受监督管理部门、纪检监察机关或司法机关调查处理。违法、违规或不良行为事实成立的，承担相关责任。给采购人造成损失的，依法承担赔偿责任。</w:t>
      </w:r>
    </w:p>
    <w:p w14:paraId="5FB93A7A">
      <w:pPr>
        <w:pStyle w:val="137"/>
        <w:spacing w:line="360" w:lineRule="auto"/>
        <w:ind w:firstLine="420" w:firstLineChars="200"/>
        <w:rPr>
          <w:rFonts w:hint="eastAsia" w:asciiTheme="minorEastAsia" w:hAnsiTheme="minorEastAsia" w:eastAsiaTheme="minorEastAsia"/>
          <w:color w:val="auto"/>
          <w:highlight w:val="none"/>
          <w:lang w:val="zh-CN"/>
        </w:rPr>
      </w:pPr>
    </w:p>
    <w:p w14:paraId="6005338F">
      <w:pPr>
        <w:pStyle w:val="137"/>
        <w:spacing w:line="360" w:lineRule="auto"/>
        <w:ind w:firstLine="420" w:firstLineChars="200"/>
        <w:rPr>
          <w:rFonts w:hint="eastAsia" w:asciiTheme="minorEastAsia" w:hAnsiTheme="minorEastAsia" w:eastAsiaTheme="minorEastAsia"/>
          <w:color w:val="auto"/>
          <w:highlight w:val="none"/>
          <w:lang w:val="zh-CN"/>
        </w:rPr>
      </w:pPr>
    </w:p>
    <w:p w14:paraId="4297DB9A">
      <w:pPr>
        <w:pStyle w:val="137"/>
        <w:spacing w:line="360" w:lineRule="auto"/>
        <w:rPr>
          <w:rFonts w:hint="eastAsia" w:asciiTheme="minorEastAsia" w:hAnsiTheme="minorEastAsia" w:eastAsiaTheme="minorEastAsia"/>
          <w:color w:val="auto"/>
          <w:highlight w:val="none"/>
          <w:lang w:val="zh-CN"/>
        </w:rPr>
      </w:pPr>
    </w:p>
    <w:p w14:paraId="56D076F0">
      <w:pPr>
        <w:autoSpaceDE w:val="0"/>
        <w:autoSpaceDN w:val="0"/>
        <w:adjustRightInd w:val="0"/>
        <w:spacing w:line="480" w:lineRule="auto"/>
        <w:ind w:firstLine="5040" w:firstLineChars="24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供应商：</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color w:val="auto"/>
          <w:szCs w:val="21"/>
          <w:highlight w:val="none"/>
          <w:u w:val="single"/>
        </w:rPr>
        <w:t>电子签章</w:t>
      </w:r>
      <w:r>
        <w:rPr>
          <w:rFonts w:hint="eastAsia" w:asciiTheme="minorEastAsia" w:hAnsiTheme="minorEastAsia" w:eastAsiaTheme="minorEastAsia"/>
          <w:bCs/>
          <w:color w:val="auto"/>
          <w:szCs w:val="21"/>
          <w:highlight w:val="none"/>
          <w:u w:val="single"/>
        </w:rPr>
        <w:t>）</w:t>
      </w:r>
    </w:p>
    <w:p w14:paraId="166FC6C8">
      <w:pPr>
        <w:autoSpaceDE w:val="0"/>
        <w:autoSpaceDN w:val="0"/>
        <w:adjustRightInd w:val="0"/>
        <w:spacing w:line="480" w:lineRule="auto"/>
        <w:ind w:firstLine="5040" w:firstLineChars="24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法定代表人：</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 xml:space="preserve"> (电子签章)</w:t>
      </w:r>
      <w:r>
        <w:rPr>
          <w:rFonts w:asciiTheme="minorEastAsia" w:hAnsiTheme="minorEastAsia" w:eastAsiaTheme="minorEastAsia"/>
          <w:bCs/>
          <w:color w:val="auto"/>
          <w:szCs w:val="21"/>
          <w:highlight w:val="none"/>
          <w:u w:val="single"/>
        </w:rPr>
        <w:t xml:space="preserve"> </w:t>
      </w:r>
    </w:p>
    <w:p w14:paraId="59ACE5BA">
      <w:pPr>
        <w:autoSpaceDE w:val="0"/>
        <w:autoSpaceDN w:val="0"/>
        <w:adjustRightInd w:val="0"/>
        <w:spacing w:line="480" w:lineRule="auto"/>
        <w:ind w:firstLine="5040" w:firstLineChars="2400"/>
        <w:jc w:val="left"/>
        <w:rPr>
          <w:rFonts w:hint="eastAsia" w:asciiTheme="minorEastAsia" w:hAnsiTheme="minorEastAsia" w:eastAsiaTheme="minorEastAsia"/>
          <w:bCs/>
          <w:color w:val="auto"/>
          <w:szCs w:val="21"/>
          <w:highlight w:val="none"/>
        </w:rPr>
        <w:sectPr>
          <w:pgSz w:w="11906" w:h="16838"/>
          <w:pgMar w:top="1440" w:right="1474" w:bottom="1440" w:left="1474" w:header="851" w:footer="851" w:gutter="0"/>
          <w:cols w:space="720" w:num="1"/>
          <w:docGrid w:linePitch="312" w:charSpace="0"/>
        </w:sectPr>
      </w:pPr>
      <w:r>
        <w:rPr>
          <w:rFonts w:hint="eastAsia" w:asciiTheme="minorEastAsia" w:hAnsiTheme="minorEastAsia" w:eastAsiaTheme="minorEastAsia"/>
          <w:bCs/>
          <w:color w:val="auto"/>
          <w:szCs w:val="21"/>
          <w:highlight w:val="none"/>
        </w:rPr>
        <w:t>日期：</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年</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月</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日</w:t>
      </w:r>
    </w:p>
    <w:bookmarkEnd w:id="1138"/>
    <w:bookmarkEnd w:id="1139"/>
    <w:p w14:paraId="2E2743B6">
      <w:pPr>
        <w:spacing w:line="360" w:lineRule="auto"/>
        <w:jc w:val="center"/>
        <w:outlineLvl w:val="2"/>
        <w:rPr>
          <w:rFonts w:hint="eastAsia" w:asciiTheme="minorEastAsia" w:hAnsiTheme="minorEastAsia" w:eastAsiaTheme="minorEastAsia"/>
          <w:b/>
          <w:color w:val="auto"/>
          <w:sz w:val="28"/>
          <w:szCs w:val="28"/>
          <w:highlight w:val="none"/>
        </w:rPr>
      </w:pPr>
      <w:bookmarkStart w:id="1146" w:name="_Toc56502683"/>
      <w:bookmarkStart w:id="1147" w:name="_Toc103586010"/>
      <w:bookmarkStart w:id="1148" w:name="_Toc110405209"/>
      <w:bookmarkStart w:id="1149" w:name="_Toc89820110"/>
      <w:bookmarkStart w:id="1150" w:name="_Toc103579236"/>
      <w:bookmarkStart w:id="1151" w:name="_Toc103586119"/>
      <w:bookmarkStart w:id="1152" w:name="_Toc77683060"/>
      <w:bookmarkStart w:id="1153" w:name="_Toc65244969"/>
      <w:bookmarkStart w:id="1154" w:name="_Toc91516421"/>
      <w:bookmarkStart w:id="1155" w:name="_Toc45976970"/>
      <w:bookmarkStart w:id="1156" w:name="_Toc116584080"/>
      <w:bookmarkStart w:id="1157" w:name="_Toc20609"/>
      <w:bookmarkStart w:id="1158" w:name="_Toc109809397"/>
      <w:r>
        <w:rPr>
          <w:rFonts w:hint="eastAsia" w:asciiTheme="minorEastAsia" w:hAnsiTheme="minorEastAsia" w:eastAsiaTheme="minorEastAsia"/>
          <w:b/>
          <w:color w:val="auto"/>
          <w:sz w:val="28"/>
          <w:szCs w:val="28"/>
          <w:highlight w:val="none"/>
        </w:rPr>
        <w:t>（四）</w:t>
      </w:r>
      <w:bookmarkEnd w:id="1146"/>
      <w:bookmarkEnd w:id="1147"/>
      <w:bookmarkEnd w:id="1148"/>
      <w:bookmarkEnd w:id="1149"/>
      <w:bookmarkEnd w:id="1150"/>
      <w:bookmarkEnd w:id="1151"/>
      <w:bookmarkEnd w:id="1152"/>
      <w:bookmarkEnd w:id="1153"/>
      <w:bookmarkEnd w:id="1154"/>
      <w:bookmarkEnd w:id="1155"/>
      <w:bookmarkStart w:id="1159" w:name="_Toc513923170"/>
      <w:bookmarkStart w:id="1160" w:name="_Toc516246160"/>
      <w:bookmarkStart w:id="1161" w:name="_Toc364244845"/>
      <w:bookmarkStart w:id="1162" w:name="_Toc419473139"/>
      <w:bookmarkStart w:id="1163" w:name="_Toc330828144"/>
      <w:r>
        <w:rPr>
          <w:rFonts w:hint="eastAsia" w:asciiTheme="minorEastAsia" w:hAnsiTheme="minorEastAsia" w:eastAsiaTheme="minorEastAsia"/>
          <w:b/>
          <w:color w:val="auto"/>
          <w:sz w:val="28"/>
          <w:szCs w:val="28"/>
          <w:highlight w:val="none"/>
        </w:rPr>
        <w:t>磋商报价</w:t>
      </w:r>
      <w:bookmarkEnd w:id="1156"/>
      <w:bookmarkEnd w:id="1157"/>
      <w:bookmarkEnd w:id="1159"/>
      <w:bookmarkEnd w:id="1160"/>
    </w:p>
    <w:p w14:paraId="335D6F04">
      <w:pPr>
        <w:spacing w:line="360" w:lineRule="auto"/>
        <w:jc w:val="center"/>
        <w:outlineLvl w:val="3"/>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1、报价一览表</w:t>
      </w:r>
    </w:p>
    <w:bookmarkEnd w:id="1161"/>
    <w:bookmarkEnd w:id="1162"/>
    <w:bookmarkEnd w:id="1163"/>
    <w:tbl>
      <w:tblPr>
        <w:tblStyle w:val="54"/>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37"/>
      </w:tblGrid>
      <w:tr w14:paraId="0645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80" w:type="dxa"/>
            <w:vAlign w:val="center"/>
          </w:tcPr>
          <w:p w14:paraId="2278B463">
            <w:pPr>
              <w:spacing w:before="120" w:after="120"/>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供应商名称</w:t>
            </w:r>
          </w:p>
        </w:tc>
        <w:tc>
          <w:tcPr>
            <w:tcW w:w="7037" w:type="dxa"/>
            <w:vAlign w:val="center"/>
          </w:tcPr>
          <w:p w14:paraId="0BACFBD5">
            <w:pPr>
              <w:wordWrap w:val="0"/>
              <w:rPr>
                <w:rFonts w:hint="eastAsia" w:asciiTheme="minorEastAsia" w:hAnsiTheme="minorEastAsia" w:eastAsiaTheme="minorEastAsia"/>
                <w:color w:val="auto"/>
                <w:szCs w:val="21"/>
                <w:highlight w:val="none"/>
              </w:rPr>
            </w:pPr>
          </w:p>
        </w:tc>
      </w:tr>
      <w:tr w14:paraId="334C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80" w:type="dxa"/>
            <w:vAlign w:val="center"/>
          </w:tcPr>
          <w:p w14:paraId="11F5DB9F">
            <w:pPr>
              <w:spacing w:before="120" w:after="120"/>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磋商报价</w:t>
            </w:r>
          </w:p>
          <w:p w14:paraId="3D05D29B">
            <w:pPr>
              <w:spacing w:before="120" w:after="120"/>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（下浮率）</w:t>
            </w:r>
          </w:p>
        </w:tc>
        <w:tc>
          <w:tcPr>
            <w:tcW w:w="7037" w:type="dxa"/>
            <w:vAlign w:val="center"/>
          </w:tcPr>
          <w:p w14:paraId="236D4DBE">
            <w:pPr>
              <w:spacing w:before="120" w:beforeLines="50" w:line="360" w:lineRule="auto"/>
              <w:rPr>
                <w:rFonts w:hint="default" w:asciiTheme="minorEastAsia" w:hAnsiTheme="minorEastAsia"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下浮   %</w:t>
            </w:r>
          </w:p>
        </w:tc>
      </w:tr>
      <w:tr w14:paraId="4CFC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80" w:type="dxa"/>
            <w:vAlign w:val="center"/>
          </w:tcPr>
          <w:p w14:paraId="5037FBA9">
            <w:pPr>
              <w:spacing w:before="120" w:after="120"/>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配送地点及要求</w:t>
            </w:r>
          </w:p>
        </w:tc>
        <w:tc>
          <w:tcPr>
            <w:tcW w:w="7037" w:type="dxa"/>
            <w:vAlign w:val="center"/>
          </w:tcPr>
          <w:p w14:paraId="269A819F">
            <w:pPr>
              <w:spacing w:before="120" w:beforeLines="50" w:line="360" w:lineRule="auto"/>
              <w:rPr>
                <w:rFonts w:hint="eastAsia" w:ascii="宋体" w:hAnsi="宋体" w:eastAsiaTheme="minorEastAsia"/>
                <w:color w:val="auto"/>
                <w:szCs w:val="21"/>
                <w:highlight w:val="none"/>
                <w:lang w:val="en-US" w:eastAsia="zh-CN"/>
              </w:rPr>
            </w:pPr>
          </w:p>
        </w:tc>
      </w:tr>
      <w:tr w14:paraId="4956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80" w:type="dxa"/>
            <w:vAlign w:val="center"/>
          </w:tcPr>
          <w:p w14:paraId="733774EB">
            <w:pPr>
              <w:spacing w:before="120" w:after="120"/>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合同履行期限</w:t>
            </w:r>
          </w:p>
        </w:tc>
        <w:tc>
          <w:tcPr>
            <w:tcW w:w="7037" w:type="dxa"/>
            <w:vAlign w:val="center"/>
          </w:tcPr>
          <w:p w14:paraId="0B694F41">
            <w:pPr>
              <w:spacing w:before="120" w:beforeLines="50" w:line="360" w:lineRule="auto"/>
              <w:rPr>
                <w:rFonts w:hint="eastAsia" w:ascii="宋体" w:hAnsi="宋体" w:eastAsiaTheme="minorEastAsia"/>
                <w:color w:val="auto"/>
                <w:szCs w:val="21"/>
                <w:highlight w:val="none"/>
                <w:lang w:val="en-US" w:eastAsia="zh-CN"/>
              </w:rPr>
            </w:pPr>
          </w:p>
        </w:tc>
      </w:tr>
      <w:tr w14:paraId="49A7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80" w:type="dxa"/>
            <w:vAlign w:val="center"/>
          </w:tcPr>
          <w:p w14:paraId="0B52F0A8">
            <w:pPr>
              <w:spacing w:before="120" w:beforeLines="50"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质量要求</w:t>
            </w:r>
          </w:p>
        </w:tc>
        <w:tc>
          <w:tcPr>
            <w:tcW w:w="7037" w:type="dxa"/>
            <w:vAlign w:val="center"/>
          </w:tcPr>
          <w:p w14:paraId="07E725F1">
            <w:pPr>
              <w:spacing w:before="120" w:beforeLines="50" w:line="360" w:lineRule="auto"/>
              <w:jc w:val="left"/>
              <w:rPr>
                <w:rFonts w:hint="eastAsia" w:asciiTheme="minorEastAsia" w:hAnsiTheme="minorEastAsia" w:eastAsiaTheme="minorEastAsia"/>
                <w:color w:val="auto"/>
                <w:szCs w:val="21"/>
                <w:highlight w:val="none"/>
              </w:rPr>
            </w:pPr>
          </w:p>
        </w:tc>
      </w:tr>
      <w:tr w14:paraId="290A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80" w:type="dxa"/>
            <w:vAlign w:val="center"/>
          </w:tcPr>
          <w:p w14:paraId="0CF09EB5">
            <w:pPr>
              <w:spacing w:before="120" w:beforeLines="50" w:line="360" w:lineRule="auto"/>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磋商保证金</w:t>
            </w:r>
          </w:p>
        </w:tc>
        <w:tc>
          <w:tcPr>
            <w:tcW w:w="7037" w:type="dxa"/>
            <w:vAlign w:val="center"/>
          </w:tcPr>
          <w:p w14:paraId="12EBC55C">
            <w:pPr>
              <w:spacing w:before="120" w:beforeLines="50" w:line="360" w:lineRule="auto"/>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形式：</w:t>
            </w:r>
          </w:p>
          <w:p w14:paraId="209614A9">
            <w:pPr>
              <w:spacing w:before="120" w:beforeLines="50" w:line="360" w:lineRule="auto"/>
              <w:jc w:val="lef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金额：     元</w:t>
            </w:r>
          </w:p>
        </w:tc>
      </w:tr>
      <w:tr w14:paraId="123C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80" w:type="dxa"/>
            <w:vAlign w:val="center"/>
          </w:tcPr>
          <w:p w14:paraId="765681F4">
            <w:pPr>
              <w:spacing w:before="120" w:beforeLines="50" w:line="360" w:lineRule="auto"/>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备注</w:t>
            </w:r>
          </w:p>
        </w:tc>
        <w:tc>
          <w:tcPr>
            <w:tcW w:w="7037" w:type="dxa"/>
            <w:vAlign w:val="center"/>
          </w:tcPr>
          <w:p w14:paraId="25317808">
            <w:pPr>
              <w:spacing w:before="120" w:beforeLines="50" w:line="360" w:lineRule="auto"/>
              <w:jc w:val="left"/>
              <w:rPr>
                <w:rFonts w:hint="eastAsia" w:asciiTheme="minorEastAsia" w:hAnsiTheme="minorEastAsia" w:eastAsiaTheme="minorEastAsia"/>
                <w:color w:val="auto"/>
                <w:szCs w:val="21"/>
                <w:highlight w:val="none"/>
              </w:rPr>
            </w:pPr>
          </w:p>
        </w:tc>
      </w:tr>
      <w:tr w14:paraId="64FD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017" w:type="dxa"/>
            <w:gridSpan w:val="2"/>
            <w:vAlign w:val="center"/>
          </w:tcPr>
          <w:p w14:paraId="2F18C9AD">
            <w:pPr>
              <w:spacing w:before="120" w:after="12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供应商（电子签章）：</w:t>
            </w:r>
          </w:p>
        </w:tc>
      </w:tr>
      <w:tr w14:paraId="3C7F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9017" w:type="dxa"/>
            <w:gridSpan w:val="2"/>
            <w:vAlign w:val="bottom"/>
          </w:tcPr>
          <w:p w14:paraId="748DB25C">
            <w:pPr>
              <w:spacing w:before="120" w:after="120"/>
              <w:ind w:right="48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法定代表人（电子签章）：</w:t>
            </w:r>
          </w:p>
          <w:p w14:paraId="7B007498">
            <w:pPr>
              <w:spacing w:before="120" w:after="120"/>
              <w:jc w:val="right"/>
              <w:rPr>
                <w:rFonts w:hint="eastAsia" w:asciiTheme="minorEastAsia" w:hAnsiTheme="minorEastAsia" w:eastAsiaTheme="minorEastAsia"/>
                <w:color w:val="auto"/>
                <w:szCs w:val="21"/>
                <w:highlight w:val="none"/>
              </w:rPr>
            </w:pPr>
          </w:p>
          <w:p w14:paraId="5B85F11D">
            <w:pPr>
              <w:spacing w:before="120" w:after="120"/>
              <w:jc w:val="righ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 期：    年    月    日</w:t>
            </w:r>
          </w:p>
        </w:tc>
      </w:tr>
    </w:tbl>
    <w:p w14:paraId="0F47703C">
      <w:pPr>
        <w:widowControl/>
        <w:spacing w:line="360" w:lineRule="auto"/>
        <w:jc w:val="left"/>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bookmarkEnd w:id="1158"/>
    <w:p w14:paraId="42A96E03">
      <w:pPr>
        <w:spacing w:line="360" w:lineRule="auto"/>
        <w:jc w:val="center"/>
        <w:outlineLvl w:val="3"/>
        <w:rPr>
          <w:rFonts w:hint="eastAsia" w:asciiTheme="minorEastAsia" w:hAnsiTheme="minorEastAsia" w:eastAsiaTheme="minorEastAsia"/>
          <w:b/>
          <w:color w:val="auto"/>
          <w:sz w:val="28"/>
          <w:szCs w:val="28"/>
          <w:highlight w:val="none"/>
        </w:rPr>
      </w:pPr>
      <w:bookmarkStart w:id="1164" w:name="_Toc53412279"/>
      <w:bookmarkStart w:id="1165" w:name="_Toc109809390"/>
      <w:bookmarkStart w:id="1166" w:name="_Toc8736138"/>
      <w:bookmarkStart w:id="1167" w:name="_Toc42205063"/>
      <w:bookmarkStart w:id="1168" w:name="_Toc116584081"/>
      <w:bookmarkStart w:id="1169" w:name="_Toc69678492"/>
      <w:bookmarkStart w:id="1170" w:name="_Toc98865076"/>
      <w:bookmarkStart w:id="1171" w:name="_Toc45976971"/>
      <w:bookmarkStart w:id="1172" w:name="_Toc75783595"/>
      <w:bookmarkStart w:id="1173" w:name="_Toc110405210"/>
      <w:bookmarkStart w:id="1174" w:name="_Toc81331010"/>
      <w:bookmarkStart w:id="1175" w:name="_Toc29512"/>
      <w:bookmarkStart w:id="1176" w:name="_Toc31603098"/>
      <w:bookmarkStart w:id="1177" w:name="_Toc38173197"/>
      <w:r>
        <w:rPr>
          <w:rFonts w:asciiTheme="minorEastAsia" w:hAnsiTheme="minorEastAsia" w:eastAsiaTheme="minorEastAsia"/>
          <w:b/>
          <w:color w:val="auto"/>
          <w:sz w:val="28"/>
          <w:szCs w:val="28"/>
          <w:highlight w:val="none"/>
        </w:rPr>
        <w:t>2</w:t>
      </w:r>
      <w:r>
        <w:rPr>
          <w:rFonts w:hint="eastAsia" w:asciiTheme="minorEastAsia" w:hAnsiTheme="minorEastAsia" w:eastAsiaTheme="minorEastAsia"/>
          <w:b/>
          <w:color w:val="auto"/>
          <w:sz w:val="28"/>
          <w:szCs w:val="28"/>
          <w:highlight w:val="none"/>
        </w:rPr>
        <w:t>、中小企业声明函</w:t>
      </w:r>
      <w:bookmarkEnd w:id="1164"/>
      <w:bookmarkEnd w:id="1165"/>
      <w:bookmarkEnd w:id="1166"/>
      <w:bookmarkEnd w:id="1167"/>
      <w:bookmarkEnd w:id="1168"/>
      <w:bookmarkEnd w:id="1169"/>
      <w:bookmarkEnd w:id="1170"/>
      <w:bookmarkEnd w:id="1171"/>
      <w:bookmarkEnd w:id="1172"/>
      <w:bookmarkEnd w:id="1173"/>
      <w:bookmarkEnd w:id="1174"/>
      <w:bookmarkEnd w:id="1175"/>
    </w:p>
    <w:p w14:paraId="6F0C19E4">
      <w:pPr>
        <w:spacing w:line="360" w:lineRule="auto"/>
        <w:ind w:firstLine="444" w:firstLineChars="200"/>
        <w:rPr>
          <w:rFonts w:ascii="宋体" w:hAnsi="宋体" w:eastAsia="宋体"/>
          <w:color w:val="auto"/>
          <w:spacing w:val="6"/>
          <w:sz w:val="21"/>
          <w:szCs w:val="21"/>
          <w:highlight w:val="none"/>
        </w:rPr>
      </w:pPr>
      <w:bookmarkStart w:id="1178" w:name="_Toc75783596"/>
      <w:bookmarkStart w:id="1179" w:name="_Toc69678493"/>
      <w:bookmarkStart w:id="1180" w:name="_Toc53412280"/>
      <w:bookmarkStart w:id="1181" w:name="_Toc45976972"/>
      <w:bookmarkStart w:id="1182" w:name="_Toc42205064"/>
      <w:bookmarkStart w:id="1183" w:name="_Toc81331011"/>
      <w:r>
        <w:rPr>
          <w:rFonts w:hint="eastAsia" w:ascii="宋体" w:hAnsi="宋体" w:eastAsia="宋体"/>
          <w:color w:val="auto"/>
          <w:spacing w:val="6"/>
          <w:sz w:val="21"/>
          <w:szCs w:val="21"/>
          <w:highlight w:val="none"/>
        </w:rPr>
        <w:t>本公司（联合体）郑重声明，根据《政府采购促进中小企业发展管理办法》（财库﹝2020﹞46号）的规定，本公司（联合体）参加</w:t>
      </w:r>
      <w:r>
        <w:rPr>
          <w:rFonts w:hint="eastAsia" w:ascii="宋体" w:hAnsi="宋体" w:eastAsia="宋体"/>
          <w:color w:val="auto"/>
          <w:spacing w:val="6"/>
          <w:sz w:val="21"/>
          <w:szCs w:val="21"/>
          <w:highlight w:val="none"/>
          <w:u w:val="single"/>
        </w:rPr>
        <w:t>（ 单 位 名 称 ）</w:t>
      </w:r>
      <w:r>
        <w:rPr>
          <w:rFonts w:hint="eastAsia" w:ascii="宋体" w:hAnsi="宋体" w:eastAsia="宋体"/>
          <w:color w:val="auto"/>
          <w:spacing w:val="6"/>
          <w:sz w:val="21"/>
          <w:szCs w:val="21"/>
          <w:highlight w:val="none"/>
          <w:u w:val="single"/>
          <w:lang w:val="en-US" w:eastAsia="zh-CN"/>
        </w:rPr>
        <w:t xml:space="preserve">  </w:t>
      </w:r>
      <w:r>
        <w:rPr>
          <w:rFonts w:hint="eastAsia" w:ascii="宋体" w:hAnsi="宋体" w:eastAsia="宋体"/>
          <w:color w:val="auto"/>
          <w:spacing w:val="6"/>
          <w:sz w:val="21"/>
          <w:szCs w:val="21"/>
          <w:highlight w:val="none"/>
          <w:u w:val="single"/>
        </w:rPr>
        <w:t xml:space="preserve"> </w:t>
      </w:r>
      <w:r>
        <w:rPr>
          <w:rFonts w:hint="eastAsia" w:ascii="宋体" w:hAnsi="宋体" w:eastAsia="宋体"/>
          <w:color w:val="auto"/>
          <w:spacing w:val="6"/>
          <w:sz w:val="21"/>
          <w:szCs w:val="21"/>
          <w:highlight w:val="none"/>
        </w:rPr>
        <w:t>的</w:t>
      </w:r>
      <w:r>
        <w:rPr>
          <w:rFonts w:hint="eastAsia" w:ascii="宋体" w:hAnsi="宋体" w:eastAsia="宋体"/>
          <w:color w:val="auto"/>
          <w:spacing w:val="6"/>
          <w:sz w:val="21"/>
          <w:szCs w:val="21"/>
          <w:highlight w:val="none"/>
          <w:u w:val="single"/>
        </w:rPr>
        <w:t xml:space="preserve">（ 项 目 名 称 ） </w:t>
      </w:r>
      <w:r>
        <w:rPr>
          <w:rFonts w:hint="eastAsia" w:ascii="宋体" w:hAnsi="宋体" w:eastAsia="宋体"/>
          <w:color w:val="auto"/>
          <w:spacing w:val="6"/>
          <w:sz w:val="21"/>
          <w:szCs w:val="21"/>
          <w:highlight w:val="none"/>
        </w:rPr>
        <w:t xml:space="preserve"> 采购活动，提供的货物全部由符合政策要求的中小企业制造。相关企业 （含联合体中的中小企业、签订分包意向协议的中小企业）的具体情况如下：</w:t>
      </w:r>
    </w:p>
    <w:p w14:paraId="125B8A94">
      <w:pPr>
        <w:spacing w:line="360" w:lineRule="auto"/>
        <w:ind w:firstLine="444" w:firstLineChars="200"/>
        <w:rPr>
          <w:rFonts w:ascii="宋体" w:hAnsi="宋体" w:eastAsia="宋体"/>
          <w:color w:val="auto"/>
          <w:spacing w:val="6"/>
          <w:sz w:val="21"/>
          <w:szCs w:val="21"/>
          <w:highlight w:val="none"/>
        </w:rPr>
      </w:pPr>
      <w:r>
        <w:rPr>
          <w:rFonts w:hint="eastAsia" w:ascii="宋体" w:hAnsi="宋体" w:eastAsia="宋体"/>
          <w:color w:val="auto"/>
          <w:spacing w:val="6"/>
          <w:sz w:val="21"/>
          <w:szCs w:val="21"/>
          <w:highlight w:val="none"/>
        </w:rPr>
        <w:t xml:space="preserve"> 1.</w:t>
      </w:r>
      <w:r>
        <w:rPr>
          <w:rFonts w:hint="eastAsia" w:ascii="宋体" w:hAnsi="宋体" w:eastAsia="宋体"/>
          <w:color w:val="auto"/>
          <w:spacing w:val="6"/>
          <w:sz w:val="21"/>
          <w:szCs w:val="21"/>
          <w:highlight w:val="none"/>
          <w:u w:val="single"/>
        </w:rPr>
        <w:t>（ 标 的 名 称 ）</w:t>
      </w:r>
      <w:r>
        <w:rPr>
          <w:rFonts w:hint="eastAsia" w:ascii="宋体" w:hAnsi="宋体" w:eastAsia="宋体"/>
          <w:color w:val="auto"/>
          <w:spacing w:val="6"/>
          <w:sz w:val="21"/>
          <w:szCs w:val="21"/>
          <w:highlight w:val="none"/>
        </w:rPr>
        <w:t xml:space="preserve"> ，属于</w:t>
      </w:r>
      <w:r>
        <w:rPr>
          <w:rFonts w:hint="eastAsia" w:ascii="宋体" w:hAnsi="宋体" w:eastAsia="宋体"/>
          <w:color w:val="auto"/>
          <w:spacing w:val="6"/>
          <w:sz w:val="21"/>
          <w:szCs w:val="21"/>
          <w:highlight w:val="none"/>
          <w:u w:val="single"/>
        </w:rPr>
        <w:t xml:space="preserve"> </w:t>
      </w:r>
      <w:r>
        <w:rPr>
          <w:rFonts w:hint="eastAsia" w:ascii="宋体" w:hAnsi="宋体" w:cs="宋体"/>
          <w:color w:val="auto"/>
          <w:sz w:val="21"/>
          <w:szCs w:val="21"/>
          <w:highlight w:val="none"/>
          <w:u w:val="single"/>
          <w:shd w:val="clear" w:color="auto" w:fill="FFFFFF"/>
          <w:lang w:val="en-US" w:eastAsia="zh-CN"/>
        </w:rPr>
        <w:t xml:space="preserve"> </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u w:val="single"/>
          <w:shd w:val="clear" w:color="auto" w:fill="FFFFFF"/>
          <w:lang w:val="en-US" w:eastAsia="zh-CN"/>
        </w:rPr>
        <w:t xml:space="preserve"> </w:t>
      </w:r>
      <w:r>
        <w:rPr>
          <w:rFonts w:hint="eastAsia" w:ascii="宋体" w:hAnsi="宋体" w:cs="宋体"/>
          <w:color w:val="auto"/>
          <w:sz w:val="21"/>
          <w:szCs w:val="21"/>
          <w:highlight w:val="none"/>
          <w:u w:val="single"/>
          <w:shd w:val="clear" w:color="auto" w:fill="FFFFFF"/>
        </w:rPr>
        <w:t xml:space="preserve"> (采购文件中明确的所属行业)</w:t>
      </w:r>
      <w:r>
        <w:rPr>
          <w:rFonts w:hint="eastAsia" w:ascii="宋体" w:hAnsi="宋体" w:eastAsia="宋体"/>
          <w:color w:val="auto"/>
          <w:spacing w:val="6"/>
          <w:sz w:val="21"/>
          <w:szCs w:val="21"/>
          <w:highlight w:val="none"/>
          <w:u w:val="single"/>
        </w:rPr>
        <w:t xml:space="preserve">  </w:t>
      </w:r>
      <w:r>
        <w:rPr>
          <w:rFonts w:hint="eastAsia" w:ascii="宋体" w:hAnsi="宋体" w:eastAsia="宋体"/>
          <w:color w:val="auto"/>
          <w:spacing w:val="6"/>
          <w:sz w:val="21"/>
          <w:szCs w:val="21"/>
          <w:highlight w:val="none"/>
        </w:rPr>
        <w:t>行 业 ；制造商为</w:t>
      </w:r>
      <w:r>
        <w:rPr>
          <w:rFonts w:hint="eastAsia" w:ascii="宋体" w:hAnsi="宋体" w:eastAsia="宋体"/>
          <w:color w:val="auto"/>
          <w:spacing w:val="6"/>
          <w:sz w:val="21"/>
          <w:szCs w:val="21"/>
          <w:highlight w:val="none"/>
          <w:u w:val="single"/>
        </w:rPr>
        <w:t xml:space="preserve">（ 企 业 名 称 ） </w:t>
      </w:r>
      <w:r>
        <w:rPr>
          <w:rFonts w:hint="eastAsia" w:ascii="宋体" w:hAnsi="宋体" w:eastAsia="宋体"/>
          <w:color w:val="auto"/>
          <w:spacing w:val="6"/>
          <w:sz w:val="21"/>
          <w:szCs w:val="21"/>
          <w:highlight w:val="none"/>
        </w:rPr>
        <w:t>，从业人员人，营业收入为万元，资产总额为万元，属于</w:t>
      </w:r>
      <w:r>
        <w:rPr>
          <w:rFonts w:hint="eastAsia" w:ascii="宋体" w:hAnsi="宋体" w:eastAsia="宋体"/>
          <w:color w:val="auto"/>
          <w:spacing w:val="6"/>
          <w:sz w:val="21"/>
          <w:szCs w:val="21"/>
          <w:highlight w:val="none"/>
          <w:u w:val="single"/>
        </w:rPr>
        <w:t xml:space="preserve">（ 中 型 企 业 、 小 型 企 业 、 微 型 企 业 ） </w:t>
      </w:r>
      <w:r>
        <w:rPr>
          <w:rFonts w:hint="eastAsia" w:ascii="宋体" w:hAnsi="宋体" w:eastAsia="宋体"/>
          <w:color w:val="auto"/>
          <w:spacing w:val="6"/>
          <w:sz w:val="21"/>
          <w:szCs w:val="21"/>
          <w:highlight w:val="none"/>
        </w:rPr>
        <w:t xml:space="preserve">； </w:t>
      </w:r>
    </w:p>
    <w:p w14:paraId="1A114697">
      <w:pPr>
        <w:spacing w:line="360" w:lineRule="auto"/>
        <w:ind w:firstLine="444" w:firstLineChars="200"/>
        <w:rPr>
          <w:rFonts w:ascii="宋体" w:hAnsi="宋体" w:eastAsia="宋体"/>
          <w:color w:val="auto"/>
          <w:spacing w:val="6"/>
          <w:sz w:val="21"/>
          <w:szCs w:val="21"/>
          <w:highlight w:val="none"/>
        </w:rPr>
      </w:pPr>
      <w:r>
        <w:rPr>
          <w:rFonts w:hint="eastAsia" w:ascii="宋体" w:hAnsi="宋体" w:eastAsia="宋体"/>
          <w:color w:val="auto"/>
          <w:spacing w:val="6"/>
          <w:sz w:val="21"/>
          <w:szCs w:val="21"/>
          <w:highlight w:val="none"/>
        </w:rPr>
        <w:t>2.</w:t>
      </w:r>
      <w:r>
        <w:rPr>
          <w:rFonts w:hint="eastAsia" w:ascii="宋体" w:hAnsi="宋体" w:eastAsia="宋体"/>
          <w:color w:val="auto"/>
          <w:spacing w:val="6"/>
          <w:sz w:val="21"/>
          <w:szCs w:val="21"/>
          <w:highlight w:val="none"/>
          <w:u w:val="single"/>
        </w:rPr>
        <w:t>（ 标 的 名 称 ）</w:t>
      </w:r>
      <w:r>
        <w:rPr>
          <w:rFonts w:hint="eastAsia" w:ascii="宋体" w:hAnsi="宋体" w:eastAsia="宋体"/>
          <w:color w:val="auto"/>
          <w:spacing w:val="6"/>
          <w:sz w:val="21"/>
          <w:szCs w:val="21"/>
          <w:highlight w:val="none"/>
        </w:rPr>
        <w:t xml:space="preserve"> ，属于</w:t>
      </w:r>
      <w:r>
        <w:rPr>
          <w:rFonts w:hint="eastAsia" w:ascii="宋体" w:hAnsi="宋体" w:eastAsia="宋体"/>
          <w:color w:val="auto"/>
          <w:spacing w:val="6"/>
          <w:sz w:val="21"/>
          <w:szCs w:val="21"/>
          <w:highlight w:val="none"/>
          <w:lang w:val="en-US" w:eastAsia="zh-CN"/>
        </w:rPr>
        <w:t xml:space="preserve"> </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u w:val="single"/>
          <w:shd w:val="clear" w:color="auto" w:fill="FFFFFF"/>
          <w:lang w:val="en-US" w:eastAsia="zh-CN"/>
        </w:rPr>
        <w:t xml:space="preserve">  </w:t>
      </w:r>
      <w:r>
        <w:rPr>
          <w:rFonts w:hint="eastAsia" w:ascii="宋体" w:hAnsi="宋体" w:cs="宋体"/>
          <w:color w:val="auto"/>
          <w:sz w:val="21"/>
          <w:szCs w:val="21"/>
          <w:highlight w:val="none"/>
          <w:u w:val="single"/>
          <w:shd w:val="clear" w:color="auto" w:fill="FFFFFF"/>
        </w:rPr>
        <w:t>(采购文件中明确的所属行业)</w:t>
      </w:r>
      <w:r>
        <w:rPr>
          <w:rFonts w:hint="eastAsia" w:ascii="宋体" w:hAnsi="宋体" w:eastAsia="宋体"/>
          <w:color w:val="auto"/>
          <w:spacing w:val="6"/>
          <w:sz w:val="21"/>
          <w:szCs w:val="21"/>
          <w:highlight w:val="none"/>
          <w:u w:val="single"/>
        </w:rPr>
        <w:t xml:space="preserve"> </w:t>
      </w:r>
      <w:r>
        <w:rPr>
          <w:rFonts w:hint="eastAsia" w:ascii="宋体" w:hAnsi="宋体" w:eastAsia="宋体"/>
          <w:color w:val="auto"/>
          <w:spacing w:val="6"/>
          <w:sz w:val="21"/>
          <w:szCs w:val="21"/>
          <w:highlight w:val="none"/>
        </w:rPr>
        <w:t>行 业 ；制造商为</w:t>
      </w:r>
      <w:r>
        <w:rPr>
          <w:rFonts w:hint="eastAsia" w:ascii="宋体" w:hAnsi="宋体" w:eastAsia="宋体"/>
          <w:color w:val="auto"/>
          <w:spacing w:val="6"/>
          <w:sz w:val="21"/>
          <w:szCs w:val="21"/>
          <w:highlight w:val="none"/>
          <w:u w:val="single"/>
        </w:rPr>
        <w:t xml:space="preserve">（ 企 业 名 称 ） </w:t>
      </w:r>
      <w:r>
        <w:rPr>
          <w:rFonts w:hint="eastAsia" w:ascii="宋体" w:hAnsi="宋体" w:eastAsia="宋体"/>
          <w:color w:val="auto"/>
          <w:spacing w:val="6"/>
          <w:sz w:val="21"/>
          <w:szCs w:val="21"/>
          <w:highlight w:val="none"/>
        </w:rPr>
        <w:t>，从业人员人，营业收入为万元，资产总额为万元，属于</w:t>
      </w:r>
      <w:r>
        <w:rPr>
          <w:rFonts w:hint="eastAsia" w:ascii="宋体" w:hAnsi="宋体" w:eastAsia="宋体"/>
          <w:color w:val="auto"/>
          <w:spacing w:val="6"/>
          <w:sz w:val="21"/>
          <w:szCs w:val="21"/>
          <w:highlight w:val="none"/>
          <w:u w:val="single"/>
        </w:rPr>
        <w:t xml:space="preserve">（ 中 型 企 业 、 小 型 企 业 、 微 型 企 业 ） </w:t>
      </w:r>
      <w:r>
        <w:rPr>
          <w:rFonts w:hint="eastAsia" w:ascii="宋体" w:hAnsi="宋体" w:eastAsia="宋体"/>
          <w:color w:val="auto"/>
          <w:spacing w:val="6"/>
          <w:sz w:val="21"/>
          <w:szCs w:val="21"/>
          <w:highlight w:val="none"/>
        </w:rPr>
        <w:t>；</w:t>
      </w:r>
    </w:p>
    <w:p w14:paraId="1FDABDEE">
      <w:pPr>
        <w:spacing w:line="360" w:lineRule="auto"/>
        <w:ind w:firstLine="444" w:firstLineChars="200"/>
        <w:rPr>
          <w:rFonts w:ascii="宋体" w:hAnsi="宋体" w:eastAsia="宋体"/>
          <w:color w:val="auto"/>
          <w:spacing w:val="6"/>
          <w:sz w:val="21"/>
          <w:szCs w:val="21"/>
          <w:highlight w:val="none"/>
        </w:rPr>
      </w:pPr>
      <w:r>
        <w:rPr>
          <w:rFonts w:hint="eastAsia" w:ascii="宋体" w:hAnsi="宋体"/>
          <w:color w:val="auto"/>
          <w:spacing w:val="6"/>
          <w:sz w:val="21"/>
          <w:szCs w:val="21"/>
          <w:highlight w:val="none"/>
          <w:lang w:val="en-US" w:eastAsia="zh-CN"/>
        </w:rPr>
        <w:t>3</w:t>
      </w:r>
      <w:r>
        <w:rPr>
          <w:rFonts w:hint="eastAsia" w:ascii="宋体" w:hAnsi="宋体" w:eastAsia="宋体"/>
          <w:color w:val="auto"/>
          <w:spacing w:val="6"/>
          <w:sz w:val="21"/>
          <w:szCs w:val="21"/>
          <w:highlight w:val="none"/>
        </w:rPr>
        <w:t>.</w:t>
      </w:r>
      <w:r>
        <w:rPr>
          <w:rFonts w:hint="eastAsia" w:ascii="宋体" w:hAnsi="宋体" w:eastAsia="宋体"/>
          <w:color w:val="auto"/>
          <w:spacing w:val="6"/>
          <w:sz w:val="21"/>
          <w:szCs w:val="21"/>
          <w:highlight w:val="none"/>
          <w:u w:val="single"/>
        </w:rPr>
        <w:t>（ 标 的 名 称 ）</w:t>
      </w:r>
      <w:r>
        <w:rPr>
          <w:rFonts w:hint="eastAsia" w:ascii="宋体" w:hAnsi="宋体" w:eastAsia="宋体"/>
          <w:color w:val="auto"/>
          <w:spacing w:val="6"/>
          <w:sz w:val="21"/>
          <w:szCs w:val="21"/>
          <w:highlight w:val="none"/>
        </w:rPr>
        <w:t xml:space="preserve"> ，属于</w:t>
      </w:r>
      <w:r>
        <w:rPr>
          <w:rFonts w:hint="eastAsia" w:ascii="宋体" w:hAnsi="宋体" w:eastAsia="宋体"/>
          <w:color w:val="auto"/>
          <w:spacing w:val="6"/>
          <w:sz w:val="21"/>
          <w:szCs w:val="21"/>
          <w:highlight w:val="none"/>
          <w:lang w:val="en-US" w:eastAsia="zh-CN"/>
        </w:rPr>
        <w:t xml:space="preserve"> </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u w:val="single"/>
          <w:shd w:val="clear" w:color="auto" w:fill="FFFFFF"/>
          <w:lang w:val="en-US" w:eastAsia="zh-CN"/>
        </w:rPr>
        <w:t xml:space="preserve">  </w:t>
      </w:r>
      <w:r>
        <w:rPr>
          <w:rFonts w:hint="eastAsia" w:ascii="宋体" w:hAnsi="宋体" w:cs="宋体"/>
          <w:color w:val="auto"/>
          <w:sz w:val="21"/>
          <w:szCs w:val="21"/>
          <w:highlight w:val="none"/>
          <w:u w:val="single"/>
          <w:shd w:val="clear" w:color="auto" w:fill="FFFFFF"/>
        </w:rPr>
        <w:t>(采购文件中明确的所属行业)</w:t>
      </w:r>
      <w:r>
        <w:rPr>
          <w:rFonts w:hint="eastAsia" w:ascii="宋体" w:hAnsi="宋体" w:eastAsia="宋体"/>
          <w:color w:val="auto"/>
          <w:spacing w:val="6"/>
          <w:sz w:val="21"/>
          <w:szCs w:val="21"/>
          <w:highlight w:val="none"/>
          <w:u w:val="single"/>
        </w:rPr>
        <w:t xml:space="preserve"> </w:t>
      </w:r>
      <w:r>
        <w:rPr>
          <w:rFonts w:hint="eastAsia" w:ascii="宋体" w:hAnsi="宋体" w:eastAsia="宋体"/>
          <w:color w:val="auto"/>
          <w:spacing w:val="6"/>
          <w:sz w:val="21"/>
          <w:szCs w:val="21"/>
          <w:highlight w:val="none"/>
        </w:rPr>
        <w:t>行 业 ；制造商为</w:t>
      </w:r>
      <w:r>
        <w:rPr>
          <w:rFonts w:hint="eastAsia" w:ascii="宋体" w:hAnsi="宋体" w:eastAsia="宋体"/>
          <w:color w:val="auto"/>
          <w:spacing w:val="6"/>
          <w:sz w:val="21"/>
          <w:szCs w:val="21"/>
          <w:highlight w:val="none"/>
          <w:u w:val="single"/>
        </w:rPr>
        <w:t xml:space="preserve">（ 企 业 名 称 ） </w:t>
      </w:r>
      <w:r>
        <w:rPr>
          <w:rFonts w:hint="eastAsia" w:ascii="宋体" w:hAnsi="宋体" w:eastAsia="宋体"/>
          <w:color w:val="auto"/>
          <w:spacing w:val="6"/>
          <w:sz w:val="21"/>
          <w:szCs w:val="21"/>
          <w:highlight w:val="none"/>
        </w:rPr>
        <w:t>，从业人员人，营业收入为万元，资产总额为万元，属于</w:t>
      </w:r>
      <w:r>
        <w:rPr>
          <w:rFonts w:hint="eastAsia" w:ascii="宋体" w:hAnsi="宋体" w:eastAsia="宋体"/>
          <w:color w:val="auto"/>
          <w:spacing w:val="6"/>
          <w:sz w:val="21"/>
          <w:szCs w:val="21"/>
          <w:highlight w:val="none"/>
          <w:u w:val="single"/>
        </w:rPr>
        <w:t xml:space="preserve">（ 中 型 企 业 、 小 型 企 业 、 微 型 企 业 ） </w:t>
      </w:r>
      <w:r>
        <w:rPr>
          <w:rFonts w:hint="eastAsia" w:ascii="宋体" w:hAnsi="宋体" w:eastAsia="宋体"/>
          <w:color w:val="auto"/>
          <w:spacing w:val="6"/>
          <w:sz w:val="21"/>
          <w:szCs w:val="21"/>
          <w:highlight w:val="none"/>
        </w:rPr>
        <w:t>；</w:t>
      </w:r>
    </w:p>
    <w:p w14:paraId="4C7E0FB9">
      <w:pPr>
        <w:pStyle w:val="22"/>
        <w:rPr>
          <w:rFonts w:ascii="宋体" w:hAnsi="宋体" w:eastAsia="宋体"/>
          <w:color w:val="auto"/>
          <w:sz w:val="21"/>
          <w:szCs w:val="21"/>
          <w:highlight w:val="none"/>
        </w:rPr>
      </w:pPr>
    </w:p>
    <w:p w14:paraId="74206890">
      <w:pPr>
        <w:pStyle w:val="2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p>
    <w:p w14:paraId="75493376">
      <w:pPr>
        <w:spacing w:line="360" w:lineRule="auto"/>
        <w:ind w:firstLine="444" w:firstLineChars="200"/>
        <w:rPr>
          <w:rFonts w:ascii="宋体" w:hAnsi="宋体" w:eastAsia="宋体"/>
          <w:color w:val="auto"/>
          <w:spacing w:val="6"/>
          <w:sz w:val="21"/>
          <w:szCs w:val="21"/>
          <w:highlight w:val="none"/>
        </w:rPr>
      </w:pPr>
      <w:r>
        <w:rPr>
          <w:rFonts w:hint="eastAsia" w:ascii="宋体" w:hAnsi="宋体" w:eastAsia="宋体"/>
          <w:color w:val="auto"/>
          <w:spacing w:val="6"/>
          <w:sz w:val="21"/>
          <w:szCs w:val="21"/>
          <w:highlight w:val="none"/>
        </w:rPr>
        <w:t xml:space="preserve">以上企业，不属于大企业的分支机构，不存在控股股东为大企业的情形，也不存在与大企业的负责人为同一人的情形。 </w:t>
      </w:r>
    </w:p>
    <w:p w14:paraId="0E2CEEDA">
      <w:pPr>
        <w:spacing w:line="360" w:lineRule="auto"/>
        <w:ind w:firstLine="444" w:firstLineChars="200"/>
        <w:rPr>
          <w:rFonts w:hint="eastAsia" w:asciiTheme="minorEastAsia" w:hAnsiTheme="minorEastAsia" w:eastAsiaTheme="minorEastAsia"/>
          <w:color w:val="auto"/>
          <w:spacing w:val="6"/>
          <w:szCs w:val="21"/>
          <w:highlight w:val="none"/>
        </w:rPr>
      </w:pPr>
      <w:r>
        <w:rPr>
          <w:rFonts w:hint="eastAsia" w:ascii="宋体" w:hAnsi="宋体" w:eastAsia="宋体"/>
          <w:color w:val="auto"/>
          <w:spacing w:val="6"/>
          <w:sz w:val="21"/>
          <w:szCs w:val="21"/>
          <w:highlight w:val="none"/>
        </w:rPr>
        <w:t>本企业对上述声明内容的真实性负责。如有虚假，将依法承担相应责任。</w:t>
      </w:r>
    </w:p>
    <w:p w14:paraId="5DD8529E">
      <w:pPr>
        <w:widowControl/>
        <w:spacing w:line="360" w:lineRule="auto"/>
        <w:jc w:val="left"/>
        <w:rPr>
          <w:rFonts w:hint="eastAsia" w:asciiTheme="minorEastAsia" w:hAnsiTheme="minorEastAsia" w:eastAsiaTheme="minorEastAsia"/>
          <w:color w:val="auto"/>
          <w:spacing w:val="6"/>
          <w:szCs w:val="21"/>
          <w:highlight w:val="none"/>
        </w:rPr>
      </w:pPr>
    </w:p>
    <w:p w14:paraId="4EE64E51">
      <w:pPr>
        <w:widowControl/>
        <w:spacing w:line="360" w:lineRule="auto"/>
        <w:jc w:val="left"/>
        <w:rPr>
          <w:rFonts w:hint="eastAsia" w:asciiTheme="minorEastAsia" w:hAnsiTheme="minorEastAsia" w:eastAsiaTheme="minorEastAsia"/>
          <w:color w:val="auto"/>
          <w:spacing w:val="6"/>
          <w:szCs w:val="21"/>
          <w:highlight w:val="none"/>
        </w:rPr>
      </w:pPr>
    </w:p>
    <w:p w14:paraId="745747DF">
      <w:pPr>
        <w:widowControl/>
        <w:spacing w:line="360" w:lineRule="auto"/>
        <w:jc w:val="left"/>
        <w:rPr>
          <w:rFonts w:hint="eastAsia" w:asciiTheme="minorEastAsia" w:hAnsiTheme="minorEastAsia" w:eastAsiaTheme="minorEastAsia"/>
          <w:color w:val="auto"/>
          <w:spacing w:val="6"/>
          <w:szCs w:val="21"/>
          <w:highlight w:val="none"/>
        </w:rPr>
      </w:pPr>
    </w:p>
    <w:p w14:paraId="536D3D08">
      <w:pPr>
        <w:widowControl/>
        <w:spacing w:line="360" w:lineRule="auto"/>
        <w:jc w:val="left"/>
        <w:rPr>
          <w:rFonts w:hint="eastAsia" w:asciiTheme="minorEastAsia" w:hAnsiTheme="minorEastAsia" w:eastAsiaTheme="minorEastAsia"/>
          <w:color w:val="auto"/>
          <w:spacing w:val="6"/>
          <w:szCs w:val="21"/>
          <w:highlight w:val="none"/>
        </w:rPr>
      </w:pPr>
    </w:p>
    <w:p w14:paraId="20CB4209">
      <w:pPr>
        <w:spacing w:line="480" w:lineRule="auto"/>
        <w:ind w:right="252" w:rightChars="120" w:firstLine="6090" w:firstLineChars="29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企业名称（电子签章）：</w:t>
      </w:r>
    </w:p>
    <w:p w14:paraId="1972E196">
      <w:pPr>
        <w:spacing w:line="480" w:lineRule="auto"/>
        <w:ind w:right="252" w:rightChars="120" w:firstLine="6090" w:firstLineChars="2900"/>
        <w:rPr>
          <w:rFonts w:hint="eastAsia" w:cs="仿宋_GB2312"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日 期：</w:t>
      </w:r>
    </w:p>
    <w:p w14:paraId="67450125">
      <w:pPr>
        <w:spacing w:line="360" w:lineRule="auto"/>
        <w:ind w:right="252" w:rightChars="120" w:firstLine="6510" w:firstLineChars="3100"/>
        <w:rPr>
          <w:rFonts w:hint="eastAsia" w:cs="仿宋_GB2312" w:asciiTheme="minorEastAsia" w:hAnsiTheme="minorEastAsia" w:eastAsiaTheme="minorEastAsia"/>
          <w:color w:val="auto"/>
          <w:szCs w:val="21"/>
          <w:highlight w:val="none"/>
        </w:rPr>
      </w:pPr>
    </w:p>
    <w:p w14:paraId="5D49D77C">
      <w:pPr>
        <w:spacing w:line="360" w:lineRule="auto"/>
        <w:ind w:right="252" w:rightChars="120" w:firstLine="422" w:firstLineChars="200"/>
        <w:rPr>
          <w:rFonts w:hint="eastAsia"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注：1.从业人员、营业收入、资产总额填报上一年度数据，无上一年度数据的新成立企业可不填报；</w:t>
      </w:r>
    </w:p>
    <w:p w14:paraId="74DC913A">
      <w:pPr>
        <w:spacing w:line="360" w:lineRule="auto"/>
        <w:ind w:right="252" w:rightChars="120" w:firstLine="842" w:firstLineChars="378"/>
        <w:rPr>
          <w:rFonts w:hint="eastAsia" w:cs="仿宋_GB2312" w:asciiTheme="minorEastAsia" w:hAnsiTheme="minorEastAsia" w:eastAsiaTheme="minorEastAsia"/>
          <w:b/>
          <w:bCs/>
          <w:color w:val="auto"/>
          <w:szCs w:val="21"/>
          <w:highlight w:val="none"/>
        </w:rPr>
      </w:pPr>
      <w:r>
        <w:rPr>
          <w:rFonts w:asciiTheme="minorEastAsia" w:hAnsiTheme="minorEastAsia" w:eastAsiaTheme="minorEastAsia"/>
          <w:b/>
          <w:bCs/>
          <w:color w:val="auto"/>
          <w:spacing w:val="6"/>
          <w:szCs w:val="21"/>
          <w:highlight w:val="none"/>
        </w:rPr>
        <w:t>2</w:t>
      </w:r>
      <w:r>
        <w:rPr>
          <w:rFonts w:hint="eastAsia" w:asciiTheme="minorEastAsia" w:hAnsiTheme="minorEastAsia" w:eastAsiaTheme="minorEastAsia"/>
          <w:b/>
          <w:bCs/>
          <w:color w:val="auto"/>
          <w:spacing w:val="6"/>
          <w:szCs w:val="21"/>
          <w:highlight w:val="none"/>
        </w:rPr>
        <w:t>.供应商若为中小企业，须按以上要求完整的填写《中小企业声明函》；如不完整或有空缺，则磋商报价不予扣除；</w:t>
      </w:r>
    </w:p>
    <w:p w14:paraId="38DDA733">
      <w:pPr>
        <w:spacing w:line="360" w:lineRule="auto"/>
        <w:ind w:firstLine="843" w:firstLineChars="400"/>
        <w:rPr>
          <w:rFonts w:hint="eastAsia" w:asciiTheme="minorEastAsia" w:hAnsiTheme="minorEastAsia" w:eastAsiaTheme="minorEastAsia"/>
          <w:b/>
          <w:bCs/>
          <w:color w:val="auto"/>
          <w:spacing w:val="6"/>
          <w:szCs w:val="21"/>
          <w:highlight w:val="none"/>
        </w:rPr>
      </w:pPr>
      <w:r>
        <w:rPr>
          <w:rFonts w:cs="仿宋_GB2312" w:asciiTheme="minorEastAsia" w:hAnsiTheme="minorEastAsia" w:eastAsiaTheme="minorEastAsia"/>
          <w:b/>
          <w:bCs/>
          <w:color w:val="auto"/>
          <w:szCs w:val="21"/>
          <w:highlight w:val="none"/>
        </w:rPr>
        <w:t>3</w:t>
      </w:r>
      <w:r>
        <w:rPr>
          <w:rFonts w:hint="eastAsia" w:cs="仿宋_GB2312" w:asciiTheme="minorEastAsia" w:hAnsiTheme="minorEastAsia" w:eastAsiaTheme="minorEastAsia"/>
          <w:b/>
          <w:bCs/>
          <w:color w:val="auto"/>
          <w:szCs w:val="21"/>
          <w:highlight w:val="none"/>
        </w:rPr>
        <w:t>.若</w:t>
      </w:r>
      <w:r>
        <w:rPr>
          <w:rFonts w:hint="eastAsia" w:asciiTheme="minorEastAsia" w:hAnsiTheme="minorEastAsia" w:eastAsiaTheme="minorEastAsia"/>
          <w:b/>
          <w:bCs/>
          <w:color w:val="auto"/>
          <w:spacing w:val="6"/>
          <w:szCs w:val="21"/>
          <w:highlight w:val="none"/>
        </w:rPr>
        <w:t>供应商</w:t>
      </w:r>
      <w:r>
        <w:rPr>
          <w:rFonts w:hint="eastAsia" w:cs="仿宋_GB2312" w:asciiTheme="minorEastAsia" w:hAnsiTheme="minorEastAsia" w:eastAsiaTheme="minorEastAsia"/>
          <w:b/>
          <w:bCs/>
          <w:color w:val="auto"/>
          <w:szCs w:val="21"/>
          <w:highlight w:val="none"/>
        </w:rPr>
        <w:t>为</w:t>
      </w:r>
      <w:r>
        <w:rPr>
          <w:rFonts w:hint="eastAsia" w:asciiTheme="minorEastAsia" w:hAnsiTheme="minorEastAsia" w:eastAsiaTheme="minorEastAsia"/>
          <w:b/>
          <w:bCs/>
          <w:color w:val="auto"/>
          <w:spacing w:val="6"/>
          <w:szCs w:val="21"/>
          <w:highlight w:val="none"/>
        </w:rPr>
        <w:t>符合政策要求的中小企业，即可填报声明；否则，可不填报及签章。</w:t>
      </w:r>
    </w:p>
    <w:p w14:paraId="0260EF7A">
      <w:pPr>
        <w:rPr>
          <w:rFonts w:hint="eastAsia" w:asciiTheme="minorEastAsia" w:hAnsiTheme="minorEastAsia" w:eastAsiaTheme="minorEastAsia"/>
          <w:b/>
          <w:bCs/>
          <w:color w:val="auto"/>
          <w:spacing w:val="6"/>
          <w:szCs w:val="21"/>
          <w:highlight w:val="none"/>
        </w:rPr>
      </w:pPr>
      <w:r>
        <w:rPr>
          <w:rFonts w:hint="eastAsia" w:asciiTheme="minorEastAsia" w:hAnsiTheme="minorEastAsia" w:eastAsiaTheme="minorEastAsia"/>
          <w:b/>
          <w:bCs/>
          <w:color w:val="auto"/>
          <w:spacing w:val="6"/>
          <w:szCs w:val="21"/>
          <w:highlight w:val="none"/>
        </w:rPr>
        <w:br w:type="page"/>
      </w:r>
    </w:p>
    <w:p w14:paraId="366D7764">
      <w:pPr>
        <w:widowControl/>
        <w:spacing w:line="600" w:lineRule="exact"/>
        <w:jc w:val="left"/>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附表</w:t>
      </w:r>
    </w:p>
    <w:p w14:paraId="06BBC2E4">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688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tcBorders>
              <w:tl2br w:val="nil"/>
              <w:tr2bl w:val="nil"/>
            </w:tcBorders>
            <w:noWrap w:val="0"/>
            <w:vAlign w:val="center"/>
          </w:tcPr>
          <w:p w14:paraId="2407DEEE">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tcBorders>
              <w:tl2br w:val="nil"/>
              <w:tr2bl w:val="nil"/>
            </w:tcBorders>
            <w:noWrap w:val="0"/>
            <w:vAlign w:val="center"/>
          </w:tcPr>
          <w:p w14:paraId="40FA342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tl2br w:val="nil"/>
              <w:tr2bl w:val="nil"/>
            </w:tcBorders>
            <w:noWrap w:val="0"/>
            <w:vAlign w:val="center"/>
          </w:tcPr>
          <w:p w14:paraId="74BDF0A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tcBorders>
              <w:tl2br w:val="nil"/>
              <w:tr2bl w:val="nil"/>
            </w:tcBorders>
            <w:noWrap w:val="0"/>
            <w:vAlign w:val="center"/>
          </w:tcPr>
          <w:p w14:paraId="5D5536A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tl2br w:val="nil"/>
              <w:tr2bl w:val="nil"/>
            </w:tcBorders>
            <w:noWrap w:val="0"/>
            <w:vAlign w:val="center"/>
          </w:tcPr>
          <w:p w14:paraId="728A575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tl2br w:val="nil"/>
              <w:tr2bl w:val="nil"/>
            </w:tcBorders>
            <w:noWrap w:val="0"/>
            <w:vAlign w:val="center"/>
          </w:tcPr>
          <w:p w14:paraId="6D1D4C4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tcBorders>
              <w:tl2br w:val="nil"/>
              <w:tr2bl w:val="nil"/>
            </w:tcBorders>
            <w:noWrap w:val="0"/>
            <w:vAlign w:val="center"/>
          </w:tcPr>
          <w:p w14:paraId="59F376D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5424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tcBorders>
              <w:tl2br w:val="nil"/>
              <w:tr2bl w:val="nil"/>
            </w:tcBorders>
            <w:noWrap w:val="0"/>
            <w:vAlign w:val="center"/>
          </w:tcPr>
          <w:p w14:paraId="6EE64EB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tcBorders>
              <w:tl2br w:val="nil"/>
              <w:tr2bl w:val="nil"/>
            </w:tcBorders>
            <w:noWrap w:val="0"/>
            <w:vAlign w:val="center"/>
          </w:tcPr>
          <w:p w14:paraId="518B0F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6A0F5A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7D3983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l2br w:val="nil"/>
              <w:tr2bl w:val="nil"/>
            </w:tcBorders>
            <w:noWrap w:val="0"/>
            <w:vAlign w:val="center"/>
          </w:tcPr>
          <w:p w14:paraId="364050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l2br w:val="nil"/>
              <w:tr2bl w:val="nil"/>
            </w:tcBorders>
            <w:noWrap w:val="0"/>
            <w:vAlign w:val="center"/>
          </w:tcPr>
          <w:p w14:paraId="47FC17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tcBorders>
              <w:tl2br w:val="nil"/>
              <w:tr2bl w:val="nil"/>
            </w:tcBorders>
            <w:noWrap w:val="0"/>
            <w:vAlign w:val="center"/>
          </w:tcPr>
          <w:p w14:paraId="6E6008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22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noWrap w:val="0"/>
            <w:vAlign w:val="center"/>
          </w:tcPr>
          <w:p w14:paraId="132BBA4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tcBorders>
              <w:tl2br w:val="nil"/>
              <w:tr2bl w:val="nil"/>
            </w:tcBorders>
            <w:noWrap w:val="0"/>
            <w:vAlign w:val="center"/>
          </w:tcPr>
          <w:p w14:paraId="5CFA45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141793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1E118B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l2br w:val="nil"/>
              <w:tr2bl w:val="nil"/>
            </w:tcBorders>
            <w:noWrap w:val="0"/>
            <w:vAlign w:val="center"/>
          </w:tcPr>
          <w:p w14:paraId="3FF9A8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l2br w:val="nil"/>
              <w:tr2bl w:val="nil"/>
            </w:tcBorders>
            <w:noWrap w:val="0"/>
            <w:vAlign w:val="center"/>
          </w:tcPr>
          <w:p w14:paraId="27E86B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l2br w:val="nil"/>
              <w:tr2bl w:val="nil"/>
            </w:tcBorders>
            <w:noWrap w:val="0"/>
            <w:vAlign w:val="center"/>
          </w:tcPr>
          <w:p w14:paraId="13C501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20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noWrap w:val="0"/>
            <w:vAlign w:val="center"/>
          </w:tcPr>
          <w:p w14:paraId="3A0F2612">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5E756F7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0EBC42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0DC32E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l2br w:val="nil"/>
              <w:tr2bl w:val="nil"/>
            </w:tcBorders>
            <w:noWrap w:val="0"/>
            <w:vAlign w:val="center"/>
          </w:tcPr>
          <w:p w14:paraId="46DD89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tcBorders>
              <w:tl2br w:val="nil"/>
              <w:tr2bl w:val="nil"/>
            </w:tcBorders>
            <w:noWrap w:val="0"/>
            <w:vAlign w:val="center"/>
          </w:tcPr>
          <w:p w14:paraId="05EDC8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tcBorders>
              <w:tl2br w:val="nil"/>
              <w:tr2bl w:val="nil"/>
            </w:tcBorders>
            <w:noWrap w:val="0"/>
            <w:vAlign w:val="center"/>
          </w:tcPr>
          <w:p w14:paraId="4D712B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7E1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noWrap w:val="0"/>
            <w:vAlign w:val="center"/>
          </w:tcPr>
          <w:p w14:paraId="62733BD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l2br w:val="nil"/>
              <w:tr2bl w:val="nil"/>
            </w:tcBorders>
            <w:noWrap w:val="0"/>
            <w:vAlign w:val="center"/>
          </w:tcPr>
          <w:p w14:paraId="39491B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440DD7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790B3B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tcBorders>
              <w:tl2br w:val="nil"/>
              <w:tr2bl w:val="nil"/>
            </w:tcBorders>
            <w:noWrap w:val="0"/>
            <w:vAlign w:val="center"/>
          </w:tcPr>
          <w:p w14:paraId="308129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tcBorders>
              <w:tl2br w:val="nil"/>
              <w:tr2bl w:val="nil"/>
            </w:tcBorders>
            <w:noWrap w:val="0"/>
            <w:vAlign w:val="center"/>
          </w:tcPr>
          <w:p w14:paraId="116728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tcBorders>
              <w:tl2br w:val="nil"/>
              <w:tr2bl w:val="nil"/>
            </w:tcBorders>
            <w:noWrap w:val="0"/>
            <w:vAlign w:val="center"/>
          </w:tcPr>
          <w:p w14:paraId="0CEBF8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757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noWrap w:val="0"/>
            <w:vAlign w:val="center"/>
          </w:tcPr>
          <w:p w14:paraId="2FEB2566">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307C39E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l2br w:val="nil"/>
              <w:tr2bl w:val="nil"/>
            </w:tcBorders>
            <w:noWrap w:val="0"/>
            <w:vAlign w:val="center"/>
          </w:tcPr>
          <w:p w14:paraId="3236D5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2904E0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tcBorders>
              <w:tl2br w:val="nil"/>
              <w:tr2bl w:val="nil"/>
            </w:tcBorders>
            <w:noWrap w:val="0"/>
            <w:vAlign w:val="center"/>
          </w:tcPr>
          <w:p w14:paraId="0C1D77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tcBorders>
              <w:tl2br w:val="nil"/>
              <w:tr2bl w:val="nil"/>
            </w:tcBorders>
            <w:noWrap w:val="0"/>
            <w:vAlign w:val="center"/>
          </w:tcPr>
          <w:p w14:paraId="4DA233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tcBorders>
              <w:tl2br w:val="nil"/>
              <w:tr2bl w:val="nil"/>
            </w:tcBorders>
            <w:noWrap w:val="0"/>
            <w:vAlign w:val="center"/>
          </w:tcPr>
          <w:p w14:paraId="5CEE4E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47D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noWrap w:val="0"/>
            <w:vAlign w:val="center"/>
          </w:tcPr>
          <w:p w14:paraId="5A4AB34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l2br w:val="nil"/>
              <w:tr2bl w:val="nil"/>
            </w:tcBorders>
            <w:noWrap w:val="0"/>
            <w:vAlign w:val="center"/>
          </w:tcPr>
          <w:p w14:paraId="7EF656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64E870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159A07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l2br w:val="nil"/>
              <w:tr2bl w:val="nil"/>
            </w:tcBorders>
            <w:noWrap w:val="0"/>
            <w:vAlign w:val="center"/>
          </w:tcPr>
          <w:p w14:paraId="3BAD22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tcBorders>
              <w:tl2br w:val="nil"/>
              <w:tr2bl w:val="nil"/>
            </w:tcBorders>
            <w:noWrap w:val="0"/>
            <w:vAlign w:val="center"/>
          </w:tcPr>
          <w:p w14:paraId="516DD5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tcBorders>
              <w:tl2br w:val="nil"/>
              <w:tr2bl w:val="nil"/>
            </w:tcBorders>
            <w:noWrap w:val="0"/>
            <w:vAlign w:val="center"/>
          </w:tcPr>
          <w:p w14:paraId="39BC0F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127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noWrap w:val="0"/>
            <w:vAlign w:val="center"/>
          </w:tcPr>
          <w:p w14:paraId="79E3EEB3">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12132F5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697A0B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483196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l2br w:val="nil"/>
              <w:tr2bl w:val="nil"/>
            </w:tcBorders>
            <w:noWrap w:val="0"/>
            <w:vAlign w:val="center"/>
          </w:tcPr>
          <w:p w14:paraId="7F7B0B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tcBorders>
              <w:tl2br w:val="nil"/>
              <w:tr2bl w:val="nil"/>
            </w:tcBorders>
            <w:noWrap w:val="0"/>
            <w:vAlign w:val="center"/>
          </w:tcPr>
          <w:p w14:paraId="0CC8D528">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tcBorders>
              <w:tl2br w:val="nil"/>
              <w:tr2bl w:val="nil"/>
            </w:tcBorders>
            <w:noWrap w:val="0"/>
            <w:vAlign w:val="center"/>
          </w:tcPr>
          <w:p w14:paraId="08AD1F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623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noWrap w:val="0"/>
            <w:vAlign w:val="center"/>
          </w:tcPr>
          <w:p w14:paraId="59AE055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l2br w:val="nil"/>
              <w:tr2bl w:val="nil"/>
            </w:tcBorders>
            <w:noWrap w:val="0"/>
            <w:vAlign w:val="center"/>
          </w:tcPr>
          <w:p w14:paraId="009B75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6AAA3B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454E98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l2br w:val="nil"/>
              <w:tr2bl w:val="nil"/>
            </w:tcBorders>
            <w:noWrap w:val="0"/>
            <w:vAlign w:val="center"/>
          </w:tcPr>
          <w:p w14:paraId="0134CC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tcBorders>
              <w:tl2br w:val="nil"/>
              <w:tr2bl w:val="nil"/>
            </w:tcBorders>
            <w:noWrap w:val="0"/>
            <w:vAlign w:val="center"/>
          </w:tcPr>
          <w:p w14:paraId="5DE6B765">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tcBorders>
              <w:tl2br w:val="nil"/>
              <w:tr2bl w:val="nil"/>
            </w:tcBorders>
            <w:noWrap w:val="0"/>
            <w:vAlign w:val="center"/>
          </w:tcPr>
          <w:p w14:paraId="68D737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C87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noWrap w:val="0"/>
            <w:vAlign w:val="center"/>
          </w:tcPr>
          <w:p w14:paraId="7EAAF01D">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4D21FDB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09E790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59A14F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l2br w:val="nil"/>
              <w:tr2bl w:val="nil"/>
            </w:tcBorders>
            <w:noWrap w:val="0"/>
            <w:vAlign w:val="center"/>
          </w:tcPr>
          <w:p w14:paraId="3B76F1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l2br w:val="nil"/>
              <w:tr2bl w:val="nil"/>
            </w:tcBorders>
            <w:noWrap w:val="0"/>
            <w:vAlign w:val="center"/>
          </w:tcPr>
          <w:p w14:paraId="5BB1A8EC">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tcBorders>
              <w:tl2br w:val="nil"/>
              <w:tr2bl w:val="nil"/>
            </w:tcBorders>
            <w:noWrap w:val="0"/>
            <w:vAlign w:val="center"/>
          </w:tcPr>
          <w:p w14:paraId="7858DA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E5B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noWrap w:val="0"/>
            <w:vAlign w:val="center"/>
          </w:tcPr>
          <w:p w14:paraId="0C092CF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tcBorders>
              <w:tl2br w:val="nil"/>
              <w:tr2bl w:val="nil"/>
            </w:tcBorders>
            <w:noWrap w:val="0"/>
            <w:vAlign w:val="center"/>
          </w:tcPr>
          <w:p w14:paraId="06F5C7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414FA1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702BA3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l2br w:val="nil"/>
              <w:tr2bl w:val="nil"/>
            </w:tcBorders>
            <w:noWrap w:val="0"/>
            <w:vAlign w:val="center"/>
          </w:tcPr>
          <w:p w14:paraId="23F551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l2br w:val="nil"/>
              <w:tr2bl w:val="nil"/>
            </w:tcBorders>
            <w:noWrap w:val="0"/>
            <w:vAlign w:val="center"/>
          </w:tcPr>
          <w:p w14:paraId="74ABB9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l2br w:val="nil"/>
              <w:tr2bl w:val="nil"/>
            </w:tcBorders>
            <w:noWrap w:val="0"/>
            <w:vAlign w:val="center"/>
          </w:tcPr>
          <w:p w14:paraId="3F16A5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E5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noWrap w:val="0"/>
            <w:vAlign w:val="center"/>
          </w:tcPr>
          <w:p w14:paraId="2DA222EE">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422A2FE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7BEA04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252725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l2br w:val="nil"/>
              <w:tr2bl w:val="nil"/>
            </w:tcBorders>
            <w:noWrap w:val="0"/>
            <w:vAlign w:val="center"/>
          </w:tcPr>
          <w:p w14:paraId="70C0F0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tcBorders>
              <w:tl2br w:val="nil"/>
              <w:tr2bl w:val="nil"/>
            </w:tcBorders>
            <w:noWrap w:val="0"/>
            <w:vAlign w:val="center"/>
          </w:tcPr>
          <w:p w14:paraId="4F5571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tcBorders>
              <w:tl2br w:val="nil"/>
              <w:tr2bl w:val="nil"/>
            </w:tcBorders>
            <w:noWrap w:val="0"/>
            <w:vAlign w:val="center"/>
          </w:tcPr>
          <w:p w14:paraId="14C68E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E24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noWrap w:val="0"/>
            <w:vAlign w:val="center"/>
          </w:tcPr>
          <w:p w14:paraId="0B7BA77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tcBorders>
              <w:tl2br w:val="nil"/>
              <w:tr2bl w:val="nil"/>
            </w:tcBorders>
            <w:noWrap w:val="0"/>
            <w:vAlign w:val="center"/>
          </w:tcPr>
          <w:p w14:paraId="349C9F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3C9A1B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456804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l2br w:val="nil"/>
              <w:tr2bl w:val="nil"/>
            </w:tcBorders>
            <w:noWrap w:val="0"/>
            <w:vAlign w:val="center"/>
          </w:tcPr>
          <w:p w14:paraId="2369200A">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tcBorders>
              <w:tl2br w:val="nil"/>
              <w:tr2bl w:val="nil"/>
            </w:tcBorders>
            <w:noWrap w:val="0"/>
            <w:vAlign w:val="center"/>
          </w:tcPr>
          <w:p w14:paraId="3640D5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tcBorders>
              <w:tl2br w:val="nil"/>
              <w:tr2bl w:val="nil"/>
            </w:tcBorders>
            <w:noWrap w:val="0"/>
            <w:vAlign w:val="center"/>
          </w:tcPr>
          <w:p w14:paraId="6D085E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34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noWrap w:val="0"/>
            <w:vAlign w:val="center"/>
          </w:tcPr>
          <w:p w14:paraId="28BA91F3">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43A8F788">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34E1BD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40663C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l2br w:val="nil"/>
              <w:tr2bl w:val="nil"/>
            </w:tcBorders>
            <w:noWrap w:val="0"/>
            <w:vAlign w:val="center"/>
          </w:tcPr>
          <w:p w14:paraId="5864E9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tcBorders>
              <w:tl2br w:val="nil"/>
              <w:tr2bl w:val="nil"/>
            </w:tcBorders>
            <w:noWrap w:val="0"/>
            <w:vAlign w:val="center"/>
          </w:tcPr>
          <w:p w14:paraId="1BD1D2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l2br w:val="nil"/>
              <w:tr2bl w:val="nil"/>
            </w:tcBorders>
            <w:noWrap w:val="0"/>
            <w:vAlign w:val="center"/>
          </w:tcPr>
          <w:p w14:paraId="332328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41D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noWrap w:val="0"/>
            <w:vAlign w:val="center"/>
          </w:tcPr>
          <w:p w14:paraId="6C959DB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l2br w:val="nil"/>
              <w:tr2bl w:val="nil"/>
            </w:tcBorders>
            <w:noWrap w:val="0"/>
            <w:vAlign w:val="center"/>
          </w:tcPr>
          <w:p w14:paraId="032115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4E07C2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28CADD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l2br w:val="nil"/>
              <w:tr2bl w:val="nil"/>
            </w:tcBorders>
            <w:noWrap w:val="0"/>
            <w:vAlign w:val="center"/>
          </w:tcPr>
          <w:p w14:paraId="2DDAD4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l2br w:val="nil"/>
              <w:tr2bl w:val="nil"/>
            </w:tcBorders>
            <w:noWrap w:val="0"/>
            <w:vAlign w:val="center"/>
          </w:tcPr>
          <w:p w14:paraId="093350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l2br w:val="nil"/>
              <w:tr2bl w:val="nil"/>
            </w:tcBorders>
            <w:noWrap w:val="0"/>
            <w:vAlign w:val="center"/>
          </w:tcPr>
          <w:p w14:paraId="4E61A9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C45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noWrap w:val="0"/>
            <w:vAlign w:val="center"/>
          </w:tcPr>
          <w:p w14:paraId="634A71EB">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0F02C348">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514D07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474EF5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l2br w:val="nil"/>
              <w:tr2bl w:val="nil"/>
            </w:tcBorders>
            <w:noWrap w:val="0"/>
            <w:vAlign w:val="center"/>
          </w:tcPr>
          <w:p w14:paraId="583C88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tcBorders>
              <w:tl2br w:val="nil"/>
              <w:tr2bl w:val="nil"/>
            </w:tcBorders>
            <w:noWrap w:val="0"/>
            <w:vAlign w:val="center"/>
          </w:tcPr>
          <w:p w14:paraId="4C9629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l2br w:val="nil"/>
              <w:tr2bl w:val="nil"/>
            </w:tcBorders>
            <w:noWrap w:val="0"/>
            <w:vAlign w:val="center"/>
          </w:tcPr>
          <w:p w14:paraId="4436BA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160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noWrap w:val="0"/>
            <w:vAlign w:val="center"/>
          </w:tcPr>
          <w:p w14:paraId="77D7E876">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l2br w:val="nil"/>
              <w:tr2bl w:val="nil"/>
            </w:tcBorders>
            <w:noWrap w:val="0"/>
            <w:vAlign w:val="center"/>
          </w:tcPr>
          <w:p w14:paraId="3A88F3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6B997B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1DD84D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l2br w:val="nil"/>
              <w:tr2bl w:val="nil"/>
            </w:tcBorders>
            <w:noWrap w:val="0"/>
            <w:vAlign w:val="center"/>
          </w:tcPr>
          <w:p w14:paraId="167F410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l2br w:val="nil"/>
              <w:tr2bl w:val="nil"/>
            </w:tcBorders>
            <w:noWrap w:val="0"/>
            <w:vAlign w:val="center"/>
          </w:tcPr>
          <w:p w14:paraId="5C3EB8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l2br w:val="nil"/>
              <w:tr2bl w:val="nil"/>
            </w:tcBorders>
            <w:noWrap w:val="0"/>
            <w:vAlign w:val="center"/>
          </w:tcPr>
          <w:p w14:paraId="19DCDA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CD1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noWrap w:val="0"/>
            <w:vAlign w:val="center"/>
          </w:tcPr>
          <w:p w14:paraId="08AE7BEA">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0AD1F01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1AC12F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335447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l2br w:val="nil"/>
              <w:tr2bl w:val="nil"/>
            </w:tcBorders>
            <w:noWrap w:val="0"/>
            <w:vAlign w:val="center"/>
          </w:tcPr>
          <w:p w14:paraId="5D2C9C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l2br w:val="nil"/>
              <w:tr2bl w:val="nil"/>
            </w:tcBorders>
            <w:noWrap w:val="0"/>
            <w:vAlign w:val="center"/>
          </w:tcPr>
          <w:p w14:paraId="3F7244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l2br w:val="nil"/>
              <w:tr2bl w:val="nil"/>
            </w:tcBorders>
            <w:noWrap w:val="0"/>
            <w:vAlign w:val="center"/>
          </w:tcPr>
          <w:p w14:paraId="3CA958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D37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noWrap w:val="0"/>
            <w:vAlign w:val="center"/>
          </w:tcPr>
          <w:p w14:paraId="7C2A74E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l2br w:val="nil"/>
              <w:tr2bl w:val="nil"/>
            </w:tcBorders>
            <w:noWrap w:val="0"/>
            <w:vAlign w:val="center"/>
          </w:tcPr>
          <w:p w14:paraId="47562C4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19CE5C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6CFA24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l2br w:val="nil"/>
              <w:tr2bl w:val="nil"/>
            </w:tcBorders>
            <w:noWrap w:val="0"/>
            <w:vAlign w:val="center"/>
          </w:tcPr>
          <w:p w14:paraId="41D4B6ED">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l2br w:val="nil"/>
              <w:tr2bl w:val="nil"/>
            </w:tcBorders>
            <w:noWrap w:val="0"/>
            <w:vAlign w:val="center"/>
          </w:tcPr>
          <w:p w14:paraId="1C0037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l2br w:val="nil"/>
              <w:tr2bl w:val="nil"/>
            </w:tcBorders>
            <w:noWrap w:val="0"/>
            <w:vAlign w:val="center"/>
          </w:tcPr>
          <w:p w14:paraId="6A7060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3B3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noWrap w:val="0"/>
            <w:vAlign w:val="center"/>
          </w:tcPr>
          <w:p w14:paraId="3A48F636">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601EAF8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7D8462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467939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l2br w:val="nil"/>
              <w:tr2bl w:val="nil"/>
            </w:tcBorders>
            <w:noWrap w:val="0"/>
            <w:vAlign w:val="center"/>
          </w:tcPr>
          <w:p w14:paraId="5162EE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l2br w:val="nil"/>
              <w:tr2bl w:val="nil"/>
            </w:tcBorders>
            <w:noWrap w:val="0"/>
            <w:vAlign w:val="center"/>
          </w:tcPr>
          <w:p w14:paraId="166B04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l2br w:val="nil"/>
              <w:tr2bl w:val="nil"/>
            </w:tcBorders>
            <w:noWrap w:val="0"/>
            <w:vAlign w:val="center"/>
          </w:tcPr>
          <w:p w14:paraId="071DD7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9A8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noWrap w:val="0"/>
            <w:vAlign w:val="center"/>
          </w:tcPr>
          <w:p w14:paraId="4BCE0B26">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tcBorders>
              <w:tl2br w:val="nil"/>
              <w:tr2bl w:val="nil"/>
            </w:tcBorders>
            <w:noWrap w:val="0"/>
            <w:vAlign w:val="center"/>
          </w:tcPr>
          <w:p w14:paraId="4C19DD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7A04B5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691910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tcBorders>
              <w:tl2br w:val="nil"/>
              <w:tr2bl w:val="nil"/>
            </w:tcBorders>
            <w:noWrap w:val="0"/>
            <w:vAlign w:val="center"/>
          </w:tcPr>
          <w:p w14:paraId="11D7ED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tcBorders>
              <w:tl2br w:val="nil"/>
              <w:tr2bl w:val="nil"/>
            </w:tcBorders>
            <w:noWrap w:val="0"/>
            <w:vAlign w:val="center"/>
          </w:tcPr>
          <w:p w14:paraId="7BFAC7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l2br w:val="nil"/>
              <w:tr2bl w:val="nil"/>
            </w:tcBorders>
            <w:noWrap w:val="0"/>
            <w:vAlign w:val="center"/>
          </w:tcPr>
          <w:p w14:paraId="0B49AA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5A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noWrap w:val="0"/>
            <w:vAlign w:val="center"/>
          </w:tcPr>
          <w:p w14:paraId="0A40129C">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6950DB4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4A374D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65E2DF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tcBorders>
              <w:tl2br w:val="nil"/>
              <w:tr2bl w:val="nil"/>
            </w:tcBorders>
            <w:noWrap w:val="0"/>
            <w:vAlign w:val="center"/>
          </w:tcPr>
          <w:p w14:paraId="1A5A25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tcBorders>
              <w:tl2br w:val="nil"/>
              <w:tr2bl w:val="nil"/>
            </w:tcBorders>
            <w:noWrap w:val="0"/>
            <w:vAlign w:val="center"/>
          </w:tcPr>
          <w:p w14:paraId="14E72F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l2br w:val="nil"/>
              <w:tr2bl w:val="nil"/>
            </w:tcBorders>
            <w:noWrap w:val="0"/>
            <w:vAlign w:val="center"/>
          </w:tcPr>
          <w:p w14:paraId="2C6843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B8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tcBorders>
              <w:tl2br w:val="nil"/>
              <w:tr2bl w:val="nil"/>
            </w:tcBorders>
            <w:noWrap w:val="0"/>
            <w:vAlign w:val="center"/>
          </w:tcPr>
          <w:p w14:paraId="74CC99A0">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tcBorders>
              <w:tl2br w:val="nil"/>
              <w:tr2bl w:val="nil"/>
            </w:tcBorders>
            <w:noWrap w:val="0"/>
            <w:vAlign w:val="center"/>
          </w:tcPr>
          <w:p w14:paraId="5D2E96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47F90D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0412EA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l2br w:val="nil"/>
              <w:tr2bl w:val="nil"/>
            </w:tcBorders>
            <w:noWrap w:val="0"/>
            <w:vAlign w:val="center"/>
          </w:tcPr>
          <w:p w14:paraId="70D717D8">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l2br w:val="nil"/>
              <w:tr2bl w:val="nil"/>
            </w:tcBorders>
            <w:noWrap w:val="0"/>
            <w:vAlign w:val="center"/>
          </w:tcPr>
          <w:p w14:paraId="292F2A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l2br w:val="nil"/>
              <w:tr2bl w:val="nil"/>
            </w:tcBorders>
            <w:noWrap w:val="0"/>
            <w:vAlign w:val="center"/>
          </w:tcPr>
          <w:p w14:paraId="39010E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8A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tcBorders>
              <w:tl2br w:val="nil"/>
              <w:tr2bl w:val="nil"/>
            </w:tcBorders>
            <w:noWrap w:val="0"/>
            <w:vAlign w:val="center"/>
          </w:tcPr>
          <w:p w14:paraId="2FC9D1E0">
            <w:pPr>
              <w:widowControl/>
              <w:jc w:val="left"/>
              <w:rPr>
                <w:rFonts w:ascii="宋体" w:hAnsi="宋体" w:cs="宋体"/>
                <w:color w:val="auto"/>
                <w:spacing w:val="-12"/>
                <w:kern w:val="0"/>
                <w:sz w:val="18"/>
                <w:szCs w:val="18"/>
                <w:highlight w:val="none"/>
              </w:rPr>
            </w:pPr>
          </w:p>
        </w:tc>
        <w:tc>
          <w:tcPr>
            <w:tcW w:w="1369" w:type="dxa"/>
            <w:tcBorders>
              <w:tl2br w:val="nil"/>
              <w:tr2bl w:val="nil"/>
            </w:tcBorders>
            <w:noWrap w:val="0"/>
            <w:vAlign w:val="center"/>
          </w:tcPr>
          <w:p w14:paraId="5E3F94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50B274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448E9E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l2br w:val="nil"/>
              <w:tr2bl w:val="nil"/>
            </w:tcBorders>
            <w:noWrap w:val="0"/>
            <w:vAlign w:val="center"/>
          </w:tcPr>
          <w:p w14:paraId="37089F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tcBorders>
              <w:tl2br w:val="nil"/>
              <w:tr2bl w:val="nil"/>
            </w:tcBorders>
            <w:noWrap w:val="0"/>
            <w:vAlign w:val="center"/>
          </w:tcPr>
          <w:p w14:paraId="765C07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tcBorders>
              <w:tl2br w:val="nil"/>
              <w:tr2bl w:val="nil"/>
            </w:tcBorders>
            <w:noWrap w:val="0"/>
            <w:vAlign w:val="center"/>
          </w:tcPr>
          <w:p w14:paraId="0F129F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7D6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tcBorders>
              <w:tl2br w:val="nil"/>
              <w:tr2bl w:val="nil"/>
            </w:tcBorders>
            <w:noWrap w:val="0"/>
            <w:vAlign w:val="center"/>
          </w:tcPr>
          <w:p w14:paraId="7201B6E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l2br w:val="nil"/>
              <w:tr2bl w:val="nil"/>
            </w:tcBorders>
            <w:noWrap w:val="0"/>
            <w:vAlign w:val="center"/>
          </w:tcPr>
          <w:p w14:paraId="452ABC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2FD971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669B15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tcBorders>
              <w:tl2br w:val="nil"/>
              <w:tr2bl w:val="nil"/>
            </w:tcBorders>
            <w:noWrap w:val="0"/>
            <w:vAlign w:val="center"/>
          </w:tcPr>
          <w:p w14:paraId="511A0E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tcBorders>
              <w:tl2br w:val="nil"/>
              <w:tr2bl w:val="nil"/>
            </w:tcBorders>
            <w:noWrap w:val="0"/>
            <w:vAlign w:val="center"/>
          </w:tcPr>
          <w:p w14:paraId="181F4A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l2br w:val="nil"/>
              <w:tr2bl w:val="nil"/>
            </w:tcBorders>
            <w:noWrap w:val="0"/>
            <w:vAlign w:val="center"/>
          </w:tcPr>
          <w:p w14:paraId="1D7BE3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4F2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tcBorders>
              <w:tl2br w:val="nil"/>
              <w:tr2bl w:val="nil"/>
            </w:tcBorders>
            <w:noWrap w:val="0"/>
            <w:vAlign w:val="center"/>
          </w:tcPr>
          <w:p w14:paraId="5F589074">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5EE4D05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l2br w:val="nil"/>
              <w:tr2bl w:val="nil"/>
            </w:tcBorders>
            <w:noWrap w:val="0"/>
            <w:vAlign w:val="center"/>
          </w:tcPr>
          <w:p w14:paraId="27B458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5896AD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tcBorders>
              <w:tl2br w:val="nil"/>
              <w:tr2bl w:val="nil"/>
            </w:tcBorders>
            <w:noWrap w:val="0"/>
            <w:vAlign w:val="center"/>
          </w:tcPr>
          <w:p w14:paraId="064B18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tcBorders>
              <w:tl2br w:val="nil"/>
              <w:tr2bl w:val="nil"/>
            </w:tcBorders>
            <w:noWrap w:val="0"/>
            <w:vAlign w:val="center"/>
          </w:tcPr>
          <w:p w14:paraId="4F17D7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tcBorders>
              <w:tl2br w:val="nil"/>
              <w:tr2bl w:val="nil"/>
            </w:tcBorders>
            <w:noWrap w:val="0"/>
            <w:vAlign w:val="center"/>
          </w:tcPr>
          <w:p w14:paraId="51FF1C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43F2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tcBorders>
              <w:tl2br w:val="nil"/>
              <w:tr2bl w:val="nil"/>
            </w:tcBorders>
            <w:noWrap w:val="0"/>
            <w:vAlign w:val="center"/>
          </w:tcPr>
          <w:p w14:paraId="2C3F6CA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l2br w:val="nil"/>
              <w:tr2bl w:val="nil"/>
            </w:tcBorders>
            <w:noWrap w:val="0"/>
            <w:vAlign w:val="center"/>
          </w:tcPr>
          <w:p w14:paraId="516A78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1423A2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433BF2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l2br w:val="nil"/>
              <w:tr2bl w:val="nil"/>
            </w:tcBorders>
            <w:noWrap w:val="0"/>
            <w:vAlign w:val="center"/>
          </w:tcPr>
          <w:p w14:paraId="1D1485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l2br w:val="nil"/>
              <w:tr2bl w:val="nil"/>
            </w:tcBorders>
            <w:noWrap w:val="0"/>
            <w:vAlign w:val="center"/>
          </w:tcPr>
          <w:p w14:paraId="2433DE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tcBorders>
              <w:tl2br w:val="nil"/>
              <w:tr2bl w:val="nil"/>
            </w:tcBorders>
            <w:noWrap w:val="0"/>
            <w:vAlign w:val="center"/>
          </w:tcPr>
          <w:p w14:paraId="33A72B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49F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tcBorders>
              <w:tl2br w:val="nil"/>
              <w:tr2bl w:val="nil"/>
            </w:tcBorders>
            <w:noWrap w:val="0"/>
            <w:vAlign w:val="center"/>
          </w:tcPr>
          <w:p w14:paraId="41BCCFA2">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2396FD4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l2br w:val="nil"/>
              <w:tr2bl w:val="nil"/>
            </w:tcBorders>
            <w:noWrap w:val="0"/>
            <w:vAlign w:val="center"/>
          </w:tcPr>
          <w:p w14:paraId="75AE0F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329707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tcBorders>
              <w:tl2br w:val="nil"/>
              <w:tr2bl w:val="nil"/>
            </w:tcBorders>
            <w:noWrap w:val="0"/>
            <w:vAlign w:val="center"/>
          </w:tcPr>
          <w:p w14:paraId="23279E9C">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tcBorders>
              <w:tl2br w:val="nil"/>
              <w:tr2bl w:val="nil"/>
            </w:tcBorders>
            <w:noWrap w:val="0"/>
            <w:vAlign w:val="center"/>
          </w:tcPr>
          <w:p w14:paraId="78A5AC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tcBorders>
              <w:tl2br w:val="nil"/>
              <w:tr2bl w:val="nil"/>
            </w:tcBorders>
            <w:noWrap w:val="0"/>
            <w:vAlign w:val="center"/>
          </w:tcPr>
          <w:p w14:paraId="00B733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640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tcBorders>
              <w:tl2br w:val="nil"/>
              <w:tr2bl w:val="nil"/>
            </w:tcBorders>
            <w:noWrap w:val="0"/>
            <w:vAlign w:val="center"/>
          </w:tcPr>
          <w:p w14:paraId="75725BF6">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l2br w:val="nil"/>
              <w:tr2bl w:val="nil"/>
            </w:tcBorders>
            <w:noWrap w:val="0"/>
            <w:vAlign w:val="center"/>
          </w:tcPr>
          <w:p w14:paraId="63027D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5098C8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458C0E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l2br w:val="nil"/>
              <w:tr2bl w:val="nil"/>
            </w:tcBorders>
            <w:noWrap w:val="0"/>
            <w:vAlign w:val="center"/>
          </w:tcPr>
          <w:p w14:paraId="459D2060">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l2br w:val="nil"/>
              <w:tr2bl w:val="nil"/>
            </w:tcBorders>
            <w:noWrap w:val="0"/>
            <w:vAlign w:val="center"/>
          </w:tcPr>
          <w:p w14:paraId="1D4CA7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l2br w:val="nil"/>
              <w:tr2bl w:val="nil"/>
            </w:tcBorders>
            <w:noWrap w:val="0"/>
            <w:vAlign w:val="center"/>
          </w:tcPr>
          <w:p w14:paraId="3AFDA8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FDD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tcBorders>
              <w:tl2br w:val="nil"/>
              <w:tr2bl w:val="nil"/>
            </w:tcBorders>
            <w:noWrap w:val="0"/>
            <w:vAlign w:val="center"/>
          </w:tcPr>
          <w:p w14:paraId="78F32219">
            <w:pPr>
              <w:widowControl/>
              <w:jc w:val="left"/>
              <w:rPr>
                <w:rFonts w:ascii="宋体" w:hAnsi="宋体" w:cs="宋体"/>
                <w:color w:val="auto"/>
                <w:kern w:val="0"/>
                <w:sz w:val="18"/>
                <w:szCs w:val="18"/>
                <w:highlight w:val="none"/>
              </w:rPr>
            </w:pPr>
          </w:p>
        </w:tc>
        <w:tc>
          <w:tcPr>
            <w:tcW w:w="1369" w:type="dxa"/>
            <w:tcBorders>
              <w:tl2br w:val="nil"/>
              <w:tr2bl w:val="nil"/>
            </w:tcBorders>
            <w:noWrap w:val="0"/>
            <w:vAlign w:val="center"/>
          </w:tcPr>
          <w:p w14:paraId="184708C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l2br w:val="nil"/>
              <w:tr2bl w:val="nil"/>
            </w:tcBorders>
            <w:noWrap w:val="0"/>
            <w:vAlign w:val="center"/>
          </w:tcPr>
          <w:p w14:paraId="1B02E0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l2br w:val="nil"/>
              <w:tr2bl w:val="nil"/>
            </w:tcBorders>
            <w:noWrap w:val="0"/>
            <w:vAlign w:val="center"/>
          </w:tcPr>
          <w:p w14:paraId="4E3627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tcBorders>
              <w:tl2br w:val="nil"/>
              <w:tr2bl w:val="nil"/>
            </w:tcBorders>
            <w:noWrap w:val="0"/>
            <w:vAlign w:val="center"/>
          </w:tcPr>
          <w:p w14:paraId="17FE3E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tcBorders>
              <w:tl2br w:val="nil"/>
              <w:tr2bl w:val="nil"/>
            </w:tcBorders>
            <w:noWrap w:val="0"/>
            <w:vAlign w:val="center"/>
          </w:tcPr>
          <w:p w14:paraId="532124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tcBorders>
              <w:tl2br w:val="nil"/>
              <w:tr2bl w:val="nil"/>
            </w:tcBorders>
            <w:noWrap w:val="0"/>
            <w:vAlign w:val="center"/>
          </w:tcPr>
          <w:p w14:paraId="17492F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06F3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tcBorders>
              <w:tl2br w:val="nil"/>
              <w:tr2bl w:val="nil"/>
            </w:tcBorders>
            <w:noWrap w:val="0"/>
            <w:vAlign w:val="center"/>
          </w:tcPr>
          <w:p w14:paraId="3031D72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tcBorders>
              <w:tl2br w:val="nil"/>
              <w:tr2bl w:val="nil"/>
            </w:tcBorders>
            <w:noWrap w:val="0"/>
            <w:vAlign w:val="center"/>
          </w:tcPr>
          <w:p w14:paraId="5F181B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l2br w:val="nil"/>
              <w:tr2bl w:val="nil"/>
            </w:tcBorders>
            <w:noWrap w:val="0"/>
            <w:vAlign w:val="center"/>
          </w:tcPr>
          <w:p w14:paraId="4F74A7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l2br w:val="nil"/>
              <w:tr2bl w:val="nil"/>
            </w:tcBorders>
            <w:noWrap w:val="0"/>
            <w:vAlign w:val="center"/>
          </w:tcPr>
          <w:p w14:paraId="6C64E7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l2br w:val="nil"/>
              <w:tr2bl w:val="nil"/>
            </w:tcBorders>
            <w:noWrap w:val="0"/>
            <w:vAlign w:val="center"/>
          </w:tcPr>
          <w:p w14:paraId="206A31D7">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l2br w:val="nil"/>
              <w:tr2bl w:val="nil"/>
            </w:tcBorders>
            <w:noWrap w:val="0"/>
            <w:vAlign w:val="center"/>
          </w:tcPr>
          <w:p w14:paraId="5700B3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l2br w:val="nil"/>
              <w:tr2bl w:val="nil"/>
            </w:tcBorders>
            <w:noWrap w:val="0"/>
            <w:vAlign w:val="center"/>
          </w:tcPr>
          <w:p w14:paraId="60B567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36C7AE1">
      <w:pPr>
        <w:widowControl/>
        <w:spacing w:line="540" w:lineRule="exact"/>
        <w:rPr>
          <w:rFonts w:hint="eastAsia" w:ascii="宋体" w:hAnsi="宋体" w:cs="宋体"/>
          <w:b/>
          <w:bCs/>
          <w:color w:val="auto"/>
          <w:spacing w:val="8"/>
          <w:kern w:val="0"/>
          <w:szCs w:val="21"/>
          <w:highlight w:val="none"/>
        </w:rPr>
      </w:pPr>
      <w:r>
        <w:rPr>
          <w:rFonts w:hint="eastAsia"/>
          <w:b/>
          <w:bCs/>
          <w:color w:val="auto"/>
          <w:sz w:val="24"/>
          <w:highlight w:val="none"/>
        </w:rPr>
        <w:br w:type="page"/>
      </w:r>
      <w:r>
        <w:rPr>
          <w:rFonts w:hint="eastAsia" w:ascii="宋体" w:hAnsi="宋体" w:cs="宋体"/>
          <w:b/>
          <w:bCs/>
          <w:color w:val="auto"/>
          <w:spacing w:val="8"/>
          <w:kern w:val="0"/>
          <w:szCs w:val="21"/>
          <w:highlight w:val="none"/>
        </w:rPr>
        <w:t>说明：</w:t>
      </w:r>
    </w:p>
    <w:p w14:paraId="23C0C9A5">
      <w:pPr>
        <w:spacing w:line="540" w:lineRule="exac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1.大型、中型和小型企业须同时满足所列指标的下限，否则下划一档；微型企业只须满足所列指标中的一项即可。</w:t>
      </w:r>
    </w:p>
    <w:p w14:paraId="26EC2741">
      <w:pPr>
        <w:spacing w:line="540" w:lineRule="exac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w:t>
      </w:r>
      <w:r>
        <w:rPr>
          <w:rFonts w:hint="eastAsia" w:ascii="宋体" w:hAnsi="宋体" w:cs="宋体"/>
          <w:b w:val="0"/>
          <w:bCs w:val="0"/>
          <w:color w:val="auto"/>
          <w:spacing w:val="8"/>
          <w:kern w:val="0"/>
          <w:szCs w:val="21"/>
          <w:highlight w:val="none"/>
        </w:rPr>
        <w:t>其他未列明行业包括科学研究和技术服务业，水利、环境和公共设施管理业，居民服务、修理和其他服务业，社会工作，文化、体育和娱乐业，以及房地产中介服务，其他房地产业等，</w:t>
      </w:r>
      <w:r>
        <w:rPr>
          <w:rFonts w:hint="eastAsia" w:ascii="宋体" w:hAnsi="宋体" w:cs="宋体"/>
          <w:color w:val="auto"/>
          <w:spacing w:val="8"/>
          <w:kern w:val="0"/>
          <w:szCs w:val="21"/>
          <w:highlight w:val="none"/>
        </w:rPr>
        <w:t>不包括自有房地产经营活动。</w:t>
      </w:r>
    </w:p>
    <w:p w14:paraId="4C187199">
      <w:pPr>
        <w:spacing w:line="540" w:lineRule="exact"/>
        <w:rPr>
          <w:rFonts w:ascii="宋体" w:hAnsi="宋体" w:eastAsia="宋体" w:cs="Malgun Gothic Semilight"/>
          <w:b/>
          <w:bCs/>
          <w:color w:val="auto"/>
          <w:kern w:val="0"/>
          <w:sz w:val="32"/>
          <w:szCs w:val="32"/>
          <w:highlight w:val="none"/>
        </w:rPr>
      </w:pPr>
      <w:r>
        <w:rPr>
          <w:rFonts w:hint="eastAsia" w:ascii="宋体"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DA16173">
      <w:pPr>
        <w:pStyle w:val="22"/>
        <w:spacing w:line="360" w:lineRule="auto"/>
        <w:rPr>
          <w:rFonts w:hint="eastAsia" w:ascii="宋体" w:hAnsi="宋体" w:eastAsia="宋体" w:cs="宋体"/>
          <w:color w:val="auto"/>
          <w:spacing w:val="8"/>
          <w:kern w:val="0"/>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4.中小企业提供本企业制造的货物参与投标时，须提供本企业的《中小企业声明函》；中小企业提供其他中小企业制造的货物参与投标时（货物由中小企业制造，即货物由中小企业生产且使用该中小企业商号或者注册商标），须在《中小企业声明函》中如实填报制造商信息；</w:t>
      </w:r>
    </w:p>
    <w:p w14:paraId="1E8CA3DF">
      <w:pPr>
        <w:spacing w:line="360" w:lineRule="auto"/>
        <w:jc w:val="left"/>
        <w:rPr>
          <w:rFonts w:hint="eastAsia" w:ascii="宋体" w:hAnsi="宋体" w:eastAsia="宋体" w:cs="宋体"/>
          <w:color w:val="auto"/>
          <w:spacing w:val="8"/>
          <w:kern w:val="0"/>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5.在货物采购项目中，供应商提供的货物既有中小企业制造货物，也有大型企业制造货物的，不享受《政府采购促进中小企业发展管理办法》规定的中小企业扶持政策。所声明的从业人员人数或营业收入金额不符合中小企业划型标准规定或未按竞争性磋商文件明确的所属行业填写的或填写的内容不符合《政府采购促进中小企业发展管理办法》（财库﹝2020﹞46号）规定的，评标委员会将不予进行价格扣除。</w:t>
      </w:r>
    </w:p>
    <w:p w14:paraId="4CBC4E76">
      <w:pPr>
        <w:spacing w:line="360" w:lineRule="auto"/>
        <w:ind w:firstLine="840" w:firstLineChars="400"/>
        <w:rPr>
          <w:rFonts w:hint="eastAsia" w:asciiTheme="minorEastAsia" w:hAnsiTheme="minorEastAsia" w:eastAsiaTheme="minorEastAsia"/>
          <w:b/>
          <w:bCs/>
          <w:color w:val="auto"/>
          <w:spacing w:val="6"/>
          <w:szCs w:val="21"/>
          <w:highlight w:val="none"/>
        </w:rPr>
      </w:pPr>
      <w:r>
        <w:rPr>
          <w:rFonts w:cs="仿宋_GB2312" w:asciiTheme="minorEastAsia" w:hAnsiTheme="minorEastAsia" w:eastAsiaTheme="minorEastAsia"/>
          <w:color w:val="auto"/>
          <w:szCs w:val="21"/>
          <w:highlight w:val="none"/>
        </w:rPr>
        <w:br w:type="page"/>
      </w:r>
    </w:p>
    <w:p w14:paraId="6F1AF063">
      <w:pPr>
        <w:spacing w:line="360" w:lineRule="auto"/>
        <w:jc w:val="center"/>
        <w:outlineLvl w:val="3"/>
        <w:rPr>
          <w:rFonts w:hint="eastAsia" w:asciiTheme="minorEastAsia" w:hAnsiTheme="minorEastAsia" w:eastAsiaTheme="minorEastAsia"/>
          <w:b/>
          <w:color w:val="auto"/>
          <w:sz w:val="28"/>
          <w:szCs w:val="28"/>
          <w:highlight w:val="none"/>
        </w:rPr>
      </w:pPr>
      <w:bookmarkStart w:id="1184" w:name="_Toc116584082"/>
      <w:bookmarkStart w:id="1185" w:name="_Toc3268"/>
      <w:bookmarkStart w:id="1186" w:name="_Toc109809391"/>
      <w:bookmarkStart w:id="1187" w:name="_Toc110405211"/>
      <w:bookmarkStart w:id="1188" w:name="_Toc98865077"/>
      <w:r>
        <w:rPr>
          <w:rFonts w:asciiTheme="minorEastAsia" w:hAnsiTheme="minorEastAsia" w:eastAsiaTheme="minorEastAsia"/>
          <w:b/>
          <w:color w:val="auto"/>
          <w:sz w:val="28"/>
          <w:szCs w:val="28"/>
          <w:highlight w:val="none"/>
        </w:rPr>
        <w:t>3</w:t>
      </w:r>
      <w:r>
        <w:rPr>
          <w:rFonts w:hint="eastAsia" w:asciiTheme="minorEastAsia" w:hAnsiTheme="minorEastAsia" w:eastAsiaTheme="minorEastAsia"/>
          <w:b/>
          <w:color w:val="auto"/>
          <w:sz w:val="28"/>
          <w:szCs w:val="28"/>
          <w:highlight w:val="none"/>
        </w:rPr>
        <w:t>、残疾人福利性单位声明函</w:t>
      </w:r>
      <w:bookmarkEnd w:id="1178"/>
      <w:bookmarkEnd w:id="1179"/>
      <w:bookmarkEnd w:id="1180"/>
      <w:bookmarkEnd w:id="1181"/>
      <w:bookmarkEnd w:id="1182"/>
      <w:bookmarkEnd w:id="1183"/>
      <w:bookmarkEnd w:id="1184"/>
      <w:bookmarkEnd w:id="1185"/>
      <w:bookmarkEnd w:id="1186"/>
      <w:bookmarkEnd w:id="1187"/>
      <w:bookmarkEnd w:id="1188"/>
    </w:p>
    <w:p w14:paraId="7784F8E7">
      <w:pPr>
        <w:spacing w:line="360" w:lineRule="auto"/>
        <w:ind w:firstLine="444" w:firstLineChars="200"/>
        <w:rPr>
          <w:rFonts w:hint="eastAsia"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olor w:val="auto"/>
          <w:szCs w:val="21"/>
          <w:highlight w:val="none"/>
        </w:rPr>
        <w:t>〔2017〕 141</w:t>
      </w:r>
      <w:r>
        <w:rPr>
          <w:rFonts w:hint="eastAsia" w:asciiTheme="minorEastAsia" w:hAnsiTheme="minorEastAsia" w:eastAsiaTheme="minorEastAsia"/>
          <w:color w:val="auto"/>
          <w:spacing w:val="6"/>
          <w:szCs w:val="21"/>
          <w:highlight w:val="none"/>
        </w:rPr>
        <w:t>号）的规定，本单位为符合条件的残疾人福利性单位，且本单位参加</w:t>
      </w:r>
      <w:r>
        <w:rPr>
          <w:rFonts w:hint="eastAsia" w:asciiTheme="minorEastAsia" w:hAnsiTheme="minorEastAsia" w:eastAsiaTheme="minorEastAsia"/>
          <w:color w:val="auto"/>
          <w:spacing w:val="6"/>
          <w:szCs w:val="21"/>
          <w:highlight w:val="none"/>
          <w:u w:val="single"/>
        </w:rPr>
        <w:t xml:space="preserve">               </w:t>
      </w:r>
      <w:r>
        <w:rPr>
          <w:rFonts w:hint="eastAsia" w:asciiTheme="minorEastAsia" w:hAnsiTheme="minorEastAsia" w:eastAsiaTheme="minorEastAsia"/>
          <w:color w:val="auto"/>
          <w:spacing w:val="6"/>
          <w:szCs w:val="21"/>
          <w:highlight w:val="none"/>
        </w:rPr>
        <w:t>单位的</w:t>
      </w:r>
      <w:r>
        <w:rPr>
          <w:rFonts w:hint="eastAsia" w:asciiTheme="minorEastAsia" w:hAnsiTheme="minorEastAsia" w:eastAsiaTheme="minorEastAsia"/>
          <w:color w:val="auto"/>
          <w:spacing w:val="6"/>
          <w:szCs w:val="21"/>
          <w:highlight w:val="none"/>
          <w:u w:val="single"/>
        </w:rPr>
        <w:t xml:space="preserve">                      </w:t>
      </w:r>
      <w:r>
        <w:rPr>
          <w:rFonts w:hint="eastAsia" w:asciiTheme="minorEastAsia" w:hAnsiTheme="minorEastAsia" w:eastAsiaTheme="minorEastAsia"/>
          <w:color w:val="auto"/>
          <w:spacing w:val="6"/>
          <w:szCs w:val="21"/>
          <w:highlight w:val="none"/>
        </w:rPr>
        <w:t>项目采购活动提供服务。</w:t>
      </w:r>
    </w:p>
    <w:p w14:paraId="434DA855">
      <w:pPr>
        <w:spacing w:line="360" w:lineRule="auto"/>
        <w:ind w:firstLine="444" w:firstLineChars="200"/>
        <w:rPr>
          <w:rFonts w:hint="eastAsia"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本单位对上述声明的真实性负责。如有虚假，将依法承担相应责任。</w:t>
      </w:r>
    </w:p>
    <w:p w14:paraId="153FACCF">
      <w:pPr>
        <w:spacing w:line="360" w:lineRule="auto"/>
        <w:ind w:firstLine="444" w:firstLineChars="200"/>
        <w:rPr>
          <w:rFonts w:hint="eastAsia" w:asciiTheme="minorEastAsia" w:hAnsiTheme="minorEastAsia" w:eastAsiaTheme="minorEastAsia"/>
          <w:color w:val="auto"/>
          <w:spacing w:val="6"/>
          <w:szCs w:val="21"/>
          <w:highlight w:val="none"/>
        </w:rPr>
      </w:pPr>
    </w:p>
    <w:p w14:paraId="46D53234">
      <w:pPr>
        <w:spacing w:line="360" w:lineRule="auto"/>
        <w:jc w:val="left"/>
        <w:rPr>
          <w:rFonts w:hint="eastAsia" w:asciiTheme="minorEastAsia" w:hAnsiTheme="minorEastAsia" w:eastAsiaTheme="minorEastAsia"/>
          <w:color w:val="auto"/>
          <w:spacing w:val="6"/>
          <w:szCs w:val="21"/>
          <w:highlight w:val="none"/>
        </w:rPr>
      </w:pPr>
    </w:p>
    <w:p w14:paraId="7BF3C6C9">
      <w:pPr>
        <w:spacing w:line="360" w:lineRule="auto"/>
        <w:jc w:val="left"/>
        <w:rPr>
          <w:rFonts w:hint="eastAsia" w:asciiTheme="minorEastAsia" w:hAnsiTheme="minorEastAsia" w:eastAsiaTheme="minorEastAsia"/>
          <w:color w:val="auto"/>
          <w:spacing w:val="6"/>
          <w:szCs w:val="21"/>
          <w:highlight w:val="none"/>
        </w:rPr>
      </w:pPr>
    </w:p>
    <w:p w14:paraId="521DFB50">
      <w:pPr>
        <w:spacing w:line="360" w:lineRule="auto"/>
        <w:jc w:val="left"/>
        <w:rPr>
          <w:rFonts w:hint="eastAsia" w:asciiTheme="minorEastAsia" w:hAnsiTheme="minorEastAsia" w:eastAsiaTheme="minorEastAsia"/>
          <w:color w:val="auto"/>
          <w:spacing w:val="6"/>
          <w:szCs w:val="21"/>
          <w:highlight w:val="none"/>
        </w:rPr>
      </w:pPr>
    </w:p>
    <w:p w14:paraId="633F1449">
      <w:pPr>
        <w:autoSpaceDE w:val="0"/>
        <w:autoSpaceDN w:val="0"/>
        <w:adjustRightInd w:val="0"/>
        <w:spacing w:line="480" w:lineRule="auto"/>
        <w:ind w:firstLine="6405" w:firstLineChars="305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企业名称（电子签章）：</w:t>
      </w:r>
    </w:p>
    <w:p w14:paraId="05FA27C3">
      <w:pPr>
        <w:autoSpaceDE w:val="0"/>
        <w:autoSpaceDN w:val="0"/>
        <w:adjustRightInd w:val="0"/>
        <w:spacing w:line="480" w:lineRule="auto"/>
        <w:ind w:firstLine="6405" w:firstLineChars="305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 期：</w:t>
      </w:r>
    </w:p>
    <w:p w14:paraId="68D42540">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2DA5F80B">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53299822">
      <w:pPr>
        <w:spacing w:line="360" w:lineRule="auto"/>
        <w:ind w:firstLine="422" w:firstLineChars="200"/>
        <w:jc w:val="left"/>
        <w:rPr>
          <w:rFonts w:hint="eastAsia" w:asciiTheme="minorEastAsia" w:hAnsiTheme="minorEastAsia" w:eastAsiaTheme="minorEastAsia"/>
          <w:b/>
          <w:bCs/>
          <w:color w:val="auto"/>
          <w:spacing w:val="6"/>
          <w:szCs w:val="21"/>
          <w:highlight w:val="none"/>
        </w:rPr>
      </w:pPr>
      <w:r>
        <w:rPr>
          <w:rFonts w:hint="eastAsia" w:cs="仿宋_GB2312" w:asciiTheme="minorEastAsia" w:hAnsiTheme="minorEastAsia" w:eastAsiaTheme="minorEastAsia"/>
          <w:b/>
          <w:bCs/>
          <w:color w:val="auto"/>
          <w:szCs w:val="21"/>
          <w:highlight w:val="none"/>
        </w:rPr>
        <w:t>注：若提供服务的企业为</w:t>
      </w:r>
      <w:r>
        <w:rPr>
          <w:rFonts w:hint="eastAsia" w:asciiTheme="minorEastAsia" w:hAnsiTheme="minorEastAsia" w:eastAsiaTheme="minorEastAsia"/>
          <w:b/>
          <w:bCs/>
          <w:color w:val="auto"/>
          <w:spacing w:val="6"/>
          <w:szCs w:val="21"/>
          <w:highlight w:val="none"/>
        </w:rPr>
        <w:t>符合政策要求的残疾人福利性单位，即可填报声明；否则，可不填报及签章。</w:t>
      </w:r>
    </w:p>
    <w:p w14:paraId="7DBE3DE5">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06596977">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2F2FA3AB">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51A69BC1">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7FB223A2">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700E0CF6">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6614372B">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30956BED">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6F5A2DE0">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719ECEDA">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7472715C">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6573D37A">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2784CF4E">
      <w:pPr>
        <w:spacing w:line="360" w:lineRule="auto"/>
        <w:ind w:right="252" w:rightChars="120" w:firstLine="6510" w:firstLineChars="3100"/>
        <w:jc w:val="left"/>
        <w:rPr>
          <w:rFonts w:hint="eastAsia" w:cs="仿宋_GB2312" w:asciiTheme="minorEastAsia" w:hAnsiTheme="minorEastAsia" w:eastAsiaTheme="minorEastAsia"/>
          <w:color w:val="auto"/>
          <w:szCs w:val="21"/>
          <w:highlight w:val="none"/>
        </w:rPr>
      </w:pPr>
    </w:p>
    <w:p w14:paraId="717BE925">
      <w:pPr>
        <w:rPr>
          <w:rFonts w:asciiTheme="minorEastAsia" w:hAnsiTheme="minorEastAsia" w:eastAsiaTheme="minorEastAsia"/>
          <w:b/>
          <w:color w:val="auto"/>
          <w:sz w:val="28"/>
          <w:szCs w:val="28"/>
          <w:highlight w:val="none"/>
        </w:rPr>
      </w:pPr>
      <w:bookmarkStart w:id="1189" w:name="_Toc110405212"/>
      <w:bookmarkStart w:id="1190" w:name="_Toc116584083"/>
      <w:bookmarkStart w:id="1191" w:name="_Toc98865078"/>
      <w:bookmarkStart w:id="1192" w:name="_Toc81331012"/>
      <w:bookmarkStart w:id="1193" w:name="_Toc53412281"/>
      <w:bookmarkStart w:id="1194" w:name="_Toc45976973"/>
      <w:bookmarkStart w:id="1195" w:name="_Toc75783597"/>
      <w:bookmarkStart w:id="1196" w:name="_Toc42205065"/>
      <w:bookmarkStart w:id="1197" w:name="_Toc109809392"/>
      <w:bookmarkStart w:id="1198" w:name="_Toc3402"/>
      <w:bookmarkStart w:id="1199" w:name="_Toc69678494"/>
      <w:r>
        <w:rPr>
          <w:rFonts w:asciiTheme="minorEastAsia" w:hAnsiTheme="minorEastAsia" w:eastAsiaTheme="minorEastAsia"/>
          <w:b/>
          <w:color w:val="auto"/>
          <w:sz w:val="28"/>
          <w:szCs w:val="28"/>
          <w:highlight w:val="none"/>
        </w:rPr>
        <w:br w:type="page"/>
      </w:r>
    </w:p>
    <w:p w14:paraId="062E89EC">
      <w:pPr>
        <w:spacing w:line="360" w:lineRule="auto"/>
        <w:jc w:val="center"/>
        <w:outlineLvl w:val="3"/>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4</w:t>
      </w:r>
      <w:r>
        <w:rPr>
          <w:rFonts w:hint="eastAsia" w:asciiTheme="minorEastAsia" w:hAnsiTheme="minorEastAsia" w:eastAsiaTheme="minorEastAsia"/>
          <w:b/>
          <w:color w:val="auto"/>
          <w:sz w:val="28"/>
          <w:szCs w:val="28"/>
          <w:highlight w:val="none"/>
        </w:rPr>
        <w:t>、监狱企业证明</w:t>
      </w:r>
      <w:bookmarkEnd w:id="1189"/>
      <w:bookmarkEnd w:id="1190"/>
      <w:bookmarkEnd w:id="1191"/>
      <w:bookmarkEnd w:id="1192"/>
      <w:bookmarkEnd w:id="1193"/>
      <w:bookmarkEnd w:id="1194"/>
      <w:bookmarkEnd w:id="1195"/>
      <w:bookmarkEnd w:id="1196"/>
      <w:bookmarkEnd w:id="1197"/>
      <w:bookmarkEnd w:id="1198"/>
      <w:bookmarkEnd w:id="1199"/>
    </w:p>
    <w:p w14:paraId="426DCF77">
      <w:pPr>
        <w:spacing w:line="360" w:lineRule="auto"/>
        <w:jc w:val="center"/>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rPr>
        <w:t>注：若供应商为监狱企业，须附监狱企业证明材料的原件扫描件。</w:t>
      </w:r>
    </w:p>
    <w:p w14:paraId="31A8B83B">
      <w:pPr>
        <w:spacing w:line="360" w:lineRule="auto"/>
        <w:jc w:val="center"/>
        <w:outlineLvl w:val="2"/>
        <w:rPr>
          <w:rFonts w:hint="eastAsia" w:ascii="宋体" w:hAnsi="宋体"/>
          <w:color w:val="auto"/>
          <w:szCs w:val="28"/>
          <w:highlight w:val="none"/>
        </w:rPr>
      </w:pPr>
      <w:bookmarkStart w:id="1200" w:name="_Toc154093168"/>
      <w:bookmarkStart w:id="1201" w:name="_Toc49526433"/>
      <w:bookmarkStart w:id="1202" w:name="_Toc101686605"/>
      <w:bookmarkStart w:id="1203" w:name="_Toc96446290"/>
      <w:bookmarkStart w:id="1204" w:name="_Toc55208569"/>
      <w:bookmarkStart w:id="1205" w:name="_Toc48588390"/>
      <w:bookmarkStart w:id="1206" w:name="_Toc51624758"/>
      <w:bookmarkStart w:id="1207" w:name="_Toc102126218"/>
      <w:bookmarkStart w:id="1208" w:name="_Toc47961701"/>
      <w:bookmarkStart w:id="1209" w:name="_Toc51624610"/>
      <w:r>
        <w:rPr>
          <w:rFonts w:cs="仿宋_GB2312" w:asciiTheme="minorEastAsia" w:hAnsiTheme="minorEastAsia" w:eastAsiaTheme="minorEastAsia"/>
          <w:b/>
          <w:color w:val="auto"/>
          <w:szCs w:val="21"/>
          <w:highlight w:val="none"/>
        </w:rPr>
        <w:br w:type="page"/>
      </w:r>
      <w:bookmarkEnd w:id="1200"/>
      <w:bookmarkEnd w:id="1201"/>
      <w:bookmarkEnd w:id="1202"/>
      <w:bookmarkEnd w:id="1203"/>
      <w:bookmarkEnd w:id="1204"/>
      <w:bookmarkEnd w:id="1205"/>
      <w:bookmarkEnd w:id="1206"/>
      <w:bookmarkEnd w:id="1207"/>
      <w:bookmarkEnd w:id="1208"/>
      <w:bookmarkEnd w:id="1209"/>
      <w:bookmarkStart w:id="1210" w:name="_Toc21513"/>
      <w:r>
        <w:rPr>
          <w:rFonts w:hint="eastAsia" w:cs="Times New Roman" w:asciiTheme="minorEastAsia" w:hAnsiTheme="minorEastAsia" w:eastAsiaTheme="minorEastAsia"/>
          <w:b/>
          <w:color w:val="auto"/>
          <w:sz w:val="28"/>
          <w:szCs w:val="28"/>
          <w:highlight w:val="none"/>
          <w:lang w:val="en-US" w:eastAsia="zh-CN"/>
        </w:rPr>
        <w:t>（五）</w:t>
      </w:r>
      <w:r>
        <w:rPr>
          <w:rFonts w:hint="eastAsia" w:cs="Times New Roman" w:asciiTheme="minorEastAsia" w:hAnsiTheme="minorEastAsia" w:eastAsiaTheme="minorEastAsia"/>
          <w:b/>
          <w:color w:val="auto"/>
          <w:sz w:val="28"/>
          <w:szCs w:val="28"/>
          <w:highlight w:val="none"/>
        </w:rPr>
        <w:t>供应商基本情况表</w:t>
      </w:r>
      <w:bookmarkEnd w:id="121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1899"/>
        <w:gridCol w:w="2423"/>
        <w:gridCol w:w="1368"/>
        <w:gridCol w:w="1659"/>
      </w:tblGrid>
      <w:tr w14:paraId="2A4F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0826F103">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供应商名称</w:t>
            </w:r>
          </w:p>
        </w:tc>
        <w:tc>
          <w:tcPr>
            <w:tcW w:w="7349" w:type="dxa"/>
            <w:gridSpan w:val="4"/>
            <w:tcBorders>
              <w:top w:val="single" w:color="auto" w:sz="4" w:space="0"/>
              <w:left w:val="nil"/>
              <w:bottom w:val="single" w:color="auto" w:sz="4" w:space="0"/>
              <w:right w:val="single" w:color="auto" w:sz="4" w:space="0"/>
            </w:tcBorders>
            <w:noWrap w:val="0"/>
            <w:vAlign w:val="center"/>
          </w:tcPr>
          <w:p w14:paraId="219C4878">
            <w:pPr>
              <w:spacing w:line="440" w:lineRule="exact"/>
              <w:jc w:val="center"/>
              <w:rPr>
                <w:rFonts w:ascii="宋体" w:hAnsi="宋体"/>
                <w:color w:val="auto"/>
                <w:sz w:val="21"/>
                <w:szCs w:val="21"/>
                <w:highlight w:val="none"/>
              </w:rPr>
            </w:pPr>
          </w:p>
        </w:tc>
      </w:tr>
      <w:tr w14:paraId="6C50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58B72920">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注册资金</w:t>
            </w:r>
          </w:p>
        </w:tc>
        <w:tc>
          <w:tcPr>
            <w:tcW w:w="4322" w:type="dxa"/>
            <w:gridSpan w:val="2"/>
            <w:tcBorders>
              <w:top w:val="single" w:color="auto" w:sz="4" w:space="0"/>
              <w:left w:val="nil"/>
              <w:bottom w:val="single" w:color="auto" w:sz="4" w:space="0"/>
              <w:right w:val="single" w:color="auto" w:sz="4" w:space="0"/>
            </w:tcBorders>
            <w:noWrap w:val="0"/>
            <w:vAlign w:val="center"/>
          </w:tcPr>
          <w:p w14:paraId="36B2E236">
            <w:pPr>
              <w:spacing w:line="440" w:lineRule="exact"/>
              <w:jc w:val="center"/>
              <w:rPr>
                <w:rFonts w:ascii="宋体" w:hAnsi="宋体"/>
                <w:color w:val="auto"/>
                <w:sz w:val="21"/>
                <w:szCs w:val="21"/>
                <w:highlight w:val="none"/>
              </w:rPr>
            </w:pPr>
          </w:p>
        </w:tc>
        <w:tc>
          <w:tcPr>
            <w:tcW w:w="1368" w:type="dxa"/>
            <w:tcBorders>
              <w:top w:val="single" w:color="auto" w:sz="4" w:space="0"/>
              <w:left w:val="nil"/>
              <w:bottom w:val="single" w:color="auto" w:sz="4" w:space="0"/>
              <w:right w:val="single" w:color="auto" w:sz="4" w:space="0"/>
            </w:tcBorders>
            <w:noWrap w:val="0"/>
            <w:vAlign w:val="center"/>
          </w:tcPr>
          <w:p w14:paraId="5271C4C2">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成立时间</w:t>
            </w:r>
          </w:p>
        </w:tc>
        <w:tc>
          <w:tcPr>
            <w:tcW w:w="1659" w:type="dxa"/>
            <w:tcBorders>
              <w:top w:val="single" w:color="auto" w:sz="4" w:space="0"/>
              <w:left w:val="nil"/>
              <w:bottom w:val="single" w:color="auto" w:sz="4" w:space="0"/>
              <w:right w:val="single" w:color="auto" w:sz="4" w:space="0"/>
            </w:tcBorders>
            <w:noWrap w:val="0"/>
            <w:vAlign w:val="center"/>
          </w:tcPr>
          <w:p w14:paraId="63C7CE21">
            <w:pPr>
              <w:spacing w:line="440" w:lineRule="exact"/>
              <w:jc w:val="center"/>
              <w:rPr>
                <w:rFonts w:ascii="宋体" w:hAnsi="宋体"/>
                <w:color w:val="auto"/>
                <w:sz w:val="21"/>
                <w:szCs w:val="21"/>
                <w:highlight w:val="none"/>
              </w:rPr>
            </w:pPr>
          </w:p>
        </w:tc>
      </w:tr>
      <w:tr w14:paraId="1EF2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4DB31B8E">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注册地址</w:t>
            </w:r>
          </w:p>
        </w:tc>
        <w:tc>
          <w:tcPr>
            <w:tcW w:w="7349" w:type="dxa"/>
            <w:gridSpan w:val="4"/>
            <w:tcBorders>
              <w:top w:val="single" w:color="auto" w:sz="4" w:space="0"/>
              <w:left w:val="nil"/>
              <w:bottom w:val="single" w:color="auto" w:sz="4" w:space="0"/>
              <w:right w:val="single" w:color="auto" w:sz="4" w:space="0"/>
            </w:tcBorders>
            <w:noWrap w:val="0"/>
            <w:vAlign w:val="center"/>
          </w:tcPr>
          <w:p w14:paraId="0D748828">
            <w:pPr>
              <w:spacing w:line="440" w:lineRule="exact"/>
              <w:jc w:val="center"/>
              <w:rPr>
                <w:rFonts w:ascii="宋体" w:hAnsi="宋体"/>
                <w:color w:val="auto"/>
                <w:sz w:val="21"/>
                <w:szCs w:val="21"/>
                <w:highlight w:val="none"/>
              </w:rPr>
            </w:pPr>
          </w:p>
        </w:tc>
      </w:tr>
      <w:tr w14:paraId="4350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4FA52A67">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邮政编码</w:t>
            </w:r>
          </w:p>
        </w:tc>
        <w:tc>
          <w:tcPr>
            <w:tcW w:w="4322" w:type="dxa"/>
            <w:gridSpan w:val="2"/>
            <w:tcBorders>
              <w:top w:val="single" w:color="auto" w:sz="4" w:space="0"/>
              <w:left w:val="nil"/>
              <w:bottom w:val="single" w:color="auto" w:sz="4" w:space="0"/>
              <w:right w:val="single" w:color="auto" w:sz="4" w:space="0"/>
            </w:tcBorders>
            <w:noWrap w:val="0"/>
            <w:vAlign w:val="center"/>
          </w:tcPr>
          <w:p w14:paraId="35D885A2">
            <w:pPr>
              <w:spacing w:line="440" w:lineRule="exact"/>
              <w:jc w:val="center"/>
              <w:rPr>
                <w:rFonts w:ascii="宋体" w:hAnsi="宋体"/>
                <w:color w:val="auto"/>
                <w:sz w:val="21"/>
                <w:szCs w:val="21"/>
                <w:highlight w:val="none"/>
              </w:rPr>
            </w:pPr>
          </w:p>
        </w:tc>
        <w:tc>
          <w:tcPr>
            <w:tcW w:w="1368" w:type="dxa"/>
            <w:tcBorders>
              <w:top w:val="single" w:color="auto" w:sz="4" w:space="0"/>
              <w:left w:val="nil"/>
              <w:bottom w:val="single" w:color="auto" w:sz="4" w:space="0"/>
              <w:right w:val="single" w:color="auto" w:sz="4" w:space="0"/>
            </w:tcBorders>
            <w:noWrap w:val="0"/>
            <w:vAlign w:val="center"/>
          </w:tcPr>
          <w:p w14:paraId="3295BACF">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员工总数</w:t>
            </w:r>
          </w:p>
        </w:tc>
        <w:tc>
          <w:tcPr>
            <w:tcW w:w="1659" w:type="dxa"/>
            <w:tcBorders>
              <w:top w:val="single" w:color="auto" w:sz="4" w:space="0"/>
              <w:left w:val="nil"/>
              <w:bottom w:val="single" w:color="auto" w:sz="4" w:space="0"/>
              <w:right w:val="single" w:color="auto" w:sz="4" w:space="0"/>
            </w:tcBorders>
            <w:noWrap w:val="0"/>
            <w:vAlign w:val="center"/>
          </w:tcPr>
          <w:p w14:paraId="4FD7413B">
            <w:pPr>
              <w:spacing w:line="440" w:lineRule="exact"/>
              <w:jc w:val="center"/>
              <w:rPr>
                <w:rFonts w:ascii="宋体" w:hAnsi="宋体"/>
                <w:color w:val="auto"/>
                <w:sz w:val="21"/>
                <w:szCs w:val="21"/>
                <w:highlight w:val="none"/>
              </w:rPr>
            </w:pPr>
          </w:p>
        </w:tc>
      </w:tr>
      <w:tr w14:paraId="2AB5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0" w:type="dxa"/>
            <w:vMerge w:val="restart"/>
            <w:tcBorders>
              <w:top w:val="nil"/>
              <w:left w:val="single" w:color="auto" w:sz="4" w:space="0"/>
              <w:bottom w:val="single" w:color="auto" w:sz="4" w:space="0"/>
              <w:right w:val="single" w:color="auto" w:sz="4" w:space="0"/>
            </w:tcBorders>
            <w:noWrap w:val="0"/>
            <w:vAlign w:val="center"/>
          </w:tcPr>
          <w:p w14:paraId="0187AF98">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联系方式</w:t>
            </w:r>
          </w:p>
        </w:tc>
        <w:tc>
          <w:tcPr>
            <w:tcW w:w="1899" w:type="dxa"/>
            <w:tcBorders>
              <w:top w:val="single" w:color="auto" w:sz="4" w:space="0"/>
              <w:left w:val="nil"/>
              <w:bottom w:val="single" w:color="auto" w:sz="4" w:space="0"/>
              <w:right w:val="single" w:color="auto" w:sz="4" w:space="0"/>
            </w:tcBorders>
            <w:noWrap w:val="0"/>
            <w:vAlign w:val="center"/>
          </w:tcPr>
          <w:p w14:paraId="08299FF4">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联系人</w:t>
            </w:r>
          </w:p>
        </w:tc>
        <w:tc>
          <w:tcPr>
            <w:tcW w:w="2423" w:type="dxa"/>
            <w:tcBorders>
              <w:top w:val="single" w:color="auto" w:sz="4" w:space="0"/>
              <w:left w:val="nil"/>
              <w:bottom w:val="single" w:color="auto" w:sz="4" w:space="0"/>
              <w:right w:val="single" w:color="auto" w:sz="4" w:space="0"/>
            </w:tcBorders>
            <w:noWrap w:val="0"/>
            <w:vAlign w:val="center"/>
          </w:tcPr>
          <w:p w14:paraId="009EFF68">
            <w:pPr>
              <w:spacing w:line="440" w:lineRule="exact"/>
              <w:jc w:val="center"/>
              <w:rPr>
                <w:rFonts w:ascii="宋体" w:hAnsi="宋体"/>
                <w:color w:val="auto"/>
                <w:sz w:val="21"/>
                <w:szCs w:val="21"/>
                <w:highlight w:val="none"/>
              </w:rPr>
            </w:pPr>
          </w:p>
        </w:tc>
        <w:tc>
          <w:tcPr>
            <w:tcW w:w="1368" w:type="dxa"/>
            <w:tcBorders>
              <w:top w:val="single" w:color="auto" w:sz="4" w:space="0"/>
              <w:left w:val="nil"/>
              <w:bottom w:val="single" w:color="auto" w:sz="4" w:space="0"/>
              <w:right w:val="single" w:color="auto" w:sz="4" w:space="0"/>
            </w:tcBorders>
            <w:noWrap w:val="0"/>
            <w:vAlign w:val="center"/>
          </w:tcPr>
          <w:p w14:paraId="0DBD1800">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电话</w:t>
            </w:r>
          </w:p>
        </w:tc>
        <w:tc>
          <w:tcPr>
            <w:tcW w:w="1659" w:type="dxa"/>
            <w:tcBorders>
              <w:top w:val="single" w:color="auto" w:sz="4" w:space="0"/>
              <w:left w:val="nil"/>
              <w:bottom w:val="single" w:color="auto" w:sz="4" w:space="0"/>
              <w:right w:val="single" w:color="auto" w:sz="4" w:space="0"/>
            </w:tcBorders>
            <w:noWrap w:val="0"/>
            <w:vAlign w:val="center"/>
          </w:tcPr>
          <w:p w14:paraId="562C9966">
            <w:pPr>
              <w:spacing w:line="440" w:lineRule="exact"/>
              <w:jc w:val="center"/>
              <w:rPr>
                <w:rFonts w:ascii="宋体" w:hAnsi="宋体"/>
                <w:color w:val="auto"/>
                <w:sz w:val="21"/>
                <w:szCs w:val="21"/>
                <w:highlight w:val="none"/>
              </w:rPr>
            </w:pPr>
          </w:p>
        </w:tc>
      </w:tr>
      <w:tr w14:paraId="6700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63611AD">
            <w:pPr>
              <w:widowControl w:val="0"/>
              <w:jc w:val="both"/>
              <w:rPr>
                <w:rFonts w:ascii="宋体" w:hAnsi="宋体"/>
                <w:color w:val="auto"/>
                <w:kern w:val="2"/>
                <w:sz w:val="21"/>
                <w:szCs w:val="21"/>
                <w:highlight w:val="none"/>
              </w:rPr>
            </w:pPr>
          </w:p>
        </w:tc>
        <w:tc>
          <w:tcPr>
            <w:tcW w:w="1899" w:type="dxa"/>
            <w:tcBorders>
              <w:top w:val="single" w:color="auto" w:sz="4" w:space="0"/>
              <w:left w:val="nil"/>
              <w:bottom w:val="single" w:color="auto" w:sz="4" w:space="0"/>
              <w:right w:val="single" w:color="auto" w:sz="4" w:space="0"/>
            </w:tcBorders>
            <w:noWrap w:val="0"/>
            <w:vAlign w:val="center"/>
          </w:tcPr>
          <w:p w14:paraId="12923D15">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网址</w:t>
            </w:r>
          </w:p>
        </w:tc>
        <w:tc>
          <w:tcPr>
            <w:tcW w:w="2423" w:type="dxa"/>
            <w:tcBorders>
              <w:top w:val="single" w:color="auto" w:sz="4" w:space="0"/>
              <w:left w:val="nil"/>
              <w:bottom w:val="single" w:color="auto" w:sz="4" w:space="0"/>
              <w:right w:val="single" w:color="auto" w:sz="4" w:space="0"/>
            </w:tcBorders>
            <w:noWrap w:val="0"/>
            <w:vAlign w:val="center"/>
          </w:tcPr>
          <w:p w14:paraId="16B56621">
            <w:pPr>
              <w:spacing w:line="440" w:lineRule="exact"/>
              <w:jc w:val="center"/>
              <w:rPr>
                <w:rFonts w:ascii="宋体" w:hAnsi="宋体"/>
                <w:color w:val="auto"/>
                <w:sz w:val="21"/>
                <w:szCs w:val="21"/>
                <w:highlight w:val="none"/>
              </w:rPr>
            </w:pPr>
          </w:p>
        </w:tc>
        <w:tc>
          <w:tcPr>
            <w:tcW w:w="1368" w:type="dxa"/>
            <w:tcBorders>
              <w:top w:val="single" w:color="auto" w:sz="4" w:space="0"/>
              <w:left w:val="nil"/>
              <w:bottom w:val="single" w:color="auto" w:sz="4" w:space="0"/>
              <w:right w:val="single" w:color="auto" w:sz="4" w:space="0"/>
            </w:tcBorders>
            <w:noWrap w:val="0"/>
            <w:vAlign w:val="center"/>
          </w:tcPr>
          <w:p w14:paraId="33F9D469">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传真</w:t>
            </w:r>
          </w:p>
        </w:tc>
        <w:tc>
          <w:tcPr>
            <w:tcW w:w="1659" w:type="dxa"/>
            <w:tcBorders>
              <w:top w:val="single" w:color="auto" w:sz="4" w:space="0"/>
              <w:left w:val="nil"/>
              <w:bottom w:val="single" w:color="auto" w:sz="4" w:space="0"/>
              <w:right w:val="single" w:color="auto" w:sz="4" w:space="0"/>
            </w:tcBorders>
            <w:noWrap w:val="0"/>
            <w:vAlign w:val="center"/>
          </w:tcPr>
          <w:p w14:paraId="66FE6D0D">
            <w:pPr>
              <w:spacing w:line="440" w:lineRule="exact"/>
              <w:jc w:val="center"/>
              <w:rPr>
                <w:rFonts w:ascii="宋体" w:hAnsi="宋体"/>
                <w:color w:val="auto"/>
                <w:sz w:val="21"/>
                <w:szCs w:val="21"/>
                <w:highlight w:val="none"/>
              </w:rPr>
            </w:pPr>
          </w:p>
        </w:tc>
      </w:tr>
      <w:tr w14:paraId="5999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52A8611F">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法定代表人</w:t>
            </w:r>
          </w:p>
          <w:p w14:paraId="4663C90B">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（单位负责人）</w:t>
            </w:r>
          </w:p>
        </w:tc>
        <w:tc>
          <w:tcPr>
            <w:tcW w:w="1899" w:type="dxa"/>
            <w:tcBorders>
              <w:top w:val="single" w:color="auto" w:sz="4" w:space="0"/>
              <w:left w:val="nil"/>
              <w:bottom w:val="single" w:color="auto" w:sz="4" w:space="0"/>
              <w:right w:val="single" w:color="auto" w:sz="4" w:space="0"/>
            </w:tcBorders>
            <w:noWrap w:val="0"/>
            <w:vAlign w:val="center"/>
          </w:tcPr>
          <w:p w14:paraId="6DF36DBF">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2423" w:type="dxa"/>
            <w:tcBorders>
              <w:top w:val="single" w:color="auto" w:sz="4" w:space="0"/>
              <w:left w:val="nil"/>
              <w:bottom w:val="single" w:color="auto" w:sz="4" w:space="0"/>
              <w:right w:val="single" w:color="auto" w:sz="4" w:space="0"/>
            </w:tcBorders>
            <w:noWrap w:val="0"/>
            <w:vAlign w:val="center"/>
          </w:tcPr>
          <w:p w14:paraId="4D17A6C0">
            <w:pPr>
              <w:spacing w:line="440" w:lineRule="exact"/>
              <w:jc w:val="center"/>
              <w:rPr>
                <w:rFonts w:ascii="宋体" w:hAnsi="宋体"/>
                <w:color w:val="auto"/>
                <w:sz w:val="21"/>
                <w:szCs w:val="21"/>
                <w:highlight w:val="none"/>
              </w:rPr>
            </w:pPr>
          </w:p>
        </w:tc>
        <w:tc>
          <w:tcPr>
            <w:tcW w:w="1368" w:type="dxa"/>
            <w:tcBorders>
              <w:top w:val="single" w:color="auto" w:sz="4" w:space="0"/>
              <w:left w:val="nil"/>
              <w:bottom w:val="single" w:color="auto" w:sz="4" w:space="0"/>
              <w:right w:val="single" w:color="auto" w:sz="4" w:space="0"/>
            </w:tcBorders>
            <w:noWrap w:val="0"/>
            <w:vAlign w:val="center"/>
          </w:tcPr>
          <w:p w14:paraId="05E147BA">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电话</w:t>
            </w:r>
          </w:p>
        </w:tc>
        <w:tc>
          <w:tcPr>
            <w:tcW w:w="1659" w:type="dxa"/>
            <w:tcBorders>
              <w:top w:val="single" w:color="auto" w:sz="4" w:space="0"/>
              <w:left w:val="nil"/>
              <w:bottom w:val="single" w:color="auto" w:sz="4" w:space="0"/>
              <w:right w:val="single" w:color="auto" w:sz="4" w:space="0"/>
            </w:tcBorders>
            <w:noWrap w:val="0"/>
            <w:vAlign w:val="center"/>
          </w:tcPr>
          <w:p w14:paraId="55854A5B">
            <w:pPr>
              <w:spacing w:line="440" w:lineRule="exact"/>
              <w:jc w:val="center"/>
              <w:rPr>
                <w:rFonts w:ascii="宋体" w:hAnsi="宋体"/>
                <w:color w:val="auto"/>
                <w:sz w:val="21"/>
                <w:szCs w:val="21"/>
                <w:highlight w:val="none"/>
              </w:rPr>
            </w:pPr>
          </w:p>
        </w:tc>
      </w:tr>
      <w:tr w14:paraId="5B71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3975E1AE">
            <w:pPr>
              <w:spacing w:line="44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经营范围</w:t>
            </w:r>
          </w:p>
        </w:tc>
        <w:tc>
          <w:tcPr>
            <w:tcW w:w="7349" w:type="dxa"/>
            <w:gridSpan w:val="4"/>
            <w:tcBorders>
              <w:top w:val="single" w:color="auto" w:sz="4" w:space="0"/>
              <w:left w:val="nil"/>
              <w:bottom w:val="single" w:color="auto" w:sz="4" w:space="0"/>
              <w:right w:val="single" w:color="auto" w:sz="4" w:space="0"/>
            </w:tcBorders>
            <w:noWrap w:val="0"/>
            <w:vAlign w:val="center"/>
          </w:tcPr>
          <w:p w14:paraId="66FD557B">
            <w:pPr>
              <w:spacing w:line="440" w:lineRule="exact"/>
              <w:rPr>
                <w:rFonts w:ascii="宋体" w:hAnsi="宋体"/>
                <w:color w:val="auto"/>
                <w:sz w:val="21"/>
                <w:szCs w:val="21"/>
                <w:highlight w:val="none"/>
              </w:rPr>
            </w:pPr>
          </w:p>
        </w:tc>
      </w:tr>
      <w:tr w14:paraId="5BEB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0C0E9759">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基本账户开户银行</w:t>
            </w:r>
          </w:p>
        </w:tc>
        <w:tc>
          <w:tcPr>
            <w:tcW w:w="7349" w:type="dxa"/>
            <w:gridSpan w:val="4"/>
            <w:tcBorders>
              <w:top w:val="single" w:color="auto" w:sz="4" w:space="0"/>
              <w:left w:val="nil"/>
              <w:bottom w:val="single" w:color="auto" w:sz="4" w:space="0"/>
              <w:right w:val="single" w:color="auto" w:sz="4" w:space="0"/>
            </w:tcBorders>
            <w:noWrap w:val="0"/>
            <w:vAlign w:val="center"/>
          </w:tcPr>
          <w:p w14:paraId="2DA361C7">
            <w:pPr>
              <w:spacing w:line="440" w:lineRule="exact"/>
              <w:jc w:val="center"/>
              <w:rPr>
                <w:rFonts w:ascii="宋体" w:hAnsi="宋体"/>
                <w:color w:val="auto"/>
                <w:sz w:val="21"/>
                <w:szCs w:val="21"/>
                <w:highlight w:val="none"/>
              </w:rPr>
            </w:pPr>
          </w:p>
        </w:tc>
      </w:tr>
      <w:tr w14:paraId="5736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45066946">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基本账户银行账号</w:t>
            </w:r>
          </w:p>
        </w:tc>
        <w:tc>
          <w:tcPr>
            <w:tcW w:w="7349" w:type="dxa"/>
            <w:gridSpan w:val="4"/>
            <w:tcBorders>
              <w:top w:val="single" w:color="auto" w:sz="4" w:space="0"/>
              <w:left w:val="nil"/>
              <w:bottom w:val="single" w:color="auto" w:sz="4" w:space="0"/>
              <w:right w:val="single" w:color="auto" w:sz="4" w:space="0"/>
            </w:tcBorders>
            <w:noWrap w:val="0"/>
            <w:vAlign w:val="center"/>
          </w:tcPr>
          <w:p w14:paraId="70546E4F">
            <w:pPr>
              <w:spacing w:line="440" w:lineRule="exact"/>
              <w:jc w:val="center"/>
              <w:rPr>
                <w:rFonts w:ascii="宋体" w:hAnsi="宋体"/>
                <w:color w:val="auto"/>
                <w:sz w:val="21"/>
                <w:szCs w:val="21"/>
                <w:highlight w:val="none"/>
              </w:rPr>
            </w:pPr>
          </w:p>
        </w:tc>
      </w:tr>
      <w:tr w14:paraId="3B00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75246E47">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备注</w:t>
            </w:r>
          </w:p>
        </w:tc>
        <w:tc>
          <w:tcPr>
            <w:tcW w:w="7349" w:type="dxa"/>
            <w:gridSpan w:val="4"/>
            <w:tcBorders>
              <w:top w:val="single" w:color="auto" w:sz="4" w:space="0"/>
              <w:left w:val="nil"/>
              <w:bottom w:val="single" w:color="auto" w:sz="4" w:space="0"/>
              <w:right w:val="single" w:color="auto" w:sz="4" w:space="0"/>
            </w:tcBorders>
            <w:noWrap w:val="0"/>
            <w:vAlign w:val="center"/>
          </w:tcPr>
          <w:p w14:paraId="35B30866">
            <w:pPr>
              <w:spacing w:line="440" w:lineRule="exact"/>
              <w:jc w:val="center"/>
              <w:rPr>
                <w:rFonts w:ascii="宋体" w:hAnsi="宋体"/>
                <w:color w:val="auto"/>
                <w:sz w:val="21"/>
                <w:szCs w:val="21"/>
                <w:highlight w:val="none"/>
              </w:rPr>
            </w:pPr>
          </w:p>
        </w:tc>
      </w:tr>
    </w:tbl>
    <w:p w14:paraId="6B48BDAA">
      <w:pPr>
        <w:spacing w:line="240" w:lineRule="exact"/>
        <w:rPr>
          <w:rFonts w:hint="eastAsia" w:ascii="宋体" w:hAnsi="宋体"/>
          <w:color w:val="auto"/>
          <w:sz w:val="24"/>
          <w:szCs w:val="24"/>
          <w:highlight w:val="none"/>
        </w:rPr>
      </w:pPr>
    </w:p>
    <w:p w14:paraId="365F1CAB">
      <w:pPr>
        <w:spacing w:line="320" w:lineRule="exact"/>
        <w:rPr>
          <w:rFonts w:hint="eastAsia" w:ascii="宋体" w:hAnsi="宋体"/>
          <w:b/>
          <w:bCs/>
          <w:color w:val="auto"/>
          <w:sz w:val="21"/>
          <w:szCs w:val="21"/>
          <w:highlight w:val="none"/>
        </w:rPr>
      </w:pPr>
      <w:r>
        <w:rPr>
          <w:rFonts w:hint="eastAsia" w:ascii="宋体" w:hAnsi="宋体"/>
          <w:color w:val="auto"/>
          <w:sz w:val="21"/>
          <w:szCs w:val="21"/>
          <w:highlight w:val="none"/>
        </w:rPr>
        <w:t>注：供应商应根据竞争性磋商文件要求在本表后附相关证明材料，如营业执照、资质证书（若有）等。</w:t>
      </w:r>
    </w:p>
    <w:p w14:paraId="3424B39A">
      <w:pPr>
        <w:rPr>
          <w:rFonts w:hint="eastAsia"/>
          <w:highlight w:val="none"/>
        </w:rPr>
      </w:pPr>
      <w:r>
        <w:rPr>
          <w:rFonts w:hint="eastAsia"/>
          <w:highlight w:val="none"/>
        </w:rPr>
        <w:br w:type="page"/>
      </w:r>
    </w:p>
    <w:p w14:paraId="08B7D7CC">
      <w:pPr>
        <w:spacing w:line="360" w:lineRule="auto"/>
        <w:jc w:val="center"/>
        <w:outlineLvl w:val="2"/>
        <w:rPr>
          <w:rFonts w:hint="eastAsia" w:cs="Times New Roman" w:asciiTheme="minorEastAsia" w:hAnsiTheme="minorEastAsia" w:eastAsiaTheme="minorEastAsia"/>
          <w:b/>
          <w:color w:val="auto"/>
          <w:sz w:val="28"/>
          <w:szCs w:val="28"/>
          <w:highlight w:val="none"/>
          <w:lang w:val="en-US" w:eastAsia="zh-CN"/>
        </w:rPr>
      </w:pPr>
      <w:bookmarkStart w:id="1211" w:name="_Toc15249"/>
      <w:bookmarkStart w:id="1212" w:name="_Toc7609"/>
      <w:r>
        <w:rPr>
          <w:rFonts w:hint="eastAsia" w:cs="Times New Roman" w:asciiTheme="minorEastAsia" w:hAnsiTheme="minorEastAsia" w:eastAsiaTheme="minorEastAsia"/>
          <w:b/>
          <w:color w:val="auto"/>
          <w:sz w:val="28"/>
          <w:szCs w:val="28"/>
          <w:highlight w:val="none"/>
          <w:lang w:val="en-US" w:eastAsia="zh-CN"/>
        </w:rPr>
        <w:t>（六）磋商保证金</w:t>
      </w:r>
      <w:bookmarkEnd w:id="1211"/>
      <w:bookmarkEnd w:id="1212"/>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3"/>
      </w:tblGrid>
      <w:tr w14:paraId="0132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8893" w:type="dxa"/>
            <w:noWrap w:val="0"/>
            <w:vAlign w:val="center"/>
          </w:tcPr>
          <w:p w14:paraId="308E9740">
            <w:pPr>
              <w:pStyle w:val="411"/>
              <w:jc w:val="center"/>
              <w:rPr>
                <w:color w:val="auto"/>
                <w:sz w:val="28"/>
                <w:szCs w:val="28"/>
                <w:highlight w:val="none"/>
              </w:rPr>
            </w:pPr>
            <w:r>
              <w:rPr>
                <w:rFonts w:hint="eastAsia"/>
                <w:color w:val="auto"/>
                <w:sz w:val="28"/>
                <w:szCs w:val="28"/>
                <w:highlight w:val="none"/>
              </w:rPr>
              <w:t>附</w:t>
            </w:r>
            <w:r>
              <w:rPr>
                <w:rFonts w:hint="eastAsia" w:hAnsi="宋体"/>
                <w:color w:val="auto"/>
                <w:sz w:val="28"/>
                <w:szCs w:val="28"/>
                <w:highlight w:val="none"/>
              </w:rPr>
              <w:t>：</w:t>
            </w:r>
            <w:r>
              <w:rPr>
                <w:rFonts w:hint="eastAsia" w:hAnsi="宋体" w:cs="宋体"/>
                <w:color w:val="auto"/>
                <w:sz w:val="28"/>
                <w:szCs w:val="28"/>
                <w:highlight w:val="none"/>
              </w:rPr>
              <w:t>磋商保证金</w:t>
            </w:r>
            <w:r>
              <w:rPr>
                <w:rFonts w:hint="eastAsia"/>
                <w:color w:val="auto"/>
                <w:sz w:val="28"/>
                <w:szCs w:val="28"/>
                <w:highlight w:val="none"/>
              </w:rPr>
              <w:t>有效凭证单据复印件或扫描件</w:t>
            </w:r>
          </w:p>
        </w:tc>
      </w:tr>
    </w:tbl>
    <w:p w14:paraId="6129AE1A">
      <w:pPr>
        <w:pStyle w:val="411"/>
        <w:rPr>
          <w:rFonts w:hint="eastAsia"/>
          <w:color w:val="auto"/>
          <w:highlight w:val="none"/>
        </w:rPr>
      </w:pPr>
    </w:p>
    <w:p w14:paraId="1586F51C">
      <w:pPr>
        <w:pStyle w:val="411"/>
        <w:rPr>
          <w:rFonts w:hint="eastAsia"/>
          <w:color w:val="auto"/>
          <w:highlight w:val="none"/>
        </w:rPr>
      </w:pPr>
    </w:p>
    <w:p w14:paraId="0EB0EEA7">
      <w:pPr>
        <w:pStyle w:val="411"/>
        <w:rPr>
          <w:rFonts w:hint="eastAsia"/>
          <w:color w:val="auto"/>
          <w:highlight w:val="none"/>
        </w:rPr>
      </w:pPr>
    </w:p>
    <w:tbl>
      <w:tblPr>
        <w:tblStyle w:val="54"/>
        <w:tblW w:w="0" w:type="auto"/>
        <w:tblInd w:w="7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4"/>
      </w:tblGrid>
      <w:tr w14:paraId="61EC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trPr>
        <w:tc>
          <w:tcPr>
            <w:tcW w:w="8914" w:type="dxa"/>
            <w:noWrap w:val="0"/>
            <w:vAlign w:val="center"/>
          </w:tcPr>
          <w:p w14:paraId="2690D7A2">
            <w:pPr>
              <w:pStyle w:val="411"/>
              <w:jc w:val="center"/>
              <w:rPr>
                <w:color w:val="auto"/>
                <w:sz w:val="28"/>
                <w:szCs w:val="28"/>
                <w:highlight w:val="none"/>
              </w:rPr>
            </w:pPr>
            <w:r>
              <w:rPr>
                <w:rFonts w:hint="eastAsia"/>
                <w:color w:val="auto"/>
                <w:sz w:val="28"/>
                <w:szCs w:val="28"/>
                <w:highlight w:val="none"/>
              </w:rPr>
              <w:t>附：</w:t>
            </w:r>
            <w:r>
              <w:rPr>
                <w:rFonts w:hint="eastAsia"/>
                <w:color w:val="auto"/>
                <w:sz w:val="28"/>
                <w:szCs w:val="28"/>
                <w:highlight w:val="none"/>
                <w:lang w:eastAsia="zh-CN"/>
              </w:rPr>
              <w:t>开户许可证或基本存款账户信息</w:t>
            </w:r>
            <w:r>
              <w:rPr>
                <w:rFonts w:hint="eastAsia"/>
                <w:color w:val="auto"/>
                <w:sz w:val="28"/>
                <w:szCs w:val="28"/>
                <w:highlight w:val="none"/>
              </w:rPr>
              <w:t>复印件</w:t>
            </w:r>
          </w:p>
        </w:tc>
      </w:tr>
    </w:tbl>
    <w:p w14:paraId="4F8429E5">
      <w:pPr>
        <w:rPr>
          <w:rFonts w:hint="eastAsia"/>
          <w:highlight w:val="none"/>
        </w:rPr>
      </w:pPr>
      <w:r>
        <w:rPr>
          <w:rFonts w:hint="eastAsia"/>
          <w:highlight w:val="none"/>
        </w:rPr>
        <w:br w:type="page"/>
      </w:r>
    </w:p>
    <w:p w14:paraId="781FBF49">
      <w:pPr>
        <w:spacing w:line="360" w:lineRule="auto"/>
        <w:jc w:val="center"/>
        <w:outlineLvl w:val="2"/>
        <w:rPr>
          <w:rFonts w:hint="eastAsia" w:cs="Times New Roman" w:asciiTheme="minorEastAsia" w:hAnsiTheme="minorEastAsia" w:eastAsiaTheme="minorEastAsia"/>
          <w:b/>
          <w:color w:val="auto"/>
          <w:sz w:val="28"/>
          <w:szCs w:val="28"/>
          <w:highlight w:val="none"/>
          <w:lang w:val="en-US" w:eastAsia="zh-CN"/>
        </w:rPr>
      </w:pPr>
      <w:bookmarkStart w:id="1213" w:name="_Toc32692"/>
      <w:r>
        <w:rPr>
          <w:rFonts w:hint="eastAsia" w:cs="Times New Roman" w:asciiTheme="minorEastAsia" w:hAnsiTheme="minorEastAsia" w:eastAsiaTheme="minorEastAsia"/>
          <w:b/>
          <w:color w:val="auto"/>
          <w:sz w:val="28"/>
          <w:szCs w:val="28"/>
          <w:highlight w:val="none"/>
          <w:lang w:val="en-US" w:eastAsia="zh-CN"/>
        </w:rPr>
        <w:t>（七）本项目拟投入人员信息汇总表</w:t>
      </w:r>
      <w:bookmarkEnd w:id="1213"/>
      <w:r>
        <w:rPr>
          <w:rFonts w:hint="eastAsia" w:cs="Times New Roman" w:asciiTheme="minorEastAsia" w:hAnsiTheme="minorEastAsia" w:eastAsiaTheme="minorEastAsia"/>
          <w:b/>
          <w:color w:val="auto"/>
          <w:sz w:val="28"/>
          <w:szCs w:val="28"/>
          <w:highlight w:val="none"/>
          <w:lang w:val="en-US" w:eastAsia="zh-CN"/>
        </w:rPr>
        <w:t>（如有）</w:t>
      </w:r>
    </w:p>
    <w:tbl>
      <w:tblPr>
        <w:tblStyle w:val="54"/>
        <w:tblW w:w="43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1"/>
        <w:gridCol w:w="1496"/>
        <w:gridCol w:w="1489"/>
        <w:gridCol w:w="2216"/>
        <w:gridCol w:w="1399"/>
      </w:tblGrid>
      <w:tr w14:paraId="71239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center"/>
          </w:tcPr>
          <w:p w14:paraId="5030F1AD">
            <w:pPr>
              <w:spacing w:line="440" w:lineRule="exact"/>
              <w:jc w:val="center"/>
              <w:rPr>
                <w:rFonts w:hint="eastAsia"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序号</w:t>
            </w:r>
          </w:p>
        </w:tc>
        <w:tc>
          <w:tcPr>
            <w:tcW w:w="1621" w:type="dxa"/>
            <w:noWrap w:val="0"/>
            <w:vAlign w:val="center"/>
          </w:tcPr>
          <w:p w14:paraId="0C8CB583">
            <w:pPr>
              <w:spacing w:line="440" w:lineRule="exact"/>
              <w:jc w:val="center"/>
              <w:rPr>
                <w:rFonts w:hint="eastAsia"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姓名</w:t>
            </w:r>
          </w:p>
        </w:tc>
        <w:tc>
          <w:tcPr>
            <w:tcW w:w="1613" w:type="dxa"/>
            <w:noWrap w:val="0"/>
            <w:vAlign w:val="center"/>
          </w:tcPr>
          <w:p w14:paraId="4F75A997">
            <w:pPr>
              <w:spacing w:line="440" w:lineRule="exact"/>
              <w:jc w:val="center"/>
              <w:rPr>
                <w:rFonts w:hint="eastAsia"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年龄</w:t>
            </w:r>
          </w:p>
        </w:tc>
        <w:tc>
          <w:tcPr>
            <w:tcW w:w="2425" w:type="dxa"/>
            <w:noWrap w:val="0"/>
            <w:vAlign w:val="center"/>
          </w:tcPr>
          <w:p w14:paraId="1C6E0CA0">
            <w:pPr>
              <w:spacing w:line="440" w:lineRule="exact"/>
              <w:jc w:val="center"/>
              <w:rPr>
                <w:rFonts w:ascii="宋体" w:hAnsi="宋体"/>
                <w:b/>
                <w:bCs/>
                <w:color w:val="auto"/>
                <w:sz w:val="21"/>
                <w:szCs w:val="21"/>
                <w:highlight w:val="none"/>
              </w:rPr>
            </w:pPr>
            <w:r>
              <w:rPr>
                <w:rFonts w:ascii="宋体" w:hAnsi="宋体"/>
                <w:b/>
                <w:bCs/>
                <w:color w:val="auto"/>
                <w:sz w:val="21"/>
                <w:szCs w:val="21"/>
                <w:highlight w:val="none"/>
              </w:rPr>
              <w:t>证书名称</w:t>
            </w:r>
          </w:p>
        </w:tc>
        <w:tc>
          <w:tcPr>
            <w:tcW w:w="1511" w:type="dxa"/>
            <w:noWrap w:val="0"/>
            <w:vAlign w:val="center"/>
          </w:tcPr>
          <w:p w14:paraId="2CE2439B">
            <w:pPr>
              <w:spacing w:line="440" w:lineRule="exact"/>
              <w:jc w:val="center"/>
              <w:rPr>
                <w:rFonts w:hint="eastAsia"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备注</w:t>
            </w:r>
          </w:p>
        </w:tc>
      </w:tr>
      <w:tr w14:paraId="00A2A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center"/>
          </w:tcPr>
          <w:p w14:paraId="167A74ED">
            <w:pPr>
              <w:spacing w:line="440" w:lineRule="exact"/>
              <w:jc w:val="center"/>
              <w:rPr>
                <w:rFonts w:ascii="宋体" w:hAnsi="宋体"/>
                <w:color w:val="auto"/>
                <w:sz w:val="21"/>
                <w:szCs w:val="21"/>
                <w:highlight w:val="none"/>
              </w:rPr>
            </w:pPr>
          </w:p>
        </w:tc>
        <w:tc>
          <w:tcPr>
            <w:tcW w:w="1621" w:type="dxa"/>
            <w:noWrap w:val="0"/>
            <w:vAlign w:val="center"/>
          </w:tcPr>
          <w:p w14:paraId="044028D8">
            <w:pPr>
              <w:spacing w:line="440" w:lineRule="exact"/>
              <w:jc w:val="center"/>
              <w:rPr>
                <w:rFonts w:ascii="宋体" w:hAnsi="宋体"/>
                <w:color w:val="auto"/>
                <w:sz w:val="21"/>
                <w:szCs w:val="21"/>
                <w:highlight w:val="none"/>
              </w:rPr>
            </w:pPr>
          </w:p>
        </w:tc>
        <w:tc>
          <w:tcPr>
            <w:tcW w:w="1613" w:type="dxa"/>
            <w:noWrap w:val="0"/>
            <w:vAlign w:val="center"/>
          </w:tcPr>
          <w:p w14:paraId="12AFDB7C">
            <w:pPr>
              <w:spacing w:line="440" w:lineRule="exact"/>
              <w:jc w:val="center"/>
              <w:rPr>
                <w:rFonts w:ascii="宋体" w:hAnsi="宋体"/>
                <w:color w:val="auto"/>
                <w:sz w:val="21"/>
                <w:szCs w:val="21"/>
                <w:highlight w:val="none"/>
              </w:rPr>
            </w:pPr>
          </w:p>
        </w:tc>
        <w:tc>
          <w:tcPr>
            <w:tcW w:w="2425" w:type="dxa"/>
            <w:noWrap w:val="0"/>
            <w:vAlign w:val="center"/>
          </w:tcPr>
          <w:p w14:paraId="52296210">
            <w:pPr>
              <w:spacing w:line="440" w:lineRule="exact"/>
              <w:jc w:val="center"/>
              <w:rPr>
                <w:rFonts w:ascii="宋体" w:hAnsi="宋体"/>
                <w:color w:val="auto"/>
                <w:sz w:val="21"/>
                <w:szCs w:val="21"/>
                <w:highlight w:val="none"/>
              </w:rPr>
            </w:pPr>
          </w:p>
        </w:tc>
        <w:tc>
          <w:tcPr>
            <w:tcW w:w="1511" w:type="dxa"/>
            <w:noWrap w:val="0"/>
            <w:vAlign w:val="center"/>
          </w:tcPr>
          <w:p w14:paraId="0C51F8F4">
            <w:pPr>
              <w:spacing w:line="440" w:lineRule="exact"/>
              <w:jc w:val="center"/>
              <w:rPr>
                <w:rFonts w:ascii="宋体" w:hAnsi="宋体"/>
                <w:color w:val="auto"/>
                <w:sz w:val="21"/>
                <w:szCs w:val="21"/>
                <w:highlight w:val="none"/>
              </w:rPr>
            </w:pPr>
          </w:p>
        </w:tc>
      </w:tr>
      <w:tr w14:paraId="4821E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top"/>
          </w:tcPr>
          <w:p w14:paraId="6E5BCDEE">
            <w:pPr>
              <w:spacing w:line="440" w:lineRule="exact"/>
              <w:jc w:val="center"/>
              <w:rPr>
                <w:rFonts w:ascii="宋体" w:hAnsi="宋体"/>
                <w:color w:val="auto"/>
                <w:sz w:val="21"/>
                <w:szCs w:val="21"/>
                <w:highlight w:val="none"/>
              </w:rPr>
            </w:pPr>
          </w:p>
        </w:tc>
        <w:tc>
          <w:tcPr>
            <w:tcW w:w="1621" w:type="dxa"/>
            <w:noWrap w:val="0"/>
            <w:vAlign w:val="top"/>
          </w:tcPr>
          <w:p w14:paraId="236AC1FB">
            <w:pPr>
              <w:spacing w:line="440" w:lineRule="exact"/>
              <w:jc w:val="center"/>
              <w:rPr>
                <w:rFonts w:ascii="宋体" w:hAnsi="宋体"/>
                <w:color w:val="auto"/>
                <w:sz w:val="21"/>
                <w:szCs w:val="21"/>
                <w:highlight w:val="none"/>
              </w:rPr>
            </w:pPr>
          </w:p>
        </w:tc>
        <w:tc>
          <w:tcPr>
            <w:tcW w:w="1613" w:type="dxa"/>
            <w:noWrap w:val="0"/>
            <w:vAlign w:val="top"/>
          </w:tcPr>
          <w:p w14:paraId="085504A1">
            <w:pPr>
              <w:spacing w:line="440" w:lineRule="exact"/>
              <w:jc w:val="center"/>
              <w:rPr>
                <w:rFonts w:ascii="宋体" w:hAnsi="宋体"/>
                <w:color w:val="auto"/>
                <w:sz w:val="21"/>
                <w:szCs w:val="21"/>
                <w:highlight w:val="none"/>
              </w:rPr>
            </w:pPr>
          </w:p>
        </w:tc>
        <w:tc>
          <w:tcPr>
            <w:tcW w:w="2425" w:type="dxa"/>
            <w:noWrap w:val="0"/>
            <w:vAlign w:val="top"/>
          </w:tcPr>
          <w:p w14:paraId="5E589F9C">
            <w:pPr>
              <w:spacing w:line="440" w:lineRule="exact"/>
              <w:jc w:val="center"/>
              <w:rPr>
                <w:rFonts w:ascii="宋体" w:hAnsi="宋体"/>
                <w:color w:val="auto"/>
                <w:sz w:val="21"/>
                <w:szCs w:val="21"/>
                <w:highlight w:val="none"/>
              </w:rPr>
            </w:pPr>
          </w:p>
        </w:tc>
        <w:tc>
          <w:tcPr>
            <w:tcW w:w="1511" w:type="dxa"/>
            <w:noWrap w:val="0"/>
            <w:vAlign w:val="top"/>
          </w:tcPr>
          <w:p w14:paraId="11495F18">
            <w:pPr>
              <w:spacing w:line="440" w:lineRule="exact"/>
              <w:jc w:val="center"/>
              <w:rPr>
                <w:rFonts w:ascii="宋体" w:hAnsi="宋体"/>
                <w:color w:val="auto"/>
                <w:sz w:val="21"/>
                <w:szCs w:val="21"/>
                <w:highlight w:val="none"/>
              </w:rPr>
            </w:pPr>
          </w:p>
        </w:tc>
      </w:tr>
      <w:tr w14:paraId="1B8D4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top"/>
          </w:tcPr>
          <w:p w14:paraId="25AC89AE">
            <w:pPr>
              <w:spacing w:line="440" w:lineRule="exact"/>
              <w:jc w:val="center"/>
              <w:rPr>
                <w:rFonts w:ascii="宋体" w:hAnsi="宋体"/>
                <w:color w:val="auto"/>
                <w:sz w:val="21"/>
                <w:szCs w:val="21"/>
                <w:highlight w:val="none"/>
              </w:rPr>
            </w:pPr>
          </w:p>
        </w:tc>
        <w:tc>
          <w:tcPr>
            <w:tcW w:w="1621" w:type="dxa"/>
            <w:noWrap w:val="0"/>
            <w:vAlign w:val="top"/>
          </w:tcPr>
          <w:p w14:paraId="2882B804">
            <w:pPr>
              <w:spacing w:line="440" w:lineRule="exact"/>
              <w:jc w:val="center"/>
              <w:rPr>
                <w:rFonts w:ascii="宋体" w:hAnsi="宋体"/>
                <w:color w:val="auto"/>
                <w:sz w:val="21"/>
                <w:szCs w:val="21"/>
                <w:highlight w:val="none"/>
              </w:rPr>
            </w:pPr>
          </w:p>
        </w:tc>
        <w:tc>
          <w:tcPr>
            <w:tcW w:w="1613" w:type="dxa"/>
            <w:noWrap w:val="0"/>
            <w:vAlign w:val="top"/>
          </w:tcPr>
          <w:p w14:paraId="476564B0">
            <w:pPr>
              <w:spacing w:line="440" w:lineRule="exact"/>
              <w:jc w:val="center"/>
              <w:rPr>
                <w:rFonts w:ascii="宋体" w:hAnsi="宋体"/>
                <w:color w:val="auto"/>
                <w:sz w:val="21"/>
                <w:szCs w:val="21"/>
                <w:highlight w:val="none"/>
              </w:rPr>
            </w:pPr>
          </w:p>
        </w:tc>
        <w:tc>
          <w:tcPr>
            <w:tcW w:w="2425" w:type="dxa"/>
            <w:noWrap w:val="0"/>
            <w:vAlign w:val="top"/>
          </w:tcPr>
          <w:p w14:paraId="7BD5B42D">
            <w:pPr>
              <w:spacing w:line="440" w:lineRule="exact"/>
              <w:jc w:val="center"/>
              <w:rPr>
                <w:rFonts w:ascii="宋体" w:hAnsi="宋体"/>
                <w:color w:val="auto"/>
                <w:sz w:val="21"/>
                <w:szCs w:val="21"/>
                <w:highlight w:val="none"/>
              </w:rPr>
            </w:pPr>
          </w:p>
        </w:tc>
        <w:tc>
          <w:tcPr>
            <w:tcW w:w="1511" w:type="dxa"/>
            <w:noWrap w:val="0"/>
            <w:vAlign w:val="top"/>
          </w:tcPr>
          <w:p w14:paraId="4606724D">
            <w:pPr>
              <w:spacing w:line="440" w:lineRule="exact"/>
              <w:jc w:val="center"/>
              <w:rPr>
                <w:rFonts w:ascii="宋体" w:hAnsi="宋体"/>
                <w:color w:val="auto"/>
                <w:sz w:val="21"/>
                <w:szCs w:val="21"/>
                <w:highlight w:val="none"/>
              </w:rPr>
            </w:pPr>
          </w:p>
        </w:tc>
      </w:tr>
      <w:tr w14:paraId="602E7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top"/>
          </w:tcPr>
          <w:p w14:paraId="3EF6CA8D">
            <w:pPr>
              <w:spacing w:line="440" w:lineRule="exact"/>
              <w:jc w:val="center"/>
              <w:rPr>
                <w:rFonts w:ascii="宋体" w:hAnsi="宋体"/>
                <w:color w:val="auto"/>
                <w:sz w:val="21"/>
                <w:szCs w:val="21"/>
                <w:highlight w:val="none"/>
              </w:rPr>
            </w:pPr>
          </w:p>
        </w:tc>
        <w:tc>
          <w:tcPr>
            <w:tcW w:w="1621" w:type="dxa"/>
            <w:noWrap w:val="0"/>
            <w:vAlign w:val="top"/>
          </w:tcPr>
          <w:p w14:paraId="5B7E9028">
            <w:pPr>
              <w:spacing w:line="440" w:lineRule="exact"/>
              <w:jc w:val="center"/>
              <w:rPr>
                <w:rFonts w:ascii="宋体" w:hAnsi="宋体"/>
                <w:color w:val="auto"/>
                <w:sz w:val="21"/>
                <w:szCs w:val="21"/>
                <w:highlight w:val="none"/>
              </w:rPr>
            </w:pPr>
          </w:p>
        </w:tc>
        <w:tc>
          <w:tcPr>
            <w:tcW w:w="1613" w:type="dxa"/>
            <w:noWrap w:val="0"/>
            <w:vAlign w:val="top"/>
          </w:tcPr>
          <w:p w14:paraId="6B8FA101">
            <w:pPr>
              <w:spacing w:line="440" w:lineRule="exact"/>
              <w:jc w:val="center"/>
              <w:rPr>
                <w:rFonts w:ascii="宋体" w:hAnsi="宋体"/>
                <w:color w:val="auto"/>
                <w:sz w:val="21"/>
                <w:szCs w:val="21"/>
                <w:highlight w:val="none"/>
              </w:rPr>
            </w:pPr>
          </w:p>
        </w:tc>
        <w:tc>
          <w:tcPr>
            <w:tcW w:w="2425" w:type="dxa"/>
            <w:noWrap w:val="0"/>
            <w:vAlign w:val="top"/>
          </w:tcPr>
          <w:p w14:paraId="5F79A97C">
            <w:pPr>
              <w:spacing w:line="440" w:lineRule="exact"/>
              <w:jc w:val="center"/>
              <w:rPr>
                <w:rFonts w:ascii="宋体" w:hAnsi="宋体"/>
                <w:color w:val="auto"/>
                <w:sz w:val="21"/>
                <w:szCs w:val="21"/>
                <w:highlight w:val="none"/>
              </w:rPr>
            </w:pPr>
          </w:p>
        </w:tc>
        <w:tc>
          <w:tcPr>
            <w:tcW w:w="1511" w:type="dxa"/>
            <w:noWrap w:val="0"/>
            <w:vAlign w:val="top"/>
          </w:tcPr>
          <w:p w14:paraId="25F2E22A">
            <w:pPr>
              <w:spacing w:line="440" w:lineRule="exact"/>
              <w:jc w:val="center"/>
              <w:rPr>
                <w:rFonts w:ascii="宋体" w:hAnsi="宋体"/>
                <w:color w:val="auto"/>
                <w:sz w:val="21"/>
                <w:szCs w:val="21"/>
                <w:highlight w:val="none"/>
              </w:rPr>
            </w:pPr>
          </w:p>
        </w:tc>
      </w:tr>
      <w:tr w14:paraId="397D3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top"/>
          </w:tcPr>
          <w:p w14:paraId="49AFACA7">
            <w:pPr>
              <w:spacing w:line="440" w:lineRule="exact"/>
              <w:jc w:val="center"/>
              <w:rPr>
                <w:rFonts w:ascii="宋体" w:hAnsi="宋体"/>
                <w:color w:val="auto"/>
                <w:sz w:val="21"/>
                <w:szCs w:val="21"/>
                <w:highlight w:val="none"/>
              </w:rPr>
            </w:pPr>
          </w:p>
        </w:tc>
        <w:tc>
          <w:tcPr>
            <w:tcW w:w="1621" w:type="dxa"/>
            <w:noWrap w:val="0"/>
            <w:vAlign w:val="top"/>
          </w:tcPr>
          <w:p w14:paraId="131DC72A">
            <w:pPr>
              <w:spacing w:line="440" w:lineRule="exact"/>
              <w:jc w:val="center"/>
              <w:rPr>
                <w:rFonts w:ascii="宋体" w:hAnsi="宋体"/>
                <w:color w:val="auto"/>
                <w:sz w:val="21"/>
                <w:szCs w:val="21"/>
                <w:highlight w:val="none"/>
              </w:rPr>
            </w:pPr>
          </w:p>
        </w:tc>
        <w:tc>
          <w:tcPr>
            <w:tcW w:w="1613" w:type="dxa"/>
            <w:noWrap w:val="0"/>
            <w:vAlign w:val="top"/>
          </w:tcPr>
          <w:p w14:paraId="17457104">
            <w:pPr>
              <w:spacing w:line="440" w:lineRule="exact"/>
              <w:jc w:val="center"/>
              <w:rPr>
                <w:rFonts w:ascii="宋体" w:hAnsi="宋体"/>
                <w:color w:val="auto"/>
                <w:sz w:val="21"/>
                <w:szCs w:val="21"/>
                <w:highlight w:val="none"/>
              </w:rPr>
            </w:pPr>
          </w:p>
        </w:tc>
        <w:tc>
          <w:tcPr>
            <w:tcW w:w="2425" w:type="dxa"/>
            <w:noWrap w:val="0"/>
            <w:vAlign w:val="top"/>
          </w:tcPr>
          <w:p w14:paraId="342D36A2">
            <w:pPr>
              <w:spacing w:line="440" w:lineRule="exact"/>
              <w:jc w:val="center"/>
              <w:rPr>
                <w:rFonts w:ascii="宋体" w:hAnsi="宋体"/>
                <w:color w:val="auto"/>
                <w:sz w:val="21"/>
                <w:szCs w:val="21"/>
                <w:highlight w:val="none"/>
              </w:rPr>
            </w:pPr>
          </w:p>
        </w:tc>
        <w:tc>
          <w:tcPr>
            <w:tcW w:w="1511" w:type="dxa"/>
            <w:noWrap w:val="0"/>
            <w:vAlign w:val="top"/>
          </w:tcPr>
          <w:p w14:paraId="749230FC">
            <w:pPr>
              <w:spacing w:line="440" w:lineRule="exact"/>
              <w:jc w:val="center"/>
              <w:rPr>
                <w:rFonts w:ascii="宋体" w:hAnsi="宋体"/>
                <w:color w:val="auto"/>
                <w:sz w:val="21"/>
                <w:szCs w:val="21"/>
                <w:highlight w:val="none"/>
              </w:rPr>
            </w:pPr>
          </w:p>
        </w:tc>
      </w:tr>
      <w:tr w14:paraId="6383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top"/>
          </w:tcPr>
          <w:p w14:paraId="630D8FB9">
            <w:pPr>
              <w:spacing w:line="440" w:lineRule="exact"/>
              <w:jc w:val="center"/>
              <w:rPr>
                <w:rFonts w:ascii="宋体" w:hAnsi="宋体"/>
                <w:color w:val="auto"/>
                <w:sz w:val="21"/>
                <w:szCs w:val="21"/>
                <w:highlight w:val="none"/>
              </w:rPr>
            </w:pPr>
          </w:p>
        </w:tc>
        <w:tc>
          <w:tcPr>
            <w:tcW w:w="1621" w:type="dxa"/>
            <w:noWrap w:val="0"/>
            <w:vAlign w:val="top"/>
          </w:tcPr>
          <w:p w14:paraId="786A87B4">
            <w:pPr>
              <w:spacing w:line="440" w:lineRule="exact"/>
              <w:jc w:val="center"/>
              <w:rPr>
                <w:rFonts w:ascii="宋体" w:hAnsi="宋体"/>
                <w:color w:val="auto"/>
                <w:sz w:val="21"/>
                <w:szCs w:val="21"/>
                <w:highlight w:val="none"/>
              </w:rPr>
            </w:pPr>
          </w:p>
        </w:tc>
        <w:tc>
          <w:tcPr>
            <w:tcW w:w="1613" w:type="dxa"/>
            <w:noWrap w:val="0"/>
            <w:vAlign w:val="top"/>
          </w:tcPr>
          <w:p w14:paraId="1BE345BC">
            <w:pPr>
              <w:spacing w:line="440" w:lineRule="exact"/>
              <w:jc w:val="center"/>
              <w:rPr>
                <w:rFonts w:ascii="宋体" w:hAnsi="宋体"/>
                <w:color w:val="auto"/>
                <w:sz w:val="21"/>
                <w:szCs w:val="21"/>
                <w:highlight w:val="none"/>
              </w:rPr>
            </w:pPr>
          </w:p>
        </w:tc>
        <w:tc>
          <w:tcPr>
            <w:tcW w:w="2425" w:type="dxa"/>
            <w:noWrap w:val="0"/>
            <w:vAlign w:val="top"/>
          </w:tcPr>
          <w:p w14:paraId="6C78FBE1">
            <w:pPr>
              <w:spacing w:line="440" w:lineRule="exact"/>
              <w:jc w:val="center"/>
              <w:rPr>
                <w:rFonts w:ascii="宋体" w:hAnsi="宋体"/>
                <w:color w:val="auto"/>
                <w:sz w:val="21"/>
                <w:szCs w:val="21"/>
                <w:highlight w:val="none"/>
              </w:rPr>
            </w:pPr>
          </w:p>
        </w:tc>
        <w:tc>
          <w:tcPr>
            <w:tcW w:w="1511" w:type="dxa"/>
            <w:noWrap w:val="0"/>
            <w:vAlign w:val="top"/>
          </w:tcPr>
          <w:p w14:paraId="6AEF6FB1">
            <w:pPr>
              <w:spacing w:line="440" w:lineRule="exact"/>
              <w:jc w:val="center"/>
              <w:rPr>
                <w:rFonts w:ascii="宋体" w:hAnsi="宋体"/>
                <w:color w:val="auto"/>
                <w:sz w:val="21"/>
                <w:szCs w:val="21"/>
                <w:highlight w:val="none"/>
              </w:rPr>
            </w:pPr>
          </w:p>
        </w:tc>
      </w:tr>
      <w:tr w14:paraId="5B736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top"/>
          </w:tcPr>
          <w:p w14:paraId="37A13A66">
            <w:pPr>
              <w:spacing w:line="440" w:lineRule="exact"/>
              <w:jc w:val="center"/>
              <w:rPr>
                <w:rFonts w:ascii="宋体" w:hAnsi="宋体"/>
                <w:color w:val="auto"/>
                <w:sz w:val="21"/>
                <w:szCs w:val="21"/>
                <w:highlight w:val="none"/>
              </w:rPr>
            </w:pPr>
          </w:p>
        </w:tc>
        <w:tc>
          <w:tcPr>
            <w:tcW w:w="1621" w:type="dxa"/>
            <w:noWrap w:val="0"/>
            <w:vAlign w:val="top"/>
          </w:tcPr>
          <w:p w14:paraId="4F800701">
            <w:pPr>
              <w:spacing w:line="440" w:lineRule="exact"/>
              <w:jc w:val="center"/>
              <w:rPr>
                <w:rFonts w:ascii="宋体" w:hAnsi="宋体"/>
                <w:color w:val="auto"/>
                <w:sz w:val="21"/>
                <w:szCs w:val="21"/>
                <w:highlight w:val="none"/>
              </w:rPr>
            </w:pPr>
          </w:p>
        </w:tc>
        <w:tc>
          <w:tcPr>
            <w:tcW w:w="1613" w:type="dxa"/>
            <w:noWrap w:val="0"/>
            <w:vAlign w:val="top"/>
          </w:tcPr>
          <w:p w14:paraId="7A2FAE3E">
            <w:pPr>
              <w:spacing w:line="440" w:lineRule="exact"/>
              <w:jc w:val="center"/>
              <w:rPr>
                <w:rFonts w:ascii="宋体" w:hAnsi="宋体"/>
                <w:color w:val="auto"/>
                <w:sz w:val="21"/>
                <w:szCs w:val="21"/>
                <w:highlight w:val="none"/>
              </w:rPr>
            </w:pPr>
          </w:p>
        </w:tc>
        <w:tc>
          <w:tcPr>
            <w:tcW w:w="2425" w:type="dxa"/>
            <w:noWrap w:val="0"/>
            <w:vAlign w:val="top"/>
          </w:tcPr>
          <w:p w14:paraId="68A81F22">
            <w:pPr>
              <w:spacing w:line="440" w:lineRule="exact"/>
              <w:jc w:val="center"/>
              <w:rPr>
                <w:rFonts w:ascii="宋体" w:hAnsi="宋体"/>
                <w:color w:val="auto"/>
                <w:sz w:val="21"/>
                <w:szCs w:val="21"/>
                <w:highlight w:val="none"/>
              </w:rPr>
            </w:pPr>
          </w:p>
        </w:tc>
        <w:tc>
          <w:tcPr>
            <w:tcW w:w="1511" w:type="dxa"/>
            <w:noWrap w:val="0"/>
            <w:vAlign w:val="top"/>
          </w:tcPr>
          <w:p w14:paraId="6FD47C18">
            <w:pPr>
              <w:spacing w:line="440" w:lineRule="exact"/>
              <w:jc w:val="center"/>
              <w:rPr>
                <w:rFonts w:ascii="宋体" w:hAnsi="宋体"/>
                <w:color w:val="auto"/>
                <w:sz w:val="21"/>
                <w:szCs w:val="21"/>
                <w:highlight w:val="none"/>
              </w:rPr>
            </w:pPr>
          </w:p>
        </w:tc>
      </w:tr>
      <w:tr w14:paraId="6EAE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top"/>
          </w:tcPr>
          <w:p w14:paraId="459B2537">
            <w:pPr>
              <w:spacing w:line="440" w:lineRule="exact"/>
              <w:jc w:val="center"/>
              <w:rPr>
                <w:rFonts w:ascii="宋体" w:hAnsi="宋体"/>
                <w:color w:val="auto"/>
                <w:sz w:val="21"/>
                <w:szCs w:val="21"/>
                <w:highlight w:val="none"/>
              </w:rPr>
            </w:pPr>
          </w:p>
        </w:tc>
        <w:tc>
          <w:tcPr>
            <w:tcW w:w="1621" w:type="dxa"/>
            <w:noWrap w:val="0"/>
            <w:vAlign w:val="top"/>
          </w:tcPr>
          <w:p w14:paraId="0B46D8DD">
            <w:pPr>
              <w:spacing w:line="440" w:lineRule="exact"/>
              <w:jc w:val="center"/>
              <w:rPr>
                <w:rFonts w:ascii="宋体" w:hAnsi="宋体"/>
                <w:color w:val="auto"/>
                <w:sz w:val="21"/>
                <w:szCs w:val="21"/>
                <w:highlight w:val="none"/>
              </w:rPr>
            </w:pPr>
          </w:p>
        </w:tc>
        <w:tc>
          <w:tcPr>
            <w:tcW w:w="1613" w:type="dxa"/>
            <w:noWrap w:val="0"/>
            <w:vAlign w:val="top"/>
          </w:tcPr>
          <w:p w14:paraId="72F43755">
            <w:pPr>
              <w:spacing w:line="440" w:lineRule="exact"/>
              <w:jc w:val="center"/>
              <w:rPr>
                <w:rFonts w:ascii="宋体" w:hAnsi="宋体"/>
                <w:color w:val="auto"/>
                <w:sz w:val="21"/>
                <w:szCs w:val="21"/>
                <w:highlight w:val="none"/>
              </w:rPr>
            </w:pPr>
          </w:p>
        </w:tc>
        <w:tc>
          <w:tcPr>
            <w:tcW w:w="2425" w:type="dxa"/>
            <w:noWrap w:val="0"/>
            <w:vAlign w:val="top"/>
          </w:tcPr>
          <w:p w14:paraId="107DFE4E">
            <w:pPr>
              <w:spacing w:line="440" w:lineRule="exact"/>
              <w:jc w:val="center"/>
              <w:rPr>
                <w:rFonts w:ascii="宋体" w:hAnsi="宋体"/>
                <w:color w:val="auto"/>
                <w:sz w:val="21"/>
                <w:szCs w:val="21"/>
                <w:highlight w:val="none"/>
              </w:rPr>
            </w:pPr>
          </w:p>
        </w:tc>
        <w:tc>
          <w:tcPr>
            <w:tcW w:w="1511" w:type="dxa"/>
            <w:noWrap w:val="0"/>
            <w:vAlign w:val="top"/>
          </w:tcPr>
          <w:p w14:paraId="1ECEB257">
            <w:pPr>
              <w:spacing w:line="440" w:lineRule="exact"/>
              <w:jc w:val="center"/>
              <w:rPr>
                <w:rFonts w:ascii="宋体" w:hAnsi="宋体"/>
                <w:color w:val="auto"/>
                <w:sz w:val="21"/>
                <w:szCs w:val="21"/>
                <w:highlight w:val="none"/>
              </w:rPr>
            </w:pPr>
          </w:p>
        </w:tc>
      </w:tr>
      <w:tr w14:paraId="16F65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top"/>
          </w:tcPr>
          <w:p w14:paraId="327623C5">
            <w:pPr>
              <w:spacing w:line="440" w:lineRule="exact"/>
              <w:jc w:val="center"/>
              <w:rPr>
                <w:rFonts w:ascii="宋体" w:hAnsi="宋体"/>
                <w:color w:val="auto"/>
                <w:sz w:val="21"/>
                <w:szCs w:val="21"/>
                <w:highlight w:val="none"/>
              </w:rPr>
            </w:pPr>
          </w:p>
        </w:tc>
        <w:tc>
          <w:tcPr>
            <w:tcW w:w="1621" w:type="dxa"/>
            <w:noWrap w:val="0"/>
            <w:vAlign w:val="top"/>
          </w:tcPr>
          <w:p w14:paraId="5803DD12">
            <w:pPr>
              <w:spacing w:line="440" w:lineRule="exact"/>
              <w:jc w:val="center"/>
              <w:rPr>
                <w:rFonts w:ascii="宋体" w:hAnsi="宋体"/>
                <w:color w:val="auto"/>
                <w:sz w:val="21"/>
                <w:szCs w:val="21"/>
                <w:highlight w:val="none"/>
              </w:rPr>
            </w:pPr>
          </w:p>
        </w:tc>
        <w:tc>
          <w:tcPr>
            <w:tcW w:w="1613" w:type="dxa"/>
            <w:noWrap w:val="0"/>
            <w:vAlign w:val="top"/>
          </w:tcPr>
          <w:p w14:paraId="6419A1FB">
            <w:pPr>
              <w:spacing w:line="440" w:lineRule="exact"/>
              <w:jc w:val="center"/>
              <w:rPr>
                <w:rFonts w:ascii="宋体" w:hAnsi="宋体"/>
                <w:color w:val="auto"/>
                <w:sz w:val="21"/>
                <w:szCs w:val="21"/>
                <w:highlight w:val="none"/>
              </w:rPr>
            </w:pPr>
          </w:p>
        </w:tc>
        <w:tc>
          <w:tcPr>
            <w:tcW w:w="2425" w:type="dxa"/>
            <w:noWrap w:val="0"/>
            <w:vAlign w:val="top"/>
          </w:tcPr>
          <w:p w14:paraId="279188D7">
            <w:pPr>
              <w:spacing w:line="440" w:lineRule="exact"/>
              <w:jc w:val="center"/>
              <w:rPr>
                <w:rFonts w:ascii="宋体" w:hAnsi="宋体"/>
                <w:color w:val="auto"/>
                <w:sz w:val="21"/>
                <w:szCs w:val="21"/>
                <w:highlight w:val="none"/>
              </w:rPr>
            </w:pPr>
          </w:p>
        </w:tc>
        <w:tc>
          <w:tcPr>
            <w:tcW w:w="1511" w:type="dxa"/>
            <w:noWrap w:val="0"/>
            <w:vAlign w:val="top"/>
          </w:tcPr>
          <w:p w14:paraId="1208C684">
            <w:pPr>
              <w:spacing w:line="440" w:lineRule="exact"/>
              <w:jc w:val="center"/>
              <w:rPr>
                <w:rFonts w:ascii="宋体" w:hAnsi="宋体"/>
                <w:color w:val="auto"/>
                <w:sz w:val="21"/>
                <w:szCs w:val="21"/>
                <w:highlight w:val="none"/>
              </w:rPr>
            </w:pPr>
          </w:p>
        </w:tc>
      </w:tr>
      <w:tr w14:paraId="5C23D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top"/>
          </w:tcPr>
          <w:p w14:paraId="1758A1C8">
            <w:pPr>
              <w:spacing w:line="440" w:lineRule="exact"/>
              <w:jc w:val="center"/>
              <w:rPr>
                <w:rFonts w:ascii="宋体" w:hAnsi="宋体"/>
                <w:color w:val="auto"/>
                <w:sz w:val="21"/>
                <w:szCs w:val="21"/>
                <w:highlight w:val="none"/>
              </w:rPr>
            </w:pPr>
          </w:p>
        </w:tc>
        <w:tc>
          <w:tcPr>
            <w:tcW w:w="1621" w:type="dxa"/>
            <w:noWrap w:val="0"/>
            <w:vAlign w:val="top"/>
          </w:tcPr>
          <w:p w14:paraId="7B819821">
            <w:pPr>
              <w:spacing w:line="440" w:lineRule="exact"/>
              <w:jc w:val="center"/>
              <w:rPr>
                <w:rFonts w:ascii="宋体" w:hAnsi="宋体"/>
                <w:color w:val="auto"/>
                <w:sz w:val="21"/>
                <w:szCs w:val="21"/>
                <w:highlight w:val="none"/>
              </w:rPr>
            </w:pPr>
          </w:p>
        </w:tc>
        <w:tc>
          <w:tcPr>
            <w:tcW w:w="1613" w:type="dxa"/>
            <w:noWrap w:val="0"/>
            <w:vAlign w:val="top"/>
          </w:tcPr>
          <w:p w14:paraId="0A580B3A">
            <w:pPr>
              <w:spacing w:line="440" w:lineRule="exact"/>
              <w:jc w:val="center"/>
              <w:rPr>
                <w:rFonts w:ascii="宋体" w:hAnsi="宋体"/>
                <w:color w:val="auto"/>
                <w:sz w:val="21"/>
                <w:szCs w:val="21"/>
                <w:highlight w:val="none"/>
              </w:rPr>
            </w:pPr>
          </w:p>
        </w:tc>
        <w:tc>
          <w:tcPr>
            <w:tcW w:w="2425" w:type="dxa"/>
            <w:noWrap w:val="0"/>
            <w:vAlign w:val="top"/>
          </w:tcPr>
          <w:p w14:paraId="4CDA38BE">
            <w:pPr>
              <w:spacing w:line="440" w:lineRule="exact"/>
              <w:jc w:val="center"/>
              <w:rPr>
                <w:rFonts w:ascii="宋体" w:hAnsi="宋体"/>
                <w:color w:val="auto"/>
                <w:sz w:val="21"/>
                <w:szCs w:val="21"/>
                <w:highlight w:val="none"/>
              </w:rPr>
            </w:pPr>
          </w:p>
        </w:tc>
        <w:tc>
          <w:tcPr>
            <w:tcW w:w="1511" w:type="dxa"/>
            <w:noWrap w:val="0"/>
            <w:vAlign w:val="top"/>
          </w:tcPr>
          <w:p w14:paraId="58CE44CE">
            <w:pPr>
              <w:spacing w:line="440" w:lineRule="exact"/>
              <w:jc w:val="center"/>
              <w:rPr>
                <w:rFonts w:ascii="宋体" w:hAnsi="宋体"/>
                <w:color w:val="auto"/>
                <w:sz w:val="21"/>
                <w:szCs w:val="21"/>
                <w:highlight w:val="none"/>
              </w:rPr>
            </w:pPr>
          </w:p>
        </w:tc>
      </w:tr>
      <w:tr w14:paraId="2620E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448" w:type="dxa"/>
            <w:noWrap w:val="0"/>
            <w:vAlign w:val="top"/>
          </w:tcPr>
          <w:p w14:paraId="6E4F6338">
            <w:pPr>
              <w:spacing w:line="440" w:lineRule="exact"/>
              <w:jc w:val="center"/>
              <w:rPr>
                <w:rFonts w:ascii="宋体" w:hAnsi="宋体"/>
                <w:color w:val="auto"/>
                <w:sz w:val="21"/>
                <w:szCs w:val="21"/>
                <w:highlight w:val="none"/>
              </w:rPr>
            </w:pPr>
          </w:p>
        </w:tc>
        <w:tc>
          <w:tcPr>
            <w:tcW w:w="1621" w:type="dxa"/>
            <w:noWrap w:val="0"/>
            <w:vAlign w:val="top"/>
          </w:tcPr>
          <w:p w14:paraId="54539753">
            <w:pPr>
              <w:spacing w:line="440" w:lineRule="exact"/>
              <w:jc w:val="center"/>
              <w:rPr>
                <w:rFonts w:ascii="宋体" w:hAnsi="宋体"/>
                <w:color w:val="auto"/>
                <w:sz w:val="21"/>
                <w:szCs w:val="21"/>
                <w:highlight w:val="none"/>
              </w:rPr>
            </w:pPr>
          </w:p>
        </w:tc>
        <w:tc>
          <w:tcPr>
            <w:tcW w:w="1613" w:type="dxa"/>
            <w:noWrap w:val="0"/>
            <w:vAlign w:val="top"/>
          </w:tcPr>
          <w:p w14:paraId="106354C3">
            <w:pPr>
              <w:spacing w:line="440" w:lineRule="exact"/>
              <w:jc w:val="center"/>
              <w:rPr>
                <w:rFonts w:ascii="宋体" w:hAnsi="宋体"/>
                <w:color w:val="auto"/>
                <w:sz w:val="21"/>
                <w:szCs w:val="21"/>
                <w:highlight w:val="none"/>
              </w:rPr>
            </w:pPr>
          </w:p>
        </w:tc>
        <w:tc>
          <w:tcPr>
            <w:tcW w:w="2425" w:type="dxa"/>
            <w:noWrap w:val="0"/>
            <w:vAlign w:val="top"/>
          </w:tcPr>
          <w:p w14:paraId="3F059FAA">
            <w:pPr>
              <w:spacing w:line="440" w:lineRule="exact"/>
              <w:jc w:val="center"/>
              <w:rPr>
                <w:rFonts w:ascii="宋体" w:hAnsi="宋体"/>
                <w:color w:val="auto"/>
                <w:sz w:val="21"/>
                <w:szCs w:val="21"/>
                <w:highlight w:val="none"/>
              </w:rPr>
            </w:pPr>
          </w:p>
        </w:tc>
        <w:tc>
          <w:tcPr>
            <w:tcW w:w="1511" w:type="dxa"/>
            <w:noWrap w:val="0"/>
            <w:vAlign w:val="top"/>
          </w:tcPr>
          <w:p w14:paraId="06F69F42">
            <w:pPr>
              <w:spacing w:line="440" w:lineRule="exact"/>
              <w:jc w:val="center"/>
              <w:rPr>
                <w:rFonts w:ascii="宋体" w:hAnsi="宋体"/>
                <w:color w:val="auto"/>
                <w:sz w:val="21"/>
                <w:szCs w:val="21"/>
                <w:highlight w:val="none"/>
              </w:rPr>
            </w:pPr>
          </w:p>
        </w:tc>
      </w:tr>
      <w:tr w14:paraId="53BA6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448" w:type="dxa"/>
            <w:noWrap w:val="0"/>
            <w:vAlign w:val="top"/>
          </w:tcPr>
          <w:p w14:paraId="619ADA6D">
            <w:pPr>
              <w:spacing w:line="440" w:lineRule="exact"/>
              <w:jc w:val="center"/>
              <w:rPr>
                <w:rFonts w:ascii="宋体" w:hAnsi="宋体"/>
                <w:color w:val="auto"/>
                <w:sz w:val="21"/>
                <w:szCs w:val="21"/>
                <w:highlight w:val="none"/>
              </w:rPr>
            </w:pPr>
          </w:p>
        </w:tc>
        <w:tc>
          <w:tcPr>
            <w:tcW w:w="1621" w:type="dxa"/>
            <w:noWrap w:val="0"/>
            <w:vAlign w:val="top"/>
          </w:tcPr>
          <w:p w14:paraId="676AE746">
            <w:pPr>
              <w:spacing w:line="440" w:lineRule="exact"/>
              <w:jc w:val="center"/>
              <w:rPr>
                <w:rFonts w:ascii="宋体" w:hAnsi="宋体"/>
                <w:color w:val="auto"/>
                <w:sz w:val="21"/>
                <w:szCs w:val="21"/>
                <w:highlight w:val="none"/>
              </w:rPr>
            </w:pPr>
          </w:p>
        </w:tc>
        <w:tc>
          <w:tcPr>
            <w:tcW w:w="1613" w:type="dxa"/>
            <w:noWrap w:val="0"/>
            <w:vAlign w:val="top"/>
          </w:tcPr>
          <w:p w14:paraId="37DD88B5">
            <w:pPr>
              <w:spacing w:line="440" w:lineRule="exact"/>
              <w:jc w:val="center"/>
              <w:rPr>
                <w:rFonts w:ascii="宋体" w:hAnsi="宋体"/>
                <w:color w:val="auto"/>
                <w:sz w:val="21"/>
                <w:szCs w:val="21"/>
                <w:highlight w:val="none"/>
              </w:rPr>
            </w:pPr>
          </w:p>
        </w:tc>
        <w:tc>
          <w:tcPr>
            <w:tcW w:w="2425" w:type="dxa"/>
            <w:noWrap w:val="0"/>
            <w:vAlign w:val="top"/>
          </w:tcPr>
          <w:p w14:paraId="7ECF5856">
            <w:pPr>
              <w:spacing w:line="440" w:lineRule="exact"/>
              <w:jc w:val="center"/>
              <w:rPr>
                <w:rFonts w:ascii="宋体" w:hAnsi="宋体"/>
                <w:color w:val="auto"/>
                <w:sz w:val="21"/>
                <w:szCs w:val="21"/>
                <w:highlight w:val="none"/>
              </w:rPr>
            </w:pPr>
          </w:p>
        </w:tc>
        <w:tc>
          <w:tcPr>
            <w:tcW w:w="1511" w:type="dxa"/>
            <w:noWrap w:val="0"/>
            <w:vAlign w:val="top"/>
          </w:tcPr>
          <w:p w14:paraId="13EA1C64">
            <w:pPr>
              <w:spacing w:line="440" w:lineRule="exact"/>
              <w:jc w:val="center"/>
              <w:rPr>
                <w:rFonts w:ascii="宋体" w:hAnsi="宋体"/>
                <w:color w:val="auto"/>
                <w:sz w:val="21"/>
                <w:szCs w:val="21"/>
                <w:highlight w:val="none"/>
              </w:rPr>
            </w:pPr>
          </w:p>
        </w:tc>
      </w:tr>
    </w:tbl>
    <w:p w14:paraId="19E9A243">
      <w:pPr>
        <w:spacing w:line="440" w:lineRule="exact"/>
        <w:ind w:left="210" w:leftChars="100"/>
        <w:jc w:val="center"/>
        <w:rPr>
          <w:rFonts w:ascii="宋体" w:hAnsi="宋体"/>
          <w:color w:val="auto"/>
          <w:sz w:val="20"/>
          <w:szCs w:val="20"/>
          <w:highlight w:val="none"/>
        </w:rPr>
      </w:pPr>
    </w:p>
    <w:p w14:paraId="6A26B962">
      <w:pPr>
        <w:snapToGrid w:val="0"/>
        <w:spacing w:line="440" w:lineRule="exact"/>
        <w:ind w:firstLine="420" w:firstLineChars="200"/>
        <w:rPr>
          <w:rFonts w:ascii="宋体" w:hAnsi="宋体" w:eastAsia="宋体"/>
          <w:color w:val="auto"/>
          <w:szCs w:val="21"/>
          <w:highlight w:val="none"/>
        </w:rPr>
      </w:pPr>
    </w:p>
    <w:p w14:paraId="5CBE8A82">
      <w:pPr>
        <w:spacing w:line="360" w:lineRule="auto"/>
        <w:ind w:right="169"/>
        <w:jc w:val="right"/>
        <w:rPr>
          <w:rFonts w:hint="eastAsia"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供应商：</w:t>
      </w:r>
      <w:r>
        <w:rPr>
          <w:rFonts w:hint="eastAsia" w:cs="仿宋_GB2312"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电子签章</w:t>
      </w:r>
      <w:r>
        <w:rPr>
          <w:rFonts w:hint="eastAsia" w:cs="仿宋_GB2312" w:asciiTheme="minorEastAsia" w:hAnsiTheme="minorEastAsia" w:eastAsiaTheme="minorEastAsia"/>
          <w:color w:val="auto"/>
          <w:szCs w:val="21"/>
          <w:highlight w:val="none"/>
          <w:u w:val="single"/>
        </w:rPr>
        <w:t>）</w:t>
      </w:r>
    </w:p>
    <w:p w14:paraId="1DAB1246">
      <w:pPr>
        <w:spacing w:before="60" w:after="60" w:line="360" w:lineRule="auto"/>
        <w:ind w:right="420" w:firstLine="5250" w:firstLineChars="2500"/>
        <w:jc w:val="righ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rPr>
        <w:t>日 期：</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25A67A9C">
      <w:pPr>
        <w:jc w:val="right"/>
        <w:rPr>
          <w:rFonts w:hint="eastAsia"/>
          <w:highlight w:val="none"/>
        </w:rPr>
      </w:pPr>
      <w:r>
        <w:rPr>
          <w:rFonts w:hint="eastAsia"/>
          <w:highlight w:val="none"/>
        </w:rPr>
        <w:br w:type="page"/>
      </w:r>
    </w:p>
    <w:p w14:paraId="0377CBD2">
      <w:pPr>
        <w:spacing w:line="360" w:lineRule="auto"/>
        <w:jc w:val="center"/>
        <w:outlineLvl w:val="2"/>
        <w:rPr>
          <w:rFonts w:hint="default" w:cs="Times New Roman" w:asciiTheme="minorEastAsia" w:hAnsiTheme="minorEastAsia" w:eastAsiaTheme="minorEastAsia"/>
          <w:b/>
          <w:color w:val="auto"/>
          <w:sz w:val="28"/>
          <w:szCs w:val="28"/>
          <w:highlight w:val="none"/>
          <w:lang w:val="en-US" w:eastAsia="zh-CN"/>
        </w:rPr>
      </w:pPr>
      <w:bookmarkStart w:id="1214" w:name="_Toc30698"/>
      <w:r>
        <w:rPr>
          <w:rFonts w:hint="eastAsia" w:cs="Times New Roman" w:asciiTheme="minorEastAsia" w:hAnsiTheme="minorEastAsia" w:eastAsiaTheme="minorEastAsia"/>
          <w:b/>
          <w:color w:val="auto"/>
          <w:sz w:val="28"/>
          <w:szCs w:val="28"/>
          <w:highlight w:val="none"/>
          <w:lang w:val="en-US" w:eastAsia="zh-CN"/>
        </w:rPr>
        <w:t>（八）</w:t>
      </w:r>
      <w:r>
        <w:rPr>
          <w:rFonts w:hint="eastAsia" w:cs="Times New Roman" w:asciiTheme="minorEastAsia" w:hAnsiTheme="minorEastAsia" w:eastAsiaTheme="minorEastAsia"/>
          <w:b/>
          <w:color w:val="auto"/>
          <w:sz w:val="28"/>
          <w:szCs w:val="28"/>
          <w:highlight w:val="none"/>
          <w:lang w:eastAsia="zh-CN"/>
        </w:rPr>
        <w:t>类似项目</w:t>
      </w:r>
      <w:r>
        <w:rPr>
          <w:rFonts w:hint="eastAsia" w:cs="Times New Roman" w:asciiTheme="minorEastAsia" w:hAnsiTheme="minorEastAsia" w:eastAsiaTheme="minorEastAsia"/>
          <w:b/>
          <w:color w:val="auto"/>
          <w:sz w:val="28"/>
          <w:szCs w:val="28"/>
          <w:highlight w:val="none"/>
          <w:lang w:val="en-US" w:eastAsia="zh-CN"/>
        </w:rPr>
        <w:t>实施经验</w:t>
      </w:r>
      <w:bookmarkEnd w:id="1214"/>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5"/>
        <w:gridCol w:w="2266"/>
        <w:gridCol w:w="1352"/>
        <w:gridCol w:w="1898"/>
        <w:gridCol w:w="1554"/>
        <w:gridCol w:w="1133"/>
      </w:tblGrid>
      <w:tr w14:paraId="188B9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055" w:type="dxa"/>
            <w:noWrap w:val="0"/>
            <w:vAlign w:val="center"/>
          </w:tcPr>
          <w:p w14:paraId="01F0979D">
            <w:pPr>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2266" w:type="dxa"/>
            <w:noWrap w:val="0"/>
            <w:vAlign w:val="center"/>
          </w:tcPr>
          <w:p w14:paraId="4C4C66AD">
            <w:pPr>
              <w:jc w:val="center"/>
              <w:rPr>
                <w:rFonts w:ascii="宋体" w:hAnsi="宋体"/>
                <w:b/>
                <w:color w:val="auto"/>
                <w:sz w:val="21"/>
                <w:szCs w:val="21"/>
                <w:highlight w:val="none"/>
              </w:rPr>
            </w:pPr>
            <w:r>
              <w:rPr>
                <w:rFonts w:hint="eastAsia" w:ascii="宋体" w:hAnsi="宋体"/>
                <w:b/>
                <w:color w:val="auto"/>
                <w:sz w:val="21"/>
                <w:szCs w:val="21"/>
                <w:highlight w:val="none"/>
                <w:lang w:val="en-US" w:eastAsia="zh-CN"/>
              </w:rPr>
              <w:t>项目</w:t>
            </w:r>
            <w:r>
              <w:rPr>
                <w:rFonts w:ascii="宋体" w:hAnsi="宋体"/>
                <w:b/>
                <w:color w:val="auto"/>
                <w:sz w:val="21"/>
                <w:szCs w:val="21"/>
                <w:highlight w:val="none"/>
              </w:rPr>
              <w:t>名称</w:t>
            </w:r>
          </w:p>
        </w:tc>
        <w:tc>
          <w:tcPr>
            <w:tcW w:w="1352" w:type="dxa"/>
            <w:noWrap w:val="0"/>
            <w:vAlign w:val="center"/>
          </w:tcPr>
          <w:p w14:paraId="1F26CB31">
            <w:pPr>
              <w:jc w:val="center"/>
              <w:rPr>
                <w:rFonts w:ascii="宋体" w:hAnsi="宋体"/>
                <w:b/>
                <w:color w:val="auto"/>
                <w:sz w:val="21"/>
                <w:szCs w:val="21"/>
                <w:highlight w:val="none"/>
              </w:rPr>
            </w:pPr>
            <w:r>
              <w:rPr>
                <w:rFonts w:hint="eastAsia" w:ascii="宋体" w:hAnsi="宋体"/>
                <w:b/>
                <w:color w:val="auto"/>
                <w:sz w:val="21"/>
                <w:szCs w:val="21"/>
                <w:highlight w:val="none"/>
                <w:lang w:val="en-US" w:eastAsia="zh-CN"/>
              </w:rPr>
              <w:t>项目</w:t>
            </w:r>
            <w:r>
              <w:rPr>
                <w:rFonts w:hint="eastAsia" w:ascii="宋体" w:hAnsi="宋体"/>
                <w:b/>
                <w:color w:val="auto"/>
                <w:sz w:val="21"/>
                <w:szCs w:val="21"/>
                <w:highlight w:val="none"/>
              </w:rPr>
              <w:t>总价</w:t>
            </w:r>
          </w:p>
        </w:tc>
        <w:tc>
          <w:tcPr>
            <w:tcW w:w="1898" w:type="dxa"/>
            <w:noWrap w:val="0"/>
            <w:vAlign w:val="center"/>
          </w:tcPr>
          <w:p w14:paraId="2855578F">
            <w:pPr>
              <w:jc w:val="center"/>
              <w:rPr>
                <w:rFonts w:ascii="宋体" w:hAnsi="宋体"/>
                <w:b/>
                <w:color w:val="auto"/>
                <w:sz w:val="21"/>
                <w:szCs w:val="21"/>
                <w:highlight w:val="none"/>
              </w:rPr>
            </w:pPr>
            <w:r>
              <w:rPr>
                <w:rFonts w:hint="eastAsia" w:ascii="宋体" w:hAnsi="宋体"/>
                <w:b/>
                <w:color w:val="auto"/>
                <w:sz w:val="21"/>
                <w:szCs w:val="21"/>
                <w:highlight w:val="none"/>
                <w:lang w:val="en-US" w:eastAsia="zh-CN"/>
              </w:rPr>
              <w:t>采购</w:t>
            </w:r>
            <w:r>
              <w:rPr>
                <w:rFonts w:hint="eastAsia" w:ascii="宋体" w:hAnsi="宋体"/>
                <w:b/>
                <w:color w:val="auto"/>
                <w:sz w:val="21"/>
                <w:szCs w:val="21"/>
                <w:highlight w:val="none"/>
              </w:rPr>
              <w:t>单位名称</w:t>
            </w:r>
          </w:p>
        </w:tc>
        <w:tc>
          <w:tcPr>
            <w:tcW w:w="1554" w:type="dxa"/>
            <w:noWrap w:val="0"/>
            <w:vAlign w:val="center"/>
          </w:tcPr>
          <w:p w14:paraId="52FD642A">
            <w:pPr>
              <w:jc w:val="center"/>
              <w:rPr>
                <w:rFonts w:ascii="宋体" w:hAnsi="宋体"/>
                <w:b/>
                <w:color w:val="auto"/>
                <w:sz w:val="21"/>
                <w:szCs w:val="21"/>
                <w:highlight w:val="none"/>
              </w:rPr>
            </w:pPr>
            <w:r>
              <w:rPr>
                <w:rFonts w:hint="eastAsia" w:ascii="宋体" w:hAnsi="宋体"/>
                <w:b/>
                <w:color w:val="auto"/>
                <w:sz w:val="21"/>
                <w:szCs w:val="21"/>
                <w:highlight w:val="none"/>
              </w:rPr>
              <w:t>签订合同时间</w:t>
            </w:r>
          </w:p>
        </w:tc>
        <w:tc>
          <w:tcPr>
            <w:tcW w:w="1133" w:type="dxa"/>
            <w:noWrap w:val="0"/>
            <w:vAlign w:val="center"/>
          </w:tcPr>
          <w:p w14:paraId="6F181279">
            <w:pPr>
              <w:jc w:val="center"/>
              <w:rPr>
                <w:rFonts w:ascii="宋体" w:hAnsi="宋体"/>
                <w:b/>
                <w:color w:val="auto"/>
                <w:sz w:val="21"/>
                <w:szCs w:val="21"/>
                <w:highlight w:val="none"/>
              </w:rPr>
            </w:pPr>
            <w:r>
              <w:rPr>
                <w:rFonts w:ascii="宋体" w:hAnsi="宋体"/>
                <w:b/>
                <w:color w:val="auto"/>
                <w:sz w:val="21"/>
                <w:szCs w:val="21"/>
                <w:highlight w:val="none"/>
              </w:rPr>
              <w:t>备注</w:t>
            </w:r>
          </w:p>
        </w:tc>
      </w:tr>
      <w:tr w14:paraId="655AF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1055" w:type="dxa"/>
            <w:noWrap w:val="0"/>
            <w:vAlign w:val="center"/>
          </w:tcPr>
          <w:p w14:paraId="7720E1BE">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266" w:type="dxa"/>
            <w:noWrap w:val="0"/>
            <w:vAlign w:val="center"/>
          </w:tcPr>
          <w:p w14:paraId="477B441C">
            <w:pPr>
              <w:jc w:val="center"/>
              <w:rPr>
                <w:rFonts w:ascii="宋体" w:hAnsi="宋体"/>
                <w:color w:val="auto"/>
                <w:sz w:val="21"/>
                <w:szCs w:val="21"/>
                <w:highlight w:val="none"/>
              </w:rPr>
            </w:pPr>
          </w:p>
        </w:tc>
        <w:tc>
          <w:tcPr>
            <w:tcW w:w="1352" w:type="dxa"/>
            <w:noWrap w:val="0"/>
            <w:vAlign w:val="center"/>
          </w:tcPr>
          <w:p w14:paraId="29E8C9EA">
            <w:pPr>
              <w:jc w:val="center"/>
              <w:rPr>
                <w:rFonts w:ascii="宋体" w:hAnsi="宋体"/>
                <w:color w:val="auto"/>
                <w:sz w:val="21"/>
                <w:szCs w:val="21"/>
                <w:highlight w:val="none"/>
              </w:rPr>
            </w:pPr>
          </w:p>
        </w:tc>
        <w:tc>
          <w:tcPr>
            <w:tcW w:w="1898" w:type="dxa"/>
            <w:noWrap w:val="0"/>
            <w:vAlign w:val="center"/>
          </w:tcPr>
          <w:p w14:paraId="2E62A185">
            <w:pPr>
              <w:jc w:val="center"/>
              <w:rPr>
                <w:rFonts w:ascii="宋体" w:hAnsi="宋体"/>
                <w:color w:val="auto"/>
                <w:sz w:val="21"/>
                <w:szCs w:val="21"/>
                <w:highlight w:val="none"/>
              </w:rPr>
            </w:pPr>
          </w:p>
        </w:tc>
        <w:tc>
          <w:tcPr>
            <w:tcW w:w="1554" w:type="dxa"/>
            <w:noWrap w:val="0"/>
            <w:vAlign w:val="center"/>
          </w:tcPr>
          <w:p w14:paraId="034A9173">
            <w:pPr>
              <w:jc w:val="center"/>
              <w:rPr>
                <w:rFonts w:ascii="宋体" w:hAnsi="宋体"/>
                <w:color w:val="auto"/>
                <w:sz w:val="21"/>
                <w:szCs w:val="21"/>
                <w:highlight w:val="none"/>
              </w:rPr>
            </w:pPr>
          </w:p>
        </w:tc>
        <w:tc>
          <w:tcPr>
            <w:tcW w:w="1133" w:type="dxa"/>
            <w:noWrap w:val="0"/>
            <w:vAlign w:val="center"/>
          </w:tcPr>
          <w:p w14:paraId="1ABDA66F">
            <w:pPr>
              <w:jc w:val="center"/>
              <w:rPr>
                <w:rFonts w:ascii="宋体" w:hAnsi="宋体"/>
                <w:color w:val="auto"/>
                <w:sz w:val="21"/>
                <w:szCs w:val="21"/>
                <w:highlight w:val="none"/>
              </w:rPr>
            </w:pPr>
          </w:p>
        </w:tc>
      </w:tr>
      <w:tr w14:paraId="780E1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1055" w:type="dxa"/>
            <w:noWrap w:val="0"/>
            <w:vAlign w:val="center"/>
          </w:tcPr>
          <w:p w14:paraId="7D10C9A7">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266" w:type="dxa"/>
            <w:noWrap w:val="0"/>
            <w:vAlign w:val="center"/>
          </w:tcPr>
          <w:p w14:paraId="6238DA18">
            <w:pPr>
              <w:jc w:val="center"/>
              <w:rPr>
                <w:rFonts w:ascii="宋体" w:hAnsi="宋体"/>
                <w:color w:val="auto"/>
                <w:sz w:val="21"/>
                <w:szCs w:val="21"/>
                <w:highlight w:val="none"/>
              </w:rPr>
            </w:pPr>
          </w:p>
        </w:tc>
        <w:tc>
          <w:tcPr>
            <w:tcW w:w="1352" w:type="dxa"/>
            <w:noWrap w:val="0"/>
            <w:vAlign w:val="center"/>
          </w:tcPr>
          <w:p w14:paraId="66021218">
            <w:pPr>
              <w:jc w:val="center"/>
              <w:rPr>
                <w:rFonts w:ascii="宋体" w:hAnsi="宋体"/>
                <w:color w:val="auto"/>
                <w:sz w:val="21"/>
                <w:szCs w:val="21"/>
                <w:highlight w:val="none"/>
              </w:rPr>
            </w:pPr>
          </w:p>
        </w:tc>
        <w:tc>
          <w:tcPr>
            <w:tcW w:w="1898" w:type="dxa"/>
            <w:noWrap w:val="0"/>
            <w:vAlign w:val="center"/>
          </w:tcPr>
          <w:p w14:paraId="3C758054">
            <w:pPr>
              <w:rPr>
                <w:rFonts w:ascii="宋体" w:hAnsi="宋体"/>
                <w:color w:val="auto"/>
                <w:sz w:val="21"/>
                <w:szCs w:val="21"/>
                <w:highlight w:val="none"/>
              </w:rPr>
            </w:pPr>
            <w:r>
              <w:rPr>
                <w:rFonts w:hint="eastAsia" w:ascii="宋体" w:hAnsi="宋体"/>
                <w:color w:val="auto"/>
                <w:sz w:val="21"/>
                <w:szCs w:val="21"/>
                <w:highlight w:val="none"/>
              </w:rPr>
              <w:t xml:space="preserve">      </w:t>
            </w:r>
          </w:p>
        </w:tc>
        <w:tc>
          <w:tcPr>
            <w:tcW w:w="1554" w:type="dxa"/>
            <w:noWrap w:val="0"/>
            <w:vAlign w:val="center"/>
          </w:tcPr>
          <w:p w14:paraId="642A0165">
            <w:pPr>
              <w:jc w:val="center"/>
              <w:rPr>
                <w:rFonts w:ascii="宋体" w:hAnsi="宋体"/>
                <w:color w:val="auto"/>
                <w:sz w:val="21"/>
                <w:szCs w:val="21"/>
                <w:highlight w:val="none"/>
              </w:rPr>
            </w:pPr>
          </w:p>
        </w:tc>
        <w:tc>
          <w:tcPr>
            <w:tcW w:w="1133" w:type="dxa"/>
            <w:noWrap w:val="0"/>
            <w:vAlign w:val="center"/>
          </w:tcPr>
          <w:p w14:paraId="4C62EFA8">
            <w:pPr>
              <w:jc w:val="center"/>
              <w:rPr>
                <w:rFonts w:ascii="宋体" w:hAnsi="宋体"/>
                <w:color w:val="auto"/>
                <w:sz w:val="21"/>
                <w:szCs w:val="21"/>
                <w:highlight w:val="none"/>
              </w:rPr>
            </w:pPr>
          </w:p>
        </w:tc>
      </w:tr>
      <w:tr w14:paraId="698A5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1055" w:type="dxa"/>
            <w:noWrap w:val="0"/>
            <w:vAlign w:val="center"/>
          </w:tcPr>
          <w:p w14:paraId="097727C7">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266" w:type="dxa"/>
            <w:noWrap w:val="0"/>
            <w:vAlign w:val="center"/>
          </w:tcPr>
          <w:p w14:paraId="570BC727">
            <w:pPr>
              <w:jc w:val="center"/>
              <w:rPr>
                <w:rFonts w:ascii="宋体" w:hAnsi="宋体"/>
                <w:color w:val="auto"/>
                <w:sz w:val="21"/>
                <w:szCs w:val="21"/>
                <w:highlight w:val="none"/>
              </w:rPr>
            </w:pPr>
          </w:p>
        </w:tc>
        <w:tc>
          <w:tcPr>
            <w:tcW w:w="1352" w:type="dxa"/>
            <w:noWrap w:val="0"/>
            <w:vAlign w:val="center"/>
          </w:tcPr>
          <w:p w14:paraId="1405DD3B">
            <w:pPr>
              <w:jc w:val="center"/>
              <w:rPr>
                <w:rFonts w:ascii="宋体" w:hAnsi="宋体"/>
                <w:color w:val="auto"/>
                <w:sz w:val="21"/>
                <w:szCs w:val="21"/>
                <w:highlight w:val="none"/>
              </w:rPr>
            </w:pPr>
          </w:p>
        </w:tc>
        <w:tc>
          <w:tcPr>
            <w:tcW w:w="1898" w:type="dxa"/>
            <w:noWrap w:val="0"/>
            <w:vAlign w:val="center"/>
          </w:tcPr>
          <w:p w14:paraId="4455008D">
            <w:pPr>
              <w:jc w:val="center"/>
              <w:rPr>
                <w:rFonts w:ascii="宋体" w:hAnsi="宋体"/>
                <w:color w:val="auto"/>
                <w:sz w:val="21"/>
                <w:szCs w:val="21"/>
                <w:highlight w:val="none"/>
              </w:rPr>
            </w:pPr>
          </w:p>
        </w:tc>
        <w:tc>
          <w:tcPr>
            <w:tcW w:w="1554" w:type="dxa"/>
            <w:noWrap w:val="0"/>
            <w:vAlign w:val="center"/>
          </w:tcPr>
          <w:p w14:paraId="1C335563">
            <w:pPr>
              <w:jc w:val="center"/>
              <w:rPr>
                <w:rFonts w:ascii="宋体" w:hAnsi="宋体"/>
                <w:color w:val="auto"/>
                <w:sz w:val="21"/>
                <w:szCs w:val="21"/>
                <w:highlight w:val="none"/>
              </w:rPr>
            </w:pPr>
          </w:p>
        </w:tc>
        <w:tc>
          <w:tcPr>
            <w:tcW w:w="1133" w:type="dxa"/>
            <w:noWrap w:val="0"/>
            <w:vAlign w:val="center"/>
          </w:tcPr>
          <w:p w14:paraId="6917C448">
            <w:pPr>
              <w:jc w:val="center"/>
              <w:rPr>
                <w:rFonts w:ascii="宋体" w:hAnsi="宋体"/>
                <w:color w:val="auto"/>
                <w:sz w:val="21"/>
                <w:szCs w:val="21"/>
                <w:highlight w:val="none"/>
              </w:rPr>
            </w:pPr>
          </w:p>
        </w:tc>
      </w:tr>
      <w:tr w14:paraId="59E25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1055" w:type="dxa"/>
            <w:noWrap w:val="0"/>
            <w:vAlign w:val="center"/>
          </w:tcPr>
          <w:p w14:paraId="3B55B150">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266" w:type="dxa"/>
            <w:noWrap w:val="0"/>
            <w:vAlign w:val="center"/>
          </w:tcPr>
          <w:p w14:paraId="22B8DFB1">
            <w:pPr>
              <w:jc w:val="center"/>
              <w:rPr>
                <w:rFonts w:ascii="宋体" w:hAnsi="宋体"/>
                <w:color w:val="auto"/>
                <w:sz w:val="21"/>
                <w:szCs w:val="21"/>
                <w:highlight w:val="none"/>
              </w:rPr>
            </w:pPr>
          </w:p>
        </w:tc>
        <w:tc>
          <w:tcPr>
            <w:tcW w:w="1352" w:type="dxa"/>
            <w:noWrap w:val="0"/>
            <w:vAlign w:val="center"/>
          </w:tcPr>
          <w:p w14:paraId="07C634CB">
            <w:pPr>
              <w:jc w:val="center"/>
              <w:rPr>
                <w:rFonts w:ascii="宋体" w:hAnsi="宋体"/>
                <w:color w:val="auto"/>
                <w:sz w:val="21"/>
                <w:szCs w:val="21"/>
                <w:highlight w:val="none"/>
              </w:rPr>
            </w:pPr>
          </w:p>
        </w:tc>
        <w:tc>
          <w:tcPr>
            <w:tcW w:w="1898" w:type="dxa"/>
            <w:noWrap w:val="0"/>
            <w:vAlign w:val="center"/>
          </w:tcPr>
          <w:p w14:paraId="2610FCF2">
            <w:pPr>
              <w:jc w:val="center"/>
              <w:rPr>
                <w:rFonts w:ascii="宋体" w:hAnsi="宋体"/>
                <w:color w:val="auto"/>
                <w:sz w:val="21"/>
                <w:szCs w:val="21"/>
                <w:highlight w:val="none"/>
              </w:rPr>
            </w:pPr>
          </w:p>
        </w:tc>
        <w:tc>
          <w:tcPr>
            <w:tcW w:w="1554" w:type="dxa"/>
            <w:noWrap w:val="0"/>
            <w:vAlign w:val="center"/>
          </w:tcPr>
          <w:p w14:paraId="4864806F">
            <w:pPr>
              <w:jc w:val="center"/>
              <w:rPr>
                <w:rFonts w:ascii="宋体" w:hAnsi="宋体"/>
                <w:color w:val="auto"/>
                <w:sz w:val="21"/>
                <w:szCs w:val="21"/>
                <w:highlight w:val="none"/>
              </w:rPr>
            </w:pPr>
          </w:p>
        </w:tc>
        <w:tc>
          <w:tcPr>
            <w:tcW w:w="1133" w:type="dxa"/>
            <w:noWrap w:val="0"/>
            <w:vAlign w:val="center"/>
          </w:tcPr>
          <w:p w14:paraId="10EC1D23">
            <w:pPr>
              <w:jc w:val="center"/>
              <w:rPr>
                <w:rFonts w:ascii="宋体" w:hAnsi="宋体"/>
                <w:color w:val="auto"/>
                <w:sz w:val="21"/>
                <w:szCs w:val="21"/>
                <w:highlight w:val="none"/>
              </w:rPr>
            </w:pPr>
          </w:p>
        </w:tc>
      </w:tr>
      <w:tr w14:paraId="48E78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1055" w:type="dxa"/>
            <w:noWrap w:val="0"/>
            <w:vAlign w:val="center"/>
          </w:tcPr>
          <w:p w14:paraId="3A3B2405">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266" w:type="dxa"/>
            <w:noWrap w:val="0"/>
            <w:vAlign w:val="center"/>
          </w:tcPr>
          <w:p w14:paraId="3EFDD97A">
            <w:pPr>
              <w:jc w:val="center"/>
              <w:rPr>
                <w:rFonts w:ascii="宋体" w:hAnsi="宋体"/>
                <w:color w:val="auto"/>
                <w:sz w:val="21"/>
                <w:szCs w:val="21"/>
                <w:highlight w:val="none"/>
              </w:rPr>
            </w:pPr>
          </w:p>
        </w:tc>
        <w:tc>
          <w:tcPr>
            <w:tcW w:w="1352" w:type="dxa"/>
            <w:noWrap w:val="0"/>
            <w:vAlign w:val="center"/>
          </w:tcPr>
          <w:p w14:paraId="0B0F349A">
            <w:pPr>
              <w:jc w:val="center"/>
              <w:rPr>
                <w:rFonts w:ascii="宋体" w:hAnsi="宋体"/>
                <w:color w:val="auto"/>
                <w:sz w:val="21"/>
                <w:szCs w:val="21"/>
                <w:highlight w:val="none"/>
              </w:rPr>
            </w:pPr>
          </w:p>
        </w:tc>
        <w:tc>
          <w:tcPr>
            <w:tcW w:w="1898" w:type="dxa"/>
            <w:noWrap w:val="0"/>
            <w:vAlign w:val="center"/>
          </w:tcPr>
          <w:p w14:paraId="35A74D38">
            <w:pPr>
              <w:jc w:val="center"/>
              <w:rPr>
                <w:rFonts w:ascii="宋体" w:hAnsi="宋体"/>
                <w:color w:val="auto"/>
                <w:sz w:val="21"/>
                <w:szCs w:val="21"/>
                <w:highlight w:val="none"/>
              </w:rPr>
            </w:pPr>
          </w:p>
        </w:tc>
        <w:tc>
          <w:tcPr>
            <w:tcW w:w="1554" w:type="dxa"/>
            <w:noWrap w:val="0"/>
            <w:vAlign w:val="center"/>
          </w:tcPr>
          <w:p w14:paraId="03AF2C08">
            <w:pPr>
              <w:jc w:val="center"/>
              <w:rPr>
                <w:rFonts w:ascii="宋体" w:hAnsi="宋体"/>
                <w:color w:val="auto"/>
                <w:sz w:val="21"/>
                <w:szCs w:val="21"/>
                <w:highlight w:val="none"/>
              </w:rPr>
            </w:pPr>
          </w:p>
        </w:tc>
        <w:tc>
          <w:tcPr>
            <w:tcW w:w="1133" w:type="dxa"/>
            <w:noWrap w:val="0"/>
            <w:vAlign w:val="center"/>
          </w:tcPr>
          <w:p w14:paraId="1FD50D38">
            <w:pPr>
              <w:jc w:val="center"/>
              <w:rPr>
                <w:rFonts w:ascii="宋体" w:hAnsi="宋体"/>
                <w:color w:val="auto"/>
                <w:sz w:val="21"/>
                <w:szCs w:val="21"/>
                <w:highlight w:val="none"/>
              </w:rPr>
            </w:pPr>
          </w:p>
        </w:tc>
      </w:tr>
      <w:tr w14:paraId="361E6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055" w:type="dxa"/>
            <w:noWrap w:val="0"/>
            <w:vAlign w:val="center"/>
          </w:tcPr>
          <w:p w14:paraId="677EDEF4">
            <w:pPr>
              <w:jc w:val="center"/>
              <w:rPr>
                <w:rFonts w:ascii="宋体" w:hAnsi="宋体"/>
                <w:color w:val="auto"/>
                <w:sz w:val="21"/>
                <w:szCs w:val="21"/>
                <w:highlight w:val="none"/>
              </w:rPr>
            </w:pPr>
            <w:r>
              <w:rPr>
                <w:rFonts w:ascii="宋体" w:hAnsi="宋体"/>
                <w:color w:val="auto"/>
                <w:sz w:val="21"/>
                <w:szCs w:val="21"/>
                <w:highlight w:val="none"/>
              </w:rPr>
              <w:t>…</w:t>
            </w:r>
          </w:p>
        </w:tc>
        <w:tc>
          <w:tcPr>
            <w:tcW w:w="2266" w:type="dxa"/>
            <w:noWrap w:val="0"/>
            <w:vAlign w:val="center"/>
          </w:tcPr>
          <w:p w14:paraId="4080ADD9">
            <w:pPr>
              <w:jc w:val="center"/>
              <w:rPr>
                <w:rFonts w:ascii="宋体" w:hAnsi="宋体"/>
                <w:color w:val="auto"/>
                <w:sz w:val="21"/>
                <w:szCs w:val="21"/>
                <w:highlight w:val="none"/>
              </w:rPr>
            </w:pPr>
          </w:p>
        </w:tc>
        <w:tc>
          <w:tcPr>
            <w:tcW w:w="1352" w:type="dxa"/>
            <w:noWrap w:val="0"/>
            <w:vAlign w:val="center"/>
          </w:tcPr>
          <w:p w14:paraId="68A2EFEA">
            <w:pPr>
              <w:jc w:val="center"/>
              <w:rPr>
                <w:rFonts w:ascii="宋体" w:hAnsi="宋体"/>
                <w:color w:val="auto"/>
                <w:sz w:val="21"/>
                <w:szCs w:val="21"/>
                <w:highlight w:val="none"/>
              </w:rPr>
            </w:pPr>
          </w:p>
        </w:tc>
        <w:tc>
          <w:tcPr>
            <w:tcW w:w="1898" w:type="dxa"/>
            <w:noWrap w:val="0"/>
            <w:vAlign w:val="center"/>
          </w:tcPr>
          <w:p w14:paraId="41073D28">
            <w:pPr>
              <w:jc w:val="center"/>
              <w:rPr>
                <w:rFonts w:ascii="宋体" w:hAnsi="宋体"/>
                <w:color w:val="auto"/>
                <w:sz w:val="21"/>
                <w:szCs w:val="21"/>
                <w:highlight w:val="none"/>
              </w:rPr>
            </w:pPr>
          </w:p>
        </w:tc>
        <w:tc>
          <w:tcPr>
            <w:tcW w:w="1554" w:type="dxa"/>
            <w:noWrap w:val="0"/>
            <w:vAlign w:val="center"/>
          </w:tcPr>
          <w:p w14:paraId="2E73A9E2">
            <w:pPr>
              <w:jc w:val="center"/>
              <w:rPr>
                <w:rFonts w:ascii="宋体" w:hAnsi="宋体"/>
                <w:color w:val="auto"/>
                <w:sz w:val="21"/>
                <w:szCs w:val="21"/>
                <w:highlight w:val="none"/>
              </w:rPr>
            </w:pPr>
          </w:p>
        </w:tc>
        <w:tc>
          <w:tcPr>
            <w:tcW w:w="1133" w:type="dxa"/>
            <w:noWrap w:val="0"/>
            <w:vAlign w:val="center"/>
          </w:tcPr>
          <w:p w14:paraId="06C6FA94">
            <w:pPr>
              <w:jc w:val="center"/>
              <w:rPr>
                <w:rFonts w:ascii="宋体" w:hAnsi="宋体"/>
                <w:color w:val="auto"/>
                <w:sz w:val="21"/>
                <w:szCs w:val="21"/>
                <w:highlight w:val="none"/>
              </w:rPr>
            </w:pPr>
          </w:p>
        </w:tc>
      </w:tr>
    </w:tbl>
    <w:p w14:paraId="64B93B25">
      <w:pPr>
        <w:spacing w:line="360" w:lineRule="auto"/>
        <w:rPr>
          <w:rFonts w:hint="eastAsia"/>
          <w:color w:val="auto"/>
          <w:sz w:val="21"/>
          <w:szCs w:val="21"/>
          <w:highlight w:val="none"/>
        </w:rPr>
      </w:pPr>
      <w:r>
        <w:rPr>
          <w:color w:val="auto"/>
          <w:sz w:val="21"/>
          <w:szCs w:val="21"/>
          <w:highlight w:val="none"/>
        </w:rPr>
        <w:t>注：</w:t>
      </w:r>
      <w:r>
        <w:rPr>
          <w:rFonts w:hint="eastAsia"/>
          <w:color w:val="auto"/>
          <w:sz w:val="21"/>
          <w:szCs w:val="21"/>
          <w:highlight w:val="none"/>
        </w:rPr>
        <w:t>供应商</w:t>
      </w:r>
      <w:r>
        <w:rPr>
          <w:color w:val="auto"/>
          <w:sz w:val="21"/>
          <w:szCs w:val="21"/>
          <w:highlight w:val="none"/>
        </w:rPr>
        <w:t>提供相应的证明文件复印件（</w:t>
      </w:r>
      <w:r>
        <w:rPr>
          <w:rFonts w:hint="eastAsia" w:ascii="宋体" w:hAnsi="宋体" w:eastAsia="宋体" w:cs="宋体"/>
          <w:color w:val="auto"/>
          <w:sz w:val="21"/>
          <w:szCs w:val="21"/>
          <w:highlight w:val="none"/>
          <w:lang w:val="en-US" w:eastAsia="zh-CN"/>
        </w:rPr>
        <w:t>证明材料是指中标（成交）通知书）或</w:t>
      </w:r>
      <w:r>
        <w:rPr>
          <w:rFonts w:hint="eastAsia" w:ascii="宋体" w:hAnsi="宋体" w:eastAsia="宋体" w:cs="宋体"/>
          <w:bCs/>
          <w:color w:val="auto"/>
          <w:sz w:val="21"/>
          <w:szCs w:val="21"/>
          <w:highlight w:val="none"/>
        </w:rPr>
        <w:t>服务合同扫描件</w:t>
      </w:r>
      <w:r>
        <w:rPr>
          <w:rFonts w:hint="eastAsia" w:ascii="宋体" w:hAnsi="宋体" w:eastAsia="宋体" w:cs="宋体"/>
          <w:color w:val="auto"/>
          <w:sz w:val="21"/>
          <w:szCs w:val="21"/>
          <w:highlight w:val="none"/>
          <w:lang w:val="en-US" w:eastAsia="zh-CN"/>
        </w:rPr>
        <w:t>）。无证明材料或证明材料不明确、无法体现类似项目实施经验内容的，不予认可</w:t>
      </w:r>
      <w:r>
        <w:rPr>
          <w:color w:val="auto"/>
          <w:sz w:val="21"/>
          <w:szCs w:val="21"/>
          <w:highlight w:val="none"/>
        </w:rPr>
        <w:t>）</w:t>
      </w:r>
      <w:r>
        <w:rPr>
          <w:rFonts w:hint="eastAsia"/>
          <w:color w:val="auto"/>
          <w:sz w:val="21"/>
          <w:szCs w:val="21"/>
          <w:highlight w:val="none"/>
        </w:rPr>
        <w:t>。</w:t>
      </w:r>
    </w:p>
    <w:p w14:paraId="4DFEC5E6">
      <w:pPr>
        <w:rPr>
          <w:rFonts w:hint="eastAsia" w:ascii="宋体" w:hAnsi="宋体"/>
          <w:b/>
          <w:bCs/>
          <w:color w:val="auto"/>
          <w:sz w:val="24"/>
          <w:szCs w:val="24"/>
          <w:highlight w:val="none"/>
        </w:rPr>
      </w:pPr>
    </w:p>
    <w:p w14:paraId="16F31BC6">
      <w:pPr>
        <w:ind w:firstLine="1205" w:firstLineChars="500"/>
        <w:rPr>
          <w:rFonts w:hint="eastAsia" w:ascii="宋体" w:hAnsi="宋体"/>
          <w:b/>
          <w:bCs/>
          <w:color w:val="auto"/>
          <w:sz w:val="24"/>
          <w:szCs w:val="24"/>
          <w:highlight w:val="none"/>
        </w:rPr>
      </w:pPr>
    </w:p>
    <w:p w14:paraId="4C24AF28">
      <w:pPr>
        <w:ind w:firstLine="1205" w:firstLineChars="500"/>
        <w:rPr>
          <w:rFonts w:hint="eastAsia" w:ascii="宋体" w:hAnsi="宋体"/>
          <w:b/>
          <w:bCs/>
          <w:color w:val="auto"/>
          <w:sz w:val="24"/>
          <w:szCs w:val="24"/>
          <w:highlight w:val="none"/>
        </w:rPr>
      </w:pPr>
    </w:p>
    <w:p w14:paraId="748DBFA4">
      <w:pPr>
        <w:spacing w:line="360" w:lineRule="auto"/>
        <w:ind w:right="169"/>
        <w:jc w:val="right"/>
        <w:rPr>
          <w:rFonts w:hint="eastAsia"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供应商：</w:t>
      </w:r>
      <w:r>
        <w:rPr>
          <w:rFonts w:hint="eastAsia" w:cs="仿宋_GB2312"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电子签章</w:t>
      </w:r>
      <w:r>
        <w:rPr>
          <w:rFonts w:hint="eastAsia" w:cs="仿宋_GB2312" w:asciiTheme="minorEastAsia" w:hAnsiTheme="minorEastAsia" w:eastAsiaTheme="minorEastAsia"/>
          <w:color w:val="auto"/>
          <w:szCs w:val="21"/>
          <w:highlight w:val="none"/>
          <w:u w:val="single"/>
        </w:rPr>
        <w:t>）</w:t>
      </w:r>
    </w:p>
    <w:p w14:paraId="7F15B538">
      <w:pPr>
        <w:spacing w:before="60" w:after="60" w:line="360" w:lineRule="auto"/>
        <w:ind w:right="420" w:firstLine="5250" w:firstLineChars="2500"/>
        <w:jc w:val="righ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rPr>
        <w:t>日 期：</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01833A90">
      <w:pPr>
        <w:rPr>
          <w:rFonts w:hint="eastAsia"/>
          <w:highlight w:val="none"/>
        </w:rPr>
      </w:pPr>
      <w:r>
        <w:rPr>
          <w:rFonts w:hint="eastAsia"/>
          <w:highlight w:val="none"/>
        </w:rPr>
        <w:br w:type="page"/>
      </w:r>
    </w:p>
    <w:p w14:paraId="371F388F">
      <w:pPr>
        <w:bidi w:val="0"/>
        <w:rPr>
          <w:rFonts w:hint="eastAsia"/>
          <w:highlight w:val="none"/>
        </w:rPr>
      </w:pPr>
    </w:p>
    <w:p w14:paraId="30C0611D">
      <w:pPr>
        <w:spacing w:line="360" w:lineRule="auto"/>
        <w:jc w:val="center"/>
        <w:outlineLvl w:val="2"/>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lang w:val="en-US" w:eastAsia="zh-CN"/>
        </w:rPr>
        <w:t>九</w:t>
      </w:r>
      <w:r>
        <w:rPr>
          <w:rFonts w:hint="eastAsia" w:asciiTheme="minorEastAsia" w:hAnsiTheme="minorEastAsia" w:eastAsiaTheme="minorEastAsia"/>
          <w:b/>
          <w:color w:val="auto"/>
          <w:sz w:val="28"/>
          <w:szCs w:val="28"/>
          <w:highlight w:val="none"/>
        </w:rPr>
        <w:t>）其他</w:t>
      </w:r>
    </w:p>
    <w:tbl>
      <w:tblPr>
        <w:tblStyle w:val="54"/>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58"/>
        <w:gridCol w:w="3828"/>
        <w:gridCol w:w="1804"/>
        <w:gridCol w:w="851"/>
      </w:tblGrid>
      <w:tr w14:paraId="53F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675" w:type="dxa"/>
            <w:tcBorders>
              <w:top w:val="single" w:color="auto" w:sz="12" w:space="0"/>
              <w:left w:val="single" w:color="auto" w:sz="12" w:space="0"/>
            </w:tcBorders>
            <w:vAlign w:val="center"/>
          </w:tcPr>
          <w:p w14:paraId="5F5A6867">
            <w:pPr>
              <w:spacing w:before="60" w:beforeLines="25" w:after="60" w:afterLines="25"/>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758" w:type="dxa"/>
            <w:tcBorders>
              <w:top w:val="single" w:color="auto" w:sz="12" w:space="0"/>
            </w:tcBorders>
            <w:vAlign w:val="center"/>
          </w:tcPr>
          <w:p w14:paraId="2A643393">
            <w:pPr>
              <w:widowControl/>
              <w:spacing w:before="60" w:beforeLines="25" w:after="60" w:afterLines="25"/>
              <w:jc w:val="center"/>
              <w:rPr>
                <w:rFonts w:hint="eastAsia" w:ascii="宋体" w:hAnsi="宋体" w:cs="宋体"/>
                <w:b/>
                <w:color w:val="auto"/>
                <w:szCs w:val="21"/>
                <w:highlight w:val="none"/>
              </w:rPr>
            </w:pPr>
            <w:r>
              <w:rPr>
                <w:rFonts w:hint="eastAsia" w:ascii="宋体" w:hAnsi="宋体" w:cs="宋体"/>
                <w:b/>
                <w:color w:val="auto"/>
                <w:szCs w:val="21"/>
                <w:highlight w:val="none"/>
              </w:rPr>
              <w:t>符合性审查内容</w:t>
            </w:r>
          </w:p>
        </w:tc>
        <w:tc>
          <w:tcPr>
            <w:tcW w:w="3828" w:type="dxa"/>
            <w:tcBorders>
              <w:top w:val="single" w:color="auto" w:sz="12" w:space="0"/>
            </w:tcBorders>
            <w:vAlign w:val="center"/>
          </w:tcPr>
          <w:p w14:paraId="611B676A">
            <w:pPr>
              <w:widowControl/>
              <w:spacing w:before="60" w:beforeLines="25" w:after="60" w:afterLines="25"/>
              <w:jc w:val="center"/>
              <w:rPr>
                <w:rFonts w:hint="eastAsia" w:ascii="宋体" w:hAnsi="宋体" w:cs="宋体"/>
                <w:b/>
                <w:color w:val="auto"/>
                <w:szCs w:val="21"/>
                <w:highlight w:val="none"/>
              </w:rPr>
            </w:pPr>
            <w:r>
              <w:rPr>
                <w:rFonts w:hint="eastAsia" w:ascii="宋体" w:hAnsi="宋体" w:cs="宋体"/>
                <w:b/>
                <w:color w:val="auto"/>
                <w:szCs w:val="21"/>
                <w:highlight w:val="none"/>
              </w:rPr>
              <w:t>采购文件要求</w:t>
            </w:r>
          </w:p>
        </w:tc>
        <w:tc>
          <w:tcPr>
            <w:tcW w:w="1804" w:type="dxa"/>
            <w:tcBorders>
              <w:top w:val="single" w:color="auto" w:sz="12" w:space="0"/>
            </w:tcBorders>
            <w:vAlign w:val="center"/>
          </w:tcPr>
          <w:p w14:paraId="735B459D">
            <w:pPr>
              <w:spacing w:before="60" w:beforeLines="25" w:after="60" w:afterLines="25"/>
              <w:jc w:val="center"/>
              <w:rPr>
                <w:rFonts w:hint="eastAsia" w:ascii="宋体" w:hAnsi="宋体" w:cs="宋体"/>
                <w:b/>
                <w:color w:val="auto"/>
                <w:szCs w:val="21"/>
                <w:highlight w:val="none"/>
              </w:rPr>
            </w:pPr>
            <w:r>
              <w:rPr>
                <w:rFonts w:hint="eastAsia" w:ascii="宋体" w:hAnsi="宋体" w:cs="宋体"/>
                <w:b/>
                <w:color w:val="auto"/>
                <w:szCs w:val="21"/>
                <w:highlight w:val="none"/>
              </w:rPr>
              <w:t>供应商响应情况</w:t>
            </w:r>
          </w:p>
        </w:tc>
        <w:tc>
          <w:tcPr>
            <w:tcW w:w="851" w:type="dxa"/>
            <w:tcBorders>
              <w:top w:val="single" w:color="auto" w:sz="12" w:space="0"/>
              <w:right w:val="single" w:color="auto" w:sz="12" w:space="0"/>
            </w:tcBorders>
            <w:vAlign w:val="center"/>
          </w:tcPr>
          <w:p w14:paraId="0F8A9EC2">
            <w:pPr>
              <w:spacing w:before="60" w:beforeLines="25" w:after="60" w:afterLines="25"/>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4146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1C81DA00">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1</w:t>
            </w:r>
          </w:p>
        </w:tc>
        <w:tc>
          <w:tcPr>
            <w:tcW w:w="1758" w:type="dxa"/>
            <w:vAlign w:val="center"/>
          </w:tcPr>
          <w:p w14:paraId="3C94F237">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lang w:val="en-US" w:eastAsia="zh-CN"/>
              </w:rPr>
              <w:t>采购</w:t>
            </w:r>
            <w:r>
              <w:rPr>
                <w:rFonts w:hint="eastAsia" w:ascii="宋体" w:hAnsi="宋体" w:cs="宋体"/>
                <w:color w:val="auto"/>
                <w:szCs w:val="24"/>
                <w:highlight w:val="none"/>
              </w:rPr>
              <w:t>内容</w:t>
            </w:r>
          </w:p>
        </w:tc>
        <w:tc>
          <w:tcPr>
            <w:tcW w:w="3828" w:type="dxa"/>
            <w:vAlign w:val="center"/>
          </w:tcPr>
          <w:p w14:paraId="391CF502">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符合“供应商须知前附表”第1.3.1项</w:t>
            </w:r>
          </w:p>
        </w:tc>
        <w:tc>
          <w:tcPr>
            <w:tcW w:w="1804" w:type="dxa"/>
            <w:vAlign w:val="center"/>
          </w:tcPr>
          <w:p w14:paraId="26F01D14">
            <w:pPr>
              <w:spacing w:line="340" w:lineRule="exact"/>
              <w:jc w:val="left"/>
              <w:rPr>
                <w:rFonts w:hint="eastAsia" w:ascii="宋体" w:hAnsi="宋体" w:cs="宋体"/>
                <w:color w:val="auto"/>
                <w:szCs w:val="24"/>
                <w:highlight w:val="none"/>
              </w:rPr>
            </w:pPr>
          </w:p>
        </w:tc>
        <w:tc>
          <w:tcPr>
            <w:tcW w:w="851" w:type="dxa"/>
            <w:tcBorders>
              <w:right w:val="single" w:color="auto" w:sz="12" w:space="0"/>
            </w:tcBorders>
            <w:vAlign w:val="center"/>
          </w:tcPr>
          <w:p w14:paraId="64984974">
            <w:pPr>
              <w:spacing w:line="340" w:lineRule="exact"/>
              <w:jc w:val="left"/>
              <w:rPr>
                <w:rFonts w:hint="eastAsia" w:ascii="宋体" w:hAnsi="宋体" w:cs="宋体"/>
                <w:color w:val="auto"/>
                <w:szCs w:val="24"/>
                <w:highlight w:val="none"/>
              </w:rPr>
            </w:pPr>
          </w:p>
        </w:tc>
      </w:tr>
      <w:tr w14:paraId="0A11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528E6D0B">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2</w:t>
            </w:r>
          </w:p>
        </w:tc>
        <w:tc>
          <w:tcPr>
            <w:tcW w:w="1758" w:type="dxa"/>
            <w:vAlign w:val="center"/>
          </w:tcPr>
          <w:p w14:paraId="3CFA2B6B">
            <w:pPr>
              <w:spacing w:before="60" w:beforeLines="25" w:after="60" w:afterLines="25"/>
              <w:jc w:val="center"/>
              <w:rPr>
                <w:rFonts w:hint="eastAsia" w:ascii="宋体" w:hAnsi="宋体" w:eastAsia="宋体" w:cs="宋体"/>
                <w:color w:val="auto"/>
                <w:szCs w:val="24"/>
                <w:highlight w:val="none"/>
                <w:lang w:eastAsia="zh-CN"/>
              </w:rPr>
            </w:pPr>
            <w:r>
              <w:rPr>
                <w:rFonts w:hint="eastAsia" w:asciiTheme="minorEastAsia" w:hAnsiTheme="minorEastAsia" w:eastAsiaTheme="minorEastAsia"/>
                <w:color w:val="auto"/>
                <w:highlight w:val="none"/>
                <w:lang w:eastAsia="zh-CN"/>
              </w:rPr>
              <w:t>合同履行期限</w:t>
            </w:r>
          </w:p>
        </w:tc>
        <w:tc>
          <w:tcPr>
            <w:tcW w:w="3828" w:type="dxa"/>
            <w:vAlign w:val="center"/>
          </w:tcPr>
          <w:p w14:paraId="64607B57">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符合</w:t>
            </w:r>
            <w:r>
              <w:rPr>
                <w:rFonts w:hint="eastAsia" w:asciiTheme="minorEastAsia" w:hAnsiTheme="minorEastAsia" w:eastAsiaTheme="minorEastAsia"/>
                <w:color w:val="auto"/>
                <w:highlight w:val="none"/>
              </w:rPr>
              <w:t>“供应商须知前附表”第1.3.2项</w:t>
            </w:r>
          </w:p>
        </w:tc>
        <w:tc>
          <w:tcPr>
            <w:tcW w:w="1804" w:type="dxa"/>
            <w:vAlign w:val="center"/>
          </w:tcPr>
          <w:p w14:paraId="64689FC8">
            <w:pPr>
              <w:spacing w:line="340" w:lineRule="exact"/>
              <w:jc w:val="left"/>
              <w:rPr>
                <w:rFonts w:hint="eastAsia" w:ascii="宋体" w:hAnsi="宋体" w:cs="宋体"/>
                <w:color w:val="auto"/>
                <w:sz w:val="29"/>
                <w:szCs w:val="32"/>
                <w:highlight w:val="none"/>
              </w:rPr>
            </w:pPr>
          </w:p>
        </w:tc>
        <w:tc>
          <w:tcPr>
            <w:tcW w:w="851" w:type="dxa"/>
            <w:tcBorders>
              <w:right w:val="single" w:color="auto" w:sz="12" w:space="0"/>
            </w:tcBorders>
            <w:vAlign w:val="center"/>
          </w:tcPr>
          <w:p w14:paraId="1CC69A12">
            <w:pPr>
              <w:spacing w:line="340" w:lineRule="exact"/>
              <w:jc w:val="left"/>
              <w:rPr>
                <w:rFonts w:hint="eastAsia" w:ascii="宋体" w:hAnsi="宋体" w:cs="宋体"/>
                <w:color w:val="auto"/>
                <w:szCs w:val="24"/>
                <w:highlight w:val="none"/>
              </w:rPr>
            </w:pPr>
          </w:p>
        </w:tc>
      </w:tr>
      <w:tr w14:paraId="779B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55A6EBEB">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3</w:t>
            </w:r>
          </w:p>
        </w:tc>
        <w:tc>
          <w:tcPr>
            <w:tcW w:w="1758" w:type="dxa"/>
            <w:vAlign w:val="center"/>
          </w:tcPr>
          <w:p w14:paraId="7FB57B72">
            <w:pPr>
              <w:spacing w:before="60" w:beforeLines="25" w:after="60" w:afterLines="25"/>
              <w:jc w:val="center"/>
              <w:rPr>
                <w:rFonts w:hint="eastAsia" w:ascii="宋体" w:hAnsi="宋体" w:cs="宋体" w:eastAsiaTheme="minorEastAsia"/>
                <w:color w:val="auto"/>
                <w:szCs w:val="24"/>
                <w:highlight w:val="none"/>
                <w:lang w:val="en-US" w:eastAsia="zh-CN"/>
              </w:rPr>
            </w:pPr>
            <w:r>
              <w:rPr>
                <w:rFonts w:hint="eastAsia" w:asciiTheme="minorEastAsia" w:hAnsiTheme="minorEastAsia" w:eastAsiaTheme="minorEastAsia"/>
                <w:color w:val="auto"/>
                <w:highlight w:val="none"/>
              </w:rPr>
              <w:t>质量</w:t>
            </w:r>
            <w:r>
              <w:rPr>
                <w:rFonts w:hint="eastAsia" w:asciiTheme="minorEastAsia" w:hAnsiTheme="minorEastAsia" w:eastAsiaTheme="minorEastAsia"/>
                <w:color w:val="auto"/>
                <w:highlight w:val="none"/>
                <w:lang w:val="en-US" w:eastAsia="zh-CN"/>
              </w:rPr>
              <w:t>要求</w:t>
            </w:r>
          </w:p>
        </w:tc>
        <w:tc>
          <w:tcPr>
            <w:tcW w:w="3828" w:type="dxa"/>
            <w:vAlign w:val="center"/>
          </w:tcPr>
          <w:p w14:paraId="704DC5E3">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符合</w:t>
            </w:r>
            <w:r>
              <w:rPr>
                <w:rFonts w:hint="eastAsia" w:asciiTheme="minorEastAsia" w:hAnsiTheme="minorEastAsia" w:eastAsiaTheme="minorEastAsia"/>
                <w:color w:val="auto"/>
                <w:highlight w:val="none"/>
              </w:rPr>
              <w:t>“供应商须知前附表”第1.3.3项</w:t>
            </w:r>
          </w:p>
        </w:tc>
        <w:tc>
          <w:tcPr>
            <w:tcW w:w="1804" w:type="dxa"/>
            <w:vAlign w:val="center"/>
          </w:tcPr>
          <w:p w14:paraId="72AD90DE">
            <w:pPr>
              <w:spacing w:line="340" w:lineRule="exact"/>
              <w:jc w:val="left"/>
              <w:rPr>
                <w:rFonts w:hint="eastAsia" w:ascii="宋体" w:hAnsi="宋体" w:cs="宋体"/>
                <w:color w:val="auto"/>
                <w:sz w:val="29"/>
                <w:szCs w:val="32"/>
                <w:highlight w:val="none"/>
              </w:rPr>
            </w:pPr>
          </w:p>
        </w:tc>
        <w:tc>
          <w:tcPr>
            <w:tcW w:w="851" w:type="dxa"/>
            <w:tcBorders>
              <w:right w:val="single" w:color="auto" w:sz="12" w:space="0"/>
            </w:tcBorders>
            <w:vAlign w:val="center"/>
          </w:tcPr>
          <w:p w14:paraId="079B9B26">
            <w:pPr>
              <w:spacing w:line="340" w:lineRule="exact"/>
              <w:jc w:val="left"/>
              <w:rPr>
                <w:rFonts w:hint="eastAsia" w:ascii="宋体" w:hAnsi="宋体" w:cs="宋体"/>
                <w:color w:val="auto"/>
                <w:szCs w:val="24"/>
                <w:highlight w:val="none"/>
              </w:rPr>
            </w:pPr>
          </w:p>
        </w:tc>
      </w:tr>
      <w:tr w14:paraId="45C7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08947184">
            <w:pPr>
              <w:spacing w:before="60" w:beforeLines="25" w:after="60" w:afterLines="25"/>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4</w:t>
            </w:r>
          </w:p>
        </w:tc>
        <w:tc>
          <w:tcPr>
            <w:tcW w:w="1758" w:type="dxa"/>
            <w:vAlign w:val="center"/>
          </w:tcPr>
          <w:p w14:paraId="41D3879B">
            <w:pPr>
              <w:spacing w:before="60" w:beforeLines="25" w:after="60" w:afterLines="25"/>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磋商有效期</w:t>
            </w:r>
          </w:p>
        </w:tc>
        <w:tc>
          <w:tcPr>
            <w:tcW w:w="3828" w:type="dxa"/>
            <w:vAlign w:val="center"/>
          </w:tcPr>
          <w:p w14:paraId="6B06170E">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符合“供应商须知前附表”第</w:t>
            </w:r>
            <w:r>
              <w:rPr>
                <w:rFonts w:ascii="宋体" w:hAnsi="宋体" w:cs="宋体"/>
                <w:color w:val="auto"/>
                <w:szCs w:val="24"/>
                <w:highlight w:val="none"/>
              </w:rPr>
              <w:t>3.3.1</w:t>
            </w:r>
            <w:r>
              <w:rPr>
                <w:rFonts w:hint="eastAsia" w:ascii="宋体" w:hAnsi="宋体" w:cs="宋体"/>
                <w:color w:val="auto"/>
                <w:szCs w:val="24"/>
                <w:highlight w:val="none"/>
              </w:rPr>
              <w:t>项</w:t>
            </w:r>
          </w:p>
        </w:tc>
        <w:tc>
          <w:tcPr>
            <w:tcW w:w="1804" w:type="dxa"/>
            <w:vAlign w:val="center"/>
          </w:tcPr>
          <w:p w14:paraId="63AF5471">
            <w:pPr>
              <w:spacing w:line="340" w:lineRule="exact"/>
              <w:jc w:val="left"/>
              <w:rPr>
                <w:rFonts w:hint="eastAsia" w:ascii="宋体" w:hAnsi="宋体" w:cs="宋体"/>
                <w:color w:val="auto"/>
                <w:sz w:val="29"/>
                <w:szCs w:val="32"/>
                <w:highlight w:val="none"/>
              </w:rPr>
            </w:pPr>
          </w:p>
        </w:tc>
        <w:tc>
          <w:tcPr>
            <w:tcW w:w="851" w:type="dxa"/>
            <w:tcBorders>
              <w:right w:val="single" w:color="auto" w:sz="12" w:space="0"/>
            </w:tcBorders>
            <w:vAlign w:val="center"/>
          </w:tcPr>
          <w:p w14:paraId="584763AB">
            <w:pPr>
              <w:spacing w:line="340" w:lineRule="exact"/>
              <w:jc w:val="left"/>
              <w:rPr>
                <w:rFonts w:hint="eastAsia" w:ascii="宋体" w:hAnsi="宋体" w:cs="宋体"/>
                <w:color w:val="auto"/>
                <w:szCs w:val="24"/>
                <w:highlight w:val="none"/>
              </w:rPr>
            </w:pPr>
          </w:p>
        </w:tc>
      </w:tr>
    </w:tbl>
    <w:p w14:paraId="0F4DFEA8">
      <w:pPr>
        <w:autoSpaceDE w:val="0"/>
        <w:autoSpaceDN w:val="0"/>
        <w:adjustRightInd w:val="0"/>
        <w:spacing w:before="120" w:beforeLines="50" w:line="360" w:lineRule="auto"/>
        <w:ind w:firstLine="420" w:firstLineChars="2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注：供应商在编制响应文件时，须根据采购文件的要求，在以上表格的“供应商响应情况”一栏中填写响应情况或做出说明。若供应商所填写的响应情况不符合采购文件的相关要求或存在负偏离的，其响应文件作否决处理。</w:t>
      </w:r>
    </w:p>
    <w:p w14:paraId="3E2F19B2">
      <w:pPr>
        <w:autoSpaceDE w:val="0"/>
        <w:autoSpaceDN w:val="0"/>
        <w:adjustRightInd w:val="0"/>
        <w:spacing w:line="480" w:lineRule="auto"/>
        <w:jc w:val="left"/>
        <w:rPr>
          <w:rFonts w:hint="eastAsia" w:asciiTheme="minorEastAsia" w:hAnsiTheme="minorEastAsia" w:eastAsiaTheme="minorEastAsia"/>
          <w:bCs/>
          <w:color w:val="auto"/>
          <w:szCs w:val="21"/>
          <w:highlight w:val="none"/>
        </w:rPr>
      </w:pPr>
    </w:p>
    <w:p w14:paraId="2FF99104">
      <w:pPr>
        <w:autoSpaceDE w:val="0"/>
        <w:autoSpaceDN w:val="0"/>
        <w:adjustRightInd w:val="0"/>
        <w:spacing w:line="480" w:lineRule="auto"/>
        <w:jc w:val="left"/>
        <w:rPr>
          <w:rFonts w:hint="eastAsia" w:asciiTheme="minorEastAsia" w:hAnsiTheme="minorEastAsia" w:eastAsiaTheme="minorEastAsia"/>
          <w:bCs/>
          <w:color w:val="auto"/>
          <w:szCs w:val="21"/>
          <w:highlight w:val="none"/>
        </w:rPr>
      </w:pPr>
    </w:p>
    <w:p w14:paraId="143D07A5">
      <w:pPr>
        <w:autoSpaceDE w:val="0"/>
        <w:autoSpaceDN w:val="0"/>
        <w:adjustRightInd w:val="0"/>
        <w:spacing w:line="480" w:lineRule="auto"/>
        <w:jc w:val="righ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供应商：</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w:t>
      </w:r>
      <w:r>
        <w:rPr>
          <w:rFonts w:hint="eastAsia" w:asciiTheme="minorEastAsia" w:hAnsiTheme="minorEastAsia" w:eastAsiaTheme="minorEastAsia"/>
          <w:color w:val="auto"/>
          <w:szCs w:val="21"/>
          <w:highlight w:val="none"/>
          <w:u w:val="single"/>
        </w:rPr>
        <w:t>电子签章</w:t>
      </w:r>
      <w:r>
        <w:rPr>
          <w:rFonts w:hint="eastAsia" w:asciiTheme="minorEastAsia" w:hAnsiTheme="minorEastAsia" w:eastAsiaTheme="minorEastAsia"/>
          <w:bCs/>
          <w:color w:val="auto"/>
          <w:szCs w:val="21"/>
          <w:highlight w:val="none"/>
          <w:u w:val="single"/>
        </w:rPr>
        <w:t>）</w:t>
      </w:r>
    </w:p>
    <w:p w14:paraId="312130BC">
      <w:pPr>
        <w:autoSpaceDE w:val="0"/>
        <w:autoSpaceDN w:val="0"/>
        <w:adjustRightInd w:val="0"/>
        <w:spacing w:line="480" w:lineRule="auto"/>
        <w:jc w:val="righ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日期：</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年</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月</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日</w:t>
      </w:r>
    </w:p>
    <w:p w14:paraId="6157625A">
      <w:pPr>
        <w:widowControl/>
        <w:jc w:val="left"/>
        <w:rPr>
          <w:rFonts w:hint="eastAsia" w:asciiTheme="minorEastAsia" w:hAnsiTheme="minorEastAsia" w:eastAsiaTheme="minorEastAsia"/>
          <w:b/>
          <w:color w:val="auto"/>
          <w:sz w:val="28"/>
          <w:szCs w:val="28"/>
          <w:highlight w:val="none"/>
        </w:rPr>
      </w:pPr>
    </w:p>
    <w:p w14:paraId="70651087">
      <w:pPr>
        <w:spacing w:line="360" w:lineRule="auto"/>
        <w:ind w:right="252" w:rightChars="120"/>
        <w:rPr>
          <w:rFonts w:hint="eastAsia" w:cs="仿宋_GB2312" w:asciiTheme="minorEastAsia" w:hAnsiTheme="minorEastAsia" w:eastAsiaTheme="minorEastAsia"/>
          <w:color w:val="auto"/>
          <w:szCs w:val="21"/>
          <w:highlight w:val="none"/>
        </w:rPr>
      </w:pPr>
    </w:p>
    <w:bookmarkEnd w:id="1176"/>
    <w:bookmarkEnd w:id="1177"/>
    <w:p w14:paraId="7037F237">
      <w:pPr>
        <w:widowControl/>
        <w:spacing w:line="360" w:lineRule="auto"/>
        <w:jc w:val="left"/>
        <w:rPr>
          <w:rFonts w:hint="eastAsia" w:asciiTheme="minorEastAsia" w:hAnsiTheme="minorEastAsia" w:eastAsiaTheme="minorEastAsia"/>
          <w:b/>
          <w:color w:val="auto"/>
          <w:sz w:val="30"/>
          <w:szCs w:val="30"/>
          <w:highlight w:val="none"/>
        </w:rPr>
      </w:pPr>
      <w:r>
        <w:rPr>
          <w:rFonts w:asciiTheme="minorEastAsia" w:hAnsiTheme="minorEastAsia" w:eastAsiaTheme="minorEastAsia"/>
          <w:b/>
          <w:color w:val="auto"/>
          <w:sz w:val="30"/>
          <w:szCs w:val="30"/>
          <w:highlight w:val="none"/>
        </w:rPr>
        <w:br w:type="page"/>
      </w:r>
    </w:p>
    <w:p w14:paraId="2D542CD4">
      <w:pPr>
        <w:autoSpaceDE w:val="0"/>
        <w:autoSpaceDN w:val="0"/>
        <w:adjustRightInd w:val="0"/>
        <w:spacing w:after="120" w:afterLines="50" w:line="360" w:lineRule="auto"/>
        <w:jc w:val="center"/>
        <w:rPr>
          <w:rFonts w:hint="eastAsia" w:ascii="宋体" w:hAnsi="宋体"/>
          <w:b/>
          <w:bCs/>
          <w:color w:val="auto"/>
          <w:sz w:val="30"/>
          <w:szCs w:val="30"/>
          <w:highlight w:val="none"/>
        </w:rPr>
      </w:pPr>
      <w:bookmarkStart w:id="1215" w:name="_Toc28025"/>
      <w:bookmarkStart w:id="1216" w:name="_Toc128658857"/>
      <w:r>
        <w:rPr>
          <w:rFonts w:hint="eastAsia" w:ascii="宋体" w:hAnsi="宋体"/>
          <w:b/>
          <w:bCs/>
          <w:color w:val="auto"/>
          <w:sz w:val="30"/>
          <w:szCs w:val="30"/>
          <w:highlight w:val="none"/>
        </w:rPr>
        <w:t>二次报价表（模版）</w:t>
      </w:r>
    </w:p>
    <w:tbl>
      <w:tblPr>
        <w:tblStyle w:val="54"/>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226"/>
      </w:tblGrid>
      <w:tr w14:paraId="05B5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830" w:type="dxa"/>
            <w:vAlign w:val="center"/>
          </w:tcPr>
          <w:p w14:paraId="11489CCE">
            <w:pPr>
              <w:spacing w:before="120" w:after="120"/>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6226" w:type="dxa"/>
            <w:vAlign w:val="center"/>
          </w:tcPr>
          <w:p w14:paraId="29B451DF">
            <w:pPr>
              <w:spacing w:before="120" w:after="120"/>
              <w:jc w:val="center"/>
              <w:rPr>
                <w:rFonts w:hint="eastAsia" w:ascii="宋体" w:hAnsi="宋体"/>
                <w:color w:val="auto"/>
                <w:szCs w:val="21"/>
                <w:highlight w:val="none"/>
              </w:rPr>
            </w:pPr>
          </w:p>
        </w:tc>
      </w:tr>
      <w:tr w14:paraId="6588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30" w:type="dxa"/>
            <w:vAlign w:val="center"/>
          </w:tcPr>
          <w:p w14:paraId="21D47F27">
            <w:pPr>
              <w:spacing w:before="120" w:after="120"/>
              <w:jc w:val="center"/>
              <w:rPr>
                <w:rFonts w:hint="eastAsia" w:ascii="宋体" w:hAnsi="宋体"/>
                <w:color w:val="auto"/>
                <w:szCs w:val="21"/>
                <w:highlight w:val="none"/>
              </w:rPr>
            </w:pPr>
            <w:r>
              <w:rPr>
                <w:rFonts w:hint="eastAsia" w:ascii="宋体" w:hAnsi="宋体"/>
                <w:color w:val="auto"/>
                <w:szCs w:val="21"/>
                <w:highlight w:val="none"/>
              </w:rPr>
              <w:t>供应商名称</w:t>
            </w:r>
          </w:p>
        </w:tc>
        <w:tc>
          <w:tcPr>
            <w:tcW w:w="6226" w:type="dxa"/>
            <w:vAlign w:val="center"/>
          </w:tcPr>
          <w:p w14:paraId="701EB815">
            <w:pPr>
              <w:spacing w:before="120" w:after="120"/>
              <w:jc w:val="center"/>
              <w:rPr>
                <w:rFonts w:hint="eastAsia" w:ascii="宋体" w:hAnsi="宋体"/>
                <w:color w:val="auto"/>
                <w:szCs w:val="21"/>
                <w:highlight w:val="none"/>
              </w:rPr>
            </w:pPr>
          </w:p>
        </w:tc>
      </w:tr>
      <w:tr w14:paraId="63EF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830" w:type="dxa"/>
            <w:vAlign w:val="center"/>
          </w:tcPr>
          <w:p w14:paraId="519E9BA6">
            <w:pPr>
              <w:spacing w:before="120" w:after="120"/>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rPr>
              <w:t>磋商</w:t>
            </w:r>
            <w:r>
              <w:rPr>
                <w:rFonts w:hint="eastAsia" w:ascii="宋体" w:hAnsi="宋体"/>
                <w:color w:val="auto"/>
                <w:szCs w:val="21"/>
                <w:highlight w:val="none"/>
              </w:rPr>
              <w:t>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下浮率</w:t>
            </w:r>
            <w:r>
              <w:rPr>
                <w:rFonts w:hint="eastAsia" w:ascii="宋体" w:hAnsi="宋体"/>
                <w:color w:val="auto"/>
                <w:szCs w:val="21"/>
                <w:highlight w:val="none"/>
                <w:lang w:eastAsia="zh-CN"/>
              </w:rPr>
              <w:t>）</w:t>
            </w:r>
          </w:p>
        </w:tc>
        <w:tc>
          <w:tcPr>
            <w:tcW w:w="6226" w:type="dxa"/>
            <w:vAlign w:val="center"/>
          </w:tcPr>
          <w:p w14:paraId="4CC6065F">
            <w:pPr>
              <w:spacing w:before="120" w:after="120"/>
              <w:rPr>
                <w:rFonts w:hint="default" w:ascii="宋体" w:hAnsi="宋体" w:eastAsia="宋体"/>
                <w:b/>
                <w:color w:val="auto"/>
                <w:szCs w:val="21"/>
                <w:highlight w:val="none"/>
                <w:lang w:val="en-US" w:eastAsia="zh-CN"/>
              </w:rPr>
            </w:pPr>
            <w:r>
              <w:rPr>
                <w:rFonts w:hint="eastAsia" w:ascii="宋体" w:hAnsi="宋体"/>
                <w:color w:val="auto"/>
                <w:szCs w:val="21"/>
                <w:highlight w:val="none"/>
                <w:lang w:val="en-US" w:eastAsia="zh-CN"/>
              </w:rPr>
              <w:t>下浮    %</w:t>
            </w:r>
          </w:p>
        </w:tc>
      </w:tr>
      <w:tr w14:paraId="24B5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830" w:type="dxa"/>
            <w:shd w:val="clear" w:color="auto" w:fill="auto"/>
            <w:vAlign w:val="center"/>
          </w:tcPr>
          <w:p w14:paraId="261DC783">
            <w:pPr>
              <w:spacing w:before="120" w:after="120"/>
              <w:jc w:val="cente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配送地点及要求</w:t>
            </w:r>
          </w:p>
        </w:tc>
        <w:tc>
          <w:tcPr>
            <w:tcW w:w="6226" w:type="dxa"/>
            <w:vAlign w:val="center"/>
          </w:tcPr>
          <w:p w14:paraId="62E3DA1E">
            <w:pPr>
              <w:spacing w:before="120" w:after="120"/>
              <w:rPr>
                <w:rFonts w:hint="eastAsia" w:ascii="宋体" w:hAnsi="宋体"/>
                <w:color w:val="auto"/>
                <w:szCs w:val="21"/>
                <w:highlight w:val="none"/>
                <w:lang w:val="en-US" w:eastAsia="zh-CN"/>
              </w:rPr>
            </w:pPr>
          </w:p>
        </w:tc>
      </w:tr>
      <w:tr w14:paraId="66FA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830" w:type="dxa"/>
            <w:shd w:val="clear" w:color="auto" w:fill="auto"/>
            <w:vAlign w:val="center"/>
          </w:tcPr>
          <w:p w14:paraId="65F57F95">
            <w:pPr>
              <w:spacing w:before="120" w:after="120"/>
              <w:jc w:val="cente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合同履行期限</w:t>
            </w:r>
          </w:p>
        </w:tc>
        <w:tc>
          <w:tcPr>
            <w:tcW w:w="6226" w:type="dxa"/>
            <w:vAlign w:val="center"/>
          </w:tcPr>
          <w:p w14:paraId="6DAFE242">
            <w:pPr>
              <w:spacing w:before="120" w:after="120"/>
              <w:rPr>
                <w:rFonts w:hint="eastAsia" w:ascii="宋体" w:hAnsi="宋体"/>
                <w:color w:val="auto"/>
                <w:szCs w:val="21"/>
                <w:highlight w:val="none"/>
                <w:lang w:val="en-US" w:eastAsia="zh-CN"/>
              </w:rPr>
            </w:pPr>
          </w:p>
        </w:tc>
      </w:tr>
      <w:tr w14:paraId="46AA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830" w:type="dxa"/>
            <w:shd w:val="clear" w:color="auto" w:fill="auto"/>
            <w:vAlign w:val="center"/>
          </w:tcPr>
          <w:p w14:paraId="71211022">
            <w:pPr>
              <w:spacing w:before="120" w:beforeLines="50" w:line="360" w:lineRule="auto"/>
              <w:jc w:val="cente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lang w:val="en-US" w:eastAsia="zh-CN"/>
              </w:rPr>
              <w:t>质量要求</w:t>
            </w:r>
          </w:p>
        </w:tc>
        <w:tc>
          <w:tcPr>
            <w:tcW w:w="6226" w:type="dxa"/>
            <w:vAlign w:val="center"/>
          </w:tcPr>
          <w:p w14:paraId="24022C22">
            <w:pPr>
              <w:spacing w:before="120" w:after="120"/>
              <w:rPr>
                <w:rFonts w:hint="eastAsia" w:ascii="宋体" w:hAnsi="宋体"/>
                <w:color w:val="auto"/>
                <w:szCs w:val="21"/>
                <w:highlight w:val="none"/>
                <w:lang w:val="en-US" w:eastAsia="zh-CN"/>
              </w:rPr>
            </w:pPr>
          </w:p>
        </w:tc>
      </w:tr>
      <w:tr w14:paraId="169F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830" w:type="dxa"/>
            <w:shd w:val="clear" w:color="auto" w:fill="auto"/>
            <w:vAlign w:val="center"/>
          </w:tcPr>
          <w:p w14:paraId="3325A466">
            <w:pPr>
              <w:spacing w:before="120" w:beforeLines="50" w:line="360" w:lineRule="auto"/>
              <w:jc w:val="cente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lang w:val="en-US" w:eastAsia="zh-CN"/>
              </w:rPr>
              <w:t>磋商保证金</w:t>
            </w:r>
          </w:p>
        </w:tc>
        <w:tc>
          <w:tcPr>
            <w:tcW w:w="6226" w:type="dxa"/>
            <w:shd w:val="clear" w:color="auto" w:fill="auto"/>
            <w:vAlign w:val="center"/>
          </w:tcPr>
          <w:p w14:paraId="6706F822">
            <w:pPr>
              <w:spacing w:before="120" w:beforeLines="50" w:line="360" w:lineRule="auto"/>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形式：</w:t>
            </w:r>
          </w:p>
          <w:p w14:paraId="479ABCCD">
            <w:pPr>
              <w:spacing w:before="120" w:beforeLines="50" w:line="360" w:lineRule="auto"/>
              <w:jc w:val="left"/>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lang w:val="en-US" w:eastAsia="zh-CN"/>
              </w:rPr>
              <w:t>金额：     元</w:t>
            </w:r>
          </w:p>
        </w:tc>
      </w:tr>
      <w:tr w14:paraId="32CB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0" w:type="auto"/>
            <w:shd w:val="clear" w:color="auto" w:fill="auto"/>
            <w:vAlign w:val="center"/>
          </w:tcPr>
          <w:p w14:paraId="24B9150F">
            <w:pPr>
              <w:spacing w:before="120" w:beforeLines="50" w:line="360" w:lineRule="auto"/>
              <w:jc w:val="cente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lang w:val="en-US" w:eastAsia="zh-CN"/>
              </w:rPr>
              <w:t>备注</w:t>
            </w:r>
          </w:p>
        </w:tc>
        <w:tc>
          <w:tcPr>
            <w:tcW w:w="0" w:type="auto"/>
          </w:tcPr>
          <w:p w14:paraId="51B436F6">
            <w:pPr>
              <w:spacing w:before="120" w:after="120"/>
              <w:rPr>
                <w:rFonts w:hint="eastAsia" w:ascii="宋体" w:hAnsi="宋体"/>
                <w:color w:val="auto"/>
                <w:szCs w:val="21"/>
                <w:highlight w:val="none"/>
                <w:lang w:val="en-US" w:eastAsia="zh-CN"/>
              </w:rPr>
            </w:pPr>
          </w:p>
        </w:tc>
      </w:tr>
    </w:tbl>
    <w:p w14:paraId="726F72D2">
      <w:pPr>
        <w:spacing w:line="360" w:lineRule="auto"/>
        <w:rPr>
          <w:rFonts w:hint="eastAsia" w:ascii="宋体" w:hAnsi="宋体" w:cs="仿宋_GB2312"/>
          <w:color w:val="auto"/>
          <w:sz w:val="24"/>
          <w:szCs w:val="22"/>
          <w:highlight w:val="none"/>
        </w:rPr>
      </w:pPr>
    </w:p>
    <w:p w14:paraId="062EECE4">
      <w:pPr>
        <w:pStyle w:val="67"/>
        <w:rPr>
          <w:rFonts w:eastAsiaTheme="minorEastAsia"/>
          <w:color w:val="auto"/>
          <w:highlight w:val="none"/>
        </w:rPr>
      </w:pPr>
    </w:p>
    <w:p w14:paraId="51428AA5">
      <w:pPr>
        <w:autoSpaceDE w:val="0"/>
        <w:autoSpaceDN w:val="0"/>
        <w:adjustRightInd w:val="0"/>
        <w:spacing w:line="480" w:lineRule="auto"/>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供应商：</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w:t>
      </w:r>
      <w:r>
        <w:rPr>
          <w:rFonts w:hint="eastAsia" w:asciiTheme="minorEastAsia" w:hAnsiTheme="minorEastAsia" w:eastAsiaTheme="minorEastAsia"/>
          <w:color w:val="auto"/>
          <w:szCs w:val="21"/>
          <w:highlight w:val="none"/>
          <w:u w:val="single"/>
        </w:rPr>
        <w:t>电子签章</w:t>
      </w:r>
      <w:r>
        <w:rPr>
          <w:rFonts w:hint="eastAsia" w:asciiTheme="minorEastAsia" w:hAnsiTheme="minorEastAsia" w:eastAsiaTheme="minorEastAsia"/>
          <w:bCs/>
          <w:color w:val="auto"/>
          <w:szCs w:val="21"/>
          <w:highlight w:val="none"/>
          <w:u w:val="single"/>
        </w:rPr>
        <w:t>）</w:t>
      </w:r>
    </w:p>
    <w:p w14:paraId="00CDAF0B">
      <w:pPr>
        <w:autoSpaceDE w:val="0"/>
        <w:autoSpaceDN w:val="0"/>
        <w:adjustRightInd w:val="0"/>
        <w:spacing w:line="480" w:lineRule="auto"/>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法定代表人：</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 xml:space="preserve">   (电子签章)</w:t>
      </w:r>
      <w:r>
        <w:rPr>
          <w:rFonts w:asciiTheme="minorEastAsia" w:hAnsiTheme="minorEastAsia" w:eastAsiaTheme="minorEastAsia"/>
          <w:bCs/>
          <w:color w:val="auto"/>
          <w:szCs w:val="21"/>
          <w:highlight w:val="none"/>
          <w:u w:val="single"/>
        </w:rPr>
        <w:t xml:space="preserve"> </w:t>
      </w:r>
    </w:p>
    <w:p w14:paraId="1A03B4C0">
      <w:pPr>
        <w:autoSpaceDE w:val="0"/>
        <w:autoSpaceDN w:val="0"/>
        <w:adjustRightInd w:val="0"/>
        <w:spacing w:line="480" w:lineRule="auto"/>
        <w:jc w:val="left"/>
        <w:rPr>
          <w:rFonts w:hint="eastAsia" w:asciiTheme="minorEastAsia" w:hAnsiTheme="minorEastAsia" w:eastAsiaTheme="minorEastAsia"/>
          <w:b/>
          <w:color w:val="auto"/>
          <w:szCs w:val="21"/>
          <w:highlight w:val="none"/>
        </w:rPr>
      </w:pPr>
      <w:r>
        <w:rPr>
          <w:rFonts w:hint="eastAsia" w:asciiTheme="minorEastAsia" w:hAnsiTheme="minorEastAsia" w:eastAsiaTheme="minorEastAsia"/>
          <w:bCs/>
          <w:color w:val="auto"/>
          <w:szCs w:val="21"/>
          <w:highlight w:val="none"/>
        </w:rPr>
        <w:t>日期：</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年</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月</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日</w:t>
      </w:r>
    </w:p>
    <w:p w14:paraId="1B39E1E0">
      <w:pPr>
        <w:pStyle w:val="67"/>
        <w:rPr>
          <w:rFonts w:eastAsiaTheme="minorEastAsia"/>
          <w:color w:val="auto"/>
          <w:highlight w:val="none"/>
        </w:rPr>
      </w:pPr>
    </w:p>
    <w:p w14:paraId="169B03BA">
      <w:pPr>
        <w:autoSpaceDE w:val="0"/>
        <w:autoSpaceDN w:val="0"/>
        <w:adjustRightInd w:val="0"/>
        <w:spacing w:line="360" w:lineRule="auto"/>
        <w:ind w:firstLine="422" w:firstLineChars="200"/>
        <w:jc w:val="left"/>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1）磋商小组在政府采购云平台上发起二次报价后，供应商从政府采购云平台上下载附件《二次报价表》，按照格式在规定的时间内进行填报并上传。该《二次报价表》在提交响应文件时无需提供，仅作为二次报价的依据。</w:t>
      </w:r>
    </w:p>
    <w:p w14:paraId="53EAB6A2">
      <w:pPr>
        <w:autoSpaceDE w:val="0"/>
        <w:autoSpaceDN w:val="0"/>
        <w:adjustRightInd w:val="0"/>
        <w:spacing w:line="360" w:lineRule="auto"/>
        <w:ind w:firstLine="843" w:firstLineChars="400"/>
        <w:jc w:val="left"/>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highlight w:val="none"/>
        </w:rPr>
        <w:t>（2）</w:t>
      </w:r>
      <w:r>
        <w:rPr>
          <w:rFonts w:asciiTheme="minorEastAsia" w:hAnsiTheme="minorEastAsia" w:eastAsiaTheme="minorEastAsia"/>
          <w:b/>
          <w:bCs/>
          <w:color w:val="auto"/>
          <w:highlight w:val="none"/>
        </w:rPr>
        <w:t>请供应商务必在规定的时间内进行二次报价</w:t>
      </w:r>
      <w:r>
        <w:rPr>
          <w:rFonts w:hint="eastAsia" w:asciiTheme="minorEastAsia" w:hAnsiTheme="minorEastAsia" w:eastAsiaTheme="minorEastAsia"/>
          <w:b/>
          <w:bCs/>
          <w:color w:val="auto"/>
          <w:highlight w:val="none"/>
        </w:rPr>
        <w:t>并</w:t>
      </w:r>
      <w:r>
        <w:rPr>
          <w:rFonts w:asciiTheme="minorEastAsia" w:hAnsiTheme="minorEastAsia" w:eastAsiaTheme="minorEastAsia"/>
          <w:b/>
          <w:bCs/>
          <w:color w:val="auto"/>
          <w:highlight w:val="none"/>
        </w:rPr>
        <w:t>上传经电子签章后的《二次报价表》，同时保持通讯工具畅通。若供应商未在规定的时间内进行二次报价或联系不上的，</w:t>
      </w:r>
      <w:r>
        <w:rPr>
          <w:rFonts w:hint="eastAsia" w:asciiTheme="minorEastAsia" w:hAnsiTheme="minorEastAsia" w:eastAsiaTheme="minorEastAsia"/>
          <w:b/>
          <w:bCs/>
          <w:color w:val="auto"/>
          <w:highlight w:val="none"/>
        </w:rPr>
        <w:t>磋商</w:t>
      </w:r>
      <w:r>
        <w:rPr>
          <w:rFonts w:asciiTheme="minorEastAsia" w:hAnsiTheme="minorEastAsia" w:eastAsiaTheme="minorEastAsia"/>
          <w:b/>
          <w:bCs/>
          <w:color w:val="auto"/>
          <w:highlight w:val="none"/>
        </w:rPr>
        <w:t>小组将视为其放弃二次报价，并将其响应文件中的</w:t>
      </w:r>
      <w:r>
        <w:rPr>
          <w:rFonts w:hint="eastAsia" w:asciiTheme="minorEastAsia" w:hAnsiTheme="minorEastAsia" w:eastAsiaTheme="minorEastAsia"/>
          <w:b/>
          <w:bCs/>
          <w:color w:val="auto"/>
          <w:highlight w:val="none"/>
        </w:rPr>
        <w:t>磋商</w:t>
      </w:r>
      <w:r>
        <w:rPr>
          <w:rFonts w:asciiTheme="minorEastAsia" w:hAnsiTheme="minorEastAsia" w:eastAsiaTheme="minorEastAsia"/>
          <w:b/>
          <w:bCs/>
          <w:color w:val="auto"/>
          <w:highlight w:val="none"/>
        </w:rPr>
        <w:t>报价作为其最后报价参与评审。</w:t>
      </w:r>
      <w:r>
        <w:rPr>
          <w:rFonts w:hint="eastAsia" w:asciiTheme="minorEastAsia" w:hAnsiTheme="minorEastAsia" w:eastAsiaTheme="minorEastAsia"/>
          <w:b/>
          <w:bCs/>
          <w:color w:val="auto"/>
          <w:highlight w:val="none"/>
        </w:rPr>
        <w:t>若因供应商自身原因导致出现以上情况的，供应商自行承担评审结果，与采购人和采购代理机构无关。</w:t>
      </w:r>
    </w:p>
    <w:p w14:paraId="71C869ED">
      <w:pPr>
        <w:widowControl/>
        <w:jc w:val="left"/>
        <w:rPr>
          <w:b/>
          <w:color w:val="auto"/>
          <w:sz w:val="32"/>
          <w:szCs w:val="32"/>
          <w:highlight w:val="none"/>
        </w:rPr>
      </w:pPr>
      <w:r>
        <w:rPr>
          <w:b/>
          <w:color w:val="auto"/>
          <w:sz w:val="32"/>
          <w:szCs w:val="32"/>
          <w:highlight w:val="none"/>
        </w:rPr>
        <w:br w:type="page"/>
      </w:r>
    </w:p>
    <w:p w14:paraId="30948FFA">
      <w:pPr>
        <w:spacing w:line="360" w:lineRule="auto"/>
        <w:jc w:val="center"/>
        <w:outlineLvl w:val="1"/>
        <w:rPr>
          <w:rFonts w:hint="eastAsia" w:asciiTheme="minorEastAsia" w:hAnsiTheme="minorEastAsia" w:eastAsiaTheme="minorEastAsia"/>
          <w:b/>
          <w:color w:val="auto"/>
          <w:sz w:val="30"/>
          <w:szCs w:val="30"/>
          <w:highlight w:val="none"/>
        </w:rPr>
      </w:pPr>
      <w:bookmarkStart w:id="1217" w:name="_Toc158233419"/>
      <w:r>
        <w:rPr>
          <w:rFonts w:hint="eastAsia" w:asciiTheme="minorEastAsia" w:hAnsiTheme="minorEastAsia" w:eastAsiaTheme="minorEastAsia"/>
          <w:b/>
          <w:color w:val="auto"/>
          <w:sz w:val="30"/>
          <w:szCs w:val="30"/>
          <w:highlight w:val="none"/>
        </w:rPr>
        <w:t>三、技术</w:t>
      </w:r>
      <w:bookmarkEnd w:id="1140"/>
      <w:bookmarkEnd w:id="1141"/>
      <w:bookmarkEnd w:id="1215"/>
      <w:r>
        <w:rPr>
          <w:rFonts w:hint="eastAsia" w:asciiTheme="minorEastAsia" w:hAnsiTheme="minorEastAsia" w:eastAsiaTheme="minorEastAsia"/>
          <w:b/>
          <w:color w:val="auto"/>
          <w:sz w:val="30"/>
          <w:szCs w:val="30"/>
          <w:highlight w:val="none"/>
        </w:rPr>
        <w:t>文件</w:t>
      </w:r>
      <w:bookmarkEnd w:id="1216"/>
      <w:bookmarkEnd w:id="1217"/>
    </w:p>
    <w:bookmarkEnd w:id="1062"/>
    <w:bookmarkEnd w:id="1063"/>
    <w:bookmarkEnd w:id="1064"/>
    <w:bookmarkEnd w:id="1065"/>
    <w:bookmarkEnd w:id="1066"/>
    <w:bookmarkEnd w:id="1067"/>
    <w:bookmarkEnd w:id="1068"/>
    <w:bookmarkEnd w:id="1069"/>
    <w:p w14:paraId="2F50D4E8">
      <w:pPr>
        <w:pStyle w:val="5"/>
        <w:widowControl/>
        <w:autoSpaceDE w:val="0"/>
        <w:spacing w:before="0" w:after="0" w:line="360" w:lineRule="auto"/>
        <w:ind w:firstLine="422" w:firstLineChars="200"/>
        <w:jc w:val="center"/>
        <w:rPr>
          <w:rFonts w:hint="eastAsia" w:ascii="宋体" w:hAnsi="宋体"/>
          <w:color w:val="auto"/>
          <w:sz w:val="21"/>
          <w:szCs w:val="21"/>
          <w:highlight w:val="none"/>
        </w:rPr>
      </w:pPr>
      <w:bookmarkStart w:id="1218" w:name="_Toc158233420"/>
      <w:r>
        <w:rPr>
          <w:rFonts w:hint="eastAsia" w:ascii="宋体" w:hAnsi="宋体"/>
          <w:color w:val="auto"/>
          <w:sz w:val="21"/>
          <w:szCs w:val="21"/>
          <w:highlight w:val="none"/>
          <w:lang w:val="en-US" w:eastAsia="zh-CN"/>
        </w:rPr>
        <w:t>（一）服务方案</w:t>
      </w:r>
    </w:p>
    <w:p w14:paraId="2CBE0DB7">
      <w:pPr>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格式自拟</w:t>
      </w:r>
      <w:r>
        <w:rPr>
          <w:rFonts w:hint="eastAsia"/>
          <w:color w:val="auto"/>
          <w:sz w:val="21"/>
          <w:szCs w:val="21"/>
          <w:highlight w:val="none"/>
        </w:rPr>
        <w:t>）</w:t>
      </w:r>
    </w:p>
    <w:p w14:paraId="7BF7CF09">
      <w:pPr>
        <w:widowControl/>
        <w:autoSpaceDE w:val="0"/>
        <w:spacing w:before="0" w:after="0" w:line="360" w:lineRule="auto"/>
        <w:ind w:firstLine="420" w:firstLineChars="200"/>
        <w:jc w:val="center"/>
        <w:outlineLvl w:val="9"/>
        <w:rPr>
          <w:rFonts w:hint="eastAsia" w:ascii="宋体" w:hAnsi="宋体"/>
          <w:color w:val="auto"/>
          <w:sz w:val="21"/>
          <w:szCs w:val="21"/>
          <w:highlight w:val="none"/>
        </w:rPr>
      </w:pPr>
    </w:p>
    <w:p w14:paraId="65C2B245">
      <w:pPr>
        <w:pStyle w:val="5"/>
        <w:widowControl/>
        <w:autoSpaceDE w:val="0"/>
        <w:spacing w:before="0" w:after="0" w:line="360" w:lineRule="auto"/>
        <w:ind w:firstLine="422" w:firstLineChars="20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食品安全方案</w:t>
      </w:r>
    </w:p>
    <w:p w14:paraId="3CA37EAF">
      <w:pPr>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格式自拟</w:t>
      </w:r>
      <w:r>
        <w:rPr>
          <w:rFonts w:hint="eastAsia"/>
          <w:color w:val="auto"/>
          <w:sz w:val="21"/>
          <w:szCs w:val="21"/>
          <w:highlight w:val="none"/>
        </w:rPr>
        <w:t>）</w:t>
      </w:r>
    </w:p>
    <w:p w14:paraId="1FC35043">
      <w:pPr>
        <w:widowControl/>
        <w:autoSpaceDE w:val="0"/>
        <w:spacing w:before="0" w:after="0" w:line="360" w:lineRule="auto"/>
        <w:ind w:firstLine="420" w:firstLineChars="200"/>
        <w:jc w:val="center"/>
        <w:outlineLvl w:val="9"/>
        <w:rPr>
          <w:rFonts w:hint="eastAsia" w:ascii="宋体" w:hAnsi="宋体"/>
          <w:color w:val="auto"/>
          <w:sz w:val="21"/>
          <w:szCs w:val="21"/>
          <w:highlight w:val="none"/>
        </w:rPr>
      </w:pPr>
    </w:p>
    <w:p w14:paraId="10FF4AD9">
      <w:pPr>
        <w:pStyle w:val="5"/>
        <w:widowControl/>
        <w:autoSpaceDE w:val="0"/>
        <w:spacing w:before="0" w:after="0" w:line="360" w:lineRule="auto"/>
        <w:ind w:firstLine="422" w:firstLineChars="20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质量承诺及保障措施</w:t>
      </w:r>
    </w:p>
    <w:p w14:paraId="252653DA">
      <w:pPr>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格式自拟</w:t>
      </w:r>
      <w:r>
        <w:rPr>
          <w:rFonts w:hint="eastAsia"/>
          <w:color w:val="auto"/>
          <w:sz w:val="21"/>
          <w:szCs w:val="21"/>
          <w:highlight w:val="none"/>
        </w:rPr>
        <w:t>）</w:t>
      </w:r>
    </w:p>
    <w:p w14:paraId="7900C71E">
      <w:pPr>
        <w:pStyle w:val="22"/>
        <w:jc w:val="center"/>
        <w:rPr>
          <w:rFonts w:hint="eastAsia"/>
          <w:color w:val="auto"/>
          <w:sz w:val="21"/>
          <w:szCs w:val="21"/>
          <w:highlight w:val="none"/>
        </w:rPr>
      </w:pPr>
    </w:p>
    <w:p w14:paraId="2DBDB3E5">
      <w:pPr>
        <w:pStyle w:val="5"/>
        <w:widowControl/>
        <w:autoSpaceDE w:val="0"/>
        <w:spacing w:before="0" w:after="0" w:line="240" w:lineRule="auto"/>
        <w:ind w:firstLine="422" w:firstLineChars="200"/>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（四）</w:t>
      </w:r>
      <w:r>
        <w:rPr>
          <w:rFonts w:hint="eastAsia" w:ascii="宋体" w:hAnsi="宋体"/>
          <w:color w:val="auto"/>
          <w:sz w:val="21"/>
          <w:szCs w:val="21"/>
          <w:highlight w:val="none"/>
          <w:lang w:eastAsia="zh-CN"/>
        </w:rPr>
        <w:t>售后服务方案</w:t>
      </w:r>
    </w:p>
    <w:p w14:paraId="1277B226">
      <w:pPr>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格式自拟</w:t>
      </w:r>
      <w:r>
        <w:rPr>
          <w:rFonts w:hint="eastAsia"/>
          <w:color w:val="auto"/>
          <w:sz w:val="21"/>
          <w:szCs w:val="21"/>
          <w:highlight w:val="none"/>
        </w:rPr>
        <w:t>）</w:t>
      </w:r>
    </w:p>
    <w:p w14:paraId="4B3BC015">
      <w:pPr>
        <w:bidi w:val="0"/>
        <w:jc w:val="center"/>
        <w:rPr>
          <w:rFonts w:hint="eastAsia"/>
          <w:sz w:val="21"/>
          <w:szCs w:val="21"/>
          <w:highlight w:val="none"/>
          <w:lang w:eastAsia="zh-CN"/>
        </w:rPr>
      </w:pPr>
    </w:p>
    <w:p w14:paraId="7CA7D6D7">
      <w:pPr>
        <w:pStyle w:val="5"/>
        <w:widowControl/>
        <w:autoSpaceDE w:val="0"/>
        <w:spacing w:before="0" w:after="0" w:line="240" w:lineRule="auto"/>
        <w:ind w:firstLine="422" w:firstLineChars="200"/>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（五）人员管理</w:t>
      </w:r>
    </w:p>
    <w:p w14:paraId="5D0CEF4C">
      <w:pPr>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格式自拟</w:t>
      </w:r>
      <w:r>
        <w:rPr>
          <w:rFonts w:hint="eastAsia"/>
          <w:color w:val="auto"/>
          <w:sz w:val="21"/>
          <w:szCs w:val="21"/>
          <w:highlight w:val="none"/>
        </w:rPr>
        <w:t>）</w:t>
      </w:r>
    </w:p>
    <w:p w14:paraId="3CC3B945">
      <w:pPr>
        <w:jc w:val="center"/>
        <w:rPr>
          <w:rFonts w:hint="eastAsia"/>
          <w:color w:val="auto"/>
          <w:sz w:val="21"/>
          <w:szCs w:val="21"/>
          <w:highlight w:val="none"/>
        </w:rPr>
      </w:pPr>
    </w:p>
    <w:p w14:paraId="29FBD8DA">
      <w:pPr>
        <w:pStyle w:val="5"/>
        <w:widowControl/>
        <w:autoSpaceDE w:val="0"/>
        <w:spacing w:before="0" w:after="0" w:line="240" w:lineRule="auto"/>
        <w:jc w:val="center"/>
        <w:rPr>
          <w:rFonts w:hint="eastAsia" w:ascii="宋体" w:hAnsi="宋体"/>
          <w:color w:val="auto"/>
          <w:sz w:val="21"/>
          <w:szCs w:val="21"/>
          <w:highlight w:val="none"/>
        </w:rPr>
      </w:pPr>
      <w:bookmarkStart w:id="1219" w:name="_Toc9894"/>
      <w:bookmarkStart w:id="1220" w:name="_Toc27715"/>
      <w:bookmarkStart w:id="1221" w:name="_Toc3896319"/>
      <w:r>
        <w:rPr>
          <w:rFonts w:hint="eastAsia" w:ascii="宋体" w:hAnsi="宋体"/>
          <w:color w:val="auto"/>
          <w:sz w:val="21"/>
          <w:szCs w:val="21"/>
          <w:highlight w:val="none"/>
          <w:lang w:val="en-US" w:eastAsia="zh-CN"/>
        </w:rPr>
        <w:t>（六）</w:t>
      </w:r>
      <w:r>
        <w:rPr>
          <w:rFonts w:hint="eastAsia" w:ascii="宋体" w:hAnsi="宋体"/>
          <w:color w:val="auto"/>
          <w:sz w:val="21"/>
          <w:szCs w:val="21"/>
          <w:highlight w:val="none"/>
        </w:rPr>
        <w:t>其他资料</w:t>
      </w:r>
      <w:bookmarkEnd w:id="1219"/>
      <w:bookmarkEnd w:id="1220"/>
      <w:bookmarkEnd w:id="1221"/>
    </w:p>
    <w:p w14:paraId="3D524E2E">
      <w:pPr>
        <w:spacing w:before="158" w:beforeLines="50" w:line="360" w:lineRule="auto"/>
        <w:ind w:firstLine="630" w:firstLineChars="300"/>
        <w:rPr>
          <w:rFonts w:hint="eastAsia" w:ascii="宋体" w:hAnsi="宋体"/>
          <w:color w:val="auto"/>
          <w:sz w:val="21"/>
          <w:szCs w:val="21"/>
          <w:highlight w:val="none"/>
        </w:rPr>
      </w:pPr>
      <w:bookmarkStart w:id="1222" w:name="_Toc468"/>
      <w:bookmarkEnd w:id="1222"/>
      <w:bookmarkStart w:id="1223" w:name="_Toc12254"/>
      <w:bookmarkEnd w:id="1223"/>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竞争性磋商文件要求提交的其他资料</w:t>
      </w:r>
    </w:p>
    <w:p w14:paraId="358DADAA">
      <w:pPr>
        <w:spacing w:before="158" w:beforeLines="50" w:line="360" w:lineRule="auto"/>
        <w:ind w:firstLine="630" w:firstLineChars="300"/>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供应商认为需要提交的其他资料</w:t>
      </w:r>
    </w:p>
    <w:p w14:paraId="10320074">
      <w:pPr>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br w:type="page"/>
      </w:r>
    </w:p>
    <w:p w14:paraId="08438018">
      <w:pPr>
        <w:spacing w:line="360" w:lineRule="auto"/>
        <w:jc w:val="center"/>
        <w:outlineLvl w:val="0"/>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 xml:space="preserve">第五章 </w:t>
      </w:r>
      <w:bookmarkEnd w:id="1051"/>
      <w:bookmarkEnd w:id="1052"/>
      <w:r>
        <w:rPr>
          <w:rFonts w:hint="eastAsia" w:asciiTheme="minorEastAsia" w:hAnsiTheme="minorEastAsia" w:eastAsiaTheme="minorEastAsia"/>
          <w:b/>
          <w:bCs/>
          <w:color w:val="auto"/>
          <w:sz w:val="32"/>
          <w:szCs w:val="32"/>
          <w:highlight w:val="none"/>
        </w:rPr>
        <w:t>采购需求</w:t>
      </w:r>
      <w:bookmarkEnd w:id="1218"/>
    </w:p>
    <w:bookmarkEnd w:id="1053"/>
    <w:bookmarkEnd w:id="1054"/>
    <w:bookmarkEnd w:id="1055"/>
    <w:bookmarkEnd w:id="1056"/>
    <w:p w14:paraId="3E58051D">
      <w:pPr>
        <w:widowControl/>
        <w:spacing w:line="440" w:lineRule="exact"/>
        <w:ind w:firstLine="422" w:firstLineChars="200"/>
        <w:jc w:val="left"/>
        <w:rPr>
          <w:rFonts w:hint="eastAsia" w:ascii="宋体" w:hAnsi="宋体" w:cs="宋体"/>
          <w:color w:val="auto"/>
          <w:kern w:val="0"/>
          <w:sz w:val="21"/>
          <w:szCs w:val="21"/>
          <w:highlight w:val="none"/>
          <w:lang w:bidi="ar"/>
        </w:rPr>
      </w:pPr>
      <w:bookmarkStart w:id="1224" w:name="_Toc158233421"/>
      <w:r>
        <w:rPr>
          <w:rFonts w:hint="eastAsia" w:ascii="宋体" w:hAnsi="宋体" w:cs="宋体"/>
          <w:b/>
          <w:bCs/>
          <w:color w:val="auto"/>
          <w:kern w:val="0"/>
          <w:sz w:val="21"/>
          <w:szCs w:val="21"/>
          <w:highlight w:val="none"/>
          <w:lang w:bidi="ar"/>
        </w:rPr>
        <w:t>（一）采购标的需实现的功能或者目标，以及为落实采购政策需满足的要求：</w:t>
      </w:r>
    </w:p>
    <w:p w14:paraId="383486FF">
      <w:pPr>
        <w:spacing w:line="440" w:lineRule="exact"/>
        <w:ind w:firstLine="420" w:firstLineChars="200"/>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1.采购标的需实现的功能或者目标：</w:t>
      </w: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昆明高新技术产业开发区第四小学</w:t>
      </w:r>
      <w:r>
        <w:rPr>
          <w:rFonts w:hint="eastAsia" w:ascii="宋体" w:hAnsi="宋体" w:cs="宋体"/>
          <w:color w:val="auto"/>
          <w:sz w:val="21"/>
          <w:szCs w:val="21"/>
          <w:highlight w:val="none"/>
        </w:rPr>
        <w:t>要求，为学校食堂配送物资，种类包括：大米、面粉、食用油、肉类、禽蛋类、蔬菜类、豆制品、干菜类、调味品、</w:t>
      </w:r>
      <w:r>
        <w:rPr>
          <w:rFonts w:hint="eastAsia" w:ascii="宋体" w:hAnsi="宋体" w:cs="宋体"/>
          <w:color w:val="auto"/>
          <w:sz w:val="21"/>
          <w:szCs w:val="21"/>
          <w:highlight w:val="none"/>
          <w:lang w:val="en-US" w:eastAsia="zh-CN"/>
        </w:rPr>
        <w:t>牛奶、</w:t>
      </w:r>
      <w:r>
        <w:rPr>
          <w:rFonts w:hint="eastAsia" w:ascii="宋体" w:hAnsi="宋体" w:cs="宋体"/>
          <w:color w:val="auto"/>
          <w:sz w:val="21"/>
          <w:szCs w:val="21"/>
          <w:highlight w:val="none"/>
        </w:rPr>
        <w:t>其他等（配送物资的种类须包含但不局限于以上内容），</w:t>
      </w:r>
      <w:r>
        <w:rPr>
          <w:rFonts w:hint="eastAsia" w:ascii="宋体" w:hAnsi="宋体" w:cs="宋体"/>
          <w:color w:val="auto"/>
          <w:sz w:val="21"/>
          <w:szCs w:val="21"/>
          <w:highlight w:val="none"/>
          <w:lang w:val="en-US" w:eastAsia="zh-CN"/>
        </w:rPr>
        <w:t>采购人</w:t>
      </w:r>
      <w:r>
        <w:rPr>
          <w:rFonts w:hint="eastAsia" w:ascii="宋体" w:hAnsi="宋体" w:cs="宋体"/>
          <w:color w:val="auto"/>
          <w:sz w:val="21"/>
          <w:szCs w:val="21"/>
          <w:highlight w:val="none"/>
        </w:rPr>
        <w:t>不接受经过冷冻保存的食材</w:t>
      </w:r>
      <w:r>
        <w:rPr>
          <w:rFonts w:hint="eastAsia" w:hAnsi="宋体"/>
          <w:color w:val="auto"/>
          <w:sz w:val="21"/>
          <w:szCs w:val="21"/>
          <w:highlight w:val="none"/>
        </w:rPr>
        <w:t>。</w:t>
      </w:r>
    </w:p>
    <w:p w14:paraId="540F4DFB">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2.为落实采购政策需满足的要求：中小企业扶持政策：根据《政府采购促进中小企业发展管理办法》（财库[2020]46 号）及《关于进一步加大政府采购支持中小企业力度的通知》（财库[2022]19号）的规定。监狱企业和残疾人福利性单位视同小型、微型企业。</w:t>
      </w:r>
    </w:p>
    <w:p w14:paraId="23E550A0">
      <w:pPr>
        <w:widowControl/>
        <w:spacing w:line="440" w:lineRule="exact"/>
        <w:ind w:firstLine="422" w:firstLineChars="200"/>
        <w:jc w:val="left"/>
        <w:rPr>
          <w:rFonts w:hint="eastAsia"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（二）采购标的需满足的质量、安全、技术规格、物理特性等要求：</w:t>
      </w:r>
    </w:p>
    <w:p w14:paraId="550A0337">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1.质量要求：产品质量必须达到国家合格产品质量标准，符合《中华人民共和国产品质量法》《中华人民共和国食品安全法》</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《中华人民共和国食品安全法实施条例》等国家、行业规定及竞争性磋商文件、采购人需求。</w:t>
      </w:r>
    </w:p>
    <w:p w14:paraId="7D9249B4">
      <w:pPr>
        <w:widowControl/>
        <w:spacing w:line="44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r>
        <w:rPr>
          <w:rFonts w:hint="eastAsia" w:ascii="宋体" w:hAnsi="宋体" w:cs="宋体"/>
          <w:color w:val="auto"/>
          <w:sz w:val="21"/>
          <w:szCs w:val="21"/>
          <w:highlight w:val="none"/>
        </w:rPr>
        <w:t>供货价格不超过同期市场价格。如因成交单位所提供的食材出现任何食品安全事件及涉及所提供的食材对师生健康有影响，由成交单位负全责，采购人有权立即解除合同并追究相应责任。</w:t>
      </w:r>
    </w:p>
    <w:p w14:paraId="482144CB">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3.产品外包装必须符合食品包装要求，完好无损，无污迹，标识标签齐全，厂名、厂址、配料、保质期、生产日期清楚。</w:t>
      </w:r>
    </w:p>
    <w:p w14:paraId="20748C4B">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4.供应商应严格遵守《食品卫生法》</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《产品质量法》</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 xml:space="preserve">《消费者权益保护法》等相关规定，供货过程若发现供应商供应的货物存在以下情况的，除全部退货外，将取消成交单位的供货资格,并承担由此造成的经济责任和法律责任： </w:t>
      </w:r>
    </w:p>
    <w:p w14:paraId="04153377">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（1）腐败变质、霉变、生虫、污秽不洁、混有异物或者其他感官性状异常，对人体健康有害的；</w:t>
      </w:r>
    </w:p>
    <w:p w14:paraId="4A06D5D5">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（2）含有毒、有害物质或者被有害物质污染，对人体健康有害的；</w:t>
      </w:r>
    </w:p>
    <w:p w14:paraId="72624612">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（3）含有致病性寄生虫、微生物或者微生物含量超过国家限定标准的；</w:t>
      </w:r>
    </w:p>
    <w:p w14:paraId="50678C46">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（4）掺假、掺杂、伪造，影响营养、卫生的；</w:t>
      </w:r>
    </w:p>
    <w:p w14:paraId="07EED8E5">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（5）对采购方提出的确实存在质量问题的物品要求更换、退货、补足商品数量、退还货款和服务费用或者赔偿损失的要求，故意拖延或者无理拒绝的；</w:t>
      </w:r>
    </w:p>
    <w:p w14:paraId="5A1D62F1">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（6）超过保质期限的；</w:t>
      </w:r>
    </w:p>
    <w:p w14:paraId="0A017DEA">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（7）法律、法规规定的对损害消费者权益应当予以处罚的其他情形。</w:t>
      </w:r>
    </w:p>
    <w:p w14:paraId="589EDB5D">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5.在供货期间，若采购人对成交单位所供货物质量产生异议，送政府质量检测部门检验。如检验不合格，检验费由成交单位承担，并依照合同承担责任。若发生类似情况两次以上，则合同终止。</w:t>
      </w:r>
    </w:p>
    <w:p w14:paraId="13147D70">
      <w:pPr>
        <w:widowControl/>
        <w:spacing w:line="440" w:lineRule="exact"/>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6.成交单位在合同期内应切实做到，保质、保量、准时送货。成交单位在供货期间必须按照成交规格型号供货，不得更换。凡所供货物的质量、品种、数量与采购人提供的清单不符时，采购人有权拒收，并由成交单位承担由此造成的直接经济损失。</w:t>
      </w:r>
    </w:p>
    <w:p w14:paraId="48D328F3">
      <w:pPr>
        <w:widowControl/>
        <w:spacing w:line="44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7.采购标的规格技术参数、性能要求</w:t>
      </w:r>
    </w:p>
    <w:tbl>
      <w:tblPr>
        <w:tblStyle w:val="54"/>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1"/>
        <w:gridCol w:w="1286"/>
        <w:gridCol w:w="7804"/>
      </w:tblGrid>
      <w:tr w14:paraId="59EBF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521" w:type="dxa"/>
            <w:shd w:val="clear" w:color="auto" w:fill="FFFFFF"/>
            <w:noWrap w:val="0"/>
            <w:vAlign w:val="center"/>
          </w:tcPr>
          <w:p w14:paraId="4E1336A0">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Arial"/>
                <w:b/>
                <w:bCs/>
                <w:color w:val="auto"/>
                <w:kern w:val="0"/>
                <w:sz w:val="21"/>
                <w:szCs w:val="21"/>
                <w:highlight w:val="none"/>
              </w:rPr>
            </w:pPr>
            <w:r>
              <w:rPr>
                <w:rFonts w:hint="eastAsia" w:ascii="宋体" w:hAnsi="宋体" w:cs="Arial"/>
                <w:b/>
                <w:bCs/>
                <w:color w:val="auto"/>
                <w:kern w:val="0"/>
                <w:sz w:val="21"/>
                <w:szCs w:val="21"/>
                <w:highlight w:val="none"/>
              </w:rPr>
              <w:t>序号</w:t>
            </w:r>
          </w:p>
        </w:tc>
        <w:tc>
          <w:tcPr>
            <w:tcW w:w="1286" w:type="dxa"/>
            <w:shd w:val="clear" w:color="auto" w:fill="FFFFFF"/>
            <w:noWrap w:val="0"/>
            <w:vAlign w:val="center"/>
          </w:tcPr>
          <w:p w14:paraId="3D595FA9">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cs="Arial"/>
                <w:b/>
                <w:bCs/>
                <w:color w:val="auto"/>
                <w:kern w:val="0"/>
                <w:sz w:val="21"/>
                <w:szCs w:val="21"/>
                <w:highlight w:val="none"/>
              </w:rPr>
            </w:pPr>
            <w:r>
              <w:rPr>
                <w:rFonts w:hint="eastAsia" w:ascii="宋体" w:hAnsi="宋体" w:cs="Arial"/>
                <w:b/>
                <w:bCs/>
                <w:color w:val="auto"/>
                <w:kern w:val="0"/>
                <w:sz w:val="21"/>
                <w:szCs w:val="21"/>
                <w:highlight w:val="none"/>
              </w:rPr>
              <w:t>物资种类</w:t>
            </w:r>
          </w:p>
        </w:tc>
        <w:tc>
          <w:tcPr>
            <w:tcW w:w="7804" w:type="dxa"/>
            <w:shd w:val="clear" w:color="auto" w:fill="FFFFFF"/>
            <w:noWrap w:val="0"/>
            <w:vAlign w:val="center"/>
          </w:tcPr>
          <w:p w14:paraId="5790E20D">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cs="Arial"/>
                <w:b/>
                <w:bCs/>
                <w:color w:val="auto"/>
                <w:kern w:val="0"/>
                <w:sz w:val="21"/>
                <w:szCs w:val="21"/>
                <w:highlight w:val="none"/>
              </w:rPr>
            </w:pPr>
            <w:r>
              <w:rPr>
                <w:rFonts w:hint="eastAsia" w:ascii="宋体" w:hAnsi="宋体" w:cs="Arial"/>
                <w:b/>
                <w:bCs/>
                <w:color w:val="auto"/>
                <w:kern w:val="0"/>
                <w:sz w:val="21"/>
                <w:szCs w:val="21"/>
                <w:highlight w:val="none"/>
              </w:rPr>
              <w:t>规格（技术参数、性能要求）</w:t>
            </w:r>
          </w:p>
        </w:tc>
      </w:tr>
      <w:tr w14:paraId="32BDF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521" w:type="dxa"/>
            <w:shd w:val="clear" w:color="auto" w:fill="FFFFFF"/>
            <w:noWrap w:val="0"/>
            <w:vAlign w:val="center"/>
          </w:tcPr>
          <w:p w14:paraId="06CD8410">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286" w:type="dxa"/>
            <w:shd w:val="clear" w:color="auto" w:fill="FFFFFF"/>
            <w:noWrap w:val="0"/>
            <w:vAlign w:val="center"/>
          </w:tcPr>
          <w:p w14:paraId="40637737">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大米</w:t>
            </w:r>
          </w:p>
        </w:tc>
        <w:tc>
          <w:tcPr>
            <w:tcW w:w="7804" w:type="dxa"/>
            <w:shd w:val="clear" w:color="auto" w:fill="FFFFFF"/>
            <w:noWrap w:val="0"/>
            <w:vAlign w:val="center"/>
          </w:tcPr>
          <w:p w14:paraId="51A52D06">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符合中华人民共和国国家质量卫生标准GB1354-2018的大米（粳米）标准、为国标一级（等）及其以上的粳米，并拥有“SC”食品质量安全认证；必须是当年或者当期新米，大米颗粒饱满，均匀完整、色泽纯正、无杂质、无霉变、无异味、无虫尸鼠粪、无黄粒米、稻谷、稗子，水分小于14.5%。</w:t>
            </w:r>
          </w:p>
          <w:p w14:paraId="40898A82">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2.包装符合GB/T 17109的规定及食品安全要求，用纤维袋或塑料袋定量包装(袋装，规格由双方协商确定，以便于运输存储使用为原则)。包装标识清楚，印有食品生产许可证编号“SC”加14位阿拉伯数字，保质期、生产厂家、电话等；合格证印有生产日期、执行标准、质量等级等。</w:t>
            </w:r>
          </w:p>
          <w:p w14:paraId="77421BB2">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3.大米供应的规格为25KG/袋，负偏不得超过150g，如连续抽查10袋都未达到标准重量，则按所供大米全部数量再补上差额部分。</w:t>
            </w:r>
          </w:p>
          <w:p w14:paraId="357C9971">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4.粗粮（玉米、高粱、荞麦、小米、紫米、黍、糯米等）、麦类（小麦、大麦、青稞、黑麦、燕麦等）粗粮及麦类须提供正规厂家生产的独立袋装产品。</w:t>
            </w:r>
          </w:p>
          <w:p w14:paraId="2132A914">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5.供货时每批货需附第三方有资质的质检机构出具的产品检验报告、</w:t>
            </w:r>
            <w:r>
              <w:rPr>
                <w:rFonts w:hint="eastAsia" w:ascii="宋体" w:hAnsi="宋体" w:cs="宋体"/>
                <w:color w:val="auto"/>
                <w:kern w:val="0"/>
                <w:sz w:val="21"/>
                <w:szCs w:val="21"/>
                <w:highlight w:val="none"/>
                <w:lang w:bidi="ar"/>
              </w:rPr>
              <w:t>检验合格证、生产厂家相关资格证书、生产日期、保质期以及生产厂家联系电话。</w:t>
            </w:r>
          </w:p>
          <w:p w14:paraId="063D4DA1">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6.供货时每批货剩余有效保质期不少于6个月。</w:t>
            </w:r>
          </w:p>
        </w:tc>
      </w:tr>
      <w:tr w14:paraId="36E52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521" w:type="dxa"/>
            <w:shd w:val="clear" w:color="auto" w:fill="FFFFFF"/>
            <w:noWrap w:val="0"/>
            <w:vAlign w:val="center"/>
          </w:tcPr>
          <w:p w14:paraId="137778D5">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286" w:type="dxa"/>
            <w:shd w:val="clear" w:color="auto" w:fill="FFFFFF"/>
            <w:noWrap w:val="0"/>
            <w:vAlign w:val="center"/>
          </w:tcPr>
          <w:p w14:paraId="61EAA94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面粉</w:t>
            </w:r>
          </w:p>
        </w:tc>
        <w:tc>
          <w:tcPr>
            <w:tcW w:w="7804" w:type="dxa"/>
            <w:shd w:val="clear" w:color="auto" w:fill="FFFFFF"/>
            <w:noWrap w:val="0"/>
            <w:vAlign w:val="center"/>
          </w:tcPr>
          <w:p w14:paraId="698A6412">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面粉(小麦粉制品、高精面粉、中精面粉、低精面粉等)必须符合国家规定的生产质量标准，提供国家有关职能部门核准的检测报告或检验合格证。符合国家《中华人民共和国农产品质量安全法》、GB2715《粮食卫生标准》、GB1355-86小麦粉标准等相关法律法规覆盖的要求，</w:t>
            </w:r>
            <w:r>
              <w:rPr>
                <w:rFonts w:hint="eastAsia" w:ascii="宋体" w:hAnsi="宋体" w:cs="宋体"/>
                <w:color w:val="auto"/>
                <w:sz w:val="21"/>
                <w:szCs w:val="21"/>
                <w:highlight w:val="none"/>
              </w:rPr>
              <w:t>并拥有“SC”食品质量安全认证。</w:t>
            </w:r>
          </w:p>
          <w:p w14:paraId="0F6C77A9">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2.标签及包装标识内容应符合国家相关规定，具有相应标签的产品名称、厂名、厂址、保质期、质量标准代号、有生产日期、保质期，生产厂家，电话等，收货后保质期不少于半年。</w:t>
            </w:r>
          </w:p>
          <w:p w14:paraId="3FC349A9">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3.面粉供应的规格为25KG/袋。</w:t>
            </w:r>
          </w:p>
          <w:p w14:paraId="4B194846">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4.包装袋坚固结实，封口严密并符合国家GB/T17109规定和要求。</w:t>
            </w:r>
          </w:p>
          <w:p w14:paraId="7D35EB3A">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5.重量符合包装袋上的标识，对国家标准内的重量±误差因素不予考虑。</w:t>
            </w:r>
          </w:p>
          <w:p w14:paraId="083B12E7">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6.有同批次有效的检验报告。</w:t>
            </w:r>
          </w:p>
        </w:tc>
      </w:tr>
      <w:tr w14:paraId="5A80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521" w:type="dxa"/>
            <w:shd w:val="clear" w:color="auto" w:fill="FFFFFF"/>
            <w:noWrap w:val="0"/>
            <w:vAlign w:val="center"/>
          </w:tcPr>
          <w:p w14:paraId="32E4A641">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86" w:type="dxa"/>
            <w:shd w:val="clear" w:color="auto" w:fill="FFFFFF"/>
            <w:noWrap w:val="0"/>
            <w:vAlign w:val="center"/>
          </w:tcPr>
          <w:p w14:paraId="544822AF">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食用油</w:t>
            </w:r>
          </w:p>
        </w:tc>
        <w:tc>
          <w:tcPr>
            <w:tcW w:w="7804" w:type="dxa"/>
            <w:shd w:val="clear" w:color="auto" w:fill="FFFFFF"/>
            <w:noWrap w:val="0"/>
            <w:vAlign w:val="center"/>
          </w:tcPr>
          <w:p w14:paraId="1A1CD0E8">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1.食用油必须符合《食品安全国家标准植物油》GB 2716-2018、符合国家、省、市及行业现行最新质量技术标准、规范，并拥有“SC”食品质量安全认证，质量等级：国标级一级；纯菜籽油；质量要求：色泽正常，澄清透明，口感良好，澄清、透明，无悬浮物、无杂质、无沉淀物，无焦臭、酸败及其它异味；要使用一次性专用包装，非散装、灌装食用油。</w:t>
            </w:r>
          </w:p>
          <w:p w14:paraId="5CAABD8C">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包装应符合GB/T17374《食用植物油销售包装》及GB7718《预包装食品标签通则》。必须为预包装产品，规格以便于运输存储使用为原则，由双方协商确定。包装标识清楚，印有生产许可证编号“SC”加14位阿拉伯数字、生产日期、保质期、生产厂家、电话等。</w:t>
            </w:r>
          </w:p>
          <w:p w14:paraId="4E26A812">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3.规格：20升/件硬包装（比重：每升=0.92千克），箱装，送达的货物若连续抽查10件以上并计算平均值，如未达到标准，则按所供货物全部数量减去差额部分。 </w:t>
            </w:r>
          </w:p>
          <w:p w14:paraId="78A336EA">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4.供货时每批货需附第三方有资质的质检机构出具的产品检验报告。</w:t>
            </w:r>
          </w:p>
          <w:p w14:paraId="405B4648">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5.供货时每批货剩余有效保质期不少于12个月。</w:t>
            </w:r>
          </w:p>
        </w:tc>
      </w:tr>
      <w:tr w14:paraId="5A9AE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jc w:val="center"/>
        </w:trPr>
        <w:tc>
          <w:tcPr>
            <w:tcW w:w="521" w:type="dxa"/>
            <w:shd w:val="clear" w:color="auto" w:fill="FFFFFF"/>
            <w:noWrap w:val="0"/>
            <w:vAlign w:val="center"/>
          </w:tcPr>
          <w:p w14:paraId="3FD57F0A">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286" w:type="dxa"/>
            <w:shd w:val="clear" w:color="auto" w:fill="FFFFFF"/>
            <w:noWrap w:val="0"/>
            <w:vAlign w:val="center"/>
          </w:tcPr>
          <w:p w14:paraId="115C9B3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肉类</w:t>
            </w:r>
          </w:p>
        </w:tc>
        <w:tc>
          <w:tcPr>
            <w:tcW w:w="7804" w:type="dxa"/>
            <w:shd w:val="clear" w:color="auto" w:fill="FFFFFF"/>
            <w:noWrap w:val="0"/>
            <w:vAlign w:val="center"/>
          </w:tcPr>
          <w:p w14:paraId="1F9F0685">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一、猪肉</w:t>
            </w:r>
          </w:p>
          <w:p w14:paraId="4B3EE73A">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bidi="ar"/>
              </w:rPr>
              <w:t>1.必须符合国家《中华人民共和国标准猪肉卫生标准》和《中华人民共和国食品安全法》，符合《食品安全国家标准 鲜（冻）畜、禽产品》（G</w:t>
            </w:r>
            <w:r>
              <w:rPr>
                <w:rFonts w:hint="eastAsia" w:ascii="宋体" w:hAnsi="宋体" w:eastAsia="宋体" w:cs="宋体"/>
                <w:color w:val="auto"/>
                <w:kern w:val="0"/>
                <w:sz w:val="21"/>
                <w:szCs w:val="21"/>
                <w:highlight w:val="none"/>
                <w:lang w:bidi="ar"/>
              </w:rPr>
              <w:t>B 2707-2016）的规定,具备屠宰当天的检疫证明，并提供生猪定点屠宰证、动物检验检疫合格证。</w:t>
            </w:r>
          </w:p>
          <w:p w14:paraId="050D39E0">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2.鲜猪肉产品质量要求：</w:t>
            </w:r>
          </w:p>
          <w:p w14:paraId="3E1A14E3">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①根据采购人需求须配送去皮猪肉；</w:t>
            </w:r>
          </w:p>
          <w:p w14:paraId="6DC4F0FD">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②每次送货须提供当批次猪肉的“动物检疫检疫合格证”，并加盖检疫合格滚筒章；</w:t>
            </w:r>
          </w:p>
          <w:p w14:paraId="7194782A">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③根据采购人分类要求，按后腿肉、前腿肉、里脊肉、排骨、筒子骨、内脏等部位进行配送；</w:t>
            </w:r>
          </w:p>
          <w:p w14:paraId="6198EBD5">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④根据采购人实际需求，提供肉丝、肉片、肉丁、肉末等；</w:t>
            </w:r>
          </w:p>
          <w:p w14:paraId="7694B21F">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⑤肉类颜色正常，感观好，不得提供冷冻肉充当鲜肉。杜绝提供未经动物检疫部门检疫、检验不合格的肉类及其制品。</w:t>
            </w:r>
          </w:p>
          <w:p w14:paraId="19E87B8B">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3.拒收种母猪、种公猪猪肉、冰冻肉和猪头；若达不到上述要求，采购人有权拒收。</w:t>
            </w:r>
          </w:p>
          <w:p w14:paraId="40F5E8E4">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4.配送车辆要求冷藏车配送，以保证猪肉新鲜、干净卫生，每次配送猪肉有异味或不是当日宰杀新鲜猪肉的，采购人有权拒收并不承担任何责任。</w:t>
            </w:r>
          </w:p>
          <w:p w14:paraId="72632353">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bidi="ar"/>
              </w:rPr>
              <w:t>5.猪板油符合《食品安全国家标准 鲜（</w:t>
            </w:r>
            <w:r>
              <w:rPr>
                <w:rFonts w:hint="eastAsia" w:ascii="宋体" w:hAnsi="宋体" w:cs="宋体"/>
                <w:color w:val="auto"/>
                <w:sz w:val="21"/>
                <w:szCs w:val="21"/>
                <w:highlight w:val="none"/>
              </w:rPr>
              <w:t>冻）畜、禽产品》（GB 2707-2016）的规定必须色泽亮白，有光泽，无污染，无杂质，无霉点，无臭味、异味、酸味。</w:t>
            </w:r>
          </w:p>
          <w:p w14:paraId="3EC33CFD">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二、牛肉</w:t>
            </w:r>
          </w:p>
          <w:p w14:paraId="6B82C5DD">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1.牛肉（净肉）不包括头、尾、内脏、蹄子、牛皮、骨头、软骨、牛筋；</w:t>
            </w:r>
          </w:p>
          <w:p w14:paraId="1250D25F">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2.所投肉类产品须持有产品定点屠宰证明、检疫检验证明、动物防疫条件合格证等相关产品合法溯源性证明；</w:t>
            </w:r>
          </w:p>
          <w:p w14:paraId="1B310CC4">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3.所供应肉类必须为当天宰杀的，新鲜牛肉，非冷冻肉，检验合格的牛肉、非注水肉；</w:t>
            </w:r>
          </w:p>
          <w:p w14:paraId="0991324A">
            <w:pPr>
              <w:keepNext w:val="0"/>
              <w:keepLines w:val="0"/>
              <w:pageBreakBefore w:val="0"/>
              <w:kinsoku/>
              <w:wordWrap/>
              <w:overflowPunct/>
              <w:topLinePunct w:val="0"/>
              <w:bidi w:val="0"/>
              <w:adjustRightInd/>
              <w:snapToGrid/>
              <w:spacing w:line="360" w:lineRule="auto"/>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4.所供应肉类必须为符合国家食品质量标准要求；</w:t>
            </w:r>
          </w:p>
          <w:p w14:paraId="6A1A4086">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rPr>
              <w:t>5.</w:t>
            </w:r>
            <w:r>
              <w:rPr>
                <w:rFonts w:hint="eastAsia" w:ascii="宋体" w:hAnsi="宋体" w:eastAsia="宋体" w:cs="宋体"/>
                <w:color w:val="auto"/>
                <w:kern w:val="0"/>
                <w:sz w:val="21"/>
                <w:szCs w:val="21"/>
                <w:highlight w:val="none"/>
              </w:rPr>
              <w:t>从宰杀到送货不得超过6小时。</w:t>
            </w:r>
          </w:p>
          <w:p w14:paraId="1261D7B7">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注：供应商对此牛肉从屠宰到配送整个过程必须采取清真措施。</w:t>
            </w:r>
          </w:p>
          <w:p w14:paraId="4C93675D">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三、禽类</w:t>
            </w:r>
          </w:p>
          <w:p w14:paraId="323930B1">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1.禽类(或禽类制品)类须符合国家法定要求，必须具有货物来源的证明材料。</w:t>
            </w:r>
          </w:p>
          <w:p w14:paraId="333C6510">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2.产品质量要求:符合国家《中华人民共和国标准猪肉卫生标准》和《中华人民共和国食品安全法》，符合《食品安全国家标准 鲜（冻）畜、禽产品》（GB 2707-2016）的规定,禽类必须提供鲜肉，并按食堂实际要求提供如:肉鸡、土杂鸡等)，肉类颜色要正常，感观好，不得提供冷冻的肉充当鲜肉。禽类制品必须注册商标、产品合格证、检验报告冷冻鸡肉产品必须是肉食鸡、蛋鸡、种鸡宰杀并经加工、冷藏。杜绝提供病死、毒死或者死因不明的禽类及其制品。</w:t>
            </w:r>
          </w:p>
        </w:tc>
      </w:tr>
      <w:tr w14:paraId="434BD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521" w:type="dxa"/>
            <w:shd w:val="clear" w:color="auto" w:fill="FFFFFF"/>
            <w:noWrap w:val="0"/>
            <w:vAlign w:val="center"/>
          </w:tcPr>
          <w:p w14:paraId="0765C218">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286" w:type="dxa"/>
            <w:shd w:val="clear" w:color="auto" w:fill="FFFFFF"/>
            <w:noWrap w:val="0"/>
            <w:vAlign w:val="center"/>
          </w:tcPr>
          <w:p w14:paraId="128D759A">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禽蛋类</w:t>
            </w:r>
          </w:p>
        </w:tc>
        <w:tc>
          <w:tcPr>
            <w:tcW w:w="7804" w:type="dxa"/>
            <w:shd w:val="clear" w:color="auto" w:fill="FFFFFF"/>
            <w:noWrap w:val="0"/>
            <w:vAlign w:val="center"/>
          </w:tcPr>
          <w:p w14:paraId="67F3596D">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①禽类（或禽类制品）类须符合国家法定要求，必须具有动物检验检疫证明等有效证件（不得提供转基因食品）；</w:t>
            </w:r>
          </w:p>
          <w:p w14:paraId="4B96BB53">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②禽类（或禽类制品）产品质量要求：符合国家GB 2707-2016 食品安全国家标准鲜(冻)、禽产品标准；鲜肉类必须提供当日宰杀的新鲜肉，从宰杀到送货不得超过6小时，并按学校实际要求提供（如：肉鸡、土杂鸡等），肉类颜色要正常，感观好，不得提供冷藏的肉充当鲜肉。</w:t>
            </w:r>
          </w:p>
          <w:p w14:paraId="5B71E113">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③禽蛋类符合 GB 21710-2016 食品安全国家标准蛋与蛋制品生产卫生规范，新鲜，具有禽蛋固有的色泽，蛋壳清洁，无破裂，打开后蛋壳凸起，完整，有韧性，蛋白澄清透明，稀稠分明，无异味，无杂质，内容没有血块及其他组织异物，质量及其标识执行国家标准。</w:t>
            </w:r>
          </w:p>
          <w:p w14:paraId="7C73143D">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④外箱清洁无破损、无污染，产品标识清晰；蛋壳清洁、无破裂，具有鸡蛋、鹌鹑蛋固有的气味，无异味、无杂质,生产日期须在一周以内。</w:t>
            </w:r>
          </w:p>
        </w:tc>
      </w:tr>
      <w:tr w14:paraId="7E012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jc w:val="center"/>
        </w:trPr>
        <w:tc>
          <w:tcPr>
            <w:tcW w:w="521" w:type="dxa"/>
            <w:shd w:val="clear" w:color="auto" w:fill="FFFFFF"/>
            <w:noWrap w:val="0"/>
            <w:vAlign w:val="center"/>
          </w:tcPr>
          <w:p w14:paraId="2E24BF76">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286" w:type="dxa"/>
            <w:shd w:val="clear" w:color="auto" w:fill="FFFFFF"/>
            <w:noWrap w:val="0"/>
            <w:vAlign w:val="center"/>
          </w:tcPr>
          <w:p w14:paraId="73227946">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蔬菜类</w:t>
            </w:r>
          </w:p>
        </w:tc>
        <w:tc>
          <w:tcPr>
            <w:tcW w:w="7804" w:type="dxa"/>
            <w:shd w:val="clear" w:color="auto" w:fill="FFFFFF"/>
            <w:noWrap w:val="0"/>
            <w:vAlign w:val="center"/>
          </w:tcPr>
          <w:p w14:paraId="326BC7DF">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所供应的蔬菜必须符合GB/T23351-2009《国家新鲜水果和蔬菜质量标准标准》及《中华人民共和国食品安全法》和国家相关质量检验标准、卫生标准及地方的相关法律法规要求，以及采购人的验收标准，定期提供国家核准的专业部门农药残留检测报告，按时向采购人供应蔬菜。</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所供应蔬菜为新鲜蔬菜，严禁浸水、人工染色，根、茎新鲜，包叶菜的外层粗皮除干净，无虫咬、发芽、发霉、腐烂变质等情况。蔬菜农用药残留量、有害物质残留量及其它元素含量不得超过国家食品安全规定的相关标准。所供应蔬菜为非转基因植物。</w:t>
            </w:r>
          </w:p>
        </w:tc>
      </w:tr>
      <w:tr w14:paraId="7358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521" w:type="dxa"/>
            <w:shd w:val="clear" w:color="auto" w:fill="FFFFFF"/>
            <w:noWrap w:val="0"/>
            <w:vAlign w:val="center"/>
          </w:tcPr>
          <w:p w14:paraId="44F87952">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286" w:type="dxa"/>
            <w:shd w:val="clear" w:color="auto" w:fill="FFFFFF"/>
            <w:noWrap w:val="0"/>
            <w:vAlign w:val="center"/>
          </w:tcPr>
          <w:p w14:paraId="35B14405">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豆制品</w:t>
            </w:r>
          </w:p>
        </w:tc>
        <w:tc>
          <w:tcPr>
            <w:tcW w:w="7804" w:type="dxa"/>
            <w:shd w:val="clear" w:color="auto" w:fill="FFFFFF"/>
            <w:noWrap w:val="0"/>
            <w:vAlign w:val="center"/>
          </w:tcPr>
          <w:p w14:paraId="53CFE807">
            <w:pPr>
              <w:keepNext w:val="0"/>
              <w:keepLines w:val="0"/>
              <w:pageBreakBefore w:val="0"/>
              <w:kinsoku/>
              <w:wordWrap/>
              <w:overflowPunct/>
              <w:topLinePunct w:val="0"/>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以大豆或杂豆为主要原料，经过加工制成的食品，包括发酵豆制品、非发酵豆制品和大豆蛋白类制品，须符合国家法定要求，具有应有的色泽、滋味、气味，无异味，具有应有的状态，无霉变，无正常视力可见的外来异物。</w:t>
            </w:r>
          </w:p>
        </w:tc>
      </w:tr>
      <w:tr w14:paraId="4A125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9" w:hRule="atLeast"/>
          <w:jc w:val="center"/>
        </w:trPr>
        <w:tc>
          <w:tcPr>
            <w:tcW w:w="521" w:type="dxa"/>
            <w:shd w:val="clear" w:color="auto" w:fill="FFFFFF"/>
            <w:noWrap w:val="0"/>
            <w:vAlign w:val="center"/>
          </w:tcPr>
          <w:p w14:paraId="1371DBC1">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1286" w:type="dxa"/>
            <w:shd w:val="clear" w:color="auto" w:fill="FFFFFF"/>
            <w:noWrap w:val="0"/>
            <w:vAlign w:val="center"/>
          </w:tcPr>
          <w:p w14:paraId="5B0890D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干菜类</w:t>
            </w:r>
          </w:p>
        </w:tc>
        <w:tc>
          <w:tcPr>
            <w:tcW w:w="7804" w:type="dxa"/>
            <w:shd w:val="clear" w:color="auto" w:fill="FFFFFF"/>
            <w:noWrap w:val="0"/>
            <w:vAlign w:val="center"/>
          </w:tcPr>
          <w:p w14:paraId="29C1BD88">
            <w:pPr>
              <w:pStyle w:val="3"/>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符合《农产品质量安全法》，商品外包装完好无损，商标图案清晰明了，必须标识产品名称、净含量、生产日期、保质期、贮存条件、生产商及地址和联系方式、产品标准号和生产许可证编号、营养成分表、产品等级等信息，缺少任何一项即为不合格产品。不接受散装产品。</w:t>
            </w:r>
          </w:p>
        </w:tc>
      </w:tr>
      <w:tr w14:paraId="73F00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5" w:hRule="atLeast"/>
          <w:jc w:val="center"/>
        </w:trPr>
        <w:tc>
          <w:tcPr>
            <w:tcW w:w="521" w:type="dxa"/>
            <w:shd w:val="clear" w:color="auto" w:fill="FFFFFF"/>
            <w:noWrap w:val="0"/>
            <w:vAlign w:val="center"/>
          </w:tcPr>
          <w:p w14:paraId="5A428410">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1286" w:type="dxa"/>
            <w:shd w:val="clear" w:color="auto" w:fill="FFFFFF"/>
            <w:noWrap w:val="0"/>
            <w:vAlign w:val="center"/>
          </w:tcPr>
          <w:p w14:paraId="1448EC0B">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调味品</w:t>
            </w:r>
          </w:p>
        </w:tc>
        <w:tc>
          <w:tcPr>
            <w:tcW w:w="7804" w:type="dxa"/>
            <w:shd w:val="clear" w:color="auto" w:fill="FFFFFF"/>
            <w:noWrap w:val="0"/>
            <w:vAlign w:val="center"/>
          </w:tcPr>
          <w:p w14:paraId="1C204311">
            <w:pPr>
              <w:pStyle w:val="3"/>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符合 GB/T 20903-2007 国家标准，符合《中华人民共和国食品安全法》和国家食品生产、检验、销售等相关质量检验标准、卫生标准及地方的相关法律法规要求。包装上必须注明品牌、生产厂商、联系电话、生产日期、质保期、生产批号等，杜绝提供腐败变质，霉变、生虫、污秽不洁、混有异物或者其他感官性状异常，对人体健康有害的产品，杜绝提供含有毒、有害物质或者被有害物质污染，对人体健康有害的产品，杜绝提供含有致病性寄生虫、微生物或者微生物含量超过国家限定标准的产品杜绝提供掺假、掺杂、伪造，影响营养、卫生的产品，杜绝提供用非食品原料加工的，加入非食品用化学物质或者将非食品当作食品的产品杜绝提供超过保质期限的产品。不接受散装产品。</w:t>
            </w:r>
          </w:p>
        </w:tc>
      </w:tr>
      <w:tr w14:paraId="47CBC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jc w:val="center"/>
        </w:trPr>
        <w:tc>
          <w:tcPr>
            <w:tcW w:w="521" w:type="dxa"/>
            <w:shd w:val="clear" w:color="auto" w:fill="FFFFFF"/>
            <w:noWrap w:val="0"/>
            <w:vAlign w:val="center"/>
          </w:tcPr>
          <w:p w14:paraId="67E1C5E6">
            <w:pPr>
              <w:keepNext w:val="0"/>
              <w:keepLines w:val="0"/>
              <w:pageBreakBefore w:val="0"/>
              <w:widowControl/>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286" w:type="dxa"/>
            <w:shd w:val="clear" w:color="auto" w:fill="FFFFFF"/>
            <w:noWrap w:val="0"/>
            <w:vAlign w:val="center"/>
          </w:tcPr>
          <w:p w14:paraId="1D790FE5">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牛奶</w:t>
            </w:r>
          </w:p>
        </w:tc>
        <w:tc>
          <w:tcPr>
            <w:tcW w:w="7804" w:type="dxa"/>
            <w:shd w:val="clear" w:color="auto" w:fill="FFFFFF"/>
            <w:noWrap w:val="0"/>
            <w:vAlign w:val="center"/>
          </w:tcPr>
          <w:p w14:paraId="531064E8">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产品必须符合国家相关标准和强制性规定要求；执行GB25191-2010《食品安全国家标准 调制乳》标准、GB25190-2010《食品安全国家标准灭菌乳》标准及GB19645-2010《食品安全国家标准巴士杀菌乳》标准。保质期小于≤6个月；</w:t>
            </w:r>
          </w:p>
          <w:p w14:paraId="2645C6D5">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必须采用经超高温灭菌或巴氏杀菌法等工序制得的纯牛奶；</w:t>
            </w:r>
          </w:p>
          <w:p w14:paraId="75F249A2">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单件包装规格：每份牛奶净含量≥200ml，盒装带吸管；</w:t>
            </w:r>
          </w:p>
          <w:p w14:paraId="2704F71C">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营养指标：纯牛奶标准：蛋白质≥3.0g/100m。脂肪≥3.6g/100ml，不可使用或添加复原乳。</w:t>
            </w:r>
          </w:p>
          <w:p w14:paraId="6BDCF1A8">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.所提供的产品必须是生产日期之日起1个月内，不得提供过期或临期产品。</w:t>
            </w:r>
          </w:p>
        </w:tc>
      </w:tr>
      <w:tr w14:paraId="2E21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521" w:type="dxa"/>
            <w:shd w:val="clear" w:color="auto" w:fill="FFFFFF"/>
            <w:noWrap w:val="0"/>
            <w:vAlign w:val="center"/>
          </w:tcPr>
          <w:p w14:paraId="212F9D1A">
            <w:pPr>
              <w:keepNext w:val="0"/>
              <w:keepLines w:val="0"/>
              <w:pageBreakBefore w:val="0"/>
              <w:widowControl/>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286" w:type="dxa"/>
            <w:shd w:val="clear" w:color="auto" w:fill="FFFFFF"/>
            <w:noWrap w:val="0"/>
            <w:vAlign w:val="center"/>
          </w:tcPr>
          <w:p w14:paraId="67AB672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其他</w:t>
            </w:r>
          </w:p>
        </w:tc>
        <w:tc>
          <w:tcPr>
            <w:tcW w:w="7804" w:type="dxa"/>
            <w:shd w:val="clear" w:color="auto" w:fill="FFFFFF"/>
            <w:noWrap w:val="0"/>
            <w:vAlign w:val="center"/>
          </w:tcPr>
          <w:p w14:paraId="0D92DEA4">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正规生产企业产品，符合国家质量认证标准，具有企业名称，符合产品包装要求。商品外包装完好无损，商标图案清晰明了，必须标识产品名称、净含量、生产日期、保质期、贮存条件、生产商及地址和联系方式、产品标准号和生产许可证编号、营养成分表、产品等级等信息，缺少任何一项即为不合格产品。</w:t>
            </w:r>
          </w:p>
        </w:tc>
      </w:tr>
    </w:tbl>
    <w:p w14:paraId="49C56BD5">
      <w:pPr>
        <w:spacing w:line="440" w:lineRule="exact"/>
        <w:jc w:val="left"/>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备注：</w:t>
      </w:r>
    </w:p>
    <w:p w14:paraId="4E36D197">
      <w:pPr>
        <w:spacing w:line="440" w:lineRule="exact"/>
        <w:ind w:firstLine="420" w:firstLineChars="200"/>
        <w:jc w:val="left"/>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rPr>
        <w:t>1.具体数量以实际供货量为准，结算时以实际供货量进行结算。</w:t>
      </w:r>
    </w:p>
    <w:p w14:paraId="537ACE47">
      <w:pPr>
        <w:spacing w:line="440" w:lineRule="exact"/>
        <w:ind w:firstLine="420" w:firstLineChars="200"/>
        <w:jc w:val="left"/>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rPr>
        <w:t>2.采购人根据实际需求有权调整采购内容及数量</w:t>
      </w:r>
      <w:r>
        <w:rPr>
          <w:rFonts w:hint="eastAsia" w:ascii="宋体" w:hAnsi="宋体" w:cs="宋体"/>
          <w:bCs/>
          <w:color w:val="auto"/>
          <w:sz w:val="21"/>
          <w:szCs w:val="21"/>
          <w:highlight w:val="none"/>
        </w:rPr>
        <w:t>；</w:t>
      </w:r>
    </w:p>
    <w:p w14:paraId="0868EBC2">
      <w:pPr>
        <w:spacing w:line="440" w:lineRule="exact"/>
        <w:ind w:firstLine="420" w:firstLineChars="200"/>
        <w:jc w:val="left"/>
        <w:rPr>
          <w:rFonts w:hint="eastAsia" w:ascii="宋体" w:hAnsi="宋体" w:cs="宋体"/>
          <w:bCs/>
          <w:color w:val="auto"/>
          <w:sz w:val="21"/>
          <w:szCs w:val="21"/>
          <w:highlight w:val="none"/>
        </w:rPr>
      </w:pPr>
      <w:r>
        <w:rPr>
          <w:rFonts w:hint="eastAsia" w:ascii="宋体" w:hAnsi="宋体" w:cs="宋体"/>
          <w:bCs/>
          <w:color w:val="auto"/>
          <w:kern w:val="0"/>
          <w:sz w:val="21"/>
          <w:szCs w:val="21"/>
          <w:highlight w:val="none"/>
        </w:rPr>
        <w:t>3.</w:t>
      </w:r>
      <w:r>
        <w:rPr>
          <w:rFonts w:hint="eastAsia" w:ascii="宋体" w:hAnsi="宋体" w:cs="宋体"/>
          <w:bCs/>
          <w:color w:val="auto"/>
          <w:sz w:val="21"/>
          <w:szCs w:val="21"/>
          <w:highlight w:val="none"/>
        </w:rPr>
        <w:t>供应商本次报价不得出现不平衡报价或不得低于成本报价，若出现不平衡报价或低成本报价，供应商产生的风险须自行承担；</w:t>
      </w:r>
    </w:p>
    <w:p w14:paraId="2A264028">
      <w:pPr>
        <w:spacing w:line="440" w:lineRule="exact"/>
        <w:ind w:firstLine="420" w:firstLineChars="20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4.采购人将在供应商供货过程中采取不定期抽检，抽检送第三方检测产生的费用由供应商承担，若检验不合格所造成后果由供应商自行承担。</w:t>
      </w:r>
    </w:p>
    <w:p w14:paraId="04D7A8C6">
      <w:pPr>
        <w:tabs>
          <w:tab w:val="left" w:pos="540"/>
        </w:tabs>
        <w:spacing w:line="48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5.除采购人特殊要求外，所有食材均不接受冷冻产品。</w:t>
      </w:r>
    </w:p>
    <w:p w14:paraId="0746BE82">
      <w:pPr>
        <w:spacing w:before="156" w:beforeLines="50" w:after="156" w:afterLines="50"/>
        <w:rPr>
          <w:rFonts w:hint="eastAsia" w:ascii="宋体" w:hAnsi="宋体"/>
          <w:b/>
          <w:color w:val="auto"/>
          <w:sz w:val="21"/>
          <w:szCs w:val="21"/>
          <w:highlight w:val="none"/>
        </w:rPr>
      </w:pPr>
      <w:bookmarkStart w:id="1225" w:name="_Toc1845"/>
      <w:r>
        <w:rPr>
          <w:rFonts w:hint="eastAsia" w:ascii="宋体" w:hAnsi="宋体"/>
          <w:b/>
          <w:color w:val="auto"/>
          <w:sz w:val="21"/>
          <w:szCs w:val="21"/>
          <w:highlight w:val="none"/>
        </w:rPr>
        <w:t>（三）采购标的的数量、采购项目交付或者实施的时间和地点：</w:t>
      </w:r>
      <w:bookmarkEnd w:id="1225"/>
    </w:p>
    <w:p w14:paraId="19797E7A">
      <w:pPr>
        <w:pStyle w:val="28"/>
        <w:autoSpaceDE/>
        <w:autoSpaceDN/>
        <w:adjustRightInd/>
        <w:spacing w:line="400" w:lineRule="exact"/>
        <w:ind w:firstLine="420" w:firstLineChars="200"/>
        <w:jc w:val="both"/>
        <w:rPr>
          <w:rFonts w:hint="eastAsia" w:hAnsi="宋体" w:cs="宋体"/>
          <w:color w:val="auto"/>
          <w:sz w:val="21"/>
          <w:szCs w:val="21"/>
          <w:highlight w:val="none"/>
        </w:rPr>
      </w:pPr>
      <w:r>
        <w:rPr>
          <w:rFonts w:hint="eastAsia" w:ascii="宋体" w:hAnsi="宋体" w:cs="宋体"/>
          <w:color w:val="auto"/>
          <w:sz w:val="21"/>
          <w:szCs w:val="21"/>
          <w:highlight w:val="none"/>
        </w:rPr>
        <w:t>1.</w:t>
      </w:r>
      <w:r>
        <w:rPr>
          <w:rFonts w:hint="eastAsia" w:hAnsi="宋体" w:cs="宋体"/>
          <w:color w:val="auto"/>
          <w:sz w:val="21"/>
          <w:szCs w:val="21"/>
          <w:highlight w:val="none"/>
        </w:rPr>
        <w:t>采购量：</w:t>
      </w:r>
      <w:r>
        <w:rPr>
          <w:rFonts w:hint="eastAsia" w:hAnsi="宋体" w:cs="宋体"/>
          <w:color w:val="auto"/>
          <w:sz w:val="21"/>
          <w:szCs w:val="21"/>
          <w:highlight w:val="none"/>
          <w:lang w:eastAsia="zh-CN"/>
        </w:rPr>
        <w:t>昆明高新技术产业开发区第四小学</w:t>
      </w:r>
      <w:r>
        <w:rPr>
          <w:rFonts w:hint="eastAsia" w:hAnsi="宋体" w:cs="宋体"/>
          <w:color w:val="auto"/>
          <w:sz w:val="21"/>
          <w:szCs w:val="21"/>
          <w:highlight w:val="none"/>
        </w:rPr>
        <w:t>：</w:t>
      </w:r>
      <w:r>
        <w:rPr>
          <w:rFonts w:hint="eastAsia" w:hAnsi="宋体" w:cs="宋体"/>
          <w:color w:val="auto"/>
          <w:sz w:val="21"/>
          <w:szCs w:val="21"/>
          <w:highlight w:val="none"/>
          <w:lang w:eastAsia="zh-CN"/>
        </w:rPr>
        <w:t>早餐</w:t>
      </w:r>
      <w:r>
        <w:rPr>
          <w:rFonts w:hint="eastAsia" w:hAnsi="宋体" w:cs="宋体"/>
          <w:color w:val="auto"/>
          <w:sz w:val="21"/>
          <w:szCs w:val="21"/>
          <w:highlight w:val="none"/>
        </w:rPr>
        <w:t>供应约</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200</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人</w:t>
      </w:r>
      <w:r>
        <w:rPr>
          <w:rFonts w:hint="eastAsia" w:hAnsi="宋体" w:cs="宋体"/>
          <w:color w:val="auto"/>
          <w:sz w:val="21"/>
          <w:szCs w:val="21"/>
          <w:highlight w:val="none"/>
          <w:lang w:eastAsia="zh-CN"/>
        </w:rPr>
        <w:t>，午餐供应约</w:t>
      </w:r>
      <w:r>
        <w:rPr>
          <w:rFonts w:hint="eastAsia" w:hAnsi="宋体" w:cs="宋体"/>
          <w:color w:val="auto"/>
          <w:sz w:val="21"/>
          <w:szCs w:val="21"/>
          <w:highlight w:val="none"/>
          <w:u w:val="single"/>
          <w:lang w:val="en-US" w:eastAsia="zh-CN"/>
        </w:rPr>
        <w:t>2600</w:t>
      </w:r>
      <w:r>
        <w:rPr>
          <w:rFonts w:hint="eastAsia" w:hAnsi="宋体" w:cs="宋体"/>
          <w:color w:val="auto"/>
          <w:sz w:val="21"/>
          <w:szCs w:val="21"/>
          <w:highlight w:val="none"/>
          <w:lang w:val="en-US" w:eastAsia="zh-CN"/>
        </w:rPr>
        <w:t>人，晚餐供应约</w:t>
      </w:r>
      <w:r>
        <w:rPr>
          <w:rFonts w:hint="eastAsia" w:hAnsi="宋体" w:cs="宋体"/>
          <w:color w:val="auto"/>
          <w:sz w:val="21"/>
          <w:szCs w:val="21"/>
          <w:highlight w:val="none"/>
          <w:u w:val="single"/>
          <w:lang w:val="en-US" w:eastAsia="zh-CN"/>
        </w:rPr>
        <w:t>100</w:t>
      </w:r>
      <w:r>
        <w:rPr>
          <w:rFonts w:hint="eastAsia" w:hAnsi="宋体" w:cs="宋体"/>
          <w:color w:val="auto"/>
          <w:sz w:val="21"/>
          <w:szCs w:val="21"/>
          <w:highlight w:val="none"/>
          <w:lang w:val="en-US" w:eastAsia="zh-CN"/>
        </w:rPr>
        <w:t>人</w:t>
      </w:r>
      <w:r>
        <w:rPr>
          <w:rFonts w:hint="eastAsia" w:hAnsi="宋体" w:cs="宋体"/>
          <w:color w:val="auto"/>
          <w:sz w:val="21"/>
          <w:szCs w:val="21"/>
          <w:highlight w:val="none"/>
        </w:rPr>
        <w:t>，具体配送数量及类别以采购人实际委托为准，采购人每</w:t>
      </w:r>
      <w:r>
        <w:rPr>
          <w:rFonts w:hint="eastAsia" w:hAnsi="宋体" w:cs="宋体"/>
          <w:color w:val="auto"/>
          <w:sz w:val="21"/>
          <w:szCs w:val="21"/>
          <w:highlight w:val="none"/>
          <w:lang w:val="en-US" w:eastAsia="zh-CN"/>
        </w:rPr>
        <w:t>天</w:t>
      </w:r>
      <w:r>
        <w:rPr>
          <w:rFonts w:hint="eastAsia" w:hAnsi="宋体" w:cs="宋体"/>
          <w:color w:val="auto"/>
          <w:sz w:val="21"/>
          <w:szCs w:val="21"/>
          <w:highlight w:val="none"/>
          <w:u w:val="single"/>
        </w:rPr>
        <w:t>17:00</w:t>
      </w:r>
      <w:r>
        <w:rPr>
          <w:rFonts w:hint="eastAsia" w:hAnsi="宋体" w:cs="宋体"/>
          <w:color w:val="auto"/>
          <w:sz w:val="21"/>
          <w:szCs w:val="21"/>
          <w:highlight w:val="none"/>
        </w:rPr>
        <w:t>以前给出</w:t>
      </w:r>
      <w:r>
        <w:rPr>
          <w:rFonts w:hint="eastAsia" w:hAnsi="宋体" w:cs="宋体"/>
          <w:color w:val="auto"/>
          <w:sz w:val="21"/>
          <w:szCs w:val="21"/>
          <w:highlight w:val="none"/>
          <w:lang w:val="en-US" w:eastAsia="zh-CN"/>
        </w:rPr>
        <w:t>第二天</w:t>
      </w:r>
      <w:r>
        <w:rPr>
          <w:rFonts w:hint="eastAsia" w:hAnsi="宋体" w:cs="宋体"/>
          <w:color w:val="auto"/>
          <w:sz w:val="21"/>
          <w:szCs w:val="21"/>
          <w:highlight w:val="none"/>
        </w:rPr>
        <w:t>具体配送数量及明细；</w:t>
      </w:r>
    </w:p>
    <w:p w14:paraId="4BCACC5A">
      <w:pPr>
        <w:spacing w:line="432"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2.配送地点及要求：按照采购人要求进行分装，配送到采购人指定地点（</w:t>
      </w:r>
      <w:r>
        <w:rPr>
          <w:rFonts w:hint="eastAsia" w:ascii="宋体" w:hAnsi="宋体" w:cs="宋体"/>
          <w:color w:val="auto"/>
          <w:sz w:val="21"/>
          <w:szCs w:val="21"/>
          <w:highlight w:val="none"/>
          <w:lang w:eastAsia="zh-CN"/>
        </w:rPr>
        <w:t>昆明高新技术产业开发区第四小学</w:t>
      </w:r>
      <w:r>
        <w:rPr>
          <w:rFonts w:hint="eastAsia" w:ascii="宋体" w:hAnsi="宋体" w:cs="宋体"/>
          <w:color w:val="auto"/>
          <w:sz w:val="21"/>
          <w:szCs w:val="21"/>
          <w:highlight w:val="none"/>
        </w:rPr>
        <w:t>）；配送时间：周一至周</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rPr>
        <w:t>上午</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:00-7:</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间完成配送。若出现特殊情况需要提前配送的，配送时间由采购人安排，供货商必须保证按要求配送，所供物品应提供检验、检疫、检测合格证明。</w:t>
      </w:r>
    </w:p>
    <w:p w14:paraId="29E7A7E7">
      <w:pPr>
        <w:spacing w:before="156" w:beforeLines="50" w:after="156" w:afterLines="50"/>
        <w:rPr>
          <w:rFonts w:hint="eastAsia"/>
          <w:color w:val="auto"/>
          <w:sz w:val="21"/>
          <w:szCs w:val="21"/>
          <w:highlight w:val="none"/>
        </w:rPr>
      </w:pPr>
      <w:bookmarkStart w:id="1226" w:name="_Toc5074"/>
      <w:r>
        <w:rPr>
          <w:rFonts w:hint="eastAsia" w:ascii="宋体" w:hAnsi="宋体"/>
          <w:b/>
          <w:color w:val="auto"/>
          <w:sz w:val="21"/>
          <w:szCs w:val="21"/>
          <w:highlight w:val="none"/>
        </w:rPr>
        <w:t>（四）采购标的需满足的服务标准、期限、效率等要求</w:t>
      </w:r>
      <w:bookmarkEnd w:id="1226"/>
      <w:r>
        <w:rPr>
          <w:rFonts w:hint="eastAsia" w:ascii="宋体" w:hAnsi="宋体"/>
          <w:b/>
          <w:color w:val="auto"/>
          <w:sz w:val="21"/>
          <w:szCs w:val="21"/>
          <w:highlight w:val="none"/>
        </w:rPr>
        <w:t>：</w:t>
      </w:r>
    </w:p>
    <w:p w14:paraId="4D6C9AE0">
      <w:pPr>
        <w:spacing w:line="440" w:lineRule="exact"/>
        <w:ind w:firstLine="525" w:firstLineChars="250"/>
        <w:jc w:val="left"/>
        <w:rPr>
          <w:rFonts w:hint="eastAsia" w:ascii="宋体" w:hAnsi="宋体"/>
          <w:color w:val="auto"/>
          <w:sz w:val="21"/>
          <w:szCs w:val="21"/>
          <w:highlight w:val="none"/>
        </w:rPr>
      </w:pPr>
      <w:r>
        <w:rPr>
          <w:rFonts w:hint="eastAsia" w:ascii="宋体" w:hAnsi="宋体"/>
          <w:color w:val="auto"/>
          <w:sz w:val="21"/>
          <w:szCs w:val="21"/>
          <w:highlight w:val="none"/>
        </w:rPr>
        <w:t>1.采购标的需满足的服务标准：</w:t>
      </w:r>
    </w:p>
    <w:p w14:paraId="6D47F02A">
      <w:pPr>
        <w:spacing w:line="440" w:lineRule="exact"/>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s="宋体"/>
          <w:color w:val="auto"/>
          <w:sz w:val="21"/>
          <w:szCs w:val="21"/>
          <w:highlight w:val="none"/>
        </w:rPr>
        <w:t>具体配送数量及类别以采购人实际委托为准，采购人每周五17:00以前给出下一周具体配送数量及明细；</w:t>
      </w:r>
      <w:r>
        <w:rPr>
          <w:rFonts w:hint="eastAsia" w:ascii="宋体" w:hAnsi="宋体"/>
          <w:color w:val="auto"/>
          <w:sz w:val="21"/>
          <w:szCs w:val="21"/>
          <w:highlight w:val="none"/>
        </w:rPr>
        <w:t>成交单位按时、按质、按量完成供货。</w:t>
      </w:r>
    </w:p>
    <w:p w14:paraId="1E0C585A">
      <w:pPr>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（2）成交单位认真审查供货渠道和货源，供货渠道正规、货物来源清晰，清真食品须具有清真标识或相关证明材料，确保所供货物质量安全、无超标的食品或原材料。</w:t>
      </w:r>
    </w:p>
    <w:p w14:paraId="5306BA53">
      <w:pPr>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（3）所供食品必须符合保质期要求，无转基因食品，提供食品具有进货票证及相关有效证明。</w:t>
      </w:r>
    </w:p>
    <w:p w14:paraId="2504F9B9">
      <w:pPr>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（4）须在响应文件中提供“食品安全承诺书”。</w:t>
      </w:r>
    </w:p>
    <w:p w14:paraId="232DD755">
      <w:pPr>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（5）采购人按供应商提供各批次货物检验报告进行验收，质量不得低于各项产品的要求，发现霉变、受潮、污染、异味及可能存在安全、卫生隐患等的货物采购人有权拒绝收货。</w:t>
      </w:r>
    </w:p>
    <w:p w14:paraId="62F2576D">
      <w:pPr>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6）采购单位不定期委托具备相关资质的第三方检测机构或市场监督管理局检测部门抽检，检验费用由成交单位承担。供货期间如出现2次抽检结果不合格的，采购人有权单方面终止合同，成交单位承担相应违约责任以及对采购人造成的一切损失。</w:t>
      </w:r>
    </w:p>
    <w:p w14:paraId="60705EE7">
      <w:pPr>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7）配送车辆、驾驶员及配送人员必须相对固定，如有调整必需及时与学校联系；配送车辆必须保持清洁卫生，做到专车专用，每次运输食品前必须进行清洁消毒，在运输装卸过程中保持清洁，防止食品在运输过程中受到污染；驾驶员必须持有合法有效的机动车驾驶证件和健康体检合格证，其它配送人员必须具有健康体检合格证，在配送期间须着统一清洁的工作服并佩带胸卡。配送人员数量及配送车辆数量需能满足配送需求，不得延误配送相关工作，如一个月内延误2次及以上的，采购人有权解除合同。</w:t>
      </w:r>
    </w:p>
    <w:p w14:paraId="272161A8">
      <w:pPr>
        <w:spacing w:line="430" w:lineRule="exact"/>
        <w:ind w:firstLine="420" w:firstLineChars="200"/>
        <w:jc w:val="left"/>
        <w:rPr>
          <w:rFonts w:hint="eastAsia" w:ascii="宋体" w:hAnsi="宋体"/>
          <w:bCs/>
          <w:color w:val="auto"/>
          <w:sz w:val="21"/>
          <w:szCs w:val="21"/>
          <w:highlight w:val="none"/>
        </w:rPr>
      </w:pPr>
      <w:r>
        <w:rPr>
          <w:rFonts w:hint="eastAsia" w:ascii="宋体" w:hAnsi="宋体"/>
          <w:bCs/>
          <w:color w:val="auto"/>
          <w:sz w:val="21"/>
          <w:szCs w:val="21"/>
          <w:highlight w:val="none"/>
        </w:rPr>
        <w:t>2.采购标的需满足的服务效率：</w:t>
      </w:r>
    </w:p>
    <w:p w14:paraId="576A9D95">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s="宋体"/>
          <w:color w:val="auto"/>
          <w:sz w:val="21"/>
          <w:szCs w:val="21"/>
          <w:highlight w:val="none"/>
        </w:rPr>
        <w:t>合同履行期限（服务期限）：</w:t>
      </w:r>
      <w:r>
        <w:rPr>
          <w:rFonts w:hint="eastAsia" w:ascii="宋体" w:hAnsi="宋体" w:eastAsia="宋体" w:cs="宋体"/>
          <w:color w:val="auto"/>
          <w:sz w:val="21"/>
          <w:szCs w:val="21"/>
          <w:highlight w:val="none"/>
          <w:lang w:val="en-US" w:eastAsia="zh-CN"/>
        </w:rPr>
        <w:t>合同签订之日起至2027年04月30日止（以实际履行期限为准）。1、合同结算总价达到最高限价时，合同终止，供应商无权要求采购人支付任何超过最高限价部分的价款。2、因政策或资金拨付等原因，采购人可无责终止合同或变更合同，变更合同的，由双方共同签署补充协议</w:t>
      </w:r>
      <w:r>
        <w:rPr>
          <w:rFonts w:hint="eastAsia" w:ascii="宋体" w:hAnsi="宋体" w:cs="宋体"/>
          <w:color w:val="auto"/>
          <w:sz w:val="21"/>
          <w:szCs w:val="21"/>
          <w:highlight w:val="none"/>
          <w:lang w:eastAsia="zh-CN"/>
        </w:rPr>
        <w:t>。</w:t>
      </w:r>
    </w:p>
    <w:p w14:paraId="3D242D36">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①在合同执行过程中如出现合同违约、达不到采购人对成交供应商的考核标准或出现食品安全卫生问题或出现违法违规、转租转包、擅自调价或不服从管理等行为的，服务立即终止，本项目终止。</w:t>
      </w:r>
    </w:p>
    <w:p w14:paraId="08394DDD">
      <w:pPr>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②在合同执行过程中如受到采购方实际工作调整或政策性因素影响导致不能继续履行合同的，采购人可根据《中华人民共和国政府采购法》第五十条规定保留变更、中止、终止服务合同的权利，成交供应商不得以任何理由向采购人提出续签、索赔等申请。</w:t>
      </w:r>
    </w:p>
    <w:p w14:paraId="0D1BDBDF">
      <w:pPr>
        <w:spacing w:line="43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（2）应急配送时间要求：根据学校实际需求制定供货方案，如发生紧急调货、补货时（除无法抗拒的自然因素外）保证1小时内配送到学校。</w:t>
      </w:r>
    </w:p>
    <w:p w14:paraId="30E7C0F2">
      <w:pPr>
        <w:spacing w:line="43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（3）具有完整的配送及售后服务体系，提供</w:t>
      </w:r>
      <w:r>
        <w:rPr>
          <w:rFonts w:ascii="宋体" w:hAnsi="宋体"/>
          <w:color w:val="auto"/>
          <w:sz w:val="21"/>
          <w:szCs w:val="21"/>
          <w:highlight w:val="none"/>
        </w:rPr>
        <w:t>24</w:t>
      </w:r>
      <w:r>
        <w:rPr>
          <w:rFonts w:hint="eastAsia" w:ascii="宋体" w:hAnsi="宋体"/>
          <w:color w:val="auto"/>
          <w:sz w:val="21"/>
          <w:szCs w:val="21"/>
          <w:highlight w:val="none"/>
        </w:rPr>
        <w:t>小时畅通的电话或手机，若出现产品配送、质量、安全等问题，在接到采购人电话后应立即响应，1小时内到达现场处理，3小时内解决问题，并承担因此产生的一切费用和责任。</w:t>
      </w:r>
    </w:p>
    <w:p w14:paraId="5AE7A4F8">
      <w:pPr>
        <w:spacing w:line="430" w:lineRule="exact"/>
        <w:ind w:firstLine="422" w:firstLineChars="200"/>
        <w:jc w:val="left"/>
        <w:rPr>
          <w:rFonts w:hint="eastAsia" w:ascii="宋体" w:hAnsi="宋体"/>
          <w:b/>
          <w:color w:val="auto"/>
          <w:sz w:val="21"/>
          <w:szCs w:val="21"/>
          <w:highlight w:val="none"/>
        </w:rPr>
      </w:pPr>
      <w:r>
        <w:rPr>
          <w:rFonts w:hint="eastAsia" w:ascii="宋体" w:hAnsi="宋体"/>
          <w:b/>
          <w:color w:val="auto"/>
          <w:sz w:val="21"/>
          <w:szCs w:val="21"/>
          <w:highlight w:val="none"/>
        </w:rPr>
        <w:t>（五）采购标的的验收标准：</w:t>
      </w:r>
    </w:p>
    <w:p w14:paraId="3EA548C9">
      <w:pPr>
        <w:pStyle w:val="28"/>
        <w:autoSpaceDE/>
        <w:autoSpaceDN/>
        <w:adjustRightInd/>
        <w:spacing w:line="430" w:lineRule="exact"/>
        <w:ind w:firstLine="420" w:firstLineChars="200"/>
        <w:rPr>
          <w:rFonts w:hint="eastAsia" w:hAnsi="宋体"/>
          <w:color w:val="auto"/>
          <w:sz w:val="21"/>
          <w:szCs w:val="21"/>
          <w:highlight w:val="none"/>
        </w:rPr>
      </w:pPr>
      <w:r>
        <w:rPr>
          <w:rFonts w:hint="eastAsia" w:hAnsi="宋体"/>
          <w:color w:val="auto"/>
          <w:sz w:val="21"/>
          <w:szCs w:val="21"/>
          <w:highlight w:val="none"/>
        </w:rPr>
        <w:t>1.项目实施过程由采购人组织相关单位人员根据合同、竞争性磋商文件和响应文件负责组织验收。</w:t>
      </w:r>
    </w:p>
    <w:p w14:paraId="1A2AE1E8">
      <w:pPr>
        <w:pStyle w:val="28"/>
        <w:autoSpaceDE/>
        <w:autoSpaceDN/>
        <w:adjustRightInd/>
        <w:spacing w:line="430" w:lineRule="exact"/>
        <w:ind w:firstLine="420" w:firstLineChars="200"/>
        <w:rPr>
          <w:rFonts w:hint="eastAsia" w:hAnsi="宋体"/>
          <w:color w:val="auto"/>
          <w:sz w:val="21"/>
          <w:szCs w:val="21"/>
          <w:highlight w:val="none"/>
        </w:rPr>
      </w:pPr>
      <w:r>
        <w:rPr>
          <w:rFonts w:hint="eastAsia" w:hAnsi="宋体"/>
          <w:color w:val="auto"/>
          <w:sz w:val="21"/>
          <w:szCs w:val="21"/>
          <w:highlight w:val="none"/>
        </w:rPr>
        <w:t>2.每次供货需提供产品合格证（检测证明）复印件并签字，食品检验为合格，采购人将长期所供应物资质检报告及食品检验票证保存备查。</w:t>
      </w:r>
    </w:p>
    <w:p w14:paraId="76B58128">
      <w:pPr>
        <w:pStyle w:val="28"/>
        <w:autoSpaceDE/>
        <w:autoSpaceDN/>
        <w:adjustRightInd/>
        <w:spacing w:line="430" w:lineRule="exact"/>
        <w:ind w:firstLine="420" w:firstLineChars="200"/>
        <w:rPr>
          <w:rFonts w:hint="eastAsia" w:hAnsi="宋体"/>
          <w:color w:val="auto"/>
          <w:sz w:val="21"/>
          <w:szCs w:val="21"/>
          <w:highlight w:val="none"/>
        </w:rPr>
      </w:pPr>
      <w:r>
        <w:rPr>
          <w:rFonts w:hint="eastAsia" w:hAnsi="宋体"/>
          <w:color w:val="auto"/>
          <w:sz w:val="21"/>
          <w:szCs w:val="21"/>
          <w:highlight w:val="none"/>
        </w:rPr>
        <w:t>3.由采购人及供货方每天对所供货物的数量、质量、单价进行验收。</w:t>
      </w:r>
    </w:p>
    <w:p w14:paraId="2A9DB5D3">
      <w:pPr>
        <w:pStyle w:val="28"/>
        <w:autoSpaceDE/>
        <w:autoSpaceDN/>
        <w:adjustRightInd/>
        <w:spacing w:line="430" w:lineRule="exact"/>
        <w:ind w:firstLine="420" w:firstLineChars="200"/>
        <w:rPr>
          <w:rFonts w:hint="eastAsia" w:hAnsi="宋体"/>
          <w:color w:val="auto"/>
          <w:sz w:val="21"/>
          <w:szCs w:val="21"/>
          <w:highlight w:val="none"/>
        </w:rPr>
      </w:pPr>
      <w:r>
        <w:rPr>
          <w:rFonts w:hint="eastAsia" w:hAnsi="宋体"/>
          <w:color w:val="auto"/>
          <w:sz w:val="21"/>
          <w:szCs w:val="21"/>
          <w:highlight w:val="none"/>
        </w:rPr>
        <w:t>4.采购人有权对供应商所供食品（原材料）委托相关职能部门进行不定期抽检，若所供食品（原材料）抽检结果判定为不合格的，视为违约，采购人有权单方面解除合同，并要求供货方承担相应的违约金。</w:t>
      </w:r>
    </w:p>
    <w:p w14:paraId="1DE32E57">
      <w:pPr>
        <w:spacing w:line="430" w:lineRule="exact"/>
        <w:ind w:firstLine="420" w:firstLineChars="200"/>
        <w:rPr>
          <w:rFonts w:hint="eastAsia" w:ascii="宋体" w:hAnsi="宋体" w:cs="宋体"/>
          <w:color w:val="auto"/>
          <w:sz w:val="21"/>
          <w:szCs w:val="21"/>
          <w:highlight w:val="none"/>
        </w:rPr>
      </w:pPr>
      <w:r>
        <w:rPr>
          <w:rFonts w:hint="eastAsia" w:ascii="宋体" w:hAnsi="宋体"/>
          <w:color w:val="auto"/>
          <w:sz w:val="21"/>
          <w:szCs w:val="21"/>
          <w:highlight w:val="none"/>
        </w:rPr>
        <w:t>5.供货方按招标要求，提供新鲜、优质并符合中华人民共和国有关质量标准及卫生标准。确保其供应的货物质量达到合同买方要求，如不能满足采购方要求，则采购方有权向供货方提出退换或索赔的要求，情节严重的提前终止年度采购合同，并承担相应经济及法律责任。</w:t>
      </w:r>
    </w:p>
    <w:p w14:paraId="1583E901">
      <w:pPr>
        <w:spacing w:line="430" w:lineRule="exact"/>
        <w:ind w:firstLine="422" w:firstLineChars="200"/>
        <w:rPr>
          <w:rFonts w:ascii="宋体" w:hAnsi="宋体"/>
          <w:b/>
          <w:color w:val="auto"/>
          <w:sz w:val="21"/>
          <w:szCs w:val="21"/>
          <w:highlight w:val="none"/>
        </w:rPr>
      </w:pPr>
      <w:r>
        <w:rPr>
          <w:rFonts w:hint="eastAsia" w:ascii="宋体" w:hAnsi="宋体"/>
          <w:b/>
          <w:color w:val="auto"/>
          <w:sz w:val="21"/>
          <w:szCs w:val="21"/>
          <w:highlight w:val="none"/>
        </w:rPr>
        <w:t>（六）采购标的的其他技术、服务等要求：</w:t>
      </w:r>
    </w:p>
    <w:p w14:paraId="06C6A652">
      <w:pPr>
        <w:spacing w:line="430" w:lineRule="exact"/>
        <w:ind w:firstLine="420" w:firstLineChars="200"/>
        <w:rPr>
          <w:rFonts w:ascii="宋体" w:hAnsi="宋体" w:cs="宋体"/>
          <w:color w:val="auto"/>
          <w:sz w:val="21"/>
          <w:szCs w:val="21"/>
          <w:highlight w:val="none"/>
        </w:rPr>
      </w:pPr>
      <w:bookmarkStart w:id="1227" w:name="_Toc28356544"/>
      <w:r>
        <w:rPr>
          <w:rFonts w:hint="eastAsia" w:ascii="宋体" w:hAnsi="宋体" w:cs="宋体"/>
          <w:color w:val="auto"/>
          <w:sz w:val="21"/>
          <w:szCs w:val="21"/>
          <w:highlight w:val="none"/>
        </w:rPr>
        <w:t>1.供货</w:t>
      </w:r>
      <w:bookmarkEnd w:id="1227"/>
      <w:r>
        <w:rPr>
          <w:rFonts w:hint="eastAsia" w:ascii="宋体" w:hAnsi="宋体" w:cs="宋体"/>
          <w:color w:val="auto"/>
          <w:sz w:val="21"/>
          <w:szCs w:val="21"/>
          <w:highlight w:val="none"/>
        </w:rPr>
        <w:t>要求</w:t>
      </w:r>
    </w:p>
    <w:p w14:paraId="460B1399">
      <w:pPr>
        <w:spacing w:line="43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（1）根据学校实际需求制定供货方案，如发生紧急调货、补货时（除无法抗拒的自然因素外）保证1小时内配送到学校。</w:t>
      </w:r>
    </w:p>
    <w:p w14:paraId="003A327E">
      <w:pPr>
        <w:spacing w:line="43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（2）无条件更换运输过程中破损产品，所需费用由成交单位自行承担。</w:t>
      </w:r>
    </w:p>
    <w:p w14:paraId="393E035B">
      <w:pPr>
        <w:spacing w:line="43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（3）货物的标签标识内容必须真实，符合国家法律法规规定，并符合相应产品(标签)标准的要求，标明产品名称、厂名、厂址、配料表、生产日期、保质期等。</w:t>
      </w:r>
    </w:p>
    <w:p w14:paraId="62AEBEEF">
      <w:pPr>
        <w:spacing w:line="43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（4）成交人必须使用专用车辆配送，禁止运输其他任何货物，并定期对车辆清洁消毒。运输时应有效避免日晒、雨淋。禁止与有毒、有害、有异味的物品混装配送，配送期间不得有污染事故发生。</w:t>
      </w:r>
    </w:p>
    <w:p w14:paraId="77566685">
      <w:pPr>
        <w:spacing w:line="43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（5）须安排责任心强、工作认真负责、身心健康的人员随车配送，做到专人专车配送。配送人员必须保证24小时通讯畅通，配送人员必须持有健康证。</w:t>
      </w:r>
    </w:p>
    <w:p w14:paraId="61830E6C">
      <w:pPr>
        <w:spacing w:line="440" w:lineRule="exact"/>
        <w:ind w:firstLine="420" w:firstLineChars="200"/>
        <w:rPr>
          <w:rFonts w:hint="eastAsia" w:ascii="宋体" w:hAnsi="宋体" w:cs="宋体"/>
          <w:color w:val="auto"/>
          <w:sz w:val="21"/>
          <w:szCs w:val="21"/>
          <w:highlight w:val="none"/>
        </w:rPr>
      </w:pPr>
      <w:bookmarkStart w:id="1228" w:name="_Toc28356545"/>
      <w:r>
        <w:rPr>
          <w:rFonts w:hint="eastAsia" w:ascii="宋体" w:hAnsi="宋体" w:cs="宋体"/>
          <w:color w:val="auto"/>
          <w:sz w:val="21"/>
          <w:szCs w:val="21"/>
          <w:highlight w:val="none"/>
        </w:rPr>
        <w:t>2.其他要求</w:t>
      </w:r>
      <w:bookmarkEnd w:id="1228"/>
    </w:p>
    <w:p w14:paraId="1DE017B2">
      <w:pPr>
        <w:pStyle w:val="28"/>
        <w:autoSpaceDE/>
        <w:autoSpaceDN/>
        <w:adjustRightInd/>
        <w:spacing w:line="42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rPr>
        <w:t>）因食品质量、安全、卫生等问题发生退货或被食品安全执法部门处理等情形造成的经济损失由成交方全额负责。</w:t>
      </w:r>
    </w:p>
    <w:p w14:paraId="060658D3">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 xml:space="preserve">）每次配送到学校的产品必须免费向学校提供留样1份，并完善留样相关记录。 </w:t>
      </w:r>
    </w:p>
    <w:p w14:paraId="2D99F311">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）付款方式、结算价格、结算方式：</w:t>
      </w:r>
    </w:p>
    <w:p w14:paraId="5C6B554F">
      <w:pPr>
        <w:spacing w:line="440" w:lineRule="exact"/>
        <w:ind w:firstLine="422" w:firstLineChars="200"/>
        <w:rPr>
          <w:rFonts w:hint="eastAsia" w:ascii="宋体" w:hAnsi="宋体"/>
          <w:bCs/>
          <w:color w:val="auto"/>
          <w:sz w:val="21"/>
          <w:szCs w:val="21"/>
          <w:highlight w:val="none"/>
        </w:rPr>
      </w:pPr>
      <w:r>
        <w:rPr>
          <w:rFonts w:hint="eastAsia" w:ascii="宋体" w:hAnsi="宋体"/>
          <w:b/>
          <w:bCs w:val="0"/>
          <w:color w:val="auto"/>
          <w:sz w:val="21"/>
          <w:szCs w:val="21"/>
          <w:highlight w:val="none"/>
        </w:rPr>
        <w:t>①</w:t>
      </w:r>
      <w:r>
        <w:rPr>
          <w:rFonts w:hint="eastAsia" w:ascii="宋体" w:hAnsi="宋体" w:cs="宋体"/>
          <w:b/>
          <w:bCs w:val="0"/>
          <w:color w:val="auto"/>
          <w:sz w:val="21"/>
          <w:szCs w:val="21"/>
          <w:highlight w:val="none"/>
        </w:rPr>
        <w:t>付款方式：</w:t>
      </w:r>
      <w:r>
        <w:rPr>
          <w:rFonts w:hint="eastAsia" w:ascii="宋体" w:hAnsi="宋体"/>
          <w:b/>
          <w:bCs w:val="0"/>
          <w:color w:val="auto"/>
          <w:sz w:val="21"/>
          <w:szCs w:val="21"/>
          <w:highlight w:val="none"/>
        </w:rPr>
        <w:t>本次采购数量以实际供货量为准，结算时以实际供货量进行结算。</w:t>
      </w:r>
      <w:r>
        <w:rPr>
          <w:rFonts w:hint="eastAsia" w:hAnsi="宋体"/>
          <w:b/>
          <w:bCs w:val="0"/>
          <w:color w:val="auto"/>
          <w:sz w:val="21"/>
          <w:szCs w:val="21"/>
          <w:highlight w:val="none"/>
        </w:rPr>
        <w:t>甲、乙双方根据实际情况，</w:t>
      </w:r>
      <w:r>
        <w:rPr>
          <w:rFonts w:hint="eastAsia" w:hAnsi="宋体"/>
          <w:b/>
          <w:color w:val="auto"/>
          <w:sz w:val="21"/>
          <w:szCs w:val="21"/>
          <w:highlight w:val="none"/>
        </w:rPr>
        <w:t>在供货产品验收及使用合格后采用按日核算（</w:t>
      </w:r>
      <w:r>
        <w:rPr>
          <w:rFonts w:hint="eastAsia" w:ascii="宋体" w:hAnsi="宋体" w:cs="宋体"/>
          <w:b/>
          <w:color w:val="auto"/>
          <w:sz w:val="21"/>
          <w:szCs w:val="21"/>
          <w:highlight w:val="none"/>
        </w:rPr>
        <w:t>每日提供货品签单，包括所供货物的数量、单价</w:t>
      </w:r>
      <w:r>
        <w:rPr>
          <w:rFonts w:hint="eastAsia" w:hAnsi="宋体"/>
          <w:b/>
          <w:color w:val="auto"/>
          <w:sz w:val="21"/>
          <w:szCs w:val="21"/>
          <w:highlight w:val="none"/>
        </w:rPr>
        <w:t>）、按月结算</w:t>
      </w:r>
      <w:r>
        <w:rPr>
          <w:rFonts w:hint="eastAsia" w:hAnsi="宋体"/>
          <w:bCs/>
          <w:color w:val="auto"/>
          <w:sz w:val="21"/>
          <w:szCs w:val="21"/>
          <w:highlight w:val="none"/>
        </w:rPr>
        <w:t>，每月由乙方按照验收结算情况提供足额发票，经甲方核对无误后，</w:t>
      </w:r>
      <w:r>
        <w:rPr>
          <w:rFonts w:hint="eastAsia" w:ascii="宋体" w:hAnsi="宋体"/>
          <w:bCs/>
          <w:color w:val="auto"/>
          <w:sz w:val="21"/>
          <w:szCs w:val="21"/>
          <w:highlight w:val="none"/>
        </w:rPr>
        <w:t>由甲方在一个月内对公转账支付给乙方。因乙方提供发票或材料不符合财务制度要求及甲方正常审批程序未完成导致延迟付款的，不属于违约行为。</w:t>
      </w:r>
    </w:p>
    <w:p w14:paraId="18D79844">
      <w:pPr>
        <w:pStyle w:val="28"/>
        <w:autoSpaceDE/>
        <w:autoSpaceDN/>
        <w:adjustRightInd/>
        <w:spacing w:line="440" w:lineRule="exact"/>
        <w:ind w:firstLine="420" w:firstLineChars="200"/>
        <w:rPr>
          <w:rFonts w:hint="eastAsia" w:hAnsi="宋体" w:cs="宋体"/>
          <w:color w:val="auto"/>
          <w:sz w:val="21"/>
          <w:szCs w:val="21"/>
          <w:highlight w:val="none"/>
        </w:rPr>
      </w:pPr>
      <w:r>
        <w:rPr>
          <w:rFonts w:hint="eastAsia" w:hAnsi="宋体"/>
          <w:bCs/>
          <w:color w:val="auto"/>
          <w:sz w:val="21"/>
          <w:szCs w:val="21"/>
          <w:highlight w:val="none"/>
        </w:rPr>
        <w:t>②结算价格：基准价×成交折扣率后的价格作为供货价格（供货价格采用四舍五入的方法，保留到角），结算金额以实际供货情况进行结算。</w:t>
      </w:r>
    </w:p>
    <w:p w14:paraId="7DE0E4D0">
      <w:pPr>
        <w:spacing w:line="4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结算方式：基准价×成交折扣率后的价格作为供货价格（供货价格采用四舍五入的方法，保留到角）；货物验收合格后，乙方向甲方开具符合国家税务规定使用的正式发票，凭学校签盖的“货物验收单”，每月15日之前（国家法定节假日顺延）按实际配送量结算上月货款。</w:t>
      </w:r>
    </w:p>
    <w:p w14:paraId="03ACF375">
      <w:pPr>
        <w:spacing w:line="4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应急处置要求：因成交单位所供食品（食材）发生质量安全事故时，必须立即派专人到学校配合相关部门进行现场处置，做好学生及家长安抚工作，必要时及时送往医院进行救治，并承担所产生的一切费用。因质量问题给学生造成身体伤害及经济损失时，由成交人赔偿由此发生的一切经济损失及承担全部法律责任。</w:t>
      </w:r>
    </w:p>
    <w:p w14:paraId="07FC5CB8">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对提供的食品及原料因假冒伪劣、腐烂变质、过期等导致园方就餐人员食物中毒或损害健康的，经有关法定检测机构鉴定确为食品质量原因引起的，成交单位必须承担相应法律责任和赔偿责任，由此产生的一切后果（含经济及法律后果）均由成交单位承担。</w:t>
      </w:r>
    </w:p>
    <w:p w14:paraId="5974C972">
      <w:pPr>
        <w:spacing w:line="4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）成交单位须按采购人有关要求按时、按质、按量将所订购的食品、食材送达，如遇不可抗力导致不能送达，成交单位需在</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小时内通知学校，以便学校及时解决食品供应问题。非不可抗力因素导致食品不能送达的，由成交单位承担学校相应损失。</w:t>
      </w:r>
    </w:p>
    <w:p w14:paraId="0D6935B3">
      <w:pPr>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）成交单位员工在配送食品过程中遭遇意外事故（含第三人侵害、交通事故、工伤及其他不可抗因素等）造成经济损失或人员伤亡的，由成交单位自行承担所有后果，采购人不承担任何责任。</w:t>
      </w:r>
      <w:r>
        <w:rPr>
          <w:rFonts w:hint="eastAsia" w:ascii="宋体" w:hAnsi="宋体" w:eastAsia="宋体" w:cs="宋体"/>
          <w:color w:val="auto"/>
          <w:szCs w:val="21"/>
          <w:highlight w:val="none"/>
          <w:lang w:eastAsia="zh-CN"/>
        </w:rPr>
        <w:br w:type="page"/>
      </w:r>
    </w:p>
    <w:p w14:paraId="36EC539D">
      <w:pPr>
        <w:spacing w:line="360" w:lineRule="auto"/>
        <w:jc w:val="center"/>
        <w:outlineLvl w:val="0"/>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第六章 评审办法（综合评分法）</w:t>
      </w:r>
      <w:bookmarkEnd w:id="1224"/>
    </w:p>
    <w:p w14:paraId="235084E1">
      <w:pPr>
        <w:pStyle w:val="4"/>
        <w:spacing w:line="360" w:lineRule="auto"/>
        <w:rPr>
          <w:rFonts w:hint="eastAsia" w:asciiTheme="minorEastAsia" w:hAnsiTheme="minorEastAsia" w:eastAsiaTheme="minorEastAsia"/>
          <w:b w:val="0"/>
          <w:bCs/>
          <w:color w:val="auto"/>
          <w:szCs w:val="28"/>
          <w:highlight w:val="none"/>
        </w:rPr>
      </w:pPr>
      <w:bookmarkStart w:id="1229" w:name="_Toc87538406"/>
      <w:bookmarkStart w:id="1230" w:name="_Toc9290724"/>
      <w:bookmarkStart w:id="1231" w:name="_Toc447640828"/>
      <w:bookmarkStart w:id="1232" w:name="_Toc84356289"/>
      <w:bookmarkStart w:id="1233" w:name="_Toc388013682"/>
      <w:bookmarkStart w:id="1234" w:name="_Toc87543857"/>
      <w:bookmarkStart w:id="1235" w:name="_Toc83753929"/>
      <w:bookmarkStart w:id="1236" w:name="_Toc42205031"/>
      <w:bookmarkStart w:id="1237" w:name="_Toc388013369"/>
      <w:bookmarkStart w:id="1238" w:name="_Toc388014371"/>
      <w:bookmarkStart w:id="1239" w:name="_Toc158233422"/>
      <w:bookmarkStart w:id="1240" w:name="_Toc110405174"/>
      <w:bookmarkStart w:id="1241" w:name="_Toc37603109"/>
      <w:bookmarkStart w:id="1242" w:name="_Toc302769231"/>
      <w:r>
        <w:rPr>
          <w:rFonts w:hint="eastAsia" w:asciiTheme="minorEastAsia" w:hAnsiTheme="minorEastAsia" w:eastAsiaTheme="minorEastAsia"/>
          <w:b w:val="0"/>
          <w:bCs/>
          <w:color w:val="auto"/>
          <w:szCs w:val="28"/>
          <w:highlight w:val="none"/>
        </w:rPr>
        <w:t>一、评审办法</w:t>
      </w:r>
      <w:r>
        <w:rPr>
          <w:rFonts w:asciiTheme="minorEastAsia" w:hAnsiTheme="minorEastAsia" w:eastAsiaTheme="minorEastAsia"/>
          <w:b w:val="0"/>
          <w:bCs/>
          <w:color w:val="auto"/>
          <w:szCs w:val="28"/>
          <w:highlight w:val="none"/>
        </w:rPr>
        <w:t>前附表</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tbl>
      <w:tblPr>
        <w:tblStyle w:val="54"/>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610"/>
        <w:gridCol w:w="2410"/>
        <w:gridCol w:w="3495"/>
        <w:gridCol w:w="984"/>
      </w:tblGrid>
      <w:tr w14:paraId="1CF7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7" w:type="dxa"/>
            <w:vAlign w:val="center"/>
          </w:tcPr>
          <w:p w14:paraId="63067338">
            <w:pPr>
              <w:autoSpaceDE w:val="0"/>
              <w:autoSpaceDN w:val="0"/>
              <w:adjustRightInd w:val="0"/>
              <w:jc w:val="center"/>
              <w:rPr>
                <w:rFonts w:hint="eastAsia" w:cs="UPNQIO+ËÎÌå" w:asciiTheme="minorEastAsia" w:hAnsiTheme="minorEastAsia" w:eastAsiaTheme="minorEastAsia"/>
                <w:b/>
                <w:color w:val="auto"/>
                <w:spacing w:val="1"/>
                <w:kern w:val="0"/>
                <w:szCs w:val="21"/>
                <w:highlight w:val="none"/>
              </w:rPr>
            </w:pPr>
            <w:r>
              <w:rPr>
                <w:rFonts w:hint="eastAsia" w:cs="宋体" w:asciiTheme="minorEastAsia" w:hAnsiTheme="minorEastAsia" w:eastAsiaTheme="minorEastAsia"/>
                <w:b/>
                <w:color w:val="auto"/>
                <w:spacing w:val="1"/>
                <w:kern w:val="0"/>
                <w:szCs w:val="21"/>
                <w:highlight w:val="none"/>
              </w:rPr>
              <w:t>条款号</w:t>
            </w:r>
          </w:p>
        </w:tc>
        <w:tc>
          <w:tcPr>
            <w:tcW w:w="1610" w:type="dxa"/>
            <w:vAlign w:val="center"/>
          </w:tcPr>
          <w:p w14:paraId="097F1020">
            <w:pPr>
              <w:autoSpaceDE w:val="0"/>
              <w:autoSpaceDN w:val="0"/>
              <w:adjustRightInd w:val="0"/>
              <w:jc w:val="cente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评审因素</w:t>
            </w:r>
          </w:p>
        </w:tc>
        <w:tc>
          <w:tcPr>
            <w:tcW w:w="2410" w:type="dxa"/>
            <w:vAlign w:val="center"/>
          </w:tcPr>
          <w:p w14:paraId="6A9A5ADD">
            <w:pPr>
              <w:autoSpaceDE w:val="0"/>
              <w:autoSpaceDN w:val="0"/>
              <w:adjustRightInd w:val="0"/>
              <w:jc w:val="cente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评审内容</w:t>
            </w:r>
          </w:p>
        </w:tc>
        <w:tc>
          <w:tcPr>
            <w:tcW w:w="4479" w:type="dxa"/>
            <w:gridSpan w:val="2"/>
            <w:vAlign w:val="center"/>
          </w:tcPr>
          <w:p w14:paraId="3E9CB5D0">
            <w:pPr>
              <w:autoSpaceDE w:val="0"/>
              <w:autoSpaceDN w:val="0"/>
              <w:adjustRightInd w:val="0"/>
              <w:jc w:val="center"/>
              <w:rPr>
                <w:rFonts w:hint="eastAsia" w:asciiTheme="minorEastAsia" w:hAnsiTheme="minorEastAsia" w:eastAsiaTheme="minorEastAsia"/>
                <w:b/>
                <w:color w:val="auto"/>
                <w:szCs w:val="21"/>
                <w:highlight w:val="none"/>
              </w:rPr>
            </w:pPr>
            <w:r>
              <w:rPr>
                <w:rFonts w:cs="UPNQIO+ËÎÌå" w:asciiTheme="minorEastAsia" w:hAnsiTheme="minorEastAsia" w:eastAsiaTheme="minorEastAsia"/>
                <w:b/>
                <w:color w:val="auto"/>
                <w:spacing w:val="9"/>
                <w:szCs w:val="21"/>
                <w:highlight w:val="none"/>
              </w:rPr>
              <w:t>评审标准</w:t>
            </w:r>
          </w:p>
        </w:tc>
      </w:tr>
      <w:tr w14:paraId="42D7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vAlign w:val="center"/>
          </w:tcPr>
          <w:p w14:paraId="693846F1">
            <w:pPr>
              <w:snapToGrid w:val="0"/>
              <w:spacing w:line="360" w:lineRule="auto"/>
              <w:jc w:val="cente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2.1.1</w:t>
            </w:r>
          </w:p>
        </w:tc>
        <w:tc>
          <w:tcPr>
            <w:tcW w:w="1610" w:type="dxa"/>
            <w:vMerge w:val="restart"/>
            <w:vAlign w:val="center"/>
          </w:tcPr>
          <w:p w14:paraId="2F066DDC">
            <w:pPr>
              <w:snapToGrid w:val="0"/>
              <w:spacing w:line="276"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资格审查</w:t>
            </w:r>
          </w:p>
          <w:p w14:paraId="24B15063">
            <w:pPr>
              <w:snapToGrid w:val="0"/>
              <w:spacing w:line="276"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标准</w:t>
            </w:r>
          </w:p>
        </w:tc>
        <w:tc>
          <w:tcPr>
            <w:tcW w:w="2410" w:type="dxa"/>
            <w:vAlign w:val="center"/>
          </w:tcPr>
          <w:p w14:paraId="4165BA09">
            <w:pPr>
              <w:spacing w:line="276" w:lineRule="auto"/>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具有独立承担民事责任的能力</w:t>
            </w:r>
          </w:p>
        </w:tc>
        <w:tc>
          <w:tcPr>
            <w:tcW w:w="4479" w:type="dxa"/>
            <w:gridSpan w:val="2"/>
            <w:vAlign w:val="center"/>
          </w:tcPr>
          <w:p w14:paraId="769EBD76">
            <w:pPr>
              <w:spacing w:line="276" w:lineRule="auto"/>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提供法人或者其他组织的营业执照等证明文件或自然人的身份证明（复印件加盖公章）。</w:t>
            </w:r>
          </w:p>
        </w:tc>
      </w:tr>
      <w:tr w14:paraId="6EC2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37" w:type="dxa"/>
            <w:vMerge w:val="continue"/>
            <w:vAlign w:val="center"/>
          </w:tcPr>
          <w:p w14:paraId="5BD8CB02">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26F10077">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06ABAEEC">
            <w:pPr>
              <w:spacing w:line="276" w:lineRule="auto"/>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具有良好的财务会计制度</w:t>
            </w:r>
          </w:p>
        </w:tc>
        <w:tc>
          <w:tcPr>
            <w:tcW w:w="4479" w:type="dxa"/>
            <w:gridSpan w:val="2"/>
            <w:vAlign w:val="center"/>
          </w:tcPr>
          <w:p w14:paraId="37AAEB5B">
            <w:pPr>
              <w:spacing w:line="276" w:lineRule="auto"/>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提供2024年至今任意一年经审计的财务报告或其基本开户银行出具的资信证明或财政部门认可的政府采购专业担保机构出具的投标担保函；工商登记注册之日起至投标截止时间不满一年的需提供自成立至今的财务报表或承诺书（原件扫描件加盖公章）。</w:t>
            </w:r>
          </w:p>
        </w:tc>
      </w:tr>
      <w:tr w14:paraId="3C85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7" w:type="dxa"/>
            <w:vMerge w:val="continue"/>
            <w:vAlign w:val="center"/>
          </w:tcPr>
          <w:p w14:paraId="358B168C">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33ECCBCE">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1E537A99">
            <w:pPr>
              <w:spacing w:line="276" w:lineRule="auto"/>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具有履行合同所必需的设备和专业技术能力</w:t>
            </w:r>
          </w:p>
        </w:tc>
        <w:tc>
          <w:tcPr>
            <w:tcW w:w="4479" w:type="dxa"/>
            <w:gridSpan w:val="2"/>
            <w:vAlign w:val="center"/>
          </w:tcPr>
          <w:p w14:paraId="3852483C">
            <w:pPr>
              <w:spacing w:line="276" w:lineRule="auto"/>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提供具备履行合同所必需的设备和专业技术能力的证明材料或书面声明（原件加盖公章）。</w:t>
            </w:r>
          </w:p>
        </w:tc>
      </w:tr>
      <w:tr w14:paraId="139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37" w:type="dxa"/>
            <w:vMerge w:val="continue"/>
            <w:vAlign w:val="center"/>
          </w:tcPr>
          <w:p w14:paraId="6384F1E3">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7E406D53">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08AEFD85">
            <w:pPr>
              <w:spacing w:line="276" w:lineRule="auto"/>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有依法缴纳税收和社会保障资金的良好记录</w:t>
            </w:r>
          </w:p>
        </w:tc>
        <w:tc>
          <w:tcPr>
            <w:tcW w:w="4479" w:type="dxa"/>
            <w:gridSpan w:val="2"/>
            <w:vAlign w:val="center"/>
          </w:tcPr>
          <w:p w14:paraId="52AED9E2">
            <w:pPr>
              <w:spacing w:line="276" w:lineRule="auto"/>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①提供2025年01月至今任意3个月依法缴纳税收的证明(成立未满1个月的提供成立以来的税收缴纳凭据；依法免税的供应商，应提供相应文件证明其依法免税)（复印件加盖公章）。②提供2025年01月至今任意3个月依法缴纳社会保障资金的证明(成立未满1个月的提供成立以来社会保障资金缴纳凭据；依法不需要缴纳社会保障资金的供应商，应提供相应文件证明其依法不需要缴纳社会保障资金)（复印件加盖公章）。</w:t>
            </w:r>
          </w:p>
        </w:tc>
      </w:tr>
      <w:tr w14:paraId="7C19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37" w:type="dxa"/>
            <w:vMerge w:val="continue"/>
            <w:vAlign w:val="center"/>
          </w:tcPr>
          <w:p w14:paraId="20156C3C">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70E5F2E4">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40A3FE67">
            <w:pPr>
              <w:spacing w:line="276" w:lineRule="auto"/>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参加政府采购活动前三年内，在经营活动中没有重大违法记录</w:t>
            </w:r>
          </w:p>
        </w:tc>
        <w:tc>
          <w:tcPr>
            <w:tcW w:w="4479" w:type="dxa"/>
            <w:gridSpan w:val="2"/>
            <w:vAlign w:val="center"/>
          </w:tcPr>
          <w:p w14:paraId="6E638CB5">
            <w:pPr>
              <w:spacing w:line="276" w:lineRule="auto"/>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提供参加政府采购活动前三年内在经营活动中没有重大违法记录的书面声明。</w:t>
            </w:r>
          </w:p>
        </w:tc>
      </w:tr>
      <w:tr w14:paraId="026A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37" w:type="dxa"/>
            <w:vMerge w:val="continue"/>
            <w:vAlign w:val="center"/>
          </w:tcPr>
          <w:p w14:paraId="6FD591A1">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4D0204AC">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62B03A01">
            <w:pPr>
              <w:spacing w:line="276" w:lineRule="auto"/>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法律、行政法规规定的其他条件</w:t>
            </w:r>
          </w:p>
        </w:tc>
        <w:tc>
          <w:tcPr>
            <w:tcW w:w="4479" w:type="dxa"/>
            <w:gridSpan w:val="2"/>
            <w:vAlign w:val="center"/>
          </w:tcPr>
          <w:p w14:paraId="0862C116">
            <w:pPr>
              <w:spacing w:line="276" w:lineRule="auto"/>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1.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E0D22BE">
            <w:pPr>
              <w:spacing w:line="276" w:lineRule="auto"/>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2.信誉要求：①在递交响应文件时，供应商的投标资格未被依法暂停或者被取消，未处于被责令停产停业、暂扣或者吊销执照，未进入清算程序或被宣告破产，无较大数额罚款等行政处罚，无其他丧失履约能力的情形(提供书面承诺);②供应商在国家企业信用信息公示系统(http://www.gsxt.gov.cn/)中没有被列入严重违法失信名单(黑名单)信息；在“信用中国”网站(http://www.creditchina.gov.cn/)或“中国执行信息公开网”网站(http://zxgk.court.gov.cn/)中没有被列入失信被执行人名单;在中国政府采购网（www.ccgp.gov.cn）政府采购严重违法失信行为记录名单中无不良信息记录（查询时间为本公告发布之日起至提交响应文件截止时间止，查询结果以采购人、采购代理机构查询结果为准，并将查询记录和证据留存）。</w:t>
            </w:r>
          </w:p>
        </w:tc>
      </w:tr>
      <w:tr w14:paraId="4A54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37" w:type="dxa"/>
            <w:vMerge w:val="continue"/>
            <w:vAlign w:val="center"/>
          </w:tcPr>
          <w:p w14:paraId="437789B9">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2F15A9C1">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12103025">
            <w:pPr>
              <w:spacing w:line="276" w:lineRule="auto"/>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本项目的特定资格要求</w:t>
            </w:r>
          </w:p>
        </w:tc>
        <w:tc>
          <w:tcPr>
            <w:tcW w:w="4479" w:type="dxa"/>
            <w:gridSpan w:val="2"/>
            <w:vAlign w:val="center"/>
          </w:tcPr>
          <w:p w14:paraId="41E8B333">
            <w:pPr>
              <w:spacing w:line="276" w:lineRule="auto"/>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1.供应商需具有有效的《食品经营许可证》，若供应商为生产企业的须提供《食品生产许可证》（原件扫描件加盖公章）。</w:t>
            </w:r>
          </w:p>
          <w:p w14:paraId="6B82B201">
            <w:pPr>
              <w:spacing w:line="276" w:lineRule="auto"/>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2.近三年在经营活动中无食品安全事故发生事件，供应商提供书面承诺(加盖公章)。</w:t>
            </w:r>
          </w:p>
          <w:p w14:paraId="0D4E0483">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3.供应商不允许以任何形式转包、转租，若供应商虚假承诺，一经查实，取消成交资格，供应商提供书面承诺(加盖公章)。</w:t>
            </w:r>
          </w:p>
        </w:tc>
      </w:tr>
      <w:tr w14:paraId="0A77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vAlign w:val="center"/>
          </w:tcPr>
          <w:p w14:paraId="649567F3">
            <w:pPr>
              <w:snapToGrid w:val="0"/>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2.1.2</w:t>
            </w:r>
          </w:p>
        </w:tc>
        <w:tc>
          <w:tcPr>
            <w:tcW w:w="1610" w:type="dxa"/>
            <w:vMerge w:val="restart"/>
            <w:vAlign w:val="center"/>
          </w:tcPr>
          <w:p w14:paraId="52C1C8EE">
            <w:pPr>
              <w:snapToGrid w:val="0"/>
              <w:spacing w:line="276"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符合性审查</w:t>
            </w:r>
          </w:p>
          <w:p w14:paraId="6F4626FA">
            <w:pPr>
              <w:snapToGrid w:val="0"/>
              <w:spacing w:line="276"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标准</w:t>
            </w:r>
          </w:p>
        </w:tc>
        <w:tc>
          <w:tcPr>
            <w:tcW w:w="2410" w:type="dxa"/>
            <w:vAlign w:val="center"/>
          </w:tcPr>
          <w:p w14:paraId="715240D3">
            <w:pPr>
              <w:spacing w:line="276" w:lineRule="auto"/>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响应文件</w:t>
            </w:r>
            <w:r>
              <w:rPr>
                <w:rFonts w:hint="eastAsia" w:asciiTheme="minorEastAsia" w:hAnsiTheme="minorEastAsia" w:eastAsiaTheme="minorEastAsia"/>
                <w:color w:val="auto"/>
                <w:szCs w:val="21"/>
                <w:highlight w:val="none"/>
                <w:lang w:val="en-US" w:eastAsia="zh-CN"/>
              </w:rPr>
              <w:t>格式</w:t>
            </w:r>
          </w:p>
        </w:tc>
        <w:tc>
          <w:tcPr>
            <w:tcW w:w="4479" w:type="dxa"/>
            <w:gridSpan w:val="2"/>
            <w:vAlign w:val="center"/>
          </w:tcPr>
          <w:p w14:paraId="7B8DD02A">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符合第四章“响应文件格式”的规定</w:t>
            </w:r>
          </w:p>
        </w:tc>
      </w:tr>
      <w:tr w14:paraId="4201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4CA3E56B">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18CE8C6D">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40CA0182">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响应文件签署、盖章</w:t>
            </w:r>
          </w:p>
        </w:tc>
        <w:tc>
          <w:tcPr>
            <w:tcW w:w="4479" w:type="dxa"/>
            <w:gridSpan w:val="2"/>
            <w:shd w:val="clear" w:color="auto" w:fill="auto"/>
            <w:vAlign w:val="center"/>
          </w:tcPr>
          <w:p w14:paraId="1A9A1877">
            <w:pPr>
              <w:spacing w:line="276" w:lineRule="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符合第四章“响应文件格式”的规定</w:t>
            </w:r>
          </w:p>
        </w:tc>
      </w:tr>
      <w:tr w14:paraId="60AD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1BAB1E4E">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706A8FE5">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431F3243">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磋商函</w:t>
            </w:r>
          </w:p>
        </w:tc>
        <w:tc>
          <w:tcPr>
            <w:tcW w:w="4479" w:type="dxa"/>
            <w:gridSpan w:val="2"/>
            <w:vAlign w:val="center"/>
          </w:tcPr>
          <w:p w14:paraId="1ED807BD">
            <w:pPr>
              <w:spacing w:line="276" w:lineRule="auto"/>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符合</w:t>
            </w:r>
            <w:r>
              <w:rPr>
                <w:rFonts w:hint="eastAsia" w:asciiTheme="minorEastAsia" w:hAnsiTheme="minorEastAsia" w:eastAsiaTheme="minorEastAsia"/>
                <w:color w:val="auto"/>
                <w:szCs w:val="21"/>
                <w:highlight w:val="none"/>
              </w:rPr>
              <w:t>第四章“响应</w:t>
            </w:r>
            <w:r>
              <w:rPr>
                <w:rFonts w:asciiTheme="minorEastAsia" w:hAnsiTheme="minorEastAsia" w:eastAsiaTheme="minorEastAsia"/>
                <w:color w:val="auto"/>
                <w:szCs w:val="21"/>
                <w:highlight w:val="none"/>
              </w:rPr>
              <w:t>文件</w:t>
            </w:r>
            <w:r>
              <w:rPr>
                <w:rFonts w:hint="eastAsia" w:asciiTheme="minorEastAsia" w:hAnsiTheme="minorEastAsia" w:eastAsiaTheme="minorEastAsia"/>
                <w:color w:val="auto"/>
                <w:szCs w:val="21"/>
                <w:highlight w:val="none"/>
              </w:rPr>
              <w:t>格式”中“商务报价文件”第（一）项规定</w:t>
            </w:r>
          </w:p>
        </w:tc>
      </w:tr>
      <w:tr w14:paraId="43EE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7E9A1264">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77C0810F">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2F240AAC">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法定代表人身份证明及授权委托书</w:t>
            </w:r>
          </w:p>
        </w:tc>
        <w:tc>
          <w:tcPr>
            <w:tcW w:w="4479" w:type="dxa"/>
            <w:gridSpan w:val="2"/>
            <w:vAlign w:val="center"/>
          </w:tcPr>
          <w:p w14:paraId="14BA2375">
            <w:pPr>
              <w:spacing w:line="276" w:lineRule="auto"/>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符合</w:t>
            </w:r>
            <w:r>
              <w:rPr>
                <w:rFonts w:hint="eastAsia" w:asciiTheme="minorEastAsia" w:hAnsiTheme="minorEastAsia" w:eastAsiaTheme="minorEastAsia"/>
                <w:color w:val="auto"/>
                <w:szCs w:val="21"/>
                <w:highlight w:val="none"/>
              </w:rPr>
              <w:t>第四章“响应</w:t>
            </w:r>
            <w:r>
              <w:rPr>
                <w:rFonts w:asciiTheme="minorEastAsia" w:hAnsiTheme="minorEastAsia" w:eastAsiaTheme="minorEastAsia"/>
                <w:color w:val="auto"/>
                <w:szCs w:val="21"/>
                <w:highlight w:val="none"/>
              </w:rPr>
              <w:t>文件</w:t>
            </w:r>
            <w:r>
              <w:rPr>
                <w:rFonts w:hint="eastAsia" w:asciiTheme="minorEastAsia" w:hAnsiTheme="minorEastAsia" w:eastAsiaTheme="minorEastAsia"/>
                <w:color w:val="auto"/>
                <w:szCs w:val="21"/>
                <w:highlight w:val="none"/>
              </w:rPr>
              <w:t>格式”中“商务报价文件”第（二）项规定，并且有效</w:t>
            </w:r>
          </w:p>
        </w:tc>
      </w:tr>
      <w:tr w14:paraId="0BA0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vMerge w:val="continue"/>
            <w:vAlign w:val="center"/>
          </w:tcPr>
          <w:p w14:paraId="40A47C17">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01394BB0">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0E193D70">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供应商承诺书</w:t>
            </w:r>
          </w:p>
        </w:tc>
        <w:tc>
          <w:tcPr>
            <w:tcW w:w="4479" w:type="dxa"/>
            <w:gridSpan w:val="2"/>
            <w:vAlign w:val="center"/>
          </w:tcPr>
          <w:p w14:paraId="7956A264">
            <w:pPr>
              <w:spacing w:line="276" w:lineRule="auto"/>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符合</w:t>
            </w:r>
            <w:r>
              <w:rPr>
                <w:rFonts w:hint="eastAsia" w:asciiTheme="minorEastAsia" w:hAnsiTheme="minorEastAsia" w:eastAsiaTheme="minorEastAsia"/>
                <w:color w:val="auto"/>
                <w:szCs w:val="21"/>
                <w:highlight w:val="none"/>
              </w:rPr>
              <w:t>第四章“响应</w:t>
            </w:r>
            <w:r>
              <w:rPr>
                <w:rFonts w:asciiTheme="minorEastAsia" w:hAnsiTheme="minorEastAsia" w:eastAsiaTheme="minorEastAsia"/>
                <w:color w:val="auto"/>
                <w:szCs w:val="21"/>
                <w:highlight w:val="none"/>
              </w:rPr>
              <w:t>文件</w:t>
            </w:r>
            <w:r>
              <w:rPr>
                <w:rFonts w:hint="eastAsia" w:asciiTheme="minorEastAsia" w:hAnsiTheme="minorEastAsia" w:eastAsiaTheme="minorEastAsia"/>
                <w:color w:val="auto"/>
                <w:szCs w:val="21"/>
                <w:highlight w:val="none"/>
              </w:rPr>
              <w:t>格式”中“商务报价文件”第（三）项规定</w:t>
            </w:r>
          </w:p>
        </w:tc>
      </w:tr>
      <w:tr w14:paraId="5B8F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30AE2B28">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24BA7BF1">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2131A14C">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磋商报价</w:t>
            </w:r>
          </w:p>
        </w:tc>
        <w:tc>
          <w:tcPr>
            <w:tcW w:w="4479" w:type="dxa"/>
            <w:gridSpan w:val="2"/>
            <w:vAlign w:val="center"/>
          </w:tcPr>
          <w:p w14:paraId="0805A4CC">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符合第二章“供应商须知前附表”第3.2</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项</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3.2.2</w:t>
            </w:r>
            <w:r>
              <w:rPr>
                <w:rFonts w:hint="eastAsia" w:asciiTheme="minorEastAsia" w:hAnsiTheme="minorEastAsia" w:eastAsiaTheme="minorEastAsia"/>
                <w:color w:val="auto"/>
                <w:szCs w:val="21"/>
                <w:highlight w:val="none"/>
              </w:rPr>
              <w:t>项和第四章“响应</w:t>
            </w:r>
            <w:r>
              <w:rPr>
                <w:rFonts w:asciiTheme="minorEastAsia" w:hAnsiTheme="minorEastAsia" w:eastAsiaTheme="minorEastAsia"/>
                <w:color w:val="auto"/>
                <w:szCs w:val="21"/>
                <w:highlight w:val="none"/>
              </w:rPr>
              <w:t>文件</w:t>
            </w:r>
            <w:r>
              <w:rPr>
                <w:rFonts w:hint="eastAsia" w:asciiTheme="minorEastAsia" w:hAnsiTheme="minorEastAsia" w:eastAsiaTheme="minorEastAsia"/>
                <w:color w:val="auto"/>
                <w:szCs w:val="21"/>
                <w:highlight w:val="none"/>
              </w:rPr>
              <w:t>格式”中“商务报价文件”第（四）项规定</w:t>
            </w:r>
          </w:p>
        </w:tc>
      </w:tr>
      <w:tr w14:paraId="3A26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3B963415">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466BCB7C">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75C11D97">
            <w:pPr>
              <w:spacing w:before="120" w:after="12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配送地点及要求</w:t>
            </w:r>
          </w:p>
        </w:tc>
        <w:tc>
          <w:tcPr>
            <w:tcW w:w="4479" w:type="dxa"/>
            <w:gridSpan w:val="2"/>
            <w:vAlign w:val="center"/>
          </w:tcPr>
          <w:p w14:paraId="7F817949">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符合第</w:t>
            </w:r>
            <w:r>
              <w:rPr>
                <w:rFonts w:hint="eastAsia" w:asciiTheme="minorEastAsia" w:hAnsiTheme="minorEastAsia" w:eastAsiaTheme="minorEastAsia"/>
                <w:color w:val="auto"/>
                <w:szCs w:val="21"/>
                <w:highlight w:val="none"/>
                <w:lang w:val="en-US" w:eastAsia="zh-CN"/>
              </w:rPr>
              <w:t>一</w:t>
            </w:r>
            <w:r>
              <w:rPr>
                <w:rFonts w:hint="eastAsia" w:asciiTheme="minorEastAsia" w:hAnsiTheme="minorEastAsia" w:eastAsiaTheme="minorEastAsia"/>
                <w:color w:val="auto"/>
                <w:szCs w:val="21"/>
                <w:highlight w:val="none"/>
              </w:rPr>
              <w:t>章“</w:t>
            </w:r>
            <w:r>
              <w:rPr>
                <w:rFonts w:hint="eastAsia" w:asciiTheme="minorEastAsia" w:hAnsiTheme="minorEastAsia" w:eastAsiaTheme="minorEastAsia"/>
                <w:color w:val="auto"/>
                <w:szCs w:val="21"/>
                <w:highlight w:val="none"/>
                <w:lang w:val="en-US" w:eastAsia="zh-CN"/>
              </w:rPr>
              <w:t>竞争性磋商公告</w:t>
            </w:r>
            <w:r>
              <w:rPr>
                <w:rFonts w:hint="eastAsia" w:asciiTheme="minorEastAsia" w:hAnsiTheme="minorEastAsia" w:eastAsiaTheme="minorEastAsia"/>
                <w:color w:val="auto"/>
                <w:szCs w:val="21"/>
                <w:highlight w:val="none"/>
              </w:rPr>
              <w:t>”的规定</w:t>
            </w:r>
          </w:p>
        </w:tc>
      </w:tr>
      <w:tr w14:paraId="099A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084F5B15">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5451EE45">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656CA531">
            <w:pPr>
              <w:spacing w:before="120" w:after="12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合同履行期限</w:t>
            </w:r>
          </w:p>
        </w:tc>
        <w:tc>
          <w:tcPr>
            <w:tcW w:w="4479" w:type="dxa"/>
            <w:gridSpan w:val="2"/>
            <w:vAlign w:val="center"/>
          </w:tcPr>
          <w:p w14:paraId="3FCF6009">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符合第</w:t>
            </w:r>
            <w:r>
              <w:rPr>
                <w:rFonts w:hint="eastAsia" w:asciiTheme="minorEastAsia" w:hAnsiTheme="minorEastAsia" w:eastAsiaTheme="minorEastAsia"/>
                <w:color w:val="auto"/>
                <w:szCs w:val="21"/>
                <w:highlight w:val="none"/>
                <w:lang w:val="en-US" w:eastAsia="zh-CN"/>
              </w:rPr>
              <w:t>一</w:t>
            </w:r>
            <w:r>
              <w:rPr>
                <w:rFonts w:hint="eastAsia" w:asciiTheme="minorEastAsia" w:hAnsiTheme="minorEastAsia" w:eastAsiaTheme="minorEastAsia"/>
                <w:color w:val="auto"/>
                <w:szCs w:val="21"/>
                <w:highlight w:val="none"/>
              </w:rPr>
              <w:t>章“</w:t>
            </w:r>
            <w:r>
              <w:rPr>
                <w:rFonts w:hint="eastAsia" w:asciiTheme="minorEastAsia" w:hAnsiTheme="minorEastAsia" w:eastAsiaTheme="minorEastAsia"/>
                <w:color w:val="auto"/>
                <w:szCs w:val="21"/>
                <w:highlight w:val="none"/>
                <w:lang w:val="en-US" w:eastAsia="zh-CN"/>
              </w:rPr>
              <w:t>竞争性磋商公告</w:t>
            </w:r>
            <w:r>
              <w:rPr>
                <w:rFonts w:hint="eastAsia" w:asciiTheme="minorEastAsia" w:hAnsiTheme="minorEastAsia" w:eastAsiaTheme="minorEastAsia"/>
                <w:color w:val="auto"/>
                <w:szCs w:val="21"/>
                <w:highlight w:val="none"/>
              </w:rPr>
              <w:t>”的规定</w:t>
            </w:r>
          </w:p>
        </w:tc>
      </w:tr>
      <w:tr w14:paraId="1EC7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175A918C">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242AD0B8">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5D75C6AA">
            <w:pPr>
              <w:spacing w:before="120" w:beforeLines="50" w:line="360" w:lineRule="auto"/>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质量要求</w:t>
            </w:r>
          </w:p>
        </w:tc>
        <w:tc>
          <w:tcPr>
            <w:tcW w:w="4479" w:type="dxa"/>
            <w:gridSpan w:val="2"/>
            <w:vAlign w:val="center"/>
          </w:tcPr>
          <w:p w14:paraId="150AE78E">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符合第</w:t>
            </w:r>
            <w:r>
              <w:rPr>
                <w:rFonts w:hint="eastAsia" w:asciiTheme="minorEastAsia" w:hAnsiTheme="minorEastAsia" w:eastAsiaTheme="minorEastAsia"/>
                <w:color w:val="auto"/>
                <w:szCs w:val="21"/>
                <w:highlight w:val="none"/>
                <w:lang w:val="en-US" w:eastAsia="zh-CN"/>
              </w:rPr>
              <w:t>一</w:t>
            </w:r>
            <w:r>
              <w:rPr>
                <w:rFonts w:hint="eastAsia" w:asciiTheme="minorEastAsia" w:hAnsiTheme="minorEastAsia" w:eastAsiaTheme="minorEastAsia"/>
                <w:color w:val="auto"/>
                <w:szCs w:val="21"/>
                <w:highlight w:val="none"/>
              </w:rPr>
              <w:t>章“</w:t>
            </w:r>
            <w:r>
              <w:rPr>
                <w:rFonts w:hint="eastAsia" w:asciiTheme="minorEastAsia" w:hAnsiTheme="minorEastAsia" w:eastAsiaTheme="minorEastAsia"/>
                <w:color w:val="auto"/>
                <w:szCs w:val="21"/>
                <w:highlight w:val="none"/>
                <w:lang w:val="en-US" w:eastAsia="zh-CN"/>
              </w:rPr>
              <w:t>竞争性磋商公告</w:t>
            </w:r>
            <w:r>
              <w:rPr>
                <w:rFonts w:hint="eastAsia" w:asciiTheme="minorEastAsia" w:hAnsiTheme="minorEastAsia" w:eastAsiaTheme="minorEastAsia"/>
                <w:color w:val="auto"/>
                <w:szCs w:val="21"/>
                <w:highlight w:val="none"/>
              </w:rPr>
              <w:t>”的规定</w:t>
            </w:r>
          </w:p>
        </w:tc>
      </w:tr>
      <w:tr w14:paraId="4065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1E69DC47">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6840AA30">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top"/>
          </w:tcPr>
          <w:p w14:paraId="156DB091">
            <w:pPr>
              <w:spacing w:before="120" w:beforeLines="50" w:line="360" w:lineRule="auto"/>
              <w:jc w:val="left"/>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附加条件</w:t>
            </w:r>
          </w:p>
        </w:tc>
        <w:tc>
          <w:tcPr>
            <w:tcW w:w="4479" w:type="dxa"/>
            <w:gridSpan w:val="2"/>
            <w:vAlign w:val="top"/>
          </w:tcPr>
          <w:p w14:paraId="24DC9F26">
            <w:pPr>
              <w:spacing w:before="120" w:beforeLines="50" w:line="360" w:lineRule="auto"/>
              <w:jc w:val="left"/>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响应文件未含有采购人不能接受的附加条件</w:t>
            </w:r>
          </w:p>
        </w:tc>
      </w:tr>
      <w:tr w14:paraId="2B31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68C0BBCC">
            <w:pPr>
              <w:snapToGrid w:val="0"/>
              <w:spacing w:line="360" w:lineRule="auto"/>
              <w:jc w:val="center"/>
              <w:rPr>
                <w:rFonts w:hint="eastAsia" w:asciiTheme="minorEastAsia" w:hAnsiTheme="minorEastAsia" w:eastAsiaTheme="minorEastAsia"/>
                <w:color w:val="auto"/>
                <w:szCs w:val="21"/>
                <w:highlight w:val="none"/>
              </w:rPr>
            </w:pPr>
          </w:p>
        </w:tc>
        <w:tc>
          <w:tcPr>
            <w:tcW w:w="1610" w:type="dxa"/>
            <w:vMerge w:val="continue"/>
            <w:vAlign w:val="center"/>
          </w:tcPr>
          <w:p w14:paraId="4F962D3F">
            <w:pPr>
              <w:snapToGrid w:val="0"/>
              <w:spacing w:line="276" w:lineRule="auto"/>
              <w:jc w:val="center"/>
              <w:rPr>
                <w:rFonts w:hint="eastAsia" w:asciiTheme="minorEastAsia" w:hAnsiTheme="minorEastAsia" w:eastAsiaTheme="minorEastAsia"/>
                <w:color w:val="auto"/>
                <w:szCs w:val="21"/>
                <w:highlight w:val="none"/>
              </w:rPr>
            </w:pPr>
          </w:p>
        </w:tc>
        <w:tc>
          <w:tcPr>
            <w:tcW w:w="2410" w:type="dxa"/>
            <w:vAlign w:val="center"/>
          </w:tcPr>
          <w:p w14:paraId="4F52A9F2">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其他</w:t>
            </w:r>
          </w:p>
        </w:tc>
        <w:tc>
          <w:tcPr>
            <w:tcW w:w="4479" w:type="dxa"/>
            <w:gridSpan w:val="2"/>
            <w:vAlign w:val="center"/>
          </w:tcPr>
          <w:p w14:paraId="314E7D82">
            <w:pPr>
              <w:spacing w:line="276"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不存在</w:t>
            </w:r>
            <w:r>
              <w:rPr>
                <w:rFonts w:asciiTheme="minorEastAsia" w:hAnsiTheme="minorEastAsia" w:eastAsiaTheme="minorEastAsia"/>
                <w:color w:val="auto"/>
                <w:szCs w:val="21"/>
                <w:highlight w:val="none"/>
              </w:rPr>
              <w:t>第</w:t>
            </w:r>
            <w:r>
              <w:rPr>
                <w:rFonts w:hint="eastAsia" w:asciiTheme="minorEastAsia" w:hAnsiTheme="minorEastAsia" w:eastAsiaTheme="minorEastAsia"/>
                <w:color w:val="auto"/>
                <w:szCs w:val="21"/>
                <w:highlight w:val="none"/>
              </w:rPr>
              <w:t>六</w:t>
            </w:r>
            <w:r>
              <w:rPr>
                <w:rFonts w:asciiTheme="minorEastAsia" w:hAnsiTheme="minorEastAsia" w:eastAsiaTheme="minorEastAsia"/>
                <w:color w:val="auto"/>
                <w:szCs w:val="21"/>
                <w:highlight w:val="none"/>
              </w:rPr>
              <w:t>章“</w:t>
            </w:r>
            <w:r>
              <w:rPr>
                <w:rFonts w:hint="eastAsia" w:asciiTheme="minorEastAsia" w:hAnsiTheme="minorEastAsia" w:eastAsiaTheme="minorEastAsia"/>
                <w:color w:val="auto"/>
                <w:szCs w:val="21"/>
                <w:highlight w:val="none"/>
              </w:rPr>
              <w:t>评审办法</w:t>
            </w:r>
            <w:r>
              <w:rPr>
                <w:rFonts w:asciiTheme="minorEastAsia" w:hAnsiTheme="minorEastAsia" w:eastAsiaTheme="minorEastAsia"/>
                <w:color w:val="auto"/>
                <w:szCs w:val="21"/>
                <w:highlight w:val="none"/>
              </w:rPr>
              <w:t>”附件B的</w:t>
            </w:r>
            <w:r>
              <w:rPr>
                <w:rFonts w:hint="eastAsia" w:asciiTheme="minorEastAsia" w:hAnsiTheme="minorEastAsia" w:eastAsiaTheme="minorEastAsia"/>
                <w:color w:val="auto"/>
                <w:szCs w:val="21"/>
                <w:highlight w:val="none"/>
              </w:rPr>
              <w:t>任何一种情形</w:t>
            </w:r>
          </w:p>
        </w:tc>
      </w:tr>
      <w:tr w14:paraId="3F48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7" w:type="dxa"/>
            <w:vAlign w:val="center"/>
          </w:tcPr>
          <w:p w14:paraId="2EBFBF10">
            <w:pPr>
              <w:snapToGrid w:val="0"/>
              <w:jc w:val="center"/>
              <w:rPr>
                <w:rFonts w:hint="eastAsia"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条款号</w:t>
            </w:r>
          </w:p>
        </w:tc>
        <w:tc>
          <w:tcPr>
            <w:tcW w:w="4020" w:type="dxa"/>
            <w:gridSpan w:val="2"/>
            <w:vAlign w:val="center"/>
          </w:tcPr>
          <w:p w14:paraId="0D11A32E">
            <w:pPr>
              <w:snapToGrid w:val="0"/>
              <w:jc w:val="center"/>
              <w:rPr>
                <w:rFonts w:hint="eastAsia"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条款内容</w:t>
            </w:r>
          </w:p>
        </w:tc>
        <w:tc>
          <w:tcPr>
            <w:tcW w:w="4479" w:type="dxa"/>
            <w:gridSpan w:val="2"/>
            <w:vAlign w:val="center"/>
          </w:tcPr>
          <w:p w14:paraId="78ADD16E">
            <w:pPr>
              <w:snapToGrid w:val="0"/>
              <w:jc w:val="center"/>
              <w:rPr>
                <w:rFonts w:hint="eastAsia"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编列内容</w:t>
            </w:r>
          </w:p>
        </w:tc>
      </w:tr>
      <w:tr w14:paraId="7CD8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Align w:val="center"/>
          </w:tcPr>
          <w:p w14:paraId="59531248">
            <w:pPr>
              <w:snapToGrid w:val="0"/>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1</w:t>
            </w:r>
          </w:p>
        </w:tc>
        <w:tc>
          <w:tcPr>
            <w:tcW w:w="4020" w:type="dxa"/>
            <w:gridSpan w:val="2"/>
            <w:vAlign w:val="center"/>
          </w:tcPr>
          <w:p w14:paraId="62F12D9E">
            <w:pPr>
              <w:snapToGrid w:val="0"/>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分值构成</w:t>
            </w:r>
          </w:p>
          <w:p w14:paraId="597001F4">
            <w:pPr>
              <w:snapToGrid w:val="0"/>
              <w:spacing w:line="360" w:lineRule="auto"/>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商务、</w:t>
            </w:r>
            <w:r>
              <w:rPr>
                <w:rFonts w:hint="eastAsia" w:asciiTheme="minorEastAsia" w:hAnsiTheme="minorEastAsia" w:eastAsiaTheme="minorEastAsia"/>
                <w:color w:val="auto"/>
                <w:szCs w:val="21"/>
                <w:highlight w:val="none"/>
              </w:rPr>
              <w:t>技术部分满分</w:t>
            </w:r>
            <w:r>
              <w:rPr>
                <w:rFonts w:hint="eastAsia" w:asciiTheme="minorEastAsia" w:hAnsiTheme="minorEastAsia" w:eastAsiaTheme="minorEastAsia"/>
                <w:color w:val="auto"/>
                <w:szCs w:val="21"/>
                <w:highlight w:val="none"/>
                <w:lang w:val="en-US" w:eastAsia="zh-CN"/>
              </w:rPr>
              <w:t>70</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lang w:val="en-US" w:eastAsia="zh-CN"/>
              </w:rPr>
              <w:t>报价</w:t>
            </w:r>
            <w:r>
              <w:rPr>
                <w:rFonts w:hint="eastAsia" w:asciiTheme="minorEastAsia" w:hAnsiTheme="minorEastAsia" w:eastAsiaTheme="minorEastAsia"/>
                <w:color w:val="auto"/>
                <w:szCs w:val="21"/>
                <w:highlight w:val="none"/>
              </w:rPr>
              <w:t>部分满分</w:t>
            </w:r>
            <w:r>
              <w:rPr>
                <w:rFonts w:hint="eastAsia" w:asciiTheme="minorEastAsia" w:hAnsiTheme="minorEastAsia" w:eastAsiaTheme="minorEastAsia"/>
                <w:color w:val="auto"/>
                <w:szCs w:val="21"/>
                <w:highlight w:val="none"/>
                <w:lang w:val="en-US" w:eastAsia="zh-CN"/>
              </w:rPr>
              <w:t>3</w:t>
            </w:r>
            <w:r>
              <w:rPr>
                <w:rFonts w:asciiTheme="minorEastAsia" w:hAnsiTheme="minorEastAsia" w:eastAsiaTheme="minorEastAsia"/>
                <w:color w:val="auto"/>
                <w:szCs w:val="21"/>
                <w:highlight w:val="none"/>
              </w:rPr>
              <w:t>0</w:t>
            </w:r>
            <w:r>
              <w:rPr>
                <w:rFonts w:hint="eastAsia" w:asciiTheme="minorEastAsia" w:hAnsiTheme="minorEastAsia" w:eastAsiaTheme="minorEastAsia"/>
                <w:color w:val="auto"/>
                <w:szCs w:val="21"/>
                <w:highlight w:val="none"/>
              </w:rPr>
              <w:t>分。）</w:t>
            </w:r>
          </w:p>
        </w:tc>
        <w:tc>
          <w:tcPr>
            <w:tcW w:w="4479" w:type="dxa"/>
            <w:gridSpan w:val="2"/>
            <w:vAlign w:val="center"/>
          </w:tcPr>
          <w:p w14:paraId="3907DBA3">
            <w:pPr>
              <w:autoSpaceDE w:val="0"/>
              <w:autoSpaceDN w:val="0"/>
              <w:adjustRightInd w:val="0"/>
              <w:spacing w:before="120" w:beforeLines="50" w:line="360" w:lineRule="auto"/>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供应商的综合得分计算公式：Z=J+S。</w:t>
            </w:r>
          </w:p>
          <w:p w14:paraId="7D81C890">
            <w:pPr>
              <w:autoSpaceDE w:val="0"/>
              <w:autoSpaceDN w:val="0"/>
              <w:adjustRightInd w:val="0"/>
              <w:spacing w:line="360" w:lineRule="auto"/>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式中：Z为供应商的综合得分；</w:t>
            </w:r>
          </w:p>
          <w:p w14:paraId="76F84009">
            <w:pPr>
              <w:autoSpaceDE w:val="0"/>
              <w:autoSpaceDN w:val="0"/>
              <w:adjustRightInd w:val="0"/>
              <w:spacing w:line="360" w:lineRule="auto"/>
              <w:ind w:firstLine="630" w:firstLineChars="3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J为供应商的</w:t>
            </w:r>
            <w:r>
              <w:rPr>
                <w:rFonts w:hint="eastAsia" w:asciiTheme="minorEastAsia" w:hAnsiTheme="minorEastAsia" w:eastAsiaTheme="minorEastAsia"/>
                <w:color w:val="auto"/>
                <w:szCs w:val="21"/>
                <w:highlight w:val="none"/>
                <w:lang w:val="en-US" w:eastAsia="zh-CN"/>
              </w:rPr>
              <w:t>商务、</w:t>
            </w:r>
            <w:r>
              <w:rPr>
                <w:rFonts w:hint="eastAsia" w:asciiTheme="minorEastAsia" w:hAnsiTheme="minorEastAsia" w:eastAsiaTheme="minorEastAsia"/>
                <w:color w:val="auto"/>
                <w:szCs w:val="21"/>
                <w:highlight w:val="none"/>
              </w:rPr>
              <w:t>技术部分得分；</w:t>
            </w:r>
          </w:p>
          <w:p w14:paraId="2CBD7FB3">
            <w:pPr>
              <w:autoSpaceDE w:val="0"/>
              <w:autoSpaceDN w:val="0"/>
              <w:adjustRightInd w:val="0"/>
              <w:spacing w:line="360" w:lineRule="auto"/>
              <w:ind w:firstLine="630" w:firstLineChars="3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S为供应商的</w:t>
            </w:r>
            <w:r>
              <w:rPr>
                <w:rFonts w:hint="eastAsia" w:asciiTheme="minorEastAsia" w:hAnsiTheme="minorEastAsia" w:eastAsiaTheme="minorEastAsia"/>
                <w:color w:val="auto"/>
                <w:szCs w:val="21"/>
                <w:highlight w:val="none"/>
                <w:lang w:val="en-US" w:eastAsia="zh-CN"/>
              </w:rPr>
              <w:t>报价</w:t>
            </w:r>
            <w:r>
              <w:rPr>
                <w:rFonts w:hint="eastAsia" w:asciiTheme="minorEastAsia" w:hAnsiTheme="minorEastAsia" w:eastAsiaTheme="minorEastAsia"/>
                <w:color w:val="auto"/>
                <w:szCs w:val="21"/>
                <w:highlight w:val="none"/>
              </w:rPr>
              <w:t>部分得分。</w:t>
            </w:r>
          </w:p>
        </w:tc>
      </w:tr>
      <w:tr w14:paraId="2A03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7" w:type="dxa"/>
            <w:vAlign w:val="center"/>
          </w:tcPr>
          <w:p w14:paraId="20ABF75D">
            <w:pPr>
              <w:snapToGrid w:val="0"/>
              <w:jc w:val="center"/>
              <w:rPr>
                <w:rFonts w:hint="eastAsia"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条款号</w:t>
            </w:r>
          </w:p>
        </w:tc>
        <w:tc>
          <w:tcPr>
            <w:tcW w:w="1610" w:type="dxa"/>
            <w:vAlign w:val="center"/>
          </w:tcPr>
          <w:p w14:paraId="003D6742">
            <w:pPr>
              <w:snapToGrid w:val="0"/>
              <w:jc w:val="center"/>
              <w:rPr>
                <w:rFonts w:hint="eastAsia" w:cs="宋体"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评审因素</w:t>
            </w:r>
          </w:p>
        </w:tc>
        <w:tc>
          <w:tcPr>
            <w:tcW w:w="5905" w:type="dxa"/>
            <w:gridSpan w:val="2"/>
            <w:vAlign w:val="center"/>
          </w:tcPr>
          <w:p w14:paraId="4EAEF27E">
            <w:pPr>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评审标准</w:t>
            </w:r>
          </w:p>
        </w:tc>
        <w:tc>
          <w:tcPr>
            <w:tcW w:w="984" w:type="dxa"/>
            <w:vAlign w:val="center"/>
          </w:tcPr>
          <w:p w14:paraId="2899A95D">
            <w:pPr>
              <w:snapToGrid w:val="0"/>
              <w:jc w:val="center"/>
              <w:rPr>
                <w:rFonts w:hint="eastAsia" w:cs="宋体"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满分</w:t>
            </w:r>
          </w:p>
        </w:tc>
      </w:tr>
      <w:tr w14:paraId="5483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7" w:type="dxa"/>
            <w:vMerge w:val="restart"/>
            <w:vAlign w:val="center"/>
          </w:tcPr>
          <w:p w14:paraId="52C813D8">
            <w:pPr>
              <w:spacing w:before="120" w:beforeLines="50" w:line="360" w:lineRule="auto"/>
              <w:jc w:val="center"/>
              <w:rPr>
                <w:rFonts w:hint="eastAsia" w:cs="仿宋" w:asciiTheme="minorEastAsia" w:hAnsiTheme="minorEastAsia" w:eastAsiaTheme="minorEastAsia"/>
                <w:bCs/>
                <w:color w:val="auto"/>
                <w:szCs w:val="21"/>
                <w:highlight w:val="none"/>
              </w:rPr>
            </w:pPr>
            <w:r>
              <w:rPr>
                <w:rFonts w:hint="eastAsia" w:cs="仿宋" w:asciiTheme="minorEastAsia" w:hAnsiTheme="minorEastAsia" w:eastAsiaTheme="minorEastAsia"/>
                <w:bCs/>
                <w:color w:val="auto"/>
                <w:szCs w:val="21"/>
                <w:highlight w:val="none"/>
              </w:rPr>
              <w:t>2</w:t>
            </w:r>
            <w:r>
              <w:rPr>
                <w:rFonts w:cs="仿宋" w:asciiTheme="minorEastAsia" w:hAnsiTheme="minorEastAsia" w:eastAsiaTheme="minorEastAsia"/>
                <w:bCs/>
                <w:color w:val="auto"/>
                <w:szCs w:val="21"/>
                <w:highlight w:val="none"/>
              </w:rPr>
              <w:t>.2.2</w:t>
            </w:r>
          </w:p>
        </w:tc>
        <w:tc>
          <w:tcPr>
            <w:tcW w:w="1610" w:type="dxa"/>
            <w:vMerge w:val="restart"/>
            <w:vAlign w:val="center"/>
          </w:tcPr>
          <w:p w14:paraId="60AE34CF">
            <w:pPr>
              <w:pStyle w:val="329"/>
              <w:spacing w:before="120" w:beforeLines="50" w:line="360" w:lineRule="auto"/>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技术部分</w:t>
            </w:r>
          </w:p>
          <w:p w14:paraId="162CE642">
            <w:pPr>
              <w:pStyle w:val="329"/>
              <w:spacing w:before="0" w:line="360" w:lineRule="auto"/>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评审标准</w:t>
            </w:r>
          </w:p>
          <w:p w14:paraId="538A2B85">
            <w:pPr>
              <w:pStyle w:val="329"/>
              <w:spacing w:before="0" w:line="360" w:lineRule="auto"/>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（满分</w:t>
            </w:r>
            <w:r>
              <w:rPr>
                <w:rFonts w:hint="eastAsia" w:asciiTheme="minorEastAsia" w:hAnsiTheme="minorEastAsia" w:eastAsiaTheme="minorEastAsia"/>
                <w:color w:val="auto"/>
                <w:sz w:val="21"/>
                <w:szCs w:val="21"/>
                <w:highlight w:val="none"/>
                <w:lang w:val="en-US" w:eastAsia="zh-CN"/>
              </w:rPr>
              <w:t>5</w:t>
            </w:r>
            <w:r>
              <w:rPr>
                <w:rFonts w:asciiTheme="minorEastAsia" w:hAnsiTheme="minorEastAsia" w:eastAsiaTheme="minorEastAsia"/>
                <w:color w:val="auto"/>
                <w:sz w:val="21"/>
                <w:szCs w:val="21"/>
                <w:highlight w:val="none"/>
                <w:lang w:eastAsia="zh-CN"/>
              </w:rPr>
              <w:t>0</w:t>
            </w:r>
            <w:r>
              <w:rPr>
                <w:rFonts w:hint="eastAsia" w:asciiTheme="minorEastAsia" w:hAnsiTheme="minorEastAsia" w:eastAsiaTheme="minorEastAsia"/>
                <w:color w:val="auto"/>
                <w:sz w:val="21"/>
                <w:szCs w:val="21"/>
                <w:highlight w:val="none"/>
                <w:lang w:eastAsia="zh-CN"/>
              </w:rPr>
              <w:t>分）</w:t>
            </w:r>
          </w:p>
        </w:tc>
        <w:tc>
          <w:tcPr>
            <w:tcW w:w="5905" w:type="dxa"/>
            <w:gridSpan w:val="2"/>
            <w:vAlign w:val="center"/>
          </w:tcPr>
          <w:p w14:paraId="5BF60076">
            <w:pPr>
              <w:spacing w:line="360" w:lineRule="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1、</w:t>
            </w:r>
            <w:r>
              <w:rPr>
                <w:rFonts w:hint="default" w:ascii="宋体" w:hAnsi="宋体" w:eastAsia="宋体"/>
                <w:b/>
                <w:bCs/>
                <w:color w:val="auto"/>
                <w:szCs w:val="21"/>
                <w:highlight w:val="none"/>
                <w:lang w:val="en-US" w:eastAsia="zh-CN"/>
              </w:rPr>
              <w:t>服务方案评审评分（满分18分）</w:t>
            </w:r>
          </w:p>
          <w:p w14:paraId="794B0EF5">
            <w:pPr>
              <w:spacing w:line="360" w:lineRule="auto"/>
              <w:rPr>
                <w:rFonts w:hint="default" w:ascii="宋体" w:hAnsi="宋体" w:eastAsia="宋体"/>
                <w:b w:val="0"/>
                <w:bCs w:val="0"/>
                <w:color w:val="auto"/>
                <w:szCs w:val="21"/>
                <w:highlight w:val="none"/>
                <w:lang w:val="en-US" w:eastAsia="zh-CN"/>
              </w:rPr>
            </w:pPr>
            <w:r>
              <w:rPr>
                <w:rFonts w:hint="default" w:ascii="宋体" w:hAnsi="宋体" w:eastAsia="宋体"/>
                <w:b w:val="0"/>
                <w:bCs w:val="0"/>
                <w:color w:val="auto"/>
                <w:szCs w:val="21"/>
                <w:highlight w:val="none"/>
                <w:lang w:val="en-US" w:eastAsia="zh-CN"/>
              </w:rPr>
              <w:t>根据响应文件中提供的服务方案进行评分，至少包括：</w:t>
            </w:r>
          </w:p>
          <w:p w14:paraId="6810EBBA">
            <w:pPr>
              <w:spacing w:line="360" w:lineRule="auto"/>
              <w:rPr>
                <w:rFonts w:hint="default" w:ascii="宋体" w:hAnsi="宋体" w:eastAsia="宋体"/>
                <w:b w:val="0"/>
                <w:bCs w:val="0"/>
                <w:color w:val="auto"/>
                <w:szCs w:val="21"/>
                <w:highlight w:val="none"/>
                <w:lang w:val="en-US" w:eastAsia="zh-CN"/>
              </w:rPr>
            </w:pPr>
            <w:r>
              <w:rPr>
                <w:rFonts w:hint="default" w:ascii="宋体" w:hAnsi="宋体" w:eastAsia="宋体"/>
                <w:b w:val="0"/>
                <w:bCs w:val="0"/>
                <w:color w:val="auto"/>
                <w:szCs w:val="21"/>
                <w:highlight w:val="none"/>
                <w:lang w:val="en-US" w:eastAsia="zh-CN"/>
              </w:rPr>
              <w:t>① 供货产品质量；</w:t>
            </w:r>
          </w:p>
          <w:p w14:paraId="7F45CAD0">
            <w:pPr>
              <w:spacing w:line="360" w:lineRule="auto"/>
              <w:rPr>
                <w:rFonts w:hint="default" w:ascii="宋体" w:hAnsi="宋体" w:eastAsia="宋体"/>
                <w:b w:val="0"/>
                <w:bCs w:val="0"/>
                <w:color w:val="auto"/>
                <w:szCs w:val="21"/>
                <w:highlight w:val="none"/>
                <w:lang w:val="en-US" w:eastAsia="zh-CN"/>
              </w:rPr>
            </w:pPr>
            <w:r>
              <w:rPr>
                <w:rFonts w:hint="default" w:ascii="宋体" w:hAnsi="宋体" w:eastAsia="宋体"/>
                <w:b w:val="0"/>
                <w:bCs w:val="0"/>
                <w:color w:val="auto"/>
                <w:szCs w:val="21"/>
                <w:highlight w:val="none"/>
                <w:lang w:val="en-US" w:eastAsia="zh-CN"/>
              </w:rPr>
              <w:t>② 货源渠道；</w:t>
            </w:r>
          </w:p>
          <w:p w14:paraId="3A89A86F">
            <w:pPr>
              <w:spacing w:line="360" w:lineRule="auto"/>
              <w:rPr>
                <w:rFonts w:hint="default" w:ascii="宋体" w:hAnsi="宋体" w:eastAsia="宋体"/>
                <w:b w:val="0"/>
                <w:bCs w:val="0"/>
                <w:color w:val="auto"/>
                <w:szCs w:val="21"/>
                <w:highlight w:val="none"/>
                <w:lang w:val="en-US" w:eastAsia="zh-CN"/>
              </w:rPr>
            </w:pPr>
            <w:r>
              <w:rPr>
                <w:rFonts w:hint="default" w:ascii="宋体" w:hAnsi="宋体" w:eastAsia="宋体"/>
                <w:b w:val="0"/>
                <w:bCs w:val="0"/>
                <w:color w:val="auto"/>
                <w:szCs w:val="21"/>
                <w:highlight w:val="none"/>
                <w:lang w:val="en-US" w:eastAsia="zh-CN"/>
              </w:rPr>
              <w:t>③ 产品追溯性及保障；</w:t>
            </w:r>
          </w:p>
          <w:p w14:paraId="277FF183">
            <w:pPr>
              <w:spacing w:line="360" w:lineRule="auto"/>
              <w:rPr>
                <w:rFonts w:hint="default" w:ascii="宋体" w:hAnsi="宋体" w:eastAsia="宋体"/>
                <w:b w:val="0"/>
                <w:bCs w:val="0"/>
                <w:color w:val="auto"/>
                <w:szCs w:val="21"/>
                <w:highlight w:val="none"/>
                <w:lang w:val="en-US" w:eastAsia="zh-CN"/>
              </w:rPr>
            </w:pPr>
            <w:r>
              <w:rPr>
                <w:rFonts w:hint="default" w:ascii="宋体" w:hAnsi="宋体" w:eastAsia="宋体"/>
                <w:b w:val="0"/>
                <w:bCs w:val="0"/>
                <w:color w:val="auto"/>
                <w:szCs w:val="21"/>
                <w:highlight w:val="none"/>
                <w:lang w:val="en-US" w:eastAsia="zh-CN"/>
              </w:rPr>
              <w:t>④ 配送服务方案；</w:t>
            </w:r>
          </w:p>
          <w:p w14:paraId="70AA8EF7">
            <w:pPr>
              <w:spacing w:line="360" w:lineRule="auto"/>
              <w:rPr>
                <w:rFonts w:hint="default" w:ascii="宋体" w:hAnsi="宋体" w:eastAsia="宋体"/>
                <w:b w:val="0"/>
                <w:bCs w:val="0"/>
                <w:color w:val="auto"/>
                <w:szCs w:val="21"/>
                <w:highlight w:val="none"/>
                <w:lang w:val="en-US" w:eastAsia="zh-CN"/>
              </w:rPr>
            </w:pPr>
            <w:r>
              <w:rPr>
                <w:rFonts w:hint="default" w:ascii="宋体" w:hAnsi="宋体" w:eastAsia="宋体"/>
                <w:b w:val="0"/>
                <w:bCs w:val="0"/>
                <w:color w:val="auto"/>
                <w:szCs w:val="21"/>
                <w:highlight w:val="none"/>
                <w:lang w:val="en-US" w:eastAsia="zh-CN"/>
              </w:rPr>
              <w:t>⑤ 运输计划安排；</w:t>
            </w:r>
          </w:p>
          <w:p w14:paraId="19C943EE">
            <w:pPr>
              <w:spacing w:line="360" w:lineRule="auto"/>
              <w:rPr>
                <w:rFonts w:hint="default" w:ascii="宋体" w:hAnsi="宋体" w:eastAsia="宋体"/>
                <w:b w:val="0"/>
                <w:bCs w:val="0"/>
                <w:color w:val="auto"/>
                <w:szCs w:val="21"/>
                <w:highlight w:val="none"/>
                <w:lang w:val="en-US" w:eastAsia="zh-CN"/>
              </w:rPr>
            </w:pPr>
            <w:r>
              <w:rPr>
                <w:rFonts w:hint="default" w:ascii="宋体" w:hAnsi="宋体" w:eastAsia="宋体"/>
                <w:b w:val="0"/>
                <w:bCs w:val="0"/>
                <w:color w:val="auto"/>
                <w:szCs w:val="21"/>
                <w:highlight w:val="none"/>
                <w:lang w:val="en-US" w:eastAsia="zh-CN"/>
              </w:rPr>
              <w:t>⑥装卸货及验收交付。</w:t>
            </w:r>
          </w:p>
          <w:p w14:paraId="4DC1D314">
            <w:pPr>
              <w:spacing w:line="360" w:lineRule="auto"/>
              <w:rPr>
                <w:rFonts w:hint="default" w:ascii="宋体" w:hAnsi="宋体" w:eastAsia="宋体"/>
                <w:b w:val="0"/>
                <w:bCs w:val="0"/>
                <w:color w:val="auto"/>
                <w:szCs w:val="21"/>
                <w:highlight w:val="none"/>
                <w:lang w:val="en-US" w:eastAsia="zh-CN"/>
              </w:rPr>
            </w:pPr>
            <w:r>
              <w:rPr>
                <w:rFonts w:hint="default" w:ascii="宋体" w:hAnsi="宋体" w:eastAsia="宋体"/>
                <w:b w:val="0"/>
                <w:bCs w:val="0"/>
                <w:color w:val="auto"/>
                <w:szCs w:val="21"/>
                <w:highlight w:val="none"/>
                <w:lang w:val="en-US" w:eastAsia="zh-CN"/>
              </w:rPr>
              <w:t>以上6项每项内容完整详尽、考虑全面具体，完全满足本项目实际需求的、进行综合评审，每项得3分；每有1项针对性不足的扣0.5分，每有1项过于简略扣1分，每有1项有瑕疵或有明显错误的扣2分。</w:t>
            </w:r>
          </w:p>
        </w:tc>
        <w:tc>
          <w:tcPr>
            <w:tcW w:w="984" w:type="dxa"/>
            <w:vAlign w:val="center"/>
          </w:tcPr>
          <w:p w14:paraId="702C5D7D">
            <w:pPr>
              <w:spacing w:line="360" w:lineRule="auto"/>
              <w:rPr>
                <w:rFonts w:hint="eastAsia" w:ascii="宋体" w:hAnsi="宋体"/>
                <w:color w:val="auto"/>
                <w:highlight w:val="none"/>
              </w:rPr>
            </w:pPr>
          </w:p>
          <w:p w14:paraId="5F0B6DE3">
            <w:pPr>
              <w:spacing w:line="360" w:lineRule="auto"/>
              <w:rPr>
                <w:rFonts w:hint="eastAsia" w:ascii="宋体" w:hAnsi="宋体" w:cs="仿宋"/>
                <w:b/>
                <w:bCs/>
                <w:color w:val="auto"/>
                <w:szCs w:val="21"/>
                <w:highlight w:val="none"/>
              </w:rPr>
            </w:pPr>
            <w:r>
              <w:rPr>
                <w:rFonts w:hint="eastAsia" w:ascii="宋体" w:hAnsi="宋体"/>
                <w:color w:val="auto"/>
                <w:highlight w:val="none"/>
                <w:lang w:val="en-US" w:eastAsia="zh-CN"/>
              </w:rPr>
              <w:t>18</w:t>
            </w:r>
            <w:r>
              <w:rPr>
                <w:rFonts w:hint="eastAsia" w:ascii="宋体" w:hAnsi="宋体"/>
                <w:color w:val="auto"/>
                <w:highlight w:val="none"/>
              </w:rPr>
              <w:t>分</w:t>
            </w:r>
          </w:p>
        </w:tc>
      </w:tr>
      <w:tr w14:paraId="295A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56619085">
            <w:pPr>
              <w:spacing w:line="360" w:lineRule="auto"/>
              <w:jc w:val="center"/>
              <w:rPr>
                <w:rFonts w:hint="eastAsia" w:cs="仿宋" w:asciiTheme="minorEastAsia" w:hAnsiTheme="minorEastAsia" w:eastAsiaTheme="minorEastAsia"/>
                <w:bCs/>
                <w:color w:val="auto"/>
                <w:szCs w:val="21"/>
                <w:highlight w:val="none"/>
              </w:rPr>
            </w:pPr>
          </w:p>
        </w:tc>
        <w:tc>
          <w:tcPr>
            <w:tcW w:w="1610" w:type="dxa"/>
            <w:vMerge w:val="continue"/>
            <w:vAlign w:val="center"/>
          </w:tcPr>
          <w:p w14:paraId="77F21980">
            <w:pPr>
              <w:pStyle w:val="329"/>
              <w:spacing w:before="0" w:line="360" w:lineRule="auto"/>
              <w:ind w:left="131" w:right="9"/>
              <w:jc w:val="center"/>
              <w:rPr>
                <w:rFonts w:hint="eastAsia" w:asciiTheme="minorEastAsia" w:hAnsiTheme="minorEastAsia" w:eastAsiaTheme="minorEastAsia"/>
                <w:color w:val="auto"/>
                <w:sz w:val="21"/>
                <w:szCs w:val="21"/>
                <w:highlight w:val="none"/>
                <w:lang w:eastAsia="zh-CN"/>
              </w:rPr>
            </w:pPr>
          </w:p>
        </w:tc>
        <w:tc>
          <w:tcPr>
            <w:tcW w:w="5905" w:type="dxa"/>
            <w:gridSpan w:val="2"/>
            <w:vAlign w:val="center"/>
          </w:tcPr>
          <w:p w14:paraId="77C43CA5">
            <w:pPr>
              <w:spacing w:line="360" w:lineRule="auto"/>
              <w:rPr>
                <w:rFonts w:hint="eastAsia" w:cs="宋体" w:asciiTheme="minorEastAsia" w:hAnsiTheme="minorEastAsia" w:eastAsiaTheme="minorEastAsia"/>
                <w:b/>
                <w:bCs/>
                <w:color w:val="auto"/>
                <w:szCs w:val="21"/>
                <w:highlight w:val="none"/>
                <w:lang w:val="en-US" w:eastAsia="zh-CN"/>
              </w:rPr>
            </w:pPr>
            <w:r>
              <w:rPr>
                <w:rFonts w:hint="eastAsia" w:cs="宋体" w:asciiTheme="minorEastAsia" w:hAnsiTheme="minorEastAsia" w:eastAsiaTheme="minorEastAsia"/>
                <w:b/>
                <w:bCs/>
                <w:color w:val="auto"/>
                <w:szCs w:val="21"/>
                <w:highlight w:val="none"/>
                <w:lang w:val="en-US" w:eastAsia="zh-CN"/>
              </w:rPr>
              <w:t>2、食品安全方案（满分12分）</w:t>
            </w:r>
          </w:p>
          <w:p w14:paraId="5E2AC2EB">
            <w:pPr>
              <w:spacing w:line="360" w:lineRule="auto"/>
              <w:rPr>
                <w:rFonts w:hint="eastAsia"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根据</w:t>
            </w:r>
            <w:r>
              <w:rPr>
                <w:rFonts w:hint="eastAsia" w:cs="宋体" w:asciiTheme="minorEastAsia" w:hAnsiTheme="minorEastAsia" w:eastAsiaTheme="minorEastAsia"/>
                <w:b w:val="0"/>
                <w:bCs w:val="0"/>
                <w:color w:val="auto"/>
                <w:szCs w:val="21"/>
                <w:highlight w:val="none"/>
                <w:lang w:val="en-US" w:eastAsia="zh-CN"/>
              </w:rPr>
              <w:t>响应</w:t>
            </w:r>
            <w:r>
              <w:rPr>
                <w:rFonts w:hint="eastAsia" w:cs="宋体" w:asciiTheme="minorEastAsia" w:hAnsiTheme="minorEastAsia" w:eastAsiaTheme="minorEastAsia"/>
                <w:b w:val="0"/>
                <w:bCs w:val="0"/>
                <w:color w:val="auto"/>
                <w:szCs w:val="21"/>
                <w:highlight w:val="none"/>
              </w:rPr>
              <w:t>文件中提供的食品安全方案进行评分，至少包括：</w:t>
            </w:r>
          </w:p>
          <w:p w14:paraId="34D2F8B7">
            <w:pPr>
              <w:spacing w:line="360" w:lineRule="auto"/>
              <w:rPr>
                <w:rFonts w:hint="eastAsia"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① 食品安全方案；</w:t>
            </w:r>
          </w:p>
          <w:p w14:paraId="6704EE75">
            <w:pPr>
              <w:spacing w:line="360" w:lineRule="auto"/>
              <w:rPr>
                <w:rFonts w:hint="eastAsia"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② 食品安全管理制度；</w:t>
            </w:r>
          </w:p>
          <w:p w14:paraId="6E13AC00">
            <w:pPr>
              <w:spacing w:line="360" w:lineRule="auto"/>
              <w:rPr>
                <w:rFonts w:hint="eastAsia" w:cs="宋体" w:asciiTheme="minorEastAsia" w:hAnsiTheme="minorEastAsia" w:eastAsiaTheme="minorEastAsia"/>
                <w:b w:val="0"/>
                <w:bCs w:val="0"/>
                <w:color w:val="auto"/>
                <w:szCs w:val="21"/>
                <w:highlight w:val="none"/>
                <w:lang w:eastAsia="zh-CN"/>
              </w:rPr>
            </w:pPr>
            <w:r>
              <w:rPr>
                <w:rFonts w:hint="eastAsia" w:cs="宋体" w:asciiTheme="minorEastAsia" w:hAnsiTheme="minorEastAsia" w:eastAsiaTheme="minorEastAsia"/>
                <w:b w:val="0"/>
                <w:bCs w:val="0"/>
                <w:color w:val="auto"/>
                <w:szCs w:val="21"/>
                <w:highlight w:val="none"/>
              </w:rPr>
              <w:t>③ 食品保存措施</w:t>
            </w:r>
            <w:r>
              <w:rPr>
                <w:rFonts w:hint="eastAsia" w:cs="宋体" w:asciiTheme="minorEastAsia" w:hAnsiTheme="minorEastAsia" w:eastAsiaTheme="minorEastAsia"/>
                <w:b w:val="0"/>
                <w:bCs w:val="0"/>
                <w:color w:val="auto"/>
                <w:szCs w:val="21"/>
                <w:highlight w:val="none"/>
                <w:lang w:eastAsia="zh-CN"/>
              </w:rPr>
              <w:t>；</w:t>
            </w:r>
          </w:p>
          <w:p w14:paraId="6811241B">
            <w:pPr>
              <w:spacing w:line="360" w:lineRule="auto"/>
              <w:rPr>
                <w:rFonts w:hint="eastAsia" w:cs="宋体" w:asciiTheme="minorEastAsia" w:hAnsiTheme="minorEastAsia" w:eastAsiaTheme="minorEastAsia"/>
                <w:b w:val="0"/>
                <w:bCs w:val="0"/>
                <w:color w:val="auto"/>
                <w:szCs w:val="21"/>
                <w:highlight w:val="none"/>
                <w:lang w:eastAsia="zh-CN"/>
              </w:rPr>
            </w:pPr>
            <w:r>
              <w:rPr>
                <w:rFonts w:hint="eastAsia" w:cs="宋体" w:asciiTheme="minorEastAsia" w:hAnsiTheme="minorEastAsia" w:eastAsiaTheme="minorEastAsia"/>
                <w:b w:val="0"/>
                <w:bCs w:val="0"/>
                <w:color w:val="auto"/>
                <w:szCs w:val="21"/>
                <w:highlight w:val="none"/>
              </w:rPr>
              <w:t>④ 食品质量保障措施</w:t>
            </w:r>
            <w:r>
              <w:rPr>
                <w:rFonts w:hint="eastAsia" w:cs="宋体" w:asciiTheme="minorEastAsia" w:hAnsiTheme="minorEastAsia" w:eastAsiaTheme="minorEastAsia"/>
                <w:b w:val="0"/>
                <w:bCs w:val="0"/>
                <w:color w:val="auto"/>
                <w:szCs w:val="21"/>
                <w:highlight w:val="none"/>
                <w:lang w:eastAsia="zh-CN"/>
              </w:rPr>
              <w:t>。</w:t>
            </w:r>
          </w:p>
          <w:p w14:paraId="2DDA83EC">
            <w:pPr>
              <w:spacing w:line="360" w:lineRule="auto"/>
              <w:rPr>
                <w:rFonts w:hint="eastAsia" w:cs="宋体" w:asciiTheme="minorEastAsia" w:hAnsiTheme="minorEastAsia" w:eastAsiaTheme="minorEastAsia"/>
                <w:b/>
                <w:bCs/>
                <w:color w:val="auto"/>
                <w:szCs w:val="21"/>
                <w:highlight w:val="none"/>
              </w:rPr>
            </w:pPr>
            <w:r>
              <w:rPr>
                <w:rFonts w:hint="eastAsia" w:cs="宋体" w:asciiTheme="minorEastAsia" w:hAnsiTheme="minorEastAsia" w:eastAsiaTheme="minorEastAsia"/>
                <w:b w:val="0"/>
                <w:bCs w:val="0"/>
                <w:color w:val="auto"/>
                <w:szCs w:val="21"/>
                <w:highlight w:val="none"/>
              </w:rPr>
              <w:t>以上</w:t>
            </w:r>
            <w:r>
              <w:rPr>
                <w:rFonts w:hint="eastAsia" w:cs="宋体" w:asciiTheme="minorEastAsia" w:hAnsiTheme="minorEastAsia" w:eastAsiaTheme="minorEastAsia"/>
                <w:b w:val="0"/>
                <w:bCs w:val="0"/>
                <w:color w:val="auto"/>
                <w:szCs w:val="21"/>
                <w:highlight w:val="none"/>
                <w:lang w:val="en-US" w:eastAsia="zh-CN"/>
              </w:rPr>
              <w:t>4</w:t>
            </w:r>
            <w:r>
              <w:rPr>
                <w:rFonts w:hint="eastAsia" w:cs="宋体" w:asciiTheme="minorEastAsia" w:hAnsiTheme="minorEastAsia" w:eastAsiaTheme="minorEastAsia"/>
                <w:b w:val="0"/>
                <w:bCs w:val="0"/>
                <w:color w:val="auto"/>
                <w:szCs w:val="21"/>
                <w:highlight w:val="none"/>
              </w:rPr>
              <w:t>项每项内容完整详尽、考虑全面具体，完全满足</w:t>
            </w:r>
            <w:r>
              <w:rPr>
                <w:rFonts w:hint="eastAsia" w:cs="宋体" w:asciiTheme="minorEastAsia" w:hAnsiTheme="minorEastAsia" w:eastAsiaTheme="minorEastAsia"/>
                <w:b w:val="0"/>
                <w:bCs w:val="0"/>
                <w:color w:val="auto"/>
                <w:szCs w:val="21"/>
                <w:highlight w:val="none"/>
                <w:lang w:val="en-US" w:eastAsia="zh-CN"/>
              </w:rPr>
              <w:t>本</w:t>
            </w:r>
            <w:r>
              <w:rPr>
                <w:rFonts w:hint="eastAsia" w:cs="宋体" w:asciiTheme="minorEastAsia" w:hAnsiTheme="minorEastAsia" w:eastAsiaTheme="minorEastAsia"/>
                <w:b w:val="0"/>
                <w:bCs w:val="0"/>
                <w:color w:val="auto"/>
                <w:szCs w:val="21"/>
                <w:highlight w:val="none"/>
              </w:rPr>
              <w:t>项目实际需求的</w:t>
            </w:r>
            <w:r>
              <w:rPr>
                <w:rFonts w:hint="eastAsia" w:cs="宋体" w:asciiTheme="minorEastAsia" w:hAnsiTheme="minorEastAsia" w:eastAsiaTheme="minorEastAsia"/>
                <w:b w:val="0"/>
                <w:bCs w:val="0"/>
                <w:color w:val="auto"/>
                <w:szCs w:val="21"/>
                <w:highlight w:val="none"/>
                <w:lang w:eastAsia="zh-CN"/>
              </w:rPr>
              <w:t>、</w:t>
            </w:r>
            <w:r>
              <w:rPr>
                <w:rFonts w:hint="eastAsia" w:cs="宋体" w:asciiTheme="minorEastAsia" w:hAnsiTheme="minorEastAsia" w:eastAsiaTheme="minorEastAsia"/>
                <w:b w:val="0"/>
                <w:bCs w:val="0"/>
                <w:color w:val="auto"/>
                <w:szCs w:val="21"/>
                <w:highlight w:val="none"/>
              </w:rPr>
              <w:t>进行综合评审，每项得3分；每有1项针对性不足的扣</w:t>
            </w:r>
            <w:r>
              <w:rPr>
                <w:rFonts w:hint="eastAsia" w:cs="宋体" w:asciiTheme="minorEastAsia" w:hAnsiTheme="minorEastAsia" w:eastAsiaTheme="minorEastAsia"/>
                <w:b w:val="0"/>
                <w:bCs w:val="0"/>
                <w:color w:val="auto"/>
                <w:szCs w:val="21"/>
                <w:highlight w:val="none"/>
                <w:lang w:val="en-US" w:eastAsia="zh-CN"/>
              </w:rPr>
              <w:t>0.5</w:t>
            </w:r>
            <w:r>
              <w:rPr>
                <w:rFonts w:hint="eastAsia" w:cs="宋体" w:asciiTheme="minorEastAsia" w:hAnsiTheme="minorEastAsia" w:eastAsiaTheme="minorEastAsia"/>
                <w:b w:val="0"/>
                <w:bCs w:val="0"/>
                <w:color w:val="auto"/>
                <w:szCs w:val="21"/>
                <w:highlight w:val="none"/>
              </w:rPr>
              <w:t>分，每有1项过于简略扣1分，每有1项有瑕疵或有明显错误的扣</w:t>
            </w:r>
            <w:r>
              <w:rPr>
                <w:rFonts w:hint="eastAsia" w:cs="宋体" w:asciiTheme="minorEastAsia" w:hAnsiTheme="minorEastAsia" w:eastAsiaTheme="minorEastAsia"/>
                <w:b w:val="0"/>
                <w:bCs w:val="0"/>
                <w:color w:val="auto"/>
                <w:szCs w:val="21"/>
                <w:highlight w:val="none"/>
                <w:lang w:val="en-US" w:eastAsia="zh-CN"/>
              </w:rPr>
              <w:t>2</w:t>
            </w:r>
            <w:r>
              <w:rPr>
                <w:rFonts w:hint="eastAsia" w:cs="宋体" w:asciiTheme="minorEastAsia" w:hAnsiTheme="minorEastAsia" w:eastAsiaTheme="minorEastAsia"/>
                <w:b w:val="0"/>
                <w:bCs w:val="0"/>
                <w:color w:val="auto"/>
                <w:szCs w:val="21"/>
                <w:highlight w:val="none"/>
              </w:rPr>
              <w:t>分。</w:t>
            </w:r>
          </w:p>
        </w:tc>
        <w:tc>
          <w:tcPr>
            <w:tcW w:w="984" w:type="dxa"/>
            <w:vAlign w:val="center"/>
          </w:tcPr>
          <w:p w14:paraId="2A5566EF">
            <w:pPr>
              <w:spacing w:line="360" w:lineRule="auto"/>
              <w:rPr>
                <w:rFonts w:hint="eastAsia" w:ascii="宋体" w:hAnsi="宋体"/>
                <w:color w:val="auto"/>
                <w:highlight w:val="none"/>
              </w:rPr>
            </w:pPr>
            <w:r>
              <w:rPr>
                <w:rFonts w:hint="eastAsia" w:ascii="宋体" w:hAnsi="宋体"/>
                <w:color w:val="auto"/>
                <w:highlight w:val="none"/>
                <w:lang w:val="en-US" w:eastAsia="zh-CN"/>
              </w:rPr>
              <w:t>12</w:t>
            </w:r>
            <w:r>
              <w:rPr>
                <w:rFonts w:hint="eastAsia" w:ascii="宋体" w:hAnsi="宋体"/>
                <w:color w:val="auto"/>
                <w:highlight w:val="none"/>
              </w:rPr>
              <w:t>分</w:t>
            </w:r>
          </w:p>
        </w:tc>
      </w:tr>
      <w:tr w14:paraId="406D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161DDDF2">
            <w:pPr>
              <w:spacing w:line="360" w:lineRule="auto"/>
              <w:jc w:val="center"/>
              <w:rPr>
                <w:rFonts w:hint="eastAsia" w:cs="仿宋" w:asciiTheme="minorEastAsia" w:hAnsiTheme="minorEastAsia" w:eastAsiaTheme="minorEastAsia"/>
                <w:bCs/>
                <w:color w:val="auto"/>
                <w:szCs w:val="21"/>
                <w:highlight w:val="none"/>
              </w:rPr>
            </w:pPr>
          </w:p>
        </w:tc>
        <w:tc>
          <w:tcPr>
            <w:tcW w:w="1610" w:type="dxa"/>
            <w:vMerge w:val="continue"/>
            <w:vAlign w:val="center"/>
          </w:tcPr>
          <w:p w14:paraId="12D840C4">
            <w:pPr>
              <w:pStyle w:val="329"/>
              <w:spacing w:before="0" w:line="360" w:lineRule="auto"/>
              <w:ind w:left="131" w:right="9"/>
              <w:jc w:val="center"/>
              <w:rPr>
                <w:rFonts w:hint="eastAsia" w:asciiTheme="minorEastAsia" w:hAnsiTheme="minorEastAsia" w:eastAsiaTheme="minorEastAsia"/>
                <w:color w:val="auto"/>
                <w:sz w:val="21"/>
                <w:szCs w:val="21"/>
                <w:highlight w:val="none"/>
                <w:lang w:eastAsia="zh-CN"/>
              </w:rPr>
            </w:pPr>
          </w:p>
        </w:tc>
        <w:tc>
          <w:tcPr>
            <w:tcW w:w="5905" w:type="dxa"/>
            <w:gridSpan w:val="2"/>
            <w:vAlign w:val="center"/>
          </w:tcPr>
          <w:p w14:paraId="6AA80626">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质量承诺及保障措施评审 （</w:t>
            </w:r>
            <w:r>
              <w:rPr>
                <w:rFonts w:hint="eastAsia" w:ascii="宋体" w:hAnsi="宋体" w:cs="宋体"/>
                <w:b/>
                <w:bCs/>
                <w:color w:val="auto"/>
                <w:szCs w:val="21"/>
                <w:highlight w:val="none"/>
                <w:lang w:val="en-US" w:eastAsia="zh-CN"/>
              </w:rPr>
              <w:t>满分8</w:t>
            </w:r>
            <w:r>
              <w:rPr>
                <w:rFonts w:hint="eastAsia" w:ascii="宋体" w:hAnsi="宋体" w:cs="宋体"/>
                <w:b/>
                <w:bCs/>
                <w:color w:val="auto"/>
                <w:szCs w:val="21"/>
                <w:highlight w:val="none"/>
              </w:rPr>
              <w:t xml:space="preserve"> 分）</w:t>
            </w:r>
          </w:p>
          <w:p w14:paraId="72848EBE">
            <w:pPr>
              <w:spacing w:line="360" w:lineRule="auto"/>
              <w:rPr>
                <w:rFonts w:hint="eastAsia"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根据</w:t>
            </w:r>
            <w:r>
              <w:rPr>
                <w:rFonts w:hint="eastAsia" w:cs="宋体" w:asciiTheme="minorEastAsia" w:hAnsiTheme="minorEastAsia" w:eastAsiaTheme="minorEastAsia"/>
                <w:b w:val="0"/>
                <w:bCs w:val="0"/>
                <w:color w:val="auto"/>
                <w:szCs w:val="21"/>
                <w:highlight w:val="none"/>
                <w:lang w:val="en-US" w:eastAsia="zh-CN"/>
              </w:rPr>
              <w:t>响应</w:t>
            </w:r>
            <w:r>
              <w:rPr>
                <w:rFonts w:hint="eastAsia" w:cs="宋体" w:asciiTheme="minorEastAsia" w:hAnsiTheme="minorEastAsia" w:eastAsiaTheme="minorEastAsia"/>
                <w:b w:val="0"/>
                <w:bCs w:val="0"/>
                <w:color w:val="auto"/>
                <w:szCs w:val="21"/>
                <w:highlight w:val="none"/>
              </w:rPr>
              <w:t>文件中提供的质量承诺及保障措施进行评分，至少包括：</w:t>
            </w:r>
          </w:p>
          <w:p w14:paraId="6FBC2D5B">
            <w:pPr>
              <w:spacing w:line="360" w:lineRule="auto"/>
              <w:rPr>
                <w:rFonts w:hint="eastAsia" w:cs="宋体" w:asciiTheme="minorEastAsia" w:hAnsiTheme="minorEastAsia" w:eastAsiaTheme="minorEastAsia"/>
                <w:b w:val="0"/>
                <w:bCs w:val="0"/>
                <w:color w:val="auto"/>
                <w:szCs w:val="21"/>
                <w:highlight w:val="none"/>
                <w:lang w:eastAsia="zh-CN"/>
              </w:rPr>
            </w:pPr>
            <w:r>
              <w:rPr>
                <w:rFonts w:hint="eastAsia" w:cs="宋体" w:asciiTheme="minorEastAsia" w:hAnsiTheme="minorEastAsia" w:eastAsiaTheme="minorEastAsia"/>
                <w:b w:val="0"/>
                <w:bCs w:val="0"/>
                <w:color w:val="auto"/>
                <w:szCs w:val="21"/>
                <w:highlight w:val="none"/>
              </w:rPr>
              <w:t>①产品质量</w:t>
            </w:r>
            <w:r>
              <w:rPr>
                <w:rFonts w:hint="eastAsia" w:cs="宋体" w:asciiTheme="minorEastAsia" w:hAnsiTheme="minorEastAsia" w:eastAsiaTheme="minorEastAsia"/>
                <w:b w:val="0"/>
                <w:bCs w:val="0"/>
                <w:color w:val="auto"/>
                <w:szCs w:val="21"/>
                <w:highlight w:val="none"/>
                <w:lang w:eastAsia="zh-CN"/>
              </w:rPr>
              <w:t>；</w:t>
            </w:r>
          </w:p>
          <w:p w14:paraId="35B271C1">
            <w:pPr>
              <w:spacing w:line="360" w:lineRule="auto"/>
              <w:rPr>
                <w:rFonts w:hint="eastAsia"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②</w:t>
            </w:r>
            <w:r>
              <w:rPr>
                <w:rFonts w:hint="eastAsia" w:cs="宋体" w:asciiTheme="minorEastAsia" w:hAnsiTheme="minorEastAsia" w:eastAsiaTheme="minorEastAsia"/>
                <w:b w:val="0"/>
                <w:bCs w:val="0"/>
                <w:color w:val="auto"/>
                <w:szCs w:val="21"/>
                <w:highlight w:val="none"/>
                <w:lang w:val="en-US" w:eastAsia="zh-CN"/>
              </w:rPr>
              <w:t>质保期。</w:t>
            </w:r>
          </w:p>
          <w:p w14:paraId="4FC3273E">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b w:val="0"/>
                <w:bCs w:val="0"/>
                <w:color w:val="auto"/>
                <w:szCs w:val="21"/>
                <w:highlight w:val="none"/>
              </w:rPr>
              <w:t>以上</w:t>
            </w:r>
            <w:r>
              <w:rPr>
                <w:rFonts w:hint="eastAsia" w:cs="宋体" w:asciiTheme="minorEastAsia" w:hAnsiTheme="minorEastAsia" w:eastAsiaTheme="minorEastAsia"/>
                <w:b w:val="0"/>
                <w:bCs w:val="0"/>
                <w:color w:val="auto"/>
                <w:szCs w:val="21"/>
                <w:highlight w:val="none"/>
                <w:lang w:val="en-US" w:eastAsia="zh-CN"/>
              </w:rPr>
              <w:t>2</w:t>
            </w:r>
            <w:r>
              <w:rPr>
                <w:rFonts w:hint="eastAsia" w:cs="宋体" w:asciiTheme="minorEastAsia" w:hAnsiTheme="minorEastAsia" w:eastAsiaTheme="minorEastAsia"/>
                <w:b w:val="0"/>
                <w:bCs w:val="0"/>
                <w:color w:val="auto"/>
                <w:szCs w:val="21"/>
                <w:highlight w:val="none"/>
              </w:rPr>
              <w:t>项每项内容完整详尽、考虑全面具体，完全满足</w:t>
            </w:r>
            <w:r>
              <w:rPr>
                <w:rFonts w:hint="eastAsia" w:cs="宋体" w:asciiTheme="minorEastAsia" w:hAnsiTheme="minorEastAsia" w:eastAsiaTheme="minorEastAsia"/>
                <w:b w:val="0"/>
                <w:bCs w:val="0"/>
                <w:color w:val="auto"/>
                <w:szCs w:val="21"/>
                <w:highlight w:val="none"/>
                <w:lang w:val="en-US" w:eastAsia="zh-CN"/>
              </w:rPr>
              <w:t>本</w:t>
            </w:r>
            <w:r>
              <w:rPr>
                <w:rFonts w:hint="eastAsia" w:cs="宋体" w:asciiTheme="minorEastAsia" w:hAnsiTheme="minorEastAsia" w:eastAsiaTheme="minorEastAsia"/>
                <w:b w:val="0"/>
                <w:bCs w:val="0"/>
                <w:color w:val="auto"/>
                <w:szCs w:val="21"/>
                <w:highlight w:val="none"/>
              </w:rPr>
              <w:t>项目实际需求的</w:t>
            </w:r>
            <w:r>
              <w:rPr>
                <w:rFonts w:hint="eastAsia" w:cs="宋体" w:asciiTheme="minorEastAsia" w:hAnsiTheme="minorEastAsia" w:eastAsiaTheme="minorEastAsia"/>
                <w:b w:val="0"/>
                <w:bCs w:val="0"/>
                <w:color w:val="auto"/>
                <w:szCs w:val="21"/>
                <w:highlight w:val="none"/>
                <w:lang w:eastAsia="zh-CN"/>
              </w:rPr>
              <w:t>、</w:t>
            </w:r>
            <w:r>
              <w:rPr>
                <w:rFonts w:hint="eastAsia" w:cs="宋体" w:asciiTheme="minorEastAsia" w:hAnsiTheme="minorEastAsia" w:eastAsiaTheme="minorEastAsia"/>
                <w:b w:val="0"/>
                <w:bCs w:val="0"/>
                <w:color w:val="auto"/>
                <w:szCs w:val="21"/>
                <w:highlight w:val="none"/>
              </w:rPr>
              <w:t>进行综合评审，每项得</w:t>
            </w:r>
            <w:r>
              <w:rPr>
                <w:rFonts w:hint="eastAsia" w:cs="宋体" w:asciiTheme="minorEastAsia" w:hAnsiTheme="minorEastAsia" w:eastAsiaTheme="minorEastAsia"/>
                <w:b w:val="0"/>
                <w:bCs w:val="0"/>
                <w:color w:val="auto"/>
                <w:szCs w:val="21"/>
                <w:highlight w:val="none"/>
                <w:lang w:val="en-US" w:eastAsia="zh-CN"/>
              </w:rPr>
              <w:t>4</w:t>
            </w:r>
            <w:r>
              <w:rPr>
                <w:rFonts w:hint="eastAsia" w:cs="宋体" w:asciiTheme="minorEastAsia" w:hAnsiTheme="minorEastAsia" w:eastAsiaTheme="minorEastAsia"/>
                <w:b w:val="0"/>
                <w:bCs w:val="0"/>
                <w:color w:val="auto"/>
                <w:szCs w:val="21"/>
                <w:highlight w:val="none"/>
              </w:rPr>
              <w:t>分；每有1项针对性不足的扣1分，每有1项过于简略扣</w:t>
            </w:r>
            <w:r>
              <w:rPr>
                <w:rFonts w:hint="eastAsia" w:cs="宋体" w:asciiTheme="minorEastAsia" w:hAnsiTheme="minorEastAsia" w:eastAsiaTheme="minorEastAsia"/>
                <w:b w:val="0"/>
                <w:bCs w:val="0"/>
                <w:color w:val="auto"/>
                <w:szCs w:val="21"/>
                <w:highlight w:val="none"/>
                <w:lang w:val="en-US" w:eastAsia="zh-CN"/>
              </w:rPr>
              <w:t>2</w:t>
            </w:r>
            <w:r>
              <w:rPr>
                <w:rFonts w:hint="eastAsia" w:cs="宋体" w:asciiTheme="minorEastAsia" w:hAnsiTheme="minorEastAsia" w:eastAsiaTheme="minorEastAsia"/>
                <w:b w:val="0"/>
                <w:bCs w:val="0"/>
                <w:color w:val="auto"/>
                <w:szCs w:val="21"/>
                <w:highlight w:val="none"/>
              </w:rPr>
              <w:t>分，每有1项有瑕疵或有明显错误的扣</w:t>
            </w:r>
            <w:r>
              <w:rPr>
                <w:rFonts w:hint="eastAsia" w:cs="宋体" w:asciiTheme="minorEastAsia" w:hAnsiTheme="minorEastAsia" w:eastAsiaTheme="minorEastAsia"/>
                <w:b w:val="0"/>
                <w:bCs w:val="0"/>
                <w:color w:val="auto"/>
                <w:szCs w:val="21"/>
                <w:highlight w:val="none"/>
                <w:lang w:val="en-US" w:eastAsia="zh-CN"/>
              </w:rPr>
              <w:t>3</w:t>
            </w:r>
            <w:r>
              <w:rPr>
                <w:rFonts w:hint="eastAsia" w:cs="宋体" w:asciiTheme="minorEastAsia" w:hAnsiTheme="minorEastAsia" w:eastAsiaTheme="minorEastAsia"/>
                <w:b w:val="0"/>
                <w:bCs w:val="0"/>
                <w:color w:val="auto"/>
                <w:szCs w:val="21"/>
                <w:highlight w:val="none"/>
              </w:rPr>
              <w:t>分。</w:t>
            </w:r>
          </w:p>
        </w:tc>
        <w:tc>
          <w:tcPr>
            <w:tcW w:w="984" w:type="dxa"/>
            <w:vAlign w:val="center"/>
          </w:tcPr>
          <w:p w14:paraId="30E79C8C">
            <w:pPr>
              <w:spacing w:line="360" w:lineRule="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分</w:t>
            </w:r>
          </w:p>
        </w:tc>
      </w:tr>
      <w:tr w14:paraId="6C47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40E147E0">
            <w:pPr>
              <w:spacing w:line="360" w:lineRule="auto"/>
              <w:jc w:val="center"/>
              <w:rPr>
                <w:rFonts w:hint="eastAsia" w:cs="仿宋" w:asciiTheme="minorEastAsia" w:hAnsiTheme="minorEastAsia" w:eastAsiaTheme="minorEastAsia"/>
                <w:bCs/>
                <w:color w:val="auto"/>
                <w:szCs w:val="21"/>
                <w:highlight w:val="none"/>
              </w:rPr>
            </w:pPr>
          </w:p>
        </w:tc>
        <w:tc>
          <w:tcPr>
            <w:tcW w:w="1610" w:type="dxa"/>
            <w:vMerge w:val="continue"/>
            <w:vAlign w:val="center"/>
          </w:tcPr>
          <w:p w14:paraId="1D8F3E29">
            <w:pPr>
              <w:pStyle w:val="329"/>
              <w:spacing w:before="0" w:line="360" w:lineRule="auto"/>
              <w:ind w:left="131" w:right="9"/>
              <w:jc w:val="center"/>
              <w:rPr>
                <w:rFonts w:hint="eastAsia" w:asciiTheme="minorEastAsia" w:hAnsiTheme="minorEastAsia" w:eastAsiaTheme="minorEastAsia"/>
                <w:color w:val="auto"/>
                <w:sz w:val="21"/>
                <w:szCs w:val="21"/>
                <w:highlight w:val="none"/>
                <w:lang w:eastAsia="zh-CN"/>
              </w:rPr>
            </w:pPr>
          </w:p>
        </w:tc>
        <w:tc>
          <w:tcPr>
            <w:tcW w:w="5905" w:type="dxa"/>
            <w:gridSpan w:val="2"/>
            <w:vAlign w:val="center"/>
          </w:tcPr>
          <w:p w14:paraId="05F77FF1">
            <w:pPr>
              <w:spacing w:line="360" w:lineRule="auto"/>
              <w:rPr>
                <w:rFonts w:hint="eastAsia"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lang w:val="en-US" w:eastAsia="zh-CN"/>
              </w:rPr>
              <w:t>4、</w:t>
            </w:r>
            <w:r>
              <w:rPr>
                <w:rFonts w:hint="eastAsia" w:cs="宋体" w:asciiTheme="minorEastAsia" w:hAnsiTheme="minorEastAsia" w:eastAsiaTheme="minorEastAsia"/>
                <w:b/>
                <w:bCs/>
                <w:color w:val="auto"/>
                <w:szCs w:val="21"/>
                <w:highlight w:val="none"/>
              </w:rPr>
              <w:t xml:space="preserve">售后服务方案评审（满分 </w:t>
            </w:r>
            <w:r>
              <w:rPr>
                <w:rFonts w:hint="eastAsia" w:cs="宋体" w:asciiTheme="minorEastAsia" w:hAnsiTheme="minorEastAsia" w:eastAsiaTheme="minorEastAsia"/>
                <w:b/>
                <w:bCs/>
                <w:color w:val="auto"/>
                <w:szCs w:val="21"/>
                <w:highlight w:val="none"/>
                <w:lang w:val="en-US" w:eastAsia="zh-CN"/>
              </w:rPr>
              <w:t>12</w:t>
            </w:r>
            <w:r>
              <w:rPr>
                <w:rFonts w:hint="eastAsia" w:cs="宋体" w:asciiTheme="minorEastAsia" w:hAnsiTheme="minorEastAsia" w:eastAsiaTheme="minorEastAsia"/>
                <w:b/>
                <w:bCs/>
                <w:color w:val="auto"/>
                <w:szCs w:val="21"/>
                <w:highlight w:val="none"/>
              </w:rPr>
              <w:t xml:space="preserve"> 分）</w:t>
            </w:r>
          </w:p>
          <w:p w14:paraId="5F254F97">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根据</w:t>
            </w:r>
            <w:r>
              <w:rPr>
                <w:rFonts w:hint="eastAsia" w:cs="宋体" w:asciiTheme="minorEastAsia" w:hAnsiTheme="minorEastAsia" w:eastAsiaTheme="minorEastAsia"/>
                <w:color w:val="auto"/>
                <w:szCs w:val="21"/>
                <w:highlight w:val="none"/>
                <w:lang w:val="en-US" w:eastAsia="zh-CN"/>
              </w:rPr>
              <w:t>响应</w:t>
            </w:r>
            <w:r>
              <w:rPr>
                <w:rFonts w:hint="eastAsia" w:cs="宋体" w:asciiTheme="minorEastAsia" w:hAnsiTheme="minorEastAsia" w:eastAsiaTheme="minorEastAsia"/>
                <w:color w:val="auto"/>
                <w:szCs w:val="21"/>
                <w:highlight w:val="none"/>
              </w:rPr>
              <w:t>文件中提供的售后服务</w:t>
            </w:r>
            <w:r>
              <w:rPr>
                <w:rFonts w:hint="eastAsia" w:cs="宋体" w:asciiTheme="minorEastAsia" w:hAnsiTheme="minorEastAsia" w:eastAsiaTheme="minorEastAsia"/>
                <w:color w:val="auto"/>
                <w:szCs w:val="21"/>
                <w:highlight w:val="none"/>
                <w:lang w:val="en-US" w:eastAsia="zh-CN"/>
              </w:rPr>
              <w:t>方案</w:t>
            </w:r>
            <w:r>
              <w:rPr>
                <w:rFonts w:hint="eastAsia" w:cs="宋体" w:asciiTheme="minorEastAsia" w:hAnsiTheme="minorEastAsia" w:eastAsiaTheme="minorEastAsia"/>
                <w:color w:val="auto"/>
                <w:szCs w:val="21"/>
                <w:highlight w:val="none"/>
              </w:rPr>
              <w:t>进行评分，至少包括：</w:t>
            </w:r>
          </w:p>
          <w:p w14:paraId="6A6E4AA7">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① 退换货管理；</w:t>
            </w:r>
          </w:p>
          <w:p w14:paraId="46B80BD3">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② 作业流程管理；</w:t>
            </w:r>
          </w:p>
          <w:p w14:paraId="64973628">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③ 售后服务保障措施；</w:t>
            </w:r>
          </w:p>
          <w:p w14:paraId="629D9E1F">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④ 售后服务能力；</w:t>
            </w:r>
          </w:p>
          <w:p w14:paraId="66D786EA">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以上4项每项内容完整、考虑全面具体，完全满足项目实际需求的，每项得3分；每有1项针对性不足的扣1分，每有1项过于简略扣</w:t>
            </w: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rPr>
              <w:t>分，每有1项有瑕疵或有明显错误的扣</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分。</w:t>
            </w:r>
          </w:p>
        </w:tc>
        <w:tc>
          <w:tcPr>
            <w:tcW w:w="984" w:type="dxa"/>
            <w:vAlign w:val="center"/>
          </w:tcPr>
          <w:p w14:paraId="3C9647A4">
            <w:pPr>
              <w:spacing w:line="360" w:lineRule="auto"/>
              <w:rPr>
                <w:rFonts w:hint="eastAsia" w:ascii="宋体" w:hAnsi="宋体"/>
                <w:color w:val="auto"/>
                <w:highlight w:val="none"/>
              </w:rPr>
            </w:pPr>
            <w:r>
              <w:rPr>
                <w:rFonts w:hint="eastAsia" w:ascii="宋体" w:hAnsi="宋体"/>
                <w:color w:val="auto"/>
                <w:highlight w:val="none"/>
                <w:lang w:val="en-US" w:eastAsia="zh-CN"/>
              </w:rPr>
              <w:t>12</w:t>
            </w:r>
            <w:r>
              <w:rPr>
                <w:rFonts w:hint="eastAsia" w:ascii="宋体" w:hAnsi="宋体"/>
                <w:color w:val="auto"/>
                <w:highlight w:val="none"/>
              </w:rPr>
              <w:t>分</w:t>
            </w:r>
          </w:p>
        </w:tc>
      </w:tr>
      <w:tr w14:paraId="59C0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486E4550">
            <w:pPr>
              <w:spacing w:line="360" w:lineRule="auto"/>
              <w:jc w:val="center"/>
              <w:rPr>
                <w:rFonts w:hint="eastAsia" w:cs="仿宋" w:asciiTheme="minorEastAsia" w:hAnsiTheme="minorEastAsia" w:eastAsiaTheme="minorEastAsia"/>
                <w:bCs/>
                <w:color w:val="auto"/>
                <w:szCs w:val="21"/>
                <w:highlight w:val="none"/>
              </w:rPr>
            </w:pPr>
          </w:p>
        </w:tc>
        <w:tc>
          <w:tcPr>
            <w:tcW w:w="1610" w:type="dxa"/>
            <w:vMerge w:val="restart"/>
            <w:vAlign w:val="center"/>
          </w:tcPr>
          <w:p w14:paraId="6ED67266">
            <w:pPr>
              <w:pStyle w:val="329"/>
              <w:spacing w:before="120" w:beforeLines="50" w:line="360" w:lineRule="auto"/>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商务</w:t>
            </w:r>
            <w:r>
              <w:rPr>
                <w:rFonts w:hint="eastAsia" w:asciiTheme="minorEastAsia" w:hAnsiTheme="minorEastAsia" w:eastAsiaTheme="minorEastAsia"/>
                <w:color w:val="auto"/>
                <w:sz w:val="21"/>
                <w:szCs w:val="21"/>
                <w:highlight w:val="none"/>
                <w:lang w:eastAsia="zh-CN"/>
              </w:rPr>
              <w:t>部分</w:t>
            </w:r>
          </w:p>
          <w:p w14:paraId="30531895">
            <w:pPr>
              <w:pStyle w:val="329"/>
              <w:spacing w:before="0" w:line="360" w:lineRule="auto"/>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评审标准</w:t>
            </w:r>
          </w:p>
          <w:p w14:paraId="38393BC6">
            <w:pPr>
              <w:pStyle w:val="329"/>
              <w:spacing w:before="0" w:line="360" w:lineRule="auto"/>
              <w:ind w:left="131" w:right="9"/>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（满分</w:t>
            </w:r>
            <w:r>
              <w:rPr>
                <w:rFonts w:hint="eastAsia" w:asciiTheme="minorEastAsia" w:hAnsiTheme="minorEastAsia" w:eastAsiaTheme="minorEastAsia"/>
                <w:color w:val="auto"/>
                <w:sz w:val="21"/>
                <w:szCs w:val="21"/>
                <w:highlight w:val="none"/>
                <w:lang w:val="en-US" w:eastAsia="zh-CN"/>
              </w:rPr>
              <w:t>2</w:t>
            </w:r>
            <w:r>
              <w:rPr>
                <w:rFonts w:asciiTheme="minorEastAsia" w:hAnsiTheme="minorEastAsia" w:eastAsiaTheme="minorEastAsia"/>
                <w:color w:val="auto"/>
                <w:sz w:val="21"/>
                <w:szCs w:val="21"/>
                <w:highlight w:val="none"/>
                <w:lang w:eastAsia="zh-CN"/>
              </w:rPr>
              <w:t>0</w:t>
            </w:r>
            <w:r>
              <w:rPr>
                <w:rFonts w:hint="eastAsia" w:asciiTheme="minorEastAsia" w:hAnsiTheme="minorEastAsia" w:eastAsiaTheme="minorEastAsia"/>
                <w:color w:val="auto"/>
                <w:sz w:val="21"/>
                <w:szCs w:val="21"/>
                <w:highlight w:val="none"/>
                <w:lang w:eastAsia="zh-CN"/>
              </w:rPr>
              <w:t>分）</w:t>
            </w:r>
          </w:p>
        </w:tc>
        <w:tc>
          <w:tcPr>
            <w:tcW w:w="5905" w:type="dxa"/>
            <w:gridSpan w:val="2"/>
            <w:vAlign w:val="center"/>
          </w:tcPr>
          <w:p w14:paraId="5618A68C">
            <w:pPr>
              <w:spacing w:line="360" w:lineRule="auto"/>
              <w:rPr>
                <w:rFonts w:hint="eastAsia" w:asciiTheme="minorEastAsia" w:hAnsiTheme="minorEastAsia" w:eastAsiaTheme="minorEastAsia"/>
                <w:b/>
                <w:bCs/>
                <w:szCs w:val="21"/>
                <w:highlight w:val="none"/>
                <w:lang w:val="en-US" w:eastAsia="zh-CN"/>
              </w:rPr>
            </w:pPr>
            <w:r>
              <w:rPr>
                <w:rFonts w:hint="eastAsia" w:asciiTheme="minorEastAsia" w:hAnsiTheme="minorEastAsia" w:eastAsiaTheme="minorEastAsia"/>
                <w:b/>
                <w:bCs/>
                <w:szCs w:val="21"/>
                <w:highlight w:val="none"/>
                <w:lang w:val="en-US" w:eastAsia="zh-CN"/>
              </w:rPr>
              <w:t>5、类似业绩（满分11分）</w:t>
            </w:r>
          </w:p>
          <w:p w14:paraId="7BA8E049">
            <w:pPr>
              <w:spacing w:line="36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供应商提供自202</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年至今类似项目业绩，</w:t>
            </w:r>
            <w:r>
              <w:rPr>
                <w:rFonts w:hint="eastAsia" w:asciiTheme="minorEastAsia" w:hAnsiTheme="minorEastAsia" w:eastAsiaTheme="minorEastAsia"/>
                <w:szCs w:val="21"/>
                <w:highlight w:val="none"/>
                <w:lang w:val="en-US" w:eastAsia="zh-CN"/>
              </w:rPr>
              <w:t>每提供一个</w:t>
            </w:r>
            <w:r>
              <w:rPr>
                <w:rFonts w:hint="eastAsia" w:asciiTheme="minorEastAsia" w:hAnsiTheme="minorEastAsia" w:eastAsiaTheme="minorEastAsia"/>
                <w:szCs w:val="21"/>
                <w:highlight w:val="none"/>
              </w:rPr>
              <w:t>类似业绩</w:t>
            </w:r>
            <w:r>
              <w:rPr>
                <w:rFonts w:hint="eastAsia" w:asciiTheme="minorEastAsia" w:hAnsiTheme="minorEastAsia" w:eastAsiaTheme="minorEastAsia"/>
                <w:szCs w:val="21"/>
                <w:highlight w:val="none"/>
                <w:lang w:val="en-US" w:eastAsia="zh-CN"/>
              </w:rPr>
              <w:t>得5.5</w:t>
            </w:r>
            <w:r>
              <w:rPr>
                <w:rFonts w:hint="eastAsia" w:asciiTheme="minorEastAsia" w:hAnsiTheme="minorEastAsia" w:eastAsiaTheme="minorEastAsia"/>
                <w:szCs w:val="21"/>
                <w:highlight w:val="none"/>
              </w:rPr>
              <w:t>分，</w:t>
            </w:r>
            <w:r>
              <w:rPr>
                <w:rFonts w:hint="eastAsia" w:asciiTheme="minorEastAsia" w:hAnsiTheme="minorEastAsia" w:eastAsiaTheme="minorEastAsia"/>
                <w:szCs w:val="21"/>
                <w:highlight w:val="none"/>
                <w:lang w:val="en-US" w:eastAsia="zh-CN"/>
              </w:rPr>
              <w:t>满分11</w:t>
            </w:r>
            <w:r>
              <w:rPr>
                <w:rFonts w:hint="eastAsia" w:asciiTheme="minorEastAsia" w:hAnsiTheme="minorEastAsia" w:eastAsiaTheme="minorEastAsia"/>
                <w:szCs w:val="21"/>
                <w:highlight w:val="none"/>
              </w:rPr>
              <w:t>分。（提供中标</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通知书或服务合同扫描件）。</w:t>
            </w:r>
          </w:p>
          <w:p w14:paraId="599C007D">
            <w:pPr>
              <w:spacing w:line="36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备注：供应商必须</w:t>
            </w:r>
            <w:bookmarkStart w:id="1323" w:name="_GoBack"/>
            <w:bookmarkEnd w:id="1323"/>
            <w:r>
              <w:rPr>
                <w:rFonts w:hint="eastAsia" w:asciiTheme="minorEastAsia" w:hAnsiTheme="minorEastAsia" w:eastAsiaTheme="minorEastAsia"/>
                <w:szCs w:val="21"/>
                <w:highlight w:val="none"/>
              </w:rPr>
              <w:t>如实提供真实的证明材料，倘若涉嫌造假的，一经发现，即使为第一中标候选人，</w:t>
            </w:r>
            <w:r>
              <w:rPr>
                <w:rFonts w:hint="eastAsia" w:asciiTheme="minorEastAsia" w:hAnsiTheme="minorEastAsia" w:eastAsiaTheme="minorEastAsia"/>
                <w:szCs w:val="21"/>
                <w:highlight w:val="none"/>
                <w:lang w:val="en-US" w:eastAsia="zh-CN"/>
              </w:rPr>
              <w:t>采购人</w:t>
            </w:r>
            <w:r>
              <w:rPr>
                <w:rFonts w:hint="eastAsia" w:asciiTheme="minorEastAsia" w:hAnsiTheme="minorEastAsia" w:eastAsiaTheme="minorEastAsia"/>
                <w:szCs w:val="21"/>
                <w:highlight w:val="none"/>
              </w:rPr>
              <w:t>也有权利报请有关部门取消其中标资格，同时在相关网站公布其不诚信的行为。</w:t>
            </w:r>
          </w:p>
        </w:tc>
        <w:tc>
          <w:tcPr>
            <w:tcW w:w="984" w:type="dxa"/>
            <w:vAlign w:val="center"/>
          </w:tcPr>
          <w:p w14:paraId="3A7EA731">
            <w:pPr>
              <w:spacing w:line="360" w:lineRule="auto"/>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11分</w:t>
            </w:r>
          </w:p>
        </w:tc>
      </w:tr>
      <w:tr w14:paraId="3C7C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2BFA3D39">
            <w:pPr>
              <w:spacing w:line="360" w:lineRule="auto"/>
              <w:jc w:val="center"/>
              <w:rPr>
                <w:rFonts w:hint="eastAsia" w:cs="仿宋" w:asciiTheme="minorEastAsia" w:hAnsiTheme="minorEastAsia" w:eastAsiaTheme="minorEastAsia"/>
                <w:bCs/>
                <w:color w:val="auto"/>
                <w:szCs w:val="21"/>
                <w:highlight w:val="none"/>
              </w:rPr>
            </w:pPr>
          </w:p>
        </w:tc>
        <w:tc>
          <w:tcPr>
            <w:tcW w:w="1610" w:type="dxa"/>
            <w:vMerge w:val="continue"/>
            <w:vAlign w:val="center"/>
          </w:tcPr>
          <w:p w14:paraId="52497D1B">
            <w:pPr>
              <w:pStyle w:val="329"/>
              <w:spacing w:before="0" w:line="360" w:lineRule="auto"/>
              <w:ind w:left="131" w:right="9"/>
              <w:jc w:val="center"/>
              <w:rPr>
                <w:rFonts w:hint="eastAsia" w:asciiTheme="minorEastAsia" w:hAnsiTheme="minorEastAsia" w:eastAsiaTheme="minorEastAsia"/>
                <w:color w:val="auto"/>
                <w:sz w:val="21"/>
                <w:szCs w:val="21"/>
                <w:highlight w:val="none"/>
                <w:lang w:eastAsia="zh-CN"/>
              </w:rPr>
            </w:pPr>
          </w:p>
        </w:tc>
        <w:tc>
          <w:tcPr>
            <w:tcW w:w="5905" w:type="dxa"/>
            <w:gridSpan w:val="2"/>
            <w:vAlign w:val="center"/>
          </w:tcPr>
          <w:p w14:paraId="0EE96CB7">
            <w:pPr>
              <w:spacing w:line="360" w:lineRule="auto"/>
              <w:rPr>
                <w:rFonts w:hint="eastAsia" w:cs="宋体" w:asciiTheme="minorEastAsia" w:hAnsiTheme="minorEastAsia" w:eastAsiaTheme="minorEastAsia"/>
                <w:b/>
                <w:bCs/>
                <w:color w:val="auto"/>
                <w:szCs w:val="21"/>
                <w:highlight w:val="none"/>
                <w:lang w:val="en-US" w:eastAsia="zh-CN"/>
              </w:rPr>
            </w:pPr>
            <w:r>
              <w:rPr>
                <w:rFonts w:hint="eastAsia" w:cs="宋体" w:asciiTheme="minorEastAsia" w:hAnsiTheme="minorEastAsia" w:eastAsiaTheme="minorEastAsia"/>
                <w:b/>
                <w:bCs/>
                <w:color w:val="auto"/>
                <w:szCs w:val="21"/>
                <w:highlight w:val="none"/>
                <w:lang w:val="en-US" w:eastAsia="zh-CN"/>
              </w:rPr>
              <w:t>6、人员管理（满分9分）</w:t>
            </w:r>
          </w:p>
          <w:p w14:paraId="44834751">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根据</w:t>
            </w:r>
            <w:r>
              <w:rPr>
                <w:rFonts w:hint="eastAsia" w:cs="宋体" w:asciiTheme="minorEastAsia" w:hAnsiTheme="minorEastAsia" w:eastAsiaTheme="minorEastAsia"/>
                <w:color w:val="auto"/>
                <w:szCs w:val="21"/>
                <w:highlight w:val="none"/>
                <w:lang w:val="en-US" w:eastAsia="zh-CN"/>
              </w:rPr>
              <w:t>响应</w:t>
            </w:r>
            <w:r>
              <w:rPr>
                <w:rFonts w:hint="eastAsia" w:cs="宋体" w:asciiTheme="minorEastAsia" w:hAnsiTheme="minorEastAsia" w:eastAsiaTheme="minorEastAsia"/>
                <w:color w:val="auto"/>
                <w:szCs w:val="21"/>
                <w:highlight w:val="none"/>
              </w:rPr>
              <w:t>文件中提供的人员管理方案进行评分，至少包括：</w:t>
            </w:r>
          </w:p>
          <w:p w14:paraId="7B810976">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①</w:t>
            </w:r>
            <w:r>
              <w:rPr>
                <w:rFonts w:hint="eastAsia" w:cs="宋体" w:asciiTheme="minorEastAsia" w:hAnsiTheme="minorEastAsia" w:eastAsiaTheme="minorEastAsia"/>
                <w:color w:val="auto"/>
                <w:szCs w:val="21"/>
                <w:highlight w:val="none"/>
              </w:rPr>
              <w:t>人员管理方案；</w:t>
            </w:r>
          </w:p>
          <w:p w14:paraId="2C0600E0">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②</w:t>
            </w:r>
            <w:r>
              <w:rPr>
                <w:rFonts w:hint="eastAsia" w:cs="宋体" w:asciiTheme="minorEastAsia" w:hAnsiTheme="minorEastAsia" w:eastAsiaTheme="minorEastAsia"/>
                <w:color w:val="auto"/>
                <w:szCs w:val="21"/>
                <w:highlight w:val="none"/>
              </w:rPr>
              <w:t>人员配置情况；</w:t>
            </w:r>
          </w:p>
          <w:p w14:paraId="364F4433">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③</w:t>
            </w:r>
            <w:r>
              <w:rPr>
                <w:rFonts w:hint="eastAsia" w:cs="宋体" w:asciiTheme="minorEastAsia" w:hAnsiTheme="minorEastAsia" w:eastAsiaTheme="minorEastAsia"/>
                <w:color w:val="auto"/>
                <w:szCs w:val="21"/>
                <w:highlight w:val="none"/>
              </w:rPr>
              <w:t>人员管理制度；</w:t>
            </w:r>
          </w:p>
          <w:p w14:paraId="5DBFC276">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以上3项每项内容完整、考虑全面具体，完全满足项目实际需求的，每项得3分；每有1项针对性不足的扣1分，每有1项合理性不足的扣</w:t>
            </w: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rPr>
              <w:t>分，每有1项过于简略扣</w:t>
            </w:r>
            <w:r>
              <w:rPr>
                <w:rFonts w:hint="eastAsia" w:cs="宋体" w:asciiTheme="minorEastAsia" w:hAnsiTheme="minorEastAsia" w:eastAsiaTheme="minorEastAsia"/>
                <w:color w:val="auto"/>
                <w:szCs w:val="21"/>
                <w:highlight w:val="none"/>
                <w:lang w:val="en-US" w:eastAsia="zh-CN"/>
              </w:rPr>
              <w:t>2.5</w:t>
            </w:r>
            <w:r>
              <w:rPr>
                <w:rFonts w:hint="eastAsia" w:cs="宋体" w:asciiTheme="minorEastAsia" w:hAnsiTheme="minorEastAsia" w:eastAsiaTheme="minorEastAsia"/>
                <w:color w:val="auto"/>
                <w:szCs w:val="21"/>
                <w:highlight w:val="none"/>
              </w:rPr>
              <w:t>分。</w:t>
            </w:r>
          </w:p>
        </w:tc>
        <w:tc>
          <w:tcPr>
            <w:tcW w:w="984" w:type="dxa"/>
            <w:vAlign w:val="center"/>
          </w:tcPr>
          <w:p w14:paraId="7F3C0445">
            <w:pPr>
              <w:spacing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9</w:t>
            </w:r>
            <w:r>
              <w:rPr>
                <w:rFonts w:hint="eastAsia" w:cs="宋体" w:asciiTheme="minorEastAsia" w:hAnsiTheme="minorEastAsia" w:eastAsiaTheme="minorEastAsia"/>
                <w:color w:val="auto"/>
                <w:szCs w:val="21"/>
                <w:highlight w:val="none"/>
              </w:rPr>
              <w:t>分</w:t>
            </w:r>
          </w:p>
        </w:tc>
      </w:tr>
      <w:tr w14:paraId="67F6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7" w:type="dxa"/>
            <w:vAlign w:val="center"/>
          </w:tcPr>
          <w:p w14:paraId="17250F22">
            <w:pPr>
              <w:pStyle w:val="329"/>
              <w:spacing w:before="0" w:line="360" w:lineRule="auto"/>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w:t>
            </w:r>
            <w:r>
              <w:rPr>
                <w:rFonts w:asciiTheme="minorEastAsia" w:hAnsiTheme="minorEastAsia" w:eastAsiaTheme="minorEastAsia"/>
                <w:color w:val="auto"/>
                <w:sz w:val="21"/>
                <w:szCs w:val="21"/>
                <w:highlight w:val="none"/>
                <w:lang w:eastAsia="zh-CN"/>
              </w:rPr>
              <w:t>.2.3</w:t>
            </w:r>
          </w:p>
        </w:tc>
        <w:tc>
          <w:tcPr>
            <w:tcW w:w="1610" w:type="dxa"/>
            <w:vAlign w:val="center"/>
          </w:tcPr>
          <w:p w14:paraId="03C2382A">
            <w:pPr>
              <w:pStyle w:val="329"/>
              <w:spacing w:before="0" w:line="360" w:lineRule="auto"/>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报价</w:t>
            </w:r>
            <w:r>
              <w:rPr>
                <w:rFonts w:hint="eastAsia" w:asciiTheme="minorEastAsia" w:hAnsiTheme="minorEastAsia" w:eastAsiaTheme="minorEastAsia"/>
                <w:color w:val="auto"/>
                <w:sz w:val="21"/>
                <w:szCs w:val="21"/>
                <w:highlight w:val="none"/>
                <w:lang w:eastAsia="zh-CN"/>
              </w:rPr>
              <w:t>部分</w:t>
            </w:r>
          </w:p>
          <w:p w14:paraId="4CF14832">
            <w:pPr>
              <w:pStyle w:val="329"/>
              <w:spacing w:before="0" w:line="360" w:lineRule="auto"/>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评审标准</w:t>
            </w:r>
          </w:p>
          <w:p w14:paraId="5F6B950E">
            <w:pPr>
              <w:pStyle w:val="329"/>
              <w:spacing w:before="0" w:line="360" w:lineRule="auto"/>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（满分</w:t>
            </w:r>
            <w:r>
              <w:rPr>
                <w:rFonts w:hint="eastAsia" w:asciiTheme="minorEastAsia" w:hAnsiTheme="minorEastAsia" w:eastAsiaTheme="minorEastAsia"/>
                <w:color w:val="auto"/>
                <w:sz w:val="21"/>
                <w:szCs w:val="21"/>
                <w:highlight w:val="none"/>
                <w:lang w:val="en-US" w:eastAsia="zh-CN"/>
              </w:rPr>
              <w:t>3</w:t>
            </w:r>
            <w:r>
              <w:rPr>
                <w:rFonts w:asciiTheme="minorEastAsia" w:hAnsiTheme="minorEastAsia" w:eastAsiaTheme="minorEastAsia"/>
                <w:color w:val="auto"/>
                <w:sz w:val="21"/>
                <w:szCs w:val="21"/>
                <w:highlight w:val="none"/>
                <w:lang w:eastAsia="zh-CN"/>
              </w:rPr>
              <w:t>0</w:t>
            </w:r>
            <w:r>
              <w:rPr>
                <w:rFonts w:hint="eastAsia" w:asciiTheme="minorEastAsia" w:hAnsiTheme="minorEastAsia" w:eastAsiaTheme="minorEastAsia"/>
                <w:color w:val="auto"/>
                <w:sz w:val="21"/>
                <w:szCs w:val="21"/>
                <w:highlight w:val="none"/>
                <w:lang w:eastAsia="zh-CN"/>
              </w:rPr>
              <w:t>分）</w:t>
            </w:r>
          </w:p>
        </w:tc>
        <w:tc>
          <w:tcPr>
            <w:tcW w:w="5905" w:type="dxa"/>
            <w:gridSpan w:val="2"/>
            <w:vAlign w:val="center"/>
          </w:tcPr>
          <w:p w14:paraId="3ABC4EE8">
            <w:pPr>
              <w:pStyle w:val="28"/>
              <w:numPr>
                <w:ilvl w:val="0"/>
                <w:numId w:val="0"/>
              </w:numPr>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报价评分采用低价优先法计算，即满足磋商文件要求且最后报价最低的供应商的价格为磋商基准价，其报价分为满分。其他供应商的报价分统一按照下列公式计算：</w:t>
            </w:r>
          </w:p>
          <w:p w14:paraId="24487A07">
            <w:pPr>
              <w:pStyle w:val="28"/>
              <w:numPr>
                <w:ilvl w:val="0"/>
                <w:numId w:val="0"/>
              </w:numPr>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（1）评标价=1-投标报价（下浮率%）</w:t>
            </w:r>
          </w:p>
          <w:p w14:paraId="06D37E15">
            <w:pPr>
              <w:pStyle w:val="28"/>
              <w:numPr>
                <w:ilvl w:val="0"/>
                <w:numId w:val="0"/>
              </w:numPr>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（2）评标基准价=1-投标报价（下浮率%）后满足竞争性磋商文件要求且最低（即下浮率最高）的有效评标价；</w:t>
            </w:r>
          </w:p>
          <w:p w14:paraId="112109CB">
            <w:pPr>
              <w:pStyle w:val="28"/>
              <w:numPr>
                <w:ilvl w:val="0"/>
                <w:numId w:val="0"/>
              </w:numPr>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（3）得分计算：满足竞争性磋商文件要求且最低的有效评标价，其价格分为满分。其他供应商价格分统一按照下列公式计算：</w:t>
            </w:r>
          </w:p>
          <w:p w14:paraId="54A3EBED">
            <w:pPr>
              <w:pStyle w:val="28"/>
              <w:numPr>
                <w:ilvl w:val="0"/>
                <w:numId w:val="0"/>
              </w:numPr>
              <w:spacing w:line="360" w:lineRule="auto"/>
              <w:jc w:val="left"/>
              <w:rPr>
                <w:rFonts w:hint="eastAsia" w:cs="宋体" w:asciiTheme="minorEastAsia" w:hAnsiTheme="minorEastAsia" w:eastAsiaTheme="minorEastAsia"/>
                <w:b/>
                <w:color w:val="auto"/>
                <w:szCs w:val="21"/>
                <w:highlight w:val="none"/>
              </w:rPr>
            </w:pPr>
            <w:r>
              <w:rPr>
                <w:rFonts w:hint="eastAsia" w:ascii="宋体" w:hAnsi="宋体" w:eastAsia="宋体" w:cs="宋体"/>
                <w:szCs w:val="21"/>
                <w:highlight w:val="none"/>
                <w:lang w:val="en-US" w:eastAsia="zh-CN"/>
              </w:rPr>
              <w:t>投标报价得分=（评标基准价／评标价）×30分。</w:t>
            </w:r>
          </w:p>
        </w:tc>
        <w:tc>
          <w:tcPr>
            <w:tcW w:w="984" w:type="dxa"/>
            <w:vAlign w:val="center"/>
          </w:tcPr>
          <w:p w14:paraId="3B9F43BF">
            <w:pPr>
              <w:snapToGrid w:val="0"/>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0分</w:t>
            </w:r>
          </w:p>
        </w:tc>
      </w:tr>
    </w:tbl>
    <w:p w14:paraId="01F85A3F">
      <w:pPr>
        <w:pStyle w:val="4"/>
        <w:spacing w:before="120" w:beforeLines="50" w:line="360" w:lineRule="auto"/>
        <w:rPr>
          <w:rFonts w:hint="eastAsia" w:asciiTheme="minorEastAsia" w:hAnsiTheme="minorEastAsia" w:eastAsiaTheme="minorEastAsia"/>
          <w:color w:val="auto"/>
          <w:szCs w:val="28"/>
          <w:highlight w:val="none"/>
        </w:rPr>
      </w:pPr>
      <w:bookmarkStart w:id="1243" w:name="_Toc87538407"/>
      <w:bookmarkStart w:id="1244" w:name="_Toc83753930"/>
      <w:bookmarkStart w:id="1245" w:name="_Toc110405175"/>
      <w:bookmarkStart w:id="1246" w:name="_Toc158233423"/>
      <w:bookmarkStart w:id="1247" w:name="_Toc87543858"/>
      <w:bookmarkStart w:id="1248" w:name="_Toc84356290"/>
      <w:bookmarkStart w:id="1249" w:name="_Hlk83753665"/>
      <w:bookmarkStart w:id="1250" w:name="_Toc42205032"/>
      <w:bookmarkStart w:id="1251" w:name="_Toc45791393"/>
      <w:bookmarkStart w:id="1252" w:name="_Toc81330978"/>
      <w:r>
        <w:rPr>
          <w:rFonts w:hint="eastAsia" w:asciiTheme="minorEastAsia" w:hAnsiTheme="minorEastAsia" w:eastAsiaTheme="minorEastAsia"/>
          <w:color w:val="auto"/>
          <w:szCs w:val="28"/>
          <w:highlight w:val="none"/>
        </w:rPr>
        <w:t>二、评审办法正文部分</w:t>
      </w:r>
      <w:bookmarkEnd w:id="1243"/>
      <w:bookmarkEnd w:id="1244"/>
      <w:bookmarkEnd w:id="1245"/>
      <w:bookmarkEnd w:id="1246"/>
      <w:bookmarkEnd w:id="1247"/>
      <w:bookmarkEnd w:id="1248"/>
    </w:p>
    <w:bookmarkEnd w:id="1249"/>
    <w:p w14:paraId="2FAADEC1">
      <w:pPr>
        <w:spacing w:before="120" w:beforeLines="50" w:line="360" w:lineRule="auto"/>
        <w:outlineLvl w:val="2"/>
        <w:rPr>
          <w:rFonts w:hint="eastAsia" w:asciiTheme="minorEastAsia" w:hAnsiTheme="minorEastAsia" w:eastAsiaTheme="minorEastAsia"/>
          <w:b/>
          <w:color w:val="auto"/>
          <w:sz w:val="24"/>
          <w:szCs w:val="24"/>
          <w:highlight w:val="none"/>
        </w:rPr>
      </w:pPr>
      <w:bookmarkStart w:id="1253" w:name="_Toc98033975"/>
      <w:bookmarkStart w:id="1254" w:name="_Toc84356291"/>
      <w:bookmarkStart w:id="1255" w:name="_Toc83753931"/>
      <w:bookmarkStart w:id="1256" w:name="_Toc87538408"/>
      <w:bookmarkStart w:id="1257" w:name="_Toc109809353"/>
      <w:bookmarkStart w:id="1258" w:name="_Toc87543859"/>
      <w:bookmarkStart w:id="1259" w:name="_Toc98865052"/>
      <w:bookmarkStart w:id="1260" w:name="_Toc4075"/>
      <w:bookmarkStart w:id="1261" w:name="_Toc110405176"/>
      <w:bookmarkStart w:id="1262" w:name="_Toc116584043"/>
      <w:r>
        <w:rPr>
          <w:rFonts w:hint="eastAsia" w:asciiTheme="minorEastAsia" w:hAnsiTheme="minorEastAsia" w:eastAsiaTheme="minorEastAsia"/>
          <w:b/>
          <w:color w:val="auto"/>
          <w:sz w:val="24"/>
          <w:szCs w:val="24"/>
          <w:highlight w:val="none"/>
        </w:rPr>
        <w:t>1.评审方法</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r>
        <w:rPr>
          <w:rFonts w:hint="eastAsia" w:asciiTheme="minorEastAsia" w:hAnsiTheme="minorEastAsia" w:eastAsiaTheme="minorEastAsia"/>
          <w:b/>
          <w:color w:val="auto"/>
          <w:sz w:val="24"/>
          <w:szCs w:val="24"/>
          <w:highlight w:val="none"/>
        </w:rPr>
        <w:t xml:space="preserve"> </w:t>
      </w:r>
    </w:p>
    <w:p w14:paraId="493070F9">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本评审方法根据《中华人民共和国政府采购法》、《中华人民共和国政府采购法实施条例》（国务院令第658号）以及《关于印发&lt;政府采购竞争性磋商采购方式管理暂行办法&gt;的通知》（财库〔2014〕214号）等相关法律法规的规定制定，采用综合评分法进行评审。</w:t>
      </w:r>
    </w:p>
    <w:p w14:paraId="626AEFA6">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1.2磋商小组对通过初步评审的响应文件，进行技术部分和商务部分评审评分，并按照供应商的综合得分由高到低的顺序推荐1～3名成交候选人。若综合得分相同，按照供应商的</w:t>
      </w:r>
      <w:r>
        <w:rPr>
          <w:rFonts w:hint="eastAsia" w:cs="仿宋" w:asciiTheme="minorEastAsia" w:hAnsiTheme="minorEastAsia" w:eastAsiaTheme="minorEastAsia"/>
          <w:color w:val="auto"/>
          <w:szCs w:val="21"/>
          <w:highlight w:val="none"/>
        </w:rPr>
        <w:t>评审价</w:t>
      </w:r>
      <w:r>
        <w:rPr>
          <w:rFonts w:hint="eastAsia" w:asciiTheme="minorEastAsia" w:hAnsiTheme="minorEastAsia" w:eastAsiaTheme="minorEastAsia"/>
          <w:color w:val="auto"/>
          <w:szCs w:val="21"/>
          <w:highlight w:val="none"/>
        </w:rPr>
        <w:t>由低到高的顺序推荐成交候选人；若评审价也相同时，按照供应商的</w:t>
      </w:r>
      <w:r>
        <w:rPr>
          <w:rFonts w:hint="eastAsia" w:cs="仿宋" w:asciiTheme="minorEastAsia" w:hAnsiTheme="minorEastAsia" w:eastAsiaTheme="minorEastAsia"/>
          <w:color w:val="auto"/>
          <w:szCs w:val="21"/>
          <w:highlight w:val="none"/>
        </w:rPr>
        <w:t>磋商报价</w:t>
      </w:r>
      <w:r>
        <w:rPr>
          <w:rFonts w:hint="eastAsia" w:asciiTheme="minorEastAsia" w:hAnsiTheme="minorEastAsia" w:eastAsiaTheme="minorEastAsia"/>
          <w:color w:val="auto"/>
          <w:szCs w:val="21"/>
          <w:highlight w:val="none"/>
        </w:rPr>
        <w:t>由低到高的顺序推荐成交候选人；若</w:t>
      </w:r>
      <w:r>
        <w:rPr>
          <w:rFonts w:hint="eastAsia" w:cs="仿宋" w:asciiTheme="minorEastAsia" w:hAnsiTheme="minorEastAsia" w:eastAsiaTheme="minorEastAsia"/>
          <w:color w:val="auto"/>
          <w:szCs w:val="21"/>
          <w:highlight w:val="none"/>
        </w:rPr>
        <w:t>磋商报价还</w:t>
      </w:r>
      <w:r>
        <w:rPr>
          <w:rFonts w:hint="eastAsia" w:asciiTheme="minorEastAsia" w:hAnsiTheme="minorEastAsia" w:eastAsiaTheme="minorEastAsia"/>
          <w:color w:val="auto"/>
          <w:szCs w:val="21"/>
          <w:highlight w:val="none"/>
        </w:rPr>
        <w:t>相同时，由磋商小组以不记名投票的方式推荐成交候选人。</w:t>
      </w:r>
    </w:p>
    <w:p w14:paraId="3B78A26D">
      <w:pPr>
        <w:spacing w:line="360" w:lineRule="auto"/>
        <w:outlineLvl w:val="2"/>
        <w:rPr>
          <w:rFonts w:hint="eastAsia" w:asciiTheme="minorEastAsia" w:hAnsiTheme="minorEastAsia" w:eastAsiaTheme="minorEastAsia"/>
          <w:b/>
          <w:color w:val="auto"/>
          <w:sz w:val="24"/>
          <w:szCs w:val="24"/>
          <w:highlight w:val="none"/>
        </w:rPr>
      </w:pPr>
      <w:bookmarkStart w:id="1263" w:name="_Toc84356292"/>
      <w:bookmarkStart w:id="1264" w:name="_Toc83753932"/>
      <w:bookmarkStart w:id="1265" w:name="_Toc110405177"/>
      <w:bookmarkStart w:id="1266" w:name="_Toc12572"/>
      <w:bookmarkStart w:id="1267" w:name="_Toc45791394"/>
      <w:bookmarkStart w:id="1268" w:name="_Toc116584044"/>
      <w:bookmarkStart w:id="1269" w:name="_Toc109809354"/>
      <w:bookmarkStart w:id="1270" w:name="_Toc87538409"/>
      <w:bookmarkStart w:id="1271" w:name="_Toc98033976"/>
      <w:bookmarkStart w:id="1272" w:name="_Toc98865053"/>
      <w:bookmarkStart w:id="1273" w:name="_Toc42205033"/>
      <w:bookmarkStart w:id="1274" w:name="_Toc81330979"/>
      <w:bookmarkStart w:id="1275" w:name="_Toc87543860"/>
      <w:r>
        <w:rPr>
          <w:rFonts w:hint="eastAsia" w:asciiTheme="minorEastAsia" w:hAnsiTheme="minorEastAsia" w:eastAsiaTheme="minorEastAsia"/>
          <w:b/>
          <w:color w:val="auto"/>
          <w:sz w:val="24"/>
          <w:szCs w:val="24"/>
          <w:highlight w:val="none"/>
        </w:rPr>
        <w:t>2.评审标准</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r>
        <w:rPr>
          <w:rFonts w:hint="eastAsia" w:asciiTheme="minorEastAsia" w:hAnsiTheme="minorEastAsia" w:eastAsiaTheme="minorEastAsia"/>
          <w:b/>
          <w:color w:val="auto"/>
          <w:sz w:val="24"/>
          <w:szCs w:val="24"/>
          <w:highlight w:val="none"/>
        </w:rPr>
        <w:t xml:space="preserve"> </w:t>
      </w:r>
    </w:p>
    <w:p w14:paraId="1DFBF163">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 xml:space="preserve">2.1 初步评审标准 </w:t>
      </w:r>
    </w:p>
    <w:p w14:paraId="656828DF">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2.1.1资格审查标准：见评审办法前附表。</w:t>
      </w:r>
    </w:p>
    <w:p w14:paraId="67F4DEE8">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2.1.2符合性审查标准：见评审办法前附表。</w:t>
      </w:r>
    </w:p>
    <w:p w14:paraId="381859B3">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2.2详细评审标准</w:t>
      </w:r>
    </w:p>
    <w:p w14:paraId="193605B1">
      <w:pPr>
        <w:spacing w:line="360" w:lineRule="auto"/>
        <w:ind w:firstLine="420" w:firstLineChars="200"/>
        <w:rPr>
          <w:rFonts w:hint="eastAsia" w:asciiTheme="minorEastAsia" w:hAnsiTheme="minorEastAsia" w:eastAsiaTheme="minorEastAsia"/>
          <w:color w:val="auto"/>
          <w:highlight w:val="none"/>
        </w:rPr>
      </w:pPr>
      <w:bookmarkStart w:id="1276" w:name="_Toc84356293"/>
      <w:bookmarkStart w:id="1277" w:name="_Toc83753933"/>
      <w:bookmarkStart w:id="1278" w:name="_Toc98033977"/>
      <w:bookmarkStart w:id="1279" w:name="_Toc42205034"/>
      <w:bookmarkStart w:id="1280" w:name="_Toc45791395"/>
      <w:bookmarkStart w:id="1281" w:name="_Toc87538410"/>
      <w:bookmarkStart w:id="1282" w:name="_Toc87543861"/>
      <w:bookmarkStart w:id="1283" w:name="_Toc98865054"/>
      <w:bookmarkStart w:id="1284" w:name="_Toc81330980"/>
      <w:r>
        <w:rPr>
          <w:rFonts w:hint="eastAsia" w:asciiTheme="minorEastAsia" w:hAnsiTheme="minorEastAsia" w:eastAsiaTheme="minorEastAsia"/>
          <w:color w:val="auto"/>
          <w:highlight w:val="none"/>
        </w:rPr>
        <w:t>2</w:t>
      </w:r>
      <w:r>
        <w:rPr>
          <w:rFonts w:asciiTheme="minorEastAsia" w:hAnsiTheme="minorEastAsia" w:eastAsiaTheme="minorEastAsia"/>
          <w:color w:val="auto"/>
          <w:highlight w:val="none"/>
        </w:rPr>
        <w:t>.2.1</w:t>
      </w:r>
      <w:r>
        <w:rPr>
          <w:rFonts w:hint="eastAsia" w:asciiTheme="minorEastAsia" w:hAnsiTheme="minorEastAsia" w:eastAsiaTheme="minorEastAsia"/>
          <w:color w:val="auto"/>
          <w:highlight w:val="none"/>
        </w:rPr>
        <w:t>分值构成：见评标办法前附表。</w:t>
      </w:r>
    </w:p>
    <w:p w14:paraId="48850CB9">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技术部分评审标准：见评审办法前附表。</w:t>
      </w:r>
    </w:p>
    <w:p w14:paraId="3346029A">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商务部分评审标准：见评审办法前附表。</w:t>
      </w:r>
    </w:p>
    <w:p w14:paraId="1FDEAF48">
      <w:pPr>
        <w:spacing w:line="360" w:lineRule="auto"/>
        <w:outlineLvl w:val="2"/>
        <w:rPr>
          <w:rFonts w:hint="eastAsia" w:asciiTheme="minorEastAsia" w:hAnsiTheme="minorEastAsia" w:eastAsiaTheme="minorEastAsia"/>
          <w:b/>
          <w:color w:val="auto"/>
          <w:sz w:val="24"/>
          <w:szCs w:val="24"/>
          <w:highlight w:val="none"/>
        </w:rPr>
      </w:pPr>
      <w:bookmarkStart w:id="1285" w:name="_Toc109809355"/>
      <w:bookmarkStart w:id="1286" w:name="_Toc110405178"/>
      <w:bookmarkStart w:id="1287" w:name="_Toc116584045"/>
      <w:bookmarkStart w:id="1288" w:name="_Toc6028"/>
      <w:r>
        <w:rPr>
          <w:rFonts w:hint="eastAsia" w:asciiTheme="minorEastAsia" w:hAnsiTheme="minorEastAsia" w:eastAsiaTheme="minorEastAsia"/>
          <w:b/>
          <w:color w:val="auto"/>
          <w:sz w:val="24"/>
          <w:szCs w:val="24"/>
          <w:highlight w:val="none"/>
        </w:rPr>
        <w:t>3.评审程序</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r>
        <w:rPr>
          <w:rFonts w:hint="eastAsia" w:asciiTheme="minorEastAsia" w:hAnsiTheme="minorEastAsia" w:eastAsiaTheme="minorEastAsia"/>
          <w:b/>
          <w:color w:val="auto"/>
          <w:sz w:val="24"/>
          <w:szCs w:val="24"/>
          <w:highlight w:val="none"/>
        </w:rPr>
        <w:t xml:space="preserve"> </w:t>
      </w:r>
    </w:p>
    <w:p w14:paraId="3CF70EC2">
      <w:pPr>
        <w:spacing w:line="360" w:lineRule="auto"/>
        <w:outlineLvl w:val="3"/>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 xml:space="preserve">3.1 初步评审 </w:t>
      </w:r>
    </w:p>
    <w:p w14:paraId="6CFE0BC1">
      <w:pPr>
        <w:spacing w:line="360" w:lineRule="auto"/>
        <w:ind w:firstLine="437"/>
        <w:rPr>
          <w:rFonts w:hint="eastAsia"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3.1.1</w:t>
      </w:r>
      <w:r>
        <w:rPr>
          <w:rFonts w:hint="eastAsia" w:asciiTheme="minorEastAsia" w:hAnsiTheme="minorEastAsia" w:eastAsiaTheme="minorEastAsia"/>
          <w:bCs/>
          <w:color w:val="auto"/>
          <w:szCs w:val="21"/>
          <w:highlight w:val="none"/>
        </w:rPr>
        <w:t xml:space="preserve">资格审查 </w:t>
      </w:r>
    </w:p>
    <w:p w14:paraId="6915DECD">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磋商小组依据本章第2.1.1款规定的审查标准对所有供应商的响应文件进行资格审查，有一项不符合审查标准的，响应文件按否决处理。</w:t>
      </w:r>
    </w:p>
    <w:p w14:paraId="071149B3">
      <w:pPr>
        <w:spacing w:line="360" w:lineRule="auto"/>
        <w:ind w:firstLine="437"/>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3.</w:t>
      </w:r>
      <w:r>
        <w:rPr>
          <w:rFonts w:asciiTheme="minorEastAsia" w:hAnsiTheme="minorEastAsia" w:eastAsiaTheme="minorEastAsia"/>
          <w:bCs/>
          <w:color w:val="auto"/>
          <w:szCs w:val="21"/>
          <w:highlight w:val="none"/>
        </w:rPr>
        <w:t>1.</w:t>
      </w:r>
      <w:r>
        <w:rPr>
          <w:rFonts w:hint="eastAsia" w:asciiTheme="minorEastAsia" w:hAnsiTheme="minorEastAsia" w:eastAsiaTheme="minorEastAsia"/>
          <w:bCs/>
          <w:color w:val="auto"/>
          <w:szCs w:val="21"/>
          <w:highlight w:val="none"/>
        </w:rPr>
        <w:t xml:space="preserve">2符合性审查 </w:t>
      </w:r>
    </w:p>
    <w:p w14:paraId="3D4508BB">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磋商小组依据本章第2.1.2款规定的审查标准对所有供应商的响应文件进行符合性审查，有一项不符合审查标准的，响应文件按否决处理。</w:t>
      </w:r>
    </w:p>
    <w:p w14:paraId="1C6CCA53">
      <w:pPr>
        <w:spacing w:line="360" w:lineRule="auto"/>
        <w:outlineLvl w:val="3"/>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3.2 详细评审</w:t>
      </w:r>
    </w:p>
    <w:p w14:paraId="149A8435">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3.2.1磋商小组按照本章第2.2款规定的量化因素和分值进行评审评分，并计算出供应商的综合得分。</w:t>
      </w:r>
    </w:p>
    <w:p w14:paraId="06CEA59F">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3.2.2供应商的综合得分分值计算后保留小数点后两位，小数点后第三位“四舍五入”。</w:t>
      </w:r>
    </w:p>
    <w:p w14:paraId="40B4795D">
      <w:pPr>
        <w:spacing w:line="360" w:lineRule="auto"/>
        <w:ind w:firstLine="420" w:firstLineChars="200"/>
        <w:rPr>
          <w:rFonts w:hint="eastAsia" w:asciiTheme="minorEastAsia" w:hAnsiTheme="minorEastAsia" w:eastAsiaTheme="minorEastAsia"/>
          <w:color w:val="auto"/>
          <w:szCs w:val="21"/>
          <w:highlight w:val="none"/>
        </w:rPr>
      </w:pPr>
      <w:r>
        <w:rPr>
          <w:rFonts w:hint="eastAsia" w:ascii="宋体" w:hAnsi="宋体"/>
          <w:color w:val="auto"/>
          <w:szCs w:val="21"/>
          <w:highlight w:val="none"/>
        </w:rPr>
        <w:t>3.2.</w:t>
      </w:r>
      <w:r>
        <w:rPr>
          <w:rFonts w:ascii="宋体" w:hAnsi="宋体"/>
          <w:color w:val="auto"/>
          <w:szCs w:val="21"/>
          <w:highlight w:val="none"/>
        </w:rPr>
        <w:t>3</w:t>
      </w:r>
      <w:r>
        <w:rPr>
          <w:rFonts w:hint="eastAsia" w:ascii="宋体" w:hAnsi="宋体" w:cs="宋体"/>
          <w:color w:val="auto"/>
          <w:szCs w:val="21"/>
          <w:highlight w:val="none"/>
        </w:rPr>
        <w:t>通过资格审查、符合性审查的供应商将进行二次报价</w:t>
      </w:r>
      <w:r>
        <w:rPr>
          <w:rFonts w:ascii="宋体" w:hAnsi="宋体"/>
          <w:color w:val="auto"/>
          <w:szCs w:val="21"/>
          <w:highlight w:val="none"/>
        </w:rPr>
        <w:t>，</w:t>
      </w:r>
      <w:r>
        <w:rPr>
          <w:rFonts w:hint="eastAsia" w:ascii="宋体" w:hAnsi="宋体"/>
          <w:color w:val="auto"/>
          <w:szCs w:val="21"/>
          <w:highlight w:val="none"/>
        </w:rPr>
        <w:t>二次报价的价格为供应商的最后报价，</w:t>
      </w:r>
      <w:r>
        <w:rPr>
          <w:rFonts w:hint="eastAsia" w:asciiTheme="minorEastAsia" w:hAnsiTheme="minorEastAsia" w:eastAsiaTheme="minorEastAsia"/>
          <w:color w:val="auto"/>
          <w:szCs w:val="21"/>
          <w:highlight w:val="none"/>
        </w:rPr>
        <w:t>并成为其响应文件的重要组成部分。</w:t>
      </w:r>
      <w:r>
        <w:rPr>
          <w:rFonts w:hint="eastAsia" w:ascii="宋体" w:hAnsi="宋体" w:eastAsiaTheme="minorEastAsia"/>
          <w:color w:val="auto"/>
          <w:szCs w:val="21"/>
          <w:highlight w:val="none"/>
        </w:rPr>
        <w:t>供应商</w:t>
      </w:r>
      <w:r>
        <w:rPr>
          <w:rFonts w:hint="eastAsia" w:asciiTheme="minorEastAsia" w:hAnsiTheme="minorEastAsia" w:eastAsiaTheme="minorEastAsia"/>
          <w:color w:val="auto"/>
          <w:szCs w:val="21"/>
          <w:highlight w:val="none"/>
        </w:rPr>
        <w:t>一旦完成二次报价，即不得再报。</w:t>
      </w:r>
    </w:p>
    <w:p w14:paraId="66A0ABE4">
      <w:pPr>
        <w:spacing w:line="360" w:lineRule="auto"/>
        <w:ind w:firstLine="422" w:firstLineChars="200"/>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w:t>
      </w:r>
      <w:r>
        <w:rPr>
          <w:rFonts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1"/>
          <w:highlight w:val="none"/>
        </w:rPr>
        <w:t>.4采购项目需要落实的政府采购政策</w:t>
      </w:r>
    </w:p>
    <w:p w14:paraId="3CEF3221">
      <w:pPr>
        <w:spacing w:line="360" w:lineRule="auto"/>
        <w:ind w:firstLine="422" w:firstLineChars="20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（1）中小企业</w:t>
      </w:r>
    </w:p>
    <w:p w14:paraId="3F62EFD5">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w:t>
      </w:r>
      <w:r>
        <w:rPr>
          <w:rFonts w:hint="eastAsia" w:asciiTheme="minorEastAsia" w:hAnsiTheme="minorEastAsia" w:eastAsiaTheme="minorEastAsia"/>
          <w:color w:val="auto"/>
          <w:szCs w:val="21"/>
          <w:highlight w:val="none"/>
        </w:rPr>
        <w:t>《政府采购促进中小企业发展管理办法》（财库〔2020〕46号）和</w:t>
      </w:r>
      <w:r>
        <w:rPr>
          <w:rFonts w:hint="eastAsia" w:asciiTheme="minorEastAsia" w:hAnsiTheme="minorEastAsia" w:eastAsiaTheme="minorEastAsia"/>
          <w:color w:val="auto"/>
          <w:highlight w:val="none"/>
        </w:rPr>
        <w:t>《关于进一步加大政府采购支持中小企业力度的通知》（财库〔20</w:t>
      </w:r>
      <w:r>
        <w:rPr>
          <w:rFonts w:asciiTheme="minorEastAsia" w:hAnsiTheme="minorEastAsia" w:eastAsiaTheme="minorEastAsia"/>
          <w:color w:val="auto"/>
          <w:highlight w:val="none"/>
        </w:rPr>
        <w:t>22</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19</w:t>
      </w:r>
      <w:r>
        <w:rPr>
          <w:rFonts w:hint="eastAsia" w:asciiTheme="minorEastAsia" w:hAnsiTheme="minorEastAsia" w:eastAsiaTheme="minorEastAsia"/>
          <w:color w:val="auto"/>
          <w:highlight w:val="none"/>
        </w:rPr>
        <w:t>号）的规定，对小型和微型企业给予价格扣除优惠，用扣除后的价格参与评审。</w:t>
      </w:r>
    </w:p>
    <w:p w14:paraId="5197A208">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政府采购活动中，供应商提供的货物、工程或者服务符合下列情形的，享受中小企业扶持政策： </w:t>
      </w:r>
    </w:p>
    <w:p w14:paraId="412FFD13">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（一）在货物采购项目中，货物由中小企业制造，即货物由中小企业生产且使用该中小企业商号或者注册商标；评审时，对其价格扣除</w:t>
      </w:r>
      <w:r>
        <w:rPr>
          <w:rFonts w:hint="eastAsia" w:asciiTheme="minorEastAsia" w:hAnsiTheme="minorEastAsia" w:eastAsiaTheme="minorEastAsia"/>
          <w:b/>
          <w:bCs/>
          <w:color w:val="auto"/>
          <w:highlight w:val="none"/>
        </w:rPr>
        <w:t>1</w:t>
      </w:r>
      <w:r>
        <w:rPr>
          <w:rFonts w:asciiTheme="minorEastAsia" w:hAnsiTheme="minorEastAsia" w:eastAsiaTheme="minorEastAsia"/>
          <w:b/>
          <w:bCs/>
          <w:color w:val="auto"/>
          <w:highlight w:val="none"/>
        </w:rPr>
        <w:t>0</w:t>
      </w:r>
      <w:r>
        <w:rPr>
          <w:rFonts w:hint="eastAsia" w:asciiTheme="minorEastAsia" w:hAnsiTheme="minorEastAsia" w:eastAsiaTheme="minorEastAsia"/>
          <w:b/>
          <w:bCs/>
          <w:color w:val="auto"/>
          <w:highlight w:val="none"/>
        </w:rPr>
        <w:t>%</w:t>
      </w:r>
      <w:r>
        <w:rPr>
          <w:rFonts w:hint="eastAsia" w:asciiTheme="minorEastAsia" w:hAnsiTheme="minorEastAsia" w:eastAsiaTheme="minorEastAsia"/>
          <w:color w:val="auto"/>
          <w:highlight w:val="none"/>
        </w:rPr>
        <w:t>的优惠，用扣除后的价格参与评审。</w:t>
      </w:r>
    </w:p>
    <w:p w14:paraId="690C9884">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（二）在服务采购项目中，服务由中小企业承接，即提供服务的人员为中小企业依照</w:t>
      </w:r>
      <w:r>
        <w:rPr>
          <w:rFonts w:hint="eastAsia" w:cs="仿宋_GB2312" w:asciiTheme="minorEastAsia" w:hAnsiTheme="minorEastAsia" w:eastAsiaTheme="minorEastAsia"/>
          <w:color w:val="auto"/>
          <w:szCs w:val="21"/>
          <w:highlight w:val="none"/>
        </w:rPr>
        <w:t>《中华人民共和国劳动合同法》</w:t>
      </w:r>
      <w:r>
        <w:rPr>
          <w:rFonts w:hint="eastAsia" w:asciiTheme="minorEastAsia" w:hAnsiTheme="minorEastAsia" w:eastAsiaTheme="minorEastAsia"/>
          <w:color w:val="auto"/>
          <w:highlight w:val="none"/>
        </w:rPr>
        <w:t>订立劳动合同的从业人员；</w:t>
      </w:r>
      <w:bookmarkStart w:id="1289" w:name="_Hlk125974904"/>
      <w:r>
        <w:rPr>
          <w:rFonts w:hint="eastAsia" w:asciiTheme="minorEastAsia" w:hAnsiTheme="minorEastAsia" w:eastAsiaTheme="minorEastAsia"/>
          <w:color w:val="auto"/>
          <w:highlight w:val="none"/>
        </w:rPr>
        <w:t>评审时，对其价格扣除</w:t>
      </w:r>
      <w:r>
        <w:rPr>
          <w:rFonts w:hint="eastAsia" w:asciiTheme="minorEastAsia" w:hAnsiTheme="minorEastAsia" w:eastAsiaTheme="minorEastAsia"/>
          <w:b/>
          <w:bCs/>
          <w:color w:val="auto"/>
          <w:highlight w:val="none"/>
        </w:rPr>
        <w:t>1</w:t>
      </w:r>
      <w:r>
        <w:rPr>
          <w:rFonts w:asciiTheme="minorEastAsia" w:hAnsiTheme="minorEastAsia" w:eastAsiaTheme="minorEastAsia"/>
          <w:b/>
          <w:bCs/>
          <w:color w:val="auto"/>
          <w:highlight w:val="none"/>
        </w:rPr>
        <w:t>0</w:t>
      </w:r>
      <w:r>
        <w:rPr>
          <w:rFonts w:hint="eastAsia" w:asciiTheme="minorEastAsia" w:hAnsiTheme="minorEastAsia" w:eastAsiaTheme="minorEastAsia"/>
          <w:b/>
          <w:bCs/>
          <w:color w:val="auto"/>
          <w:highlight w:val="none"/>
        </w:rPr>
        <w:t>%</w:t>
      </w:r>
      <w:r>
        <w:rPr>
          <w:rFonts w:hint="eastAsia" w:asciiTheme="minorEastAsia" w:hAnsiTheme="minorEastAsia" w:eastAsiaTheme="minorEastAsia"/>
          <w:color w:val="auto"/>
          <w:highlight w:val="none"/>
        </w:rPr>
        <w:t>的优惠，用扣除后的价格参与评审。</w:t>
      </w:r>
      <w:bookmarkEnd w:id="1289"/>
    </w:p>
    <w:p w14:paraId="2343FF42">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（三）在工程采购项目中，工程由中小企业承建，即工程施工单位为中小企业；评审时，对其价格扣除</w:t>
      </w:r>
      <w:r>
        <w:rPr>
          <w:rFonts w:asciiTheme="minorEastAsia" w:hAnsiTheme="minorEastAsia" w:eastAsiaTheme="minorEastAsia"/>
          <w:b/>
          <w:bCs/>
          <w:color w:val="auto"/>
          <w:highlight w:val="none"/>
        </w:rPr>
        <w:t>3</w:t>
      </w:r>
      <w:r>
        <w:rPr>
          <w:rFonts w:hint="eastAsia" w:asciiTheme="minorEastAsia" w:hAnsiTheme="minorEastAsia" w:eastAsiaTheme="minorEastAsia"/>
          <w:b/>
          <w:bCs/>
          <w:color w:val="auto"/>
          <w:highlight w:val="none"/>
        </w:rPr>
        <w:t>%</w:t>
      </w:r>
      <w:r>
        <w:rPr>
          <w:rFonts w:hint="eastAsia" w:asciiTheme="minorEastAsia" w:hAnsiTheme="minorEastAsia" w:eastAsiaTheme="minorEastAsia"/>
          <w:color w:val="auto"/>
          <w:highlight w:val="none"/>
        </w:rPr>
        <w:t>的优惠，用扣除后的价格参与评审。</w:t>
      </w:r>
    </w:p>
    <w:p w14:paraId="02A451C2">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在货物采购项目中，供应商提供的货物既有中小企业制造货物，也有大型企业制造货物的，不享受本办法规定的中小企业扶持政策。</w:t>
      </w:r>
    </w:p>
    <w:p w14:paraId="74E13D97">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以联合体形式参加政府采购活动，联合体各方均为中小企业的，联合体视同中小企业。其中，联合体各方均为小微企业的，联合体视同小微企业。</w:t>
      </w:r>
    </w:p>
    <w:p w14:paraId="0004B9F4">
      <w:pPr>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05E8601">
      <w:pPr>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符合中小企业划分标准的个体工商户，在政府采购活动中视同中小企业。</w:t>
      </w:r>
    </w:p>
    <w:p w14:paraId="5547AF54">
      <w:pPr>
        <w:spacing w:line="360" w:lineRule="auto"/>
        <w:ind w:firstLine="420" w:firstLineChars="20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供应商应当按照《政府采购促进中小企业发展管理办法》规定和《统计上大中小微型企业划分办法（2017）》的划分标准，如实填写并提交《中小企业声明函》</w:t>
      </w:r>
      <w:r>
        <w:rPr>
          <w:rFonts w:hint="eastAsia" w:asciiTheme="minorEastAsia" w:hAnsiTheme="minorEastAsia" w:eastAsiaTheme="minorEastAsia"/>
          <w:color w:val="auto"/>
          <w:highlight w:val="none"/>
        </w:rPr>
        <w:t>（声明函格式见第</w:t>
      </w:r>
      <w:r>
        <w:rPr>
          <w:rFonts w:hint="eastAsia" w:asciiTheme="minorEastAsia" w:hAnsiTheme="minorEastAsia" w:eastAsiaTheme="minorEastAsia"/>
          <w:color w:val="auto"/>
          <w:szCs w:val="21"/>
          <w:highlight w:val="none"/>
        </w:rPr>
        <w:t>四</w:t>
      </w:r>
      <w:r>
        <w:rPr>
          <w:rFonts w:hint="eastAsia" w:asciiTheme="minorEastAsia" w:hAnsiTheme="minorEastAsia" w:eastAsiaTheme="minorEastAsia"/>
          <w:color w:val="auto"/>
          <w:highlight w:val="none"/>
        </w:rPr>
        <w:t>章“响应文件格式”），未提交声明函的在报价评审时不对报价进行扣除。</w:t>
      </w:r>
    </w:p>
    <w:p w14:paraId="3A1DFE7C">
      <w:pPr>
        <w:spacing w:line="360" w:lineRule="auto"/>
        <w:ind w:firstLine="422" w:firstLineChars="200"/>
        <w:jc w:val="left"/>
        <w:rPr>
          <w:rFonts w:hint="eastAsia"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本项目对小型、微型企业的价格扣除方式如下（表一）所示。</w:t>
      </w:r>
    </w:p>
    <w:p w14:paraId="2BB8B423">
      <w:pPr>
        <w:spacing w:line="360" w:lineRule="auto"/>
        <w:ind w:firstLine="482" w:firstLineChars="200"/>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（表一）小型、微型企业政府采购优惠政策表</w:t>
      </w:r>
    </w:p>
    <w:tbl>
      <w:tblPr>
        <w:tblStyle w:val="54"/>
        <w:tblW w:w="9066" w:type="dxa"/>
        <w:jc w:val="center"/>
        <w:tblLayout w:type="fixed"/>
        <w:tblCellMar>
          <w:top w:w="0" w:type="dxa"/>
          <w:left w:w="108" w:type="dxa"/>
          <w:bottom w:w="0" w:type="dxa"/>
          <w:right w:w="108" w:type="dxa"/>
        </w:tblCellMar>
      </w:tblPr>
      <w:tblGrid>
        <w:gridCol w:w="596"/>
        <w:gridCol w:w="912"/>
        <w:gridCol w:w="693"/>
        <w:gridCol w:w="3177"/>
        <w:gridCol w:w="854"/>
        <w:gridCol w:w="2834"/>
      </w:tblGrid>
      <w:tr w14:paraId="4DCC4FCC">
        <w:tblPrEx>
          <w:tblCellMar>
            <w:top w:w="0" w:type="dxa"/>
            <w:left w:w="108" w:type="dxa"/>
            <w:bottom w:w="0" w:type="dxa"/>
            <w:right w:w="108" w:type="dxa"/>
          </w:tblCellMar>
        </w:tblPrEx>
        <w:trPr>
          <w:trHeight w:val="520" w:hRule="atLeast"/>
          <w:jc w:val="center"/>
        </w:trPr>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37B6E">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序号</w:t>
            </w:r>
          </w:p>
        </w:tc>
        <w:tc>
          <w:tcPr>
            <w:tcW w:w="912" w:type="dxa"/>
            <w:tcBorders>
              <w:top w:val="single" w:color="auto" w:sz="4" w:space="0"/>
              <w:left w:val="nil"/>
              <w:bottom w:val="single" w:color="auto" w:sz="4" w:space="0"/>
              <w:right w:val="single" w:color="auto" w:sz="4" w:space="0"/>
            </w:tcBorders>
            <w:shd w:val="clear" w:color="auto" w:fill="auto"/>
            <w:noWrap/>
            <w:vAlign w:val="center"/>
          </w:tcPr>
          <w:p w14:paraId="1D030733">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联合体</w:t>
            </w:r>
          </w:p>
        </w:tc>
        <w:tc>
          <w:tcPr>
            <w:tcW w:w="693" w:type="dxa"/>
            <w:tcBorders>
              <w:top w:val="single" w:color="auto" w:sz="4" w:space="0"/>
              <w:left w:val="nil"/>
              <w:bottom w:val="single" w:color="auto" w:sz="4" w:space="0"/>
              <w:right w:val="single" w:color="auto" w:sz="4" w:space="0"/>
            </w:tcBorders>
            <w:shd w:val="clear" w:color="auto" w:fill="auto"/>
            <w:noWrap/>
            <w:vAlign w:val="center"/>
          </w:tcPr>
          <w:p w14:paraId="1837FA02">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项目类别</w:t>
            </w:r>
          </w:p>
        </w:tc>
        <w:tc>
          <w:tcPr>
            <w:tcW w:w="3177" w:type="dxa"/>
            <w:tcBorders>
              <w:top w:val="single" w:color="auto" w:sz="4" w:space="0"/>
              <w:left w:val="nil"/>
              <w:bottom w:val="single" w:color="auto" w:sz="4" w:space="0"/>
              <w:right w:val="single" w:color="auto" w:sz="4" w:space="0"/>
            </w:tcBorders>
            <w:shd w:val="clear" w:color="auto" w:fill="auto"/>
            <w:noWrap/>
            <w:vAlign w:val="center"/>
          </w:tcPr>
          <w:p w14:paraId="367EE755">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符合条件</w:t>
            </w:r>
          </w:p>
        </w:tc>
        <w:tc>
          <w:tcPr>
            <w:tcW w:w="854" w:type="dxa"/>
            <w:tcBorders>
              <w:top w:val="single" w:color="auto" w:sz="4" w:space="0"/>
              <w:left w:val="nil"/>
              <w:bottom w:val="single" w:color="auto" w:sz="4" w:space="0"/>
              <w:right w:val="single" w:color="auto" w:sz="4" w:space="0"/>
            </w:tcBorders>
            <w:shd w:val="clear" w:color="auto" w:fill="auto"/>
            <w:vAlign w:val="center"/>
          </w:tcPr>
          <w:p w14:paraId="3D7D8218">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价格扣除比例</w:t>
            </w:r>
          </w:p>
        </w:tc>
        <w:tc>
          <w:tcPr>
            <w:tcW w:w="2834" w:type="dxa"/>
            <w:tcBorders>
              <w:top w:val="single" w:color="auto" w:sz="4" w:space="0"/>
              <w:left w:val="nil"/>
              <w:bottom w:val="single" w:color="auto" w:sz="4" w:space="0"/>
              <w:right w:val="single" w:color="auto" w:sz="4" w:space="0"/>
            </w:tcBorders>
            <w:shd w:val="clear" w:color="auto" w:fill="auto"/>
            <w:noWrap/>
            <w:vAlign w:val="center"/>
          </w:tcPr>
          <w:p w14:paraId="12F4A0DF">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评审价计算公式</w:t>
            </w:r>
          </w:p>
        </w:tc>
      </w:tr>
      <w:tr w14:paraId="419EE9E6">
        <w:tblPrEx>
          <w:tblCellMar>
            <w:top w:w="0" w:type="dxa"/>
            <w:left w:w="108" w:type="dxa"/>
            <w:bottom w:w="0" w:type="dxa"/>
            <w:right w:w="108" w:type="dxa"/>
          </w:tblCellMar>
        </w:tblPrEx>
        <w:trPr>
          <w:trHeight w:val="280" w:hRule="atLeast"/>
          <w:jc w:val="center"/>
        </w:trPr>
        <w:tc>
          <w:tcPr>
            <w:tcW w:w="596" w:type="dxa"/>
            <w:vMerge w:val="restart"/>
            <w:tcBorders>
              <w:top w:val="nil"/>
              <w:left w:val="single" w:color="auto" w:sz="4" w:space="0"/>
              <w:bottom w:val="single" w:color="auto" w:sz="4" w:space="0"/>
              <w:right w:val="single" w:color="auto" w:sz="4" w:space="0"/>
            </w:tcBorders>
            <w:shd w:val="clear" w:color="auto" w:fill="auto"/>
            <w:noWrap/>
            <w:vAlign w:val="center"/>
          </w:tcPr>
          <w:p w14:paraId="321E1535">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912" w:type="dxa"/>
            <w:vMerge w:val="restart"/>
            <w:tcBorders>
              <w:top w:val="nil"/>
              <w:left w:val="single" w:color="auto" w:sz="4" w:space="0"/>
              <w:bottom w:val="single" w:color="auto" w:sz="4" w:space="0"/>
              <w:right w:val="single" w:color="auto" w:sz="4" w:space="0"/>
            </w:tcBorders>
            <w:shd w:val="clear" w:color="auto" w:fill="auto"/>
            <w:noWrap/>
            <w:vAlign w:val="center"/>
          </w:tcPr>
          <w:p w14:paraId="472072C3">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w:t>
            </w:r>
          </w:p>
        </w:tc>
        <w:tc>
          <w:tcPr>
            <w:tcW w:w="693" w:type="dxa"/>
            <w:vMerge w:val="restart"/>
            <w:tcBorders>
              <w:top w:val="nil"/>
              <w:left w:val="single" w:color="auto" w:sz="4" w:space="0"/>
              <w:bottom w:val="single" w:color="auto" w:sz="4" w:space="0"/>
              <w:right w:val="single" w:color="auto" w:sz="4" w:space="0"/>
            </w:tcBorders>
            <w:shd w:val="clear" w:color="auto" w:fill="auto"/>
            <w:noWrap/>
            <w:vAlign w:val="center"/>
          </w:tcPr>
          <w:p w14:paraId="42DF7AE1">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采购货物</w:t>
            </w:r>
          </w:p>
        </w:tc>
        <w:tc>
          <w:tcPr>
            <w:tcW w:w="3177" w:type="dxa"/>
            <w:tcBorders>
              <w:top w:val="nil"/>
              <w:left w:val="nil"/>
              <w:bottom w:val="single" w:color="auto" w:sz="4" w:space="0"/>
              <w:right w:val="single" w:color="auto" w:sz="4" w:space="0"/>
            </w:tcBorders>
            <w:shd w:val="clear" w:color="auto" w:fill="auto"/>
            <w:noWrap/>
            <w:vAlign w:val="bottom"/>
          </w:tcPr>
          <w:p w14:paraId="1279F3FD">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联合体单位均为小型、微型企业</w:t>
            </w:r>
          </w:p>
        </w:tc>
        <w:tc>
          <w:tcPr>
            <w:tcW w:w="854" w:type="dxa"/>
            <w:tcBorders>
              <w:top w:val="nil"/>
              <w:left w:val="nil"/>
              <w:bottom w:val="single" w:color="auto" w:sz="4" w:space="0"/>
              <w:right w:val="single" w:color="auto" w:sz="4" w:space="0"/>
            </w:tcBorders>
            <w:shd w:val="clear" w:color="auto" w:fill="auto"/>
            <w:noWrap/>
            <w:vAlign w:val="center"/>
          </w:tcPr>
          <w:p w14:paraId="6B91FA1D">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w:t>
            </w:r>
          </w:p>
        </w:tc>
        <w:tc>
          <w:tcPr>
            <w:tcW w:w="2834" w:type="dxa"/>
            <w:tcBorders>
              <w:top w:val="nil"/>
              <w:left w:val="nil"/>
              <w:bottom w:val="single" w:color="auto" w:sz="4" w:space="0"/>
              <w:right w:val="single" w:color="auto" w:sz="4" w:space="0"/>
            </w:tcBorders>
            <w:shd w:val="clear" w:color="auto" w:fill="auto"/>
            <w:noWrap/>
            <w:vAlign w:val="center"/>
          </w:tcPr>
          <w:p w14:paraId="5A351622">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评审价=二次报价×（1-4%）</w:t>
            </w:r>
          </w:p>
        </w:tc>
      </w:tr>
      <w:tr w14:paraId="06BAACC7">
        <w:tblPrEx>
          <w:tblCellMar>
            <w:top w:w="0" w:type="dxa"/>
            <w:left w:w="108" w:type="dxa"/>
            <w:bottom w:w="0" w:type="dxa"/>
            <w:right w:w="108" w:type="dxa"/>
          </w:tblCellMar>
        </w:tblPrEx>
        <w:trPr>
          <w:trHeight w:val="1120" w:hRule="atLeast"/>
          <w:jc w:val="center"/>
        </w:trPr>
        <w:tc>
          <w:tcPr>
            <w:tcW w:w="596" w:type="dxa"/>
            <w:vMerge w:val="continue"/>
            <w:tcBorders>
              <w:top w:val="nil"/>
              <w:left w:val="single" w:color="auto" w:sz="4" w:space="0"/>
              <w:bottom w:val="single" w:color="auto" w:sz="4" w:space="0"/>
              <w:right w:val="single" w:color="auto" w:sz="4" w:space="0"/>
            </w:tcBorders>
            <w:vAlign w:val="center"/>
          </w:tcPr>
          <w:p w14:paraId="087FE457">
            <w:pPr>
              <w:widowControl/>
              <w:spacing w:line="360" w:lineRule="auto"/>
              <w:jc w:val="left"/>
              <w:rPr>
                <w:rFonts w:hint="eastAsia" w:cs="宋体" w:asciiTheme="minorEastAsia" w:hAnsiTheme="minorEastAsia" w:eastAsiaTheme="minorEastAsia"/>
                <w:color w:val="auto"/>
                <w:kern w:val="0"/>
                <w:szCs w:val="21"/>
                <w:highlight w:val="none"/>
              </w:rPr>
            </w:pPr>
          </w:p>
        </w:tc>
        <w:tc>
          <w:tcPr>
            <w:tcW w:w="912" w:type="dxa"/>
            <w:vMerge w:val="continue"/>
            <w:tcBorders>
              <w:top w:val="nil"/>
              <w:left w:val="single" w:color="auto" w:sz="4" w:space="0"/>
              <w:bottom w:val="single" w:color="auto" w:sz="4" w:space="0"/>
              <w:right w:val="single" w:color="auto" w:sz="4" w:space="0"/>
            </w:tcBorders>
            <w:vAlign w:val="center"/>
          </w:tcPr>
          <w:p w14:paraId="2D679188">
            <w:pPr>
              <w:widowControl/>
              <w:spacing w:line="360" w:lineRule="auto"/>
              <w:jc w:val="left"/>
              <w:rPr>
                <w:rFonts w:hint="eastAsia" w:cs="宋体" w:asciiTheme="minorEastAsia" w:hAnsiTheme="minorEastAsia" w:eastAsiaTheme="minorEastAsia"/>
                <w:color w:val="auto"/>
                <w:kern w:val="0"/>
                <w:szCs w:val="21"/>
                <w:highlight w:val="none"/>
              </w:rPr>
            </w:pPr>
          </w:p>
        </w:tc>
        <w:tc>
          <w:tcPr>
            <w:tcW w:w="693" w:type="dxa"/>
            <w:vMerge w:val="continue"/>
            <w:tcBorders>
              <w:top w:val="nil"/>
              <w:left w:val="single" w:color="auto" w:sz="4" w:space="0"/>
              <w:bottom w:val="single" w:color="auto" w:sz="4" w:space="0"/>
              <w:right w:val="single" w:color="auto" w:sz="4" w:space="0"/>
            </w:tcBorders>
            <w:vAlign w:val="center"/>
          </w:tcPr>
          <w:p w14:paraId="7946E386">
            <w:pPr>
              <w:widowControl/>
              <w:spacing w:line="360" w:lineRule="auto"/>
              <w:jc w:val="left"/>
              <w:rPr>
                <w:rFonts w:hint="eastAsia" w:cs="宋体" w:asciiTheme="minorEastAsia" w:hAnsiTheme="minorEastAsia" w:eastAsiaTheme="minorEastAsia"/>
                <w:color w:val="auto"/>
                <w:kern w:val="0"/>
                <w:szCs w:val="21"/>
                <w:highlight w:val="none"/>
              </w:rPr>
            </w:pPr>
          </w:p>
        </w:tc>
        <w:tc>
          <w:tcPr>
            <w:tcW w:w="3177" w:type="dxa"/>
            <w:tcBorders>
              <w:top w:val="nil"/>
              <w:left w:val="nil"/>
              <w:bottom w:val="single" w:color="auto" w:sz="4" w:space="0"/>
              <w:right w:val="single" w:color="auto" w:sz="4" w:space="0"/>
            </w:tcBorders>
            <w:shd w:val="clear" w:color="auto" w:fill="auto"/>
            <w:vAlign w:val="bottom"/>
          </w:tcPr>
          <w:p w14:paraId="2F9372B5">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联合体单位为大型和小型、微型企业，且联合体协议书中约定小型、微型企业的合同份额占到合同总金额30%及以上</w:t>
            </w:r>
          </w:p>
        </w:tc>
        <w:tc>
          <w:tcPr>
            <w:tcW w:w="854" w:type="dxa"/>
            <w:tcBorders>
              <w:top w:val="nil"/>
              <w:left w:val="nil"/>
              <w:bottom w:val="single" w:color="auto" w:sz="4" w:space="0"/>
              <w:right w:val="single" w:color="auto" w:sz="4" w:space="0"/>
            </w:tcBorders>
            <w:shd w:val="clear" w:color="auto" w:fill="auto"/>
            <w:noWrap/>
            <w:vAlign w:val="center"/>
          </w:tcPr>
          <w:p w14:paraId="46A45A4D">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w:t>
            </w:r>
          </w:p>
        </w:tc>
        <w:tc>
          <w:tcPr>
            <w:tcW w:w="2834" w:type="dxa"/>
            <w:tcBorders>
              <w:top w:val="nil"/>
              <w:left w:val="nil"/>
              <w:bottom w:val="single" w:color="auto" w:sz="4" w:space="0"/>
              <w:right w:val="single" w:color="auto" w:sz="4" w:space="0"/>
            </w:tcBorders>
            <w:shd w:val="clear" w:color="auto" w:fill="auto"/>
            <w:noWrap/>
            <w:vAlign w:val="center"/>
          </w:tcPr>
          <w:p w14:paraId="2A291FEE">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评审价=二次报价×（1-4%）</w:t>
            </w:r>
          </w:p>
        </w:tc>
      </w:tr>
      <w:tr w14:paraId="3A962AF2">
        <w:tblPrEx>
          <w:tblCellMar>
            <w:top w:w="0" w:type="dxa"/>
            <w:left w:w="108" w:type="dxa"/>
            <w:bottom w:w="0" w:type="dxa"/>
            <w:right w:w="108" w:type="dxa"/>
          </w:tblCellMar>
        </w:tblPrEx>
        <w:trPr>
          <w:trHeight w:val="280" w:hRule="atLeast"/>
          <w:jc w:val="center"/>
        </w:trPr>
        <w:tc>
          <w:tcPr>
            <w:tcW w:w="596" w:type="dxa"/>
            <w:vMerge w:val="continue"/>
            <w:tcBorders>
              <w:top w:val="nil"/>
              <w:left w:val="single" w:color="auto" w:sz="4" w:space="0"/>
              <w:bottom w:val="single" w:color="auto" w:sz="4" w:space="0"/>
              <w:right w:val="single" w:color="auto" w:sz="4" w:space="0"/>
            </w:tcBorders>
            <w:vAlign w:val="center"/>
          </w:tcPr>
          <w:p w14:paraId="4283146D">
            <w:pPr>
              <w:widowControl/>
              <w:spacing w:line="360" w:lineRule="auto"/>
              <w:jc w:val="left"/>
              <w:rPr>
                <w:rFonts w:hint="eastAsia" w:cs="宋体" w:asciiTheme="minorEastAsia" w:hAnsiTheme="minorEastAsia" w:eastAsiaTheme="minorEastAsia"/>
                <w:color w:val="auto"/>
                <w:kern w:val="0"/>
                <w:szCs w:val="21"/>
                <w:highlight w:val="none"/>
              </w:rPr>
            </w:pPr>
          </w:p>
        </w:tc>
        <w:tc>
          <w:tcPr>
            <w:tcW w:w="912" w:type="dxa"/>
            <w:vMerge w:val="continue"/>
            <w:tcBorders>
              <w:top w:val="nil"/>
              <w:left w:val="single" w:color="auto" w:sz="4" w:space="0"/>
              <w:bottom w:val="single" w:color="auto" w:sz="4" w:space="0"/>
              <w:right w:val="single" w:color="auto" w:sz="4" w:space="0"/>
            </w:tcBorders>
            <w:vAlign w:val="center"/>
          </w:tcPr>
          <w:p w14:paraId="39B37409">
            <w:pPr>
              <w:widowControl/>
              <w:spacing w:line="360" w:lineRule="auto"/>
              <w:jc w:val="left"/>
              <w:rPr>
                <w:rFonts w:hint="eastAsia" w:cs="宋体" w:asciiTheme="minorEastAsia" w:hAnsiTheme="minorEastAsia" w:eastAsiaTheme="minorEastAsia"/>
                <w:color w:val="auto"/>
                <w:kern w:val="0"/>
                <w:szCs w:val="21"/>
                <w:highlight w:val="none"/>
              </w:rPr>
            </w:pPr>
          </w:p>
        </w:tc>
        <w:tc>
          <w:tcPr>
            <w:tcW w:w="693" w:type="dxa"/>
            <w:vMerge w:val="restart"/>
            <w:tcBorders>
              <w:top w:val="nil"/>
              <w:left w:val="single" w:color="auto" w:sz="4" w:space="0"/>
              <w:bottom w:val="single" w:color="auto" w:sz="4" w:space="0"/>
              <w:right w:val="single" w:color="auto" w:sz="4" w:space="0"/>
            </w:tcBorders>
            <w:shd w:val="clear" w:color="auto" w:fill="auto"/>
            <w:noWrap/>
            <w:vAlign w:val="center"/>
          </w:tcPr>
          <w:p w14:paraId="34776053">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采购服务</w:t>
            </w:r>
          </w:p>
        </w:tc>
        <w:tc>
          <w:tcPr>
            <w:tcW w:w="3177" w:type="dxa"/>
            <w:tcBorders>
              <w:top w:val="nil"/>
              <w:left w:val="nil"/>
              <w:bottom w:val="single" w:color="auto" w:sz="4" w:space="0"/>
              <w:right w:val="single" w:color="auto" w:sz="4" w:space="0"/>
            </w:tcBorders>
            <w:shd w:val="clear" w:color="auto" w:fill="auto"/>
            <w:noWrap/>
            <w:vAlign w:val="bottom"/>
          </w:tcPr>
          <w:p w14:paraId="62B72EEF">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联合体单位均为小型、微型企业</w:t>
            </w:r>
          </w:p>
        </w:tc>
        <w:tc>
          <w:tcPr>
            <w:tcW w:w="854" w:type="dxa"/>
            <w:tcBorders>
              <w:top w:val="nil"/>
              <w:left w:val="nil"/>
              <w:bottom w:val="single" w:color="auto" w:sz="4" w:space="0"/>
              <w:right w:val="single" w:color="auto" w:sz="4" w:space="0"/>
            </w:tcBorders>
            <w:shd w:val="clear" w:color="auto" w:fill="auto"/>
            <w:noWrap/>
            <w:vAlign w:val="center"/>
          </w:tcPr>
          <w:p w14:paraId="28907E69">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w:t>
            </w:r>
          </w:p>
        </w:tc>
        <w:tc>
          <w:tcPr>
            <w:tcW w:w="2834" w:type="dxa"/>
            <w:tcBorders>
              <w:top w:val="nil"/>
              <w:left w:val="nil"/>
              <w:bottom w:val="single" w:color="auto" w:sz="4" w:space="0"/>
              <w:right w:val="single" w:color="auto" w:sz="4" w:space="0"/>
            </w:tcBorders>
            <w:shd w:val="clear" w:color="auto" w:fill="auto"/>
            <w:noWrap/>
            <w:vAlign w:val="center"/>
          </w:tcPr>
          <w:p w14:paraId="4A4E5816">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评审价=二次报价×（1-4%）</w:t>
            </w:r>
          </w:p>
        </w:tc>
      </w:tr>
      <w:tr w14:paraId="55FEA05D">
        <w:tblPrEx>
          <w:tblCellMar>
            <w:top w:w="0" w:type="dxa"/>
            <w:left w:w="108" w:type="dxa"/>
            <w:bottom w:w="0" w:type="dxa"/>
            <w:right w:w="108" w:type="dxa"/>
          </w:tblCellMar>
        </w:tblPrEx>
        <w:trPr>
          <w:trHeight w:val="1120" w:hRule="atLeast"/>
          <w:jc w:val="center"/>
        </w:trPr>
        <w:tc>
          <w:tcPr>
            <w:tcW w:w="596" w:type="dxa"/>
            <w:vMerge w:val="continue"/>
            <w:tcBorders>
              <w:top w:val="nil"/>
              <w:left w:val="single" w:color="auto" w:sz="4" w:space="0"/>
              <w:bottom w:val="single" w:color="auto" w:sz="4" w:space="0"/>
              <w:right w:val="single" w:color="auto" w:sz="4" w:space="0"/>
            </w:tcBorders>
            <w:vAlign w:val="center"/>
          </w:tcPr>
          <w:p w14:paraId="2DFA4F6C">
            <w:pPr>
              <w:widowControl/>
              <w:spacing w:line="360" w:lineRule="auto"/>
              <w:jc w:val="left"/>
              <w:rPr>
                <w:rFonts w:hint="eastAsia" w:cs="宋体" w:asciiTheme="minorEastAsia" w:hAnsiTheme="minorEastAsia" w:eastAsiaTheme="minorEastAsia"/>
                <w:color w:val="auto"/>
                <w:kern w:val="0"/>
                <w:szCs w:val="21"/>
                <w:highlight w:val="none"/>
              </w:rPr>
            </w:pPr>
          </w:p>
        </w:tc>
        <w:tc>
          <w:tcPr>
            <w:tcW w:w="912" w:type="dxa"/>
            <w:vMerge w:val="continue"/>
            <w:tcBorders>
              <w:top w:val="nil"/>
              <w:left w:val="single" w:color="auto" w:sz="4" w:space="0"/>
              <w:bottom w:val="single" w:color="auto" w:sz="4" w:space="0"/>
              <w:right w:val="single" w:color="auto" w:sz="4" w:space="0"/>
            </w:tcBorders>
            <w:vAlign w:val="center"/>
          </w:tcPr>
          <w:p w14:paraId="76C59CFA">
            <w:pPr>
              <w:widowControl/>
              <w:spacing w:line="360" w:lineRule="auto"/>
              <w:jc w:val="left"/>
              <w:rPr>
                <w:rFonts w:hint="eastAsia" w:cs="宋体" w:asciiTheme="minorEastAsia" w:hAnsiTheme="minorEastAsia" w:eastAsiaTheme="minorEastAsia"/>
                <w:color w:val="auto"/>
                <w:kern w:val="0"/>
                <w:szCs w:val="21"/>
                <w:highlight w:val="none"/>
              </w:rPr>
            </w:pPr>
          </w:p>
        </w:tc>
        <w:tc>
          <w:tcPr>
            <w:tcW w:w="693" w:type="dxa"/>
            <w:vMerge w:val="continue"/>
            <w:tcBorders>
              <w:top w:val="nil"/>
              <w:left w:val="single" w:color="auto" w:sz="4" w:space="0"/>
              <w:bottom w:val="single" w:color="auto" w:sz="4" w:space="0"/>
              <w:right w:val="single" w:color="auto" w:sz="4" w:space="0"/>
            </w:tcBorders>
            <w:vAlign w:val="center"/>
          </w:tcPr>
          <w:p w14:paraId="16240C3F">
            <w:pPr>
              <w:widowControl/>
              <w:spacing w:line="360" w:lineRule="auto"/>
              <w:jc w:val="left"/>
              <w:rPr>
                <w:rFonts w:hint="eastAsia" w:cs="宋体" w:asciiTheme="minorEastAsia" w:hAnsiTheme="minorEastAsia" w:eastAsiaTheme="minorEastAsia"/>
                <w:color w:val="auto"/>
                <w:kern w:val="0"/>
                <w:szCs w:val="21"/>
                <w:highlight w:val="none"/>
              </w:rPr>
            </w:pPr>
          </w:p>
        </w:tc>
        <w:tc>
          <w:tcPr>
            <w:tcW w:w="3177" w:type="dxa"/>
            <w:tcBorders>
              <w:top w:val="nil"/>
              <w:left w:val="nil"/>
              <w:bottom w:val="single" w:color="auto" w:sz="4" w:space="0"/>
              <w:right w:val="single" w:color="auto" w:sz="4" w:space="0"/>
            </w:tcBorders>
            <w:shd w:val="clear" w:color="auto" w:fill="auto"/>
            <w:vAlign w:val="bottom"/>
          </w:tcPr>
          <w:p w14:paraId="7FF6963D">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联合体单位为大型和小型、微型企业，且联合体协议书中约定小型、微型企业的合同份额占到合同总金额30%及以上</w:t>
            </w:r>
          </w:p>
        </w:tc>
        <w:tc>
          <w:tcPr>
            <w:tcW w:w="854" w:type="dxa"/>
            <w:tcBorders>
              <w:top w:val="nil"/>
              <w:left w:val="nil"/>
              <w:bottom w:val="single" w:color="auto" w:sz="4" w:space="0"/>
              <w:right w:val="single" w:color="auto" w:sz="4" w:space="0"/>
            </w:tcBorders>
            <w:shd w:val="clear" w:color="auto" w:fill="auto"/>
            <w:noWrap/>
            <w:vAlign w:val="center"/>
          </w:tcPr>
          <w:p w14:paraId="31EE9BB2">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w:t>
            </w:r>
          </w:p>
        </w:tc>
        <w:tc>
          <w:tcPr>
            <w:tcW w:w="2834" w:type="dxa"/>
            <w:tcBorders>
              <w:top w:val="nil"/>
              <w:left w:val="nil"/>
              <w:bottom w:val="single" w:color="auto" w:sz="4" w:space="0"/>
              <w:right w:val="single" w:color="auto" w:sz="4" w:space="0"/>
            </w:tcBorders>
            <w:shd w:val="clear" w:color="auto" w:fill="auto"/>
            <w:noWrap/>
            <w:vAlign w:val="center"/>
          </w:tcPr>
          <w:p w14:paraId="29D7C71E">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评审价=二次报价×（1-4%）</w:t>
            </w:r>
          </w:p>
        </w:tc>
      </w:tr>
      <w:tr w14:paraId="6E19895E">
        <w:tblPrEx>
          <w:tblCellMar>
            <w:top w:w="0" w:type="dxa"/>
            <w:left w:w="108" w:type="dxa"/>
            <w:bottom w:w="0" w:type="dxa"/>
            <w:right w:w="108" w:type="dxa"/>
          </w:tblCellMar>
        </w:tblPrEx>
        <w:trPr>
          <w:trHeight w:val="280" w:hRule="atLeast"/>
          <w:jc w:val="center"/>
        </w:trPr>
        <w:tc>
          <w:tcPr>
            <w:tcW w:w="596" w:type="dxa"/>
            <w:vMerge w:val="continue"/>
            <w:tcBorders>
              <w:top w:val="nil"/>
              <w:left w:val="single" w:color="auto" w:sz="4" w:space="0"/>
              <w:bottom w:val="single" w:color="auto" w:sz="4" w:space="0"/>
              <w:right w:val="single" w:color="auto" w:sz="4" w:space="0"/>
            </w:tcBorders>
            <w:vAlign w:val="center"/>
          </w:tcPr>
          <w:p w14:paraId="245B0127">
            <w:pPr>
              <w:widowControl/>
              <w:spacing w:line="360" w:lineRule="auto"/>
              <w:jc w:val="left"/>
              <w:rPr>
                <w:rFonts w:hint="eastAsia" w:cs="宋体" w:asciiTheme="minorEastAsia" w:hAnsiTheme="minorEastAsia" w:eastAsiaTheme="minorEastAsia"/>
                <w:color w:val="auto"/>
                <w:kern w:val="0"/>
                <w:szCs w:val="21"/>
                <w:highlight w:val="none"/>
              </w:rPr>
            </w:pPr>
          </w:p>
        </w:tc>
        <w:tc>
          <w:tcPr>
            <w:tcW w:w="912" w:type="dxa"/>
            <w:vMerge w:val="continue"/>
            <w:tcBorders>
              <w:top w:val="nil"/>
              <w:left w:val="single" w:color="auto" w:sz="4" w:space="0"/>
              <w:bottom w:val="single" w:color="auto" w:sz="4" w:space="0"/>
              <w:right w:val="single" w:color="auto" w:sz="4" w:space="0"/>
            </w:tcBorders>
            <w:vAlign w:val="center"/>
          </w:tcPr>
          <w:p w14:paraId="52480830">
            <w:pPr>
              <w:widowControl/>
              <w:spacing w:line="360" w:lineRule="auto"/>
              <w:jc w:val="left"/>
              <w:rPr>
                <w:rFonts w:hint="eastAsia" w:cs="宋体" w:asciiTheme="minorEastAsia" w:hAnsiTheme="minorEastAsia" w:eastAsiaTheme="minorEastAsia"/>
                <w:color w:val="auto"/>
                <w:kern w:val="0"/>
                <w:szCs w:val="21"/>
                <w:highlight w:val="none"/>
              </w:rPr>
            </w:pPr>
          </w:p>
        </w:tc>
        <w:tc>
          <w:tcPr>
            <w:tcW w:w="693" w:type="dxa"/>
            <w:vMerge w:val="restart"/>
            <w:tcBorders>
              <w:top w:val="nil"/>
              <w:left w:val="single" w:color="auto" w:sz="4" w:space="0"/>
              <w:bottom w:val="single" w:color="auto" w:sz="4" w:space="0"/>
              <w:right w:val="single" w:color="auto" w:sz="4" w:space="0"/>
            </w:tcBorders>
            <w:shd w:val="clear" w:color="auto" w:fill="auto"/>
            <w:noWrap/>
            <w:vAlign w:val="center"/>
          </w:tcPr>
          <w:p w14:paraId="306EFD2B">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采购工程</w:t>
            </w:r>
          </w:p>
        </w:tc>
        <w:tc>
          <w:tcPr>
            <w:tcW w:w="3177" w:type="dxa"/>
            <w:tcBorders>
              <w:top w:val="nil"/>
              <w:left w:val="nil"/>
              <w:bottom w:val="single" w:color="auto" w:sz="4" w:space="0"/>
              <w:right w:val="single" w:color="auto" w:sz="4" w:space="0"/>
            </w:tcBorders>
            <w:shd w:val="clear" w:color="auto" w:fill="auto"/>
            <w:noWrap/>
            <w:vAlign w:val="bottom"/>
          </w:tcPr>
          <w:p w14:paraId="2CF32B65">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联合体单位均为小型、微型企业</w:t>
            </w:r>
          </w:p>
        </w:tc>
        <w:tc>
          <w:tcPr>
            <w:tcW w:w="854" w:type="dxa"/>
            <w:tcBorders>
              <w:top w:val="nil"/>
              <w:left w:val="nil"/>
              <w:bottom w:val="single" w:color="auto" w:sz="4" w:space="0"/>
              <w:right w:val="single" w:color="auto" w:sz="4" w:space="0"/>
            </w:tcBorders>
            <w:shd w:val="clear" w:color="auto" w:fill="auto"/>
            <w:noWrap/>
            <w:vAlign w:val="center"/>
          </w:tcPr>
          <w:p w14:paraId="07D49431">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2834" w:type="dxa"/>
            <w:tcBorders>
              <w:top w:val="nil"/>
              <w:left w:val="nil"/>
              <w:bottom w:val="single" w:color="auto" w:sz="4" w:space="0"/>
              <w:right w:val="single" w:color="auto" w:sz="4" w:space="0"/>
            </w:tcBorders>
            <w:shd w:val="clear" w:color="auto" w:fill="auto"/>
            <w:noWrap/>
            <w:vAlign w:val="center"/>
          </w:tcPr>
          <w:p w14:paraId="0145CEC2">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评审价=二次报价×（1-1%）</w:t>
            </w:r>
          </w:p>
        </w:tc>
      </w:tr>
      <w:tr w14:paraId="34179F7E">
        <w:tblPrEx>
          <w:tblCellMar>
            <w:top w:w="0" w:type="dxa"/>
            <w:left w:w="108" w:type="dxa"/>
            <w:bottom w:w="0" w:type="dxa"/>
            <w:right w:w="108" w:type="dxa"/>
          </w:tblCellMar>
        </w:tblPrEx>
        <w:trPr>
          <w:trHeight w:val="1123" w:hRule="atLeast"/>
          <w:jc w:val="center"/>
        </w:trPr>
        <w:tc>
          <w:tcPr>
            <w:tcW w:w="596" w:type="dxa"/>
            <w:vMerge w:val="continue"/>
            <w:tcBorders>
              <w:top w:val="nil"/>
              <w:left w:val="single" w:color="auto" w:sz="4" w:space="0"/>
              <w:bottom w:val="single" w:color="auto" w:sz="4" w:space="0"/>
              <w:right w:val="single" w:color="auto" w:sz="4" w:space="0"/>
            </w:tcBorders>
            <w:vAlign w:val="center"/>
          </w:tcPr>
          <w:p w14:paraId="64B7D162">
            <w:pPr>
              <w:widowControl/>
              <w:spacing w:line="360" w:lineRule="auto"/>
              <w:jc w:val="left"/>
              <w:rPr>
                <w:rFonts w:hint="eastAsia" w:cs="宋体" w:asciiTheme="minorEastAsia" w:hAnsiTheme="minorEastAsia" w:eastAsiaTheme="minorEastAsia"/>
                <w:color w:val="auto"/>
                <w:kern w:val="0"/>
                <w:szCs w:val="21"/>
                <w:highlight w:val="none"/>
              </w:rPr>
            </w:pPr>
          </w:p>
        </w:tc>
        <w:tc>
          <w:tcPr>
            <w:tcW w:w="912" w:type="dxa"/>
            <w:vMerge w:val="continue"/>
            <w:tcBorders>
              <w:top w:val="nil"/>
              <w:left w:val="single" w:color="auto" w:sz="4" w:space="0"/>
              <w:bottom w:val="single" w:color="auto" w:sz="4" w:space="0"/>
              <w:right w:val="single" w:color="auto" w:sz="4" w:space="0"/>
            </w:tcBorders>
            <w:vAlign w:val="center"/>
          </w:tcPr>
          <w:p w14:paraId="7AE89A1A">
            <w:pPr>
              <w:widowControl/>
              <w:spacing w:line="360" w:lineRule="auto"/>
              <w:jc w:val="left"/>
              <w:rPr>
                <w:rFonts w:hint="eastAsia" w:cs="宋体" w:asciiTheme="minorEastAsia" w:hAnsiTheme="minorEastAsia" w:eastAsiaTheme="minorEastAsia"/>
                <w:color w:val="auto"/>
                <w:kern w:val="0"/>
                <w:szCs w:val="21"/>
                <w:highlight w:val="none"/>
              </w:rPr>
            </w:pPr>
          </w:p>
        </w:tc>
        <w:tc>
          <w:tcPr>
            <w:tcW w:w="693" w:type="dxa"/>
            <w:vMerge w:val="continue"/>
            <w:tcBorders>
              <w:top w:val="nil"/>
              <w:left w:val="single" w:color="auto" w:sz="4" w:space="0"/>
              <w:bottom w:val="single" w:color="auto" w:sz="4" w:space="0"/>
              <w:right w:val="single" w:color="auto" w:sz="4" w:space="0"/>
            </w:tcBorders>
            <w:vAlign w:val="center"/>
          </w:tcPr>
          <w:p w14:paraId="486CE12A">
            <w:pPr>
              <w:widowControl/>
              <w:spacing w:line="360" w:lineRule="auto"/>
              <w:jc w:val="left"/>
              <w:rPr>
                <w:rFonts w:hint="eastAsia" w:cs="宋体" w:asciiTheme="minorEastAsia" w:hAnsiTheme="minorEastAsia" w:eastAsiaTheme="minorEastAsia"/>
                <w:color w:val="auto"/>
                <w:kern w:val="0"/>
                <w:szCs w:val="21"/>
                <w:highlight w:val="none"/>
              </w:rPr>
            </w:pPr>
          </w:p>
        </w:tc>
        <w:tc>
          <w:tcPr>
            <w:tcW w:w="3177" w:type="dxa"/>
            <w:tcBorders>
              <w:top w:val="nil"/>
              <w:left w:val="nil"/>
              <w:bottom w:val="single" w:color="auto" w:sz="4" w:space="0"/>
              <w:right w:val="single" w:color="auto" w:sz="4" w:space="0"/>
            </w:tcBorders>
            <w:shd w:val="clear" w:color="auto" w:fill="auto"/>
            <w:vAlign w:val="bottom"/>
          </w:tcPr>
          <w:p w14:paraId="1406DCB4">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联合体单位为大型和小型、微型企业，且联合体协议书中约定小型、微型企业的合同份额占到合同总金额30%及以上</w:t>
            </w:r>
          </w:p>
        </w:tc>
        <w:tc>
          <w:tcPr>
            <w:tcW w:w="854" w:type="dxa"/>
            <w:tcBorders>
              <w:top w:val="nil"/>
              <w:left w:val="nil"/>
              <w:bottom w:val="single" w:color="auto" w:sz="4" w:space="0"/>
              <w:right w:val="single" w:color="auto" w:sz="4" w:space="0"/>
            </w:tcBorders>
            <w:shd w:val="clear" w:color="auto" w:fill="auto"/>
            <w:noWrap/>
            <w:vAlign w:val="center"/>
          </w:tcPr>
          <w:p w14:paraId="664DB410">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2834" w:type="dxa"/>
            <w:tcBorders>
              <w:top w:val="nil"/>
              <w:left w:val="nil"/>
              <w:bottom w:val="single" w:color="auto" w:sz="4" w:space="0"/>
              <w:right w:val="single" w:color="auto" w:sz="4" w:space="0"/>
            </w:tcBorders>
            <w:shd w:val="clear" w:color="auto" w:fill="auto"/>
            <w:noWrap/>
            <w:vAlign w:val="center"/>
          </w:tcPr>
          <w:p w14:paraId="4E01BF60">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评审价=二次报价×（1-1%）</w:t>
            </w:r>
          </w:p>
        </w:tc>
      </w:tr>
      <w:tr w14:paraId="0630ED20">
        <w:tblPrEx>
          <w:tblCellMar>
            <w:top w:w="0" w:type="dxa"/>
            <w:left w:w="108" w:type="dxa"/>
            <w:bottom w:w="0" w:type="dxa"/>
            <w:right w:w="108" w:type="dxa"/>
          </w:tblCellMar>
        </w:tblPrEx>
        <w:trPr>
          <w:trHeight w:val="280" w:hRule="atLeast"/>
          <w:jc w:val="center"/>
        </w:trPr>
        <w:tc>
          <w:tcPr>
            <w:tcW w:w="596" w:type="dxa"/>
            <w:vMerge w:val="restart"/>
            <w:tcBorders>
              <w:top w:val="nil"/>
              <w:left w:val="single" w:color="auto" w:sz="4" w:space="0"/>
              <w:bottom w:val="single" w:color="auto" w:sz="4" w:space="0"/>
              <w:right w:val="single" w:color="auto" w:sz="4" w:space="0"/>
            </w:tcBorders>
            <w:shd w:val="clear" w:color="auto" w:fill="auto"/>
            <w:noWrap/>
            <w:vAlign w:val="center"/>
          </w:tcPr>
          <w:p w14:paraId="094E618B">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w:t>
            </w:r>
          </w:p>
        </w:tc>
        <w:tc>
          <w:tcPr>
            <w:tcW w:w="912" w:type="dxa"/>
            <w:vMerge w:val="restart"/>
            <w:tcBorders>
              <w:top w:val="nil"/>
              <w:left w:val="single" w:color="auto" w:sz="4" w:space="0"/>
              <w:bottom w:val="single" w:color="auto" w:sz="4" w:space="0"/>
              <w:right w:val="single" w:color="auto" w:sz="4" w:space="0"/>
            </w:tcBorders>
            <w:shd w:val="clear" w:color="auto" w:fill="auto"/>
            <w:noWrap/>
            <w:vAlign w:val="center"/>
          </w:tcPr>
          <w:p w14:paraId="1F00D0E3">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非联</w:t>
            </w:r>
          </w:p>
          <w:p w14:paraId="7D5A6190">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合体</w:t>
            </w:r>
          </w:p>
        </w:tc>
        <w:tc>
          <w:tcPr>
            <w:tcW w:w="693" w:type="dxa"/>
            <w:tcBorders>
              <w:top w:val="nil"/>
              <w:left w:val="nil"/>
              <w:bottom w:val="single" w:color="auto" w:sz="4" w:space="0"/>
              <w:right w:val="single" w:color="auto" w:sz="4" w:space="0"/>
            </w:tcBorders>
            <w:shd w:val="clear" w:color="auto" w:fill="auto"/>
            <w:noWrap/>
            <w:vAlign w:val="bottom"/>
          </w:tcPr>
          <w:p w14:paraId="0F5DCDFF">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采购货物</w:t>
            </w:r>
          </w:p>
        </w:tc>
        <w:tc>
          <w:tcPr>
            <w:tcW w:w="3177" w:type="dxa"/>
            <w:tcBorders>
              <w:top w:val="nil"/>
              <w:left w:val="nil"/>
              <w:bottom w:val="single" w:color="auto" w:sz="4" w:space="0"/>
              <w:right w:val="single" w:color="auto" w:sz="4" w:space="0"/>
            </w:tcBorders>
            <w:shd w:val="clear" w:color="auto" w:fill="auto"/>
            <w:noWrap/>
            <w:vAlign w:val="center"/>
          </w:tcPr>
          <w:p w14:paraId="1CB46CB5">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货物由小型、微型企业制造</w:t>
            </w:r>
          </w:p>
        </w:tc>
        <w:tc>
          <w:tcPr>
            <w:tcW w:w="854" w:type="dxa"/>
            <w:tcBorders>
              <w:top w:val="nil"/>
              <w:left w:val="nil"/>
              <w:bottom w:val="single" w:color="auto" w:sz="4" w:space="0"/>
              <w:right w:val="single" w:color="auto" w:sz="4" w:space="0"/>
            </w:tcBorders>
            <w:shd w:val="clear" w:color="auto" w:fill="auto"/>
            <w:noWrap/>
            <w:vAlign w:val="center"/>
          </w:tcPr>
          <w:p w14:paraId="50BB10A7">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w:t>
            </w:r>
          </w:p>
        </w:tc>
        <w:tc>
          <w:tcPr>
            <w:tcW w:w="2834" w:type="dxa"/>
            <w:tcBorders>
              <w:top w:val="nil"/>
              <w:left w:val="nil"/>
              <w:bottom w:val="single" w:color="auto" w:sz="4" w:space="0"/>
              <w:right w:val="single" w:color="auto" w:sz="4" w:space="0"/>
            </w:tcBorders>
            <w:shd w:val="clear" w:color="auto" w:fill="auto"/>
            <w:noWrap/>
            <w:vAlign w:val="center"/>
          </w:tcPr>
          <w:p w14:paraId="337AB9A6">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评审价=二次报价×（1-10%）</w:t>
            </w:r>
          </w:p>
        </w:tc>
      </w:tr>
      <w:tr w14:paraId="0A98F985">
        <w:tblPrEx>
          <w:tblCellMar>
            <w:top w:w="0" w:type="dxa"/>
            <w:left w:w="108" w:type="dxa"/>
            <w:bottom w:w="0" w:type="dxa"/>
            <w:right w:w="108" w:type="dxa"/>
          </w:tblCellMar>
        </w:tblPrEx>
        <w:trPr>
          <w:trHeight w:val="280" w:hRule="atLeast"/>
          <w:jc w:val="center"/>
        </w:trPr>
        <w:tc>
          <w:tcPr>
            <w:tcW w:w="596" w:type="dxa"/>
            <w:vMerge w:val="continue"/>
            <w:tcBorders>
              <w:top w:val="nil"/>
              <w:left w:val="single" w:color="auto" w:sz="4" w:space="0"/>
              <w:bottom w:val="single" w:color="auto" w:sz="4" w:space="0"/>
              <w:right w:val="single" w:color="auto" w:sz="4" w:space="0"/>
            </w:tcBorders>
            <w:vAlign w:val="center"/>
          </w:tcPr>
          <w:p w14:paraId="1E05939C">
            <w:pPr>
              <w:widowControl/>
              <w:spacing w:line="360" w:lineRule="auto"/>
              <w:jc w:val="left"/>
              <w:rPr>
                <w:rFonts w:hint="eastAsia" w:cs="宋体" w:asciiTheme="minorEastAsia" w:hAnsiTheme="minorEastAsia" w:eastAsiaTheme="minorEastAsia"/>
                <w:color w:val="auto"/>
                <w:kern w:val="0"/>
                <w:szCs w:val="21"/>
                <w:highlight w:val="none"/>
              </w:rPr>
            </w:pPr>
          </w:p>
        </w:tc>
        <w:tc>
          <w:tcPr>
            <w:tcW w:w="912" w:type="dxa"/>
            <w:vMerge w:val="continue"/>
            <w:tcBorders>
              <w:top w:val="nil"/>
              <w:left w:val="single" w:color="auto" w:sz="4" w:space="0"/>
              <w:bottom w:val="single" w:color="auto" w:sz="4" w:space="0"/>
              <w:right w:val="single" w:color="auto" w:sz="4" w:space="0"/>
            </w:tcBorders>
            <w:vAlign w:val="center"/>
          </w:tcPr>
          <w:p w14:paraId="56FC76E0">
            <w:pPr>
              <w:widowControl/>
              <w:spacing w:line="360" w:lineRule="auto"/>
              <w:jc w:val="left"/>
              <w:rPr>
                <w:rFonts w:hint="eastAsia" w:cs="宋体" w:asciiTheme="minorEastAsia" w:hAnsiTheme="minorEastAsia" w:eastAsiaTheme="minorEastAsia"/>
                <w:color w:val="auto"/>
                <w:kern w:val="0"/>
                <w:szCs w:val="21"/>
                <w:highlight w:val="none"/>
              </w:rPr>
            </w:pPr>
          </w:p>
        </w:tc>
        <w:tc>
          <w:tcPr>
            <w:tcW w:w="693" w:type="dxa"/>
            <w:tcBorders>
              <w:top w:val="nil"/>
              <w:left w:val="nil"/>
              <w:bottom w:val="single" w:color="auto" w:sz="4" w:space="0"/>
              <w:right w:val="single" w:color="auto" w:sz="4" w:space="0"/>
            </w:tcBorders>
            <w:shd w:val="clear" w:color="auto" w:fill="auto"/>
            <w:noWrap/>
            <w:vAlign w:val="bottom"/>
          </w:tcPr>
          <w:p w14:paraId="2E6959D9">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采购服务</w:t>
            </w:r>
          </w:p>
        </w:tc>
        <w:tc>
          <w:tcPr>
            <w:tcW w:w="3177" w:type="dxa"/>
            <w:tcBorders>
              <w:top w:val="nil"/>
              <w:left w:val="nil"/>
              <w:bottom w:val="single" w:color="auto" w:sz="4" w:space="0"/>
              <w:right w:val="single" w:color="auto" w:sz="4" w:space="0"/>
            </w:tcBorders>
            <w:shd w:val="clear" w:color="auto" w:fill="auto"/>
            <w:noWrap/>
            <w:vAlign w:val="center"/>
          </w:tcPr>
          <w:p w14:paraId="1AA8B7F2">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服务由小型、微型企业承接</w:t>
            </w:r>
          </w:p>
        </w:tc>
        <w:tc>
          <w:tcPr>
            <w:tcW w:w="854" w:type="dxa"/>
            <w:tcBorders>
              <w:top w:val="nil"/>
              <w:left w:val="nil"/>
              <w:bottom w:val="single" w:color="auto" w:sz="4" w:space="0"/>
              <w:right w:val="single" w:color="auto" w:sz="4" w:space="0"/>
            </w:tcBorders>
            <w:shd w:val="clear" w:color="auto" w:fill="auto"/>
            <w:noWrap/>
            <w:vAlign w:val="center"/>
          </w:tcPr>
          <w:p w14:paraId="55A577C9">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w:t>
            </w:r>
          </w:p>
        </w:tc>
        <w:tc>
          <w:tcPr>
            <w:tcW w:w="2834" w:type="dxa"/>
            <w:tcBorders>
              <w:top w:val="nil"/>
              <w:left w:val="nil"/>
              <w:bottom w:val="single" w:color="auto" w:sz="4" w:space="0"/>
              <w:right w:val="single" w:color="auto" w:sz="4" w:space="0"/>
            </w:tcBorders>
            <w:shd w:val="clear" w:color="auto" w:fill="auto"/>
            <w:noWrap/>
            <w:vAlign w:val="center"/>
          </w:tcPr>
          <w:p w14:paraId="47F12EB0">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评审价=二次报价×（1-10%）</w:t>
            </w:r>
          </w:p>
        </w:tc>
      </w:tr>
      <w:tr w14:paraId="4AF011BC">
        <w:tblPrEx>
          <w:tblCellMar>
            <w:top w:w="0" w:type="dxa"/>
            <w:left w:w="108" w:type="dxa"/>
            <w:bottom w:w="0" w:type="dxa"/>
            <w:right w:w="108" w:type="dxa"/>
          </w:tblCellMar>
        </w:tblPrEx>
        <w:trPr>
          <w:trHeight w:val="280" w:hRule="atLeast"/>
          <w:jc w:val="center"/>
        </w:trPr>
        <w:tc>
          <w:tcPr>
            <w:tcW w:w="596" w:type="dxa"/>
            <w:vMerge w:val="continue"/>
            <w:tcBorders>
              <w:top w:val="nil"/>
              <w:left w:val="single" w:color="auto" w:sz="4" w:space="0"/>
              <w:bottom w:val="single" w:color="auto" w:sz="4" w:space="0"/>
              <w:right w:val="single" w:color="auto" w:sz="4" w:space="0"/>
            </w:tcBorders>
            <w:vAlign w:val="center"/>
          </w:tcPr>
          <w:p w14:paraId="29A92627">
            <w:pPr>
              <w:widowControl/>
              <w:spacing w:line="360" w:lineRule="auto"/>
              <w:jc w:val="left"/>
              <w:rPr>
                <w:rFonts w:hint="eastAsia" w:cs="宋体" w:asciiTheme="minorEastAsia" w:hAnsiTheme="minorEastAsia" w:eastAsiaTheme="minorEastAsia"/>
                <w:color w:val="auto"/>
                <w:kern w:val="0"/>
                <w:szCs w:val="21"/>
                <w:highlight w:val="none"/>
              </w:rPr>
            </w:pPr>
          </w:p>
        </w:tc>
        <w:tc>
          <w:tcPr>
            <w:tcW w:w="912" w:type="dxa"/>
            <w:vMerge w:val="continue"/>
            <w:tcBorders>
              <w:top w:val="nil"/>
              <w:left w:val="single" w:color="auto" w:sz="4" w:space="0"/>
              <w:bottom w:val="single" w:color="auto" w:sz="4" w:space="0"/>
              <w:right w:val="single" w:color="auto" w:sz="4" w:space="0"/>
            </w:tcBorders>
            <w:vAlign w:val="center"/>
          </w:tcPr>
          <w:p w14:paraId="592980E8">
            <w:pPr>
              <w:widowControl/>
              <w:spacing w:line="360" w:lineRule="auto"/>
              <w:jc w:val="left"/>
              <w:rPr>
                <w:rFonts w:hint="eastAsia" w:cs="宋体" w:asciiTheme="minorEastAsia" w:hAnsiTheme="minorEastAsia" w:eastAsiaTheme="minorEastAsia"/>
                <w:color w:val="auto"/>
                <w:kern w:val="0"/>
                <w:szCs w:val="21"/>
                <w:highlight w:val="none"/>
              </w:rPr>
            </w:pPr>
          </w:p>
        </w:tc>
        <w:tc>
          <w:tcPr>
            <w:tcW w:w="693" w:type="dxa"/>
            <w:tcBorders>
              <w:top w:val="nil"/>
              <w:left w:val="nil"/>
              <w:bottom w:val="single" w:color="auto" w:sz="4" w:space="0"/>
              <w:right w:val="single" w:color="auto" w:sz="4" w:space="0"/>
            </w:tcBorders>
            <w:shd w:val="clear" w:color="auto" w:fill="auto"/>
            <w:noWrap/>
            <w:vAlign w:val="bottom"/>
          </w:tcPr>
          <w:p w14:paraId="28431CD9">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采购工程</w:t>
            </w:r>
          </w:p>
        </w:tc>
        <w:tc>
          <w:tcPr>
            <w:tcW w:w="3177" w:type="dxa"/>
            <w:tcBorders>
              <w:top w:val="nil"/>
              <w:left w:val="nil"/>
              <w:bottom w:val="single" w:color="auto" w:sz="4" w:space="0"/>
              <w:right w:val="single" w:color="auto" w:sz="4" w:space="0"/>
            </w:tcBorders>
            <w:shd w:val="clear" w:color="auto" w:fill="auto"/>
            <w:noWrap/>
            <w:vAlign w:val="center"/>
          </w:tcPr>
          <w:p w14:paraId="31B67F22">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工程由小型、微型企业承建</w:t>
            </w:r>
          </w:p>
        </w:tc>
        <w:tc>
          <w:tcPr>
            <w:tcW w:w="854" w:type="dxa"/>
            <w:tcBorders>
              <w:top w:val="nil"/>
              <w:left w:val="nil"/>
              <w:bottom w:val="single" w:color="auto" w:sz="4" w:space="0"/>
              <w:right w:val="single" w:color="auto" w:sz="4" w:space="0"/>
            </w:tcBorders>
            <w:shd w:val="clear" w:color="auto" w:fill="auto"/>
            <w:noWrap/>
            <w:vAlign w:val="center"/>
          </w:tcPr>
          <w:p w14:paraId="41380E13">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p>
        </w:tc>
        <w:tc>
          <w:tcPr>
            <w:tcW w:w="2834" w:type="dxa"/>
            <w:tcBorders>
              <w:top w:val="nil"/>
              <w:left w:val="nil"/>
              <w:bottom w:val="single" w:color="auto" w:sz="4" w:space="0"/>
              <w:right w:val="single" w:color="auto" w:sz="4" w:space="0"/>
            </w:tcBorders>
            <w:shd w:val="clear" w:color="auto" w:fill="auto"/>
            <w:noWrap/>
            <w:vAlign w:val="center"/>
          </w:tcPr>
          <w:p w14:paraId="1E80B6C3">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评审价=二次报价×（1-</w:t>
            </w:r>
            <w:r>
              <w:rPr>
                <w:rFonts w:cs="宋体" w:asciiTheme="minorEastAsia" w:hAnsiTheme="minorEastAsia" w:eastAsiaTheme="minorEastAsia"/>
                <w:color w:val="auto"/>
                <w:kern w:val="0"/>
                <w:szCs w:val="21"/>
                <w:highlight w:val="none"/>
              </w:rPr>
              <w:t>3</w:t>
            </w:r>
            <w:r>
              <w:rPr>
                <w:rFonts w:hint="eastAsia" w:cs="宋体" w:asciiTheme="minorEastAsia" w:hAnsiTheme="minorEastAsia" w:eastAsiaTheme="minorEastAsia"/>
                <w:color w:val="auto"/>
                <w:kern w:val="0"/>
                <w:szCs w:val="21"/>
                <w:highlight w:val="none"/>
              </w:rPr>
              <w:t>%）</w:t>
            </w:r>
          </w:p>
        </w:tc>
      </w:tr>
      <w:tr w14:paraId="509466A5">
        <w:tblPrEx>
          <w:tblCellMar>
            <w:top w:w="0" w:type="dxa"/>
            <w:left w:w="108" w:type="dxa"/>
            <w:bottom w:w="0" w:type="dxa"/>
            <w:right w:w="108" w:type="dxa"/>
          </w:tblCellMar>
        </w:tblPrEx>
        <w:trPr>
          <w:trHeight w:val="280" w:hRule="atLeast"/>
          <w:jc w:val="center"/>
        </w:trPr>
        <w:tc>
          <w:tcPr>
            <w:tcW w:w="9066" w:type="dxa"/>
            <w:gridSpan w:val="6"/>
            <w:tcBorders>
              <w:top w:val="single" w:color="auto" w:sz="4" w:space="0"/>
              <w:left w:val="single" w:color="auto" w:sz="4" w:space="0"/>
              <w:bottom w:val="single" w:color="auto" w:sz="4" w:space="0"/>
              <w:right w:val="single" w:color="auto" w:sz="4" w:space="0"/>
            </w:tcBorders>
            <w:vAlign w:val="center"/>
          </w:tcPr>
          <w:p w14:paraId="76E52A4B">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说明：大型企业与小型、微型企业组成联合体，但联合体协议书中未体现相应合同金额约定，或联合体协议书中约定小型、微型企业的合同份额占到合同总金额30%以下的，其价格不予扣除。</w:t>
            </w:r>
          </w:p>
        </w:tc>
      </w:tr>
    </w:tbl>
    <w:p w14:paraId="6832BB41">
      <w:pPr>
        <w:widowControl/>
        <w:spacing w:before="120" w:beforeLines="50" w:line="360" w:lineRule="auto"/>
        <w:jc w:val="center"/>
        <w:rPr>
          <w:rFonts w:hint="eastAsia" w:cs="宋体" w:asciiTheme="minorEastAsia" w:hAnsiTheme="minorEastAsia" w:eastAsiaTheme="minorEastAsia"/>
          <w:b/>
          <w:color w:val="auto"/>
          <w:kern w:val="0"/>
          <w:sz w:val="24"/>
          <w:szCs w:val="22"/>
          <w:highlight w:val="none"/>
        </w:rPr>
      </w:pPr>
      <w:r>
        <w:rPr>
          <w:rFonts w:hint="eastAsia" w:asciiTheme="minorEastAsia" w:hAnsiTheme="minorEastAsia" w:eastAsiaTheme="minorEastAsia"/>
          <w:b/>
          <w:bCs/>
          <w:color w:val="auto"/>
          <w:sz w:val="24"/>
          <w:szCs w:val="24"/>
          <w:highlight w:val="none"/>
        </w:rPr>
        <w:t>（表二）</w:t>
      </w:r>
      <w:r>
        <w:rPr>
          <w:rFonts w:hint="eastAsia" w:cs="宋体" w:asciiTheme="minorEastAsia" w:hAnsiTheme="minorEastAsia" w:eastAsiaTheme="minorEastAsia"/>
          <w:b/>
          <w:color w:val="auto"/>
          <w:kern w:val="0"/>
          <w:sz w:val="24"/>
          <w:szCs w:val="22"/>
          <w:highlight w:val="none"/>
        </w:rPr>
        <w:t>统计上大中小微型企业划分标准</w:t>
      </w:r>
    </w:p>
    <w:tbl>
      <w:tblPr>
        <w:tblStyle w:val="54"/>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466"/>
        <w:gridCol w:w="711"/>
        <w:gridCol w:w="1129"/>
        <w:gridCol w:w="1706"/>
        <w:gridCol w:w="1431"/>
        <w:gridCol w:w="995"/>
      </w:tblGrid>
      <w:tr w14:paraId="48B2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625" w:type="dxa"/>
            <w:shd w:val="clear" w:color="auto" w:fill="auto"/>
            <w:vAlign w:val="center"/>
          </w:tcPr>
          <w:p w14:paraId="7D469B5B">
            <w:pPr>
              <w:widowControl/>
              <w:contextualSpacing/>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行业名称</w:t>
            </w:r>
          </w:p>
        </w:tc>
        <w:tc>
          <w:tcPr>
            <w:tcW w:w="1466" w:type="dxa"/>
            <w:shd w:val="clear" w:color="auto" w:fill="auto"/>
            <w:vAlign w:val="center"/>
          </w:tcPr>
          <w:p w14:paraId="18C2DDBC">
            <w:pPr>
              <w:widowControl/>
              <w:contextualSpacing/>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指标名称</w:t>
            </w:r>
          </w:p>
        </w:tc>
        <w:tc>
          <w:tcPr>
            <w:tcW w:w="711" w:type="dxa"/>
            <w:shd w:val="clear" w:color="auto" w:fill="auto"/>
            <w:vAlign w:val="center"/>
          </w:tcPr>
          <w:p w14:paraId="06C12987">
            <w:pPr>
              <w:widowControl/>
              <w:contextualSpacing/>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计量</w:t>
            </w:r>
            <w:r>
              <w:rPr>
                <w:rFonts w:hint="eastAsia" w:cs="宋体" w:asciiTheme="minorEastAsia" w:hAnsiTheme="minorEastAsia" w:eastAsiaTheme="minorEastAsia"/>
                <w:b/>
                <w:bCs/>
                <w:color w:val="auto"/>
                <w:kern w:val="0"/>
                <w:szCs w:val="21"/>
                <w:highlight w:val="none"/>
              </w:rPr>
              <w:br w:type="textWrapping"/>
            </w:r>
            <w:r>
              <w:rPr>
                <w:rFonts w:hint="eastAsia" w:cs="宋体" w:asciiTheme="minorEastAsia" w:hAnsiTheme="minorEastAsia" w:eastAsiaTheme="minorEastAsia"/>
                <w:b/>
                <w:bCs/>
                <w:color w:val="auto"/>
                <w:kern w:val="0"/>
                <w:szCs w:val="21"/>
                <w:highlight w:val="none"/>
              </w:rPr>
              <w:t>单位</w:t>
            </w:r>
          </w:p>
        </w:tc>
        <w:tc>
          <w:tcPr>
            <w:tcW w:w="1129" w:type="dxa"/>
            <w:shd w:val="clear" w:color="auto" w:fill="auto"/>
            <w:vAlign w:val="center"/>
          </w:tcPr>
          <w:p w14:paraId="3B62C44F">
            <w:pPr>
              <w:widowControl/>
              <w:contextualSpacing/>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大型</w:t>
            </w:r>
          </w:p>
        </w:tc>
        <w:tc>
          <w:tcPr>
            <w:tcW w:w="1706" w:type="dxa"/>
            <w:shd w:val="clear" w:color="auto" w:fill="auto"/>
            <w:vAlign w:val="center"/>
          </w:tcPr>
          <w:p w14:paraId="5711E13E">
            <w:pPr>
              <w:widowControl/>
              <w:contextualSpacing/>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中型</w:t>
            </w:r>
          </w:p>
        </w:tc>
        <w:tc>
          <w:tcPr>
            <w:tcW w:w="1431" w:type="dxa"/>
            <w:shd w:val="clear" w:color="auto" w:fill="auto"/>
            <w:vAlign w:val="center"/>
          </w:tcPr>
          <w:p w14:paraId="63FAD97E">
            <w:pPr>
              <w:widowControl/>
              <w:contextualSpacing/>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小型</w:t>
            </w:r>
          </w:p>
        </w:tc>
        <w:tc>
          <w:tcPr>
            <w:tcW w:w="995" w:type="dxa"/>
            <w:shd w:val="clear" w:color="auto" w:fill="auto"/>
            <w:vAlign w:val="center"/>
          </w:tcPr>
          <w:p w14:paraId="2976AC0A">
            <w:pPr>
              <w:widowControl/>
              <w:contextualSpacing/>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微型</w:t>
            </w:r>
          </w:p>
        </w:tc>
      </w:tr>
      <w:tr w14:paraId="26E3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1625" w:type="dxa"/>
            <w:shd w:val="clear" w:color="auto" w:fill="auto"/>
            <w:vAlign w:val="center"/>
          </w:tcPr>
          <w:p w14:paraId="0B7E6521">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农、林、牧、渔业</w:t>
            </w:r>
          </w:p>
        </w:tc>
        <w:tc>
          <w:tcPr>
            <w:tcW w:w="1466" w:type="dxa"/>
            <w:shd w:val="clear" w:color="auto" w:fill="auto"/>
            <w:vAlign w:val="center"/>
          </w:tcPr>
          <w:p w14:paraId="0AFA60E2">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426372E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7C3CCA1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Y≥20000</w:t>
            </w:r>
          </w:p>
        </w:tc>
        <w:tc>
          <w:tcPr>
            <w:tcW w:w="1706" w:type="dxa"/>
            <w:shd w:val="clear" w:color="auto" w:fill="auto"/>
            <w:vAlign w:val="center"/>
          </w:tcPr>
          <w:p w14:paraId="4322701C">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500≤Y＜20000</w:t>
            </w:r>
          </w:p>
        </w:tc>
        <w:tc>
          <w:tcPr>
            <w:tcW w:w="1431" w:type="dxa"/>
            <w:shd w:val="clear" w:color="auto" w:fill="auto"/>
            <w:vAlign w:val="center"/>
          </w:tcPr>
          <w:p w14:paraId="1B33B73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50≤Y＜500</w:t>
            </w:r>
          </w:p>
        </w:tc>
        <w:tc>
          <w:tcPr>
            <w:tcW w:w="995" w:type="dxa"/>
            <w:shd w:val="clear" w:color="auto" w:fill="auto"/>
            <w:vAlign w:val="center"/>
          </w:tcPr>
          <w:p w14:paraId="2A08990A">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Y＜50</w:t>
            </w:r>
          </w:p>
        </w:tc>
      </w:tr>
      <w:tr w14:paraId="1D90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625" w:type="dxa"/>
            <w:vMerge w:val="restart"/>
            <w:shd w:val="clear" w:color="auto" w:fill="auto"/>
            <w:vAlign w:val="center"/>
          </w:tcPr>
          <w:p w14:paraId="107732AF">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工业 *</w:t>
            </w:r>
          </w:p>
        </w:tc>
        <w:tc>
          <w:tcPr>
            <w:tcW w:w="1466" w:type="dxa"/>
            <w:shd w:val="clear" w:color="auto" w:fill="auto"/>
            <w:vAlign w:val="center"/>
          </w:tcPr>
          <w:p w14:paraId="47E02A8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7DCC7DC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2901CAA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X≥1000</w:t>
            </w:r>
          </w:p>
        </w:tc>
        <w:tc>
          <w:tcPr>
            <w:tcW w:w="1706" w:type="dxa"/>
            <w:shd w:val="clear" w:color="auto" w:fill="auto"/>
            <w:vAlign w:val="center"/>
          </w:tcPr>
          <w:p w14:paraId="44C84BA6">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300≤X＜1000</w:t>
            </w:r>
          </w:p>
        </w:tc>
        <w:tc>
          <w:tcPr>
            <w:tcW w:w="1431" w:type="dxa"/>
            <w:shd w:val="clear" w:color="auto" w:fill="auto"/>
            <w:vAlign w:val="center"/>
          </w:tcPr>
          <w:p w14:paraId="530AF71F">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20≤X＜300</w:t>
            </w:r>
          </w:p>
        </w:tc>
        <w:tc>
          <w:tcPr>
            <w:tcW w:w="995" w:type="dxa"/>
            <w:shd w:val="clear" w:color="auto" w:fill="auto"/>
            <w:vAlign w:val="center"/>
          </w:tcPr>
          <w:p w14:paraId="66B7359A">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X＜20</w:t>
            </w:r>
          </w:p>
        </w:tc>
      </w:tr>
      <w:tr w14:paraId="152F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625" w:type="dxa"/>
            <w:vMerge w:val="continue"/>
            <w:vAlign w:val="center"/>
          </w:tcPr>
          <w:p w14:paraId="447B8BD9">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52B0E1F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66D8B9C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235C28B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Y≥40000</w:t>
            </w:r>
          </w:p>
        </w:tc>
        <w:tc>
          <w:tcPr>
            <w:tcW w:w="1706" w:type="dxa"/>
            <w:shd w:val="clear" w:color="auto" w:fill="auto"/>
            <w:vAlign w:val="center"/>
          </w:tcPr>
          <w:p w14:paraId="2191CB85">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2000≤Y＜40000</w:t>
            </w:r>
          </w:p>
        </w:tc>
        <w:tc>
          <w:tcPr>
            <w:tcW w:w="1431" w:type="dxa"/>
            <w:shd w:val="clear" w:color="auto" w:fill="auto"/>
            <w:vAlign w:val="center"/>
          </w:tcPr>
          <w:p w14:paraId="71397026">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300≤Y＜2000</w:t>
            </w:r>
          </w:p>
        </w:tc>
        <w:tc>
          <w:tcPr>
            <w:tcW w:w="995" w:type="dxa"/>
            <w:shd w:val="clear" w:color="auto" w:fill="auto"/>
            <w:vAlign w:val="center"/>
          </w:tcPr>
          <w:p w14:paraId="439062E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Y＜300</w:t>
            </w:r>
          </w:p>
        </w:tc>
      </w:tr>
      <w:tr w14:paraId="329C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1625" w:type="dxa"/>
            <w:vMerge w:val="restart"/>
            <w:shd w:val="clear" w:color="auto" w:fill="auto"/>
            <w:vAlign w:val="center"/>
          </w:tcPr>
          <w:p w14:paraId="4F5AD101">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建筑业</w:t>
            </w:r>
          </w:p>
        </w:tc>
        <w:tc>
          <w:tcPr>
            <w:tcW w:w="1466" w:type="dxa"/>
            <w:shd w:val="clear" w:color="auto" w:fill="auto"/>
            <w:vAlign w:val="center"/>
          </w:tcPr>
          <w:p w14:paraId="6A10E1F6">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24B988F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7CC82319">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Y≥80000</w:t>
            </w:r>
          </w:p>
        </w:tc>
        <w:tc>
          <w:tcPr>
            <w:tcW w:w="1706" w:type="dxa"/>
            <w:shd w:val="clear" w:color="auto" w:fill="auto"/>
            <w:vAlign w:val="center"/>
          </w:tcPr>
          <w:p w14:paraId="24F77F3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6000≤Y＜80000</w:t>
            </w:r>
          </w:p>
        </w:tc>
        <w:tc>
          <w:tcPr>
            <w:tcW w:w="1431" w:type="dxa"/>
            <w:shd w:val="clear" w:color="auto" w:fill="auto"/>
            <w:vAlign w:val="center"/>
          </w:tcPr>
          <w:p w14:paraId="45D7B0F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300≤Y＜6000</w:t>
            </w:r>
          </w:p>
        </w:tc>
        <w:tc>
          <w:tcPr>
            <w:tcW w:w="995" w:type="dxa"/>
            <w:shd w:val="clear" w:color="auto" w:fill="auto"/>
            <w:vAlign w:val="center"/>
          </w:tcPr>
          <w:p w14:paraId="7EAC49E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Y＜300</w:t>
            </w:r>
          </w:p>
        </w:tc>
      </w:tr>
      <w:tr w14:paraId="3A06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625" w:type="dxa"/>
            <w:vMerge w:val="continue"/>
            <w:vAlign w:val="center"/>
          </w:tcPr>
          <w:p w14:paraId="3FEFFCB0">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74BDBB0F">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资产总额(Z)</w:t>
            </w:r>
          </w:p>
        </w:tc>
        <w:tc>
          <w:tcPr>
            <w:tcW w:w="711" w:type="dxa"/>
            <w:shd w:val="clear" w:color="auto" w:fill="auto"/>
            <w:vAlign w:val="center"/>
          </w:tcPr>
          <w:p w14:paraId="2DBE2776">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72FC9AD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Z≥80000</w:t>
            </w:r>
          </w:p>
        </w:tc>
        <w:tc>
          <w:tcPr>
            <w:tcW w:w="1706" w:type="dxa"/>
            <w:shd w:val="clear" w:color="auto" w:fill="auto"/>
            <w:vAlign w:val="center"/>
          </w:tcPr>
          <w:p w14:paraId="5FCCA35C">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5000≤Z＜80000</w:t>
            </w:r>
          </w:p>
        </w:tc>
        <w:tc>
          <w:tcPr>
            <w:tcW w:w="1431" w:type="dxa"/>
            <w:shd w:val="clear" w:color="auto" w:fill="auto"/>
            <w:vAlign w:val="center"/>
          </w:tcPr>
          <w:p w14:paraId="48A3F370">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300≤Z＜5000</w:t>
            </w:r>
          </w:p>
        </w:tc>
        <w:tc>
          <w:tcPr>
            <w:tcW w:w="995" w:type="dxa"/>
            <w:shd w:val="clear" w:color="auto" w:fill="auto"/>
            <w:vAlign w:val="center"/>
          </w:tcPr>
          <w:p w14:paraId="54BEE28F">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Z＜300</w:t>
            </w:r>
          </w:p>
        </w:tc>
      </w:tr>
      <w:tr w14:paraId="2032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625" w:type="dxa"/>
            <w:vMerge w:val="restart"/>
            <w:shd w:val="clear" w:color="auto" w:fill="auto"/>
            <w:vAlign w:val="center"/>
          </w:tcPr>
          <w:p w14:paraId="21471B0A">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批发业</w:t>
            </w:r>
          </w:p>
        </w:tc>
        <w:tc>
          <w:tcPr>
            <w:tcW w:w="1466" w:type="dxa"/>
            <w:shd w:val="clear" w:color="auto" w:fill="auto"/>
            <w:vAlign w:val="center"/>
          </w:tcPr>
          <w:p w14:paraId="3FE5206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5418099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3934FCB0">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X≥200</w:t>
            </w:r>
          </w:p>
        </w:tc>
        <w:tc>
          <w:tcPr>
            <w:tcW w:w="1706" w:type="dxa"/>
            <w:shd w:val="clear" w:color="auto" w:fill="auto"/>
            <w:vAlign w:val="center"/>
          </w:tcPr>
          <w:p w14:paraId="40CEB81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20≤X＜200</w:t>
            </w:r>
          </w:p>
        </w:tc>
        <w:tc>
          <w:tcPr>
            <w:tcW w:w="1431" w:type="dxa"/>
            <w:shd w:val="clear" w:color="auto" w:fill="auto"/>
            <w:vAlign w:val="center"/>
          </w:tcPr>
          <w:p w14:paraId="55782CA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5≤X＜20</w:t>
            </w:r>
          </w:p>
        </w:tc>
        <w:tc>
          <w:tcPr>
            <w:tcW w:w="995" w:type="dxa"/>
            <w:shd w:val="clear" w:color="auto" w:fill="auto"/>
            <w:vAlign w:val="center"/>
          </w:tcPr>
          <w:p w14:paraId="7E550F20">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X＜5</w:t>
            </w:r>
          </w:p>
        </w:tc>
      </w:tr>
      <w:tr w14:paraId="00B9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625" w:type="dxa"/>
            <w:vMerge w:val="continue"/>
            <w:vAlign w:val="center"/>
          </w:tcPr>
          <w:p w14:paraId="421CE2B6">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69323E3A">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478A164E">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17868302">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Y≥40000</w:t>
            </w:r>
          </w:p>
        </w:tc>
        <w:tc>
          <w:tcPr>
            <w:tcW w:w="1706" w:type="dxa"/>
            <w:shd w:val="clear" w:color="auto" w:fill="auto"/>
            <w:vAlign w:val="center"/>
          </w:tcPr>
          <w:p w14:paraId="1E5CA0F2">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5000≤Y＜40000</w:t>
            </w:r>
          </w:p>
        </w:tc>
        <w:tc>
          <w:tcPr>
            <w:tcW w:w="1431" w:type="dxa"/>
            <w:shd w:val="clear" w:color="auto" w:fill="auto"/>
            <w:vAlign w:val="center"/>
          </w:tcPr>
          <w:p w14:paraId="629726C0">
            <w:pPr>
              <w:widowControl/>
              <w:spacing w:line="360" w:lineRule="auto"/>
              <w:ind w:left="-1" w:leftChars="-1" w:hanging="1"/>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1000≤Y＜5000</w:t>
            </w:r>
          </w:p>
        </w:tc>
        <w:tc>
          <w:tcPr>
            <w:tcW w:w="995" w:type="dxa"/>
            <w:shd w:val="clear" w:color="auto" w:fill="auto"/>
            <w:vAlign w:val="center"/>
          </w:tcPr>
          <w:p w14:paraId="5BB66E7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Y＜1000</w:t>
            </w:r>
          </w:p>
        </w:tc>
      </w:tr>
      <w:tr w14:paraId="1CF8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625" w:type="dxa"/>
            <w:vMerge w:val="restart"/>
            <w:shd w:val="clear" w:color="auto" w:fill="auto"/>
            <w:vAlign w:val="center"/>
          </w:tcPr>
          <w:p w14:paraId="68EF0A1E">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零售业</w:t>
            </w:r>
          </w:p>
        </w:tc>
        <w:tc>
          <w:tcPr>
            <w:tcW w:w="1466" w:type="dxa"/>
            <w:shd w:val="clear" w:color="auto" w:fill="auto"/>
            <w:vAlign w:val="center"/>
          </w:tcPr>
          <w:p w14:paraId="356419FC">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5C45ABDE">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77DF3CE3">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X≥300</w:t>
            </w:r>
          </w:p>
        </w:tc>
        <w:tc>
          <w:tcPr>
            <w:tcW w:w="1706" w:type="dxa"/>
            <w:shd w:val="clear" w:color="auto" w:fill="auto"/>
            <w:vAlign w:val="center"/>
          </w:tcPr>
          <w:p w14:paraId="4A2FB71E">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50≤X＜300</w:t>
            </w:r>
          </w:p>
        </w:tc>
        <w:tc>
          <w:tcPr>
            <w:tcW w:w="1431" w:type="dxa"/>
            <w:shd w:val="clear" w:color="auto" w:fill="auto"/>
            <w:vAlign w:val="center"/>
          </w:tcPr>
          <w:p w14:paraId="2390CE0C">
            <w:pPr>
              <w:widowControl/>
              <w:spacing w:line="360" w:lineRule="auto"/>
              <w:ind w:left="-1" w:leftChars="-1" w:hanging="1"/>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10≤X＜50 </w:t>
            </w:r>
          </w:p>
        </w:tc>
        <w:tc>
          <w:tcPr>
            <w:tcW w:w="995" w:type="dxa"/>
            <w:shd w:val="clear" w:color="auto" w:fill="auto"/>
            <w:vAlign w:val="center"/>
          </w:tcPr>
          <w:p w14:paraId="053D552A">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w:t>
            </w:r>
          </w:p>
        </w:tc>
      </w:tr>
      <w:tr w14:paraId="1C00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625" w:type="dxa"/>
            <w:vMerge w:val="continue"/>
            <w:vAlign w:val="center"/>
          </w:tcPr>
          <w:p w14:paraId="138C36E2">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052246F5">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0F08EA1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640939F6">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Y≥20000</w:t>
            </w:r>
          </w:p>
        </w:tc>
        <w:tc>
          <w:tcPr>
            <w:tcW w:w="1706" w:type="dxa"/>
            <w:shd w:val="clear" w:color="auto" w:fill="auto"/>
            <w:vAlign w:val="center"/>
          </w:tcPr>
          <w:p w14:paraId="510188C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500≤Y＜20000</w:t>
            </w:r>
          </w:p>
        </w:tc>
        <w:tc>
          <w:tcPr>
            <w:tcW w:w="1431" w:type="dxa"/>
            <w:shd w:val="clear" w:color="auto" w:fill="auto"/>
            <w:vAlign w:val="center"/>
          </w:tcPr>
          <w:p w14:paraId="42E82DA7">
            <w:pPr>
              <w:widowControl/>
              <w:spacing w:line="360" w:lineRule="auto"/>
              <w:ind w:left="-1" w:leftChars="-1" w:hanging="1"/>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100≤Y＜500 </w:t>
            </w:r>
          </w:p>
        </w:tc>
        <w:tc>
          <w:tcPr>
            <w:tcW w:w="995" w:type="dxa"/>
            <w:shd w:val="clear" w:color="auto" w:fill="auto"/>
            <w:vAlign w:val="center"/>
          </w:tcPr>
          <w:p w14:paraId="602C3BD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w:t>
            </w:r>
          </w:p>
        </w:tc>
      </w:tr>
      <w:tr w14:paraId="498F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625" w:type="dxa"/>
            <w:vMerge w:val="restart"/>
            <w:shd w:val="clear" w:color="auto" w:fill="auto"/>
            <w:vAlign w:val="center"/>
          </w:tcPr>
          <w:p w14:paraId="4B87808E">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交通运输业 *</w:t>
            </w:r>
          </w:p>
        </w:tc>
        <w:tc>
          <w:tcPr>
            <w:tcW w:w="1466" w:type="dxa"/>
            <w:shd w:val="clear" w:color="auto" w:fill="auto"/>
            <w:vAlign w:val="center"/>
          </w:tcPr>
          <w:p w14:paraId="285BA16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5E4CA445">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3D46C475">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X≥1000</w:t>
            </w:r>
          </w:p>
        </w:tc>
        <w:tc>
          <w:tcPr>
            <w:tcW w:w="1706" w:type="dxa"/>
            <w:shd w:val="clear" w:color="auto" w:fill="auto"/>
            <w:vAlign w:val="center"/>
          </w:tcPr>
          <w:p w14:paraId="5EEB8ABA">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300≤X＜1000</w:t>
            </w:r>
          </w:p>
        </w:tc>
        <w:tc>
          <w:tcPr>
            <w:tcW w:w="1431" w:type="dxa"/>
            <w:shd w:val="clear" w:color="auto" w:fill="auto"/>
            <w:vAlign w:val="center"/>
          </w:tcPr>
          <w:p w14:paraId="0D35F3B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20≤X＜300</w:t>
            </w:r>
          </w:p>
        </w:tc>
        <w:tc>
          <w:tcPr>
            <w:tcW w:w="995" w:type="dxa"/>
            <w:shd w:val="clear" w:color="auto" w:fill="auto"/>
            <w:vAlign w:val="center"/>
          </w:tcPr>
          <w:p w14:paraId="69D272EA">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X＜20</w:t>
            </w:r>
          </w:p>
        </w:tc>
      </w:tr>
      <w:tr w14:paraId="6695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1625" w:type="dxa"/>
            <w:vMerge w:val="continue"/>
            <w:vAlign w:val="center"/>
          </w:tcPr>
          <w:p w14:paraId="1BC50E5A">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71C441F9">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1123DEE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282AF7B2">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Y≥30000</w:t>
            </w:r>
          </w:p>
        </w:tc>
        <w:tc>
          <w:tcPr>
            <w:tcW w:w="1706" w:type="dxa"/>
            <w:shd w:val="clear" w:color="auto" w:fill="auto"/>
            <w:vAlign w:val="center"/>
          </w:tcPr>
          <w:p w14:paraId="136D2ED9">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3000≤Y＜30000</w:t>
            </w:r>
          </w:p>
        </w:tc>
        <w:tc>
          <w:tcPr>
            <w:tcW w:w="1431" w:type="dxa"/>
            <w:shd w:val="clear" w:color="auto" w:fill="auto"/>
            <w:vAlign w:val="center"/>
          </w:tcPr>
          <w:p w14:paraId="5EAB03BC">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200≤Y＜3000</w:t>
            </w:r>
          </w:p>
        </w:tc>
        <w:tc>
          <w:tcPr>
            <w:tcW w:w="995" w:type="dxa"/>
            <w:shd w:val="clear" w:color="auto" w:fill="auto"/>
            <w:vAlign w:val="center"/>
          </w:tcPr>
          <w:p w14:paraId="61BB3962">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Y＜200</w:t>
            </w:r>
          </w:p>
        </w:tc>
      </w:tr>
      <w:tr w14:paraId="3785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625" w:type="dxa"/>
            <w:vMerge w:val="restart"/>
            <w:shd w:val="clear" w:color="auto" w:fill="auto"/>
            <w:vAlign w:val="center"/>
          </w:tcPr>
          <w:p w14:paraId="08103523">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仓储业</w:t>
            </w:r>
          </w:p>
        </w:tc>
        <w:tc>
          <w:tcPr>
            <w:tcW w:w="1466" w:type="dxa"/>
            <w:shd w:val="clear" w:color="auto" w:fill="auto"/>
            <w:vAlign w:val="center"/>
          </w:tcPr>
          <w:p w14:paraId="70D341B9">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738D576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105E2A23">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X≥200</w:t>
            </w:r>
          </w:p>
        </w:tc>
        <w:tc>
          <w:tcPr>
            <w:tcW w:w="1706" w:type="dxa"/>
            <w:shd w:val="clear" w:color="auto" w:fill="auto"/>
            <w:vAlign w:val="center"/>
          </w:tcPr>
          <w:p w14:paraId="07834AF9">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100≤X＜200</w:t>
            </w:r>
          </w:p>
        </w:tc>
        <w:tc>
          <w:tcPr>
            <w:tcW w:w="1431" w:type="dxa"/>
            <w:shd w:val="clear" w:color="auto" w:fill="auto"/>
            <w:vAlign w:val="center"/>
          </w:tcPr>
          <w:p w14:paraId="52DFE62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20≤X＜100</w:t>
            </w:r>
          </w:p>
        </w:tc>
        <w:tc>
          <w:tcPr>
            <w:tcW w:w="995" w:type="dxa"/>
            <w:shd w:val="clear" w:color="auto" w:fill="auto"/>
            <w:vAlign w:val="center"/>
          </w:tcPr>
          <w:p w14:paraId="728D731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X＜20</w:t>
            </w:r>
          </w:p>
        </w:tc>
      </w:tr>
      <w:tr w14:paraId="363C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625" w:type="dxa"/>
            <w:vMerge w:val="continue"/>
            <w:vAlign w:val="center"/>
          </w:tcPr>
          <w:p w14:paraId="221161E1">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0FE4B5EE">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54241FFC">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08EBED0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Y≥30000</w:t>
            </w:r>
          </w:p>
        </w:tc>
        <w:tc>
          <w:tcPr>
            <w:tcW w:w="1706" w:type="dxa"/>
            <w:shd w:val="clear" w:color="auto" w:fill="auto"/>
            <w:vAlign w:val="center"/>
          </w:tcPr>
          <w:p w14:paraId="5DF1D1C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1000≤Y＜30000</w:t>
            </w:r>
          </w:p>
        </w:tc>
        <w:tc>
          <w:tcPr>
            <w:tcW w:w="1431" w:type="dxa"/>
            <w:shd w:val="clear" w:color="auto" w:fill="auto"/>
            <w:vAlign w:val="center"/>
          </w:tcPr>
          <w:p w14:paraId="2109B92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100≤Y＜1000</w:t>
            </w:r>
          </w:p>
        </w:tc>
        <w:tc>
          <w:tcPr>
            <w:tcW w:w="995" w:type="dxa"/>
            <w:shd w:val="clear" w:color="auto" w:fill="auto"/>
            <w:vAlign w:val="center"/>
          </w:tcPr>
          <w:p w14:paraId="0D0FE7CE">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w:t>
            </w:r>
          </w:p>
        </w:tc>
      </w:tr>
      <w:tr w14:paraId="22C3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625" w:type="dxa"/>
            <w:vMerge w:val="restart"/>
            <w:shd w:val="clear" w:color="auto" w:fill="auto"/>
            <w:vAlign w:val="center"/>
          </w:tcPr>
          <w:p w14:paraId="4A4F8FD8">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邮政业</w:t>
            </w:r>
          </w:p>
        </w:tc>
        <w:tc>
          <w:tcPr>
            <w:tcW w:w="1466" w:type="dxa"/>
            <w:shd w:val="clear" w:color="auto" w:fill="auto"/>
            <w:vAlign w:val="center"/>
          </w:tcPr>
          <w:p w14:paraId="694E3C0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79614A8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24751E85">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X≥1000</w:t>
            </w:r>
          </w:p>
        </w:tc>
        <w:tc>
          <w:tcPr>
            <w:tcW w:w="1706" w:type="dxa"/>
            <w:shd w:val="clear" w:color="auto" w:fill="auto"/>
            <w:vAlign w:val="center"/>
          </w:tcPr>
          <w:p w14:paraId="3C20A95C">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300≤X＜1000</w:t>
            </w:r>
          </w:p>
        </w:tc>
        <w:tc>
          <w:tcPr>
            <w:tcW w:w="1431" w:type="dxa"/>
            <w:shd w:val="clear" w:color="auto" w:fill="auto"/>
            <w:vAlign w:val="center"/>
          </w:tcPr>
          <w:p w14:paraId="4C0E0E7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20≤X＜300</w:t>
            </w:r>
          </w:p>
        </w:tc>
        <w:tc>
          <w:tcPr>
            <w:tcW w:w="995" w:type="dxa"/>
            <w:shd w:val="clear" w:color="auto" w:fill="auto"/>
            <w:vAlign w:val="center"/>
          </w:tcPr>
          <w:p w14:paraId="524E594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X＜20</w:t>
            </w:r>
          </w:p>
        </w:tc>
      </w:tr>
      <w:tr w14:paraId="694A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625" w:type="dxa"/>
            <w:vMerge w:val="continue"/>
            <w:vAlign w:val="center"/>
          </w:tcPr>
          <w:p w14:paraId="4DDEBDBD">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7521D605">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2E1C8045">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167193B0">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Y≥30000</w:t>
            </w:r>
          </w:p>
        </w:tc>
        <w:tc>
          <w:tcPr>
            <w:tcW w:w="1706" w:type="dxa"/>
            <w:shd w:val="clear" w:color="auto" w:fill="auto"/>
            <w:vAlign w:val="center"/>
          </w:tcPr>
          <w:p w14:paraId="1E3B786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2000≤Y＜30000</w:t>
            </w:r>
          </w:p>
        </w:tc>
        <w:tc>
          <w:tcPr>
            <w:tcW w:w="1431" w:type="dxa"/>
            <w:shd w:val="clear" w:color="auto" w:fill="auto"/>
            <w:vAlign w:val="center"/>
          </w:tcPr>
          <w:p w14:paraId="6A8669A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100≤Y＜2000</w:t>
            </w:r>
          </w:p>
        </w:tc>
        <w:tc>
          <w:tcPr>
            <w:tcW w:w="995" w:type="dxa"/>
            <w:shd w:val="clear" w:color="auto" w:fill="auto"/>
            <w:vAlign w:val="center"/>
          </w:tcPr>
          <w:p w14:paraId="4190C10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w:t>
            </w:r>
          </w:p>
        </w:tc>
      </w:tr>
      <w:tr w14:paraId="5585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625" w:type="dxa"/>
            <w:vMerge w:val="restart"/>
            <w:shd w:val="clear" w:color="auto" w:fill="auto"/>
            <w:vAlign w:val="center"/>
          </w:tcPr>
          <w:p w14:paraId="7C6D2E45">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住宿业</w:t>
            </w:r>
          </w:p>
        </w:tc>
        <w:tc>
          <w:tcPr>
            <w:tcW w:w="1466" w:type="dxa"/>
            <w:shd w:val="clear" w:color="auto" w:fill="auto"/>
            <w:vAlign w:val="center"/>
          </w:tcPr>
          <w:p w14:paraId="039512A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08F9D88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73F3910C">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X≥300</w:t>
            </w:r>
          </w:p>
        </w:tc>
        <w:tc>
          <w:tcPr>
            <w:tcW w:w="1706" w:type="dxa"/>
            <w:shd w:val="clear" w:color="auto" w:fill="auto"/>
            <w:vAlign w:val="center"/>
          </w:tcPr>
          <w:p w14:paraId="62105E70">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100≤X＜300 </w:t>
            </w:r>
          </w:p>
        </w:tc>
        <w:tc>
          <w:tcPr>
            <w:tcW w:w="1431" w:type="dxa"/>
            <w:shd w:val="clear" w:color="auto" w:fill="auto"/>
            <w:vAlign w:val="center"/>
          </w:tcPr>
          <w:p w14:paraId="2903C9E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10≤X＜100</w:t>
            </w:r>
          </w:p>
        </w:tc>
        <w:tc>
          <w:tcPr>
            <w:tcW w:w="995" w:type="dxa"/>
            <w:shd w:val="clear" w:color="auto" w:fill="auto"/>
            <w:vAlign w:val="center"/>
          </w:tcPr>
          <w:p w14:paraId="1164726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w:t>
            </w:r>
          </w:p>
        </w:tc>
      </w:tr>
      <w:tr w14:paraId="61B8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625" w:type="dxa"/>
            <w:vMerge w:val="continue"/>
            <w:vAlign w:val="center"/>
          </w:tcPr>
          <w:p w14:paraId="6E8C41E2">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15C87A8F">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47127260">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29BAB015">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Y≥10000</w:t>
            </w:r>
          </w:p>
        </w:tc>
        <w:tc>
          <w:tcPr>
            <w:tcW w:w="1706" w:type="dxa"/>
            <w:shd w:val="clear" w:color="auto" w:fill="auto"/>
            <w:vAlign w:val="center"/>
          </w:tcPr>
          <w:p w14:paraId="7A01DBFC">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2000≤Y＜10000</w:t>
            </w:r>
          </w:p>
        </w:tc>
        <w:tc>
          <w:tcPr>
            <w:tcW w:w="1431" w:type="dxa"/>
            <w:shd w:val="clear" w:color="auto" w:fill="auto"/>
            <w:vAlign w:val="center"/>
          </w:tcPr>
          <w:p w14:paraId="346141E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100≤Y＜2000</w:t>
            </w:r>
          </w:p>
        </w:tc>
        <w:tc>
          <w:tcPr>
            <w:tcW w:w="995" w:type="dxa"/>
            <w:shd w:val="clear" w:color="auto" w:fill="auto"/>
            <w:vAlign w:val="center"/>
          </w:tcPr>
          <w:p w14:paraId="12299EAC">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w:t>
            </w:r>
          </w:p>
        </w:tc>
      </w:tr>
      <w:tr w14:paraId="7651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1625" w:type="dxa"/>
            <w:vMerge w:val="restart"/>
            <w:shd w:val="clear" w:color="auto" w:fill="auto"/>
            <w:vAlign w:val="center"/>
          </w:tcPr>
          <w:p w14:paraId="0F742F83">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餐饮业</w:t>
            </w:r>
          </w:p>
        </w:tc>
        <w:tc>
          <w:tcPr>
            <w:tcW w:w="1466" w:type="dxa"/>
            <w:shd w:val="clear" w:color="auto" w:fill="auto"/>
            <w:vAlign w:val="center"/>
          </w:tcPr>
          <w:p w14:paraId="774F73D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3E1B718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3DDFC022">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X≥300</w:t>
            </w:r>
          </w:p>
        </w:tc>
        <w:tc>
          <w:tcPr>
            <w:tcW w:w="1706" w:type="dxa"/>
            <w:shd w:val="clear" w:color="auto" w:fill="auto"/>
            <w:vAlign w:val="center"/>
          </w:tcPr>
          <w:p w14:paraId="4BDA9BA3">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100≤X＜300 </w:t>
            </w:r>
          </w:p>
        </w:tc>
        <w:tc>
          <w:tcPr>
            <w:tcW w:w="1431" w:type="dxa"/>
            <w:shd w:val="clear" w:color="auto" w:fill="auto"/>
            <w:vAlign w:val="center"/>
          </w:tcPr>
          <w:p w14:paraId="1C919A6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10≤X＜100</w:t>
            </w:r>
          </w:p>
        </w:tc>
        <w:tc>
          <w:tcPr>
            <w:tcW w:w="995" w:type="dxa"/>
            <w:shd w:val="clear" w:color="auto" w:fill="auto"/>
            <w:vAlign w:val="center"/>
          </w:tcPr>
          <w:p w14:paraId="18DD2142">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w:t>
            </w:r>
          </w:p>
        </w:tc>
      </w:tr>
      <w:tr w14:paraId="37E7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625" w:type="dxa"/>
            <w:vMerge w:val="continue"/>
            <w:vAlign w:val="center"/>
          </w:tcPr>
          <w:p w14:paraId="371445A3">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1FC03DAE">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2D0B104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1C7C6C5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Y≥10000</w:t>
            </w:r>
          </w:p>
        </w:tc>
        <w:tc>
          <w:tcPr>
            <w:tcW w:w="1706" w:type="dxa"/>
            <w:shd w:val="clear" w:color="auto" w:fill="auto"/>
            <w:vAlign w:val="center"/>
          </w:tcPr>
          <w:p w14:paraId="6C559C7F">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2000≤Y＜10000</w:t>
            </w:r>
          </w:p>
        </w:tc>
        <w:tc>
          <w:tcPr>
            <w:tcW w:w="1431" w:type="dxa"/>
            <w:shd w:val="clear" w:color="auto" w:fill="auto"/>
            <w:vAlign w:val="center"/>
          </w:tcPr>
          <w:p w14:paraId="2B61B23E">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100≤Y＜2000</w:t>
            </w:r>
          </w:p>
        </w:tc>
        <w:tc>
          <w:tcPr>
            <w:tcW w:w="995" w:type="dxa"/>
            <w:shd w:val="clear" w:color="auto" w:fill="auto"/>
            <w:vAlign w:val="center"/>
          </w:tcPr>
          <w:p w14:paraId="5DFFC2F9">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w:t>
            </w:r>
          </w:p>
        </w:tc>
      </w:tr>
      <w:tr w14:paraId="36AF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625" w:type="dxa"/>
            <w:vMerge w:val="restart"/>
            <w:shd w:val="clear" w:color="auto" w:fill="auto"/>
            <w:vAlign w:val="center"/>
          </w:tcPr>
          <w:p w14:paraId="4D9C5D83">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信息传输业 *</w:t>
            </w:r>
          </w:p>
        </w:tc>
        <w:tc>
          <w:tcPr>
            <w:tcW w:w="1466" w:type="dxa"/>
            <w:shd w:val="clear" w:color="auto" w:fill="auto"/>
            <w:vAlign w:val="center"/>
          </w:tcPr>
          <w:p w14:paraId="02BC4C9A">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0CD3538A">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2238935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X≥2000</w:t>
            </w:r>
          </w:p>
        </w:tc>
        <w:tc>
          <w:tcPr>
            <w:tcW w:w="1706" w:type="dxa"/>
            <w:shd w:val="clear" w:color="auto" w:fill="auto"/>
            <w:vAlign w:val="center"/>
          </w:tcPr>
          <w:p w14:paraId="6F78BED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100≤X＜2000</w:t>
            </w:r>
          </w:p>
        </w:tc>
        <w:tc>
          <w:tcPr>
            <w:tcW w:w="1431" w:type="dxa"/>
            <w:shd w:val="clear" w:color="auto" w:fill="auto"/>
            <w:vAlign w:val="center"/>
          </w:tcPr>
          <w:p w14:paraId="063E3E0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10≤X＜100</w:t>
            </w:r>
          </w:p>
        </w:tc>
        <w:tc>
          <w:tcPr>
            <w:tcW w:w="995" w:type="dxa"/>
            <w:shd w:val="clear" w:color="auto" w:fill="auto"/>
            <w:vAlign w:val="center"/>
          </w:tcPr>
          <w:p w14:paraId="1CDF1ED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w:t>
            </w:r>
          </w:p>
        </w:tc>
      </w:tr>
      <w:tr w14:paraId="41F2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1625" w:type="dxa"/>
            <w:vMerge w:val="continue"/>
            <w:vAlign w:val="center"/>
          </w:tcPr>
          <w:p w14:paraId="10C74762">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480A2C8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495A29A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22FCCEE0">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Y≥100000</w:t>
            </w:r>
          </w:p>
        </w:tc>
        <w:tc>
          <w:tcPr>
            <w:tcW w:w="1706" w:type="dxa"/>
            <w:shd w:val="clear" w:color="auto" w:fill="auto"/>
            <w:vAlign w:val="center"/>
          </w:tcPr>
          <w:p w14:paraId="57992DB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1000≤Y＜100000</w:t>
            </w:r>
          </w:p>
        </w:tc>
        <w:tc>
          <w:tcPr>
            <w:tcW w:w="1431" w:type="dxa"/>
            <w:shd w:val="clear" w:color="auto" w:fill="auto"/>
            <w:vAlign w:val="center"/>
          </w:tcPr>
          <w:p w14:paraId="2A7C4E4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100≤Y＜1000</w:t>
            </w:r>
          </w:p>
        </w:tc>
        <w:tc>
          <w:tcPr>
            <w:tcW w:w="995" w:type="dxa"/>
            <w:shd w:val="clear" w:color="auto" w:fill="auto"/>
            <w:vAlign w:val="center"/>
          </w:tcPr>
          <w:p w14:paraId="7DD3D07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w:t>
            </w:r>
          </w:p>
        </w:tc>
      </w:tr>
      <w:tr w14:paraId="0072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1625" w:type="dxa"/>
            <w:vMerge w:val="restart"/>
            <w:shd w:val="clear" w:color="auto" w:fill="auto"/>
            <w:vAlign w:val="center"/>
          </w:tcPr>
          <w:p w14:paraId="7CB4F1A8">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软件和信息技术服务业</w:t>
            </w:r>
          </w:p>
        </w:tc>
        <w:tc>
          <w:tcPr>
            <w:tcW w:w="1466" w:type="dxa"/>
            <w:shd w:val="clear" w:color="auto" w:fill="auto"/>
            <w:vAlign w:val="center"/>
          </w:tcPr>
          <w:p w14:paraId="44A7C540">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7346EE9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033C9FA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X≥300</w:t>
            </w:r>
          </w:p>
        </w:tc>
        <w:tc>
          <w:tcPr>
            <w:tcW w:w="1706" w:type="dxa"/>
            <w:shd w:val="clear" w:color="auto" w:fill="auto"/>
            <w:vAlign w:val="center"/>
          </w:tcPr>
          <w:p w14:paraId="47C5A082">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100≤X＜300 </w:t>
            </w:r>
          </w:p>
        </w:tc>
        <w:tc>
          <w:tcPr>
            <w:tcW w:w="1431" w:type="dxa"/>
            <w:shd w:val="clear" w:color="auto" w:fill="auto"/>
            <w:vAlign w:val="center"/>
          </w:tcPr>
          <w:p w14:paraId="03AB891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10≤X＜100</w:t>
            </w:r>
          </w:p>
        </w:tc>
        <w:tc>
          <w:tcPr>
            <w:tcW w:w="995" w:type="dxa"/>
            <w:shd w:val="clear" w:color="auto" w:fill="auto"/>
            <w:vAlign w:val="center"/>
          </w:tcPr>
          <w:p w14:paraId="66B67352">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w:t>
            </w:r>
          </w:p>
        </w:tc>
      </w:tr>
      <w:tr w14:paraId="6F6F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625" w:type="dxa"/>
            <w:vMerge w:val="continue"/>
            <w:vAlign w:val="center"/>
          </w:tcPr>
          <w:p w14:paraId="54076F81">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3C4D8659">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0527EB83">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6782B8A2">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Y≥10000</w:t>
            </w:r>
          </w:p>
        </w:tc>
        <w:tc>
          <w:tcPr>
            <w:tcW w:w="1706" w:type="dxa"/>
            <w:shd w:val="clear" w:color="auto" w:fill="auto"/>
            <w:vAlign w:val="center"/>
          </w:tcPr>
          <w:p w14:paraId="1CF219F6">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1000≤Y＜10000</w:t>
            </w:r>
          </w:p>
        </w:tc>
        <w:tc>
          <w:tcPr>
            <w:tcW w:w="1431" w:type="dxa"/>
            <w:shd w:val="clear" w:color="auto" w:fill="auto"/>
            <w:vAlign w:val="center"/>
          </w:tcPr>
          <w:p w14:paraId="0EDAB68E">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50≤Y＜1000</w:t>
            </w:r>
          </w:p>
        </w:tc>
        <w:tc>
          <w:tcPr>
            <w:tcW w:w="995" w:type="dxa"/>
            <w:shd w:val="clear" w:color="auto" w:fill="auto"/>
            <w:vAlign w:val="center"/>
          </w:tcPr>
          <w:p w14:paraId="779A244C">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Y＜50</w:t>
            </w:r>
          </w:p>
        </w:tc>
      </w:tr>
      <w:tr w14:paraId="00CF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625" w:type="dxa"/>
            <w:vMerge w:val="restart"/>
            <w:shd w:val="clear" w:color="auto" w:fill="auto"/>
            <w:vAlign w:val="center"/>
          </w:tcPr>
          <w:p w14:paraId="2285160A">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房地产开发经营</w:t>
            </w:r>
          </w:p>
        </w:tc>
        <w:tc>
          <w:tcPr>
            <w:tcW w:w="1466" w:type="dxa"/>
            <w:shd w:val="clear" w:color="auto" w:fill="auto"/>
            <w:vAlign w:val="center"/>
          </w:tcPr>
          <w:p w14:paraId="66AB376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517945FB">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347E86A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Y≥200000</w:t>
            </w:r>
          </w:p>
        </w:tc>
        <w:tc>
          <w:tcPr>
            <w:tcW w:w="1706" w:type="dxa"/>
            <w:shd w:val="clear" w:color="auto" w:fill="auto"/>
            <w:vAlign w:val="center"/>
          </w:tcPr>
          <w:p w14:paraId="7501622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1000≤Y＜200000</w:t>
            </w:r>
          </w:p>
        </w:tc>
        <w:tc>
          <w:tcPr>
            <w:tcW w:w="1431" w:type="dxa"/>
            <w:shd w:val="clear" w:color="auto" w:fill="auto"/>
            <w:vAlign w:val="center"/>
          </w:tcPr>
          <w:p w14:paraId="5120558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100≤Y＜1000</w:t>
            </w:r>
          </w:p>
        </w:tc>
        <w:tc>
          <w:tcPr>
            <w:tcW w:w="995" w:type="dxa"/>
            <w:shd w:val="clear" w:color="auto" w:fill="auto"/>
            <w:vAlign w:val="center"/>
          </w:tcPr>
          <w:p w14:paraId="607EF02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Y＜100</w:t>
            </w:r>
          </w:p>
        </w:tc>
      </w:tr>
      <w:tr w14:paraId="2CBD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625" w:type="dxa"/>
            <w:vMerge w:val="continue"/>
            <w:vAlign w:val="center"/>
          </w:tcPr>
          <w:p w14:paraId="338E0023">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69A7FE4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资产总额(Z)</w:t>
            </w:r>
          </w:p>
        </w:tc>
        <w:tc>
          <w:tcPr>
            <w:tcW w:w="711" w:type="dxa"/>
            <w:shd w:val="clear" w:color="auto" w:fill="auto"/>
            <w:vAlign w:val="center"/>
          </w:tcPr>
          <w:p w14:paraId="6CD1EA26">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4C10B6EE">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Z≥10000</w:t>
            </w:r>
          </w:p>
        </w:tc>
        <w:tc>
          <w:tcPr>
            <w:tcW w:w="1706" w:type="dxa"/>
            <w:shd w:val="clear" w:color="auto" w:fill="auto"/>
            <w:vAlign w:val="center"/>
          </w:tcPr>
          <w:p w14:paraId="38469D8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5000≤Z＜10000</w:t>
            </w:r>
          </w:p>
        </w:tc>
        <w:tc>
          <w:tcPr>
            <w:tcW w:w="1431" w:type="dxa"/>
            <w:shd w:val="clear" w:color="auto" w:fill="auto"/>
            <w:vAlign w:val="center"/>
          </w:tcPr>
          <w:p w14:paraId="08153DE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2000≤Z＜5000   </w:t>
            </w:r>
          </w:p>
        </w:tc>
        <w:tc>
          <w:tcPr>
            <w:tcW w:w="995" w:type="dxa"/>
            <w:shd w:val="clear" w:color="auto" w:fill="auto"/>
            <w:vAlign w:val="center"/>
          </w:tcPr>
          <w:p w14:paraId="31F55B5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Z＜2000</w:t>
            </w:r>
          </w:p>
        </w:tc>
      </w:tr>
      <w:tr w14:paraId="4B6B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1625" w:type="dxa"/>
            <w:vMerge w:val="restart"/>
            <w:shd w:val="clear" w:color="auto" w:fill="auto"/>
            <w:vAlign w:val="center"/>
          </w:tcPr>
          <w:p w14:paraId="7D35F2F1">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物业管理</w:t>
            </w:r>
          </w:p>
        </w:tc>
        <w:tc>
          <w:tcPr>
            <w:tcW w:w="1466" w:type="dxa"/>
            <w:shd w:val="clear" w:color="auto" w:fill="auto"/>
            <w:vAlign w:val="center"/>
          </w:tcPr>
          <w:p w14:paraId="19B6084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7768680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7B6BC562">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X≥1000</w:t>
            </w:r>
          </w:p>
        </w:tc>
        <w:tc>
          <w:tcPr>
            <w:tcW w:w="1706" w:type="dxa"/>
            <w:shd w:val="clear" w:color="auto" w:fill="auto"/>
            <w:vAlign w:val="center"/>
          </w:tcPr>
          <w:p w14:paraId="70802FB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300≤X＜1000</w:t>
            </w:r>
          </w:p>
        </w:tc>
        <w:tc>
          <w:tcPr>
            <w:tcW w:w="1431" w:type="dxa"/>
            <w:shd w:val="clear" w:color="auto" w:fill="auto"/>
            <w:vAlign w:val="center"/>
          </w:tcPr>
          <w:p w14:paraId="00B38E13">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100≤X＜300 </w:t>
            </w:r>
          </w:p>
        </w:tc>
        <w:tc>
          <w:tcPr>
            <w:tcW w:w="995" w:type="dxa"/>
            <w:shd w:val="clear" w:color="auto" w:fill="auto"/>
            <w:vAlign w:val="center"/>
          </w:tcPr>
          <w:p w14:paraId="035E157F">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X＜100</w:t>
            </w:r>
          </w:p>
        </w:tc>
      </w:tr>
      <w:tr w14:paraId="4D13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25" w:type="dxa"/>
            <w:vMerge w:val="continue"/>
            <w:vAlign w:val="center"/>
          </w:tcPr>
          <w:p w14:paraId="6E2F0E56">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1E45DAC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营业收入(Y)</w:t>
            </w:r>
          </w:p>
        </w:tc>
        <w:tc>
          <w:tcPr>
            <w:tcW w:w="711" w:type="dxa"/>
            <w:shd w:val="clear" w:color="auto" w:fill="auto"/>
            <w:vAlign w:val="center"/>
          </w:tcPr>
          <w:p w14:paraId="78E7B120">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6B8323D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Y≥5000</w:t>
            </w:r>
          </w:p>
        </w:tc>
        <w:tc>
          <w:tcPr>
            <w:tcW w:w="1706" w:type="dxa"/>
            <w:shd w:val="clear" w:color="auto" w:fill="auto"/>
            <w:vAlign w:val="center"/>
          </w:tcPr>
          <w:p w14:paraId="2102DBD4">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1000≤Y＜5000 </w:t>
            </w:r>
          </w:p>
        </w:tc>
        <w:tc>
          <w:tcPr>
            <w:tcW w:w="1431" w:type="dxa"/>
            <w:shd w:val="clear" w:color="auto" w:fill="auto"/>
            <w:vAlign w:val="center"/>
          </w:tcPr>
          <w:p w14:paraId="05B81D13">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500≤Y＜1000</w:t>
            </w:r>
          </w:p>
        </w:tc>
        <w:tc>
          <w:tcPr>
            <w:tcW w:w="995" w:type="dxa"/>
            <w:shd w:val="clear" w:color="auto" w:fill="auto"/>
            <w:vAlign w:val="center"/>
          </w:tcPr>
          <w:p w14:paraId="03401934">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Y＜500</w:t>
            </w:r>
          </w:p>
        </w:tc>
      </w:tr>
      <w:tr w14:paraId="0F96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625" w:type="dxa"/>
            <w:vMerge w:val="restart"/>
            <w:shd w:val="clear" w:color="auto" w:fill="auto"/>
            <w:vAlign w:val="center"/>
          </w:tcPr>
          <w:p w14:paraId="03540B77">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租赁和商务服务业</w:t>
            </w:r>
          </w:p>
        </w:tc>
        <w:tc>
          <w:tcPr>
            <w:tcW w:w="1466" w:type="dxa"/>
            <w:shd w:val="clear" w:color="auto" w:fill="auto"/>
            <w:vAlign w:val="center"/>
          </w:tcPr>
          <w:p w14:paraId="4A487FD7">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5A5D2A02">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4321637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X≥300</w:t>
            </w:r>
          </w:p>
        </w:tc>
        <w:tc>
          <w:tcPr>
            <w:tcW w:w="1706" w:type="dxa"/>
            <w:shd w:val="clear" w:color="auto" w:fill="auto"/>
            <w:vAlign w:val="center"/>
          </w:tcPr>
          <w:p w14:paraId="72F1DD24">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100≤X＜300 </w:t>
            </w:r>
          </w:p>
        </w:tc>
        <w:tc>
          <w:tcPr>
            <w:tcW w:w="1431" w:type="dxa"/>
            <w:shd w:val="clear" w:color="auto" w:fill="auto"/>
            <w:vAlign w:val="center"/>
          </w:tcPr>
          <w:p w14:paraId="43BD932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10≤X＜100</w:t>
            </w:r>
          </w:p>
        </w:tc>
        <w:tc>
          <w:tcPr>
            <w:tcW w:w="995" w:type="dxa"/>
            <w:shd w:val="clear" w:color="auto" w:fill="auto"/>
            <w:vAlign w:val="center"/>
          </w:tcPr>
          <w:p w14:paraId="5AC340B8">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w:t>
            </w:r>
          </w:p>
        </w:tc>
      </w:tr>
      <w:tr w14:paraId="59E3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625" w:type="dxa"/>
            <w:vMerge w:val="continue"/>
            <w:vAlign w:val="center"/>
          </w:tcPr>
          <w:p w14:paraId="22BEE37F">
            <w:pPr>
              <w:widowControl/>
              <w:spacing w:line="360" w:lineRule="auto"/>
              <w:contextualSpacing/>
              <w:jc w:val="left"/>
              <w:rPr>
                <w:rFonts w:hint="eastAsia" w:cs="宋体" w:asciiTheme="minorEastAsia" w:hAnsiTheme="minorEastAsia" w:eastAsiaTheme="minorEastAsia"/>
                <w:color w:val="auto"/>
                <w:kern w:val="0"/>
                <w:szCs w:val="21"/>
                <w:highlight w:val="none"/>
              </w:rPr>
            </w:pPr>
          </w:p>
        </w:tc>
        <w:tc>
          <w:tcPr>
            <w:tcW w:w="1466" w:type="dxa"/>
            <w:shd w:val="clear" w:color="auto" w:fill="auto"/>
            <w:vAlign w:val="center"/>
          </w:tcPr>
          <w:p w14:paraId="102A541C">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资产总额(Z)</w:t>
            </w:r>
          </w:p>
        </w:tc>
        <w:tc>
          <w:tcPr>
            <w:tcW w:w="711" w:type="dxa"/>
            <w:shd w:val="clear" w:color="auto" w:fill="auto"/>
            <w:vAlign w:val="center"/>
          </w:tcPr>
          <w:p w14:paraId="42E968E6">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万元</w:t>
            </w:r>
          </w:p>
        </w:tc>
        <w:tc>
          <w:tcPr>
            <w:tcW w:w="1129" w:type="dxa"/>
            <w:shd w:val="clear" w:color="auto" w:fill="auto"/>
            <w:vAlign w:val="center"/>
          </w:tcPr>
          <w:p w14:paraId="0F6A1846">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Z≥120000</w:t>
            </w:r>
          </w:p>
        </w:tc>
        <w:tc>
          <w:tcPr>
            <w:tcW w:w="1706" w:type="dxa"/>
            <w:shd w:val="clear" w:color="auto" w:fill="auto"/>
            <w:vAlign w:val="center"/>
          </w:tcPr>
          <w:p w14:paraId="7431EB4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8000≤Z＜120000</w:t>
            </w:r>
          </w:p>
        </w:tc>
        <w:tc>
          <w:tcPr>
            <w:tcW w:w="1431" w:type="dxa"/>
            <w:shd w:val="clear" w:color="auto" w:fill="auto"/>
            <w:vAlign w:val="center"/>
          </w:tcPr>
          <w:p w14:paraId="3A1CD9D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100≤Z＜8000</w:t>
            </w:r>
          </w:p>
        </w:tc>
        <w:tc>
          <w:tcPr>
            <w:tcW w:w="995" w:type="dxa"/>
            <w:shd w:val="clear" w:color="auto" w:fill="auto"/>
            <w:vAlign w:val="center"/>
          </w:tcPr>
          <w:p w14:paraId="7FDCEFA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Z＜100</w:t>
            </w:r>
          </w:p>
        </w:tc>
      </w:tr>
      <w:tr w14:paraId="3B45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1625" w:type="dxa"/>
            <w:shd w:val="clear" w:color="auto" w:fill="auto"/>
            <w:vAlign w:val="center"/>
          </w:tcPr>
          <w:p w14:paraId="13708BD9">
            <w:pPr>
              <w:widowControl/>
              <w:spacing w:line="360" w:lineRule="auto"/>
              <w:contextualSpacing/>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其他未列明行业 *</w:t>
            </w:r>
          </w:p>
        </w:tc>
        <w:tc>
          <w:tcPr>
            <w:tcW w:w="1466" w:type="dxa"/>
            <w:shd w:val="clear" w:color="auto" w:fill="auto"/>
            <w:vAlign w:val="center"/>
          </w:tcPr>
          <w:p w14:paraId="5FB1B0F0">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从业人员(X)</w:t>
            </w:r>
          </w:p>
        </w:tc>
        <w:tc>
          <w:tcPr>
            <w:tcW w:w="711" w:type="dxa"/>
            <w:shd w:val="clear" w:color="auto" w:fill="auto"/>
            <w:vAlign w:val="center"/>
          </w:tcPr>
          <w:p w14:paraId="3EDDCE5D">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人</w:t>
            </w:r>
          </w:p>
        </w:tc>
        <w:tc>
          <w:tcPr>
            <w:tcW w:w="1129" w:type="dxa"/>
            <w:shd w:val="clear" w:color="auto" w:fill="auto"/>
            <w:vAlign w:val="center"/>
          </w:tcPr>
          <w:p w14:paraId="5E42A431">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X≥300</w:t>
            </w:r>
          </w:p>
        </w:tc>
        <w:tc>
          <w:tcPr>
            <w:tcW w:w="1706" w:type="dxa"/>
            <w:shd w:val="clear" w:color="auto" w:fill="auto"/>
            <w:vAlign w:val="center"/>
          </w:tcPr>
          <w:p w14:paraId="3DA1E6E9">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100≤X＜300 </w:t>
            </w:r>
          </w:p>
        </w:tc>
        <w:tc>
          <w:tcPr>
            <w:tcW w:w="1431" w:type="dxa"/>
            <w:shd w:val="clear" w:color="auto" w:fill="auto"/>
            <w:vAlign w:val="center"/>
          </w:tcPr>
          <w:p w14:paraId="07243CD5">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10≤X＜100</w:t>
            </w:r>
          </w:p>
        </w:tc>
        <w:tc>
          <w:tcPr>
            <w:tcW w:w="995" w:type="dxa"/>
            <w:shd w:val="clear" w:color="auto" w:fill="auto"/>
            <w:vAlign w:val="center"/>
          </w:tcPr>
          <w:p w14:paraId="143E7619">
            <w:pPr>
              <w:widowControl/>
              <w:spacing w:line="360" w:lineRule="auto"/>
              <w:contextualSpacing/>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X＜10</w:t>
            </w:r>
          </w:p>
        </w:tc>
      </w:tr>
    </w:tbl>
    <w:p w14:paraId="6D612D6C">
      <w:pPr>
        <w:spacing w:before="120" w:beforeLines="50" w:line="360" w:lineRule="auto"/>
        <w:ind w:firstLine="454" w:firstLineChars="200"/>
        <w:rPr>
          <w:rFonts w:hint="eastAsia" w:cs="宋体" w:asciiTheme="minorEastAsia" w:hAnsiTheme="minorEastAsia" w:eastAsiaTheme="minorEastAsia"/>
          <w:b/>
          <w:color w:val="auto"/>
          <w:spacing w:val="8"/>
          <w:kern w:val="0"/>
          <w:szCs w:val="21"/>
          <w:highlight w:val="none"/>
        </w:rPr>
      </w:pPr>
      <w:r>
        <w:rPr>
          <w:rFonts w:hint="eastAsia" w:cs="宋体" w:asciiTheme="minorEastAsia" w:hAnsiTheme="minorEastAsia" w:eastAsiaTheme="minorEastAsia"/>
          <w:b/>
          <w:color w:val="auto"/>
          <w:spacing w:val="8"/>
          <w:kern w:val="0"/>
          <w:szCs w:val="21"/>
          <w:highlight w:val="none"/>
        </w:rPr>
        <w:t>说明：</w:t>
      </w:r>
    </w:p>
    <w:p w14:paraId="4418684B">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1.大型、中型和小型企业须同时满足所列指标的下限，否则下划一档；微型企业只须满足所列指标中的一项即可。</w:t>
      </w:r>
    </w:p>
    <w:p w14:paraId="7765D9FD">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szCs w:val="21"/>
          <w:highlight w:val="none"/>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968A976">
      <w:pPr>
        <w:spacing w:line="360" w:lineRule="auto"/>
        <w:ind w:firstLine="420"/>
        <w:rPr>
          <w:rFonts w:hint="eastAsia" w:asciiTheme="minorEastAsia" w:hAnsiTheme="minorEastAsia" w:eastAsiaTheme="minorEastAsia"/>
          <w:b/>
          <w:color w:val="auto"/>
          <w:highlight w:val="none"/>
        </w:rPr>
      </w:pPr>
      <w:r>
        <w:rPr>
          <w:rFonts w:hint="eastAsia" w:asciiTheme="minorEastAsia" w:hAnsiTheme="minorEastAsia" w:eastAsiaTheme="minorEastAsia"/>
          <w:color w:val="auto"/>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F39D2BB">
      <w:pPr>
        <w:spacing w:line="360" w:lineRule="auto"/>
        <w:ind w:firstLine="422" w:firstLineChars="20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（2）监狱企业</w:t>
      </w:r>
    </w:p>
    <w:p w14:paraId="485638FC">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财政部司法部关于政府采购支持监狱企业发展有关问题的通知》（财库〔2014〕68号）文的规定，在政府采购活动中，监狱企业视同小型、微型企业，评审时报价同小型、微型企业的报价扣除方式（详见表一）进行扣除，用扣除后的报价参与评审。监狱企业是指由司法部认定的为罪犯、戒毒人员提供生产项目和劳动对象，且全部产权属于司法部监狱管理局、戒毒管理局、直属煤矿管理局，各省、自治区、直辖市监狱管理局、戒毒管理局，各地(设区的 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ED4E85A">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未提交监狱企业的证明文件的在报价评审时不对报价进行扣除。（注：提供相关证明文件的扫描件。）</w:t>
      </w:r>
    </w:p>
    <w:p w14:paraId="38E27F24">
      <w:pPr>
        <w:spacing w:line="360" w:lineRule="auto"/>
        <w:ind w:firstLine="422"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b/>
          <w:color w:val="auto"/>
          <w:highlight w:val="none"/>
        </w:rPr>
        <w:t>注：监狱企业、残疾人福利性单位属于小型、微型企业的，不重复享受政策。</w:t>
      </w:r>
    </w:p>
    <w:p w14:paraId="643455A1">
      <w:pPr>
        <w:spacing w:line="360" w:lineRule="auto"/>
        <w:ind w:firstLine="422" w:firstLineChars="20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（3）残疾人福利性单位</w:t>
      </w:r>
    </w:p>
    <w:p w14:paraId="46C5DB41">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根据《财政部 民政部 中国残疾人联合会关于促进残疾人就业政府采购政策的通知》（财库〔2017〕141号）文的规定，在政府采购活动中，残疾人福利性单位视同小型、微型企业，评审时报价同小型、微型企业的报价扣除方式（详见表一）进行扣除，用扣除后的报价参与评审。享受政府采购支持政策的残疾人福利性单位应当同时满足以下条件： </w:t>
      </w:r>
    </w:p>
    <w:p w14:paraId="2F791751">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①安置的残疾人占本单位在职职工人数的比例不低于25%（含25%），并且安置的残疾人人数不少于10 人（含10人）； </w:t>
      </w:r>
    </w:p>
    <w:p w14:paraId="53805BEF">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②依法与安置的每位残疾人签订了一年以上（含一年）的劳动合同或服务协议； </w:t>
      </w:r>
    </w:p>
    <w:p w14:paraId="7E53D409">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③为安置的每位残疾人按月足额缴纳了基本养老保险、基本医疗保险、失业保险、工伤保险和生育保 险等社会保险费； </w:t>
      </w:r>
    </w:p>
    <w:p w14:paraId="70FA52E8">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④通过银行等金融机构向安置的每位残疾人，按月支付了不低于单位所在区县适用的经省级人民政府 批准的月最低工资标准的工资； </w:t>
      </w:r>
    </w:p>
    <w:p w14:paraId="4E4B6F03">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⑤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EEEB31C">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符合条件的残疾人福利性单位在参加政府采购活动时，应当提供《残疾人福利性单位声明函》（声明函格式见</w:t>
      </w:r>
      <w:r>
        <w:rPr>
          <w:rFonts w:hint="eastAsia" w:asciiTheme="minorEastAsia" w:hAnsiTheme="minorEastAsia" w:eastAsiaTheme="minorEastAsia"/>
          <w:color w:val="auto"/>
          <w:szCs w:val="21"/>
          <w:highlight w:val="none"/>
        </w:rPr>
        <w:t>第四章</w:t>
      </w:r>
      <w:r>
        <w:rPr>
          <w:rFonts w:hint="eastAsia" w:asciiTheme="minorEastAsia" w:hAnsiTheme="minorEastAsia" w:eastAsiaTheme="minorEastAsia"/>
          <w:color w:val="auto"/>
          <w:highlight w:val="none"/>
        </w:rPr>
        <w:t>“响应文件格式”），未提交声明函的在报价评审时不对报价进行扣除。</w:t>
      </w:r>
    </w:p>
    <w:p w14:paraId="665A1E06">
      <w:pPr>
        <w:pStyle w:val="28"/>
        <w:tabs>
          <w:tab w:val="left" w:pos="2472"/>
        </w:tabs>
        <w:spacing w:line="360" w:lineRule="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注：监狱企业、残疾人福利性单位属于小型、微型企业的，不重复享受政策。</w:t>
      </w:r>
    </w:p>
    <w:p w14:paraId="2A3EB8C1">
      <w:pPr>
        <w:spacing w:line="360" w:lineRule="auto"/>
        <w:outlineLvl w:val="3"/>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3.3 响应文件的澄清、说明或者补正</w:t>
      </w:r>
    </w:p>
    <w:p w14:paraId="43427F28">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3.3.1在评审过程中，磋商小组对于供应商的响应文件中含义不明确、同类问题表述不一致或者有明显文字和计算错误的内容，应当以书面形式要求供应商做出必要的澄清、说明或者补正。</w:t>
      </w:r>
    </w:p>
    <w:p w14:paraId="69150077">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3.3.2供应商的澄清、说明或者补正应当采用书面形式并加盖公章，或者由法定代表人或其授权的代表签字。供应商的澄清、说明或者补正不得超出响应文件的范围或改变响应文件的实质性内容（算术性错误修正的除外）。供应商的书面澄清、说明或者补正属于响应文件的组成部分。</w:t>
      </w:r>
    </w:p>
    <w:p w14:paraId="65BFB463">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3.3.3磋商小组对供应商提交的澄清、说明或者补正有疑问的，可以要求供应商进一步澄清、说明或者补正，直至满足磋商小组的要求。</w:t>
      </w:r>
    </w:p>
    <w:p w14:paraId="06782E08">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4</w:t>
      </w:r>
      <w:r>
        <w:rPr>
          <w:rFonts w:hint="eastAsia" w:asciiTheme="minorEastAsia" w:hAnsiTheme="minorEastAsia" w:eastAsiaTheme="minorEastAsia"/>
          <w:color w:val="auto"/>
          <w:highlight w:val="none"/>
        </w:rPr>
        <w:t>凡超出采购文件规定的或给采购人带来未曾要求的利益的变化、偏离或其他因素在评审时不予考虑。</w:t>
      </w:r>
    </w:p>
    <w:p w14:paraId="4B8AAA3E">
      <w:pPr>
        <w:spacing w:line="360" w:lineRule="auto"/>
        <w:outlineLvl w:val="3"/>
        <w:rPr>
          <w:rFonts w:hint="eastAsia"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 xml:space="preserve">3.4 </w:t>
      </w:r>
      <w:r>
        <w:rPr>
          <w:rFonts w:hint="eastAsia" w:asciiTheme="minorEastAsia" w:hAnsiTheme="minorEastAsia" w:eastAsiaTheme="minorEastAsia"/>
          <w:b/>
          <w:color w:val="auto"/>
          <w:szCs w:val="21"/>
          <w:highlight w:val="none"/>
        </w:rPr>
        <w:t>算术性错误修正</w:t>
      </w:r>
    </w:p>
    <w:p w14:paraId="21B1F55A">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供应商的响应文件中的磋商报价出现前后不一致的，除采购文件另有规定外，磋商小组依法对其进行修正。修正后的磋商报价按照本章第3.</w:t>
      </w: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 xml:space="preserve">款的规定，经供应商确认后产生约束力，供应商不确认的，其磋商无效。 </w:t>
      </w:r>
    </w:p>
    <w:p w14:paraId="431E3598">
      <w:pPr>
        <w:spacing w:line="360" w:lineRule="auto"/>
        <w:outlineLvl w:val="3"/>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 xml:space="preserve">3.5 响应文件相关信息的核查 </w:t>
      </w:r>
    </w:p>
    <w:p w14:paraId="78FACF06">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磋商小组对评审过程中发现的供应商与供应商之间、供应商与采购人之间存在的串通磋商情形进行评审和认定。若供应商存在串通磋商、弄虚作假、行贿等违法行为的，磋商小组应否决其磋商。</w:t>
      </w:r>
    </w:p>
    <w:p w14:paraId="48E50BF8">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3.5.1有下列情形之一的，属于供应商相互串通磋商：</w:t>
      </w:r>
    </w:p>
    <w:p w14:paraId="16090D6D">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（1）供应商之间协商磋商报价等响应文件的实质性内容；</w:t>
      </w:r>
    </w:p>
    <w:p w14:paraId="7454CA63">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（2）供应商之间约定成交供应商；</w:t>
      </w:r>
    </w:p>
    <w:p w14:paraId="73E53637">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（3）供应商之间约定部分供应商放弃磋商或成交；</w:t>
      </w:r>
    </w:p>
    <w:p w14:paraId="3B5DDEBB">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（4）属于同一集团、协会、商会等组织成员的供应商按照该组织要求协同磋商；</w:t>
      </w:r>
    </w:p>
    <w:p w14:paraId="1B36846D">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（5）供应商之间为谋取成交或排斥特定供应商而采取的其他联合行动。</w:t>
      </w:r>
    </w:p>
    <w:p w14:paraId="158310EF">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3.5.2有下列情形之一的，视为供应商相互串通磋商：</w:t>
      </w:r>
    </w:p>
    <w:p w14:paraId="602D514D">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（1）不同供应商的响应文件由同一单位或个人编制；</w:t>
      </w:r>
    </w:p>
    <w:p w14:paraId="4594E4D1">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（2）不同供应商委托同一单位或个人办理磋商事宜；</w:t>
      </w:r>
    </w:p>
    <w:p w14:paraId="7C1B0AB3">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（3）不同供应商的响应文件载明的项目组成员为同一人；</w:t>
      </w:r>
    </w:p>
    <w:p w14:paraId="347680FF">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（4）不同供应商的响应文件异常一致或磋商报价呈规律性差异。</w:t>
      </w:r>
    </w:p>
    <w:p w14:paraId="413F75CD">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3.5.3有下列情形之一的，属于采购人与供应商串通磋商：</w:t>
      </w:r>
    </w:p>
    <w:p w14:paraId="3A971808">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（1）采购人在开标前开启响应文件并将有关信息泄露给其他供应商；</w:t>
      </w:r>
    </w:p>
    <w:p w14:paraId="5181CD96">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（2）采购人直接或间接向供应商泄露标底、磋商小组成员等信息；</w:t>
      </w:r>
    </w:p>
    <w:p w14:paraId="7BB8D5CB">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（3）采购人明示或暗示供应商压低或抬高磋商报价；</w:t>
      </w:r>
    </w:p>
    <w:p w14:paraId="7CEED8EF">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（4）采购人授意供应商撤换、修改响应文件；</w:t>
      </w:r>
    </w:p>
    <w:p w14:paraId="72054354">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（5）采购人明示或暗示供应商为特定供应商成交提供方便；</w:t>
      </w:r>
    </w:p>
    <w:p w14:paraId="4EF4ED1E">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（6）采购人与供应商为谋求特定供应商成交而采取的其他串通行为。</w:t>
      </w:r>
    </w:p>
    <w:p w14:paraId="25397EA1">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3.5.4供应商有下列情形之一的，属于弄虚作假的行为：</w:t>
      </w:r>
    </w:p>
    <w:p w14:paraId="29BB9B17">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（1）使用通过受让或租借等方式获取的资格、资质证书磋商；</w:t>
      </w:r>
    </w:p>
    <w:p w14:paraId="1D398877">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（2）使用伪造、变造的许可证件；</w:t>
      </w:r>
    </w:p>
    <w:p w14:paraId="4334FF2B">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（3）提供虚假的财务状况或其他证明材料或证件等；</w:t>
      </w:r>
    </w:p>
    <w:p w14:paraId="632DE877">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（4）提供虚假的信用状况；</w:t>
      </w:r>
    </w:p>
    <w:p w14:paraId="733C00E2">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（5）其他弄虚作假的行为。</w:t>
      </w:r>
    </w:p>
    <w:p w14:paraId="5FFACE45">
      <w:pPr>
        <w:spacing w:line="360" w:lineRule="auto"/>
        <w:ind w:firstLine="437"/>
        <w:outlineLvl w:val="3"/>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w:t>
      </w:r>
      <w:r>
        <w:rPr>
          <w:rFonts w:asciiTheme="minorEastAsia" w:hAnsiTheme="minorEastAsia" w:eastAsiaTheme="minorEastAsia"/>
          <w:b/>
          <w:color w:val="auto"/>
          <w:szCs w:val="21"/>
          <w:highlight w:val="none"/>
        </w:rPr>
        <w:t xml:space="preserve">6 </w:t>
      </w:r>
      <w:r>
        <w:rPr>
          <w:rFonts w:hint="eastAsia" w:asciiTheme="minorEastAsia" w:hAnsiTheme="minorEastAsia" w:eastAsiaTheme="minorEastAsia"/>
          <w:b/>
          <w:color w:val="auto"/>
          <w:szCs w:val="21"/>
          <w:highlight w:val="none"/>
        </w:rPr>
        <w:t>评分要求和统计分数原则</w:t>
      </w:r>
    </w:p>
    <w:p w14:paraId="33C803C2">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.1磋商小组应首先对各供应商的响应文件进行评审，并按</w:t>
      </w:r>
      <w:r>
        <w:rPr>
          <w:rFonts w:hint="eastAsia" w:asciiTheme="minorEastAsia" w:hAnsiTheme="minorEastAsia" w:eastAsiaTheme="minorEastAsia"/>
          <w:color w:val="auto"/>
          <w:szCs w:val="21"/>
          <w:highlight w:val="none"/>
        </w:rPr>
        <w:t>采购文件</w:t>
      </w:r>
      <w:r>
        <w:rPr>
          <w:rFonts w:hint="eastAsia" w:cs="宋体" w:asciiTheme="minorEastAsia" w:hAnsiTheme="minorEastAsia" w:eastAsiaTheme="minorEastAsia"/>
          <w:color w:val="auto"/>
          <w:szCs w:val="21"/>
          <w:highlight w:val="none"/>
        </w:rPr>
        <w:t>规定的分值评分，若有打分档，各分档评分中间不得用插入法评分。</w:t>
      </w:r>
    </w:p>
    <w:p w14:paraId="1B450963">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.2统计分数原则：磋商小组成员的评分通过计算平均分值为供应商的技术部分得分（保留小数点后两位）。商务部分得分由供应商的</w:t>
      </w:r>
      <w:r>
        <w:rPr>
          <w:rFonts w:hint="eastAsia" w:cs="仿宋" w:asciiTheme="minorEastAsia" w:hAnsiTheme="minorEastAsia" w:eastAsiaTheme="minorEastAsia"/>
          <w:color w:val="auto"/>
          <w:szCs w:val="21"/>
          <w:highlight w:val="none"/>
        </w:rPr>
        <w:t>评审价（二次报价或二次报价依据政策扣除后的价格）</w:t>
      </w:r>
      <w:r>
        <w:rPr>
          <w:rFonts w:hint="eastAsia" w:cs="宋体" w:asciiTheme="minorEastAsia" w:hAnsiTheme="minorEastAsia" w:eastAsiaTheme="minorEastAsia"/>
          <w:color w:val="auto"/>
          <w:szCs w:val="21"/>
          <w:highlight w:val="none"/>
        </w:rPr>
        <w:t>计算后得出（保留小数点后两位）。</w:t>
      </w:r>
    </w:p>
    <w:p w14:paraId="4285E19F">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.3</w:t>
      </w:r>
      <w:r>
        <w:rPr>
          <w:rFonts w:hint="eastAsia"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Cs w:val="21"/>
          <w:highlight w:val="none"/>
        </w:rPr>
        <w:t>汇总评分结果</w:t>
      </w:r>
    </w:p>
    <w:p w14:paraId="252D759E">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磋商小组对所有有效供应商的响应文件的技术部分、商务部分分别进行评审评分后，再按评审办法前附表载明的公式计算出供应商的综合得分。</w:t>
      </w:r>
    </w:p>
    <w:p w14:paraId="5C05F49B">
      <w:pPr>
        <w:spacing w:line="360" w:lineRule="auto"/>
        <w:ind w:firstLine="437"/>
        <w:outlineLvl w:val="3"/>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w:t>
      </w:r>
      <w:r>
        <w:rPr>
          <w:rFonts w:asciiTheme="minorEastAsia" w:hAnsiTheme="minorEastAsia" w:eastAsiaTheme="minorEastAsia"/>
          <w:b/>
          <w:color w:val="auto"/>
          <w:szCs w:val="21"/>
          <w:highlight w:val="none"/>
        </w:rPr>
        <w:t>7</w:t>
      </w:r>
      <w:r>
        <w:rPr>
          <w:rFonts w:hint="eastAsia" w:asciiTheme="minorEastAsia" w:hAnsiTheme="minorEastAsia" w:eastAsiaTheme="minorEastAsia"/>
          <w:b/>
          <w:color w:val="auto"/>
          <w:szCs w:val="21"/>
          <w:highlight w:val="none"/>
        </w:rPr>
        <w:t xml:space="preserve"> 评审结果 </w:t>
      </w:r>
    </w:p>
    <w:p w14:paraId="6B85BFB7">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1除第二章“供应商须知前附表”授权磋商小组确定成交供应商外，磋商小组将对通过初步评审的响应文件，进行技术部分、商务部分评审评分，并按照供应商的综合得分由高到低的顺序推荐1～3名成交候选人。若综合得分相同，按照供应商的</w:t>
      </w:r>
      <w:r>
        <w:rPr>
          <w:rFonts w:hint="eastAsia" w:cs="仿宋" w:asciiTheme="minorEastAsia" w:hAnsiTheme="minorEastAsia" w:eastAsiaTheme="minorEastAsia"/>
          <w:color w:val="auto"/>
          <w:szCs w:val="21"/>
          <w:highlight w:val="none"/>
        </w:rPr>
        <w:t>评审价</w:t>
      </w:r>
      <w:r>
        <w:rPr>
          <w:rFonts w:hint="eastAsia" w:asciiTheme="minorEastAsia" w:hAnsiTheme="minorEastAsia" w:eastAsiaTheme="minorEastAsia"/>
          <w:color w:val="auto"/>
          <w:szCs w:val="21"/>
          <w:highlight w:val="none"/>
        </w:rPr>
        <w:t>由低到高的顺序推荐成交候选人；若评审价也相同时，按照供应商的</w:t>
      </w:r>
      <w:r>
        <w:rPr>
          <w:rFonts w:hint="eastAsia" w:cs="仿宋" w:asciiTheme="minorEastAsia" w:hAnsiTheme="minorEastAsia" w:eastAsiaTheme="minorEastAsia"/>
          <w:color w:val="auto"/>
          <w:szCs w:val="21"/>
          <w:highlight w:val="none"/>
        </w:rPr>
        <w:t>磋商报价</w:t>
      </w:r>
      <w:r>
        <w:rPr>
          <w:rFonts w:hint="eastAsia" w:asciiTheme="minorEastAsia" w:hAnsiTheme="minorEastAsia" w:eastAsiaTheme="minorEastAsia"/>
          <w:color w:val="auto"/>
          <w:szCs w:val="21"/>
          <w:highlight w:val="none"/>
        </w:rPr>
        <w:t>由低到高的顺序推荐成交候选人；若</w:t>
      </w:r>
      <w:r>
        <w:rPr>
          <w:rFonts w:hint="eastAsia" w:cs="仿宋" w:asciiTheme="minorEastAsia" w:hAnsiTheme="minorEastAsia" w:eastAsiaTheme="minorEastAsia"/>
          <w:color w:val="auto"/>
          <w:szCs w:val="21"/>
          <w:highlight w:val="none"/>
        </w:rPr>
        <w:t>磋商报价还</w:t>
      </w:r>
      <w:r>
        <w:rPr>
          <w:rFonts w:hint="eastAsia" w:asciiTheme="minorEastAsia" w:hAnsiTheme="minorEastAsia" w:eastAsiaTheme="minorEastAsia"/>
          <w:color w:val="auto"/>
          <w:szCs w:val="21"/>
          <w:highlight w:val="none"/>
        </w:rPr>
        <w:t>相同时，由磋商小组以不记名投票的方式推荐成交候选人。</w:t>
      </w:r>
    </w:p>
    <w:p w14:paraId="0518AE6B">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.2磋商小组完成评审后，应当向采购人提交书面评审报告。</w:t>
      </w:r>
    </w:p>
    <w:p w14:paraId="1EE7F7BE">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3评审报告应当由磋商小组全体成员签章确认。磋商小组成员对评审报告有异议的，磋商小组按照少数服从多数的原则推荐成交候选人，采购程序继续进行。对评审报告有异议的磋商小组成员应当在评审报告上签署不同意见并说明理由，由磋商小组记录相关情况。磋商小组成员拒绝在评审报告上签章又不说明其不同意见和理由的，视为同意评审报告。</w:t>
      </w:r>
      <w:r>
        <w:rPr>
          <w:rFonts w:asciiTheme="minorEastAsia" w:hAnsiTheme="minorEastAsia" w:eastAsiaTheme="minorEastAsia"/>
          <w:color w:val="auto"/>
          <w:szCs w:val="21"/>
          <w:highlight w:val="none"/>
        </w:rPr>
        <w:br w:type="page"/>
      </w:r>
    </w:p>
    <w:p w14:paraId="441808B1">
      <w:pPr>
        <w:spacing w:before="120" w:beforeLines="50" w:line="360" w:lineRule="auto"/>
        <w:outlineLvl w:val="2"/>
        <w:rPr>
          <w:rFonts w:hint="eastAsia" w:asciiTheme="minorEastAsia" w:hAnsiTheme="minorEastAsia" w:eastAsiaTheme="minorEastAsia"/>
          <w:b/>
          <w:color w:val="auto"/>
          <w:szCs w:val="21"/>
          <w:highlight w:val="none"/>
        </w:rPr>
      </w:pPr>
      <w:bookmarkStart w:id="1290" w:name="_Toc83753934"/>
      <w:bookmarkStart w:id="1291" w:name="_Toc53412258"/>
      <w:bookmarkStart w:id="1292" w:name="_Toc109809356"/>
      <w:bookmarkStart w:id="1293" w:name="_Toc98033978"/>
      <w:bookmarkStart w:id="1294" w:name="_Toc116584046"/>
      <w:bookmarkStart w:id="1295" w:name="_Toc30376"/>
      <w:bookmarkStart w:id="1296" w:name="_Toc110405179"/>
      <w:bookmarkStart w:id="1297" w:name="_Toc45976942"/>
      <w:bookmarkStart w:id="1298" w:name="_Toc81330981"/>
      <w:bookmarkStart w:id="1299" w:name="_Toc45791396"/>
      <w:bookmarkStart w:id="1300" w:name="_Toc87538411"/>
      <w:bookmarkStart w:id="1301" w:name="_Toc87543862"/>
      <w:bookmarkStart w:id="1302" w:name="_Toc84356294"/>
      <w:bookmarkStart w:id="1303" w:name="_Toc98865055"/>
      <w:bookmarkStart w:id="1304" w:name="_Toc42205035"/>
      <w:r>
        <w:rPr>
          <w:rFonts w:hint="eastAsia" w:asciiTheme="minorEastAsia" w:hAnsiTheme="minorEastAsia" w:eastAsiaTheme="minorEastAsia"/>
          <w:b/>
          <w:color w:val="auto"/>
          <w:szCs w:val="21"/>
          <w:highlight w:val="none"/>
        </w:rPr>
        <w:t>附件A：评审详细程序</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14:paraId="691251E1">
      <w:pPr>
        <w:spacing w:line="360" w:lineRule="auto"/>
        <w:jc w:val="center"/>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评审详细程序</w:t>
      </w:r>
    </w:p>
    <w:p w14:paraId="7EDC0DEF">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A0.总  则</w:t>
      </w:r>
    </w:p>
    <w:p w14:paraId="5B0F8AED">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本附件是本章“评审办法”的组成部分，是对本章第3条所规定的评审程序的进一步细化，磋商小组应当按照本附件所规定的详细程序开展并完成评审工作。</w:t>
      </w:r>
    </w:p>
    <w:p w14:paraId="7E517EBC">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A1.基本程序</w:t>
      </w:r>
    </w:p>
    <w:p w14:paraId="1777EDEE">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评审活动将按以下七个步骤进行：</w:t>
      </w:r>
    </w:p>
    <w:p w14:paraId="6EEF9235">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（1）评审准备；</w:t>
      </w:r>
    </w:p>
    <w:p w14:paraId="77C8F7C8">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（2）资格审查；</w:t>
      </w:r>
    </w:p>
    <w:p w14:paraId="73D6AFA9">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（3）符合性审查；</w:t>
      </w:r>
    </w:p>
    <w:p w14:paraId="0E1DD7EA">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（4）技术部分评审；</w:t>
      </w:r>
    </w:p>
    <w:p w14:paraId="29F0E6AE">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）商务部分评审；</w:t>
      </w:r>
    </w:p>
    <w:p w14:paraId="19CE5D4E">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rPr>
        <w:t>）澄清、说明或补正；</w:t>
      </w:r>
    </w:p>
    <w:p w14:paraId="1CDE46BD">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）推荐成交候选人或者直接确定成交供应商及提交评审报告。</w:t>
      </w:r>
    </w:p>
    <w:p w14:paraId="164C8C7E">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A2.评审准备</w:t>
      </w:r>
    </w:p>
    <w:p w14:paraId="11B66A5C">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A2.1磋商小组成员签到</w:t>
      </w:r>
    </w:p>
    <w:p w14:paraId="1E1B01D2">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磋商小组成员到达评审现场签到并组建磋商小组。</w:t>
      </w:r>
    </w:p>
    <w:p w14:paraId="0D21AA30">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A2.2磋商小组的分工</w:t>
      </w:r>
    </w:p>
    <w:p w14:paraId="5F8A9F32">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磋商小组首先推选一名磋商小组组长。磋商小组组长负责评审活动的组织领导工作。磋商小组组长在与其他磋商小组成员协商的基础上，可以将磋商小组划分为技术组和商务组。</w:t>
      </w:r>
    </w:p>
    <w:p w14:paraId="640A1E00">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A2.3熟悉文件资料</w:t>
      </w:r>
    </w:p>
    <w:p w14:paraId="732DC1DC">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A2.3.1磋商小组组长应组织磋商小组成员认真研究采购文件，了解和熟悉采购目的、采购范围、主要合同条件、质量要求和</w:t>
      </w:r>
      <w:r>
        <w:rPr>
          <w:rFonts w:hint="eastAsia" w:asciiTheme="minorEastAsia" w:hAnsiTheme="minorEastAsia" w:eastAsiaTheme="minorEastAsia"/>
          <w:color w:val="auto"/>
          <w:szCs w:val="21"/>
          <w:highlight w:val="none"/>
          <w:lang w:eastAsia="zh-CN"/>
        </w:rPr>
        <w:t>合同履行期限</w:t>
      </w:r>
      <w:r>
        <w:rPr>
          <w:rFonts w:hint="eastAsia" w:asciiTheme="minorEastAsia" w:hAnsiTheme="minorEastAsia" w:eastAsiaTheme="minorEastAsia"/>
          <w:color w:val="auto"/>
          <w:szCs w:val="21"/>
          <w:highlight w:val="none"/>
        </w:rPr>
        <w:t>等要求，掌握评审标准和方法，熟悉评审办法。采购文件中未规定的标准和方法，磋商小组不得作为评审的依据。</w:t>
      </w:r>
    </w:p>
    <w:p w14:paraId="3D730949">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2.3.2采购人或采购代理机构应向磋商小组提供评审所需的信息和数据，包括采购文件、未在开标会上当场拒绝的各响应文件、开标会记录及各供应商在响应文件，有关的法律、法规、规章、国家标准以及采购人或磋商小组认为必要的其他信息和数据。</w:t>
      </w:r>
    </w:p>
    <w:p w14:paraId="013812CF">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A2.4对响应文件进行基础性数据分析和整理工作（清标）</w:t>
      </w:r>
    </w:p>
    <w:p w14:paraId="5F364825">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不改变供应商响应文件实质性内容的前提下，磋商小组应当对响应文件进行基础性数据分析和整理（简称为“清标”），从而发现并提取其中可能存在的对采购范围理解的偏差、磋商报价的算术性错误、错漏项、磋商报价构成不合理、不平衡报价、是否低于成本报价等存在明显异常的问题，并就这些问题整理形成清标成果。磋商小组对清标成果审议后，决定需要供应商进行书面澄清、</w:t>
      </w:r>
    </w:p>
    <w:p w14:paraId="407A8F15">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说明或补正的问题，形成质疑问卷，向供应商发出问题澄清通知（质疑问卷）。</w:t>
      </w:r>
    </w:p>
    <w:p w14:paraId="38CFDD30">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A3.初步评审</w:t>
      </w:r>
    </w:p>
    <w:p w14:paraId="19655BFF">
      <w:pPr>
        <w:spacing w:line="360" w:lineRule="auto"/>
        <w:ind w:firstLine="435"/>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A3.1资格审查</w:t>
      </w:r>
    </w:p>
    <w:p w14:paraId="60870C25">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磋商小组依据本章第2.1.1款规定的审查标准对响应文件进行资格审查，有一项不符合审查标准的，响应文件按否决处理。</w:t>
      </w:r>
    </w:p>
    <w:p w14:paraId="37E9BE5C">
      <w:pPr>
        <w:spacing w:line="360" w:lineRule="auto"/>
        <w:ind w:firstLine="435"/>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A3.2符合性审查</w:t>
      </w:r>
    </w:p>
    <w:p w14:paraId="1D389DE0">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磋商小组依据本章第2.1.2款规定的审查标准对所有供应商的响应文件进行符合性审查，有一项不符合审查标准的，响应文件按否决处理。</w:t>
      </w:r>
    </w:p>
    <w:p w14:paraId="200D54AC">
      <w:pPr>
        <w:spacing w:line="360" w:lineRule="auto"/>
        <w:ind w:firstLine="435"/>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A3.3判断响应文件是否作否决处理</w:t>
      </w:r>
    </w:p>
    <w:p w14:paraId="3A760A19">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磋商小组在评审过程中，依据本章附件B中规定的否决条件判断供应商的响应文件是否作否决处理。</w:t>
      </w:r>
    </w:p>
    <w:p w14:paraId="5D6E4316">
      <w:pPr>
        <w:spacing w:line="360" w:lineRule="auto"/>
        <w:ind w:firstLine="437"/>
        <w:rPr>
          <w:rFonts w:hint="eastAsia" w:cs="宋体"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A3.</w:t>
      </w:r>
      <w:r>
        <w:rPr>
          <w:rFonts w:asciiTheme="minorEastAsia" w:hAnsiTheme="minorEastAsia" w:eastAsiaTheme="minorEastAsia"/>
          <w:b/>
          <w:color w:val="auto"/>
          <w:szCs w:val="21"/>
          <w:highlight w:val="none"/>
        </w:rPr>
        <w:t>4</w:t>
      </w:r>
      <w:r>
        <w:rPr>
          <w:rFonts w:hint="eastAsia" w:cs="宋体" w:asciiTheme="minorEastAsia" w:hAnsiTheme="minorEastAsia" w:eastAsiaTheme="minorEastAsia"/>
          <w:b/>
          <w:color w:val="auto"/>
          <w:szCs w:val="21"/>
          <w:highlight w:val="none"/>
        </w:rPr>
        <w:t xml:space="preserve">重新采购 </w:t>
      </w:r>
    </w:p>
    <w:p w14:paraId="6A10934F">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经磋商小组评审后，有效供应商的数量少于3家的，采购人应当依法重新采购。</w:t>
      </w:r>
    </w:p>
    <w:p w14:paraId="18F02241">
      <w:pPr>
        <w:spacing w:line="360" w:lineRule="auto"/>
        <w:ind w:firstLine="435"/>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A3.</w:t>
      </w:r>
      <w:r>
        <w:rPr>
          <w:rFonts w:asciiTheme="minorEastAsia" w:hAnsiTheme="minorEastAsia" w:eastAsiaTheme="minorEastAsia"/>
          <w:b/>
          <w:color w:val="auto"/>
          <w:szCs w:val="21"/>
          <w:highlight w:val="none"/>
        </w:rPr>
        <w:t>5</w:t>
      </w:r>
      <w:r>
        <w:rPr>
          <w:rFonts w:hint="eastAsia" w:asciiTheme="minorEastAsia" w:hAnsiTheme="minorEastAsia" w:eastAsiaTheme="minorEastAsia"/>
          <w:b/>
          <w:color w:val="auto"/>
          <w:szCs w:val="21"/>
          <w:highlight w:val="none"/>
        </w:rPr>
        <w:t>算术性错误修正</w:t>
      </w:r>
    </w:p>
    <w:p w14:paraId="4F5EE84F">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供应商的响应文件中的磋商报价出现前后不一致的，除采购文件另有规定外，磋商小组依法对其按照下列规定进行修正：</w:t>
      </w:r>
    </w:p>
    <w:p w14:paraId="07031098">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（1）大写金额和小写金额不一致的，以大写金额为准；</w:t>
      </w:r>
    </w:p>
    <w:p w14:paraId="1BA04E4B">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（2）单价金额小数点或者百分比有明显错位的，以“报价一览表”中的磋商报价为准；</w:t>
      </w:r>
    </w:p>
    <w:p w14:paraId="6FE85A20">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（3）总价金额与按单价汇总金额不一致的，以单价金额计算结果为准。</w:t>
      </w:r>
    </w:p>
    <w:p w14:paraId="3FD67762">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同时出现两种以上不一致的，按照前款规定的顺序修正。修正后的报价按照本章第3.</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条的规定经供应商确认后产生约束力，供应商不确认的，其磋商无效。</w:t>
      </w:r>
    </w:p>
    <w:p w14:paraId="21AECAE3">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A4.技术部分评审</w:t>
      </w:r>
    </w:p>
    <w:p w14:paraId="49AA299A">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 4.1磋商小组依据本章第2.2.</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款规定的分值对通过资格审查和符合性审查的供应商的响应文件中的技术部分进行评审评分，</w:t>
      </w:r>
      <w:r>
        <w:rPr>
          <w:rFonts w:asciiTheme="minorEastAsia" w:hAnsiTheme="minorEastAsia" w:eastAsiaTheme="minorEastAsia"/>
          <w:color w:val="auto"/>
          <w:highlight w:val="none"/>
        </w:rPr>
        <w:t>磋商小组成员</w:t>
      </w:r>
      <w:r>
        <w:rPr>
          <w:rFonts w:hint="eastAsia" w:asciiTheme="minorEastAsia" w:hAnsiTheme="minorEastAsia" w:eastAsiaTheme="minorEastAsia"/>
          <w:color w:val="auto"/>
          <w:szCs w:val="21"/>
          <w:highlight w:val="none"/>
        </w:rPr>
        <w:t>的评分通过计算平均分值为供应商的技术部分得分。</w:t>
      </w:r>
    </w:p>
    <w:p w14:paraId="200AC932">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 4.2评分分值计算保留小数点后两位，小数点后第三位“四舍五入”。</w:t>
      </w:r>
    </w:p>
    <w:p w14:paraId="58D54B3E">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w:t>
      </w:r>
      <w:r>
        <w:rPr>
          <w:rFonts w:asciiTheme="minorEastAsia" w:hAnsiTheme="minorEastAsia" w:eastAsiaTheme="minorEastAsia"/>
          <w:b/>
          <w:color w:val="auto"/>
          <w:szCs w:val="21"/>
          <w:highlight w:val="none"/>
        </w:rPr>
        <w:t>5</w:t>
      </w:r>
      <w:r>
        <w:rPr>
          <w:rFonts w:hint="eastAsia" w:asciiTheme="minorEastAsia" w:hAnsiTheme="minorEastAsia" w:eastAsiaTheme="minorEastAsia"/>
          <w:b/>
          <w:color w:val="auto"/>
          <w:szCs w:val="21"/>
          <w:highlight w:val="none"/>
        </w:rPr>
        <w:t>.商务部分评审</w:t>
      </w:r>
    </w:p>
    <w:p w14:paraId="09B47FB0">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A </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.1磋商小组依据本章第2.2.</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款规定的分值对通过资格审查和符合性审查的供应商的评审价进行评审评分，供应商的评审价得分即为供应商的商务部分得分。</w:t>
      </w:r>
    </w:p>
    <w:p w14:paraId="6C934792">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w:t>
      </w:r>
      <w:r>
        <w:rPr>
          <w:rFonts w:asciiTheme="minorEastAsia" w:hAnsiTheme="minorEastAsia" w:eastAsiaTheme="minorEastAsia"/>
          <w:color w:val="auto"/>
          <w:szCs w:val="21"/>
          <w:highlight w:val="none"/>
        </w:rPr>
        <w:t xml:space="preserve"> 5</w:t>
      </w:r>
      <w:r>
        <w:rPr>
          <w:rFonts w:hint="eastAsia" w:asciiTheme="minorEastAsia" w:hAnsiTheme="minorEastAsia" w:eastAsiaTheme="minorEastAsia"/>
          <w:color w:val="auto"/>
          <w:szCs w:val="21"/>
          <w:highlight w:val="none"/>
        </w:rPr>
        <w:t>.2评分分值计算保留小数点后两位，小数点后第三位“四舍五入”。</w:t>
      </w:r>
    </w:p>
    <w:p w14:paraId="692D9490">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w:t>
      </w:r>
      <w:r>
        <w:rPr>
          <w:rFonts w:asciiTheme="minorEastAsia" w:hAnsiTheme="minorEastAsia" w:eastAsiaTheme="minorEastAsia"/>
          <w:color w:val="auto"/>
          <w:szCs w:val="21"/>
          <w:highlight w:val="none"/>
        </w:rPr>
        <w:t xml:space="preserve"> 5</w:t>
      </w:r>
      <w:r>
        <w:rPr>
          <w:rFonts w:hint="eastAsia" w:asciiTheme="minorEastAsia" w:hAnsiTheme="minorEastAsia" w:eastAsiaTheme="minorEastAsia"/>
          <w:color w:val="auto"/>
          <w:szCs w:val="21"/>
          <w:highlight w:val="none"/>
        </w:rPr>
        <w:t>.3</w:t>
      </w:r>
      <w:r>
        <w:rPr>
          <w:rFonts w:hint="eastAsia" w:ascii="宋体" w:hAnsi="宋体" w:cs="宋体"/>
          <w:color w:val="auto"/>
          <w:szCs w:val="21"/>
          <w:highlight w:val="none"/>
        </w:rPr>
        <w:t>通过资格审查、符合性审查的供应商将进行二次报价</w:t>
      </w:r>
      <w:r>
        <w:rPr>
          <w:rFonts w:ascii="宋体" w:hAnsi="宋体"/>
          <w:color w:val="auto"/>
          <w:szCs w:val="21"/>
          <w:highlight w:val="none"/>
        </w:rPr>
        <w:t>，</w:t>
      </w:r>
      <w:r>
        <w:rPr>
          <w:rFonts w:hint="eastAsia" w:ascii="宋体" w:hAnsi="宋体"/>
          <w:color w:val="auto"/>
          <w:szCs w:val="21"/>
          <w:highlight w:val="none"/>
        </w:rPr>
        <w:t>二次报价的价格为供应商的最后报价，</w:t>
      </w:r>
      <w:r>
        <w:rPr>
          <w:rFonts w:hint="eastAsia" w:asciiTheme="minorEastAsia" w:hAnsiTheme="minorEastAsia" w:eastAsiaTheme="minorEastAsia"/>
          <w:color w:val="auto"/>
          <w:szCs w:val="21"/>
          <w:highlight w:val="none"/>
        </w:rPr>
        <w:t>并成为其响应文件的重要组成部分。</w:t>
      </w:r>
      <w:r>
        <w:rPr>
          <w:rFonts w:hint="eastAsia" w:ascii="宋体" w:hAnsi="宋体" w:eastAsiaTheme="minorEastAsia"/>
          <w:color w:val="auto"/>
          <w:szCs w:val="21"/>
          <w:highlight w:val="none"/>
        </w:rPr>
        <w:t>供应商</w:t>
      </w:r>
      <w:r>
        <w:rPr>
          <w:rFonts w:hint="eastAsia" w:asciiTheme="minorEastAsia" w:hAnsiTheme="minorEastAsia" w:eastAsiaTheme="minorEastAsia"/>
          <w:color w:val="auto"/>
          <w:szCs w:val="21"/>
          <w:highlight w:val="none"/>
        </w:rPr>
        <w:t>一旦完成二次报价，即不得再报。</w:t>
      </w:r>
    </w:p>
    <w:p w14:paraId="14A94124">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w:t>
      </w:r>
      <w:r>
        <w:rPr>
          <w:rFonts w:asciiTheme="minorEastAsia" w:hAnsiTheme="minorEastAsia" w:eastAsiaTheme="minorEastAsia"/>
          <w:b/>
          <w:color w:val="auto"/>
          <w:szCs w:val="21"/>
          <w:highlight w:val="none"/>
        </w:rPr>
        <w:t>6</w:t>
      </w:r>
      <w:r>
        <w:rPr>
          <w:rFonts w:hint="eastAsia" w:asciiTheme="minorEastAsia" w:hAnsiTheme="minorEastAsia" w:eastAsiaTheme="minorEastAsia"/>
          <w:b/>
          <w:color w:val="auto"/>
          <w:szCs w:val="21"/>
          <w:highlight w:val="none"/>
        </w:rPr>
        <w:t>澄清、说明或补正</w:t>
      </w:r>
    </w:p>
    <w:p w14:paraId="3C34B9FA">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在初步评审过程中，磋商小组应当就供应商的响应文件中不明确的内容要求供应商进行澄清、说明或者补正。供应商对此以书面形式予以澄清、说明或者补正。澄清、说明或补正根据本章第3.</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款的规定执行。</w:t>
      </w:r>
    </w:p>
    <w:p w14:paraId="4DCF72A1">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w:t>
      </w:r>
      <w:r>
        <w:rPr>
          <w:rFonts w:asciiTheme="minorEastAsia" w:hAnsiTheme="minorEastAsia" w:eastAsiaTheme="minorEastAsia"/>
          <w:b/>
          <w:color w:val="auto"/>
          <w:szCs w:val="21"/>
          <w:highlight w:val="none"/>
        </w:rPr>
        <w:t>7</w:t>
      </w:r>
      <w:r>
        <w:rPr>
          <w:rFonts w:hint="eastAsia" w:asciiTheme="minorEastAsia" w:hAnsiTheme="minorEastAsia" w:eastAsiaTheme="minorEastAsia"/>
          <w:b/>
          <w:color w:val="auto"/>
          <w:szCs w:val="21"/>
          <w:highlight w:val="none"/>
        </w:rPr>
        <w:t>.特殊情况的处置程序</w:t>
      </w:r>
    </w:p>
    <w:p w14:paraId="2A6D56EB">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.1关于评审活动暂停</w:t>
      </w:r>
    </w:p>
    <w:p w14:paraId="3FAC3356">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.1.1磋商小组应当执行连续评审的原则，按评审办法中规定的程序、内容、方法、标准完成全部评审工作。只有发生不可抗力导致评审工作无法继续时，评审活动方可暂停。</w:t>
      </w:r>
    </w:p>
    <w:p w14:paraId="4C3A4C66">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.1.2发生评审暂停情况时，磋商小组应当封存全部磋商申请文件和评审记录，待不可抗力的影响结束且具备继续评审的条件时，由原磋商小组继续评审。</w:t>
      </w:r>
    </w:p>
    <w:p w14:paraId="7391BCF1">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.2关于评审中途更换评委</w:t>
      </w:r>
    </w:p>
    <w:p w14:paraId="390A6C3A">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.2.1除非发生下列情况之一，磋商小组成员不得在评审中途更换：</w:t>
      </w:r>
    </w:p>
    <w:p w14:paraId="5FE6BE84">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（1）因不可抗拒的客观原因，不能到场或需在评审中途退出评审活动。</w:t>
      </w:r>
    </w:p>
    <w:p w14:paraId="3227B8CD">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）根据法律法规规定，某个或某几个磋商小组成员需要回避。</w:t>
      </w:r>
    </w:p>
    <w:p w14:paraId="38E96B10">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.2.2退出评审的磋商小组成员，其已完成的评审行为无效。由采购人根据本采购文件规定的磋商小组成员生产方式另行确定替代者进行评审。</w:t>
      </w:r>
    </w:p>
    <w:p w14:paraId="6DBD0F70">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.3不记名投票</w:t>
      </w:r>
    </w:p>
    <w:p w14:paraId="09063899">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在任何评审环节中，需磋商小组就某项定性的评审结论做出表决的，由磋商小组全体成员按照少数服从多数的原则，以不记名投票方式表决。</w:t>
      </w:r>
    </w:p>
    <w:p w14:paraId="4EB5F144">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A</w:t>
      </w:r>
      <w:r>
        <w:rPr>
          <w:rFonts w:asciiTheme="minorEastAsia" w:hAnsiTheme="minorEastAsia" w:eastAsiaTheme="minorEastAsia"/>
          <w:b/>
          <w:color w:val="auto"/>
          <w:szCs w:val="21"/>
          <w:highlight w:val="none"/>
        </w:rPr>
        <w:t>8</w:t>
      </w:r>
      <w:r>
        <w:rPr>
          <w:rFonts w:hint="eastAsia" w:asciiTheme="minorEastAsia" w:hAnsiTheme="minorEastAsia" w:eastAsiaTheme="minorEastAsia"/>
          <w:b/>
          <w:color w:val="auto"/>
          <w:szCs w:val="21"/>
          <w:highlight w:val="none"/>
        </w:rPr>
        <w:t>.补充条款</w:t>
      </w:r>
    </w:p>
    <w:p w14:paraId="34F59392">
      <w:pPr>
        <w:spacing w:line="360" w:lineRule="auto"/>
        <w:ind w:firstLine="435"/>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评审中若遇特殊问题，由磋商小组根据有关法律、法规、规定研究决定。</w:t>
      </w:r>
      <w:r>
        <w:rPr>
          <w:rFonts w:asciiTheme="minorEastAsia" w:hAnsiTheme="minorEastAsia" w:eastAsiaTheme="minorEastAsia"/>
          <w:color w:val="auto"/>
          <w:szCs w:val="21"/>
          <w:highlight w:val="none"/>
        </w:rPr>
        <w:br w:type="page"/>
      </w:r>
    </w:p>
    <w:p w14:paraId="4C2B2806">
      <w:pPr>
        <w:spacing w:before="120" w:beforeLines="50" w:line="360" w:lineRule="auto"/>
        <w:outlineLvl w:val="2"/>
        <w:rPr>
          <w:rFonts w:hint="eastAsia" w:asciiTheme="minorEastAsia" w:hAnsiTheme="minorEastAsia" w:eastAsiaTheme="minorEastAsia"/>
          <w:b/>
          <w:color w:val="auto"/>
          <w:szCs w:val="21"/>
          <w:highlight w:val="none"/>
        </w:rPr>
      </w:pPr>
      <w:bookmarkStart w:id="1305" w:name="_Toc109809357"/>
      <w:bookmarkStart w:id="1306" w:name="_Toc87538412"/>
      <w:bookmarkStart w:id="1307" w:name="_Toc83753935"/>
      <w:bookmarkStart w:id="1308" w:name="_Toc4288"/>
      <w:bookmarkStart w:id="1309" w:name="_Toc110405180"/>
      <w:bookmarkStart w:id="1310" w:name="_Toc53412259"/>
      <w:bookmarkStart w:id="1311" w:name="_Toc81330982"/>
      <w:bookmarkStart w:id="1312" w:name="_Toc116584047"/>
      <w:bookmarkStart w:id="1313" w:name="_Toc87543863"/>
      <w:bookmarkStart w:id="1314" w:name="_Toc98865056"/>
      <w:bookmarkStart w:id="1315" w:name="_Toc42205036"/>
      <w:bookmarkStart w:id="1316" w:name="_Toc84356295"/>
      <w:bookmarkStart w:id="1317" w:name="_Toc45791397"/>
      <w:bookmarkStart w:id="1318" w:name="_Toc98033979"/>
      <w:bookmarkStart w:id="1319" w:name="_Toc45976943"/>
      <w:r>
        <w:rPr>
          <w:rFonts w:hint="eastAsia" w:asciiTheme="minorEastAsia" w:hAnsiTheme="minorEastAsia" w:eastAsiaTheme="minorEastAsia"/>
          <w:b/>
          <w:color w:val="auto"/>
          <w:szCs w:val="21"/>
          <w:highlight w:val="none"/>
        </w:rPr>
        <w:t>附件B：否决条件</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14:paraId="2EAB3BCF">
      <w:pPr>
        <w:spacing w:line="360" w:lineRule="auto"/>
        <w:jc w:val="center"/>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否决条件</w:t>
      </w:r>
    </w:p>
    <w:p w14:paraId="7A222E91">
      <w:pPr>
        <w:spacing w:line="360" w:lineRule="auto"/>
        <w:ind w:firstLine="420" w:firstLineChars="20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B0.总  则</w:t>
      </w:r>
    </w:p>
    <w:p w14:paraId="0C615DA0">
      <w:pPr>
        <w:spacing w:line="360" w:lineRule="auto"/>
        <w:ind w:firstLine="435"/>
        <w:rPr>
          <w:rFonts w:hint="eastAsia" w:asciiTheme="minorEastAsia" w:hAnsiTheme="minorEastAsia" w:eastAsiaTheme="minorEastAsia"/>
          <w:color w:val="auto"/>
          <w:szCs w:val="21"/>
          <w:highlight w:val="none"/>
        </w:rPr>
      </w:pPr>
      <w:bookmarkStart w:id="1320" w:name="_Toc458454495"/>
      <w:bookmarkStart w:id="1321" w:name="_Toc37603110"/>
      <w:bookmarkStart w:id="1322" w:name="_Toc42205037"/>
      <w:r>
        <w:rPr>
          <w:rFonts w:hint="eastAsia" w:asciiTheme="minorEastAsia" w:hAnsiTheme="minorEastAsia" w:eastAsiaTheme="minorEastAsia"/>
          <w:color w:val="auto"/>
          <w:szCs w:val="21"/>
          <w:highlight w:val="none"/>
        </w:rPr>
        <w:t>本附件所集中列示的否决条件，是本章“评审办法”的组成部分，是对第二章“供应商须知”和本章正文部分所规定的否决条件的总结和补充，如果出现相互矛盾的情况，以本节的规定为准。</w:t>
      </w:r>
    </w:p>
    <w:p w14:paraId="0E517ACD">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B1.未按</w:t>
      </w:r>
      <w:r>
        <w:rPr>
          <w:rFonts w:hint="eastAsia" w:asciiTheme="minorEastAsia" w:hAnsiTheme="minorEastAsia" w:eastAsiaTheme="minorEastAsia"/>
          <w:color w:val="auto"/>
          <w:highlight w:val="none"/>
        </w:rPr>
        <w:t>磋商小组</w:t>
      </w:r>
      <w:r>
        <w:rPr>
          <w:rFonts w:asciiTheme="minorEastAsia" w:hAnsiTheme="minorEastAsia" w:eastAsiaTheme="minorEastAsia"/>
          <w:color w:val="auto"/>
          <w:highlight w:val="none"/>
        </w:rPr>
        <w:t>要求澄清、说明或补正的；</w:t>
      </w:r>
    </w:p>
    <w:p w14:paraId="66E0BC5F">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B2</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在资格审查、</w:t>
      </w:r>
      <w:r>
        <w:rPr>
          <w:rFonts w:hint="eastAsia" w:asciiTheme="minorEastAsia" w:hAnsiTheme="minorEastAsia" w:eastAsiaTheme="minorEastAsia"/>
          <w:color w:val="auto"/>
          <w:highlight w:val="none"/>
        </w:rPr>
        <w:t>符合性审查</w:t>
      </w:r>
      <w:r>
        <w:rPr>
          <w:rFonts w:asciiTheme="minorEastAsia" w:hAnsiTheme="minorEastAsia" w:eastAsiaTheme="minorEastAsia"/>
          <w:color w:val="auto"/>
          <w:highlight w:val="none"/>
        </w:rPr>
        <w:t>中，</w:t>
      </w:r>
      <w:r>
        <w:rPr>
          <w:rFonts w:hint="eastAsia" w:asciiTheme="minorEastAsia" w:hAnsiTheme="minorEastAsia" w:eastAsiaTheme="minorEastAsia"/>
          <w:color w:val="auto"/>
          <w:highlight w:val="none"/>
        </w:rPr>
        <w:t>磋商小组</w:t>
      </w:r>
      <w:r>
        <w:rPr>
          <w:rFonts w:asciiTheme="minorEastAsia" w:hAnsiTheme="minorEastAsia" w:eastAsiaTheme="minorEastAsia"/>
          <w:color w:val="auto"/>
          <w:highlight w:val="none"/>
        </w:rPr>
        <w:t>认定供应商的</w:t>
      </w:r>
      <w:r>
        <w:rPr>
          <w:rFonts w:hint="eastAsia" w:asciiTheme="minorEastAsia" w:hAnsiTheme="minorEastAsia" w:eastAsiaTheme="minorEastAsia"/>
          <w:color w:val="auto"/>
          <w:highlight w:val="none"/>
        </w:rPr>
        <w:t>响应文件</w:t>
      </w:r>
      <w:r>
        <w:rPr>
          <w:rFonts w:asciiTheme="minorEastAsia" w:hAnsiTheme="minorEastAsia" w:eastAsiaTheme="minorEastAsia"/>
          <w:color w:val="auto"/>
          <w:highlight w:val="none"/>
        </w:rPr>
        <w:t>不符合评</w:t>
      </w:r>
      <w:r>
        <w:rPr>
          <w:rFonts w:hint="eastAsia" w:asciiTheme="minorEastAsia" w:hAnsiTheme="minorEastAsia" w:eastAsiaTheme="minorEastAsia"/>
          <w:color w:val="auto"/>
          <w:highlight w:val="none"/>
        </w:rPr>
        <w:t>审</w:t>
      </w:r>
      <w:r>
        <w:rPr>
          <w:rFonts w:asciiTheme="minorEastAsia" w:hAnsiTheme="minorEastAsia" w:eastAsiaTheme="minorEastAsia"/>
          <w:color w:val="auto"/>
          <w:highlight w:val="none"/>
        </w:rPr>
        <w:t>办法前附表中规定的任何一项评审标准的；</w:t>
      </w:r>
    </w:p>
    <w:p w14:paraId="56A787AA">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B3</w:t>
      </w:r>
      <w:r>
        <w:rPr>
          <w:rFonts w:hint="eastAsia" w:asciiTheme="minorEastAsia" w:hAnsiTheme="minorEastAsia" w:eastAsiaTheme="minorEastAsia"/>
          <w:color w:val="auto"/>
          <w:highlight w:val="none"/>
        </w:rPr>
        <w:t>.供应商的名称与所提供的资料上的名称不一致的；</w:t>
      </w:r>
    </w:p>
    <w:p w14:paraId="740C67F6">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B4</w:t>
      </w:r>
      <w:r>
        <w:rPr>
          <w:rFonts w:hint="eastAsia" w:asciiTheme="minorEastAsia" w:hAnsiTheme="minorEastAsia" w:eastAsiaTheme="minorEastAsia"/>
          <w:color w:val="auto"/>
          <w:highlight w:val="none"/>
        </w:rPr>
        <w:t>.磋商内容不符合第二章“供应商须知前附表”第1.3.1项规定的；</w:t>
      </w:r>
    </w:p>
    <w:p w14:paraId="1AFD3517">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B5</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合同履行期限</w:t>
      </w:r>
      <w:r>
        <w:rPr>
          <w:rFonts w:hint="eastAsia" w:asciiTheme="minorEastAsia" w:hAnsiTheme="minorEastAsia" w:eastAsiaTheme="minorEastAsia"/>
          <w:color w:val="auto"/>
          <w:highlight w:val="none"/>
        </w:rPr>
        <w:t>不符合第二章“供应商须知前附表”第1.3.2项规定的；</w:t>
      </w:r>
    </w:p>
    <w:p w14:paraId="7EEA7C68">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B6</w:t>
      </w:r>
      <w:r>
        <w:rPr>
          <w:rFonts w:hint="eastAsia" w:asciiTheme="minorEastAsia" w:hAnsiTheme="minorEastAsia" w:eastAsiaTheme="minorEastAsia"/>
          <w:color w:val="auto"/>
          <w:highlight w:val="none"/>
        </w:rPr>
        <w:t>.质量标准不符合第二章“供应商须知前附表”第1.3.3项规定的；</w:t>
      </w:r>
    </w:p>
    <w:p w14:paraId="04B3A5CF">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B7</w:t>
      </w:r>
      <w:r>
        <w:rPr>
          <w:rFonts w:hint="eastAsia" w:asciiTheme="minorEastAsia" w:hAnsiTheme="minorEastAsia" w:eastAsiaTheme="minorEastAsia"/>
          <w:color w:val="auto"/>
          <w:highlight w:val="none"/>
        </w:rPr>
        <w:t>.供应商的信誉不符合第二章“供应商须知前附表”第1.4.2项规定的；</w:t>
      </w:r>
    </w:p>
    <w:p w14:paraId="7AECABC5">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B8</w:t>
      </w:r>
      <w:r>
        <w:rPr>
          <w:rFonts w:hint="eastAsia" w:asciiTheme="minorEastAsia" w:hAnsiTheme="minorEastAsia" w:eastAsiaTheme="minorEastAsia"/>
          <w:color w:val="auto"/>
          <w:highlight w:val="none"/>
        </w:rPr>
        <w:t>.参与磋商的供应商的单位负责人为同一人或存在直接控股、管理关系的；</w:t>
      </w:r>
    </w:p>
    <w:p w14:paraId="64869FE5">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B9</w:t>
      </w:r>
      <w:r>
        <w:rPr>
          <w:rFonts w:hint="eastAsia" w:asciiTheme="minorEastAsia" w:hAnsiTheme="minorEastAsia" w:eastAsiaTheme="minorEastAsia"/>
          <w:color w:val="auto"/>
          <w:highlight w:val="none"/>
        </w:rPr>
        <w:t>.联合体不符合第二章“供应商须知前附表”第1.4.3项规定的；</w:t>
      </w:r>
    </w:p>
    <w:p w14:paraId="1BB113CC">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B10</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分包不符合第二章“供应商须知”第1.11项规定的；</w:t>
      </w:r>
    </w:p>
    <w:p w14:paraId="73513965">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B11</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偏离不符合第二章“供应商须知”第1.12项规定的；</w:t>
      </w:r>
    </w:p>
    <w:p w14:paraId="0E13D20D">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B12</w:t>
      </w:r>
      <w:r>
        <w:rPr>
          <w:rFonts w:hint="eastAsia" w:asciiTheme="minorEastAsia" w:hAnsiTheme="minorEastAsia" w:eastAsiaTheme="minorEastAsia"/>
          <w:color w:val="auto"/>
          <w:highlight w:val="none"/>
        </w:rPr>
        <w:t>.磋商有效期不符合第二章“供应商须知前附表”第3.3.1项规定的；</w:t>
      </w:r>
    </w:p>
    <w:p w14:paraId="296E0807">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B13</w:t>
      </w:r>
      <w:r>
        <w:rPr>
          <w:rFonts w:hint="eastAsia" w:asciiTheme="minorEastAsia" w:hAnsiTheme="minorEastAsia" w:eastAsiaTheme="minorEastAsia"/>
          <w:color w:val="auto"/>
          <w:highlight w:val="none"/>
        </w:rPr>
        <w:t>.响应</w:t>
      </w:r>
      <w:r>
        <w:rPr>
          <w:rFonts w:asciiTheme="minorEastAsia" w:hAnsiTheme="minorEastAsia" w:eastAsiaTheme="minorEastAsia"/>
          <w:color w:val="auto"/>
          <w:highlight w:val="none"/>
        </w:rPr>
        <w:t>文件未按</w:t>
      </w:r>
      <w:r>
        <w:rPr>
          <w:rFonts w:hint="eastAsia" w:asciiTheme="minorEastAsia" w:hAnsiTheme="minorEastAsia" w:eastAsiaTheme="minorEastAsia"/>
          <w:color w:val="auto"/>
          <w:highlight w:val="none"/>
        </w:rPr>
        <w:t>采购文件</w:t>
      </w:r>
      <w:r>
        <w:rPr>
          <w:rFonts w:asciiTheme="minorEastAsia" w:hAnsiTheme="minorEastAsia" w:eastAsiaTheme="minorEastAsia"/>
          <w:color w:val="auto"/>
          <w:highlight w:val="none"/>
        </w:rPr>
        <w:t>的要求采用单位和个人数字证书电子签章的；</w:t>
      </w:r>
    </w:p>
    <w:p w14:paraId="7D36BD12">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B1</w:t>
      </w:r>
      <w:r>
        <w:rPr>
          <w:rFonts w:hint="eastAsia" w:asciiTheme="minorEastAsia" w:hAnsiTheme="minorEastAsia" w:eastAsiaTheme="minorEastAsia"/>
          <w:color w:val="auto"/>
          <w:highlight w:val="none"/>
        </w:rPr>
        <w:t>4.响应</w:t>
      </w:r>
      <w:r>
        <w:rPr>
          <w:rFonts w:asciiTheme="minorEastAsia" w:hAnsiTheme="minorEastAsia" w:eastAsiaTheme="minorEastAsia"/>
          <w:color w:val="auto"/>
          <w:highlight w:val="none"/>
        </w:rPr>
        <w:t>文件未按</w:t>
      </w:r>
      <w:r>
        <w:rPr>
          <w:rFonts w:hint="eastAsia" w:asciiTheme="minorEastAsia" w:hAnsiTheme="minorEastAsia" w:eastAsiaTheme="minorEastAsia"/>
          <w:color w:val="auto"/>
          <w:highlight w:val="none"/>
        </w:rPr>
        <w:t>采购文件</w:t>
      </w:r>
      <w:r>
        <w:rPr>
          <w:rFonts w:asciiTheme="minorEastAsia" w:hAnsiTheme="minorEastAsia" w:eastAsiaTheme="minorEastAsia"/>
          <w:color w:val="auto"/>
          <w:highlight w:val="none"/>
        </w:rPr>
        <w:t>规定的格式填写，内容不全或关键字迹模糊、无法辨认的；</w:t>
      </w:r>
    </w:p>
    <w:p w14:paraId="38005526">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B1</w:t>
      </w:r>
      <w:r>
        <w:rPr>
          <w:rFonts w:hint="eastAsia" w:asciiTheme="minorEastAsia" w:hAnsiTheme="minorEastAsia" w:eastAsiaTheme="minorEastAsia"/>
          <w:color w:val="auto"/>
          <w:highlight w:val="none"/>
        </w:rPr>
        <w:t>5.</w:t>
      </w:r>
      <w:r>
        <w:rPr>
          <w:rFonts w:asciiTheme="minorEastAsia" w:hAnsiTheme="minorEastAsia" w:eastAsiaTheme="minorEastAsia"/>
          <w:color w:val="auto"/>
          <w:highlight w:val="none"/>
        </w:rPr>
        <w:t>供应商递交两份或多份内容不同的</w:t>
      </w:r>
      <w:r>
        <w:rPr>
          <w:rFonts w:hint="eastAsia" w:asciiTheme="minorEastAsia" w:hAnsiTheme="minorEastAsia" w:eastAsiaTheme="minorEastAsia"/>
          <w:color w:val="auto"/>
          <w:highlight w:val="none"/>
        </w:rPr>
        <w:t>响应</w:t>
      </w:r>
      <w:r>
        <w:rPr>
          <w:rFonts w:asciiTheme="minorEastAsia" w:hAnsiTheme="minorEastAsia" w:eastAsiaTheme="minorEastAsia"/>
          <w:color w:val="auto"/>
          <w:highlight w:val="none"/>
        </w:rPr>
        <w:t>文件的；</w:t>
      </w:r>
    </w:p>
    <w:p w14:paraId="7FCF6526">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B1</w:t>
      </w:r>
      <w:r>
        <w:rPr>
          <w:rFonts w:hint="eastAsia" w:asciiTheme="minorEastAsia" w:hAnsiTheme="minorEastAsia" w:eastAsiaTheme="minorEastAsia"/>
          <w:color w:val="auto"/>
          <w:highlight w:val="none"/>
        </w:rPr>
        <w:t>6.响应文件中，</w:t>
      </w:r>
      <w:r>
        <w:rPr>
          <w:rFonts w:asciiTheme="minorEastAsia" w:hAnsiTheme="minorEastAsia" w:eastAsiaTheme="minorEastAsia"/>
          <w:color w:val="auto"/>
          <w:highlight w:val="none"/>
        </w:rPr>
        <w:t>供应商</w:t>
      </w:r>
      <w:r>
        <w:rPr>
          <w:rFonts w:hint="eastAsia" w:asciiTheme="minorEastAsia" w:hAnsiTheme="minorEastAsia" w:eastAsiaTheme="minorEastAsia"/>
          <w:color w:val="auto"/>
          <w:szCs w:val="21"/>
          <w:highlight w:val="none"/>
        </w:rPr>
        <w:t>投报两个或多个方案或有两个或多个报价，又未书面声明其中哪一个有效的</w:t>
      </w:r>
      <w:r>
        <w:rPr>
          <w:rFonts w:asciiTheme="minorEastAsia" w:hAnsiTheme="minorEastAsia" w:eastAsiaTheme="minorEastAsia"/>
          <w:color w:val="auto"/>
          <w:highlight w:val="none"/>
        </w:rPr>
        <w:t>；</w:t>
      </w:r>
    </w:p>
    <w:p w14:paraId="5268548C">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B1</w:t>
      </w:r>
      <w:r>
        <w:rPr>
          <w:rFonts w:hint="eastAsia" w:asciiTheme="minorEastAsia" w:hAnsiTheme="minorEastAsia" w:eastAsiaTheme="minorEastAsia"/>
          <w:color w:val="auto"/>
          <w:highlight w:val="none"/>
        </w:rPr>
        <w:t>7.</w:t>
      </w:r>
      <w:r>
        <w:rPr>
          <w:rFonts w:asciiTheme="minorEastAsia" w:hAnsiTheme="minorEastAsia" w:eastAsiaTheme="minorEastAsia"/>
          <w:color w:val="auto"/>
          <w:highlight w:val="none"/>
        </w:rPr>
        <w:t>有下列情形之一的，经</w:t>
      </w:r>
      <w:r>
        <w:rPr>
          <w:rFonts w:hint="eastAsia" w:asciiTheme="minorEastAsia" w:hAnsiTheme="minorEastAsia" w:eastAsiaTheme="minorEastAsia"/>
          <w:color w:val="auto"/>
          <w:highlight w:val="none"/>
        </w:rPr>
        <w:t>磋商小组</w:t>
      </w:r>
      <w:r>
        <w:rPr>
          <w:rFonts w:asciiTheme="minorEastAsia" w:hAnsiTheme="minorEastAsia" w:eastAsiaTheme="minorEastAsia"/>
          <w:color w:val="auto"/>
          <w:highlight w:val="none"/>
        </w:rPr>
        <w:t>集体表决后认定，视作串通</w:t>
      </w:r>
      <w:r>
        <w:rPr>
          <w:rFonts w:hint="eastAsia" w:asciiTheme="minorEastAsia" w:hAnsiTheme="minorEastAsia" w:eastAsiaTheme="minorEastAsia"/>
          <w:color w:val="auto"/>
          <w:highlight w:val="none"/>
        </w:rPr>
        <w:t>磋商</w:t>
      </w:r>
      <w:r>
        <w:rPr>
          <w:rFonts w:asciiTheme="minorEastAsia" w:hAnsiTheme="minorEastAsia" w:eastAsiaTheme="minorEastAsia"/>
          <w:color w:val="auto"/>
          <w:highlight w:val="none"/>
        </w:rPr>
        <w:t>处理，并提请行政监督管理部门依法予以处罚：</w:t>
      </w:r>
    </w:p>
    <w:p w14:paraId="07804E83">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（1）不同供应商的</w:t>
      </w:r>
      <w:r>
        <w:rPr>
          <w:rFonts w:hint="eastAsia" w:asciiTheme="minorEastAsia" w:hAnsiTheme="minorEastAsia" w:eastAsiaTheme="minorEastAsia"/>
          <w:color w:val="auto"/>
          <w:highlight w:val="none"/>
        </w:rPr>
        <w:t>响应</w:t>
      </w:r>
      <w:r>
        <w:rPr>
          <w:rFonts w:asciiTheme="minorEastAsia" w:hAnsiTheme="minorEastAsia" w:eastAsiaTheme="minorEastAsia"/>
          <w:color w:val="auto"/>
          <w:highlight w:val="none"/>
        </w:rPr>
        <w:t>文件内容存在非正常一致的；</w:t>
      </w:r>
    </w:p>
    <w:p w14:paraId="6050AE49">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（2）不同供应商的</w:t>
      </w:r>
      <w:r>
        <w:rPr>
          <w:rFonts w:hint="eastAsia" w:asciiTheme="minorEastAsia" w:hAnsiTheme="minorEastAsia" w:eastAsiaTheme="minorEastAsia"/>
          <w:color w:val="auto"/>
          <w:highlight w:val="none"/>
        </w:rPr>
        <w:t>响应</w:t>
      </w:r>
      <w:r>
        <w:rPr>
          <w:rFonts w:asciiTheme="minorEastAsia" w:hAnsiTheme="minorEastAsia" w:eastAsiaTheme="minorEastAsia"/>
          <w:color w:val="auto"/>
          <w:highlight w:val="none"/>
        </w:rPr>
        <w:t>文件两处以上错漏一致的；</w:t>
      </w:r>
    </w:p>
    <w:p w14:paraId="123B174A">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（3）不同供应商的</w:t>
      </w:r>
      <w:r>
        <w:rPr>
          <w:rFonts w:hint="eastAsia" w:asciiTheme="minorEastAsia" w:hAnsiTheme="minorEastAsia" w:eastAsiaTheme="minorEastAsia"/>
          <w:color w:val="auto"/>
          <w:highlight w:val="none"/>
        </w:rPr>
        <w:t>响应</w:t>
      </w:r>
      <w:r>
        <w:rPr>
          <w:rFonts w:asciiTheme="minorEastAsia" w:hAnsiTheme="minorEastAsia" w:eastAsiaTheme="minorEastAsia"/>
          <w:color w:val="auto"/>
          <w:highlight w:val="none"/>
        </w:rPr>
        <w:t>文件由同一企业或者同一个人编制的；</w:t>
      </w:r>
    </w:p>
    <w:p w14:paraId="7FF93384">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（4）不同供应商的</w:t>
      </w:r>
      <w:r>
        <w:rPr>
          <w:rFonts w:hint="eastAsia" w:asciiTheme="minorEastAsia" w:hAnsiTheme="minorEastAsia" w:eastAsiaTheme="minorEastAsia"/>
          <w:color w:val="auto"/>
          <w:highlight w:val="none"/>
        </w:rPr>
        <w:t>响应</w:t>
      </w:r>
      <w:r>
        <w:rPr>
          <w:rFonts w:asciiTheme="minorEastAsia" w:hAnsiTheme="minorEastAsia" w:eastAsiaTheme="minorEastAsia"/>
          <w:color w:val="auto"/>
          <w:highlight w:val="none"/>
        </w:rPr>
        <w:t>文件相互混装的；</w:t>
      </w:r>
    </w:p>
    <w:p w14:paraId="163A53A7">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（5）不同供应商委托同一人</w:t>
      </w:r>
      <w:r>
        <w:rPr>
          <w:rFonts w:hint="eastAsia" w:asciiTheme="minorEastAsia" w:hAnsiTheme="minorEastAsia" w:eastAsiaTheme="minorEastAsia"/>
          <w:color w:val="auto"/>
          <w:highlight w:val="none"/>
        </w:rPr>
        <w:t>磋商</w:t>
      </w:r>
      <w:r>
        <w:rPr>
          <w:rFonts w:asciiTheme="minorEastAsia" w:hAnsiTheme="minorEastAsia" w:eastAsiaTheme="minorEastAsia"/>
          <w:color w:val="auto"/>
          <w:highlight w:val="none"/>
        </w:rPr>
        <w:t>的；</w:t>
      </w:r>
    </w:p>
    <w:p w14:paraId="56A7FB84">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6</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磋商小组</w:t>
      </w:r>
      <w:r>
        <w:rPr>
          <w:rFonts w:asciiTheme="minorEastAsia" w:hAnsiTheme="minorEastAsia" w:eastAsiaTheme="minorEastAsia"/>
          <w:color w:val="auto"/>
          <w:highlight w:val="none"/>
        </w:rPr>
        <w:t>认定的其他串通</w:t>
      </w:r>
      <w:r>
        <w:rPr>
          <w:rFonts w:hint="eastAsia" w:asciiTheme="minorEastAsia" w:hAnsiTheme="minorEastAsia" w:eastAsiaTheme="minorEastAsia"/>
          <w:color w:val="auto"/>
          <w:highlight w:val="none"/>
        </w:rPr>
        <w:t>磋商的</w:t>
      </w:r>
      <w:r>
        <w:rPr>
          <w:rFonts w:asciiTheme="minorEastAsia" w:hAnsiTheme="minorEastAsia" w:eastAsiaTheme="minorEastAsia"/>
          <w:color w:val="auto"/>
          <w:highlight w:val="none"/>
        </w:rPr>
        <w:t>情形。</w:t>
      </w:r>
      <w:bookmarkEnd w:id="1320"/>
      <w:bookmarkEnd w:id="1321"/>
      <w:bookmarkEnd w:id="1322"/>
    </w:p>
    <w:sectPr>
      <w:headerReference r:id="rId13" w:type="first"/>
      <w:footerReference r:id="rId15" w:type="first"/>
      <w:headerReference r:id="rId12" w:type="default"/>
      <w:footerReference r:id="rId14" w:type="default"/>
      <w:pgSz w:w="11906" w:h="16838"/>
      <w:pgMar w:top="1440" w:right="1474" w:bottom="1440" w:left="1474" w:header="850" w:footer="113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方正综艺简体">
    <w:altName w:val="微软雅黑"/>
    <w:panose1 w:val="00000000000000000000"/>
    <w:charset w:val="86"/>
    <w:family w:val="auto"/>
    <w:pitch w:val="default"/>
    <w:sig w:usb0="00000000" w:usb1="00000000" w:usb2="00000000" w:usb3="00000000" w:csb0="00040000" w:csb1="00000000"/>
  </w:font>
  <w:font w:name="MSung Light SC">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S PMincho">
    <w:altName w:val="MS Gothic"/>
    <w:panose1 w:val="00000000000000000000"/>
    <w:charset w:val="80"/>
    <w:family w:val="roma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Yu Mincho Light">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方正小标宋_GBK">
    <w:altName w:val="微软雅黑"/>
    <w:panose1 w:val="02000000000000000000"/>
    <w:charset w:val="86"/>
    <w:family w:val="script"/>
    <w:pitch w:val="default"/>
    <w:sig w:usb0="00000000" w:usb1="00000000" w:usb2="00082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UPNQIO+ËÎÌå">
    <w:altName w:val="微软雅黑"/>
    <w:panose1 w:val="00000000000000000000"/>
    <w:charset w:val="01"/>
    <w:family w:val="auto"/>
    <w:pitch w:val="default"/>
    <w:sig w:usb0="00000000" w:usb1="00000000" w:usb2="0000000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737858"/>
    </w:sdtPr>
    <w:sdtContent>
      <w:p w14:paraId="18B48047">
        <w:pPr>
          <w:pStyle w:val="33"/>
          <w:jc w:val="center"/>
        </w:pPr>
        <w:r>
          <w:fldChar w:fldCharType="begin"/>
        </w:r>
        <w:r>
          <w:instrText xml:space="preserve">PAGE   \* MERGEFORMAT</w:instrText>
        </w:r>
        <w:r>
          <w:fldChar w:fldCharType="separate"/>
        </w:r>
        <w:r>
          <w:rPr>
            <w:lang w:val="zh-CN"/>
          </w:rPr>
          <w:t>39</w:t>
        </w:r>
        <w:r>
          <w:fldChar w:fldCharType="end"/>
        </w:r>
      </w:p>
      <w:p w14:paraId="5FA9F11E">
        <w:pPr>
          <w:pStyle w:val="33"/>
          <w:jc w:val="right"/>
        </w:pPr>
        <w:r>
          <w:drawing>
            <wp:inline distT="0" distB="0" distL="0" distR="0">
              <wp:extent cx="1899285" cy="181610"/>
              <wp:effectExtent l="0" t="0" r="5715" b="8890"/>
              <wp:docPr id="1" name="图片 1" descr="logo（运用于招标文件左下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运用于招标文件左下角）"/>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9285" cy="18161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C251B">
    <w:pPr>
      <w:pStyle w:val="33"/>
      <w:framePr w:wrap="around" w:vAnchor="text" w:hAnchor="margin" w:xAlign="right" w:y="1"/>
      <w:rPr>
        <w:rStyle w:val="58"/>
      </w:rPr>
    </w:pPr>
    <w:r>
      <w:fldChar w:fldCharType="begin"/>
    </w:r>
    <w:r>
      <w:rPr>
        <w:rStyle w:val="58"/>
      </w:rPr>
      <w:instrText xml:space="preserve">PAGE  </w:instrText>
    </w:r>
    <w:r>
      <w:fldChar w:fldCharType="separate"/>
    </w:r>
    <w:r>
      <w:rPr>
        <w:rStyle w:val="58"/>
      </w:rPr>
      <w:t>1</w:t>
    </w:r>
    <w:r>
      <w:fldChar w:fldCharType="end"/>
    </w:r>
  </w:p>
  <w:p w14:paraId="35085E24">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5262972"/>
    </w:sdtPr>
    <w:sdtContent>
      <w:p w14:paraId="017C0F56">
        <w:pPr>
          <w:pStyle w:val="33"/>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4939829"/>
    </w:sdtPr>
    <w:sdtContent>
      <w:p w14:paraId="3B45AD1A">
        <w:pPr>
          <w:pStyle w:val="33"/>
          <w:jc w:val="center"/>
        </w:pPr>
        <w:r>
          <w:fldChar w:fldCharType="begin"/>
        </w:r>
        <w:r>
          <w:instrText xml:space="preserve">PAGE   \* MERGEFORMAT</w:instrText>
        </w:r>
        <w:r>
          <w:fldChar w:fldCharType="separate"/>
        </w:r>
        <w:r>
          <w:rPr>
            <w:lang w:val="zh-CN"/>
          </w:rPr>
          <w:t>1</w:t>
        </w:r>
        <w:r>
          <w:fldChar w:fldCharType="end"/>
        </w:r>
      </w:p>
    </w:sdtContent>
  </w:sdt>
  <w:p w14:paraId="7B0EA399">
    <w:pPr>
      <w:pStyle w:val="33"/>
    </w:pPr>
  </w:p>
  <w:p w14:paraId="7BA71DAA"/>
  <w:p w14:paraId="5529F0FA"/>
  <w:p w14:paraId="450E882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341592"/>
    </w:sdtPr>
    <w:sdtContent>
      <w:p w14:paraId="35746E95">
        <w:pPr>
          <w:pStyle w:val="33"/>
          <w:jc w:val="center"/>
        </w:pPr>
        <w:r>
          <w:fldChar w:fldCharType="begin"/>
        </w:r>
        <w:r>
          <w:instrText xml:space="preserve">PAGE   \* MERGEFORMAT</w:instrText>
        </w:r>
        <w:r>
          <w:fldChar w:fldCharType="separate"/>
        </w:r>
        <w:r>
          <w:rPr>
            <w:lang w:val="zh-CN"/>
          </w:rPr>
          <w:t>1</w:t>
        </w:r>
        <w:r>
          <w:fldChar w:fldCharType="end"/>
        </w:r>
      </w:p>
    </w:sdtContent>
  </w:sdt>
  <w:p w14:paraId="4EC30A7E">
    <w:pPr>
      <w:pStyle w:val="33"/>
    </w:pPr>
  </w:p>
  <w:p w14:paraId="2B765EBD"/>
  <w:p w14:paraId="771D3FC4"/>
  <w:p w14:paraId="38242A8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9A661">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3781425</wp:posOffset>
              </wp:positionH>
              <wp:positionV relativeFrom="page">
                <wp:posOffset>9862820</wp:posOffset>
              </wp:positionV>
              <wp:extent cx="22479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a:effectLst/>
                    </wps:spPr>
                    <wps:txbx>
                      <w:txbxContent>
                        <w:p w14:paraId="4590AE3C">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131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7.75pt;margin-top:776.6pt;height:11pt;width:17.7pt;mso-position-horizontal-relative:page;mso-position-vertical-relative:page;z-index:-251657216;mso-width-relative:page;mso-height-relative:page;" filled="f" stroked="f" coordsize="21600,21600" o:gfxdata="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Ky6VnbAAAADQEAAA8AAAAAAAAAAQAgAAAAIgAAAGRycy9kb3ducmV2&#10;LnhtbFBLAQIUABQAAAAIAIdO4kB1KPypwAEAAH8DAAAOAAAAAAAAAAEAIAAAACoBAABkcnMvZTJv&#10;RG9jLnhtbFBLBQYAAAAABgAGAFkBAABcBQAAAAA=&#10;">
              <v:fill on="f" focussize="0,0"/>
              <v:stroke on="f"/>
              <v:imagedata o:title=""/>
              <o:lock v:ext="edit" aspectratio="f"/>
              <v:textbox inset="0mm,0mm,0mm,0mm">
                <w:txbxContent>
                  <w:p w14:paraId="4590AE3C">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131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3439997"/>
    </w:sdtPr>
    <w:sdtContent>
      <w:p w14:paraId="40D4B5CD">
        <w:pPr>
          <w:pStyle w:val="33"/>
          <w:jc w:val="center"/>
        </w:pPr>
        <w:r>
          <w:fldChar w:fldCharType="begin"/>
        </w:r>
        <w:r>
          <w:instrText xml:space="preserve">PAGE   \* MERGEFORMAT</w:instrText>
        </w:r>
        <w:r>
          <w:fldChar w:fldCharType="separate"/>
        </w:r>
        <w:r>
          <w:rPr>
            <w:lang w:val="zh-CN"/>
          </w:rPr>
          <w:t>1</w:t>
        </w:r>
        <w:r>
          <w:fldChar w:fldCharType="end"/>
        </w:r>
      </w:p>
    </w:sdtContent>
  </w:sdt>
  <w:p w14:paraId="3B4F5689">
    <w:pPr>
      <w:pStyle w:val="33"/>
    </w:pPr>
  </w:p>
  <w:p w14:paraId="6DB7902C"/>
  <w:p w14:paraId="3622CFFC"/>
  <w:p w14:paraId="7091D4E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40A9">
    <w:pPr>
      <w:pStyle w:val="3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A0644">
    <w:pPr>
      <w:pStyle w:val="34"/>
      <w:framePr w:wrap="around" w:vAnchor="text" w:hAnchor="margin" w:xAlign="right" w:y="1"/>
      <w:rPr>
        <w:rStyle w:val="58"/>
      </w:rPr>
    </w:pPr>
    <w:r>
      <w:fldChar w:fldCharType="begin"/>
    </w:r>
    <w:r>
      <w:rPr>
        <w:rStyle w:val="58"/>
      </w:rPr>
      <w:instrText xml:space="preserve">PAGE  </w:instrText>
    </w:r>
    <w:r>
      <w:fldChar w:fldCharType="separate"/>
    </w:r>
    <w:r>
      <w:rPr>
        <w:rStyle w:val="58"/>
      </w:rPr>
      <w:t>5</w:t>
    </w:r>
    <w:r>
      <w:fldChar w:fldCharType="end"/>
    </w:r>
  </w:p>
  <w:p w14:paraId="299F4A9A">
    <w:pPr>
      <w:pStyle w:val="3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21A5">
    <w:pPr>
      <w:pStyle w:val="34"/>
      <w:tabs>
        <w:tab w:val="right" w:pos="9638"/>
      </w:tabs>
      <w:jc w:val="left"/>
    </w:pPr>
    <w:r>
      <w:rPr>
        <w:rFonts w:hint="eastAsia"/>
      </w:rPr>
      <w:t xml:space="preserve">                    </w:t>
    </w:r>
    <w:r>
      <w:t xml:space="preserve">          </w:t>
    </w:r>
    <w:r>
      <w:rPr>
        <w:rFonts w:hint="eastAsia"/>
      </w:rPr>
      <w:t>竞争性磋商文</w:t>
    </w:r>
  </w:p>
  <w:p w14:paraId="76149439"/>
  <w:p w14:paraId="0E875462"/>
  <w:p w14:paraId="78BCE8D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CB3A2">
    <w:pPr>
      <w:pStyle w:val="34"/>
      <w:tabs>
        <w:tab w:val="right" w:pos="9638"/>
      </w:tabs>
      <w:jc w:val="left"/>
    </w:pPr>
    <w:r>
      <w:rPr>
        <w:rFonts w:hint="eastAsia"/>
      </w:rPr>
      <w:t xml:space="preserve">                    </w:t>
    </w:r>
    <w:r>
      <w:t xml:space="preserve">          </w:t>
    </w:r>
    <w:r>
      <w:rPr>
        <w:rFonts w:hint="eastAsia"/>
      </w:rPr>
      <w:t>竞争性磋商文</w:t>
    </w:r>
  </w:p>
  <w:p w14:paraId="45141B2D"/>
  <w:p w14:paraId="2F637892"/>
  <w:p w14:paraId="1615501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8568">
    <w:pPr>
      <w:pStyle w:val="34"/>
      <w:pBdr>
        <w:top w:val="none" w:color="auto" w:sz="0" w:space="3"/>
        <w:bottom w:val="none" w:color="auto" w:sz="0" w:space="0"/>
      </w:pBdr>
      <w:jc w:val="left"/>
      <w:rPr>
        <w:sz w:val="15"/>
        <w:szCs w:val="15"/>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FEE6">
    <w:pPr>
      <w:pStyle w:val="34"/>
      <w:tabs>
        <w:tab w:val="right" w:pos="9638"/>
      </w:tabs>
      <w:jc w:val="left"/>
    </w:pPr>
    <w:r>
      <w:rPr>
        <w:rFonts w:hint="eastAsia"/>
      </w:rPr>
      <w:t xml:space="preserve">                    </w:t>
    </w:r>
    <w:r>
      <w:t xml:space="preserve">          </w:t>
    </w:r>
    <w:r>
      <w:rPr>
        <w:rFonts w:hint="eastAsia"/>
      </w:rPr>
      <w:t>竞争性磋商文</w:t>
    </w:r>
  </w:p>
  <w:p w14:paraId="4AF47022"/>
  <w:p w14:paraId="1E7E9322"/>
  <w:p w14:paraId="78DF3D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7283C"/>
    <w:multiLevelType w:val="singleLevel"/>
    <w:tmpl w:val="BCF7283C"/>
    <w:lvl w:ilvl="0" w:tentative="0">
      <w:start w:val="1"/>
      <w:numFmt w:val="decimal"/>
      <w:lvlText w:val="%1."/>
      <w:lvlJc w:val="left"/>
      <w:pPr>
        <w:tabs>
          <w:tab w:val="left" w:pos="312"/>
        </w:tabs>
      </w:pPr>
    </w:lvl>
  </w:abstractNum>
  <w:abstractNum w:abstractNumId="1">
    <w:nsid w:val="5F7F52D8"/>
    <w:multiLevelType w:val="multilevel"/>
    <w:tmpl w:val="5F7F52D8"/>
    <w:lvl w:ilvl="0" w:tentative="0">
      <w:start w:val="1"/>
      <w:numFmt w:val="decimal"/>
      <w:lvlText w:val="（%1）"/>
      <w:lvlJc w:val="left"/>
      <w:pPr>
        <w:tabs>
          <w:tab w:val="left" w:pos="1252"/>
        </w:tabs>
        <w:ind w:left="1252" w:hanging="720"/>
      </w:pPr>
      <w:rPr>
        <w:rFonts w:hint="eastAsia"/>
      </w:rPr>
    </w:lvl>
    <w:lvl w:ilvl="1" w:tentative="0">
      <w:start w:val="1"/>
      <w:numFmt w:val="decimal"/>
      <w:lvlText w:val="（%2）"/>
      <w:lvlJc w:val="left"/>
      <w:pPr>
        <w:tabs>
          <w:tab w:val="left" w:pos="1672"/>
        </w:tabs>
        <w:ind w:left="1672" w:hanging="720"/>
      </w:pPr>
      <w:rPr>
        <w:rFonts w:hint="default"/>
      </w:rPr>
    </w:lvl>
    <w:lvl w:ilvl="2" w:tentative="0">
      <w:start w:val="4"/>
      <w:numFmt w:val="decimal"/>
      <w:lvlText w:val="(%3)"/>
      <w:lvlJc w:val="left"/>
      <w:pPr>
        <w:tabs>
          <w:tab w:val="left" w:pos="1732"/>
        </w:tabs>
        <w:ind w:left="1732" w:hanging="360"/>
      </w:pPr>
      <w:rPr>
        <w:rFonts w:hint="default"/>
      </w:rPr>
    </w:lvl>
    <w:lvl w:ilvl="3" w:tentative="0">
      <w:start w:val="1"/>
      <w:numFmt w:val="decimal"/>
      <w:lvlText w:val="%4."/>
      <w:lvlJc w:val="left"/>
      <w:pPr>
        <w:tabs>
          <w:tab w:val="left" w:pos="2212"/>
        </w:tabs>
        <w:ind w:left="2212" w:hanging="420"/>
      </w:pPr>
    </w:lvl>
    <w:lvl w:ilvl="4" w:tentative="0">
      <w:start w:val="1"/>
      <w:numFmt w:val="lowerLetter"/>
      <w:lvlText w:val="%5)"/>
      <w:lvlJc w:val="left"/>
      <w:pPr>
        <w:tabs>
          <w:tab w:val="left" w:pos="2632"/>
        </w:tabs>
        <w:ind w:left="2632" w:hanging="420"/>
      </w:pPr>
    </w:lvl>
    <w:lvl w:ilvl="5" w:tentative="0">
      <w:start w:val="1"/>
      <w:numFmt w:val="lowerRoman"/>
      <w:pStyle w:val="8"/>
      <w:lvlText w:val="%6."/>
      <w:lvlJc w:val="right"/>
      <w:pPr>
        <w:tabs>
          <w:tab w:val="left" w:pos="3052"/>
        </w:tabs>
        <w:ind w:left="3052" w:hanging="420"/>
      </w:pPr>
    </w:lvl>
    <w:lvl w:ilvl="6" w:tentative="0">
      <w:start w:val="1"/>
      <w:numFmt w:val="decimal"/>
      <w:lvlText w:val="%7."/>
      <w:lvlJc w:val="left"/>
      <w:pPr>
        <w:tabs>
          <w:tab w:val="left" w:pos="3472"/>
        </w:tabs>
        <w:ind w:left="3472" w:hanging="420"/>
      </w:pPr>
    </w:lvl>
    <w:lvl w:ilvl="7" w:tentative="0">
      <w:start w:val="1"/>
      <w:numFmt w:val="lowerLetter"/>
      <w:lvlText w:val="%8)"/>
      <w:lvlJc w:val="left"/>
      <w:pPr>
        <w:tabs>
          <w:tab w:val="left" w:pos="3892"/>
        </w:tabs>
        <w:ind w:left="3892" w:hanging="420"/>
      </w:pPr>
    </w:lvl>
    <w:lvl w:ilvl="8" w:tentative="0">
      <w:start w:val="1"/>
      <w:numFmt w:val="lowerRoman"/>
      <w:lvlText w:val="%9."/>
      <w:lvlJc w:val="right"/>
      <w:pPr>
        <w:tabs>
          <w:tab w:val="left" w:pos="4312"/>
        </w:tabs>
        <w:ind w:left="431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mNGRiNTYyYmFlNWZkOWRjNThhOTI1ODdkMGFiNjUifQ=="/>
    <w:docVar w:name="KSO_WPS_MARK_KEY" w:val="4ca54b56-6408-4acf-99d8-a407280a585b"/>
  </w:docVars>
  <w:rsids>
    <w:rsidRoot w:val="00172A27"/>
    <w:rsid w:val="000009E3"/>
    <w:rsid w:val="00000F1F"/>
    <w:rsid w:val="00001097"/>
    <w:rsid w:val="000013C9"/>
    <w:rsid w:val="00001776"/>
    <w:rsid w:val="00001C52"/>
    <w:rsid w:val="00001E10"/>
    <w:rsid w:val="000024C2"/>
    <w:rsid w:val="00002712"/>
    <w:rsid w:val="00002DA2"/>
    <w:rsid w:val="0000372C"/>
    <w:rsid w:val="00003B16"/>
    <w:rsid w:val="00004137"/>
    <w:rsid w:val="000044BB"/>
    <w:rsid w:val="00004FB7"/>
    <w:rsid w:val="000050D0"/>
    <w:rsid w:val="00005A47"/>
    <w:rsid w:val="00005CE3"/>
    <w:rsid w:val="00006216"/>
    <w:rsid w:val="000068DF"/>
    <w:rsid w:val="0000722C"/>
    <w:rsid w:val="000073DE"/>
    <w:rsid w:val="00010B6D"/>
    <w:rsid w:val="00010F03"/>
    <w:rsid w:val="0001125C"/>
    <w:rsid w:val="0001182D"/>
    <w:rsid w:val="00011A49"/>
    <w:rsid w:val="00012432"/>
    <w:rsid w:val="00012F7D"/>
    <w:rsid w:val="00013B08"/>
    <w:rsid w:val="00014134"/>
    <w:rsid w:val="00014325"/>
    <w:rsid w:val="0001480F"/>
    <w:rsid w:val="000148B8"/>
    <w:rsid w:val="00015754"/>
    <w:rsid w:val="00015952"/>
    <w:rsid w:val="00016217"/>
    <w:rsid w:val="000162C1"/>
    <w:rsid w:val="000163C5"/>
    <w:rsid w:val="0001668B"/>
    <w:rsid w:val="00017D8E"/>
    <w:rsid w:val="00020F93"/>
    <w:rsid w:val="00021A04"/>
    <w:rsid w:val="00021C8F"/>
    <w:rsid w:val="00021EB3"/>
    <w:rsid w:val="00022267"/>
    <w:rsid w:val="00023396"/>
    <w:rsid w:val="00023F48"/>
    <w:rsid w:val="00024596"/>
    <w:rsid w:val="00024AF0"/>
    <w:rsid w:val="000255E2"/>
    <w:rsid w:val="0002743D"/>
    <w:rsid w:val="00027888"/>
    <w:rsid w:val="000312D6"/>
    <w:rsid w:val="000315CC"/>
    <w:rsid w:val="0003181B"/>
    <w:rsid w:val="0003195A"/>
    <w:rsid w:val="00031B31"/>
    <w:rsid w:val="00031E69"/>
    <w:rsid w:val="000324BE"/>
    <w:rsid w:val="00032551"/>
    <w:rsid w:val="000326C5"/>
    <w:rsid w:val="000327A4"/>
    <w:rsid w:val="00032F1F"/>
    <w:rsid w:val="00032F48"/>
    <w:rsid w:val="00032FD7"/>
    <w:rsid w:val="000335F8"/>
    <w:rsid w:val="00033778"/>
    <w:rsid w:val="00033DB0"/>
    <w:rsid w:val="00034193"/>
    <w:rsid w:val="000342EC"/>
    <w:rsid w:val="00034993"/>
    <w:rsid w:val="00035B03"/>
    <w:rsid w:val="000366AD"/>
    <w:rsid w:val="000366B0"/>
    <w:rsid w:val="00037B5F"/>
    <w:rsid w:val="00037E86"/>
    <w:rsid w:val="00037F01"/>
    <w:rsid w:val="00040029"/>
    <w:rsid w:val="00040163"/>
    <w:rsid w:val="000410EC"/>
    <w:rsid w:val="00041BD7"/>
    <w:rsid w:val="00042033"/>
    <w:rsid w:val="000422EA"/>
    <w:rsid w:val="00042BFA"/>
    <w:rsid w:val="00043087"/>
    <w:rsid w:val="00043192"/>
    <w:rsid w:val="000439CE"/>
    <w:rsid w:val="000439E0"/>
    <w:rsid w:val="00043A98"/>
    <w:rsid w:val="00043DF0"/>
    <w:rsid w:val="000443FF"/>
    <w:rsid w:val="00044454"/>
    <w:rsid w:val="0004451E"/>
    <w:rsid w:val="00044D5E"/>
    <w:rsid w:val="00044D95"/>
    <w:rsid w:val="00044E14"/>
    <w:rsid w:val="000456E2"/>
    <w:rsid w:val="000458BE"/>
    <w:rsid w:val="000459E1"/>
    <w:rsid w:val="00046183"/>
    <w:rsid w:val="000465D0"/>
    <w:rsid w:val="00046ACA"/>
    <w:rsid w:val="00046B9F"/>
    <w:rsid w:val="00046CF8"/>
    <w:rsid w:val="00047050"/>
    <w:rsid w:val="00047662"/>
    <w:rsid w:val="00047A01"/>
    <w:rsid w:val="00047CE9"/>
    <w:rsid w:val="00047CF2"/>
    <w:rsid w:val="00047EC1"/>
    <w:rsid w:val="00047F10"/>
    <w:rsid w:val="00050075"/>
    <w:rsid w:val="000500A5"/>
    <w:rsid w:val="00050D50"/>
    <w:rsid w:val="00050E0F"/>
    <w:rsid w:val="0005105C"/>
    <w:rsid w:val="00051632"/>
    <w:rsid w:val="0005165C"/>
    <w:rsid w:val="00052174"/>
    <w:rsid w:val="00052D5C"/>
    <w:rsid w:val="00053E3A"/>
    <w:rsid w:val="0005465A"/>
    <w:rsid w:val="00054ED6"/>
    <w:rsid w:val="00054FB6"/>
    <w:rsid w:val="00055611"/>
    <w:rsid w:val="00056142"/>
    <w:rsid w:val="000561C5"/>
    <w:rsid w:val="0005620E"/>
    <w:rsid w:val="000569A3"/>
    <w:rsid w:val="00057159"/>
    <w:rsid w:val="0005771E"/>
    <w:rsid w:val="00057E67"/>
    <w:rsid w:val="000608EC"/>
    <w:rsid w:val="00060998"/>
    <w:rsid w:val="00060ACE"/>
    <w:rsid w:val="000612D8"/>
    <w:rsid w:val="000612E0"/>
    <w:rsid w:val="0006205D"/>
    <w:rsid w:val="000626F2"/>
    <w:rsid w:val="00062D92"/>
    <w:rsid w:val="00063227"/>
    <w:rsid w:val="0006369D"/>
    <w:rsid w:val="00063B01"/>
    <w:rsid w:val="0006569F"/>
    <w:rsid w:val="00065D68"/>
    <w:rsid w:val="00066878"/>
    <w:rsid w:val="00066C5B"/>
    <w:rsid w:val="000674A0"/>
    <w:rsid w:val="00067E06"/>
    <w:rsid w:val="00067F32"/>
    <w:rsid w:val="000702D3"/>
    <w:rsid w:val="00070804"/>
    <w:rsid w:val="00070B24"/>
    <w:rsid w:val="00070E74"/>
    <w:rsid w:val="00071389"/>
    <w:rsid w:val="000724D8"/>
    <w:rsid w:val="0007259C"/>
    <w:rsid w:val="000726A0"/>
    <w:rsid w:val="000727D3"/>
    <w:rsid w:val="00072B79"/>
    <w:rsid w:val="00073AA7"/>
    <w:rsid w:val="00073C2B"/>
    <w:rsid w:val="00074E4C"/>
    <w:rsid w:val="0007531B"/>
    <w:rsid w:val="000760BA"/>
    <w:rsid w:val="000760D3"/>
    <w:rsid w:val="00076BC0"/>
    <w:rsid w:val="00076BD2"/>
    <w:rsid w:val="00076BF5"/>
    <w:rsid w:val="00077313"/>
    <w:rsid w:val="00077394"/>
    <w:rsid w:val="00077AA2"/>
    <w:rsid w:val="00077C48"/>
    <w:rsid w:val="000807E9"/>
    <w:rsid w:val="00080E0A"/>
    <w:rsid w:val="000815F3"/>
    <w:rsid w:val="00081C95"/>
    <w:rsid w:val="00081EEA"/>
    <w:rsid w:val="0008272D"/>
    <w:rsid w:val="00082D88"/>
    <w:rsid w:val="00082E2A"/>
    <w:rsid w:val="00083562"/>
    <w:rsid w:val="00084AF3"/>
    <w:rsid w:val="00084C9E"/>
    <w:rsid w:val="00085403"/>
    <w:rsid w:val="00085585"/>
    <w:rsid w:val="00085E29"/>
    <w:rsid w:val="00085E52"/>
    <w:rsid w:val="00086121"/>
    <w:rsid w:val="00086177"/>
    <w:rsid w:val="000864A7"/>
    <w:rsid w:val="000869DE"/>
    <w:rsid w:val="00086F31"/>
    <w:rsid w:val="000908FE"/>
    <w:rsid w:val="00090E22"/>
    <w:rsid w:val="0009101D"/>
    <w:rsid w:val="00091CC6"/>
    <w:rsid w:val="00091FD9"/>
    <w:rsid w:val="0009215D"/>
    <w:rsid w:val="0009219A"/>
    <w:rsid w:val="0009292A"/>
    <w:rsid w:val="00092DF3"/>
    <w:rsid w:val="00093BA7"/>
    <w:rsid w:val="0009438B"/>
    <w:rsid w:val="0009494B"/>
    <w:rsid w:val="00094AEF"/>
    <w:rsid w:val="00095230"/>
    <w:rsid w:val="00095447"/>
    <w:rsid w:val="00095459"/>
    <w:rsid w:val="00095626"/>
    <w:rsid w:val="00095E46"/>
    <w:rsid w:val="0009611A"/>
    <w:rsid w:val="00097108"/>
    <w:rsid w:val="00097166"/>
    <w:rsid w:val="000975E8"/>
    <w:rsid w:val="00097DAE"/>
    <w:rsid w:val="000A01EE"/>
    <w:rsid w:val="000A0296"/>
    <w:rsid w:val="000A084D"/>
    <w:rsid w:val="000A0EA6"/>
    <w:rsid w:val="000A1448"/>
    <w:rsid w:val="000A17C3"/>
    <w:rsid w:val="000A2DC3"/>
    <w:rsid w:val="000A2F7D"/>
    <w:rsid w:val="000A32FE"/>
    <w:rsid w:val="000A3518"/>
    <w:rsid w:val="000A3636"/>
    <w:rsid w:val="000A392D"/>
    <w:rsid w:val="000A3A89"/>
    <w:rsid w:val="000A3FE6"/>
    <w:rsid w:val="000A466D"/>
    <w:rsid w:val="000A50B6"/>
    <w:rsid w:val="000A5BE6"/>
    <w:rsid w:val="000A624A"/>
    <w:rsid w:val="000A646A"/>
    <w:rsid w:val="000A64B6"/>
    <w:rsid w:val="000A6836"/>
    <w:rsid w:val="000A68AF"/>
    <w:rsid w:val="000A6AFB"/>
    <w:rsid w:val="000A6D4F"/>
    <w:rsid w:val="000A728F"/>
    <w:rsid w:val="000A76A0"/>
    <w:rsid w:val="000A7729"/>
    <w:rsid w:val="000A7857"/>
    <w:rsid w:val="000B0842"/>
    <w:rsid w:val="000B17F0"/>
    <w:rsid w:val="000B1A84"/>
    <w:rsid w:val="000B1BD6"/>
    <w:rsid w:val="000B1FBB"/>
    <w:rsid w:val="000B2176"/>
    <w:rsid w:val="000B2DBB"/>
    <w:rsid w:val="000B2E80"/>
    <w:rsid w:val="000B3019"/>
    <w:rsid w:val="000B3547"/>
    <w:rsid w:val="000B3917"/>
    <w:rsid w:val="000B3C52"/>
    <w:rsid w:val="000B41CC"/>
    <w:rsid w:val="000B49F7"/>
    <w:rsid w:val="000B57B3"/>
    <w:rsid w:val="000B59B1"/>
    <w:rsid w:val="000B5D85"/>
    <w:rsid w:val="000B6466"/>
    <w:rsid w:val="000B65C8"/>
    <w:rsid w:val="000B6BFA"/>
    <w:rsid w:val="000B6FAA"/>
    <w:rsid w:val="000B709E"/>
    <w:rsid w:val="000B7313"/>
    <w:rsid w:val="000B7385"/>
    <w:rsid w:val="000B7995"/>
    <w:rsid w:val="000C0638"/>
    <w:rsid w:val="000C08A8"/>
    <w:rsid w:val="000C1251"/>
    <w:rsid w:val="000C1446"/>
    <w:rsid w:val="000C1544"/>
    <w:rsid w:val="000C2495"/>
    <w:rsid w:val="000C24B5"/>
    <w:rsid w:val="000C2913"/>
    <w:rsid w:val="000C29F3"/>
    <w:rsid w:val="000C36BE"/>
    <w:rsid w:val="000C3B98"/>
    <w:rsid w:val="000C3CD6"/>
    <w:rsid w:val="000C435B"/>
    <w:rsid w:val="000C47EF"/>
    <w:rsid w:val="000C489A"/>
    <w:rsid w:val="000C4B8A"/>
    <w:rsid w:val="000C4BCA"/>
    <w:rsid w:val="000C588C"/>
    <w:rsid w:val="000C6D4C"/>
    <w:rsid w:val="000C78EB"/>
    <w:rsid w:val="000C799E"/>
    <w:rsid w:val="000D0732"/>
    <w:rsid w:val="000D0CCC"/>
    <w:rsid w:val="000D12D1"/>
    <w:rsid w:val="000D135A"/>
    <w:rsid w:val="000D157A"/>
    <w:rsid w:val="000D22A0"/>
    <w:rsid w:val="000D245C"/>
    <w:rsid w:val="000D24E3"/>
    <w:rsid w:val="000D27EE"/>
    <w:rsid w:val="000D2BA8"/>
    <w:rsid w:val="000D2EA7"/>
    <w:rsid w:val="000D2FDE"/>
    <w:rsid w:val="000D33FE"/>
    <w:rsid w:val="000D3F97"/>
    <w:rsid w:val="000D4ACA"/>
    <w:rsid w:val="000D4EA7"/>
    <w:rsid w:val="000D5068"/>
    <w:rsid w:val="000D53C3"/>
    <w:rsid w:val="000D5463"/>
    <w:rsid w:val="000D5B01"/>
    <w:rsid w:val="000D74C9"/>
    <w:rsid w:val="000D75CE"/>
    <w:rsid w:val="000D792B"/>
    <w:rsid w:val="000E11E6"/>
    <w:rsid w:val="000E126F"/>
    <w:rsid w:val="000E1F83"/>
    <w:rsid w:val="000E2FE8"/>
    <w:rsid w:val="000E2FEB"/>
    <w:rsid w:val="000E37FC"/>
    <w:rsid w:val="000E3DD8"/>
    <w:rsid w:val="000E42D6"/>
    <w:rsid w:val="000E5159"/>
    <w:rsid w:val="000E5448"/>
    <w:rsid w:val="000E54AA"/>
    <w:rsid w:val="000E54FC"/>
    <w:rsid w:val="000E5532"/>
    <w:rsid w:val="000E6C86"/>
    <w:rsid w:val="000E6E6A"/>
    <w:rsid w:val="000E70E4"/>
    <w:rsid w:val="000E7E40"/>
    <w:rsid w:val="000E7E6F"/>
    <w:rsid w:val="000E7FCD"/>
    <w:rsid w:val="000F0677"/>
    <w:rsid w:val="000F0A04"/>
    <w:rsid w:val="000F0E21"/>
    <w:rsid w:val="000F1049"/>
    <w:rsid w:val="000F1475"/>
    <w:rsid w:val="000F15AA"/>
    <w:rsid w:val="000F16B6"/>
    <w:rsid w:val="000F1B66"/>
    <w:rsid w:val="000F217B"/>
    <w:rsid w:val="000F2427"/>
    <w:rsid w:val="000F2510"/>
    <w:rsid w:val="000F2922"/>
    <w:rsid w:val="000F343B"/>
    <w:rsid w:val="000F3800"/>
    <w:rsid w:val="000F3CBC"/>
    <w:rsid w:val="000F3E46"/>
    <w:rsid w:val="000F3F3A"/>
    <w:rsid w:val="000F436D"/>
    <w:rsid w:val="000F47AD"/>
    <w:rsid w:val="000F4F9F"/>
    <w:rsid w:val="000F566E"/>
    <w:rsid w:val="000F63BE"/>
    <w:rsid w:val="000F6F86"/>
    <w:rsid w:val="000F70B2"/>
    <w:rsid w:val="0010026F"/>
    <w:rsid w:val="001005B6"/>
    <w:rsid w:val="0010087D"/>
    <w:rsid w:val="001018AA"/>
    <w:rsid w:val="00102F86"/>
    <w:rsid w:val="00103272"/>
    <w:rsid w:val="00103EB7"/>
    <w:rsid w:val="00103FCF"/>
    <w:rsid w:val="001049F7"/>
    <w:rsid w:val="00105359"/>
    <w:rsid w:val="001054B3"/>
    <w:rsid w:val="0010595A"/>
    <w:rsid w:val="00105C73"/>
    <w:rsid w:val="00106039"/>
    <w:rsid w:val="0010658F"/>
    <w:rsid w:val="0010678B"/>
    <w:rsid w:val="00106C7B"/>
    <w:rsid w:val="00106E22"/>
    <w:rsid w:val="0010704E"/>
    <w:rsid w:val="00107356"/>
    <w:rsid w:val="00107D4A"/>
    <w:rsid w:val="001105C9"/>
    <w:rsid w:val="001109FD"/>
    <w:rsid w:val="00110CD6"/>
    <w:rsid w:val="0011131F"/>
    <w:rsid w:val="00111686"/>
    <w:rsid w:val="001116CF"/>
    <w:rsid w:val="00111AF1"/>
    <w:rsid w:val="00111D22"/>
    <w:rsid w:val="001121FB"/>
    <w:rsid w:val="001125C5"/>
    <w:rsid w:val="0011277C"/>
    <w:rsid w:val="00112AEC"/>
    <w:rsid w:val="00112C2F"/>
    <w:rsid w:val="00113982"/>
    <w:rsid w:val="00113BB4"/>
    <w:rsid w:val="00113FDE"/>
    <w:rsid w:val="00114DBF"/>
    <w:rsid w:val="001159CA"/>
    <w:rsid w:val="00115EDF"/>
    <w:rsid w:val="00115FD2"/>
    <w:rsid w:val="00116383"/>
    <w:rsid w:val="00116D2C"/>
    <w:rsid w:val="00120340"/>
    <w:rsid w:val="00120D18"/>
    <w:rsid w:val="00120EA0"/>
    <w:rsid w:val="001219A8"/>
    <w:rsid w:val="00121BEE"/>
    <w:rsid w:val="00122A66"/>
    <w:rsid w:val="00122FBE"/>
    <w:rsid w:val="0012377F"/>
    <w:rsid w:val="00124B81"/>
    <w:rsid w:val="001251C6"/>
    <w:rsid w:val="00125B5F"/>
    <w:rsid w:val="00125D28"/>
    <w:rsid w:val="001264FA"/>
    <w:rsid w:val="00130179"/>
    <w:rsid w:val="00130B02"/>
    <w:rsid w:val="001316C3"/>
    <w:rsid w:val="00131966"/>
    <w:rsid w:val="00131D73"/>
    <w:rsid w:val="00131DF0"/>
    <w:rsid w:val="001321C9"/>
    <w:rsid w:val="001326ED"/>
    <w:rsid w:val="00133361"/>
    <w:rsid w:val="0013362C"/>
    <w:rsid w:val="00133D93"/>
    <w:rsid w:val="00134A0C"/>
    <w:rsid w:val="00134E96"/>
    <w:rsid w:val="00135AB5"/>
    <w:rsid w:val="00135E28"/>
    <w:rsid w:val="00136775"/>
    <w:rsid w:val="00136E3E"/>
    <w:rsid w:val="00136EB4"/>
    <w:rsid w:val="0013741B"/>
    <w:rsid w:val="00137CC8"/>
    <w:rsid w:val="00137CFF"/>
    <w:rsid w:val="00137ED7"/>
    <w:rsid w:val="001404F5"/>
    <w:rsid w:val="0014190E"/>
    <w:rsid w:val="00142421"/>
    <w:rsid w:val="001426DC"/>
    <w:rsid w:val="001426F0"/>
    <w:rsid w:val="001428A7"/>
    <w:rsid w:val="00142B4E"/>
    <w:rsid w:val="00142E0D"/>
    <w:rsid w:val="0014359C"/>
    <w:rsid w:val="00144529"/>
    <w:rsid w:val="00144719"/>
    <w:rsid w:val="00144D01"/>
    <w:rsid w:val="0014500B"/>
    <w:rsid w:val="00145157"/>
    <w:rsid w:val="001453C7"/>
    <w:rsid w:val="00146463"/>
    <w:rsid w:val="001464A1"/>
    <w:rsid w:val="00146A03"/>
    <w:rsid w:val="001471E8"/>
    <w:rsid w:val="001474CB"/>
    <w:rsid w:val="00147530"/>
    <w:rsid w:val="00147571"/>
    <w:rsid w:val="00147772"/>
    <w:rsid w:val="001478F5"/>
    <w:rsid w:val="00147976"/>
    <w:rsid w:val="00147CE8"/>
    <w:rsid w:val="00147F7C"/>
    <w:rsid w:val="00150A48"/>
    <w:rsid w:val="0015224C"/>
    <w:rsid w:val="00153BA9"/>
    <w:rsid w:val="00154236"/>
    <w:rsid w:val="001542B6"/>
    <w:rsid w:val="00154565"/>
    <w:rsid w:val="001547F2"/>
    <w:rsid w:val="001555F2"/>
    <w:rsid w:val="001557F0"/>
    <w:rsid w:val="00155896"/>
    <w:rsid w:val="001559F6"/>
    <w:rsid w:val="00155C09"/>
    <w:rsid w:val="00156418"/>
    <w:rsid w:val="001567AE"/>
    <w:rsid w:val="00156C36"/>
    <w:rsid w:val="00157D8C"/>
    <w:rsid w:val="00160100"/>
    <w:rsid w:val="001603E9"/>
    <w:rsid w:val="001607C3"/>
    <w:rsid w:val="0016121F"/>
    <w:rsid w:val="0016136B"/>
    <w:rsid w:val="00161E5E"/>
    <w:rsid w:val="001620E2"/>
    <w:rsid w:val="00162EEF"/>
    <w:rsid w:val="001631FA"/>
    <w:rsid w:val="00163C86"/>
    <w:rsid w:val="00164605"/>
    <w:rsid w:val="00164A80"/>
    <w:rsid w:val="00165AA1"/>
    <w:rsid w:val="001661F2"/>
    <w:rsid w:val="00166496"/>
    <w:rsid w:val="001665D3"/>
    <w:rsid w:val="00166805"/>
    <w:rsid w:val="00166E96"/>
    <w:rsid w:val="00166F64"/>
    <w:rsid w:val="00167137"/>
    <w:rsid w:val="001703D2"/>
    <w:rsid w:val="0017051E"/>
    <w:rsid w:val="0017057D"/>
    <w:rsid w:val="00170999"/>
    <w:rsid w:val="00170B2D"/>
    <w:rsid w:val="00171275"/>
    <w:rsid w:val="0017206B"/>
    <w:rsid w:val="00172104"/>
    <w:rsid w:val="00172176"/>
    <w:rsid w:val="001721B7"/>
    <w:rsid w:val="001723C8"/>
    <w:rsid w:val="00172A27"/>
    <w:rsid w:val="00172E1D"/>
    <w:rsid w:val="001730EA"/>
    <w:rsid w:val="001736A9"/>
    <w:rsid w:val="00173759"/>
    <w:rsid w:val="00173F7C"/>
    <w:rsid w:val="00173FFB"/>
    <w:rsid w:val="0017491B"/>
    <w:rsid w:val="00174A55"/>
    <w:rsid w:val="00174AAA"/>
    <w:rsid w:val="00174CC5"/>
    <w:rsid w:val="0017532C"/>
    <w:rsid w:val="001754D0"/>
    <w:rsid w:val="00175785"/>
    <w:rsid w:val="001758C9"/>
    <w:rsid w:val="00175AF3"/>
    <w:rsid w:val="00176154"/>
    <w:rsid w:val="0017775D"/>
    <w:rsid w:val="00177C05"/>
    <w:rsid w:val="00180F3D"/>
    <w:rsid w:val="001812B2"/>
    <w:rsid w:val="00181943"/>
    <w:rsid w:val="00181E60"/>
    <w:rsid w:val="001820FF"/>
    <w:rsid w:val="00182C11"/>
    <w:rsid w:val="00182C2B"/>
    <w:rsid w:val="00183093"/>
    <w:rsid w:val="001830E3"/>
    <w:rsid w:val="0018358C"/>
    <w:rsid w:val="0018361D"/>
    <w:rsid w:val="00183760"/>
    <w:rsid w:val="001842F1"/>
    <w:rsid w:val="00184581"/>
    <w:rsid w:val="001846D0"/>
    <w:rsid w:val="00184C4A"/>
    <w:rsid w:val="00184E04"/>
    <w:rsid w:val="00184F30"/>
    <w:rsid w:val="00185648"/>
    <w:rsid w:val="001861C3"/>
    <w:rsid w:val="0018627C"/>
    <w:rsid w:val="00186A9C"/>
    <w:rsid w:val="00186C2C"/>
    <w:rsid w:val="00186C65"/>
    <w:rsid w:val="00187884"/>
    <w:rsid w:val="00187A27"/>
    <w:rsid w:val="00187E86"/>
    <w:rsid w:val="00187E95"/>
    <w:rsid w:val="00187FE3"/>
    <w:rsid w:val="0019010A"/>
    <w:rsid w:val="00190144"/>
    <w:rsid w:val="00190427"/>
    <w:rsid w:val="00190789"/>
    <w:rsid w:val="00190C30"/>
    <w:rsid w:val="00191303"/>
    <w:rsid w:val="001916FF"/>
    <w:rsid w:val="00192A9B"/>
    <w:rsid w:val="00192C4D"/>
    <w:rsid w:val="00192E12"/>
    <w:rsid w:val="00192EE4"/>
    <w:rsid w:val="00193179"/>
    <w:rsid w:val="001932D2"/>
    <w:rsid w:val="00193675"/>
    <w:rsid w:val="0019410C"/>
    <w:rsid w:val="001941D5"/>
    <w:rsid w:val="001952BB"/>
    <w:rsid w:val="00195827"/>
    <w:rsid w:val="00195A38"/>
    <w:rsid w:val="0019610C"/>
    <w:rsid w:val="00196673"/>
    <w:rsid w:val="001971B3"/>
    <w:rsid w:val="00197892"/>
    <w:rsid w:val="001A006C"/>
    <w:rsid w:val="001A0149"/>
    <w:rsid w:val="001A0B22"/>
    <w:rsid w:val="001A0F28"/>
    <w:rsid w:val="001A1197"/>
    <w:rsid w:val="001A1547"/>
    <w:rsid w:val="001A1840"/>
    <w:rsid w:val="001A2258"/>
    <w:rsid w:val="001A3AB0"/>
    <w:rsid w:val="001A4620"/>
    <w:rsid w:val="001A4712"/>
    <w:rsid w:val="001A5DCA"/>
    <w:rsid w:val="001A6BB6"/>
    <w:rsid w:val="001A6C8A"/>
    <w:rsid w:val="001A74D8"/>
    <w:rsid w:val="001A7761"/>
    <w:rsid w:val="001A7FE7"/>
    <w:rsid w:val="001B11A0"/>
    <w:rsid w:val="001B1BFD"/>
    <w:rsid w:val="001B1C2E"/>
    <w:rsid w:val="001B1CF2"/>
    <w:rsid w:val="001B1ECA"/>
    <w:rsid w:val="001B2333"/>
    <w:rsid w:val="001B28AD"/>
    <w:rsid w:val="001B297F"/>
    <w:rsid w:val="001B2D60"/>
    <w:rsid w:val="001B2EA4"/>
    <w:rsid w:val="001B311B"/>
    <w:rsid w:val="001B313F"/>
    <w:rsid w:val="001B31B9"/>
    <w:rsid w:val="001B35FF"/>
    <w:rsid w:val="001B47C1"/>
    <w:rsid w:val="001B4982"/>
    <w:rsid w:val="001B4B5D"/>
    <w:rsid w:val="001B4DE7"/>
    <w:rsid w:val="001B4E5D"/>
    <w:rsid w:val="001B4F8B"/>
    <w:rsid w:val="001B602B"/>
    <w:rsid w:val="001B66DF"/>
    <w:rsid w:val="001B6C3A"/>
    <w:rsid w:val="001B6E6A"/>
    <w:rsid w:val="001B777E"/>
    <w:rsid w:val="001C0E77"/>
    <w:rsid w:val="001C156A"/>
    <w:rsid w:val="001C15F7"/>
    <w:rsid w:val="001C1868"/>
    <w:rsid w:val="001C18E8"/>
    <w:rsid w:val="001C202E"/>
    <w:rsid w:val="001C2F68"/>
    <w:rsid w:val="001C3126"/>
    <w:rsid w:val="001C3F1B"/>
    <w:rsid w:val="001C4921"/>
    <w:rsid w:val="001C535C"/>
    <w:rsid w:val="001C5763"/>
    <w:rsid w:val="001C5954"/>
    <w:rsid w:val="001C5A3E"/>
    <w:rsid w:val="001C5D4E"/>
    <w:rsid w:val="001C678A"/>
    <w:rsid w:val="001C69C4"/>
    <w:rsid w:val="001C7459"/>
    <w:rsid w:val="001C769F"/>
    <w:rsid w:val="001C76AA"/>
    <w:rsid w:val="001C7DBD"/>
    <w:rsid w:val="001D0410"/>
    <w:rsid w:val="001D04A9"/>
    <w:rsid w:val="001D0AAE"/>
    <w:rsid w:val="001D0B56"/>
    <w:rsid w:val="001D0D09"/>
    <w:rsid w:val="001D0F67"/>
    <w:rsid w:val="001D137C"/>
    <w:rsid w:val="001D183A"/>
    <w:rsid w:val="001D1D13"/>
    <w:rsid w:val="001D20E1"/>
    <w:rsid w:val="001D213C"/>
    <w:rsid w:val="001D27B2"/>
    <w:rsid w:val="001D3591"/>
    <w:rsid w:val="001D4844"/>
    <w:rsid w:val="001D4A21"/>
    <w:rsid w:val="001D519E"/>
    <w:rsid w:val="001D5961"/>
    <w:rsid w:val="001D5FBE"/>
    <w:rsid w:val="001D60F7"/>
    <w:rsid w:val="001D627D"/>
    <w:rsid w:val="001D6581"/>
    <w:rsid w:val="001D7093"/>
    <w:rsid w:val="001D7398"/>
    <w:rsid w:val="001D7A79"/>
    <w:rsid w:val="001D7D57"/>
    <w:rsid w:val="001D7F28"/>
    <w:rsid w:val="001E0353"/>
    <w:rsid w:val="001E0377"/>
    <w:rsid w:val="001E07AF"/>
    <w:rsid w:val="001E0D98"/>
    <w:rsid w:val="001E0F8A"/>
    <w:rsid w:val="001E2157"/>
    <w:rsid w:val="001E292F"/>
    <w:rsid w:val="001E36F1"/>
    <w:rsid w:val="001E39C5"/>
    <w:rsid w:val="001E4602"/>
    <w:rsid w:val="001E49E0"/>
    <w:rsid w:val="001E564D"/>
    <w:rsid w:val="001E5836"/>
    <w:rsid w:val="001E5D25"/>
    <w:rsid w:val="001E5EAA"/>
    <w:rsid w:val="001E6120"/>
    <w:rsid w:val="001E64A4"/>
    <w:rsid w:val="001E683A"/>
    <w:rsid w:val="001E6FF9"/>
    <w:rsid w:val="001E7524"/>
    <w:rsid w:val="001E7BF9"/>
    <w:rsid w:val="001E7CE9"/>
    <w:rsid w:val="001F0893"/>
    <w:rsid w:val="001F0DF4"/>
    <w:rsid w:val="001F14E6"/>
    <w:rsid w:val="001F174B"/>
    <w:rsid w:val="001F1962"/>
    <w:rsid w:val="001F2A6E"/>
    <w:rsid w:val="001F2B03"/>
    <w:rsid w:val="001F2CE7"/>
    <w:rsid w:val="001F2D1E"/>
    <w:rsid w:val="001F3D4A"/>
    <w:rsid w:val="001F4398"/>
    <w:rsid w:val="001F55C1"/>
    <w:rsid w:val="001F5891"/>
    <w:rsid w:val="001F6C35"/>
    <w:rsid w:val="001F6EC8"/>
    <w:rsid w:val="001F6ECD"/>
    <w:rsid w:val="001F743B"/>
    <w:rsid w:val="002002C0"/>
    <w:rsid w:val="00200EC7"/>
    <w:rsid w:val="002012BB"/>
    <w:rsid w:val="00201757"/>
    <w:rsid w:val="00201DD5"/>
    <w:rsid w:val="002034F3"/>
    <w:rsid w:val="0020386B"/>
    <w:rsid w:val="00204191"/>
    <w:rsid w:val="00204366"/>
    <w:rsid w:val="00204912"/>
    <w:rsid w:val="00205070"/>
    <w:rsid w:val="00205BAD"/>
    <w:rsid w:val="00205C13"/>
    <w:rsid w:val="00205CD2"/>
    <w:rsid w:val="00206D0A"/>
    <w:rsid w:val="002078DF"/>
    <w:rsid w:val="00210C0D"/>
    <w:rsid w:val="00210F64"/>
    <w:rsid w:val="00210FF3"/>
    <w:rsid w:val="002110EB"/>
    <w:rsid w:val="00211291"/>
    <w:rsid w:val="0021173A"/>
    <w:rsid w:val="00211D59"/>
    <w:rsid w:val="0021207B"/>
    <w:rsid w:val="002121A4"/>
    <w:rsid w:val="00212800"/>
    <w:rsid w:val="002130AF"/>
    <w:rsid w:val="00213151"/>
    <w:rsid w:val="002134C9"/>
    <w:rsid w:val="00213570"/>
    <w:rsid w:val="00213784"/>
    <w:rsid w:val="002138B4"/>
    <w:rsid w:val="00213FF4"/>
    <w:rsid w:val="0021452B"/>
    <w:rsid w:val="0021457F"/>
    <w:rsid w:val="00215290"/>
    <w:rsid w:val="002156F3"/>
    <w:rsid w:val="002157AA"/>
    <w:rsid w:val="002157D0"/>
    <w:rsid w:val="002158C8"/>
    <w:rsid w:val="00215AD2"/>
    <w:rsid w:val="0021627A"/>
    <w:rsid w:val="00216BA0"/>
    <w:rsid w:val="00217DDD"/>
    <w:rsid w:val="002200B1"/>
    <w:rsid w:val="00221EDB"/>
    <w:rsid w:val="00222F9F"/>
    <w:rsid w:val="00223B13"/>
    <w:rsid w:val="00223F35"/>
    <w:rsid w:val="002242D6"/>
    <w:rsid w:val="00224699"/>
    <w:rsid w:val="00224E3A"/>
    <w:rsid w:val="00225604"/>
    <w:rsid w:val="0022570A"/>
    <w:rsid w:val="00225804"/>
    <w:rsid w:val="00225BF8"/>
    <w:rsid w:val="0022638A"/>
    <w:rsid w:val="00226831"/>
    <w:rsid w:val="00226E27"/>
    <w:rsid w:val="00226F5C"/>
    <w:rsid w:val="002273DA"/>
    <w:rsid w:val="0022763B"/>
    <w:rsid w:val="00227C39"/>
    <w:rsid w:val="002305D4"/>
    <w:rsid w:val="002308D4"/>
    <w:rsid w:val="00230E08"/>
    <w:rsid w:val="0023132E"/>
    <w:rsid w:val="0023165D"/>
    <w:rsid w:val="00231C49"/>
    <w:rsid w:val="00231DD8"/>
    <w:rsid w:val="00232097"/>
    <w:rsid w:val="00232886"/>
    <w:rsid w:val="00232901"/>
    <w:rsid w:val="002330BE"/>
    <w:rsid w:val="002338D5"/>
    <w:rsid w:val="00233B93"/>
    <w:rsid w:val="00233E12"/>
    <w:rsid w:val="002345DE"/>
    <w:rsid w:val="002347F5"/>
    <w:rsid w:val="00234859"/>
    <w:rsid w:val="00234C81"/>
    <w:rsid w:val="0023507D"/>
    <w:rsid w:val="002359C6"/>
    <w:rsid w:val="002367D2"/>
    <w:rsid w:val="00236A4F"/>
    <w:rsid w:val="00236C56"/>
    <w:rsid w:val="0023715A"/>
    <w:rsid w:val="00237CAE"/>
    <w:rsid w:val="00237E0E"/>
    <w:rsid w:val="00237E50"/>
    <w:rsid w:val="00240A2C"/>
    <w:rsid w:val="00240D64"/>
    <w:rsid w:val="002410BD"/>
    <w:rsid w:val="002411F6"/>
    <w:rsid w:val="00241854"/>
    <w:rsid w:val="0024282D"/>
    <w:rsid w:val="00242D3D"/>
    <w:rsid w:val="00242EBE"/>
    <w:rsid w:val="00243E41"/>
    <w:rsid w:val="00244446"/>
    <w:rsid w:val="00244C9D"/>
    <w:rsid w:val="00245346"/>
    <w:rsid w:val="00245779"/>
    <w:rsid w:val="002458A9"/>
    <w:rsid w:val="00245FAD"/>
    <w:rsid w:val="00246471"/>
    <w:rsid w:val="002465E9"/>
    <w:rsid w:val="002465F8"/>
    <w:rsid w:val="002466BD"/>
    <w:rsid w:val="00246704"/>
    <w:rsid w:val="002469B5"/>
    <w:rsid w:val="002469F5"/>
    <w:rsid w:val="00246FC9"/>
    <w:rsid w:val="0024728B"/>
    <w:rsid w:val="002476FD"/>
    <w:rsid w:val="00247C34"/>
    <w:rsid w:val="002504CA"/>
    <w:rsid w:val="002505EF"/>
    <w:rsid w:val="002506BC"/>
    <w:rsid w:val="002512F3"/>
    <w:rsid w:val="00251EBF"/>
    <w:rsid w:val="002528C9"/>
    <w:rsid w:val="00252E2A"/>
    <w:rsid w:val="00253BC9"/>
    <w:rsid w:val="00253C71"/>
    <w:rsid w:val="00254A2A"/>
    <w:rsid w:val="00254B3F"/>
    <w:rsid w:val="002553F2"/>
    <w:rsid w:val="002558AB"/>
    <w:rsid w:val="002560D1"/>
    <w:rsid w:val="0025666A"/>
    <w:rsid w:val="002567BC"/>
    <w:rsid w:val="00256E43"/>
    <w:rsid w:val="0025759F"/>
    <w:rsid w:val="00257672"/>
    <w:rsid w:val="00257816"/>
    <w:rsid w:val="002600EB"/>
    <w:rsid w:val="00260CD8"/>
    <w:rsid w:val="0026105B"/>
    <w:rsid w:val="00261A97"/>
    <w:rsid w:val="002632D9"/>
    <w:rsid w:val="002638E7"/>
    <w:rsid w:val="0026397C"/>
    <w:rsid w:val="00263AEF"/>
    <w:rsid w:val="00264165"/>
    <w:rsid w:val="002642AF"/>
    <w:rsid w:val="00264932"/>
    <w:rsid w:val="00264EF5"/>
    <w:rsid w:val="00264FCD"/>
    <w:rsid w:val="00265FB9"/>
    <w:rsid w:val="0026642F"/>
    <w:rsid w:val="0026680F"/>
    <w:rsid w:val="00266E6E"/>
    <w:rsid w:val="00267072"/>
    <w:rsid w:val="002674B7"/>
    <w:rsid w:val="00270585"/>
    <w:rsid w:val="00270778"/>
    <w:rsid w:val="00270A40"/>
    <w:rsid w:val="00271151"/>
    <w:rsid w:val="0027248C"/>
    <w:rsid w:val="002727FF"/>
    <w:rsid w:val="00272D6D"/>
    <w:rsid w:val="00273005"/>
    <w:rsid w:val="002733B5"/>
    <w:rsid w:val="00273633"/>
    <w:rsid w:val="00273EFE"/>
    <w:rsid w:val="0027472C"/>
    <w:rsid w:val="002748A2"/>
    <w:rsid w:val="002750F0"/>
    <w:rsid w:val="00275686"/>
    <w:rsid w:val="00276160"/>
    <w:rsid w:val="00276A23"/>
    <w:rsid w:val="00276A35"/>
    <w:rsid w:val="002770B3"/>
    <w:rsid w:val="00277165"/>
    <w:rsid w:val="002771C1"/>
    <w:rsid w:val="00277431"/>
    <w:rsid w:val="0027773F"/>
    <w:rsid w:val="002777F4"/>
    <w:rsid w:val="00277D66"/>
    <w:rsid w:val="00280017"/>
    <w:rsid w:val="00280422"/>
    <w:rsid w:val="002806F3"/>
    <w:rsid w:val="002807D1"/>
    <w:rsid w:val="002808E9"/>
    <w:rsid w:val="00280A7B"/>
    <w:rsid w:val="00280B0F"/>
    <w:rsid w:val="00280B99"/>
    <w:rsid w:val="00280EC0"/>
    <w:rsid w:val="002810A0"/>
    <w:rsid w:val="00281515"/>
    <w:rsid w:val="00281F7E"/>
    <w:rsid w:val="002822C2"/>
    <w:rsid w:val="00282366"/>
    <w:rsid w:val="00282392"/>
    <w:rsid w:val="0028246D"/>
    <w:rsid w:val="002827D0"/>
    <w:rsid w:val="0028294B"/>
    <w:rsid w:val="00282D86"/>
    <w:rsid w:val="002833CD"/>
    <w:rsid w:val="00283499"/>
    <w:rsid w:val="00283ACC"/>
    <w:rsid w:val="0028482A"/>
    <w:rsid w:val="002852C0"/>
    <w:rsid w:val="002872CD"/>
    <w:rsid w:val="0028742E"/>
    <w:rsid w:val="00287563"/>
    <w:rsid w:val="002878C0"/>
    <w:rsid w:val="00291824"/>
    <w:rsid w:val="00291F8D"/>
    <w:rsid w:val="0029244E"/>
    <w:rsid w:val="002937EC"/>
    <w:rsid w:val="00294473"/>
    <w:rsid w:val="002963BE"/>
    <w:rsid w:val="00296535"/>
    <w:rsid w:val="0029691B"/>
    <w:rsid w:val="00296EE6"/>
    <w:rsid w:val="00297414"/>
    <w:rsid w:val="002974B2"/>
    <w:rsid w:val="002A00E0"/>
    <w:rsid w:val="002A00E4"/>
    <w:rsid w:val="002A0C92"/>
    <w:rsid w:val="002A132B"/>
    <w:rsid w:val="002A1714"/>
    <w:rsid w:val="002A2021"/>
    <w:rsid w:val="002A20A2"/>
    <w:rsid w:val="002A2113"/>
    <w:rsid w:val="002A21B9"/>
    <w:rsid w:val="002A2228"/>
    <w:rsid w:val="002A2D46"/>
    <w:rsid w:val="002A2FB8"/>
    <w:rsid w:val="002A3227"/>
    <w:rsid w:val="002A322C"/>
    <w:rsid w:val="002A3A34"/>
    <w:rsid w:val="002A3AB1"/>
    <w:rsid w:val="002A3D1A"/>
    <w:rsid w:val="002A3F27"/>
    <w:rsid w:val="002A4195"/>
    <w:rsid w:val="002A448F"/>
    <w:rsid w:val="002A4FB2"/>
    <w:rsid w:val="002A5932"/>
    <w:rsid w:val="002A5B83"/>
    <w:rsid w:val="002A5E22"/>
    <w:rsid w:val="002A7057"/>
    <w:rsid w:val="002A72D6"/>
    <w:rsid w:val="002A7361"/>
    <w:rsid w:val="002A76AC"/>
    <w:rsid w:val="002A79EB"/>
    <w:rsid w:val="002A7C7E"/>
    <w:rsid w:val="002B00AA"/>
    <w:rsid w:val="002B0737"/>
    <w:rsid w:val="002B119F"/>
    <w:rsid w:val="002B1653"/>
    <w:rsid w:val="002B1B82"/>
    <w:rsid w:val="002B1BE9"/>
    <w:rsid w:val="002B2034"/>
    <w:rsid w:val="002B2094"/>
    <w:rsid w:val="002B24F2"/>
    <w:rsid w:val="002B2A09"/>
    <w:rsid w:val="002B2F40"/>
    <w:rsid w:val="002B39F9"/>
    <w:rsid w:val="002B4B07"/>
    <w:rsid w:val="002B530F"/>
    <w:rsid w:val="002B5463"/>
    <w:rsid w:val="002B5BB6"/>
    <w:rsid w:val="002B640A"/>
    <w:rsid w:val="002B670C"/>
    <w:rsid w:val="002B691F"/>
    <w:rsid w:val="002B7853"/>
    <w:rsid w:val="002B7AC0"/>
    <w:rsid w:val="002B7D11"/>
    <w:rsid w:val="002C0033"/>
    <w:rsid w:val="002C055D"/>
    <w:rsid w:val="002C0590"/>
    <w:rsid w:val="002C0AED"/>
    <w:rsid w:val="002C0C06"/>
    <w:rsid w:val="002C1683"/>
    <w:rsid w:val="002C16C8"/>
    <w:rsid w:val="002C1EEE"/>
    <w:rsid w:val="002C2116"/>
    <w:rsid w:val="002C27EC"/>
    <w:rsid w:val="002C2A6E"/>
    <w:rsid w:val="002C2EA8"/>
    <w:rsid w:val="002C3359"/>
    <w:rsid w:val="002C34EE"/>
    <w:rsid w:val="002C3639"/>
    <w:rsid w:val="002C3911"/>
    <w:rsid w:val="002C395E"/>
    <w:rsid w:val="002C44DD"/>
    <w:rsid w:val="002C4536"/>
    <w:rsid w:val="002C4555"/>
    <w:rsid w:val="002C507C"/>
    <w:rsid w:val="002C5441"/>
    <w:rsid w:val="002C574C"/>
    <w:rsid w:val="002C5DA0"/>
    <w:rsid w:val="002C5E58"/>
    <w:rsid w:val="002C6ACA"/>
    <w:rsid w:val="002C6EE9"/>
    <w:rsid w:val="002D0129"/>
    <w:rsid w:val="002D01A2"/>
    <w:rsid w:val="002D041A"/>
    <w:rsid w:val="002D0534"/>
    <w:rsid w:val="002D0947"/>
    <w:rsid w:val="002D2161"/>
    <w:rsid w:val="002D2AD4"/>
    <w:rsid w:val="002D2B36"/>
    <w:rsid w:val="002D2D57"/>
    <w:rsid w:val="002D30ED"/>
    <w:rsid w:val="002D3164"/>
    <w:rsid w:val="002D3924"/>
    <w:rsid w:val="002D3F0E"/>
    <w:rsid w:val="002D4115"/>
    <w:rsid w:val="002D4B17"/>
    <w:rsid w:val="002D4C82"/>
    <w:rsid w:val="002D4FAB"/>
    <w:rsid w:val="002D4FD1"/>
    <w:rsid w:val="002D5016"/>
    <w:rsid w:val="002D60C3"/>
    <w:rsid w:val="002D613F"/>
    <w:rsid w:val="002D6B89"/>
    <w:rsid w:val="002D6F37"/>
    <w:rsid w:val="002D74F2"/>
    <w:rsid w:val="002D767F"/>
    <w:rsid w:val="002D773E"/>
    <w:rsid w:val="002E025F"/>
    <w:rsid w:val="002E0C34"/>
    <w:rsid w:val="002E1196"/>
    <w:rsid w:val="002E12D3"/>
    <w:rsid w:val="002E13E8"/>
    <w:rsid w:val="002E1960"/>
    <w:rsid w:val="002E1C26"/>
    <w:rsid w:val="002E269A"/>
    <w:rsid w:val="002E2D90"/>
    <w:rsid w:val="002E2DEC"/>
    <w:rsid w:val="002E3B20"/>
    <w:rsid w:val="002E3B6D"/>
    <w:rsid w:val="002E63A1"/>
    <w:rsid w:val="002E6B87"/>
    <w:rsid w:val="002E7061"/>
    <w:rsid w:val="002E7245"/>
    <w:rsid w:val="002E7910"/>
    <w:rsid w:val="002E79EB"/>
    <w:rsid w:val="002F0930"/>
    <w:rsid w:val="002F0C66"/>
    <w:rsid w:val="002F0D90"/>
    <w:rsid w:val="002F1289"/>
    <w:rsid w:val="002F1492"/>
    <w:rsid w:val="002F1775"/>
    <w:rsid w:val="002F1D7B"/>
    <w:rsid w:val="002F375B"/>
    <w:rsid w:val="002F38EA"/>
    <w:rsid w:val="002F420E"/>
    <w:rsid w:val="002F429A"/>
    <w:rsid w:val="002F4D86"/>
    <w:rsid w:val="002F4F3C"/>
    <w:rsid w:val="002F5BC6"/>
    <w:rsid w:val="002F5D2A"/>
    <w:rsid w:val="002F695D"/>
    <w:rsid w:val="002F75A0"/>
    <w:rsid w:val="002F767F"/>
    <w:rsid w:val="0030009E"/>
    <w:rsid w:val="003000AE"/>
    <w:rsid w:val="003004AB"/>
    <w:rsid w:val="00300646"/>
    <w:rsid w:val="00300649"/>
    <w:rsid w:val="00301472"/>
    <w:rsid w:val="0030182A"/>
    <w:rsid w:val="0030189E"/>
    <w:rsid w:val="00301E2F"/>
    <w:rsid w:val="003021B7"/>
    <w:rsid w:val="00302297"/>
    <w:rsid w:val="00302AF2"/>
    <w:rsid w:val="00302CF5"/>
    <w:rsid w:val="00302D68"/>
    <w:rsid w:val="003032CB"/>
    <w:rsid w:val="003033AB"/>
    <w:rsid w:val="00304204"/>
    <w:rsid w:val="00304883"/>
    <w:rsid w:val="00304C9C"/>
    <w:rsid w:val="0030594A"/>
    <w:rsid w:val="0030715D"/>
    <w:rsid w:val="0030750C"/>
    <w:rsid w:val="00307D6C"/>
    <w:rsid w:val="0031031C"/>
    <w:rsid w:val="00310556"/>
    <w:rsid w:val="00310FD6"/>
    <w:rsid w:val="003110EF"/>
    <w:rsid w:val="0031127F"/>
    <w:rsid w:val="00311625"/>
    <w:rsid w:val="00312001"/>
    <w:rsid w:val="00312781"/>
    <w:rsid w:val="0031297D"/>
    <w:rsid w:val="00313CDA"/>
    <w:rsid w:val="003145DD"/>
    <w:rsid w:val="003147DD"/>
    <w:rsid w:val="00314F4E"/>
    <w:rsid w:val="00315292"/>
    <w:rsid w:val="00315998"/>
    <w:rsid w:val="00315A3A"/>
    <w:rsid w:val="00316728"/>
    <w:rsid w:val="00316A6A"/>
    <w:rsid w:val="00316DC2"/>
    <w:rsid w:val="00317595"/>
    <w:rsid w:val="003177A4"/>
    <w:rsid w:val="00317A80"/>
    <w:rsid w:val="00317B9D"/>
    <w:rsid w:val="00320C94"/>
    <w:rsid w:val="00320EC6"/>
    <w:rsid w:val="00321D76"/>
    <w:rsid w:val="00321E75"/>
    <w:rsid w:val="00322144"/>
    <w:rsid w:val="0032216D"/>
    <w:rsid w:val="00322432"/>
    <w:rsid w:val="00322639"/>
    <w:rsid w:val="00322976"/>
    <w:rsid w:val="00322A3E"/>
    <w:rsid w:val="00323C3F"/>
    <w:rsid w:val="0032425D"/>
    <w:rsid w:val="00324371"/>
    <w:rsid w:val="00324549"/>
    <w:rsid w:val="003249E6"/>
    <w:rsid w:val="00325CEA"/>
    <w:rsid w:val="0032600E"/>
    <w:rsid w:val="003261B2"/>
    <w:rsid w:val="00326586"/>
    <w:rsid w:val="003267EC"/>
    <w:rsid w:val="0032693A"/>
    <w:rsid w:val="00326A94"/>
    <w:rsid w:val="00326B81"/>
    <w:rsid w:val="00326FB7"/>
    <w:rsid w:val="003275E5"/>
    <w:rsid w:val="0032795A"/>
    <w:rsid w:val="00327A6D"/>
    <w:rsid w:val="00330512"/>
    <w:rsid w:val="00331086"/>
    <w:rsid w:val="0033130E"/>
    <w:rsid w:val="00331794"/>
    <w:rsid w:val="00331899"/>
    <w:rsid w:val="00331BD0"/>
    <w:rsid w:val="00331DBD"/>
    <w:rsid w:val="00331E37"/>
    <w:rsid w:val="00332462"/>
    <w:rsid w:val="003325BB"/>
    <w:rsid w:val="00332B9C"/>
    <w:rsid w:val="003330DD"/>
    <w:rsid w:val="00333216"/>
    <w:rsid w:val="00334F44"/>
    <w:rsid w:val="00335040"/>
    <w:rsid w:val="003352BF"/>
    <w:rsid w:val="003356A7"/>
    <w:rsid w:val="0033571B"/>
    <w:rsid w:val="003363FF"/>
    <w:rsid w:val="0033658B"/>
    <w:rsid w:val="00336946"/>
    <w:rsid w:val="00336C7F"/>
    <w:rsid w:val="00336D7F"/>
    <w:rsid w:val="00336F9C"/>
    <w:rsid w:val="0033712F"/>
    <w:rsid w:val="00337749"/>
    <w:rsid w:val="003378C1"/>
    <w:rsid w:val="00337CF3"/>
    <w:rsid w:val="00337F6E"/>
    <w:rsid w:val="003400F9"/>
    <w:rsid w:val="003406A6"/>
    <w:rsid w:val="00340813"/>
    <w:rsid w:val="00340CE2"/>
    <w:rsid w:val="003412A1"/>
    <w:rsid w:val="00341806"/>
    <w:rsid w:val="00341828"/>
    <w:rsid w:val="00342B15"/>
    <w:rsid w:val="0034300F"/>
    <w:rsid w:val="00343832"/>
    <w:rsid w:val="00343E31"/>
    <w:rsid w:val="00343FB7"/>
    <w:rsid w:val="003445B2"/>
    <w:rsid w:val="00344C71"/>
    <w:rsid w:val="00345933"/>
    <w:rsid w:val="00345942"/>
    <w:rsid w:val="00345EC8"/>
    <w:rsid w:val="00346125"/>
    <w:rsid w:val="00346257"/>
    <w:rsid w:val="00346714"/>
    <w:rsid w:val="003471A5"/>
    <w:rsid w:val="0034727B"/>
    <w:rsid w:val="00347702"/>
    <w:rsid w:val="003478B7"/>
    <w:rsid w:val="00350478"/>
    <w:rsid w:val="00350F0F"/>
    <w:rsid w:val="0035135F"/>
    <w:rsid w:val="003515AF"/>
    <w:rsid w:val="00351DB8"/>
    <w:rsid w:val="00351DBE"/>
    <w:rsid w:val="00351F88"/>
    <w:rsid w:val="00352104"/>
    <w:rsid w:val="00352C6D"/>
    <w:rsid w:val="00352CF3"/>
    <w:rsid w:val="00353132"/>
    <w:rsid w:val="003539D8"/>
    <w:rsid w:val="00353B2C"/>
    <w:rsid w:val="00353CDA"/>
    <w:rsid w:val="003543C5"/>
    <w:rsid w:val="00354926"/>
    <w:rsid w:val="00354B04"/>
    <w:rsid w:val="0035506D"/>
    <w:rsid w:val="003556DA"/>
    <w:rsid w:val="0035620D"/>
    <w:rsid w:val="00356A3D"/>
    <w:rsid w:val="00357763"/>
    <w:rsid w:val="003577CB"/>
    <w:rsid w:val="00357F06"/>
    <w:rsid w:val="00360453"/>
    <w:rsid w:val="00361002"/>
    <w:rsid w:val="003612A0"/>
    <w:rsid w:val="003613E4"/>
    <w:rsid w:val="00361831"/>
    <w:rsid w:val="00362D6F"/>
    <w:rsid w:val="0036316F"/>
    <w:rsid w:val="00364910"/>
    <w:rsid w:val="003653BC"/>
    <w:rsid w:val="00365A10"/>
    <w:rsid w:val="00365E2A"/>
    <w:rsid w:val="00365EB1"/>
    <w:rsid w:val="003663AF"/>
    <w:rsid w:val="003664E9"/>
    <w:rsid w:val="00366679"/>
    <w:rsid w:val="003669EB"/>
    <w:rsid w:val="00367117"/>
    <w:rsid w:val="0036715D"/>
    <w:rsid w:val="003675B7"/>
    <w:rsid w:val="00367760"/>
    <w:rsid w:val="00370385"/>
    <w:rsid w:val="0037061D"/>
    <w:rsid w:val="003707B1"/>
    <w:rsid w:val="003709CC"/>
    <w:rsid w:val="00370C73"/>
    <w:rsid w:val="003713E1"/>
    <w:rsid w:val="0037189A"/>
    <w:rsid w:val="00371F17"/>
    <w:rsid w:val="00371F36"/>
    <w:rsid w:val="00372E17"/>
    <w:rsid w:val="00373506"/>
    <w:rsid w:val="00373E44"/>
    <w:rsid w:val="00374192"/>
    <w:rsid w:val="003751A1"/>
    <w:rsid w:val="003752BD"/>
    <w:rsid w:val="00375FF2"/>
    <w:rsid w:val="00375FFD"/>
    <w:rsid w:val="003764B5"/>
    <w:rsid w:val="003765EE"/>
    <w:rsid w:val="003766D1"/>
    <w:rsid w:val="00376F5C"/>
    <w:rsid w:val="003772D4"/>
    <w:rsid w:val="00377695"/>
    <w:rsid w:val="00377CAB"/>
    <w:rsid w:val="0038099E"/>
    <w:rsid w:val="00380E1B"/>
    <w:rsid w:val="00380E2A"/>
    <w:rsid w:val="00380F32"/>
    <w:rsid w:val="00381315"/>
    <w:rsid w:val="00381470"/>
    <w:rsid w:val="00381B0A"/>
    <w:rsid w:val="00381DF8"/>
    <w:rsid w:val="0038215B"/>
    <w:rsid w:val="0038292E"/>
    <w:rsid w:val="00382975"/>
    <w:rsid w:val="00382EE5"/>
    <w:rsid w:val="0038395A"/>
    <w:rsid w:val="00384887"/>
    <w:rsid w:val="003852D1"/>
    <w:rsid w:val="0038534B"/>
    <w:rsid w:val="003854B1"/>
    <w:rsid w:val="0038623D"/>
    <w:rsid w:val="003868FB"/>
    <w:rsid w:val="00386BDB"/>
    <w:rsid w:val="00387417"/>
    <w:rsid w:val="0039003E"/>
    <w:rsid w:val="003900ED"/>
    <w:rsid w:val="00390138"/>
    <w:rsid w:val="0039045B"/>
    <w:rsid w:val="003905AE"/>
    <w:rsid w:val="003907BF"/>
    <w:rsid w:val="00390AEC"/>
    <w:rsid w:val="003911FC"/>
    <w:rsid w:val="003912E8"/>
    <w:rsid w:val="003913CD"/>
    <w:rsid w:val="0039153E"/>
    <w:rsid w:val="003917FC"/>
    <w:rsid w:val="00391E2C"/>
    <w:rsid w:val="0039212C"/>
    <w:rsid w:val="00392144"/>
    <w:rsid w:val="0039264F"/>
    <w:rsid w:val="00392C3F"/>
    <w:rsid w:val="00392EEF"/>
    <w:rsid w:val="00393035"/>
    <w:rsid w:val="003930D4"/>
    <w:rsid w:val="00393860"/>
    <w:rsid w:val="0039389D"/>
    <w:rsid w:val="00393BE5"/>
    <w:rsid w:val="003943D4"/>
    <w:rsid w:val="00395558"/>
    <w:rsid w:val="00395621"/>
    <w:rsid w:val="00395BD6"/>
    <w:rsid w:val="00395C88"/>
    <w:rsid w:val="00395FBF"/>
    <w:rsid w:val="0039635A"/>
    <w:rsid w:val="00396468"/>
    <w:rsid w:val="0039688E"/>
    <w:rsid w:val="00396AD9"/>
    <w:rsid w:val="00396E5E"/>
    <w:rsid w:val="00397724"/>
    <w:rsid w:val="00397A04"/>
    <w:rsid w:val="00397D8E"/>
    <w:rsid w:val="003A12E4"/>
    <w:rsid w:val="003A139F"/>
    <w:rsid w:val="003A16AD"/>
    <w:rsid w:val="003A1EFD"/>
    <w:rsid w:val="003A35ED"/>
    <w:rsid w:val="003A387B"/>
    <w:rsid w:val="003A3C19"/>
    <w:rsid w:val="003A3FE3"/>
    <w:rsid w:val="003A48A6"/>
    <w:rsid w:val="003A4A44"/>
    <w:rsid w:val="003A4B48"/>
    <w:rsid w:val="003A5062"/>
    <w:rsid w:val="003A5E6C"/>
    <w:rsid w:val="003A6356"/>
    <w:rsid w:val="003A665B"/>
    <w:rsid w:val="003A6689"/>
    <w:rsid w:val="003A79A4"/>
    <w:rsid w:val="003A7C60"/>
    <w:rsid w:val="003B0537"/>
    <w:rsid w:val="003B0778"/>
    <w:rsid w:val="003B0A4A"/>
    <w:rsid w:val="003B0DA0"/>
    <w:rsid w:val="003B0EFA"/>
    <w:rsid w:val="003B146F"/>
    <w:rsid w:val="003B1BDD"/>
    <w:rsid w:val="003B225B"/>
    <w:rsid w:val="003B2814"/>
    <w:rsid w:val="003B2A14"/>
    <w:rsid w:val="003B302F"/>
    <w:rsid w:val="003B31D7"/>
    <w:rsid w:val="003B3BE1"/>
    <w:rsid w:val="003B46B3"/>
    <w:rsid w:val="003B54DB"/>
    <w:rsid w:val="003B5BF1"/>
    <w:rsid w:val="003B602C"/>
    <w:rsid w:val="003B60E9"/>
    <w:rsid w:val="003B632E"/>
    <w:rsid w:val="003B6AE2"/>
    <w:rsid w:val="003B7307"/>
    <w:rsid w:val="003B76E7"/>
    <w:rsid w:val="003B7A41"/>
    <w:rsid w:val="003B7D0D"/>
    <w:rsid w:val="003C0317"/>
    <w:rsid w:val="003C0354"/>
    <w:rsid w:val="003C0643"/>
    <w:rsid w:val="003C07E5"/>
    <w:rsid w:val="003C3102"/>
    <w:rsid w:val="003C4347"/>
    <w:rsid w:val="003C4407"/>
    <w:rsid w:val="003C4AB0"/>
    <w:rsid w:val="003C55D2"/>
    <w:rsid w:val="003C5C37"/>
    <w:rsid w:val="003C61A6"/>
    <w:rsid w:val="003C61C8"/>
    <w:rsid w:val="003C63E1"/>
    <w:rsid w:val="003C7319"/>
    <w:rsid w:val="003C756E"/>
    <w:rsid w:val="003C77BC"/>
    <w:rsid w:val="003C7D36"/>
    <w:rsid w:val="003D0977"/>
    <w:rsid w:val="003D0E65"/>
    <w:rsid w:val="003D0F0C"/>
    <w:rsid w:val="003D10A3"/>
    <w:rsid w:val="003D159B"/>
    <w:rsid w:val="003D1CBF"/>
    <w:rsid w:val="003D2A85"/>
    <w:rsid w:val="003D2B81"/>
    <w:rsid w:val="003D2C5C"/>
    <w:rsid w:val="003D2CAB"/>
    <w:rsid w:val="003D33BD"/>
    <w:rsid w:val="003D3BB5"/>
    <w:rsid w:val="003D3EF7"/>
    <w:rsid w:val="003D4147"/>
    <w:rsid w:val="003D4477"/>
    <w:rsid w:val="003D4520"/>
    <w:rsid w:val="003D4A63"/>
    <w:rsid w:val="003D5591"/>
    <w:rsid w:val="003D59DB"/>
    <w:rsid w:val="003D5F1E"/>
    <w:rsid w:val="003D6956"/>
    <w:rsid w:val="003D6E5C"/>
    <w:rsid w:val="003D72A6"/>
    <w:rsid w:val="003D73B8"/>
    <w:rsid w:val="003D7858"/>
    <w:rsid w:val="003D7E30"/>
    <w:rsid w:val="003E019C"/>
    <w:rsid w:val="003E05E1"/>
    <w:rsid w:val="003E0986"/>
    <w:rsid w:val="003E0A23"/>
    <w:rsid w:val="003E0DA7"/>
    <w:rsid w:val="003E0DD0"/>
    <w:rsid w:val="003E25AC"/>
    <w:rsid w:val="003E263F"/>
    <w:rsid w:val="003E266D"/>
    <w:rsid w:val="003E331C"/>
    <w:rsid w:val="003E363D"/>
    <w:rsid w:val="003E3A55"/>
    <w:rsid w:val="003E3FB9"/>
    <w:rsid w:val="003E4A02"/>
    <w:rsid w:val="003E514B"/>
    <w:rsid w:val="003E66D2"/>
    <w:rsid w:val="003E7264"/>
    <w:rsid w:val="003E72B1"/>
    <w:rsid w:val="003E75E0"/>
    <w:rsid w:val="003E7D26"/>
    <w:rsid w:val="003E7DF1"/>
    <w:rsid w:val="003F0180"/>
    <w:rsid w:val="003F0703"/>
    <w:rsid w:val="003F0955"/>
    <w:rsid w:val="003F0A37"/>
    <w:rsid w:val="003F0C0C"/>
    <w:rsid w:val="003F20B8"/>
    <w:rsid w:val="003F2861"/>
    <w:rsid w:val="003F29AF"/>
    <w:rsid w:val="003F2FB0"/>
    <w:rsid w:val="003F3F4B"/>
    <w:rsid w:val="003F3F5F"/>
    <w:rsid w:val="003F47B9"/>
    <w:rsid w:val="003F4874"/>
    <w:rsid w:val="003F48DA"/>
    <w:rsid w:val="003F4DE7"/>
    <w:rsid w:val="003F5028"/>
    <w:rsid w:val="003F5A8C"/>
    <w:rsid w:val="003F62E7"/>
    <w:rsid w:val="003F6EAA"/>
    <w:rsid w:val="003F7024"/>
    <w:rsid w:val="003F7155"/>
    <w:rsid w:val="003F78C8"/>
    <w:rsid w:val="00400112"/>
    <w:rsid w:val="00400C59"/>
    <w:rsid w:val="00400D03"/>
    <w:rsid w:val="004015E5"/>
    <w:rsid w:val="004018E5"/>
    <w:rsid w:val="00403015"/>
    <w:rsid w:val="00403D53"/>
    <w:rsid w:val="00404416"/>
    <w:rsid w:val="0040477E"/>
    <w:rsid w:val="00404C02"/>
    <w:rsid w:val="00405AB2"/>
    <w:rsid w:val="00406206"/>
    <w:rsid w:val="00406215"/>
    <w:rsid w:val="00407776"/>
    <w:rsid w:val="0041039E"/>
    <w:rsid w:val="0041093D"/>
    <w:rsid w:val="00410C38"/>
    <w:rsid w:val="00410C46"/>
    <w:rsid w:val="00410E0D"/>
    <w:rsid w:val="004112A2"/>
    <w:rsid w:val="00411891"/>
    <w:rsid w:val="0041191C"/>
    <w:rsid w:val="004128A1"/>
    <w:rsid w:val="00412CC7"/>
    <w:rsid w:val="00412D9D"/>
    <w:rsid w:val="00413677"/>
    <w:rsid w:val="00413A80"/>
    <w:rsid w:val="00414137"/>
    <w:rsid w:val="004142E0"/>
    <w:rsid w:val="00414672"/>
    <w:rsid w:val="00414BBA"/>
    <w:rsid w:val="00414D78"/>
    <w:rsid w:val="0041513E"/>
    <w:rsid w:val="004156EF"/>
    <w:rsid w:val="00416427"/>
    <w:rsid w:val="004171D4"/>
    <w:rsid w:val="0041746A"/>
    <w:rsid w:val="00417534"/>
    <w:rsid w:val="00420BD1"/>
    <w:rsid w:val="00420E19"/>
    <w:rsid w:val="004211AF"/>
    <w:rsid w:val="0042184D"/>
    <w:rsid w:val="004218E9"/>
    <w:rsid w:val="00421A64"/>
    <w:rsid w:val="00421B43"/>
    <w:rsid w:val="00422065"/>
    <w:rsid w:val="00422C98"/>
    <w:rsid w:val="00422D99"/>
    <w:rsid w:val="004232A4"/>
    <w:rsid w:val="0042343F"/>
    <w:rsid w:val="00423519"/>
    <w:rsid w:val="00423754"/>
    <w:rsid w:val="00424127"/>
    <w:rsid w:val="00424153"/>
    <w:rsid w:val="00424552"/>
    <w:rsid w:val="0042496C"/>
    <w:rsid w:val="004249EB"/>
    <w:rsid w:val="00425622"/>
    <w:rsid w:val="004256A4"/>
    <w:rsid w:val="00426A08"/>
    <w:rsid w:val="004272DB"/>
    <w:rsid w:val="00427DF9"/>
    <w:rsid w:val="004304D2"/>
    <w:rsid w:val="004310D9"/>
    <w:rsid w:val="004311CC"/>
    <w:rsid w:val="004313B0"/>
    <w:rsid w:val="0043163F"/>
    <w:rsid w:val="00431A86"/>
    <w:rsid w:val="00431B29"/>
    <w:rsid w:val="00431BB3"/>
    <w:rsid w:val="00431D4B"/>
    <w:rsid w:val="004320DE"/>
    <w:rsid w:val="00432319"/>
    <w:rsid w:val="0043255A"/>
    <w:rsid w:val="0043264A"/>
    <w:rsid w:val="0043286B"/>
    <w:rsid w:val="00432ACE"/>
    <w:rsid w:val="0043307B"/>
    <w:rsid w:val="0043395D"/>
    <w:rsid w:val="00433E6C"/>
    <w:rsid w:val="00434A37"/>
    <w:rsid w:val="00434B92"/>
    <w:rsid w:val="004355F8"/>
    <w:rsid w:val="00435F57"/>
    <w:rsid w:val="00436548"/>
    <w:rsid w:val="0043720C"/>
    <w:rsid w:val="004374BC"/>
    <w:rsid w:val="00437549"/>
    <w:rsid w:val="004379D2"/>
    <w:rsid w:val="004379EB"/>
    <w:rsid w:val="00437C8F"/>
    <w:rsid w:val="0044035A"/>
    <w:rsid w:val="004405D1"/>
    <w:rsid w:val="0044078F"/>
    <w:rsid w:val="00440BB5"/>
    <w:rsid w:val="00441168"/>
    <w:rsid w:val="004428FC"/>
    <w:rsid w:val="00442B8C"/>
    <w:rsid w:val="004432F8"/>
    <w:rsid w:val="0044437B"/>
    <w:rsid w:val="0044438E"/>
    <w:rsid w:val="00444AB8"/>
    <w:rsid w:val="00444ABB"/>
    <w:rsid w:val="00444E6E"/>
    <w:rsid w:val="004457AB"/>
    <w:rsid w:val="004457ED"/>
    <w:rsid w:val="004459DD"/>
    <w:rsid w:val="00445C6E"/>
    <w:rsid w:val="00445D00"/>
    <w:rsid w:val="004463FD"/>
    <w:rsid w:val="0044641B"/>
    <w:rsid w:val="004465F4"/>
    <w:rsid w:val="004467C7"/>
    <w:rsid w:val="0044687C"/>
    <w:rsid w:val="00446EF5"/>
    <w:rsid w:val="0044760E"/>
    <w:rsid w:val="00447DFE"/>
    <w:rsid w:val="0045009A"/>
    <w:rsid w:val="00450441"/>
    <w:rsid w:val="00450A21"/>
    <w:rsid w:val="00450C9E"/>
    <w:rsid w:val="00450E02"/>
    <w:rsid w:val="00451553"/>
    <w:rsid w:val="004518F6"/>
    <w:rsid w:val="00452203"/>
    <w:rsid w:val="0045292C"/>
    <w:rsid w:val="00452F41"/>
    <w:rsid w:val="004531B8"/>
    <w:rsid w:val="0045338D"/>
    <w:rsid w:val="0045416A"/>
    <w:rsid w:val="00454A9B"/>
    <w:rsid w:val="00454ECB"/>
    <w:rsid w:val="0045566D"/>
    <w:rsid w:val="004558D4"/>
    <w:rsid w:val="00455953"/>
    <w:rsid w:val="00455AA1"/>
    <w:rsid w:val="00455B50"/>
    <w:rsid w:val="004574B0"/>
    <w:rsid w:val="004576DE"/>
    <w:rsid w:val="004577D3"/>
    <w:rsid w:val="00457A43"/>
    <w:rsid w:val="004605E0"/>
    <w:rsid w:val="0046088E"/>
    <w:rsid w:val="00460D33"/>
    <w:rsid w:val="00460DB1"/>
    <w:rsid w:val="004611EE"/>
    <w:rsid w:val="0046149F"/>
    <w:rsid w:val="00461540"/>
    <w:rsid w:val="00461E35"/>
    <w:rsid w:val="00462FE5"/>
    <w:rsid w:val="0046322B"/>
    <w:rsid w:val="00463AD1"/>
    <w:rsid w:val="00463ECA"/>
    <w:rsid w:val="00464660"/>
    <w:rsid w:val="004653B3"/>
    <w:rsid w:val="00465640"/>
    <w:rsid w:val="00465A42"/>
    <w:rsid w:val="00466002"/>
    <w:rsid w:val="004662D8"/>
    <w:rsid w:val="0046647D"/>
    <w:rsid w:val="00466BAE"/>
    <w:rsid w:val="00466FBF"/>
    <w:rsid w:val="00467AA6"/>
    <w:rsid w:val="00467F73"/>
    <w:rsid w:val="004700AB"/>
    <w:rsid w:val="0047052C"/>
    <w:rsid w:val="0047052D"/>
    <w:rsid w:val="0047106C"/>
    <w:rsid w:val="00471142"/>
    <w:rsid w:val="0047186F"/>
    <w:rsid w:val="00471A98"/>
    <w:rsid w:val="00471CDA"/>
    <w:rsid w:val="0047246A"/>
    <w:rsid w:val="0047265E"/>
    <w:rsid w:val="00472714"/>
    <w:rsid w:val="004728F2"/>
    <w:rsid w:val="00472DAC"/>
    <w:rsid w:val="004730F6"/>
    <w:rsid w:val="0047349F"/>
    <w:rsid w:val="00473A67"/>
    <w:rsid w:val="004742B4"/>
    <w:rsid w:val="004742B8"/>
    <w:rsid w:val="00474384"/>
    <w:rsid w:val="00475980"/>
    <w:rsid w:val="00475C9C"/>
    <w:rsid w:val="00475DFA"/>
    <w:rsid w:val="00475E2B"/>
    <w:rsid w:val="00476063"/>
    <w:rsid w:val="00476A79"/>
    <w:rsid w:val="0047738F"/>
    <w:rsid w:val="00477766"/>
    <w:rsid w:val="00477AAC"/>
    <w:rsid w:val="004801DD"/>
    <w:rsid w:val="00480D13"/>
    <w:rsid w:val="00481B64"/>
    <w:rsid w:val="00481FB2"/>
    <w:rsid w:val="0048206D"/>
    <w:rsid w:val="004828BF"/>
    <w:rsid w:val="00482AEA"/>
    <w:rsid w:val="00482F0B"/>
    <w:rsid w:val="00482F86"/>
    <w:rsid w:val="0048322F"/>
    <w:rsid w:val="0048356E"/>
    <w:rsid w:val="00483AD4"/>
    <w:rsid w:val="00483E1D"/>
    <w:rsid w:val="0048489C"/>
    <w:rsid w:val="004848FD"/>
    <w:rsid w:val="00484F37"/>
    <w:rsid w:val="00484FC1"/>
    <w:rsid w:val="00486EEA"/>
    <w:rsid w:val="0048707A"/>
    <w:rsid w:val="004875D1"/>
    <w:rsid w:val="00487ADA"/>
    <w:rsid w:val="00487C77"/>
    <w:rsid w:val="00487F08"/>
    <w:rsid w:val="0049095E"/>
    <w:rsid w:val="00491AC6"/>
    <w:rsid w:val="00492992"/>
    <w:rsid w:val="004931E1"/>
    <w:rsid w:val="004938EC"/>
    <w:rsid w:val="0049426E"/>
    <w:rsid w:val="00494B65"/>
    <w:rsid w:val="0049586C"/>
    <w:rsid w:val="004958EE"/>
    <w:rsid w:val="00495A46"/>
    <w:rsid w:val="00495DDD"/>
    <w:rsid w:val="0049605A"/>
    <w:rsid w:val="00496422"/>
    <w:rsid w:val="00496544"/>
    <w:rsid w:val="00496FDE"/>
    <w:rsid w:val="00497349"/>
    <w:rsid w:val="0049793B"/>
    <w:rsid w:val="00497A77"/>
    <w:rsid w:val="00497C93"/>
    <w:rsid w:val="00497CF3"/>
    <w:rsid w:val="004A014E"/>
    <w:rsid w:val="004A03BA"/>
    <w:rsid w:val="004A1377"/>
    <w:rsid w:val="004A1F26"/>
    <w:rsid w:val="004A22DF"/>
    <w:rsid w:val="004A2406"/>
    <w:rsid w:val="004A240B"/>
    <w:rsid w:val="004A29E3"/>
    <w:rsid w:val="004A2B0A"/>
    <w:rsid w:val="004A35BE"/>
    <w:rsid w:val="004A3781"/>
    <w:rsid w:val="004A387C"/>
    <w:rsid w:val="004A3BC1"/>
    <w:rsid w:val="004A3C8D"/>
    <w:rsid w:val="004A3DD9"/>
    <w:rsid w:val="004A3E27"/>
    <w:rsid w:val="004A3E93"/>
    <w:rsid w:val="004A4B0D"/>
    <w:rsid w:val="004A5136"/>
    <w:rsid w:val="004A5180"/>
    <w:rsid w:val="004A5334"/>
    <w:rsid w:val="004A6D40"/>
    <w:rsid w:val="004A6DD4"/>
    <w:rsid w:val="004A6E54"/>
    <w:rsid w:val="004A6FC9"/>
    <w:rsid w:val="004A747B"/>
    <w:rsid w:val="004A7803"/>
    <w:rsid w:val="004A78AC"/>
    <w:rsid w:val="004A7D8B"/>
    <w:rsid w:val="004B0169"/>
    <w:rsid w:val="004B0AF0"/>
    <w:rsid w:val="004B0DD0"/>
    <w:rsid w:val="004B15C7"/>
    <w:rsid w:val="004B17B1"/>
    <w:rsid w:val="004B1CEF"/>
    <w:rsid w:val="004B1EBA"/>
    <w:rsid w:val="004B1F32"/>
    <w:rsid w:val="004B29E0"/>
    <w:rsid w:val="004B2C83"/>
    <w:rsid w:val="004B32DE"/>
    <w:rsid w:val="004B347D"/>
    <w:rsid w:val="004B451D"/>
    <w:rsid w:val="004B4907"/>
    <w:rsid w:val="004B4B17"/>
    <w:rsid w:val="004B5156"/>
    <w:rsid w:val="004B5372"/>
    <w:rsid w:val="004B5441"/>
    <w:rsid w:val="004B5ACA"/>
    <w:rsid w:val="004B5B23"/>
    <w:rsid w:val="004B5B98"/>
    <w:rsid w:val="004B7524"/>
    <w:rsid w:val="004B7EE1"/>
    <w:rsid w:val="004C024D"/>
    <w:rsid w:val="004C10B9"/>
    <w:rsid w:val="004C12AB"/>
    <w:rsid w:val="004C15C8"/>
    <w:rsid w:val="004C16B8"/>
    <w:rsid w:val="004C238E"/>
    <w:rsid w:val="004C2BA7"/>
    <w:rsid w:val="004C317F"/>
    <w:rsid w:val="004C3FA2"/>
    <w:rsid w:val="004C4529"/>
    <w:rsid w:val="004C4559"/>
    <w:rsid w:val="004C4AB9"/>
    <w:rsid w:val="004C4E79"/>
    <w:rsid w:val="004C5F45"/>
    <w:rsid w:val="004C5F78"/>
    <w:rsid w:val="004C602A"/>
    <w:rsid w:val="004C6A64"/>
    <w:rsid w:val="004C6C81"/>
    <w:rsid w:val="004C6D28"/>
    <w:rsid w:val="004C7073"/>
    <w:rsid w:val="004C721A"/>
    <w:rsid w:val="004C728D"/>
    <w:rsid w:val="004C7320"/>
    <w:rsid w:val="004C77BC"/>
    <w:rsid w:val="004D000F"/>
    <w:rsid w:val="004D0753"/>
    <w:rsid w:val="004D08BA"/>
    <w:rsid w:val="004D0964"/>
    <w:rsid w:val="004D1114"/>
    <w:rsid w:val="004D1251"/>
    <w:rsid w:val="004D135F"/>
    <w:rsid w:val="004D15B5"/>
    <w:rsid w:val="004D1A0C"/>
    <w:rsid w:val="004D1B21"/>
    <w:rsid w:val="004D1DB1"/>
    <w:rsid w:val="004D311C"/>
    <w:rsid w:val="004D3C78"/>
    <w:rsid w:val="004D414E"/>
    <w:rsid w:val="004D52DA"/>
    <w:rsid w:val="004D5994"/>
    <w:rsid w:val="004D5D08"/>
    <w:rsid w:val="004D602D"/>
    <w:rsid w:val="004D647D"/>
    <w:rsid w:val="004D722A"/>
    <w:rsid w:val="004D7D0A"/>
    <w:rsid w:val="004E079D"/>
    <w:rsid w:val="004E0CBE"/>
    <w:rsid w:val="004E1C62"/>
    <w:rsid w:val="004E217A"/>
    <w:rsid w:val="004E220A"/>
    <w:rsid w:val="004E250B"/>
    <w:rsid w:val="004E2606"/>
    <w:rsid w:val="004E308F"/>
    <w:rsid w:val="004E309E"/>
    <w:rsid w:val="004E3437"/>
    <w:rsid w:val="004E3F9E"/>
    <w:rsid w:val="004E419F"/>
    <w:rsid w:val="004E468E"/>
    <w:rsid w:val="004E5BCA"/>
    <w:rsid w:val="004E5EFE"/>
    <w:rsid w:val="004E6967"/>
    <w:rsid w:val="004E7BB0"/>
    <w:rsid w:val="004E7EBB"/>
    <w:rsid w:val="004E7ED1"/>
    <w:rsid w:val="004F08A6"/>
    <w:rsid w:val="004F091C"/>
    <w:rsid w:val="004F0B2F"/>
    <w:rsid w:val="004F1103"/>
    <w:rsid w:val="004F1200"/>
    <w:rsid w:val="004F13DE"/>
    <w:rsid w:val="004F1586"/>
    <w:rsid w:val="004F1DA6"/>
    <w:rsid w:val="004F1EEB"/>
    <w:rsid w:val="004F2958"/>
    <w:rsid w:val="004F2AF0"/>
    <w:rsid w:val="004F31F6"/>
    <w:rsid w:val="004F32A4"/>
    <w:rsid w:val="004F38A5"/>
    <w:rsid w:val="004F55ED"/>
    <w:rsid w:val="004F66BF"/>
    <w:rsid w:val="004F6B47"/>
    <w:rsid w:val="004F7DFC"/>
    <w:rsid w:val="00501602"/>
    <w:rsid w:val="00501888"/>
    <w:rsid w:val="00501B1F"/>
    <w:rsid w:val="0050222D"/>
    <w:rsid w:val="00502467"/>
    <w:rsid w:val="005034AD"/>
    <w:rsid w:val="00504341"/>
    <w:rsid w:val="00504644"/>
    <w:rsid w:val="00504A8A"/>
    <w:rsid w:val="0050511B"/>
    <w:rsid w:val="00505315"/>
    <w:rsid w:val="005053E9"/>
    <w:rsid w:val="0050552D"/>
    <w:rsid w:val="00505566"/>
    <w:rsid w:val="005055B6"/>
    <w:rsid w:val="00505D7D"/>
    <w:rsid w:val="0050623C"/>
    <w:rsid w:val="00506403"/>
    <w:rsid w:val="00506D93"/>
    <w:rsid w:val="00506EF0"/>
    <w:rsid w:val="00506FA4"/>
    <w:rsid w:val="00507B5F"/>
    <w:rsid w:val="00507DE0"/>
    <w:rsid w:val="00510B5F"/>
    <w:rsid w:val="00512E55"/>
    <w:rsid w:val="00513101"/>
    <w:rsid w:val="00513EA9"/>
    <w:rsid w:val="0051483F"/>
    <w:rsid w:val="005149B1"/>
    <w:rsid w:val="00514EDA"/>
    <w:rsid w:val="00514F19"/>
    <w:rsid w:val="005150ED"/>
    <w:rsid w:val="00515163"/>
    <w:rsid w:val="00515C94"/>
    <w:rsid w:val="00516271"/>
    <w:rsid w:val="005171EC"/>
    <w:rsid w:val="005213B8"/>
    <w:rsid w:val="00522347"/>
    <w:rsid w:val="0052329C"/>
    <w:rsid w:val="00523613"/>
    <w:rsid w:val="005236A1"/>
    <w:rsid w:val="00523805"/>
    <w:rsid w:val="00523C2A"/>
    <w:rsid w:val="00523F6E"/>
    <w:rsid w:val="00523FFB"/>
    <w:rsid w:val="00524285"/>
    <w:rsid w:val="005257BD"/>
    <w:rsid w:val="00526D02"/>
    <w:rsid w:val="00527F66"/>
    <w:rsid w:val="00530375"/>
    <w:rsid w:val="00530739"/>
    <w:rsid w:val="00530A93"/>
    <w:rsid w:val="005312A7"/>
    <w:rsid w:val="00531DA7"/>
    <w:rsid w:val="00532241"/>
    <w:rsid w:val="005326FF"/>
    <w:rsid w:val="00533EF4"/>
    <w:rsid w:val="00534147"/>
    <w:rsid w:val="00534624"/>
    <w:rsid w:val="00534B60"/>
    <w:rsid w:val="00534C73"/>
    <w:rsid w:val="00535AD9"/>
    <w:rsid w:val="00536B1F"/>
    <w:rsid w:val="00536C13"/>
    <w:rsid w:val="005372A4"/>
    <w:rsid w:val="0053785B"/>
    <w:rsid w:val="005379B8"/>
    <w:rsid w:val="0054000C"/>
    <w:rsid w:val="00540241"/>
    <w:rsid w:val="0054029F"/>
    <w:rsid w:val="005402B5"/>
    <w:rsid w:val="00540427"/>
    <w:rsid w:val="0054056E"/>
    <w:rsid w:val="00540FCE"/>
    <w:rsid w:val="005410AF"/>
    <w:rsid w:val="00541462"/>
    <w:rsid w:val="00541A6D"/>
    <w:rsid w:val="00541B72"/>
    <w:rsid w:val="00541FF0"/>
    <w:rsid w:val="00542A77"/>
    <w:rsid w:val="005438F9"/>
    <w:rsid w:val="0054418A"/>
    <w:rsid w:val="00545C8C"/>
    <w:rsid w:val="00546761"/>
    <w:rsid w:val="00546E2B"/>
    <w:rsid w:val="00547362"/>
    <w:rsid w:val="00547829"/>
    <w:rsid w:val="00550C55"/>
    <w:rsid w:val="005526F1"/>
    <w:rsid w:val="00552768"/>
    <w:rsid w:val="00552DF8"/>
    <w:rsid w:val="00552FA2"/>
    <w:rsid w:val="00553928"/>
    <w:rsid w:val="00554374"/>
    <w:rsid w:val="0055463E"/>
    <w:rsid w:val="00554EA7"/>
    <w:rsid w:val="005555B5"/>
    <w:rsid w:val="005555BA"/>
    <w:rsid w:val="00555B17"/>
    <w:rsid w:val="00555B9D"/>
    <w:rsid w:val="00555E7B"/>
    <w:rsid w:val="00555ED1"/>
    <w:rsid w:val="00556488"/>
    <w:rsid w:val="005568AC"/>
    <w:rsid w:val="005569DF"/>
    <w:rsid w:val="00557BE4"/>
    <w:rsid w:val="00557C73"/>
    <w:rsid w:val="00560404"/>
    <w:rsid w:val="005608E5"/>
    <w:rsid w:val="0056124F"/>
    <w:rsid w:val="0056161B"/>
    <w:rsid w:val="0056226B"/>
    <w:rsid w:val="00562354"/>
    <w:rsid w:val="00562983"/>
    <w:rsid w:val="00562B55"/>
    <w:rsid w:val="0056335C"/>
    <w:rsid w:val="00563367"/>
    <w:rsid w:val="00563398"/>
    <w:rsid w:val="00563BF2"/>
    <w:rsid w:val="00564217"/>
    <w:rsid w:val="005647B0"/>
    <w:rsid w:val="00564C47"/>
    <w:rsid w:val="00564D7C"/>
    <w:rsid w:val="005653CD"/>
    <w:rsid w:val="00565A7C"/>
    <w:rsid w:val="00566A62"/>
    <w:rsid w:val="00567889"/>
    <w:rsid w:val="00567C9D"/>
    <w:rsid w:val="00567FA3"/>
    <w:rsid w:val="0057045E"/>
    <w:rsid w:val="00570A68"/>
    <w:rsid w:val="005710EB"/>
    <w:rsid w:val="00573331"/>
    <w:rsid w:val="005738D8"/>
    <w:rsid w:val="00573CC7"/>
    <w:rsid w:val="005744B3"/>
    <w:rsid w:val="00574926"/>
    <w:rsid w:val="00574E0C"/>
    <w:rsid w:val="005751FD"/>
    <w:rsid w:val="0057575B"/>
    <w:rsid w:val="00576210"/>
    <w:rsid w:val="0057645A"/>
    <w:rsid w:val="0057662B"/>
    <w:rsid w:val="00576EB6"/>
    <w:rsid w:val="005770C7"/>
    <w:rsid w:val="0058000E"/>
    <w:rsid w:val="0058027D"/>
    <w:rsid w:val="005803C5"/>
    <w:rsid w:val="00580F70"/>
    <w:rsid w:val="00581403"/>
    <w:rsid w:val="0058191B"/>
    <w:rsid w:val="00582E9E"/>
    <w:rsid w:val="005834E5"/>
    <w:rsid w:val="00584522"/>
    <w:rsid w:val="00584A41"/>
    <w:rsid w:val="00584E78"/>
    <w:rsid w:val="005853EE"/>
    <w:rsid w:val="00585E76"/>
    <w:rsid w:val="0058635B"/>
    <w:rsid w:val="005865A3"/>
    <w:rsid w:val="00586C42"/>
    <w:rsid w:val="00587244"/>
    <w:rsid w:val="00587543"/>
    <w:rsid w:val="00587660"/>
    <w:rsid w:val="00587876"/>
    <w:rsid w:val="00590083"/>
    <w:rsid w:val="005902CB"/>
    <w:rsid w:val="00590625"/>
    <w:rsid w:val="00590684"/>
    <w:rsid w:val="00590ADC"/>
    <w:rsid w:val="0059141B"/>
    <w:rsid w:val="005918E8"/>
    <w:rsid w:val="00591B81"/>
    <w:rsid w:val="0059263E"/>
    <w:rsid w:val="005935D0"/>
    <w:rsid w:val="00594BC7"/>
    <w:rsid w:val="005964F8"/>
    <w:rsid w:val="00597167"/>
    <w:rsid w:val="00597396"/>
    <w:rsid w:val="00597AB0"/>
    <w:rsid w:val="00597C91"/>
    <w:rsid w:val="00597EFA"/>
    <w:rsid w:val="005A00BB"/>
    <w:rsid w:val="005A0102"/>
    <w:rsid w:val="005A02B9"/>
    <w:rsid w:val="005A05B4"/>
    <w:rsid w:val="005A0955"/>
    <w:rsid w:val="005A1361"/>
    <w:rsid w:val="005A1376"/>
    <w:rsid w:val="005A144B"/>
    <w:rsid w:val="005A1564"/>
    <w:rsid w:val="005A192F"/>
    <w:rsid w:val="005A1A63"/>
    <w:rsid w:val="005A1A74"/>
    <w:rsid w:val="005A1B14"/>
    <w:rsid w:val="005A1DA2"/>
    <w:rsid w:val="005A2598"/>
    <w:rsid w:val="005A29EB"/>
    <w:rsid w:val="005A2D5B"/>
    <w:rsid w:val="005A2F77"/>
    <w:rsid w:val="005A386A"/>
    <w:rsid w:val="005A541D"/>
    <w:rsid w:val="005A6272"/>
    <w:rsid w:val="005A685A"/>
    <w:rsid w:val="005A69FD"/>
    <w:rsid w:val="005A7670"/>
    <w:rsid w:val="005A7BDC"/>
    <w:rsid w:val="005B01D7"/>
    <w:rsid w:val="005B0658"/>
    <w:rsid w:val="005B0B6B"/>
    <w:rsid w:val="005B101E"/>
    <w:rsid w:val="005B1D04"/>
    <w:rsid w:val="005B1D18"/>
    <w:rsid w:val="005B20CF"/>
    <w:rsid w:val="005B2695"/>
    <w:rsid w:val="005B2AB8"/>
    <w:rsid w:val="005B2F87"/>
    <w:rsid w:val="005B3433"/>
    <w:rsid w:val="005B37BF"/>
    <w:rsid w:val="005B38F8"/>
    <w:rsid w:val="005B3C59"/>
    <w:rsid w:val="005B3D23"/>
    <w:rsid w:val="005B4487"/>
    <w:rsid w:val="005B44F9"/>
    <w:rsid w:val="005B4589"/>
    <w:rsid w:val="005B47FD"/>
    <w:rsid w:val="005B4DFE"/>
    <w:rsid w:val="005B4F91"/>
    <w:rsid w:val="005B57B3"/>
    <w:rsid w:val="005B5CEB"/>
    <w:rsid w:val="005B7908"/>
    <w:rsid w:val="005C00C7"/>
    <w:rsid w:val="005C02C1"/>
    <w:rsid w:val="005C19A9"/>
    <w:rsid w:val="005C1CAA"/>
    <w:rsid w:val="005C1DE0"/>
    <w:rsid w:val="005C358B"/>
    <w:rsid w:val="005C3A85"/>
    <w:rsid w:val="005C596A"/>
    <w:rsid w:val="005C5A47"/>
    <w:rsid w:val="005C6C83"/>
    <w:rsid w:val="005C6D6B"/>
    <w:rsid w:val="005C7648"/>
    <w:rsid w:val="005C7C31"/>
    <w:rsid w:val="005C7CE6"/>
    <w:rsid w:val="005D0149"/>
    <w:rsid w:val="005D0269"/>
    <w:rsid w:val="005D043B"/>
    <w:rsid w:val="005D0999"/>
    <w:rsid w:val="005D0C6F"/>
    <w:rsid w:val="005D2075"/>
    <w:rsid w:val="005D2C60"/>
    <w:rsid w:val="005D35F4"/>
    <w:rsid w:val="005D36CC"/>
    <w:rsid w:val="005D3C4D"/>
    <w:rsid w:val="005D43D7"/>
    <w:rsid w:val="005D4BCF"/>
    <w:rsid w:val="005D4EE5"/>
    <w:rsid w:val="005D51E6"/>
    <w:rsid w:val="005D521D"/>
    <w:rsid w:val="005D5635"/>
    <w:rsid w:val="005D59E8"/>
    <w:rsid w:val="005D70FE"/>
    <w:rsid w:val="005D7691"/>
    <w:rsid w:val="005D7711"/>
    <w:rsid w:val="005D772D"/>
    <w:rsid w:val="005D7C95"/>
    <w:rsid w:val="005E0960"/>
    <w:rsid w:val="005E0C4D"/>
    <w:rsid w:val="005E0C59"/>
    <w:rsid w:val="005E0C75"/>
    <w:rsid w:val="005E171E"/>
    <w:rsid w:val="005E1E14"/>
    <w:rsid w:val="005E2678"/>
    <w:rsid w:val="005E2A84"/>
    <w:rsid w:val="005E2F66"/>
    <w:rsid w:val="005E4AFD"/>
    <w:rsid w:val="005E4FC5"/>
    <w:rsid w:val="005E5253"/>
    <w:rsid w:val="005E52AD"/>
    <w:rsid w:val="005E5B14"/>
    <w:rsid w:val="005E6A69"/>
    <w:rsid w:val="005E6EE3"/>
    <w:rsid w:val="005E6F68"/>
    <w:rsid w:val="005E70E1"/>
    <w:rsid w:val="005E7230"/>
    <w:rsid w:val="005E72B4"/>
    <w:rsid w:val="005E75E6"/>
    <w:rsid w:val="005F1261"/>
    <w:rsid w:val="005F1331"/>
    <w:rsid w:val="005F1EE5"/>
    <w:rsid w:val="005F2DF7"/>
    <w:rsid w:val="005F3130"/>
    <w:rsid w:val="005F3E50"/>
    <w:rsid w:val="005F3E60"/>
    <w:rsid w:val="005F416F"/>
    <w:rsid w:val="005F49DA"/>
    <w:rsid w:val="005F5062"/>
    <w:rsid w:val="005F51C8"/>
    <w:rsid w:val="005F56CA"/>
    <w:rsid w:val="005F56EE"/>
    <w:rsid w:val="005F5B4E"/>
    <w:rsid w:val="005F5E3A"/>
    <w:rsid w:val="005F643A"/>
    <w:rsid w:val="005F678F"/>
    <w:rsid w:val="005F7491"/>
    <w:rsid w:val="005F776A"/>
    <w:rsid w:val="005F7C9A"/>
    <w:rsid w:val="005F7D7F"/>
    <w:rsid w:val="00600016"/>
    <w:rsid w:val="006000C5"/>
    <w:rsid w:val="00600395"/>
    <w:rsid w:val="00600954"/>
    <w:rsid w:val="006009E6"/>
    <w:rsid w:val="00600D93"/>
    <w:rsid w:val="00600DB9"/>
    <w:rsid w:val="00600EA7"/>
    <w:rsid w:val="0060108A"/>
    <w:rsid w:val="0060186E"/>
    <w:rsid w:val="00601A3E"/>
    <w:rsid w:val="00601CB9"/>
    <w:rsid w:val="00601D30"/>
    <w:rsid w:val="006023E6"/>
    <w:rsid w:val="00602729"/>
    <w:rsid w:val="0060336D"/>
    <w:rsid w:val="00603624"/>
    <w:rsid w:val="0060373D"/>
    <w:rsid w:val="00604018"/>
    <w:rsid w:val="0060444D"/>
    <w:rsid w:val="0060455D"/>
    <w:rsid w:val="00604B5D"/>
    <w:rsid w:val="00604EE7"/>
    <w:rsid w:val="006052C3"/>
    <w:rsid w:val="0060563A"/>
    <w:rsid w:val="00606293"/>
    <w:rsid w:val="0060637F"/>
    <w:rsid w:val="00606B46"/>
    <w:rsid w:val="006070A2"/>
    <w:rsid w:val="00607610"/>
    <w:rsid w:val="00607A72"/>
    <w:rsid w:val="006101FF"/>
    <w:rsid w:val="00610A60"/>
    <w:rsid w:val="0061104B"/>
    <w:rsid w:val="006112CF"/>
    <w:rsid w:val="00611A6E"/>
    <w:rsid w:val="00613028"/>
    <w:rsid w:val="006137F6"/>
    <w:rsid w:val="006138C8"/>
    <w:rsid w:val="00613CA9"/>
    <w:rsid w:val="0061468E"/>
    <w:rsid w:val="00615DC2"/>
    <w:rsid w:val="00616355"/>
    <w:rsid w:val="00616550"/>
    <w:rsid w:val="006168CD"/>
    <w:rsid w:val="006175DE"/>
    <w:rsid w:val="00620974"/>
    <w:rsid w:val="00622127"/>
    <w:rsid w:val="0062238A"/>
    <w:rsid w:val="00622C3D"/>
    <w:rsid w:val="00622D42"/>
    <w:rsid w:val="00622EB6"/>
    <w:rsid w:val="0062306A"/>
    <w:rsid w:val="006230D7"/>
    <w:rsid w:val="00623196"/>
    <w:rsid w:val="00623366"/>
    <w:rsid w:val="006234F3"/>
    <w:rsid w:val="0062383A"/>
    <w:rsid w:val="00623A12"/>
    <w:rsid w:val="00623B2C"/>
    <w:rsid w:val="00623B6D"/>
    <w:rsid w:val="0062429C"/>
    <w:rsid w:val="006242B6"/>
    <w:rsid w:val="00624571"/>
    <w:rsid w:val="00624B4A"/>
    <w:rsid w:val="00624B5C"/>
    <w:rsid w:val="00624CEC"/>
    <w:rsid w:val="00624D54"/>
    <w:rsid w:val="006251BA"/>
    <w:rsid w:val="006251BB"/>
    <w:rsid w:val="0062585B"/>
    <w:rsid w:val="006258DE"/>
    <w:rsid w:val="006264C6"/>
    <w:rsid w:val="00626683"/>
    <w:rsid w:val="0062686C"/>
    <w:rsid w:val="006268CD"/>
    <w:rsid w:val="00626CB3"/>
    <w:rsid w:val="00626EB6"/>
    <w:rsid w:val="0062718E"/>
    <w:rsid w:val="006301BF"/>
    <w:rsid w:val="006301DB"/>
    <w:rsid w:val="006308E4"/>
    <w:rsid w:val="00630C2B"/>
    <w:rsid w:val="00631952"/>
    <w:rsid w:val="006326E0"/>
    <w:rsid w:val="0063281B"/>
    <w:rsid w:val="006328AC"/>
    <w:rsid w:val="0063312A"/>
    <w:rsid w:val="00633294"/>
    <w:rsid w:val="006332A2"/>
    <w:rsid w:val="006356C4"/>
    <w:rsid w:val="00636132"/>
    <w:rsid w:val="00636C99"/>
    <w:rsid w:val="0063703F"/>
    <w:rsid w:val="00637C4D"/>
    <w:rsid w:val="00637DEA"/>
    <w:rsid w:val="00641217"/>
    <w:rsid w:val="00641285"/>
    <w:rsid w:val="00641696"/>
    <w:rsid w:val="00641870"/>
    <w:rsid w:val="0064203A"/>
    <w:rsid w:val="006420CC"/>
    <w:rsid w:val="0064264A"/>
    <w:rsid w:val="006428E7"/>
    <w:rsid w:val="0064397A"/>
    <w:rsid w:val="006439DF"/>
    <w:rsid w:val="00643AA8"/>
    <w:rsid w:val="006441B3"/>
    <w:rsid w:val="00644C9E"/>
    <w:rsid w:val="00645944"/>
    <w:rsid w:val="00646C7E"/>
    <w:rsid w:val="00647356"/>
    <w:rsid w:val="00647C3B"/>
    <w:rsid w:val="006500C4"/>
    <w:rsid w:val="00650999"/>
    <w:rsid w:val="00650DA1"/>
    <w:rsid w:val="0065193C"/>
    <w:rsid w:val="0065228B"/>
    <w:rsid w:val="00652471"/>
    <w:rsid w:val="0065248B"/>
    <w:rsid w:val="00653BBD"/>
    <w:rsid w:val="00653C89"/>
    <w:rsid w:val="006549B8"/>
    <w:rsid w:val="00654A52"/>
    <w:rsid w:val="00655377"/>
    <w:rsid w:val="006557B8"/>
    <w:rsid w:val="0065602A"/>
    <w:rsid w:val="00656779"/>
    <w:rsid w:val="00656A98"/>
    <w:rsid w:val="00656B1D"/>
    <w:rsid w:val="00656B73"/>
    <w:rsid w:val="006571E9"/>
    <w:rsid w:val="00657470"/>
    <w:rsid w:val="00657F4B"/>
    <w:rsid w:val="006601ED"/>
    <w:rsid w:val="0066069E"/>
    <w:rsid w:val="00660E67"/>
    <w:rsid w:val="00661443"/>
    <w:rsid w:val="00661467"/>
    <w:rsid w:val="00661AB1"/>
    <w:rsid w:val="00661D7F"/>
    <w:rsid w:val="006624D2"/>
    <w:rsid w:val="006628C1"/>
    <w:rsid w:val="00662CC5"/>
    <w:rsid w:val="00662FFE"/>
    <w:rsid w:val="00663057"/>
    <w:rsid w:val="006633DC"/>
    <w:rsid w:val="006634BD"/>
    <w:rsid w:val="00664644"/>
    <w:rsid w:val="00664903"/>
    <w:rsid w:val="00664E98"/>
    <w:rsid w:val="00664F0B"/>
    <w:rsid w:val="006654F2"/>
    <w:rsid w:val="00665853"/>
    <w:rsid w:val="006660E4"/>
    <w:rsid w:val="0066616B"/>
    <w:rsid w:val="006666A3"/>
    <w:rsid w:val="00666D8F"/>
    <w:rsid w:val="00667A10"/>
    <w:rsid w:val="00667B9C"/>
    <w:rsid w:val="00667DC2"/>
    <w:rsid w:val="00670BEB"/>
    <w:rsid w:val="00670C1B"/>
    <w:rsid w:val="00670FAB"/>
    <w:rsid w:val="0067108B"/>
    <w:rsid w:val="00671227"/>
    <w:rsid w:val="006714C5"/>
    <w:rsid w:val="00671C66"/>
    <w:rsid w:val="00672654"/>
    <w:rsid w:val="00672FA6"/>
    <w:rsid w:val="00673B16"/>
    <w:rsid w:val="00673DDE"/>
    <w:rsid w:val="00674548"/>
    <w:rsid w:val="0067504A"/>
    <w:rsid w:val="00677001"/>
    <w:rsid w:val="00681018"/>
    <w:rsid w:val="00681C0C"/>
    <w:rsid w:val="0068210A"/>
    <w:rsid w:val="00682E49"/>
    <w:rsid w:val="006832DA"/>
    <w:rsid w:val="0068338A"/>
    <w:rsid w:val="00683664"/>
    <w:rsid w:val="00683991"/>
    <w:rsid w:val="00683B7E"/>
    <w:rsid w:val="00683C03"/>
    <w:rsid w:val="00683E84"/>
    <w:rsid w:val="00684B1A"/>
    <w:rsid w:val="00684C64"/>
    <w:rsid w:val="0068525B"/>
    <w:rsid w:val="00685317"/>
    <w:rsid w:val="00685C70"/>
    <w:rsid w:val="00685E2C"/>
    <w:rsid w:val="0068663E"/>
    <w:rsid w:val="0068754C"/>
    <w:rsid w:val="00690C1E"/>
    <w:rsid w:val="00690D65"/>
    <w:rsid w:val="00691038"/>
    <w:rsid w:val="00691292"/>
    <w:rsid w:val="006919DA"/>
    <w:rsid w:val="006926E6"/>
    <w:rsid w:val="00693431"/>
    <w:rsid w:val="00693585"/>
    <w:rsid w:val="00694890"/>
    <w:rsid w:val="00694C05"/>
    <w:rsid w:val="00695BE8"/>
    <w:rsid w:val="00695CF3"/>
    <w:rsid w:val="00695DFA"/>
    <w:rsid w:val="006960C6"/>
    <w:rsid w:val="00696536"/>
    <w:rsid w:val="0069660D"/>
    <w:rsid w:val="006968BF"/>
    <w:rsid w:val="006A0BAB"/>
    <w:rsid w:val="006A0E43"/>
    <w:rsid w:val="006A1A68"/>
    <w:rsid w:val="006A1E8D"/>
    <w:rsid w:val="006A1F42"/>
    <w:rsid w:val="006A20CC"/>
    <w:rsid w:val="006A2933"/>
    <w:rsid w:val="006A2E8D"/>
    <w:rsid w:val="006A374D"/>
    <w:rsid w:val="006A3DC1"/>
    <w:rsid w:val="006A421E"/>
    <w:rsid w:val="006A4AE1"/>
    <w:rsid w:val="006A4BDB"/>
    <w:rsid w:val="006A4C93"/>
    <w:rsid w:val="006A5000"/>
    <w:rsid w:val="006A592E"/>
    <w:rsid w:val="006A5A45"/>
    <w:rsid w:val="006A608F"/>
    <w:rsid w:val="006A6355"/>
    <w:rsid w:val="006A6542"/>
    <w:rsid w:val="006A66D4"/>
    <w:rsid w:val="006A7379"/>
    <w:rsid w:val="006A75FA"/>
    <w:rsid w:val="006A7EC2"/>
    <w:rsid w:val="006B06D8"/>
    <w:rsid w:val="006B0D72"/>
    <w:rsid w:val="006B1535"/>
    <w:rsid w:val="006B1AA6"/>
    <w:rsid w:val="006B1D59"/>
    <w:rsid w:val="006B2491"/>
    <w:rsid w:val="006B24F9"/>
    <w:rsid w:val="006B2A56"/>
    <w:rsid w:val="006B2CA6"/>
    <w:rsid w:val="006B317B"/>
    <w:rsid w:val="006B35C0"/>
    <w:rsid w:val="006B43A9"/>
    <w:rsid w:val="006B4B54"/>
    <w:rsid w:val="006B50C7"/>
    <w:rsid w:val="006B5AE5"/>
    <w:rsid w:val="006B5CBA"/>
    <w:rsid w:val="006B5E36"/>
    <w:rsid w:val="006B60A2"/>
    <w:rsid w:val="006B63C7"/>
    <w:rsid w:val="006B6963"/>
    <w:rsid w:val="006B6BB3"/>
    <w:rsid w:val="006B6D10"/>
    <w:rsid w:val="006B7589"/>
    <w:rsid w:val="006B7FBC"/>
    <w:rsid w:val="006C03B0"/>
    <w:rsid w:val="006C081F"/>
    <w:rsid w:val="006C1051"/>
    <w:rsid w:val="006C1604"/>
    <w:rsid w:val="006C1678"/>
    <w:rsid w:val="006C2A2E"/>
    <w:rsid w:val="006C2E24"/>
    <w:rsid w:val="006C33B4"/>
    <w:rsid w:val="006C3E03"/>
    <w:rsid w:val="006C4076"/>
    <w:rsid w:val="006C4094"/>
    <w:rsid w:val="006C45E2"/>
    <w:rsid w:val="006C46B1"/>
    <w:rsid w:val="006C4807"/>
    <w:rsid w:val="006C4A61"/>
    <w:rsid w:val="006C4FD8"/>
    <w:rsid w:val="006C5115"/>
    <w:rsid w:val="006C564F"/>
    <w:rsid w:val="006C5CA4"/>
    <w:rsid w:val="006C5F29"/>
    <w:rsid w:val="006C6182"/>
    <w:rsid w:val="006C6199"/>
    <w:rsid w:val="006C65E6"/>
    <w:rsid w:val="006C664C"/>
    <w:rsid w:val="006C69B0"/>
    <w:rsid w:val="006C7CE5"/>
    <w:rsid w:val="006D0D38"/>
    <w:rsid w:val="006D0F05"/>
    <w:rsid w:val="006D17CF"/>
    <w:rsid w:val="006D1933"/>
    <w:rsid w:val="006D21CA"/>
    <w:rsid w:val="006D2818"/>
    <w:rsid w:val="006D2A97"/>
    <w:rsid w:val="006D2DB8"/>
    <w:rsid w:val="006D2E7F"/>
    <w:rsid w:val="006D39FC"/>
    <w:rsid w:val="006D4346"/>
    <w:rsid w:val="006D4BB0"/>
    <w:rsid w:val="006D4CC2"/>
    <w:rsid w:val="006D59E7"/>
    <w:rsid w:val="006D74CC"/>
    <w:rsid w:val="006D7597"/>
    <w:rsid w:val="006D7860"/>
    <w:rsid w:val="006D7A7E"/>
    <w:rsid w:val="006D7F2A"/>
    <w:rsid w:val="006D7F6A"/>
    <w:rsid w:val="006E047A"/>
    <w:rsid w:val="006E0564"/>
    <w:rsid w:val="006E0B92"/>
    <w:rsid w:val="006E0FEE"/>
    <w:rsid w:val="006E10EC"/>
    <w:rsid w:val="006E1FDB"/>
    <w:rsid w:val="006E2A2B"/>
    <w:rsid w:val="006E31FA"/>
    <w:rsid w:val="006E32C5"/>
    <w:rsid w:val="006E3899"/>
    <w:rsid w:val="006E3921"/>
    <w:rsid w:val="006E392B"/>
    <w:rsid w:val="006E3BDF"/>
    <w:rsid w:val="006E3BE2"/>
    <w:rsid w:val="006E3C8A"/>
    <w:rsid w:val="006E40D4"/>
    <w:rsid w:val="006E427A"/>
    <w:rsid w:val="006E4CF3"/>
    <w:rsid w:val="006E5350"/>
    <w:rsid w:val="006E592B"/>
    <w:rsid w:val="006E6405"/>
    <w:rsid w:val="006E679F"/>
    <w:rsid w:val="006E6B5D"/>
    <w:rsid w:val="006E754F"/>
    <w:rsid w:val="006F0E84"/>
    <w:rsid w:val="006F1039"/>
    <w:rsid w:val="006F17FC"/>
    <w:rsid w:val="006F1B3B"/>
    <w:rsid w:val="006F1CE2"/>
    <w:rsid w:val="006F2174"/>
    <w:rsid w:val="006F28AC"/>
    <w:rsid w:val="006F2F5B"/>
    <w:rsid w:val="006F30E5"/>
    <w:rsid w:val="006F336B"/>
    <w:rsid w:val="006F35DF"/>
    <w:rsid w:val="006F3E7F"/>
    <w:rsid w:val="006F3FEE"/>
    <w:rsid w:val="006F46A6"/>
    <w:rsid w:val="006F5244"/>
    <w:rsid w:val="006F55C8"/>
    <w:rsid w:val="006F5652"/>
    <w:rsid w:val="006F574B"/>
    <w:rsid w:val="006F674C"/>
    <w:rsid w:val="006F6A40"/>
    <w:rsid w:val="006F70E2"/>
    <w:rsid w:val="006F7B0E"/>
    <w:rsid w:val="00700310"/>
    <w:rsid w:val="0070085C"/>
    <w:rsid w:val="00700958"/>
    <w:rsid w:val="00700E45"/>
    <w:rsid w:val="007010B7"/>
    <w:rsid w:val="00701DA2"/>
    <w:rsid w:val="0070216E"/>
    <w:rsid w:val="0070260D"/>
    <w:rsid w:val="0070263D"/>
    <w:rsid w:val="00702AE3"/>
    <w:rsid w:val="00702BF7"/>
    <w:rsid w:val="0070393C"/>
    <w:rsid w:val="00703C4D"/>
    <w:rsid w:val="00703C79"/>
    <w:rsid w:val="00703D69"/>
    <w:rsid w:val="00704079"/>
    <w:rsid w:val="007048C2"/>
    <w:rsid w:val="00704AC9"/>
    <w:rsid w:val="007056CC"/>
    <w:rsid w:val="00705B13"/>
    <w:rsid w:val="00707005"/>
    <w:rsid w:val="007073CB"/>
    <w:rsid w:val="00707517"/>
    <w:rsid w:val="00707DB3"/>
    <w:rsid w:val="007112A7"/>
    <w:rsid w:val="00711408"/>
    <w:rsid w:val="007115E1"/>
    <w:rsid w:val="00711F0B"/>
    <w:rsid w:val="007123A3"/>
    <w:rsid w:val="007127A0"/>
    <w:rsid w:val="007131F6"/>
    <w:rsid w:val="00713490"/>
    <w:rsid w:val="00713642"/>
    <w:rsid w:val="00713BC4"/>
    <w:rsid w:val="007141F9"/>
    <w:rsid w:val="007145DB"/>
    <w:rsid w:val="00714730"/>
    <w:rsid w:val="00714A9E"/>
    <w:rsid w:val="00714AF5"/>
    <w:rsid w:val="00715069"/>
    <w:rsid w:val="0071653D"/>
    <w:rsid w:val="007165B6"/>
    <w:rsid w:val="00716BE6"/>
    <w:rsid w:val="007172F4"/>
    <w:rsid w:val="0071744B"/>
    <w:rsid w:val="00717974"/>
    <w:rsid w:val="00717C8D"/>
    <w:rsid w:val="00717E22"/>
    <w:rsid w:val="00720190"/>
    <w:rsid w:val="00720923"/>
    <w:rsid w:val="00720F9F"/>
    <w:rsid w:val="0072170A"/>
    <w:rsid w:val="00721878"/>
    <w:rsid w:val="00721EB7"/>
    <w:rsid w:val="00723EE1"/>
    <w:rsid w:val="00724A98"/>
    <w:rsid w:val="00724E96"/>
    <w:rsid w:val="0072519B"/>
    <w:rsid w:val="007256E8"/>
    <w:rsid w:val="007256ED"/>
    <w:rsid w:val="007257DB"/>
    <w:rsid w:val="0072585B"/>
    <w:rsid w:val="0072594F"/>
    <w:rsid w:val="00725B96"/>
    <w:rsid w:val="00725BCA"/>
    <w:rsid w:val="00726A37"/>
    <w:rsid w:val="007276FD"/>
    <w:rsid w:val="0072782F"/>
    <w:rsid w:val="007306BF"/>
    <w:rsid w:val="0073076B"/>
    <w:rsid w:val="00730C95"/>
    <w:rsid w:val="00732A5E"/>
    <w:rsid w:val="007339E7"/>
    <w:rsid w:val="00733AE1"/>
    <w:rsid w:val="00733B88"/>
    <w:rsid w:val="00733D52"/>
    <w:rsid w:val="007342A8"/>
    <w:rsid w:val="00734430"/>
    <w:rsid w:val="00734721"/>
    <w:rsid w:val="00734871"/>
    <w:rsid w:val="00734A83"/>
    <w:rsid w:val="00735257"/>
    <w:rsid w:val="00735F5E"/>
    <w:rsid w:val="00736339"/>
    <w:rsid w:val="00736494"/>
    <w:rsid w:val="007368E5"/>
    <w:rsid w:val="007369F3"/>
    <w:rsid w:val="00736D92"/>
    <w:rsid w:val="00737353"/>
    <w:rsid w:val="007373BE"/>
    <w:rsid w:val="007374DC"/>
    <w:rsid w:val="007379D9"/>
    <w:rsid w:val="00740222"/>
    <w:rsid w:val="00740359"/>
    <w:rsid w:val="007403F2"/>
    <w:rsid w:val="007415F2"/>
    <w:rsid w:val="00741ADC"/>
    <w:rsid w:val="007422C4"/>
    <w:rsid w:val="007433ED"/>
    <w:rsid w:val="007438B7"/>
    <w:rsid w:val="00743EE0"/>
    <w:rsid w:val="007440A4"/>
    <w:rsid w:val="00744AC5"/>
    <w:rsid w:val="00744B9C"/>
    <w:rsid w:val="00744C21"/>
    <w:rsid w:val="00745C42"/>
    <w:rsid w:val="00745FFC"/>
    <w:rsid w:val="0074602A"/>
    <w:rsid w:val="007467A7"/>
    <w:rsid w:val="00746EA9"/>
    <w:rsid w:val="00746F2E"/>
    <w:rsid w:val="00746F78"/>
    <w:rsid w:val="0074722D"/>
    <w:rsid w:val="0074731D"/>
    <w:rsid w:val="00747CBB"/>
    <w:rsid w:val="00750084"/>
    <w:rsid w:val="00750675"/>
    <w:rsid w:val="00750D4D"/>
    <w:rsid w:val="00750DC1"/>
    <w:rsid w:val="00750E3E"/>
    <w:rsid w:val="007517CC"/>
    <w:rsid w:val="00751AD4"/>
    <w:rsid w:val="0075247A"/>
    <w:rsid w:val="00752954"/>
    <w:rsid w:val="00753488"/>
    <w:rsid w:val="0075355F"/>
    <w:rsid w:val="007545BB"/>
    <w:rsid w:val="00754A59"/>
    <w:rsid w:val="00754B49"/>
    <w:rsid w:val="00754BA0"/>
    <w:rsid w:val="007558F5"/>
    <w:rsid w:val="00756343"/>
    <w:rsid w:val="0075689B"/>
    <w:rsid w:val="007568D1"/>
    <w:rsid w:val="00756CC2"/>
    <w:rsid w:val="00756F4E"/>
    <w:rsid w:val="00757274"/>
    <w:rsid w:val="0075727A"/>
    <w:rsid w:val="0075747F"/>
    <w:rsid w:val="007604A7"/>
    <w:rsid w:val="0076239C"/>
    <w:rsid w:val="007624C8"/>
    <w:rsid w:val="00763057"/>
    <w:rsid w:val="00763182"/>
    <w:rsid w:val="00763A06"/>
    <w:rsid w:val="00763BB6"/>
    <w:rsid w:val="007642CA"/>
    <w:rsid w:val="00764875"/>
    <w:rsid w:val="00764BDC"/>
    <w:rsid w:val="00765382"/>
    <w:rsid w:val="007669E9"/>
    <w:rsid w:val="00767652"/>
    <w:rsid w:val="00767EFF"/>
    <w:rsid w:val="007714EB"/>
    <w:rsid w:val="0077171F"/>
    <w:rsid w:val="00771B09"/>
    <w:rsid w:val="00771E38"/>
    <w:rsid w:val="007726A0"/>
    <w:rsid w:val="007731AA"/>
    <w:rsid w:val="00773EE1"/>
    <w:rsid w:val="0077415C"/>
    <w:rsid w:val="00774B81"/>
    <w:rsid w:val="00774BC0"/>
    <w:rsid w:val="007753A2"/>
    <w:rsid w:val="007756E5"/>
    <w:rsid w:val="00775B37"/>
    <w:rsid w:val="00776260"/>
    <w:rsid w:val="007763B2"/>
    <w:rsid w:val="00776737"/>
    <w:rsid w:val="00776CD3"/>
    <w:rsid w:val="007771BC"/>
    <w:rsid w:val="0077741E"/>
    <w:rsid w:val="00777715"/>
    <w:rsid w:val="007778DA"/>
    <w:rsid w:val="007779AD"/>
    <w:rsid w:val="00780BF5"/>
    <w:rsid w:val="007824F5"/>
    <w:rsid w:val="00783A0D"/>
    <w:rsid w:val="00783E8B"/>
    <w:rsid w:val="007843E9"/>
    <w:rsid w:val="007853B1"/>
    <w:rsid w:val="007859F5"/>
    <w:rsid w:val="00786038"/>
    <w:rsid w:val="007860E8"/>
    <w:rsid w:val="007861F2"/>
    <w:rsid w:val="007876A6"/>
    <w:rsid w:val="00787961"/>
    <w:rsid w:val="00787F49"/>
    <w:rsid w:val="0079089D"/>
    <w:rsid w:val="007908E3"/>
    <w:rsid w:val="00790D2F"/>
    <w:rsid w:val="00791079"/>
    <w:rsid w:val="00791307"/>
    <w:rsid w:val="007918F1"/>
    <w:rsid w:val="00791958"/>
    <w:rsid w:val="0079256A"/>
    <w:rsid w:val="00792D20"/>
    <w:rsid w:val="0079359C"/>
    <w:rsid w:val="00793AFC"/>
    <w:rsid w:val="00793E71"/>
    <w:rsid w:val="007946E9"/>
    <w:rsid w:val="00794D2C"/>
    <w:rsid w:val="00795723"/>
    <w:rsid w:val="0079582D"/>
    <w:rsid w:val="00795F69"/>
    <w:rsid w:val="00796041"/>
    <w:rsid w:val="0079635B"/>
    <w:rsid w:val="00796AA7"/>
    <w:rsid w:val="0079799D"/>
    <w:rsid w:val="00797D08"/>
    <w:rsid w:val="007A0545"/>
    <w:rsid w:val="007A058F"/>
    <w:rsid w:val="007A05F2"/>
    <w:rsid w:val="007A1113"/>
    <w:rsid w:val="007A148A"/>
    <w:rsid w:val="007A23CC"/>
    <w:rsid w:val="007A25C0"/>
    <w:rsid w:val="007A2633"/>
    <w:rsid w:val="007A347C"/>
    <w:rsid w:val="007A3823"/>
    <w:rsid w:val="007A3909"/>
    <w:rsid w:val="007A3EEF"/>
    <w:rsid w:val="007A3F89"/>
    <w:rsid w:val="007A40CD"/>
    <w:rsid w:val="007A456C"/>
    <w:rsid w:val="007A4B24"/>
    <w:rsid w:val="007A5461"/>
    <w:rsid w:val="007A56E6"/>
    <w:rsid w:val="007A5FAD"/>
    <w:rsid w:val="007A65DA"/>
    <w:rsid w:val="007A6EC3"/>
    <w:rsid w:val="007A73A1"/>
    <w:rsid w:val="007A73F0"/>
    <w:rsid w:val="007A760D"/>
    <w:rsid w:val="007A794C"/>
    <w:rsid w:val="007A7B8D"/>
    <w:rsid w:val="007B0357"/>
    <w:rsid w:val="007B0613"/>
    <w:rsid w:val="007B06F2"/>
    <w:rsid w:val="007B19C4"/>
    <w:rsid w:val="007B22E1"/>
    <w:rsid w:val="007B2333"/>
    <w:rsid w:val="007B3402"/>
    <w:rsid w:val="007B3E63"/>
    <w:rsid w:val="007B3FA6"/>
    <w:rsid w:val="007B44B4"/>
    <w:rsid w:val="007B459A"/>
    <w:rsid w:val="007B4AD5"/>
    <w:rsid w:val="007B4C00"/>
    <w:rsid w:val="007B4F13"/>
    <w:rsid w:val="007B50DE"/>
    <w:rsid w:val="007B56E0"/>
    <w:rsid w:val="007B5B8F"/>
    <w:rsid w:val="007B5E33"/>
    <w:rsid w:val="007B5EE1"/>
    <w:rsid w:val="007B5F91"/>
    <w:rsid w:val="007B6F42"/>
    <w:rsid w:val="007B758D"/>
    <w:rsid w:val="007B7683"/>
    <w:rsid w:val="007C0F06"/>
    <w:rsid w:val="007C1321"/>
    <w:rsid w:val="007C1A6E"/>
    <w:rsid w:val="007C1F83"/>
    <w:rsid w:val="007C244A"/>
    <w:rsid w:val="007C2692"/>
    <w:rsid w:val="007C26F0"/>
    <w:rsid w:val="007C27F8"/>
    <w:rsid w:val="007C2A04"/>
    <w:rsid w:val="007C2E40"/>
    <w:rsid w:val="007C30D2"/>
    <w:rsid w:val="007C31E4"/>
    <w:rsid w:val="007C3337"/>
    <w:rsid w:val="007C3B0F"/>
    <w:rsid w:val="007C3DB4"/>
    <w:rsid w:val="007C424C"/>
    <w:rsid w:val="007C485E"/>
    <w:rsid w:val="007C4AE2"/>
    <w:rsid w:val="007C4BC6"/>
    <w:rsid w:val="007C5110"/>
    <w:rsid w:val="007C5AC7"/>
    <w:rsid w:val="007C5F78"/>
    <w:rsid w:val="007C6031"/>
    <w:rsid w:val="007C61D3"/>
    <w:rsid w:val="007C72B7"/>
    <w:rsid w:val="007C757E"/>
    <w:rsid w:val="007C7B45"/>
    <w:rsid w:val="007C7D63"/>
    <w:rsid w:val="007D03B4"/>
    <w:rsid w:val="007D04AB"/>
    <w:rsid w:val="007D07E5"/>
    <w:rsid w:val="007D0E50"/>
    <w:rsid w:val="007D131E"/>
    <w:rsid w:val="007D27A5"/>
    <w:rsid w:val="007D28A0"/>
    <w:rsid w:val="007D2A69"/>
    <w:rsid w:val="007D32D2"/>
    <w:rsid w:val="007D38D1"/>
    <w:rsid w:val="007D4BF8"/>
    <w:rsid w:val="007D4D64"/>
    <w:rsid w:val="007D4DA8"/>
    <w:rsid w:val="007D5078"/>
    <w:rsid w:val="007D578C"/>
    <w:rsid w:val="007D5D26"/>
    <w:rsid w:val="007D6455"/>
    <w:rsid w:val="007D66A4"/>
    <w:rsid w:val="007D67C4"/>
    <w:rsid w:val="007D6B03"/>
    <w:rsid w:val="007D7092"/>
    <w:rsid w:val="007E06DF"/>
    <w:rsid w:val="007E12F6"/>
    <w:rsid w:val="007E17E4"/>
    <w:rsid w:val="007E1DE3"/>
    <w:rsid w:val="007E1F9D"/>
    <w:rsid w:val="007E2338"/>
    <w:rsid w:val="007E2407"/>
    <w:rsid w:val="007E2728"/>
    <w:rsid w:val="007E28CA"/>
    <w:rsid w:val="007E2BD0"/>
    <w:rsid w:val="007E3DCE"/>
    <w:rsid w:val="007E3EB9"/>
    <w:rsid w:val="007E40D5"/>
    <w:rsid w:val="007E4719"/>
    <w:rsid w:val="007E48AA"/>
    <w:rsid w:val="007E4D34"/>
    <w:rsid w:val="007E5383"/>
    <w:rsid w:val="007E579F"/>
    <w:rsid w:val="007E5FEC"/>
    <w:rsid w:val="007E6464"/>
    <w:rsid w:val="007E65E3"/>
    <w:rsid w:val="007E69E2"/>
    <w:rsid w:val="007E6E68"/>
    <w:rsid w:val="007E73C9"/>
    <w:rsid w:val="007F0706"/>
    <w:rsid w:val="007F0E2A"/>
    <w:rsid w:val="007F2738"/>
    <w:rsid w:val="007F29CD"/>
    <w:rsid w:val="007F2C36"/>
    <w:rsid w:val="007F2CE2"/>
    <w:rsid w:val="007F3007"/>
    <w:rsid w:val="007F3167"/>
    <w:rsid w:val="007F3AD0"/>
    <w:rsid w:val="007F3E87"/>
    <w:rsid w:val="007F3EB6"/>
    <w:rsid w:val="007F3FF7"/>
    <w:rsid w:val="007F4039"/>
    <w:rsid w:val="007F43C4"/>
    <w:rsid w:val="007F4788"/>
    <w:rsid w:val="007F4946"/>
    <w:rsid w:val="007F4E24"/>
    <w:rsid w:val="007F54FC"/>
    <w:rsid w:val="007F588E"/>
    <w:rsid w:val="007F5E38"/>
    <w:rsid w:val="007F5E3F"/>
    <w:rsid w:val="007F5EC6"/>
    <w:rsid w:val="007F614F"/>
    <w:rsid w:val="007F64F2"/>
    <w:rsid w:val="007F6733"/>
    <w:rsid w:val="007F6C8D"/>
    <w:rsid w:val="007F73DE"/>
    <w:rsid w:val="007F7EB4"/>
    <w:rsid w:val="007F7EF8"/>
    <w:rsid w:val="008008CD"/>
    <w:rsid w:val="008008E2"/>
    <w:rsid w:val="0080121D"/>
    <w:rsid w:val="00801AAA"/>
    <w:rsid w:val="00801DC6"/>
    <w:rsid w:val="008038E8"/>
    <w:rsid w:val="00803FEC"/>
    <w:rsid w:val="008045A5"/>
    <w:rsid w:val="00805254"/>
    <w:rsid w:val="008059CA"/>
    <w:rsid w:val="00805CEC"/>
    <w:rsid w:val="00806998"/>
    <w:rsid w:val="00806C75"/>
    <w:rsid w:val="00807400"/>
    <w:rsid w:val="00807AD4"/>
    <w:rsid w:val="00807D85"/>
    <w:rsid w:val="008102F4"/>
    <w:rsid w:val="00810D41"/>
    <w:rsid w:val="008115C0"/>
    <w:rsid w:val="00811949"/>
    <w:rsid w:val="008119D4"/>
    <w:rsid w:val="00812DDA"/>
    <w:rsid w:val="00813810"/>
    <w:rsid w:val="00813D71"/>
    <w:rsid w:val="00814462"/>
    <w:rsid w:val="008151CD"/>
    <w:rsid w:val="0081549B"/>
    <w:rsid w:val="008156DB"/>
    <w:rsid w:val="00815FA9"/>
    <w:rsid w:val="008165CB"/>
    <w:rsid w:val="00816793"/>
    <w:rsid w:val="00816D39"/>
    <w:rsid w:val="00817069"/>
    <w:rsid w:val="00817105"/>
    <w:rsid w:val="00817613"/>
    <w:rsid w:val="00817644"/>
    <w:rsid w:val="0081766A"/>
    <w:rsid w:val="0081775F"/>
    <w:rsid w:val="00817A51"/>
    <w:rsid w:val="00817BAE"/>
    <w:rsid w:val="00817C4F"/>
    <w:rsid w:val="00817D4F"/>
    <w:rsid w:val="00817EE7"/>
    <w:rsid w:val="0082003E"/>
    <w:rsid w:val="0082132E"/>
    <w:rsid w:val="0082133F"/>
    <w:rsid w:val="00821793"/>
    <w:rsid w:val="008218E8"/>
    <w:rsid w:val="00821DF9"/>
    <w:rsid w:val="00821FA4"/>
    <w:rsid w:val="00822192"/>
    <w:rsid w:val="008223C6"/>
    <w:rsid w:val="00822894"/>
    <w:rsid w:val="00822B7C"/>
    <w:rsid w:val="00822EF6"/>
    <w:rsid w:val="0082337C"/>
    <w:rsid w:val="0082547F"/>
    <w:rsid w:val="0082567C"/>
    <w:rsid w:val="00826565"/>
    <w:rsid w:val="008267C7"/>
    <w:rsid w:val="00826805"/>
    <w:rsid w:val="0082680B"/>
    <w:rsid w:val="00826B75"/>
    <w:rsid w:val="00827290"/>
    <w:rsid w:val="00827795"/>
    <w:rsid w:val="008277F4"/>
    <w:rsid w:val="00827B45"/>
    <w:rsid w:val="00827C40"/>
    <w:rsid w:val="00827E8E"/>
    <w:rsid w:val="008301FF"/>
    <w:rsid w:val="00830465"/>
    <w:rsid w:val="00830B56"/>
    <w:rsid w:val="00830C97"/>
    <w:rsid w:val="00831178"/>
    <w:rsid w:val="008316A7"/>
    <w:rsid w:val="0083192A"/>
    <w:rsid w:val="00831AB2"/>
    <w:rsid w:val="00831D18"/>
    <w:rsid w:val="00832E11"/>
    <w:rsid w:val="00833309"/>
    <w:rsid w:val="008333A4"/>
    <w:rsid w:val="008342BC"/>
    <w:rsid w:val="00834CB1"/>
    <w:rsid w:val="00835B87"/>
    <w:rsid w:val="00836A7D"/>
    <w:rsid w:val="00837721"/>
    <w:rsid w:val="0084005C"/>
    <w:rsid w:val="00840422"/>
    <w:rsid w:val="00840768"/>
    <w:rsid w:val="008408E0"/>
    <w:rsid w:val="0084097D"/>
    <w:rsid w:val="00840BAA"/>
    <w:rsid w:val="00840CFB"/>
    <w:rsid w:val="008412D8"/>
    <w:rsid w:val="00841345"/>
    <w:rsid w:val="008428EF"/>
    <w:rsid w:val="0084315D"/>
    <w:rsid w:val="00843546"/>
    <w:rsid w:val="008435DC"/>
    <w:rsid w:val="00843780"/>
    <w:rsid w:val="0084433C"/>
    <w:rsid w:val="008448D3"/>
    <w:rsid w:val="00844B9B"/>
    <w:rsid w:val="00845491"/>
    <w:rsid w:val="008454B1"/>
    <w:rsid w:val="00845A9A"/>
    <w:rsid w:val="00845B70"/>
    <w:rsid w:val="00845C3A"/>
    <w:rsid w:val="00845E30"/>
    <w:rsid w:val="00845FE7"/>
    <w:rsid w:val="008470BD"/>
    <w:rsid w:val="008478F9"/>
    <w:rsid w:val="008507C3"/>
    <w:rsid w:val="008508A7"/>
    <w:rsid w:val="00850E37"/>
    <w:rsid w:val="0085130C"/>
    <w:rsid w:val="00851768"/>
    <w:rsid w:val="00851AFD"/>
    <w:rsid w:val="00852434"/>
    <w:rsid w:val="00853147"/>
    <w:rsid w:val="0085411D"/>
    <w:rsid w:val="00854D7B"/>
    <w:rsid w:val="00854FA4"/>
    <w:rsid w:val="0085585C"/>
    <w:rsid w:val="008558D0"/>
    <w:rsid w:val="008559FD"/>
    <w:rsid w:val="00855E43"/>
    <w:rsid w:val="00855FDD"/>
    <w:rsid w:val="008566BE"/>
    <w:rsid w:val="00856F19"/>
    <w:rsid w:val="00857227"/>
    <w:rsid w:val="0085756E"/>
    <w:rsid w:val="00857961"/>
    <w:rsid w:val="00860424"/>
    <w:rsid w:val="008615FD"/>
    <w:rsid w:val="00862175"/>
    <w:rsid w:val="008624D3"/>
    <w:rsid w:val="00862687"/>
    <w:rsid w:val="008628E3"/>
    <w:rsid w:val="00862CF5"/>
    <w:rsid w:val="008631D0"/>
    <w:rsid w:val="00863476"/>
    <w:rsid w:val="00863787"/>
    <w:rsid w:val="00863C8B"/>
    <w:rsid w:val="00863CEF"/>
    <w:rsid w:val="008645AC"/>
    <w:rsid w:val="0086486B"/>
    <w:rsid w:val="0086549F"/>
    <w:rsid w:val="008655F5"/>
    <w:rsid w:val="00865651"/>
    <w:rsid w:val="00865C6D"/>
    <w:rsid w:val="00865D6E"/>
    <w:rsid w:val="00866294"/>
    <w:rsid w:val="008664A4"/>
    <w:rsid w:val="0086734B"/>
    <w:rsid w:val="008674E1"/>
    <w:rsid w:val="00870E90"/>
    <w:rsid w:val="00870ECC"/>
    <w:rsid w:val="00871E19"/>
    <w:rsid w:val="00871F21"/>
    <w:rsid w:val="00872A4A"/>
    <w:rsid w:val="00872ACC"/>
    <w:rsid w:val="00872FA3"/>
    <w:rsid w:val="0087407A"/>
    <w:rsid w:val="008747FB"/>
    <w:rsid w:val="008749B1"/>
    <w:rsid w:val="00874A25"/>
    <w:rsid w:val="008757EC"/>
    <w:rsid w:val="00875831"/>
    <w:rsid w:val="008759CF"/>
    <w:rsid w:val="00875ABD"/>
    <w:rsid w:val="00875C95"/>
    <w:rsid w:val="00875ECC"/>
    <w:rsid w:val="008767BE"/>
    <w:rsid w:val="008776ED"/>
    <w:rsid w:val="00877A90"/>
    <w:rsid w:val="00880321"/>
    <w:rsid w:val="00880569"/>
    <w:rsid w:val="00880848"/>
    <w:rsid w:val="008810B2"/>
    <w:rsid w:val="008813BE"/>
    <w:rsid w:val="00881C63"/>
    <w:rsid w:val="00882928"/>
    <w:rsid w:val="008829D7"/>
    <w:rsid w:val="00882B77"/>
    <w:rsid w:val="00883331"/>
    <w:rsid w:val="008835B3"/>
    <w:rsid w:val="00883E86"/>
    <w:rsid w:val="00884775"/>
    <w:rsid w:val="00884946"/>
    <w:rsid w:val="008853C4"/>
    <w:rsid w:val="00885DEA"/>
    <w:rsid w:val="008867D2"/>
    <w:rsid w:val="00886E96"/>
    <w:rsid w:val="00887745"/>
    <w:rsid w:val="00887BD0"/>
    <w:rsid w:val="00890053"/>
    <w:rsid w:val="0089036F"/>
    <w:rsid w:val="0089065A"/>
    <w:rsid w:val="00891183"/>
    <w:rsid w:val="008914BD"/>
    <w:rsid w:val="0089161C"/>
    <w:rsid w:val="00891769"/>
    <w:rsid w:val="00892150"/>
    <w:rsid w:val="008925F4"/>
    <w:rsid w:val="00892EDD"/>
    <w:rsid w:val="00893307"/>
    <w:rsid w:val="00893852"/>
    <w:rsid w:val="00893B00"/>
    <w:rsid w:val="00893D85"/>
    <w:rsid w:val="008941F7"/>
    <w:rsid w:val="0089425E"/>
    <w:rsid w:val="00894573"/>
    <w:rsid w:val="0089458A"/>
    <w:rsid w:val="0089467D"/>
    <w:rsid w:val="008948CE"/>
    <w:rsid w:val="00894B1F"/>
    <w:rsid w:val="00894FC6"/>
    <w:rsid w:val="008955E3"/>
    <w:rsid w:val="00896547"/>
    <w:rsid w:val="008971CE"/>
    <w:rsid w:val="008979F1"/>
    <w:rsid w:val="008A0B36"/>
    <w:rsid w:val="008A0BED"/>
    <w:rsid w:val="008A0C1E"/>
    <w:rsid w:val="008A0F4E"/>
    <w:rsid w:val="008A153C"/>
    <w:rsid w:val="008A1BC2"/>
    <w:rsid w:val="008A1E88"/>
    <w:rsid w:val="008A1F21"/>
    <w:rsid w:val="008A24C4"/>
    <w:rsid w:val="008A24D0"/>
    <w:rsid w:val="008A25A5"/>
    <w:rsid w:val="008A2A9E"/>
    <w:rsid w:val="008A2C70"/>
    <w:rsid w:val="008A330E"/>
    <w:rsid w:val="008A34FA"/>
    <w:rsid w:val="008A3BF8"/>
    <w:rsid w:val="008A4642"/>
    <w:rsid w:val="008A46AE"/>
    <w:rsid w:val="008A4C29"/>
    <w:rsid w:val="008A4E61"/>
    <w:rsid w:val="008A5085"/>
    <w:rsid w:val="008A525F"/>
    <w:rsid w:val="008A6186"/>
    <w:rsid w:val="008A6950"/>
    <w:rsid w:val="008B002C"/>
    <w:rsid w:val="008B07B3"/>
    <w:rsid w:val="008B1A60"/>
    <w:rsid w:val="008B1B78"/>
    <w:rsid w:val="008B21DD"/>
    <w:rsid w:val="008B2B61"/>
    <w:rsid w:val="008B31E2"/>
    <w:rsid w:val="008B39D2"/>
    <w:rsid w:val="008B3AD9"/>
    <w:rsid w:val="008B3B7B"/>
    <w:rsid w:val="008B3B9B"/>
    <w:rsid w:val="008B3E10"/>
    <w:rsid w:val="008B4331"/>
    <w:rsid w:val="008B489A"/>
    <w:rsid w:val="008B48EF"/>
    <w:rsid w:val="008B508D"/>
    <w:rsid w:val="008B513A"/>
    <w:rsid w:val="008B5490"/>
    <w:rsid w:val="008B5BA7"/>
    <w:rsid w:val="008B6301"/>
    <w:rsid w:val="008B64B1"/>
    <w:rsid w:val="008B7CAB"/>
    <w:rsid w:val="008C09E0"/>
    <w:rsid w:val="008C10FB"/>
    <w:rsid w:val="008C1167"/>
    <w:rsid w:val="008C225E"/>
    <w:rsid w:val="008C26C2"/>
    <w:rsid w:val="008C2705"/>
    <w:rsid w:val="008C271E"/>
    <w:rsid w:val="008C2B02"/>
    <w:rsid w:val="008C2E5B"/>
    <w:rsid w:val="008C2FD2"/>
    <w:rsid w:val="008C37B2"/>
    <w:rsid w:val="008C4736"/>
    <w:rsid w:val="008C4925"/>
    <w:rsid w:val="008C5612"/>
    <w:rsid w:val="008C56E3"/>
    <w:rsid w:val="008C608E"/>
    <w:rsid w:val="008C68F0"/>
    <w:rsid w:val="008C6E73"/>
    <w:rsid w:val="008C6EA4"/>
    <w:rsid w:val="008C6EF8"/>
    <w:rsid w:val="008C70F6"/>
    <w:rsid w:val="008C7126"/>
    <w:rsid w:val="008C737A"/>
    <w:rsid w:val="008C7754"/>
    <w:rsid w:val="008D0BBE"/>
    <w:rsid w:val="008D0C83"/>
    <w:rsid w:val="008D133A"/>
    <w:rsid w:val="008D16E2"/>
    <w:rsid w:val="008D1CE2"/>
    <w:rsid w:val="008D2521"/>
    <w:rsid w:val="008D27AC"/>
    <w:rsid w:val="008D2D06"/>
    <w:rsid w:val="008D2FC7"/>
    <w:rsid w:val="008D31C4"/>
    <w:rsid w:val="008D34FB"/>
    <w:rsid w:val="008D3626"/>
    <w:rsid w:val="008D36C1"/>
    <w:rsid w:val="008D4766"/>
    <w:rsid w:val="008D4AE0"/>
    <w:rsid w:val="008D50E6"/>
    <w:rsid w:val="008D52AA"/>
    <w:rsid w:val="008D5F2C"/>
    <w:rsid w:val="008D6302"/>
    <w:rsid w:val="008D723E"/>
    <w:rsid w:val="008D771A"/>
    <w:rsid w:val="008D79E9"/>
    <w:rsid w:val="008D7B17"/>
    <w:rsid w:val="008E0089"/>
    <w:rsid w:val="008E0113"/>
    <w:rsid w:val="008E037B"/>
    <w:rsid w:val="008E04F7"/>
    <w:rsid w:val="008E0C79"/>
    <w:rsid w:val="008E1526"/>
    <w:rsid w:val="008E1B69"/>
    <w:rsid w:val="008E1CDA"/>
    <w:rsid w:val="008E201E"/>
    <w:rsid w:val="008E201F"/>
    <w:rsid w:val="008E2437"/>
    <w:rsid w:val="008E26BC"/>
    <w:rsid w:val="008E2C6C"/>
    <w:rsid w:val="008E3222"/>
    <w:rsid w:val="008E3794"/>
    <w:rsid w:val="008E4811"/>
    <w:rsid w:val="008E4861"/>
    <w:rsid w:val="008E4AB3"/>
    <w:rsid w:val="008E4E1C"/>
    <w:rsid w:val="008E4EEE"/>
    <w:rsid w:val="008E6A39"/>
    <w:rsid w:val="008F0993"/>
    <w:rsid w:val="008F0F41"/>
    <w:rsid w:val="008F1D21"/>
    <w:rsid w:val="008F23FC"/>
    <w:rsid w:val="008F2733"/>
    <w:rsid w:val="008F2881"/>
    <w:rsid w:val="008F39DD"/>
    <w:rsid w:val="008F3E7E"/>
    <w:rsid w:val="008F3FB7"/>
    <w:rsid w:val="008F4354"/>
    <w:rsid w:val="008F54C0"/>
    <w:rsid w:val="008F5747"/>
    <w:rsid w:val="008F69A3"/>
    <w:rsid w:val="008F74DD"/>
    <w:rsid w:val="008F7A9D"/>
    <w:rsid w:val="008F7AD4"/>
    <w:rsid w:val="008F7C9F"/>
    <w:rsid w:val="008F7DCC"/>
    <w:rsid w:val="00900339"/>
    <w:rsid w:val="009004B0"/>
    <w:rsid w:val="00900909"/>
    <w:rsid w:val="00900E95"/>
    <w:rsid w:val="00901A36"/>
    <w:rsid w:val="00902253"/>
    <w:rsid w:val="00902560"/>
    <w:rsid w:val="00903553"/>
    <w:rsid w:val="0090379C"/>
    <w:rsid w:val="0090399F"/>
    <w:rsid w:val="00903BB9"/>
    <w:rsid w:val="00904011"/>
    <w:rsid w:val="0090442D"/>
    <w:rsid w:val="0090468A"/>
    <w:rsid w:val="00904875"/>
    <w:rsid w:val="0090545A"/>
    <w:rsid w:val="0090576A"/>
    <w:rsid w:val="00905D14"/>
    <w:rsid w:val="00906523"/>
    <w:rsid w:val="00906BDF"/>
    <w:rsid w:val="00906C57"/>
    <w:rsid w:val="009071A1"/>
    <w:rsid w:val="0090755B"/>
    <w:rsid w:val="00907D8B"/>
    <w:rsid w:val="00910109"/>
    <w:rsid w:val="00911479"/>
    <w:rsid w:val="0091220A"/>
    <w:rsid w:val="00912377"/>
    <w:rsid w:val="0091393F"/>
    <w:rsid w:val="00913A75"/>
    <w:rsid w:val="00913CCA"/>
    <w:rsid w:val="00914627"/>
    <w:rsid w:val="00915376"/>
    <w:rsid w:val="00916039"/>
    <w:rsid w:val="00917269"/>
    <w:rsid w:val="00917FEC"/>
    <w:rsid w:val="0092045E"/>
    <w:rsid w:val="00920692"/>
    <w:rsid w:val="00921222"/>
    <w:rsid w:val="0092197D"/>
    <w:rsid w:val="00921F67"/>
    <w:rsid w:val="00922CA6"/>
    <w:rsid w:val="00922CE0"/>
    <w:rsid w:val="0092318D"/>
    <w:rsid w:val="00923E7E"/>
    <w:rsid w:val="009241A0"/>
    <w:rsid w:val="00924C79"/>
    <w:rsid w:val="009254B6"/>
    <w:rsid w:val="00925E0A"/>
    <w:rsid w:val="00925E1D"/>
    <w:rsid w:val="00925E2F"/>
    <w:rsid w:val="00925E93"/>
    <w:rsid w:val="00926190"/>
    <w:rsid w:val="00926F52"/>
    <w:rsid w:val="009275AC"/>
    <w:rsid w:val="009279A3"/>
    <w:rsid w:val="00927B23"/>
    <w:rsid w:val="009304B9"/>
    <w:rsid w:val="009308FF"/>
    <w:rsid w:val="0093183C"/>
    <w:rsid w:val="00931B65"/>
    <w:rsid w:val="00931BA4"/>
    <w:rsid w:val="00932887"/>
    <w:rsid w:val="00932E8F"/>
    <w:rsid w:val="00933106"/>
    <w:rsid w:val="00933A0D"/>
    <w:rsid w:val="00933E27"/>
    <w:rsid w:val="00934108"/>
    <w:rsid w:val="0093437A"/>
    <w:rsid w:val="00934518"/>
    <w:rsid w:val="00934CAD"/>
    <w:rsid w:val="00934E61"/>
    <w:rsid w:val="0093584A"/>
    <w:rsid w:val="0093641E"/>
    <w:rsid w:val="009367A5"/>
    <w:rsid w:val="00936DFE"/>
    <w:rsid w:val="00940006"/>
    <w:rsid w:val="00940518"/>
    <w:rsid w:val="00940552"/>
    <w:rsid w:val="0094091A"/>
    <w:rsid w:val="00940AD5"/>
    <w:rsid w:val="00941095"/>
    <w:rsid w:val="0094195B"/>
    <w:rsid w:val="00941C63"/>
    <w:rsid w:val="00941E27"/>
    <w:rsid w:val="00942637"/>
    <w:rsid w:val="00942C3B"/>
    <w:rsid w:val="00942DB8"/>
    <w:rsid w:val="00942DCE"/>
    <w:rsid w:val="0094383A"/>
    <w:rsid w:val="00943A4D"/>
    <w:rsid w:val="00944425"/>
    <w:rsid w:val="009446D9"/>
    <w:rsid w:val="00944BBB"/>
    <w:rsid w:val="00946B5A"/>
    <w:rsid w:val="00946C42"/>
    <w:rsid w:val="00950656"/>
    <w:rsid w:val="00951334"/>
    <w:rsid w:val="0095149B"/>
    <w:rsid w:val="00951631"/>
    <w:rsid w:val="009519EA"/>
    <w:rsid w:val="009523F3"/>
    <w:rsid w:val="00952BDC"/>
    <w:rsid w:val="00952C10"/>
    <w:rsid w:val="00953392"/>
    <w:rsid w:val="009537F7"/>
    <w:rsid w:val="00953E8A"/>
    <w:rsid w:val="009543BD"/>
    <w:rsid w:val="0095450E"/>
    <w:rsid w:val="00954722"/>
    <w:rsid w:val="00954789"/>
    <w:rsid w:val="009557E7"/>
    <w:rsid w:val="00955F15"/>
    <w:rsid w:val="00956E31"/>
    <w:rsid w:val="00956F40"/>
    <w:rsid w:val="009570D6"/>
    <w:rsid w:val="0095785F"/>
    <w:rsid w:val="00957C15"/>
    <w:rsid w:val="00957F04"/>
    <w:rsid w:val="00961335"/>
    <w:rsid w:val="009615AE"/>
    <w:rsid w:val="009617AA"/>
    <w:rsid w:val="00961A75"/>
    <w:rsid w:val="0096216A"/>
    <w:rsid w:val="0096224B"/>
    <w:rsid w:val="009627CE"/>
    <w:rsid w:val="00962A39"/>
    <w:rsid w:val="0096336D"/>
    <w:rsid w:val="00963C05"/>
    <w:rsid w:val="00964C8D"/>
    <w:rsid w:val="00964F2E"/>
    <w:rsid w:val="00965180"/>
    <w:rsid w:val="009652D0"/>
    <w:rsid w:val="00965794"/>
    <w:rsid w:val="0096584B"/>
    <w:rsid w:val="009659ED"/>
    <w:rsid w:val="00966A38"/>
    <w:rsid w:val="00966FB5"/>
    <w:rsid w:val="0096737D"/>
    <w:rsid w:val="0096748F"/>
    <w:rsid w:val="00967EC8"/>
    <w:rsid w:val="00970144"/>
    <w:rsid w:val="0097026A"/>
    <w:rsid w:val="00970371"/>
    <w:rsid w:val="00970527"/>
    <w:rsid w:val="00970A7C"/>
    <w:rsid w:val="00971847"/>
    <w:rsid w:val="00971F17"/>
    <w:rsid w:val="0097218C"/>
    <w:rsid w:val="00972D32"/>
    <w:rsid w:val="00972E0A"/>
    <w:rsid w:val="00973FB1"/>
    <w:rsid w:val="009748DE"/>
    <w:rsid w:val="009749E3"/>
    <w:rsid w:val="009755F3"/>
    <w:rsid w:val="00975C3B"/>
    <w:rsid w:val="00975FB0"/>
    <w:rsid w:val="00976175"/>
    <w:rsid w:val="00976D3C"/>
    <w:rsid w:val="00977104"/>
    <w:rsid w:val="00977BBF"/>
    <w:rsid w:val="00977CF4"/>
    <w:rsid w:val="00980882"/>
    <w:rsid w:val="009809B4"/>
    <w:rsid w:val="0098114F"/>
    <w:rsid w:val="00981682"/>
    <w:rsid w:val="00981D5F"/>
    <w:rsid w:val="009826CE"/>
    <w:rsid w:val="00982ECD"/>
    <w:rsid w:val="00983577"/>
    <w:rsid w:val="009839A4"/>
    <w:rsid w:val="009841A9"/>
    <w:rsid w:val="00984DF5"/>
    <w:rsid w:val="00984E88"/>
    <w:rsid w:val="00984EB7"/>
    <w:rsid w:val="0098505E"/>
    <w:rsid w:val="00985063"/>
    <w:rsid w:val="009857A9"/>
    <w:rsid w:val="00985902"/>
    <w:rsid w:val="009859C4"/>
    <w:rsid w:val="00985A59"/>
    <w:rsid w:val="00985C51"/>
    <w:rsid w:val="00985ED8"/>
    <w:rsid w:val="0098605E"/>
    <w:rsid w:val="00986B47"/>
    <w:rsid w:val="009874E7"/>
    <w:rsid w:val="00987829"/>
    <w:rsid w:val="00987ABC"/>
    <w:rsid w:val="0099053A"/>
    <w:rsid w:val="00991187"/>
    <w:rsid w:val="009928D9"/>
    <w:rsid w:val="009929A7"/>
    <w:rsid w:val="00992ECF"/>
    <w:rsid w:val="0099333F"/>
    <w:rsid w:val="00993382"/>
    <w:rsid w:val="0099341A"/>
    <w:rsid w:val="00993761"/>
    <w:rsid w:val="00993C62"/>
    <w:rsid w:val="00994273"/>
    <w:rsid w:val="009945EF"/>
    <w:rsid w:val="0099494C"/>
    <w:rsid w:val="00994AC0"/>
    <w:rsid w:val="0099530E"/>
    <w:rsid w:val="009953CE"/>
    <w:rsid w:val="00995527"/>
    <w:rsid w:val="0099581B"/>
    <w:rsid w:val="009972D9"/>
    <w:rsid w:val="009A03F5"/>
    <w:rsid w:val="009A142A"/>
    <w:rsid w:val="009A1A20"/>
    <w:rsid w:val="009A1E38"/>
    <w:rsid w:val="009A1E52"/>
    <w:rsid w:val="009A2A18"/>
    <w:rsid w:val="009A2B7E"/>
    <w:rsid w:val="009A2D1F"/>
    <w:rsid w:val="009A4575"/>
    <w:rsid w:val="009A5039"/>
    <w:rsid w:val="009A534E"/>
    <w:rsid w:val="009A5816"/>
    <w:rsid w:val="009A5DEE"/>
    <w:rsid w:val="009A6561"/>
    <w:rsid w:val="009A661F"/>
    <w:rsid w:val="009A685B"/>
    <w:rsid w:val="009A6F52"/>
    <w:rsid w:val="009A6F9B"/>
    <w:rsid w:val="009A760E"/>
    <w:rsid w:val="009A793B"/>
    <w:rsid w:val="009A79E1"/>
    <w:rsid w:val="009A7C99"/>
    <w:rsid w:val="009B079B"/>
    <w:rsid w:val="009B0868"/>
    <w:rsid w:val="009B0BDF"/>
    <w:rsid w:val="009B0F35"/>
    <w:rsid w:val="009B17C4"/>
    <w:rsid w:val="009B1B16"/>
    <w:rsid w:val="009B1C19"/>
    <w:rsid w:val="009B1EE1"/>
    <w:rsid w:val="009B2479"/>
    <w:rsid w:val="009B2CCC"/>
    <w:rsid w:val="009B3671"/>
    <w:rsid w:val="009B4553"/>
    <w:rsid w:val="009B4755"/>
    <w:rsid w:val="009B4AB2"/>
    <w:rsid w:val="009B4BA3"/>
    <w:rsid w:val="009B4F92"/>
    <w:rsid w:val="009B54FD"/>
    <w:rsid w:val="009B57C8"/>
    <w:rsid w:val="009B5C30"/>
    <w:rsid w:val="009B5D66"/>
    <w:rsid w:val="009B6027"/>
    <w:rsid w:val="009B612A"/>
    <w:rsid w:val="009B6140"/>
    <w:rsid w:val="009B6E68"/>
    <w:rsid w:val="009B7147"/>
    <w:rsid w:val="009B76B9"/>
    <w:rsid w:val="009B7A21"/>
    <w:rsid w:val="009B7E6F"/>
    <w:rsid w:val="009B7F92"/>
    <w:rsid w:val="009C04A2"/>
    <w:rsid w:val="009C127E"/>
    <w:rsid w:val="009C1921"/>
    <w:rsid w:val="009C1A52"/>
    <w:rsid w:val="009C1CA2"/>
    <w:rsid w:val="009C2226"/>
    <w:rsid w:val="009C2EEC"/>
    <w:rsid w:val="009C3353"/>
    <w:rsid w:val="009C345A"/>
    <w:rsid w:val="009C411E"/>
    <w:rsid w:val="009C459C"/>
    <w:rsid w:val="009C481A"/>
    <w:rsid w:val="009C4A1C"/>
    <w:rsid w:val="009C4C63"/>
    <w:rsid w:val="009C4CDD"/>
    <w:rsid w:val="009C4F07"/>
    <w:rsid w:val="009C4FB1"/>
    <w:rsid w:val="009C54D0"/>
    <w:rsid w:val="009C5859"/>
    <w:rsid w:val="009C59D8"/>
    <w:rsid w:val="009C5CC1"/>
    <w:rsid w:val="009C5DDC"/>
    <w:rsid w:val="009C660D"/>
    <w:rsid w:val="009C6638"/>
    <w:rsid w:val="009C6644"/>
    <w:rsid w:val="009C699C"/>
    <w:rsid w:val="009C6B29"/>
    <w:rsid w:val="009C6C18"/>
    <w:rsid w:val="009C7305"/>
    <w:rsid w:val="009C7712"/>
    <w:rsid w:val="009C775F"/>
    <w:rsid w:val="009C7B82"/>
    <w:rsid w:val="009C7C14"/>
    <w:rsid w:val="009D01C2"/>
    <w:rsid w:val="009D03A8"/>
    <w:rsid w:val="009D0901"/>
    <w:rsid w:val="009D0EAC"/>
    <w:rsid w:val="009D1CD4"/>
    <w:rsid w:val="009D2306"/>
    <w:rsid w:val="009D2604"/>
    <w:rsid w:val="009D260D"/>
    <w:rsid w:val="009D286A"/>
    <w:rsid w:val="009D288F"/>
    <w:rsid w:val="009D2B16"/>
    <w:rsid w:val="009D3195"/>
    <w:rsid w:val="009D398A"/>
    <w:rsid w:val="009D3B4C"/>
    <w:rsid w:val="009D3C8B"/>
    <w:rsid w:val="009D43C1"/>
    <w:rsid w:val="009D4611"/>
    <w:rsid w:val="009D4D29"/>
    <w:rsid w:val="009D61F6"/>
    <w:rsid w:val="009D6244"/>
    <w:rsid w:val="009D6256"/>
    <w:rsid w:val="009D70A2"/>
    <w:rsid w:val="009D7383"/>
    <w:rsid w:val="009D7889"/>
    <w:rsid w:val="009D7C86"/>
    <w:rsid w:val="009E0256"/>
    <w:rsid w:val="009E0AAA"/>
    <w:rsid w:val="009E0E36"/>
    <w:rsid w:val="009E1527"/>
    <w:rsid w:val="009E19A3"/>
    <w:rsid w:val="009E1D7F"/>
    <w:rsid w:val="009E239D"/>
    <w:rsid w:val="009E2968"/>
    <w:rsid w:val="009E2D38"/>
    <w:rsid w:val="009E33AF"/>
    <w:rsid w:val="009E369E"/>
    <w:rsid w:val="009E37A6"/>
    <w:rsid w:val="009E3B79"/>
    <w:rsid w:val="009E3B87"/>
    <w:rsid w:val="009E43E5"/>
    <w:rsid w:val="009E4FDF"/>
    <w:rsid w:val="009E53F7"/>
    <w:rsid w:val="009E552F"/>
    <w:rsid w:val="009E5639"/>
    <w:rsid w:val="009E59CC"/>
    <w:rsid w:val="009E61FD"/>
    <w:rsid w:val="009E71F0"/>
    <w:rsid w:val="009E7381"/>
    <w:rsid w:val="009E7478"/>
    <w:rsid w:val="009E7870"/>
    <w:rsid w:val="009E7E0E"/>
    <w:rsid w:val="009F1060"/>
    <w:rsid w:val="009F1CD9"/>
    <w:rsid w:val="009F229A"/>
    <w:rsid w:val="009F2350"/>
    <w:rsid w:val="009F292F"/>
    <w:rsid w:val="009F2B3B"/>
    <w:rsid w:val="009F3125"/>
    <w:rsid w:val="009F3EA9"/>
    <w:rsid w:val="009F4108"/>
    <w:rsid w:val="009F4672"/>
    <w:rsid w:val="009F4721"/>
    <w:rsid w:val="009F4A8B"/>
    <w:rsid w:val="009F4F77"/>
    <w:rsid w:val="009F5479"/>
    <w:rsid w:val="009F599A"/>
    <w:rsid w:val="009F5C2A"/>
    <w:rsid w:val="009F6310"/>
    <w:rsid w:val="009F635C"/>
    <w:rsid w:val="009F73F7"/>
    <w:rsid w:val="009F76FC"/>
    <w:rsid w:val="00A00045"/>
    <w:rsid w:val="00A006E0"/>
    <w:rsid w:val="00A00AE1"/>
    <w:rsid w:val="00A00CE0"/>
    <w:rsid w:val="00A01068"/>
    <w:rsid w:val="00A023B9"/>
    <w:rsid w:val="00A024D0"/>
    <w:rsid w:val="00A0285D"/>
    <w:rsid w:val="00A02899"/>
    <w:rsid w:val="00A02A68"/>
    <w:rsid w:val="00A02B25"/>
    <w:rsid w:val="00A02E68"/>
    <w:rsid w:val="00A02F00"/>
    <w:rsid w:val="00A02F04"/>
    <w:rsid w:val="00A04100"/>
    <w:rsid w:val="00A043B5"/>
    <w:rsid w:val="00A04C12"/>
    <w:rsid w:val="00A054A1"/>
    <w:rsid w:val="00A05E0D"/>
    <w:rsid w:val="00A06631"/>
    <w:rsid w:val="00A06CA6"/>
    <w:rsid w:val="00A06EFA"/>
    <w:rsid w:val="00A0704D"/>
    <w:rsid w:val="00A079C6"/>
    <w:rsid w:val="00A07E31"/>
    <w:rsid w:val="00A1045B"/>
    <w:rsid w:val="00A10826"/>
    <w:rsid w:val="00A10ED0"/>
    <w:rsid w:val="00A112B8"/>
    <w:rsid w:val="00A11365"/>
    <w:rsid w:val="00A1147D"/>
    <w:rsid w:val="00A1192E"/>
    <w:rsid w:val="00A11A22"/>
    <w:rsid w:val="00A11CA2"/>
    <w:rsid w:val="00A11E67"/>
    <w:rsid w:val="00A120DF"/>
    <w:rsid w:val="00A12970"/>
    <w:rsid w:val="00A13A36"/>
    <w:rsid w:val="00A14F68"/>
    <w:rsid w:val="00A150DA"/>
    <w:rsid w:val="00A155A7"/>
    <w:rsid w:val="00A15856"/>
    <w:rsid w:val="00A16B58"/>
    <w:rsid w:val="00A177B9"/>
    <w:rsid w:val="00A179D5"/>
    <w:rsid w:val="00A17A45"/>
    <w:rsid w:val="00A208BE"/>
    <w:rsid w:val="00A214D2"/>
    <w:rsid w:val="00A2182B"/>
    <w:rsid w:val="00A219FB"/>
    <w:rsid w:val="00A22755"/>
    <w:rsid w:val="00A234DD"/>
    <w:rsid w:val="00A23A9D"/>
    <w:rsid w:val="00A23D6B"/>
    <w:rsid w:val="00A24205"/>
    <w:rsid w:val="00A24734"/>
    <w:rsid w:val="00A25C2E"/>
    <w:rsid w:val="00A265CF"/>
    <w:rsid w:val="00A26C10"/>
    <w:rsid w:val="00A2717F"/>
    <w:rsid w:val="00A2756A"/>
    <w:rsid w:val="00A27F8E"/>
    <w:rsid w:val="00A3042C"/>
    <w:rsid w:val="00A3069A"/>
    <w:rsid w:val="00A306CC"/>
    <w:rsid w:val="00A30E4D"/>
    <w:rsid w:val="00A31874"/>
    <w:rsid w:val="00A31C1D"/>
    <w:rsid w:val="00A3209B"/>
    <w:rsid w:val="00A320AF"/>
    <w:rsid w:val="00A323B9"/>
    <w:rsid w:val="00A3310D"/>
    <w:rsid w:val="00A33453"/>
    <w:rsid w:val="00A3347A"/>
    <w:rsid w:val="00A3356C"/>
    <w:rsid w:val="00A336EA"/>
    <w:rsid w:val="00A34D4A"/>
    <w:rsid w:val="00A3539E"/>
    <w:rsid w:val="00A357F6"/>
    <w:rsid w:val="00A35948"/>
    <w:rsid w:val="00A35A02"/>
    <w:rsid w:val="00A35AF4"/>
    <w:rsid w:val="00A35D66"/>
    <w:rsid w:val="00A36362"/>
    <w:rsid w:val="00A367C3"/>
    <w:rsid w:val="00A37143"/>
    <w:rsid w:val="00A37A14"/>
    <w:rsid w:val="00A4038F"/>
    <w:rsid w:val="00A406C2"/>
    <w:rsid w:val="00A40973"/>
    <w:rsid w:val="00A41A55"/>
    <w:rsid w:val="00A41C33"/>
    <w:rsid w:val="00A42104"/>
    <w:rsid w:val="00A427A6"/>
    <w:rsid w:val="00A437FE"/>
    <w:rsid w:val="00A43E57"/>
    <w:rsid w:val="00A43E9B"/>
    <w:rsid w:val="00A44314"/>
    <w:rsid w:val="00A4565D"/>
    <w:rsid w:val="00A46C70"/>
    <w:rsid w:val="00A4775B"/>
    <w:rsid w:val="00A47B4E"/>
    <w:rsid w:val="00A47F91"/>
    <w:rsid w:val="00A50594"/>
    <w:rsid w:val="00A50DFE"/>
    <w:rsid w:val="00A50E6B"/>
    <w:rsid w:val="00A51E21"/>
    <w:rsid w:val="00A51E7B"/>
    <w:rsid w:val="00A525C4"/>
    <w:rsid w:val="00A52C8A"/>
    <w:rsid w:val="00A52D34"/>
    <w:rsid w:val="00A53A8C"/>
    <w:rsid w:val="00A55466"/>
    <w:rsid w:val="00A5610E"/>
    <w:rsid w:val="00A56696"/>
    <w:rsid w:val="00A569FE"/>
    <w:rsid w:val="00A56C06"/>
    <w:rsid w:val="00A56D37"/>
    <w:rsid w:val="00A56EF7"/>
    <w:rsid w:val="00A5774F"/>
    <w:rsid w:val="00A57A02"/>
    <w:rsid w:val="00A57EC3"/>
    <w:rsid w:val="00A609FD"/>
    <w:rsid w:val="00A60BB3"/>
    <w:rsid w:val="00A61249"/>
    <w:rsid w:val="00A62EE9"/>
    <w:rsid w:val="00A6407E"/>
    <w:rsid w:val="00A65B52"/>
    <w:rsid w:val="00A6636A"/>
    <w:rsid w:val="00A66A4D"/>
    <w:rsid w:val="00A66D9E"/>
    <w:rsid w:val="00A66FDB"/>
    <w:rsid w:val="00A6715F"/>
    <w:rsid w:val="00A674E7"/>
    <w:rsid w:val="00A67537"/>
    <w:rsid w:val="00A6794F"/>
    <w:rsid w:val="00A67EA2"/>
    <w:rsid w:val="00A7028D"/>
    <w:rsid w:val="00A70353"/>
    <w:rsid w:val="00A70B15"/>
    <w:rsid w:val="00A71107"/>
    <w:rsid w:val="00A7132D"/>
    <w:rsid w:val="00A717F8"/>
    <w:rsid w:val="00A718FC"/>
    <w:rsid w:val="00A71C66"/>
    <w:rsid w:val="00A72034"/>
    <w:rsid w:val="00A72EBE"/>
    <w:rsid w:val="00A72EE0"/>
    <w:rsid w:val="00A73B8A"/>
    <w:rsid w:val="00A74085"/>
    <w:rsid w:val="00A74498"/>
    <w:rsid w:val="00A747D4"/>
    <w:rsid w:val="00A749B2"/>
    <w:rsid w:val="00A74C55"/>
    <w:rsid w:val="00A74F68"/>
    <w:rsid w:val="00A755FE"/>
    <w:rsid w:val="00A760B4"/>
    <w:rsid w:val="00A76493"/>
    <w:rsid w:val="00A76503"/>
    <w:rsid w:val="00A7789C"/>
    <w:rsid w:val="00A80E8D"/>
    <w:rsid w:val="00A81624"/>
    <w:rsid w:val="00A820A8"/>
    <w:rsid w:val="00A82251"/>
    <w:rsid w:val="00A823A9"/>
    <w:rsid w:val="00A82424"/>
    <w:rsid w:val="00A824E0"/>
    <w:rsid w:val="00A8309C"/>
    <w:rsid w:val="00A83E60"/>
    <w:rsid w:val="00A8411C"/>
    <w:rsid w:val="00A84386"/>
    <w:rsid w:val="00A84653"/>
    <w:rsid w:val="00A846FC"/>
    <w:rsid w:val="00A84F98"/>
    <w:rsid w:val="00A8526D"/>
    <w:rsid w:val="00A86DE0"/>
    <w:rsid w:val="00A86FC9"/>
    <w:rsid w:val="00A87188"/>
    <w:rsid w:val="00A871C4"/>
    <w:rsid w:val="00A879B8"/>
    <w:rsid w:val="00A9028A"/>
    <w:rsid w:val="00A9052D"/>
    <w:rsid w:val="00A907D3"/>
    <w:rsid w:val="00A90993"/>
    <w:rsid w:val="00A912CC"/>
    <w:rsid w:val="00A92F2B"/>
    <w:rsid w:val="00A93C78"/>
    <w:rsid w:val="00A93CA2"/>
    <w:rsid w:val="00A94517"/>
    <w:rsid w:val="00A94D3E"/>
    <w:rsid w:val="00A953EB"/>
    <w:rsid w:val="00A95E54"/>
    <w:rsid w:val="00A9655F"/>
    <w:rsid w:val="00A978C3"/>
    <w:rsid w:val="00A97B98"/>
    <w:rsid w:val="00AA0B54"/>
    <w:rsid w:val="00AA0D8A"/>
    <w:rsid w:val="00AA0DAD"/>
    <w:rsid w:val="00AA0F42"/>
    <w:rsid w:val="00AA1F7E"/>
    <w:rsid w:val="00AA21BF"/>
    <w:rsid w:val="00AA24C5"/>
    <w:rsid w:val="00AA3284"/>
    <w:rsid w:val="00AA32CC"/>
    <w:rsid w:val="00AA34F6"/>
    <w:rsid w:val="00AA3BBC"/>
    <w:rsid w:val="00AA3DAA"/>
    <w:rsid w:val="00AA42EF"/>
    <w:rsid w:val="00AA42F8"/>
    <w:rsid w:val="00AA4310"/>
    <w:rsid w:val="00AA4A58"/>
    <w:rsid w:val="00AA5612"/>
    <w:rsid w:val="00AA5BE1"/>
    <w:rsid w:val="00AA5ED7"/>
    <w:rsid w:val="00AA6590"/>
    <w:rsid w:val="00AA68A9"/>
    <w:rsid w:val="00AA6B6C"/>
    <w:rsid w:val="00AA7E5F"/>
    <w:rsid w:val="00AB00A0"/>
    <w:rsid w:val="00AB0340"/>
    <w:rsid w:val="00AB0B43"/>
    <w:rsid w:val="00AB0EE1"/>
    <w:rsid w:val="00AB10A3"/>
    <w:rsid w:val="00AB12A2"/>
    <w:rsid w:val="00AB2A6D"/>
    <w:rsid w:val="00AB3336"/>
    <w:rsid w:val="00AB357C"/>
    <w:rsid w:val="00AB35A4"/>
    <w:rsid w:val="00AB3D31"/>
    <w:rsid w:val="00AB3D49"/>
    <w:rsid w:val="00AB415A"/>
    <w:rsid w:val="00AB446E"/>
    <w:rsid w:val="00AB44A6"/>
    <w:rsid w:val="00AB4A96"/>
    <w:rsid w:val="00AB50E3"/>
    <w:rsid w:val="00AB537B"/>
    <w:rsid w:val="00AB5428"/>
    <w:rsid w:val="00AB583D"/>
    <w:rsid w:val="00AB5992"/>
    <w:rsid w:val="00AB59B8"/>
    <w:rsid w:val="00AB5F0F"/>
    <w:rsid w:val="00AB6534"/>
    <w:rsid w:val="00AB65B4"/>
    <w:rsid w:val="00AB6BC7"/>
    <w:rsid w:val="00AB6C12"/>
    <w:rsid w:val="00AB7392"/>
    <w:rsid w:val="00AB75AF"/>
    <w:rsid w:val="00AB778E"/>
    <w:rsid w:val="00AB7B68"/>
    <w:rsid w:val="00AB7DD1"/>
    <w:rsid w:val="00AC02B7"/>
    <w:rsid w:val="00AC06EC"/>
    <w:rsid w:val="00AC0C08"/>
    <w:rsid w:val="00AC1522"/>
    <w:rsid w:val="00AC17D4"/>
    <w:rsid w:val="00AC1AAB"/>
    <w:rsid w:val="00AC1BCF"/>
    <w:rsid w:val="00AC1F89"/>
    <w:rsid w:val="00AC23A7"/>
    <w:rsid w:val="00AC304F"/>
    <w:rsid w:val="00AC3C2C"/>
    <w:rsid w:val="00AC3E09"/>
    <w:rsid w:val="00AC43CF"/>
    <w:rsid w:val="00AC446A"/>
    <w:rsid w:val="00AC47B4"/>
    <w:rsid w:val="00AC4F46"/>
    <w:rsid w:val="00AC5782"/>
    <w:rsid w:val="00AC5CF6"/>
    <w:rsid w:val="00AC6131"/>
    <w:rsid w:val="00AC669B"/>
    <w:rsid w:val="00AC684B"/>
    <w:rsid w:val="00AC697F"/>
    <w:rsid w:val="00AC6BE6"/>
    <w:rsid w:val="00AC6EA8"/>
    <w:rsid w:val="00AC72C4"/>
    <w:rsid w:val="00AC78C3"/>
    <w:rsid w:val="00AC7C78"/>
    <w:rsid w:val="00AC7F3C"/>
    <w:rsid w:val="00AD0257"/>
    <w:rsid w:val="00AD1B93"/>
    <w:rsid w:val="00AD1DB3"/>
    <w:rsid w:val="00AD1DC6"/>
    <w:rsid w:val="00AD1F5A"/>
    <w:rsid w:val="00AD2179"/>
    <w:rsid w:val="00AD25D6"/>
    <w:rsid w:val="00AD291A"/>
    <w:rsid w:val="00AD33F0"/>
    <w:rsid w:val="00AD385E"/>
    <w:rsid w:val="00AD3A7D"/>
    <w:rsid w:val="00AD3FE4"/>
    <w:rsid w:val="00AD404F"/>
    <w:rsid w:val="00AD4071"/>
    <w:rsid w:val="00AD4264"/>
    <w:rsid w:val="00AD51ED"/>
    <w:rsid w:val="00AD6194"/>
    <w:rsid w:val="00AD6675"/>
    <w:rsid w:val="00AD70D2"/>
    <w:rsid w:val="00AD71AB"/>
    <w:rsid w:val="00AD73C8"/>
    <w:rsid w:val="00AD76F2"/>
    <w:rsid w:val="00AE0048"/>
    <w:rsid w:val="00AE0555"/>
    <w:rsid w:val="00AE056F"/>
    <w:rsid w:val="00AE07BF"/>
    <w:rsid w:val="00AE0CBD"/>
    <w:rsid w:val="00AE19D7"/>
    <w:rsid w:val="00AE1A68"/>
    <w:rsid w:val="00AE1D1C"/>
    <w:rsid w:val="00AE1FD5"/>
    <w:rsid w:val="00AE1FE1"/>
    <w:rsid w:val="00AE252A"/>
    <w:rsid w:val="00AE2615"/>
    <w:rsid w:val="00AE289C"/>
    <w:rsid w:val="00AE2CA2"/>
    <w:rsid w:val="00AE2DFD"/>
    <w:rsid w:val="00AE3A65"/>
    <w:rsid w:val="00AE3FA3"/>
    <w:rsid w:val="00AE4178"/>
    <w:rsid w:val="00AE4C9C"/>
    <w:rsid w:val="00AE6333"/>
    <w:rsid w:val="00AE6664"/>
    <w:rsid w:val="00AE6C41"/>
    <w:rsid w:val="00AE71DD"/>
    <w:rsid w:val="00AE77BD"/>
    <w:rsid w:val="00AF03A7"/>
    <w:rsid w:val="00AF07B2"/>
    <w:rsid w:val="00AF0A42"/>
    <w:rsid w:val="00AF0EDF"/>
    <w:rsid w:val="00AF16EC"/>
    <w:rsid w:val="00AF1E4F"/>
    <w:rsid w:val="00AF1F58"/>
    <w:rsid w:val="00AF22C2"/>
    <w:rsid w:val="00AF3692"/>
    <w:rsid w:val="00AF3B51"/>
    <w:rsid w:val="00AF3BB9"/>
    <w:rsid w:val="00AF4121"/>
    <w:rsid w:val="00AF56A3"/>
    <w:rsid w:val="00AF579F"/>
    <w:rsid w:val="00AF59E0"/>
    <w:rsid w:val="00AF616B"/>
    <w:rsid w:val="00AF6D50"/>
    <w:rsid w:val="00AF7D3F"/>
    <w:rsid w:val="00AF7EED"/>
    <w:rsid w:val="00AF7EFC"/>
    <w:rsid w:val="00B000E8"/>
    <w:rsid w:val="00B004EF"/>
    <w:rsid w:val="00B00F88"/>
    <w:rsid w:val="00B01333"/>
    <w:rsid w:val="00B013B6"/>
    <w:rsid w:val="00B016BD"/>
    <w:rsid w:val="00B01F43"/>
    <w:rsid w:val="00B02430"/>
    <w:rsid w:val="00B026C3"/>
    <w:rsid w:val="00B031D0"/>
    <w:rsid w:val="00B03E3C"/>
    <w:rsid w:val="00B03F8D"/>
    <w:rsid w:val="00B048CE"/>
    <w:rsid w:val="00B04BBF"/>
    <w:rsid w:val="00B05100"/>
    <w:rsid w:val="00B05D9C"/>
    <w:rsid w:val="00B05EC6"/>
    <w:rsid w:val="00B063FC"/>
    <w:rsid w:val="00B07D4D"/>
    <w:rsid w:val="00B104AC"/>
    <w:rsid w:val="00B1067B"/>
    <w:rsid w:val="00B10874"/>
    <w:rsid w:val="00B10ACD"/>
    <w:rsid w:val="00B10C86"/>
    <w:rsid w:val="00B110A4"/>
    <w:rsid w:val="00B11995"/>
    <w:rsid w:val="00B11E16"/>
    <w:rsid w:val="00B12301"/>
    <w:rsid w:val="00B127DD"/>
    <w:rsid w:val="00B13B3A"/>
    <w:rsid w:val="00B14141"/>
    <w:rsid w:val="00B14168"/>
    <w:rsid w:val="00B14678"/>
    <w:rsid w:val="00B152CA"/>
    <w:rsid w:val="00B15DB5"/>
    <w:rsid w:val="00B177C2"/>
    <w:rsid w:val="00B20390"/>
    <w:rsid w:val="00B20504"/>
    <w:rsid w:val="00B205CD"/>
    <w:rsid w:val="00B20D28"/>
    <w:rsid w:val="00B222EB"/>
    <w:rsid w:val="00B22B2E"/>
    <w:rsid w:val="00B22F3B"/>
    <w:rsid w:val="00B232C5"/>
    <w:rsid w:val="00B237D5"/>
    <w:rsid w:val="00B24992"/>
    <w:rsid w:val="00B24E06"/>
    <w:rsid w:val="00B25321"/>
    <w:rsid w:val="00B256A7"/>
    <w:rsid w:val="00B25B8E"/>
    <w:rsid w:val="00B25C65"/>
    <w:rsid w:val="00B25C6B"/>
    <w:rsid w:val="00B2605D"/>
    <w:rsid w:val="00B2692E"/>
    <w:rsid w:val="00B26AAF"/>
    <w:rsid w:val="00B26ABC"/>
    <w:rsid w:val="00B26AE0"/>
    <w:rsid w:val="00B27469"/>
    <w:rsid w:val="00B27536"/>
    <w:rsid w:val="00B27545"/>
    <w:rsid w:val="00B30733"/>
    <w:rsid w:val="00B307BA"/>
    <w:rsid w:val="00B31BE2"/>
    <w:rsid w:val="00B32792"/>
    <w:rsid w:val="00B32DDF"/>
    <w:rsid w:val="00B33719"/>
    <w:rsid w:val="00B33989"/>
    <w:rsid w:val="00B3462E"/>
    <w:rsid w:val="00B348EF"/>
    <w:rsid w:val="00B35149"/>
    <w:rsid w:val="00B35D95"/>
    <w:rsid w:val="00B36090"/>
    <w:rsid w:val="00B36306"/>
    <w:rsid w:val="00B36A83"/>
    <w:rsid w:val="00B36E09"/>
    <w:rsid w:val="00B36FE1"/>
    <w:rsid w:val="00B370E3"/>
    <w:rsid w:val="00B37459"/>
    <w:rsid w:val="00B37AC0"/>
    <w:rsid w:val="00B401C7"/>
    <w:rsid w:val="00B4067C"/>
    <w:rsid w:val="00B40B81"/>
    <w:rsid w:val="00B40C75"/>
    <w:rsid w:val="00B40EE7"/>
    <w:rsid w:val="00B41838"/>
    <w:rsid w:val="00B41C0C"/>
    <w:rsid w:val="00B4256C"/>
    <w:rsid w:val="00B425F1"/>
    <w:rsid w:val="00B42A8B"/>
    <w:rsid w:val="00B43099"/>
    <w:rsid w:val="00B43AE1"/>
    <w:rsid w:val="00B44A7E"/>
    <w:rsid w:val="00B45147"/>
    <w:rsid w:val="00B45AE1"/>
    <w:rsid w:val="00B4685F"/>
    <w:rsid w:val="00B4703E"/>
    <w:rsid w:val="00B47393"/>
    <w:rsid w:val="00B476D3"/>
    <w:rsid w:val="00B4775E"/>
    <w:rsid w:val="00B47B09"/>
    <w:rsid w:val="00B47F2A"/>
    <w:rsid w:val="00B50007"/>
    <w:rsid w:val="00B508B1"/>
    <w:rsid w:val="00B50A4C"/>
    <w:rsid w:val="00B50BF1"/>
    <w:rsid w:val="00B50DE7"/>
    <w:rsid w:val="00B51D99"/>
    <w:rsid w:val="00B521EE"/>
    <w:rsid w:val="00B52360"/>
    <w:rsid w:val="00B527B6"/>
    <w:rsid w:val="00B52F27"/>
    <w:rsid w:val="00B5316B"/>
    <w:rsid w:val="00B53300"/>
    <w:rsid w:val="00B534C1"/>
    <w:rsid w:val="00B53A80"/>
    <w:rsid w:val="00B54378"/>
    <w:rsid w:val="00B54625"/>
    <w:rsid w:val="00B54BAA"/>
    <w:rsid w:val="00B55231"/>
    <w:rsid w:val="00B552AE"/>
    <w:rsid w:val="00B555DE"/>
    <w:rsid w:val="00B557E2"/>
    <w:rsid w:val="00B56209"/>
    <w:rsid w:val="00B5627B"/>
    <w:rsid w:val="00B5687A"/>
    <w:rsid w:val="00B578DB"/>
    <w:rsid w:val="00B57AEF"/>
    <w:rsid w:val="00B605DB"/>
    <w:rsid w:val="00B6100C"/>
    <w:rsid w:val="00B61725"/>
    <w:rsid w:val="00B61A58"/>
    <w:rsid w:val="00B61BAA"/>
    <w:rsid w:val="00B61D64"/>
    <w:rsid w:val="00B622F4"/>
    <w:rsid w:val="00B63156"/>
    <w:rsid w:val="00B63741"/>
    <w:rsid w:val="00B63838"/>
    <w:rsid w:val="00B641C1"/>
    <w:rsid w:val="00B64441"/>
    <w:rsid w:val="00B6491E"/>
    <w:rsid w:val="00B64975"/>
    <w:rsid w:val="00B656D5"/>
    <w:rsid w:val="00B65EF5"/>
    <w:rsid w:val="00B65F1B"/>
    <w:rsid w:val="00B66373"/>
    <w:rsid w:val="00B66B38"/>
    <w:rsid w:val="00B66F59"/>
    <w:rsid w:val="00B66FEE"/>
    <w:rsid w:val="00B6709E"/>
    <w:rsid w:val="00B675B1"/>
    <w:rsid w:val="00B7059E"/>
    <w:rsid w:val="00B70F7F"/>
    <w:rsid w:val="00B71182"/>
    <w:rsid w:val="00B7143C"/>
    <w:rsid w:val="00B71791"/>
    <w:rsid w:val="00B71981"/>
    <w:rsid w:val="00B71BF4"/>
    <w:rsid w:val="00B71C87"/>
    <w:rsid w:val="00B71E76"/>
    <w:rsid w:val="00B71E81"/>
    <w:rsid w:val="00B72E73"/>
    <w:rsid w:val="00B73E70"/>
    <w:rsid w:val="00B75801"/>
    <w:rsid w:val="00B758C0"/>
    <w:rsid w:val="00B75AC0"/>
    <w:rsid w:val="00B77172"/>
    <w:rsid w:val="00B776AD"/>
    <w:rsid w:val="00B777F9"/>
    <w:rsid w:val="00B80454"/>
    <w:rsid w:val="00B80B1E"/>
    <w:rsid w:val="00B81783"/>
    <w:rsid w:val="00B8213E"/>
    <w:rsid w:val="00B8255E"/>
    <w:rsid w:val="00B82778"/>
    <w:rsid w:val="00B828A9"/>
    <w:rsid w:val="00B82B26"/>
    <w:rsid w:val="00B831A6"/>
    <w:rsid w:val="00B8331B"/>
    <w:rsid w:val="00B833BE"/>
    <w:rsid w:val="00B835B4"/>
    <w:rsid w:val="00B836E2"/>
    <w:rsid w:val="00B8455D"/>
    <w:rsid w:val="00B84891"/>
    <w:rsid w:val="00B85717"/>
    <w:rsid w:val="00B8593F"/>
    <w:rsid w:val="00B85B11"/>
    <w:rsid w:val="00B85C9C"/>
    <w:rsid w:val="00B86017"/>
    <w:rsid w:val="00B86523"/>
    <w:rsid w:val="00B86532"/>
    <w:rsid w:val="00B8671A"/>
    <w:rsid w:val="00B87CAA"/>
    <w:rsid w:val="00B90292"/>
    <w:rsid w:val="00B90CCC"/>
    <w:rsid w:val="00B91975"/>
    <w:rsid w:val="00B9395C"/>
    <w:rsid w:val="00B9401F"/>
    <w:rsid w:val="00B94419"/>
    <w:rsid w:val="00B94892"/>
    <w:rsid w:val="00B94895"/>
    <w:rsid w:val="00B9490D"/>
    <w:rsid w:val="00B94DE1"/>
    <w:rsid w:val="00B94F0F"/>
    <w:rsid w:val="00B95B20"/>
    <w:rsid w:val="00B9670B"/>
    <w:rsid w:val="00B968BB"/>
    <w:rsid w:val="00B96BF6"/>
    <w:rsid w:val="00B96F32"/>
    <w:rsid w:val="00B96F92"/>
    <w:rsid w:val="00B97C81"/>
    <w:rsid w:val="00B97E4D"/>
    <w:rsid w:val="00BA052D"/>
    <w:rsid w:val="00BA0E7E"/>
    <w:rsid w:val="00BA2852"/>
    <w:rsid w:val="00BA30D9"/>
    <w:rsid w:val="00BA3ABF"/>
    <w:rsid w:val="00BA3B40"/>
    <w:rsid w:val="00BA3B8F"/>
    <w:rsid w:val="00BA40A6"/>
    <w:rsid w:val="00BA4B88"/>
    <w:rsid w:val="00BA5209"/>
    <w:rsid w:val="00BA5370"/>
    <w:rsid w:val="00BA5574"/>
    <w:rsid w:val="00BA60B7"/>
    <w:rsid w:val="00BA658D"/>
    <w:rsid w:val="00BA6B61"/>
    <w:rsid w:val="00BA723C"/>
    <w:rsid w:val="00BA757C"/>
    <w:rsid w:val="00BB000B"/>
    <w:rsid w:val="00BB07BF"/>
    <w:rsid w:val="00BB0897"/>
    <w:rsid w:val="00BB0F2A"/>
    <w:rsid w:val="00BB1636"/>
    <w:rsid w:val="00BB177D"/>
    <w:rsid w:val="00BB232A"/>
    <w:rsid w:val="00BB25D1"/>
    <w:rsid w:val="00BB27D7"/>
    <w:rsid w:val="00BB2995"/>
    <w:rsid w:val="00BB2D18"/>
    <w:rsid w:val="00BB374A"/>
    <w:rsid w:val="00BB3B8E"/>
    <w:rsid w:val="00BB3D56"/>
    <w:rsid w:val="00BB42E7"/>
    <w:rsid w:val="00BB4BAE"/>
    <w:rsid w:val="00BB4DC2"/>
    <w:rsid w:val="00BB522C"/>
    <w:rsid w:val="00BB545A"/>
    <w:rsid w:val="00BB592B"/>
    <w:rsid w:val="00BB5931"/>
    <w:rsid w:val="00BB5F73"/>
    <w:rsid w:val="00BB6468"/>
    <w:rsid w:val="00BB722B"/>
    <w:rsid w:val="00BB767C"/>
    <w:rsid w:val="00BB76E6"/>
    <w:rsid w:val="00BB7D3E"/>
    <w:rsid w:val="00BC007D"/>
    <w:rsid w:val="00BC114F"/>
    <w:rsid w:val="00BC17F7"/>
    <w:rsid w:val="00BC1C46"/>
    <w:rsid w:val="00BC1FF2"/>
    <w:rsid w:val="00BC206F"/>
    <w:rsid w:val="00BC2233"/>
    <w:rsid w:val="00BC2311"/>
    <w:rsid w:val="00BC295C"/>
    <w:rsid w:val="00BC2A06"/>
    <w:rsid w:val="00BC306F"/>
    <w:rsid w:val="00BC32B7"/>
    <w:rsid w:val="00BC3BE0"/>
    <w:rsid w:val="00BC3DF6"/>
    <w:rsid w:val="00BC4C02"/>
    <w:rsid w:val="00BC5C79"/>
    <w:rsid w:val="00BC63EB"/>
    <w:rsid w:val="00BC744F"/>
    <w:rsid w:val="00BC75E3"/>
    <w:rsid w:val="00BC77F6"/>
    <w:rsid w:val="00BD0291"/>
    <w:rsid w:val="00BD0752"/>
    <w:rsid w:val="00BD09D5"/>
    <w:rsid w:val="00BD0B92"/>
    <w:rsid w:val="00BD0BF6"/>
    <w:rsid w:val="00BD1221"/>
    <w:rsid w:val="00BD23BA"/>
    <w:rsid w:val="00BD2F0C"/>
    <w:rsid w:val="00BD386E"/>
    <w:rsid w:val="00BD3D77"/>
    <w:rsid w:val="00BD44FA"/>
    <w:rsid w:val="00BD45D4"/>
    <w:rsid w:val="00BD4CCA"/>
    <w:rsid w:val="00BD5216"/>
    <w:rsid w:val="00BD5F24"/>
    <w:rsid w:val="00BD5FCF"/>
    <w:rsid w:val="00BD6282"/>
    <w:rsid w:val="00BD6A60"/>
    <w:rsid w:val="00BD6AF3"/>
    <w:rsid w:val="00BD6CCE"/>
    <w:rsid w:val="00BD6D38"/>
    <w:rsid w:val="00BD7F05"/>
    <w:rsid w:val="00BE0476"/>
    <w:rsid w:val="00BE06E9"/>
    <w:rsid w:val="00BE0E06"/>
    <w:rsid w:val="00BE1024"/>
    <w:rsid w:val="00BE24AE"/>
    <w:rsid w:val="00BE4790"/>
    <w:rsid w:val="00BE4DCC"/>
    <w:rsid w:val="00BE4DCE"/>
    <w:rsid w:val="00BE4DDF"/>
    <w:rsid w:val="00BE534D"/>
    <w:rsid w:val="00BE548B"/>
    <w:rsid w:val="00BE5830"/>
    <w:rsid w:val="00BE6989"/>
    <w:rsid w:val="00BE7522"/>
    <w:rsid w:val="00BF083B"/>
    <w:rsid w:val="00BF09DB"/>
    <w:rsid w:val="00BF1E08"/>
    <w:rsid w:val="00BF1E45"/>
    <w:rsid w:val="00BF295D"/>
    <w:rsid w:val="00BF297D"/>
    <w:rsid w:val="00BF2A4A"/>
    <w:rsid w:val="00BF2B5C"/>
    <w:rsid w:val="00BF3396"/>
    <w:rsid w:val="00BF3591"/>
    <w:rsid w:val="00BF38E2"/>
    <w:rsid w:val="00BF3B58"/>
    <w:rsid w:val="00BF3DFD"/>
    <w:rsid w:val="00BF471E"/>
    <w:rsid w:val="00BF4BB8"/>
    <w:rsid w:val="00BF5225"/>
    <w:rsid w:val="00BF53EB"/>
    <w:rsid w:val="00BF5782"/>
    <w:rsid w:val="00BF57B3"/>
    <w:rsid w:val="00BF59CF"/>
    <w:rsid w:val="00BF61BA"/>
    <w:rsid w:val="00BF649A"/>
    <w:rsid w:val="00BF6529"/>
    <w:rsid w:val="00BF6809"/>
    <w:rsid w:val="00BF6A21"/>
    <w:rsid w:val="00BF70DD"/>
    <w:rsid w:val="00BF7642"/>
    <w:rsid w:val="00BF7C31"/>
    <w:rsid w:val="00BF7CB6"/>
    <w:rsid w:val="00C0059F"/>
    <w:rsid w:val="00C008B0"/>
    <w:rsid w:val="00C00C10"/>
    <w:rsid w:val="00C00CCC"/>
    <w:rsid w:val="00C00F2A"/>
    <w:rsid w:val="00C0110B"/>
    <w:rsid w:val="00C01CCC"/>
    <w:rsid w:val="00C01D2D"/>
    <w:rsid w:val="00C0232A"/>
    <w:rsid w:val="00C02629"/>
    <w:rsid w:val="00C02DE9"/>
    <w:rsid w:val="00C0354F"/>
    <w:rsid w:val="00C0368C"/>
    <w:rsid w:val="00C03AE1"/>
    <w:rsid w:val="00C03B5E"/>
    <w:rsid w:val="00C03C5B"/>
    <w:rsid w:val="00C0477A"/>
    <w:rsid w:val="00C04B58"/>
    <w:rsid w:val="00C052AB"/>
    <w:rsid w:val="00C0615F"/>
    <w:rsid w:val="00C0652C"/>
    <w:rsid w:val="00C065C2"/>
    <w:rsid w:val="00C07444"/>
    <w:rsid w:val="00C07AD7"/>
    <w:rsid w:val="00C1071A"/>
    <w:rsid w:val="00C120B2"/>
    <w:rsid w:val="00C122A9"/>
    <w:rsid w:val="00C1245B"/>
    <w:rsid w:val="00C13054"/>
    <w:rsid w:val="00C131B1"/>
    <w:rsid w:val="00C1374F"/>
    <w:rsid w:val="00C13A58"/>
    <w:rsid w:val="00C14399"/>
    <w:rsid w:val="00C143CD"/>
    <w:rsid w:val="00C14E45"/>
    <w:rsid w:val="00C150C0"/>
    <w:rsid w:val="00C1514E"/>
    <w:rsid w:val="00C155EE"/>
    <w:rsid w:val="00C16162"/>
    <w:rsid w:val="00C169EA"/>
    <w:rsid w:val="00C16A98"/>
    <w:rsid w:val="00C16EB9"/>
    <w:rsid w:val="00C17039"/>
    <w:rsid w:val="00C17703"/>
    <w:rsid w:val="00C17F82"/>
    <w:rsid w:val="00C2076A"/>
    <w:rsid w:val="00C20A48"/>
    <w:rsid w:val="00C20CC8"/>
    <w:rsid w:val="00C21778"/>
    <w:rsid w:val="00C21854"/>
    <w:rsid w:val="00C21AB1"/>
    <w:rsid w:val="00C21AFF"/>
    <w:rsid w:val="00C22535"/>
    <w:rsid w:val="00C2272A"/>
    <w:rsid w:val="00C2277F"/>
    <w:rsid w:val="00C24650"/>
    <w:rsid w:val="00C24A87"/>
    <w:rsid w:val="00C24BEE"/>
    <w:rsid w:val="00C24CD0"/>
    <w:rsid w:val="00C2577A"/>
    <w:rsid w:val="00C25CF6"/>
    <w:rsid w:val="00C25D99"/>
    <w:rsid w:val="00C261C7"/>
    <w:rsid w:val="00C26457"/>
    <w:rsid w:val="00C26963"/>
    <w:rsid w:val="00C26BE4"/>
    <w:rsid w:val="00C26F40"/>
    <w:rsid w:val="00C2716D"/>
    <w:rsid w:val="00C27D4D"/>
    <w:rsid w:val="00C27FA0"/>
    <w:rsid w:val="00C30883"/>
    <w:rsid w:val="00C30A6E"/>
    <w:rsid w:val="00C30C40"/>
    <w:rsid w:val="00C30C93"/>
    <w:rsid w:val="00C31333"/>
    <w:rsid w:val="00C31431"/>
    <w:rsid w:val="00C31DDE"/>
    <w:rsid w:val="00C32043"/>
    <w:rsid w:val="00C32095"/>
    <w:rsid w:val="00C326EB"/>
    <w:rsid w:val="00C32B43"/>
    <w:rsid w:val="00C32BC1"/>
    <w:rsid w:val="00C32C51"/>
    <w:rsid w:val="00C32E8D"/>
    <w:rsid w:val="00C331BF"/>
    <w:rsid w:val="00C33B5D"/>
    <w:rsid w:val="00C3431E"/>
    <w:rsid w:val="00C343DB"/>
    <w:rsid w:val="00C3451B"/>
    <w:rsid w:val="00C348F3"/>
    <w:rsid w:val="00C34DE0"/>
    <w:rsid w:val="00C3545E"/>
    <w:rsid w:val="00C35902"/>
    <w:rsid w:val="00C36684"/>
    <w:rsid w:val="00C369DA"/>
    <w:rsid w:val="00C36A03"/>
    <w:rsid w:val="00C371E0"/>
    <w:rsid w:val="00C37578"/>
    <w:rsid w:val="00C37AC7"/>
    <w:rsid w:val="00C4021F"/>
    <w:rsid w:val="00C4063B"/>
    <w:rsid w:val="00C407D9"/>
    <w:rsid w:val="00C409BE"/>
    <w:rsid w:val="00C41424"/>
    <w:rsid w:val="00C41762"/>
    <w:rsid w:val="00C41DF6"/>
    <w:rsid w:val="00C420C5"/>
    <w:rsid w:val="00C423AA"/>
    <w:rsid w:val="00C437EA"/>
    <w:rsid w:val="00C43803"/>
    <w:rsid w:val="00C439F5"/>
    <w:rsid w:val="00C439FC"/>
    <w:rsid w:val="00C43EBB"/>
    <w:rsid w:val="00C43F30"/>
    <w:rsid w:val="00C4456D"/>
    <w:rsid w:val="00C4506F"/>
    <w:rsid w:val="00C463A1"/>
    <w:rsid w:val="00C4656A"/>
    <w:rsid w:val="00C4731D"/>
    <w:rsid w:val="00C476D5"/>
    <w:rsid w:val="00C479F5"/>
    <w:rsid w:val="00C50077"/>
    <w:rsid w:val="00C50236"/>
    <w:rsid w:val="00C50666"/>
    <w:rsid w:val="00C507F6"/>
    <w:rsid w:val="00C509FC"/>
    <w:rsid w:val="00C50CFB"/>
    <w:rsid w:val="00C51380"/>
    <w:rsid w:val="00C51413"/>
    <w:rsid w:val="00C518DE"/>
    <w:rsid w:val="00C52584"/>
    <w:rsid w:val="00C5272A"/>
    <w:rsid w:val="00C528EF"/>
    <w:rsid w:val="00C52E13"/>
    <w:rsid w:val="00C532AD"/>
    <w:rsid w:val="00C53562"/>
    <w:rsid w:val="00C53786"/>
    <w:rsid w:val="00C53974"/>
    <w:rsid w:val="00C5398F"/>
    <w:rsid w:val="00C53B9F"/>
    <w:rsid w:val="00C54254"/>
    <w:rsid w:val="00C54B4D"/>
    <w:rsid w:val="00C5504E"/>
    <w:rsid w:val="00C5513B"/>
    <w:rsid w:val="00C5569D"/>
    <w:rsid w:val="00C56050"/>
    <w:rsid w:val="00C567CD"/>
    <w:rsid w:val="00C57D0A"/>
    <w:rsid w:val="00C57FC6"/>
    <w:rsid w:val="00C60310"/>
    <w:rsid w:val="00C61775"/>
    <w:rsid w:val="00C61825"/>
    <w:rsid w:val="00C61912"/>
    <w:rsid w:val="00C61DCF"/>
    <w:rsid w:val="00C61E38"/>
    <w:rsid w:val="00C61E6C"/>
    <w:rsid w:val="00C6237C"/>
    <w:rsid w:val="00C6265B"/>
    <w:rsid w:val="00C62AAB"/>
    <w:rsid w:val="00C62C31"/>
    <w:rsid w:val="00C62C8D"/>
    <w:rsid w:val="00C6337A"/>
    <w:rsid w:val="00C634E6"/>
    <w:rsid w:val="00C6395B"/>
    <w:rsid w:val="00C63ABC"/>
    <w:rsid w:val="00C63B9B"/>
    <w:rsid w:val="00C63E67"/>
    <w:rsid w:val="00C63FB7"/>
    <w:rsid w:val="00C6414F"/>
    <w:rsid w:val="00C6525B"/>
    <w:rsid w:val="00C65B88"/>
    <w:rsid w:val="00C65C45"/>
    <w:rsid w:val="00C65D7B"/>
    <w:rsid w:val="00C6680A"/>
    <w:rsid w:val="00C67284"/>
    <w:rsid w:val="00C677B2"/>
    <w:rsid w:val="00C678D4"/>
    <w:rsid w:val="00C700A4"/>
    <w:rsid w:val="00C703BF"/>
    <w:rsid w:val="00C704E0"/>
    <w:rsid w:val="00C70FB0"/>
    <w:rsid w:val="00C71332"/>
    <w:rsid w:val="00C71347"/>
    <w:rsid w:val="00C71785"/>
    <w:rsid w:val="00C72237"/>
    <w:rsid w:val="00C73574"/>
    <w:rsid w:val="00C736D2"/>
    <w:rsid w:val="00C73C26"/>
    <w:rsid w:val="00C73D2E"/>
    <w:rsid w:val="00C73D74"/>
    <w:rsid w:val="00C741C6"/>
    <w:rsid w:val="00C7420B"/>
    <w:rsid w:val="00C74294"/>
    <w:rsid w:val="00C742BA"/>
    <w:rsid w:val="00C7506A"/>
    <w:rsid w:val="00C75199"/>
    <w:rsid w:val="00C75BC2"/>
    <w:rsid w:val="00C765F4"/>
    <w:rsid w:val="00C767A3"/>
    <w:rsid w:val="00C76B7D"/>
    <w:rsid w:val="00C771EB"/>
    <w:rsid w:val="00C77BF7"/>
    <w:rsid w:val="00C803E6"/>
    <w:rsid w:val="00C808A8"/>
    <w:rsid w:val="00C81059"/>
    <w:rsid w:val="00C81ECD"/>
    <w:rsid w:val="00C81F05"/>
    <w:rsid w:val="00C82245"/>
    <w:rsid w:val="00C8232F"/>
    <w:rsid w:val="00C8244A"/>
    <w:rsid w:val="00C827C4"/>
    <w:rsid w:val="00C83774"/>
    <w:rsid w:val="00C843D8"/>
    <w:rsid w:val="00C846E8"/>
    <w:rsid w:val="00C8472F"/>
    <w:rsid w:val="00C85460"/>
    <w:rsid w:val="00C86165"/>
    <w:rsid w:val="00C86C3A"/>
    <w:rsid w:val="00C871EB"/>
    <w:rsid w:val="00C87517"/>
    <w:rsid w:val="00C87CC4"/>
    <w:rsid w:val="00C9064B"/>
    <w:rsid w:val="00C90D52"/>
    <w:rsid w:val="00C914D1"/>
    <w:rsid w:val="00C91AF5"/>
    <w:rsid w:val="00C921E9"/>
    <w:rsid w:val="00C92345"/>
    <w:rsid w:val="00C923F1"/>
    <w:rsid w:val="00C92DF5"/>
    <w:rsid w:val="00C93122"/>
    <w:rsid w:val="00C9356D"/>
    <w:rsid w:val="00C937B8"/>
    <w:rsid w:val="00C93D95"/>
    <w:rsid w:val="00C942F2"/>
    <w:rsid w:val="00C948D7"/>
    <w:rsid w:val="00C949A6"/>
    <w:rsid w:val="00C94DF2"/>
    <w:rsid w:val="00C956F1"/>
    <w:rsid w:val="00C96A3B"/>
    <w:rsid w:val="00C96C08"/>
    <w:rsid w:val="00C9719E"/>
    <w:rsid w:val="00C971F8"/>
    <w:rsid w:val="00C976BA"/>
    <w:rsid w:val="00C97B16"/>
    <w:rsid w:val="00C97BFB"/>
    <w:rsid w:val="00CA06CB"/>
    <w:rsid w:val="00CA0857"/>
    <w:rsid w:val="00CA0C43"/>
    <w:rsid w:val="00CA1B55"/>
    <w:rsid w:val="00CA1C19"/>
    <w:rsid w:val="00CA1ED5"/>
    <w:rsid w:val="00CA2120"/>
    <w:rsid w:val="00CA2568"/>
    <w:rsid w:val="00CA2D65"/>
    <w:rsid w:val="00CA32A4"/>
    <w:rsid w:val="00CA3B20"/>
    <w:rsid w:val="00CA3E77"/>
    <w:rsid w:val="00CA47B3"/>
    <w:rsid w:val="00CA4A93"/>
    <w:rsid w:val="00CA4D7E"/>
    <w:rsid w:val="00CA607B"/>
    <w:rsid w:val="00CA6400"/>
    <w:rsid w:val="00CA65F7"/>
    <w:rsid w:val="00CA6B4D"/>
    <w:rsid w:val="00CA6C82"/>
    <w:rsid w:val="00CA70A2"/>
    <w:rsid w:val="00CA714E"/>
    <w:rsid w:val="00CA7754"/>
    <w:rsid w:val="00CA7C34"/>
    <w:rsid w:val="00CB0031"/>
    <w:rsid w:val="00CB0434"/>
    <w:rsid w:val="00CB0FB7"/>
    <w:rsid w:val="00CB10BD"/>
    <w:rsid w:val="00CB1A66"/>
    <w:rsid w:val="00CB1D8D"/>
    <w:rsid w:val="00CB1E7A"/>
    <w:rsid w:val="00CB2330"/>
    <w:rsid w:val="00CB24C6"/>
    <w:rsid w:val="00CB27DA"/>
    <w:rsid w:val="00CB2B6E"/>
    <w:rsid w:val="00CB2BA6"/>
    <w:rsid w:val="00CB2C16"/>
    <w:rsid w:val="00CB399C"/>
    <w:rsid w:val="00CB3AF6"/>
    <w:rsid w:val="00CB3EF2"/>
    <w:rsid w:val="00CB4022"/>
    <w:rsid w:val="00CB5559"/>
    <w:rsid w:val="00CB5963"/>
    <w:rsid w:val="00CB5965"/>
    <w:rsid w:val="00CB6838"/>
    <w:rsid w:val="00CB689C"/>
    <w:rsid w:val="00CB6F52"/>
    <w:rsid w:val="00CB74DD"/>
    <w:rsid w:val="00CB74EA"/>
    <w:rsid w:val="00CB751B"/>
    <w:rsid w:val="00CB7BF7"/>
    <w:rsid w:val="00CC018E"/>
    <w:rsid w:val="00CC022E"/>
    <w:rsid w:val="00CC08CF"/>
    <w:rsid w:val="00CC0A6A"/>
    <w:rsid w:val="00CC0F36"/>
    <w:rsid w:val="00CC0F94"/>
    <w:rsid w:val="00CC11D6"/>
    <w:rsid w:val="00CC1433"/>
    <w:rsid w:val="00CC17D0"/>
    <w:rsid w:val="00CC1AB6"/>
    <w:rsid w:val="00CC208D"/>
    <w:rsid w:val="00CC2703"/>
    <w:rsid w:val="00CC2D9D"/>
    <w:rsid w:val="00CC2E89"/>
    <w:rsid w:val="00CC2F8E"/>
    <w:rsid w:val="00CC426A"/>
    <w:rsid w:val="00CC4829"/>
    <w:rsid w:val="00CC4ADA"/>
    <w:rsid w:val="00CC4C49"/>
    <w:rsid w:val="00CC4EA6"/>
    <w:rsid w:val="00CC5321"/>
    <w:rsid w:val="00CC54D7"/>
    <w:rsid w:val="00CC5B82"/>
    <w:rsid w:val="00CC5CA0"/>
    <w:rsid w:val="00CC722F"/>
    <w:rsid w:val="00CD0E73"/>
    <w:rsid w:val="00CD0F40"/>
    <w:rsid w:val="00CD11A6"/>
    <w:rsid w:val="00CD18F7"/>
    <w:rsid w:val="00CD1F8F"/>
    <w:rsid w:val="00CD33E2"/>
    <w:rsid w:val="00CD44F7"/>
    <w:rsid w:val="00CD57C9"/>
    <w:rsid w:val="00CD5930"/>
    <w:rsid w:val="00CD5E14"/>
    <w:rsid w:val="00CD6418"/>
    <w:rsid w:val="00CD651C"/>
    <w:rsid w:val="00CD69D0"/>
    <w:rsid w:val="00CD7D27"/>
    <w:rsid w:val="00CD7E0A"/>
    <w:rsid w:val="00CE0012"/>
    <w:rsid w:val="00CE05E4"/>
    <w:rsid w:val="00CE09D7"/>
    <w:rsid w:val="00CE0BF8"/>
    <w:rsid w:val="00CE1CAE"/>
    <w:rsid w:val="00CE287C"/>
    <w:rsid w:val="00CE3229"/>
    <w:rsid w:val="00CE3B79"/>
    <w:rsid w:val="00CE4782"/>
    <w:rsid w:val="00CE4943"/>
    <w:rsid w:val="00CE4EDB"/>
    <w:rsid w:val="00CE56A8"/>
    <w:rsid w:val="00CE571E"/>
    <w:rsid w:val="00CE5B20"/>
    <w:rsid w:val="00CE5E8F"/>
    <w:rsid w:val="00CE5F70"/>
    <w:rsid w:val="00CE6658"/>
    <w:rsid w:val="00CE6E82"/>
    <w:rsid w:val="00CF0969"/>
    <w:rsid w:val="00CF0CF2"/>
    <w:rsid w:val="00CF118D"/>
    <w:rsid w:val="00CF131F"/>
    <w:rsid w:val="00CF1469"/>
    <w:rsid w:val="00CF215A"/>
    <w:rsid w:val="00CF233C"/>
    <w:rsid w:val="00CF2688"/>
    <w:rsid w:val="00CF2FD8"/>
    <w:rsid w:val="00CF3244"/>
    <w:rsid w:val="00CF3723"/>
    <w:rsid w:val="00CF46FF"/>
    <w:rsid w:val="00CF4954"/>
    <w:rsid w:val="00CF6281"/>
    <w:rsid w:val="00CF6BDE"/>
    <w:rsid w:val="00D000CE"/>
    <w:rsid w:val="00D00683"/>
    <w:rsid w:val="00D0078A"/>
    <w:rsid w:val="00D00E86"/>
    <w:rsid w:val="00D0168A"/>
    <w:rsid w:val="00D017C7"/>
    <w:rsid w:val="00D01EBD"/>
    <w:rsid w:val="00D02B77"/>
    <w:rsid w:val="00D02F52"/>
    <w:rsid w:val="00D054CD"/>
    <w:rsid w:val="00D05978"/>
    <w:rsid w:val="00D05B90"/>
    <w:rsid w:val="00D05C5E"/>
    <w:rsid w:val="00D061BE"/>
    <w:rsid w:val="00D0630D"/>
    <w:rsid w:val="00D063E4"/>
    <w:rsid w:val="00D06C5E"/>
    <w:rsid w:val="00D07054"/>
    <w:rsid w:val="00D07062"/>
    <w:rsid w:val="00D07152"/>
    <w:rsid w:val="00D07225"/>
    <w:rsid w:val="00D103C4"/>
    <w:rsid w:val="00D10960"/>
    <w:rsid w:val="00D11126"/>
    <w:rsid w:val="00D111A8"/>
    <w:rsid w:val="00D11319"/>
    <w:rsid w:val="00D114F1"/>
    <w:rsid w:val="00D11C0A"/>
    <w:rsid w:val="00D11C9C"/>
    <w:rsid w:val="00D1272E"/>
    <w:rsid w:val="00D12AB9"/>
    <w:rsid w:val="00D139CC"/>
    <w:rsid w:val="00D139E0"/>
    <w:rsid w:val="00D13A6B"/>
    <w:rsid w:val="00D13B25"/>
    <w:rsid w:val="00D13EFC"/>
    <w:rsid w:val="00D141F9"/>
    <w:rsid w:val="00D148D9"/>
    <w:rsid w:val="00D14C72"/>
    <w:rsid w:val="00D14EB5"/>
    <w:rsid w:val="00D1518E"/>
    <w:rsid w:val="00D15351"/>
    <w:rsid w:val="00D15FFD"/>
    <w:rsid w:val="00D1668B"/>
    <w:rsid w:val="00D169BA"/>
    <w:rsid w:val="00D16F0D"/>
    <w:rsid w:val="00D17591"/>
    <w:rsid w:val="00D17618"/>
    <w:rsid w:val="00D1762D"/>
    <w:rsid w:val="00D17A41"/>
    <w:rsid w:val="00D20570"/>
    <w:rsid w:val="00D20D3E"/>
    <w:rsid w:val="00D21124"/>
    <w:rsid w:val="00D21CA1"/>
    <w:rsid w:val="00D21FB2"/>
    <w:rsid w:val="00D2257D"/>
    <w:rsid w:val="00D23C69"/>
    <w:rsid w:val="00D2431E"/>
    <w:rsid w:val="00D24EE0"/>
    <w:rsid w:val="00D25941"/>
    <w:rsid w:val="00D25B43"/>
    <w:rsid w:val="00D264E5"/>
    <w:rsid w:val="00D26D80"/>
    <w:rsid w:val="00D26F28"/>
    <w:rsid w:val="00D30EC2"/>
    <w:rsid w:val="00D30F0E"/>
    <w:rsid w:val="00D3153C"/>
    <w:rsid w:val="00D31A09"/>
    <w:rsid w:val="00D32556"/>
    <w:rsid w:val="00D32ACA"/>
    <w:rsid w:val="00D3312A"/>
    <w:rsid w:val="00D33E72"/>
    <w:rsid w:val="00D33EF7"/>
    <w:rsid w:val="00D33F73"/>
    <w:rsid w:val="00D349BA"/>
    <w:rsid w:val="00D34D44"/>
    <w:rsid w:val="00D352EB"/>
    <w:rsid w:val="00D35794"/>
    <w:rsid w:val="00D35D34"/>
    <w:rsid w:val="00D364A6"/>
    <w:rsid w:val="00D36F31"/>
    <w:rsid w:val="00D3716C"/>
    <w:rsid w:val="00D37246"/>
    <w:rsid w:val="00D37F54"/>
    <w:rsid w:val="00D402D3"/>
    <w:rsid w:val="00D403AC"/>
    <w:rsid w:val="00D40C34"/>
    <w:rsid w:val="00D411B5"/>
    <w:rsid w:val="00D415D0"/>
    <w:rsid w:val="00D41645"/>
    <w:rsid w:val="00D41F08"/>
    <w:rsid w:val="00D41FD6"/>
    <w:rsid w:val="00D42573"/>
    <w:rsid w:val="00D42679"/>
    <w:rsid w:val="00D4270B"/>
    <w:rsid w:val="00D429FA"/>
    <w:rsid w:val="00D43ACC"/>
    <w:rsid w:val="00D43C5A"/>
    <w:rsid w:val="00D43EC9"/>
    <w:rsid w:val="00D44224"/>
    <w:rsid w:val="00D445BC"/>
    <w:rsid w:val="00D44BCB"/>
    <w:rsid w:val="00D44E68"/>
    <w:rsid w:val="00D44F1B"/>
    <w:rsid w:val="00D45035"/>
    <w:rsid w:val="00D45649"/>
    <w:rsid w:val="00D459BD"/>
    <w:rsid w:val="00D466BB"/>
    <w:rsid w:val="00D46853"/>
    <w:rsid w:val="00D471DA"/>
    <w:rsid w:val="00D47ABD"/>
    <w:rsid w:val="00D50296"/>
    <w:rsid w:val="00D507F3"/>
    <w:rsid w:val="00D50F16"/>
    <w:rsid w:val="00D51723"/>
    <w:rsid w:val="00D5180D"/>
    <w:rsid w:val="00D51946"/>
    <w:rsid w:val="00D51B58"/>
    <w:rsid w:val="00D51BC1"/>
    <w:rsid w:val="00D51C0B"/>
    <w:rsid w:val="00D52079"/>
    <w:rsid w:val="00D524A9"/>
    <w:rsid w:val="00D52537"/>
    <w:rsid w:val="00D52BFC"/>
    <w:rsid w:val="00D530FF"/>
    <w:rsid w:val="00D533E5"/>
    <w:rsid w:val="00D5378A"/>
    <w:rsid w:val="00D542CA"/>
    <w:rsid w:val="00D544CC"/>
    <w:rsid w:val="00D546AA"/>
    <w:rsid w:val="00D5495E"/>
    <w:rsid w:val="00D54ED0"/>
    <w:rsid w:val="00D56160"/>
    <w:rsid w:val="00D56F7E"/>
    <w:rsid w:val="00D5774F"/>
    <w:rsid w:val="00D57754"/>
    <w:rsid w:val="00D6002B"/>
    <w:rsid w:val="00D603F8"/>
    <w:rsid w:val="00D608A0"/>
    <w:rsid w:val="00D615CD"/>
    <w:rsid w:val="00D61F26"/>
    <w:rsid w:val="00D624DE"/>
    <w:rsid w:val="00D62CB1"/>
    <w:rsid w:val="00D62DD9"/>
    <w:rsid w:val="00D63312"/>
    <w:rsid w:val="00D635D7"/>
    <w:rsid w:val="00D63978"/>
    <w:rsid w:val="00D63B99"/>
    <w:rsid w:val="00D63F9E"/>
    <w:rsid w:val="00D644A7"/>
    <w:rsid w:val="00D645CD"/>
    <w:rsid w:val="00D646D7"/>
    <w:rsid w:val="00D64A83"/>
    <w:rsid w:val="00D64DB6"/>
    <w:rsid w:val="00D65181"/>
    <w:rsid w:val="00D665AF"/>
    <w:rsid w:val="00D66B69"/>
    <w:rsid w:val="00D66D01"/>
    <w:rsid w:val="00D66D9C"/>
    <w:rsid w:val="00D67F16"/>
    <w:rsid w:val="00D705CF"/>
    <w:rsid w:val="00D70D4D"/>
    <w:rsid w:val="00D710C8"/>
    <w:rsid w:val="00D710F4"/>
    <w:rsid w:val="00D7163F"/>
    <w:rsid w:val="00D71B04"/>
    <w:rsid w:val="00D7216D"/>
    <w:rsid w:val="00D726AD"/>
    <w:rsid w:val="00D731A9"/>
    <w:rsid w:val="00D73287"/>
    <w:rsid w:val="00D732E0"/>
    <w:rsid w:val="00D73740"/>
    <w:rsid w:val="00D73867"/>
    <w:rsid w:val="00D73C65"/>
    <w:rsid w:val="00D7440A"/>
    <w:rsid w:val="00D747FD"/>
    <w:rsid w:val="00D74C08"/>
    <w:rsid w:val="00D75111"/>
    <w:rsid w:val="00D75260"/>
    <w:rsid w:val="00D7539D"/>
    <w:rsid w:val="00D754C8"/>
    <w:rsid w:val="00D75538"/>
    <w:rsid w:val="00D76897"/>
    <w:rsid w:val="00D77BE7"/>
    <w:rsid w:val="00D77DC5"/>
    <w:rsid w:val="00D77E1A"/>
    <w:rsid w:val="00D80256"/>
    <w:rsid w:val="00D80CE3"/>
    <w:rsid w:val="00D80E0E"/>
    <w:rsid w:val="00D813D8"/>
    <w:rsid w:val="00D81983"/>
    <w:rsid w:val="00D82525"/>
    <w:rsid w:val="00D827D5"/>
    <w:rsid w:val="00D832A9"/>
    <w:rsid w:val="00D833A3"/>
    <w:rsid w:val="00D8387B"/>
    <w:rsid w:val="00D840CC"/>
    <w:rsid w:val="00D844FB"/>
    <w:rsid w:val="00D84A3D"/>
    <w:rsid w:val="00D84A6C"/>
    <w:rsid w:val="00D84C15"/>
    <w:rsid w:val="00D84C43"/>
    <w:rsid w:val="00D8513B"/>
    <w:rsid w:val="00D860A1"/>
    <w:rsid w:val="00D865A1"/>
    <w:rsid w:val="00D872EF"/>
    <w:rsid w:val="00D877AF"/>
    <w:rsid w:val="00D87A16"/>
    <w:rsid w:val="00D90619"/>
    <w:rsid w:val="00D909E1"/>
    <w:rsid w:val="00D90D4D"/>
    <w:rsid w:val="00D90D8F"/>
    <w:rsid w:val="00D91144"/>
    <w:rsid w:val="00D912DF"/>
    <w:rsid w:val="00D91C94"/>
    <w:rsid w:val="00D91EDC"/>
    <w:rsid w:val="00D920E3"/>
    <w:rsid w:val="00D9215D"/>
    <w:rsid w:val="00D923C6"/>
    <w:rsid w:val="00D929E6"/>
    <w:rsid w:val="00D9318C"/>
    <w:rsid w:val="00D932F7"/>
    <w:rsid w:val="00D935DD"/>
    <w:rsid w:val="00D93941"/>
    <w:rsid w:val="00D93B8E"/>
    <w:rsid w:val="00D9424B"/>
    <w:rsid w:val="00D946BF"/>
    <w:rsid w:val="00D94F62"/>
    <w:rsid w:val="00D95006"/>
    <w:rsid w:val="00D95151"/>
    <w:rsid w:val="00D9533F"/>
    <w:rsid w:val="00D9563D"/>
    <w:rsid w:val="00D956DD"/>
    <w:rsid w:val="00D95A6D"/>
    <w:rsid w:val="00D96941"/>
    <w:rsid w:val="00D96CEC"/>
    <w:rsid w:val="00DA0460"/>
    <w:rsid w:val="00DA22D4"/>
    <w:rsid w:val="00DA2BB0"/>
    <w:rsid w:val="00DA2C8E"/>
    <w:rsid w:val="00DA3275"/>
    <w:rsid w:val="00DA47A2"/>
    <w:rsid w:val="00DA48D0"/>
    <w:rsid w:val="00DA4C8C"/>
    <w:rsid w:val="00DA5A48"/>
    <w:rsid w:val="00DA61BE"/>
    <w:rsid w:val="00DA636C"/>
    <w:rsid w:val="00DA6491"/>
    <w:rsid w:val="00DA67AB"/>
    <w:rsid w:val="00DA729D"/>
    <w:rsid w:val="00DA7615"/>
    <w:rsid w:val="00DA76F3"/>
    <w:rsid w:val="00DB00FC"/>
    <w:rsid w:val="00DB0689"/>
    <w:rsid w:val="00DB08C1"/>
    <w:rsid w:val="00DB0A37"/>
    <w:rsid w:val="00DB0A3D"/>
    <w:rsid w:val="00DB0DB8"/>
    <w:rsid w:val="00DB0ECF"/>
    <w:rsid w:val="00DB154D"/>
    <w:rsid w:val="00DB1BCA"/>
    <w:rsid w:val="00DB3102"/>
    <w:rsid w:val="00DB323A"/>
    <w:rsid w:val="00DB35B8"/>
    <w:rsid w:val="00DB362F"/>
    <w:rsid w:val="00DB45AA"/>
    <w:rsid w:val="00DB472A"/>
    <w:rsid w:val="00DB5AD2"/>
    <w:rsid w:val="00DB64F0"/>
    <w:rsid w:val="00DB6533"/>
    <w:rsid w:val="00DB663B"/>
    <w:rsid w:val="00DB67CF"/>
    <w:rsid w:val="00DB6A47"/>
    <w:rsid w:val="00DB6D88"/>
    <w:rsid w:val="00DB6EBD"/>
    <w:rsid w:val="00DB703C"/>
    <w:rsid w:val="00DB7665"/>
    <w:rsid w:val="00DC02E2"/>
    <w:rsid w:val="00DC056D"/>
    <w:rsid w:val="00DC076C"/>
    <w:rsid w:val="00DC11CE"/>
    <w:rsid w:val="00DC1757"/>
    <w:rsid w:val="00DC2765"/>
    <w:rsid w:val="00DC2DBC"/>
    <w:rsid w:val="00DC3662"/>
    <w:rsid w:val="00DC3844"/>
    <w:rsid w:val="00DC3B82"/>
    <w:rsid w:val="00DC3CFE"/>
    <w:rsid w:val="00DC44A4"/>
    <w:rsid w:val="00DC4840"/>
    <w:rsid w:val="00DC4A3A"/>
    <w:rsid w:val="00DC4D3D"/>
    <w:rsid w:val="00DC51A0"/>
    <w:rsid w:val="00DC5985"/>
    <w:rsid w:val="00DC5C06"/>
    <w:rsid w:val="00DC5C54"/>
    <w:rsid w:val="00DC66B0"/>
    <w:rsid w:val="00DC68F5"/>
    <w:rsid w:val="00DC6F14"/>
    <w:rsid w:val="00DC708E"/>
    <w:rsid w:val="00DC73BC"/>
    <w:rsid w:val="00DC73F8"/>
    <w:rsid w:val="00DC7ADC"/>
    <w:rsid w:val="00DC7E80"/>
    <w:rsid w:val="00DC7F16"/>
    <w:rsid w:val="00DD016F"/>
    <w:rsid w:val="00DD02C5"/>
    <w:rsid w:val="00DD0913"/>
    <w:rsid w:val="00DD0C88"/>
    <w:rsid w:val="00DD1589"/>
    <w:rsid w:val="00DD1752"/>
    <w:rsid w:val="00DD250F"/>
    <w:rsid w:val="00DD25F1"/>
    <w:rsid w:val="00DD272A"/>
    <w:rsid w:val="00DD2933"/>
    <w:rsid w:val="00DD29AB"/>
    <w:rsid w:val="00DD29DC"/>
    <w:rsid w:val="00DD2BCF"/>
    <w:rsid w:val="00DD30DD"/>
    <w:rsid w:val="00DD3D83"/>
    <w:rsid w:val="00DD489C"/>
    <w:rsid w:val="00DD5077"/>
    <w:rsid w:val="00DD5779"/>
    <w:rsid w:val="00DD5A97"/>
    <w:rsid w:val="00DD5B6A"/>
    <w:rsid w:val="00DD5FDF"/>
    <w:rsid w:val="00DD60F8"/>
    <w:rsid w:val="00DD6555"/>
    <w:rsid w:val="00DD686C"/>
    <w:rsid w:val="00DD6CF9"/>
    <w:rsid w:val="00DD6DC0"/>
    <w:rsid w:val="00DD7C08"/>
    <w:rsid w:val="00DD7F12"/>
    <w:rsid w:val="00DE0292"/>
    <w:rsid w:val="00DE12FC"/>
    <w:rsid w:val="00DE15A3"/>
    <w:rsid w:val="00DE1AAE"/>
    <w:rsid w:val="00DE1DC6"/>
    <w:rsid w:val="00DE2AA0"/>
    <w:rsid w:val="00DE2E48"/>
    <w:rsid w:val="00DE31F3"/>
    <w:rsid w:val="00DE396C"/>
    <w:rsid w:val="00DE4105"/>
    <w:rsid w:val="00DE4AAA"/>
    <w:rsid w:val="00DE4BF0"/>
    <w:rsid w:val="00DE58F6"/>
    <w:rsid w:val="00DE615B"/>
    <w:rsid w:val="00DE66EF"/>
    <w:rsid w:val="00DF0456"/>
    <w:rsid w:val="00DF04A9"/>
    <w:rsid w:val="00DF09C5"/>
    <w:rsid w:val="00DF1F3A"/>
    <w:rsid w:val="00DF2621"/>
    <w:rsid w:val="00DF28E6"/>
    <w:rsid w:val="00DF2990"/>
    <w:rsid w:val="00DF354D"/>
    <w:rsid w:val="00DF39CF"/>
    <w:rsid w:val="00DF4537"/>
    <w:rsid w:val="00DF5347"/>
    <w:rsid w:val="00DF5B3E"/>
    <w:rsid w:val="00DF61A0"/>
    <w:rsid w:val="00DF6BD0"/>
    <w:rsid w:val="00DF6E42"/>
    <w:rsid w:val="00DF73A1"/>
    <w:rsid w:val="00DF74F7"/>
    <w:rsid w:val="00DF7966"/>
    <w:rsid w:val="00DF7B2D"/>
    <w:rsid w:val="00DF7C53"/>
    <w:rsid w:val="00E004C3"/>
    <w:rsid w:val="00E005C4"/>
    <w:rsid w:val="00E017FE"/>
    <w:rsid w:val="00E01A0B"/>
    <w:rsid w:val="00E01C88"/>
    <w:rsid w:val="00E01D85"/>
    <w:rsid w:val="00E0203B"/>
    <w:rsid w:val="00E02111"/>
    <w:rsid w:val="00E0268C"/>
    <w:rsid w:val="00E032DB"/>
    <w:rsid w:val="00E03346"/>
    <w:rsid w:val="00E041D6"/>
    <w:rsid w:val="00E04B8A"/>
    <w:rsid w:val="00E04DCB"/>
    <w:rsid w:val="00E05193"/>
    <w:rsid w:val="00E05533"/>
    <w:rsid w:val="00E055B3"/>
    <w:rsid w:val="00E05667"/>
    <w:rsid w:val="00E05B26"/>
    <w:rsid w:val="00E060B7"/>
    <w:rsid w:val="00E06157"/>
    <w:rsid w:val="00E063AD"/>
    <w:rsid w:val="00E065A0"/>
    <w:rsid w:val="00E06D8C"/>
    <w:rsid w:val="00E06EFC"/>
    <w:rsid w:val="00E073B5"/>
    <w:rsid w:val="00E077F7"/>
    <w:rsid w:val="00E11537"/>
    <w:rsid w:val="00E11611"/>
    <w:rsid w:val="00E11686"/>
    <w:rsid w:val="00E117F3"/>
    <w:rsid w:val="00E11825"/>
    <w:rsid w:val="00E118F8"/>
    <w:rsid w:val="00E11DD9"/>
    <w:rsid w:val="00E11EE5"/>
    <w:rsid w:val="00E11EE7"/>
    <w:rsid w:val="00E11FB8"/>
    <w:rsid w:val="00E12301"/>
    <w:rsid w:val="00E12404"/>
    <w:rsid w:val="00E12E88"/>
    <w:rsid w:val="00E12F94"/>
    <w:rsid w:val="00E13069"/>
    <w:rsid w:val="00E1313D"/>
    <w:rsid w:val="00E1334B"/>
    <w:rsid w:val="00E1368E"/>
    <w:rsid w:val="00E13779"/>
    <w:rsid w:val="00E145A3"/>
    <w:rsid w:val="00E14A97"/>
    <w:rsid w:val="00E15823"/>
    <w:rsid w:val="00E16CBA"/>
    <w:rsid w:val="00E16E09"/>
    <w:rsid w:val="00E20146"/>
    <w:rsid w:val="00E20E25"/>
    <w:rsid w:val="00E2112A"/>
    <w:rsid w:val="00E2133D"/>
    <w:rsid w:val="00E21D7D"/>
    <w:rsid w:val="00E21F01"/>
    <w:rsid w:val="00E22827"/>
    <w:rsid w:val="00E22BEE"/>
    <w:rsid w:val="00E23724"/>
    <w:rsid w:val="00E23E34"/>
    <w:rsid w:val="00E23F79"/>
    <w:rsid w:val="00E24690"/>
    <w:rsid w:val="00E24876"/>
    <w:rsid w:val="00E24878"/>
    <w:rsid w:val="00E24ECF"/>
    <w:rsid w:val="00E250D3"/>
    <w:rsid w:val="00E25528"/>
    <w:rsid w:val="00E26229"/>
    <w:rsid w:val="00E26E21"/>
    <w:rsid w:val="00E26F3A"/>
    <w:rsid w:val="00E271F1"/>
    <w:rsid w:val="00E2724B"/>
    <w:rsid w:val="00E272AF"/>
    <w:rsid w:val="00E2778F"/>
    <w:rsid w:val="00E27C00"/>
    <w:rsid w:val="00E3009E"/>
    <w:rsid w:val="00E30469"/>
    <w:rsid w:val="00E30704"/>
    <w:rsid w:val="00E30977"/>
    <w:rsid w:val="00E30C6D"/>
    <w:rsid w:val="00E30CFF"/>
    <w:rsid w:val="00E3158D"/>
    <w:rsid w:val="00E3178F"/>
    <w:rsid w:val="00E31D88"/>
    <w:rsid w:val="00E31E0C"/>
    <w:rsid w:val="00E32091"/>
    <w:rsid w:val="00E3279F"/>
    <w:rsid w:val="00E32F17"/>
    <w:rsid w:val="00E33215"/>
    <w:rsid w:val="00E33652"/>
    <w:rsid w:val="00E3371F"/>
    <w:rsid w:val="00E338D1"/>
    <w:rsid w:val="00E33949"/>
    <w:rsid w:val="00E345BD"/>
    <w:rsid w:val="00E35A57"/>
    <w:rsid w:val="00E35DA1"/>
    <w:rsid w:val="00E35F94"/>
    <w:rsid w:val="00E373E2"/>
    <w:rsid w:val="00E37CE3"/>
    <w:rsid w:val="00E40149"/>
    <w:rsid w:val="00E40183"/>
    <w:rsid w:val="00E40F19"/>
    <w:rsid w:val="00E4108F"/>
    <w:rsid w:val="00E4137F"/>
    <w:rsid w:val="00E41497"/>
    <w:rsid w:val="00E4151B"/>
    <w:rsid w:val="00E416AE"/>
    <w:rsid w:val="00E417C0"/>
    <w:rsid w:val="00E41BC1"/>
    <w:rsid w:val="00E41E2E"/>
    <w:rsid w:val="00E426B3"/>
    <w:rsid w:val="00E4292C"/>
    <w:rsid w:val="00E42965"/>
    <w:rsid w:val="00E42EDA"/>
    <w:rsid w:val="00E4319E"/>
    <w:rsid w:val="00E43DC3"/>
    <w:rsid w:val="00E43E07"/>
    <w:rsid w:val="00E44880"/>
    <w:rsid w:val="00E44DA6"/>
    <w:rsid w:val="00E45935"/>
    <w:rsid w:val="00E459BA"/>
    <w:rsid w:val="00E45AB8"/>
    <w:rsid w:val="00E45F82"/>
    <w:rsid w:val="00E46667"/>
    <w:rsid w:val="00E466BF"/>
    <w:rsid w:val="00E472CF"/>
    <w:rsid w:val="00E476CE"/>
    <w:rsid w:val="00E47AF4"/>
    <w:rsid w:val="00E47B71"/>
    <w:rsid w:val="00E47BF0"/>
    <w:rsid w:val="00E47C15"/>
    <w:rsid w:val="00E500CB"/>
    <w:rsid w:val="00E50831"/>
    <w:rsid w:val="00E51120"/>
    <w:rsid w:val="00E5143C"/>
    <w:rsid w:val="00E514DF"/>
    <w:rsid w:val="00E5285F"/>
    <w:rsid w:val="00E53441"/>
    <w:rsid w:val="00E54586"/>
    <w:rsid w:val="00E555C0"/>
    <w:rsid w:val="00E5593C"/>
    <w:rsid w:val="00E55C4B"/>
    <w:rsid w:val="00E56525"/>
    <w:rsid w:val="00E569F4"/>
    <w:rsid w:val="00E577EB"/>
    <w:rsid w:val="00E57877"/>
    <w:rsid w:val="00E57CBA"/>
    <w:rsid w:val="00E6014D"/>
    <w:rsid w:val="00E6061B"/>
    <w:rsid w:val="00E60C0A"/>
    <w:rsid w:val="00E60DBD"/>
    <w:rsid w:val="00E60EC3"/>
    <w:rsid w:val="00E611A6"/>
    <w:rsid w:val="00E611EE"/>
    <w:rsid w:val="00E6208F"/>
    <w:rsid w:val="00E62D0B"/>
    <w:rsid w:val="00E63251"/>
    <w:rsid w:val="00E63550"/>
    <w:rsid w:val="00E635DB"/>
    <w:rsid w:val="00E640BE"/>
    <w:rsid w:val="00E648F3"/>
    <w:rsid w:val="00E65074"/>
    <w:rsid w:val="00E65A85"/>
    <w:rsid w:val="00E65AD6"/>
    <w:rsid w:val="00E65D1C"/>
    <w:rsid w:val="00E65F07"/>
    <w:rsid w:val="00E665A6"/>
    <w:rsid w:val="00E675C7"/>
    <w:rsid w:val="00E67C1E"/>
    <w:rsid w:val="00E7004D"/>
    <w:rsid w:val="00E706F7"/>
    <w:rsid w:val="00E709DB"/>
    <w:rsid w:val="00E71222"/>
    <w:rsid w:val="00E71302"/>
    <w:rsid w:val="00E71614"/>
    <w:rsid w:val="00E718C1"/>
    <w:rsid w:val="00E7287D"/>
    <w:rsid w:val="00E72F9B"/>
    <w:rsid w:val="00E7343A"/>
    <w:rsid w:val="00E73688"/>
    <w:rsid w:val="00E73857"/>
    <w:rsid w:val="00E73ACE"/>
    <w:rsid w:val="00E73FE4"/>
    <w:rsid w:val="00E7461E"/>
    <w:rsid w:val="00E7537E"/>
    <w:rsid w:val="00E75E27"/>
    <w:rsid w:val="00E75F76"/>
    <w:rsid w:val="00E762FE"/>
    <w:rsid w:val="00E7648D"/>
    <w:rsid w:val="00E769A1"/>
    <w:rsid w:val="00E76E39"/>
    <w:rsid w:val="00E77467"/>
    <w:rsid w:val="00E77552"/>
    <w:rsid w:val="00E77834"/>
    <w:rsid w:val="00E77DB3"/>
    <w:rsid w:val="00E80C88"/>
    <w:rsid w:val="00E80DC9"/>
    <w:rsid w:val="00E80EA8"/>
    <w:rsid w:val="00E811F8"/>
    <w:rsid w:val="00E813CC"/>
    <w:rsid w:val="00E813F4"/>
    <w:rsid w:val="00E8142F"/>
    <w:rsid w:val="00E8171A"/>
    <w:rsid w:val="00E81A13"/>
    <w:rsid w:val="00E81A29"/>
    <w:rsid w:val="00E81C3B"/>
    <w:rsid w:val="00E823AE"/>
    <w:rsid w:val="00E8253C"/>
    <w:rsid w:val="00E82B52"/>
    <w:rsid w:val="00E82EEC"/>
    <w:rsid w:val="00E830E3"/>
    <w:rsid w:val="00E83933"/>
    <w:rsid w:val="00E84737"/>
    <w:rsid w:val="00E848EA"/>
    <w:rsid w:val="00E84B3E"/>
    <w:rsid w:val="00E84C09"/>
    <w:rsid w:val="00E84D92"/>
    <w:rsid w:val="00E84E5A"/>
    <w:rsid w:val="00E8597E"/>
    <w:rsid w:val="00E85ACE"/>
    <w:rsid w:val="00E85B2B"/>
    <w:rsid w:val="00E86934"/>
    <w:rsid w:val="00E87082"/>
    <w:rsid w:val="00E876EF"/>
    <w:rsid w:val="00E87C4D"/>
    <w:rsid w:val="00E87CF0"/>
    <w:rsid w:val="00E909AA"/>
    <w:rsid w:val="00E90AE2"/>
    <w:rsid w:val="00E90E3E"/>
    <w:rsid w:val="00E911E7"/>
    <w:rsid w:val="00E916AC"/>
    <w:rsid w:val="00E91FCC"/>
    <w:rsid w:val="00E925D9"/>
    <w:rsid w:val="00E92EDA"/>
    <w:rsid w:val="00E9312D"/>
    <w:rsid w:val="00E93193"/>
    <w:rsid w:val="00E93A10"/>
    <w:rsid w:val="00E93D99"/>
    <w:rsid w:val="00E93DAB"/>
    <w:rsid w:val="00E9433A"/>
    <w:rsid w:val="00E9448B"/>
    <w:rsid w:val="00E944EC"/>
    <w:rsid w:val="00E94697"/>
    <w:rsid w:val="00E949BE"/>
    <w:rsid w:val="00E94FD8"/>
    <w:rsid w:val="00E952DB"/>
    <w:rsid w:val="00E960DD"/>
    <w:rsid w:val="00E96277"/>
    <w:rsid w:val="00E96A2D"/>
    <w:rsid w:val="00E96C42"/>
    <w:rsid w:val="00E972B8"/>
    <w:rsid w:val="00EA022B"/>
    <w:rsid w:val="00EA1007"/>
    <w:rsid w:val="00EA1451"/>
    <w:rsid w:val="00EA19CB"/>
    <w:rsid w:val="00EA1BD8"/>
    <w:rsid w:val="00EA273D"/>
    <w:rsid w:val="00EA2C3D"/>
    <w:rsid w:val="00EA3171"/>
    <w:rsid w:val="00EA3AD8"/>
    <w:rsid w:val="00EA44EA"/>
    <w:rsid w:val="00EA4DB6"/>
    <w:rsid w:val="00EA5A61"/>
    <w:rsid w:val="00EA5EA0"/>
    <w:rsid w:val="00EA65D8"/>
    <w:rsid w:val="00EA662E"/>
    <w:rsid w:val="00EA6F18"/>
    <w:rsid w:val="00EA7D93"/>
    <w:rsid w:val="00EA7FC3"/>
    <w:rsid w:val="00EB04B0"/>
    <w:rsid w:val="00EB098D"/>
    <w:rsid w:val="00EB0CC5"/>
    <w:rsid w:val="00EB0D5B"/>
    <w:rsid w:val="00EB12FE"/>
    <w:rsid w:val="00EB1452"/>
    <w:rsid w:val="00EB1A2F"/>
    <w:rsid w:val="00EB1F79"/>
    <w:rsid w:val="00EB2BD0"/>
    <w:rsid w:val="00EB4158"/>
    <w:rsid w:val="00EB4265"/>
    <w:rsid w:val="00EB461B"/>
    <w:rsid w:val="00EB507B"/>
    <w:rsid w:val="00EB53B6"/>
    <w:rsid w:val="00EB5855"/>
    <w:rsid w:val="00EB58F3"/>
    <w:rsid w:val="00EB62BA"/>
    <w:rsid w:val="00EB6665"/>
    <w:rsid w:val="00EB67D4"/>
    <w:rsid w:val="00EB699B"/>
    <w:rsid w:val="00EB6D2F"/>
    <w:rsid w:val="00EB7313"/>
    <w:rsid w:val="00EB77D5"/>
    <w:rsid w:val="00EB7962"/>
    <w:rsid w:val="00EB7E6C"/>
    <w:rsid w:val="00EC00CB"/>
    <w:rsid w:val="00EC01C8"/>
    <w:rsid w:val="00EC030E"/>
    <w:rsid w:val="00EC03C4"/>
    <w:rsid w:val="00EC05E9"/>
    <w:rsid w:val="00EC1098"/>
    <w:rsid w:val="00EC1157"/>
    <w:rsid w:val="00EC14E2"/>
    <w:rsid w:val="00EC1717"/>
    <w:rsid w:val="00EC1FF6"/>
    <w:rsid w:val="00EC2004"/>
    <w:rsid w:val="00EC2112"/>
    <w:rsid w:val="00EC2344"/>
    <w:rsid w:val="00EC39D9"/>
    <w:rsid w:val="00EC3EFD"/>
    <w:rsid w:val="00EC40EF"/>
    <w:rsid w:val="00EC4745"/>
    <w:rsid w:val="00EC4D6A"/>
    <w:rsid w:val="00EC550E"/>
    <w:rsid w:val="00EC5AFD"/>
    <w:rsid w:val="00EC5C3C"/>
    <w:rsid w:val="00EC6896"/>
    <w:rsid w:val="00EC6D53"/>
    <w:rsid w:val="00EC6E3A"/>
    <w:rsid w:val="00EC73B4"/>
    <w:rsid w:val="00EC7C8C"/>
    <w:rsid w:val="00ED005A"/>
    <w:rsid w:val="00ED0529"/>
    <w:rsid w:val="00ED082A"/>
    <w:rsid w:val="00ED0BA0"/>
    <w:rsid w:val="00ED12B1"/>
    <w:rsid w:val="00ED1D8A"/>
    <w:rsid w:val="00ED28E2"/>
    <w:rsid w:val="00ED3DDA"/>
    <w:rsid w:val="00ED43CB"/>
    <w:rsid w:val="00ED5928"/>
    <w:rsid w:val="00ED59A8"/>
    <w:rsid w:val="00ED61A6"/>
    <w:rsid w:val="00ED6420"/>
    <w:rsid w:val="00ED6424"/>
    <w:rsid w:val="00ED6AF2"/>
    <w:rsid w:val="00ED6BBF"/>
    <w:rsid w:val="00ED6C52"/>
    <w:rsid w:val="00ED6E0B"/>
    <w:rsid w:val="00ED72C0"/>
    <w:rsid w:val="00ED7726"/>
    <w:rsid w:val="00ED79CD"/>
    <w:rsid w:val="00ED7BDF"/>
    <w:rsid w:val="00ED7E01"/>
    <w:rsid w:val="00EE0A3F"/>
    <w:rsid w:val="00EE0A80"/>
    <w:rsid w:val="00EE1BB4"/>
    <w:rsid w:val="00EE271B"/>
    <w:rsid w:val="00EE2F10"/>
    <w:rsid w:val="00EE3072"/>
    <w:rsid w:val="00EE354B"/>
    <w:rsid w:val="00EE3A78"/>
    <w:rsid w:val="00EE4C4C"/>
    <w:rsid w:val="00EE52D0"/>
    <w:rsid w:val="00EE5572"/>
    <w:rsid w:val="00EE57A6"/>
    <w:rsid w:val="00EE6011"/>
    <w:rsid w:val="00EE64A8"/>
    <w:rsid w:val="00EE69F9"/>
    <w:rsid w:val="00EE7051"/>
    <w:rsid w:val="00EE7809"/>
    <w:rsid w:val="00EF05FB"/>
    <w:rsid w:val="00EF0DAC"/>
    <w:rsid w:val="00EF107B"/>
    <w:rsid w:val="00EF1A48"/>
    <w:rsid w:val="00EF1A57"/>
    <w:rsid w:val="00EF1B66"/>
    <w:rsid w:val="00EF2D80"/>
    <w:rsid w:val="00EF3828"/>
    <w:rsid w:val="00EF38F7"/>
    <w:rsid w:val="00EF43B7"/>
    <w:rsid w:val="00EF446E"/>
    <w:rsid w:val="00EF4C1A"/>
    <w:rsid w:val="00EF4DBA"/>
    <w:rsid w:val="00EF5421"/>
    <w:rsid w:val="00EF5A76"/>
    <w:rsid w:val="00EF609F"/>
    <w:rsid w:val="00EF6311"/>
    <w:rsid w:val="00EF6645"/>
    <w:rsid w:val="00EF69D0"/>
    <w:rsid w:val="00EF6E29"/>
    <w:rsid w:val="00EF6FFD"/>
    <w:rsid w:val="00EF7115"/>
    <w:rsid w:val="00F00452"/>
    <w:rsid w:val="00F0095D"/>
    <w:rsid w:val="00F00A28"/>
    <w:rsid w:val="00F00DE8"/>
    <w:rsid w:val="00F01558"/>
    <w:rsid w:val="00F02821"/>
    <w:rsid w:val="00F028CE"/>
    <w:rsid w:val="00F02FF3"/>
    <w:rsid w:val="00F03115"/>
    <w:rsid w:val="00F037E0"/>
    <w:rsid w:val="00F04C42"/>
    <w:rsid w:val="00F04E15"/>
    <w:rsid w:val="00F055D2"/>
    <w:rsid w:val="00F062B8"/>
    <w:rsid w:val="00F063F4"/>
    <w:rsid w:val="00F06615"/>
    <w:rsid w:val="00F068A6"/>
    <w:rsid w:val="00F0699D"/>
    <w:rsid w:val="00F06AE9"/>
    <w:rsid w:val="00F06D44"/>
    <w:rsid w:val="00F06F67"/>
    <w:rsid w:val="00F06FEB"/>
    <w:rsid w:val="00F070EB"/>
    <w:rsid w:val="00F07891"/>
    <w:rsid w:val="00F079B7"/>
    <w:rsid w:val="00F07ABB"/>
    <w:rsid w:val="00F07C5C"/>
    <w:rsid w:val="00F07CA7"/>
    <w:rsid w:val="00F07CF4"/>
    <w:rsid w:val="00F10005"/>
    <w:rsid w:val="00F10368"/>
    <w:rsid w:val="00F1053D"/>
    <w:rsid w:val="00F107DF"/>
    <w:rsid w:val="00F11252"/>
    <w:rsid w:val="00F12256"/>
    <w:rsid w:val="00F122BC"/>
    <w:rsid w:val="00F1248A"/>
    <w:rsid w:val="00F12AD5"/>
    <w:rsid w:val="00F13121"/>
    <w:rsid w:val="00F1342F"/>
    <w:rsid w:val="00F1360C"/>
    <w:rsid w:val="00F13663"/>
    <w:rsid w:val="00F13B41"/>
    <w:rsid w:val="00F13E05"/>
    <w:rsid w:val="00F14575"/>
    <w:rsid w:val="00F14FF0"/>
    <w:rsid w:val="00F15091"/>
    <w:rsid w:val="00F1552B"/>
    <w:rsid w:val="00F15A3C"/>
    <w:rsid w:val="00F15BCB"/>
    <w:rsid w:val="00F162B8"/>
    <w:rsid w:val="00F16571"/>
    <w:rsid w:val="00F16951"/>
    <w:rsid w:val="00F171D9"/>
    <w:rsid w:val="00F202C0"/>
    <w:rsid w:val="00F2056D"/>
    <w:rsid w:val="00F205CA"/>
    <w:rsid w:val="00F2069B"/>
    <w:rsid w:val="00F211AE"/>
    <w:rsid w:val="00F21655"/>
    <w:rsid w:val="00F216DF"/>
    <w:rsid w:val="00F21BB3"/>
    <w:rsid w:val="00F21D6C"/>
    <w:rsid w:val="00F22109"/>
    <w:rsid w:val="00F22387"/>
    <w:rsid w:val="00F22627"/>
    <w:rsid w:val="00F229CF"/>
    <w:rsid w:val="00F22D72"/>
    <w:rsid w:val="00F23212"/>
    <w:rsid w:val="00F236A0"/>
    <w:rsid w:val="00F236ED"/>
    <w:rsid w:val="00F240E7"/>
    <w:rsid w:val="00F24117"/>
    <w:rsid w:val="00F24EAE"/>
    <w:rsid w:val="00F259F4"/>
    <w:rsid w:val="00F25BE5"/>
    <w:rsid w:val="00F26309"/>
    <w:rsid w:val="00F26E44"/>
    <w:rsid w:val="00F277A1"/>
    <w:rsid w:val="00F27AD1"/>
    <w:rsid w:val="00F27B46"/>
    <w:rsid w:val="00F27DDC"/>
    <w:rsid w:val="00F300DC"/>
    <w:rsid w:val="00F30D62"/>
    <w:rsid w:val="00F30E37"/>
    <w:rsid w:val="00F316BA"/>
    <w:rsid w:val="00F317C6"/>
    <w:rsid w:val="00F3219D"/>
    <w:rsid w:val="00F330D8"/>
    <w:rsid w:val="00F33548"/>
    <w:rsid w:val="00F336CA"/>
    <w:rsid w:val="00F34D27"/>
    <w:rsid w:val="00F353D1"/>
    <w:rsid w:val="00F356F5"/>
    <w:rsid w:val="00F35E1B"/>
    <w:rsid w:val="00F3611A"/>
    <w:rsid w:val="00F36AEF"/>
    <w:rsid w:val="00F36B64"/>
    <w:rsid w:val="00F36C0A"/>
    <w:rsid w:val="00F36E8E"/>
    <w:rsid w:val="00F373A9"/>
    <w:rsid w:val="00F374C9"/>
    <w:rsid w:val="00F374CA"/>
    <w:rsid w:val="00F37537"/>
    <w:rsid w:val="00F375B0"/>
    <w:rsid w:val="00F4001B"/>
    <w:rsid w:val="00F403E7"/>
    <w:rsid w:val="00F406CE"/>
    <w:rsid w:val="00F40958"/>
    <w:rsid w:val="00F40E52"/>
    <w:rsid w:val="00F410D7"/>
    <w:rsid w:val="00F419FC"/>
    <w:rsid w:val="00F41B09"/>
    <w:rsid w:val="00F42B55"/>
    <w:rsid w:val="00F42C8B"/>
    <w:rsid w:val="00F4352D"/>
    <w:rsid w:val="00F4372B"/>
    <w:rsid w:val="00F4380A"/>
    <w:rsid w:val="00F439EE"/>
    <w:rsid w:val="00F43C19"/>
    <w:rsid w:val="00F457A7"/>
    <w:rsid w:val="00F45BFC"/>
    <w:rsid w:val="00F45DCB"/>
    <w:rsid w:val="00F45E1D"/>
    <w:rsid w:val="00F45F56"/>
    <w:rsid w:val="00F46810"/>
    <w:rsid w:val="00F47965"/>
    <w:rsid w:val="00F47A8F"/>
    <w:rsid w:val="00F50758"/>
    <w:rsid w:val="00F508E4"/>
    <w:rsid w:val="00F51303"/>
    <w:rsid w:val="00F51D21"/>
    <w:rsid w:val="00F51D26"/>
    <w:rsid w:val="00F530B3"/>
    <w:rsid w:val="00F539B3"/>
    <w:rsid w:val="00F539BB"/>
    <w:rsid w:val="00F53DEA"/>
    <w:rsid w:val="00F54055"/>
    <w:rsid w:val="00F54225"/>
    <w:rsid w:val="00F54829"/>
    <w:rsid w:val="00F56438"/>
    <w:rsid w:val="00F56C65"/>
    <w:rsid w:val="00F56FB4"/>
    <w:rsid w:val="00F572EB"/>
    <w:rsid w:val="00F5773F"/>
    <w:rsid w:val="00F57A01"/>
    <w:rsid w:val="00F60589"/>
    <w:rsid w:val="00F606D6"/>
    <w:rsid w:val="00F607B5"/>
    <w:rsid w:val="00F60830"/>
    <w:rsid w:val="00F60F5E"/>
    <w:rsid w:val="00F6103D"/>
    <w:rsid w:val="00F613BB"/>
    <w:rsid w:val="00F61553"/>
    <w:rsid w:val="00F61671"/>
    <w:rsid w:val="00F61B00"/>
    <w:rsid w:val="00F61F96"/>
    <w:rsid w:val="00F625B0"/>
    <w:rsid w:val="00F63047"/>
    <w:rsid w:val="00F630D6"/>
    <w:rsid w:val="00F635E7"/>
    <w:rsid w:val="00F63CD9"/>
    <w:rsid w:val="00F63E48"/>
    <w:rsid w:val="00F645B4"/>
    <w:rsid w:val="00F64753"/>
    <w:rsid w:val="00F64B46"/>
    <w:rsid w:val="00F6514E"/>
    <w:rsid w:val="00F65369"/>
    <w:rsid w:val="00F66125"/>
    <w:rsid w:val="00F6631B"/>
    <w:rsid w:val="00F66FB4"/>
    <w:rsid w:val="00F673F1"/>
    <w:rsid w:val="00F7077B"/>
    <w:rsid w:val="00F7082C"/>
    <w:rsid w:val="00F70B86"/>
    <w:rsid w:val="00F70EE1"/>
    <w:rsid w:val="00F70FA4"/>
    <w:rsid w:val="00F7115C"/>
    <w:rsid w:val="00F72349"/>
    <w:rsid w:val="00F726F7"/>
    <w:rsid w:val="00F72964"/>
    <w:rsid w:val="00F7390A"/>
    <w:rsid w:val="00F7390E"/>
    <w:rsid w:val="00F73E4A"/>
    <w:rsid w:val="00F73F6D"/>
    <w:rsid w:val="00F741BA"/>
    <w:rsid w:val="00F74BCB"/>
    <w:rsid w:val="00F74CF4"/>
    <w:rsid w:val="00F74D33"/>
    <w:rsid w:val="00F74ECE"/>
    <w:rsid w:val="00F7526D"/>
    <w:rsid w:val="00F75673"/>
    <w:rsid w:val="00F75773"/>
    <w:rsid w:val="00F757C0"/>
    <w:rsid w:val="00F758EB"/>
    <w:rsid w:val="00F75C16"/>
    <w:rsid w:val="00F75E5D"/>
    <w:rsid w:val="00F7645C"/>
    <w:rsid w:val="00F769C9"/>
    <w:rsid w:val="00F76A47"/>
    <w:rsid w:val="00F77C73"/>
    <w:rsid w:val="00F80778"/>
    <w:rsid w:val="00F808C7"/>
    <w:rsid w:val="00F815AC"/>
    <w:rsid w:val="00F815CB"/>
    <w:rsid w:val="00F81ABF"/>
    <w:rsid w:val="00F8207B"/>
    <w:rsid w:val="00F82BE2"/>
    <w:rsid w:val="00F82E3E"/>
    <w:rsid w:val="00F836F6"/>
    <w:rsid w:val="00F83D60"/>
    <w:rsid w:val="00F84D3C"/>
    <w:rsid w:val="00F85EE3"/>
    <w:rsid w:val="00F86B80"/>
    <w:rsid w:val="00F86C2F"/>
    <w:rsid w:val="00F87108"/>
    <w:rsid w:val="00F876BB"/>
    <w:rsid w:val="00F87705"/>
    <w:rsid w:val="00F87749"/>
    <w:rsid w:val="00F87E0A"/>
    <w:rsid w:val="00F91094"/>
    <w:rsid w:val="00F918CE"/>
    <w:rsid w:val="00F92326"/>
    <w:rsid w:val="00F92582"/>
    <w:rsid w:val="00F92752"/>
    <w:rsid w:val="00F9336D"/>
    <w:rsid w:val="00F93880"/>
    <w:rsid w:val="00F940B4"/>
    <w:rsid w:val="00F94553"/>
    <w:rsid w:val="00F9478E"/>
    <w:rsid w:val="00F9535C"/>
    <w:rsid w:val="00F977F0"/>
    <w:rsid w:val="00FA07D9"/>
    <w:rsid w:val="00FA134C"/>
    <w:rsid w:val="00FA1505"/>
    <w:rsid w:val="00FA171A"/>
    <w:rsid w:val="00FA1E0B"/>
    <w:rsid w:val="00FA3227"/>
    <w:rsid w:val="00FA4493"/>
    <w:rsid w:val="00FA455B"/>
    <w:rsid w:val="00FA598C"/>
    <w:rsid w:val="00FA6506"/>
    <w:rsid w:val="00FA7360"/>
    <w:rsid w:val="00FA7511"/>
    <w:rsid w:val="00FA76B8"/>
    <w:rsid w:val="00FA7A92"/>
    <w:rsid w:val="00FA7E8D"/>
    <w:rsid w:val="00FB0075"/>
    <w:rsid w:val="00FB064A"/>
    <w:rsid w:val="00FB075B"/>
    <w:rsid w:val="00FB0A20"/>
    <w:rsid w:val="00FB0D4F"/>
    <w:rsid w:val="00FB117B"/>
    <w:rsid w:val="00FB1F35"/>
    <w:rsid w:val="00FB21C6"/>
    <w:rsid w:val="00FB25C4"/>
    <w:rsid w:val="00FB25CD"/>
    <w:rsid w:val="00FB262A"/>
    <w:rsid w:val="00FB2802"/>
    <w:rsid w:val="00FB29FE"/>
    <w:rsid w:val="00FB2E48"/>
    <w:rsid w:val="00FB300B"/>
    <w:rsid w:val="00FB3092"/>
    <w:rsid w:val="00FB3229"/>
    <w:rsid w:val="00FB3BE4"/>
    <w:rsid w:val="00FB40DA"/>
    <w:rsid w:val="00FB42FE"/>
    <w:rsid w:val="00FB470C"/>
    <w:rsid w:val="00FB4C7D"/>
    <w:rsid w:val="00FB4DDB"/>
    <w:rsid w:val="00FB50B7"/>
    <w:rsid w:val="00FB5815"/>
    <w:rsid w:val="00FB5F33"/>
    <w:rsid w:val="00FB616F"/>
    <w:rsid w:val="00FB6905"/>
    <w:rsid w:val="00FB7AA5"/>
    <w:rsid w:val="00FB7AC2"/>
    <w:rsid w:val="00FC0166"/>
    <w:rsid w:val="00FC02D9"/>
    <w:rsid w:val="00FC04E7"/>
    <w:rsid w:val="00FC0513"/>
    <w:rsid w:val="00FC0AAA"/>
    <w:rsid w:val="00FC1160"/>
    <w:rsid w:val="00FC131B"/>
    <w:rsid w:val="00FC1659"/>
    <w:rsid w:val="00FC1867"/>
    <w:rsid w:val="00FC1FEA"/>
    <w:rsid w:val="00FC20CE"/>
    <w:rsid w:val="00FC24ED"/>
    <w:rsid w:val="00FC3190"/>
    <w:rsid w:val="00FC3666"/>
    <w:rsid w:val="00FC3952"/>
    <w:rsid w:val="00FC396A"/>
    <w:rsid w:val="00FC3EB3"/>
    <w:rsid w:val="00FC3EE3"/>
    <w:rsid w:val="00FC45DF"/>
    <w:rsid w:val="00FC487E"/>
    <w:rsid w:val="00FC4953"/>
    <w:rsid w:val="00FC4E49"/>
    <w:rsid w:val="00FC5BE8"/>
    <w:rsid w:val="00FC5E5E"/>
    <w:rsid w:val="00FC5F41"/>
    <w:rsid w:val="00FC64F9"/>
    <w:rsid w:val="00FC664F"/>
    <w:rsid w:val="00FC67B2"/>
    <w:rsid w:val="00FC77EA"/>
    <w:rsid w:val="00FC7BDC"/>
    <w:rsid w:val="00FC7C10"/>
    <w:rsid w:val="00FD01D7"/>
    <w:rsid w:val="00FD05A6"/>
    <w:rsid w:val="00FD0BD5"/>
    <w:rsid w:val="00FD1097"/>
    <w:rsid w:val="00FD124F"/>
    <w:rsid w:val="00FD1274"/>
    <w:rsid w:val="00FD1C99"/>
    <w:rsid w:val="00FD1D4D"/>
    <w:rsid w:val="00FD1DE1"/>
    <w:rsid w:val="00FD1E48"/>
    <w:rsid w:val="00FD1F39"/>
    <w:rsid w:val="00FD2201"/>
    <w:rsid w:val="00FD2715"/>
    <w:rsid w:val="00FD27C7"/>
    <w:rsid w:val="00FD2A0A"/>
    <w:rsid w:val="00FD2BB8"/>
    <w:rsid w:val="00FD2DDC"/>
    <w:rsid w:val="00FD2F1A"/>
    <w:rsid w:val="00FD351A"/>
    <w:rsid w:val="00FD39B6"/>
    <w:rsid w:val="00FD3B20"/>
    <w:rsid w:val="00FD4220"/>
    <w:rsid w:val="00FD5368"/>
    <w:rsid w:val="00FD561D"/>
    <w:rsid w:val="00FD6529"/>
    <w:rsid w:val="00FD6AB6"/>
    <w:rsid w:val="00FD6D5F"/>
    <w:rsid w:val="00FD71A7"/>
    <w:rsid w:val="00FD75FE"/>
    <w:rsid w:val="00FD7714"/>
    <w:rsid w:val="00FD77AE"/>
    <w:rsid w:val="00FD7CFD"/>
    <w:rsid w:val="00FE0189"/>
    <w:rsid w:val="00FE0286"/>
    <w:rsid w:val="00FE0362"/>
    <w:rsid w:val="00FE0FCC"/>
    <w:rsid w:val="00FE1B5E"/>
    <w:rsid w:val="00FE1BF2"/>
    <w:rsid w:val="00FE1C81"/>
    <w:rsid w:val="00FE24DE"/>
    <w:rsid w:val="00FE2697"/>
    <w:rsid w:val="00FE2A8D"/>
    <w:rsid w:val="00FE4441"/>
    <w:rsid w:val="00FE45D6"/>
    <w:rsid w:val="00FE512F"/>
    <w:rsid w:val="00FE58CE"/>
    <w:rsid w:val="00FE5CC3"/>
    <w:rsid w:val="00FE5E9D"/>
    <w:rsid w:val="00FE6A30"/>
    <w:rsid w:val="00FE705C"/>
    <w:rsid w:val="00FE7C00"/>
    <w:rsid w:val="00FF0264"/>
    <w:rsid w:val="00FF096D"/>
    <w:rsid w:val="00FF09E6"/>
    <w:rsid w:val="00FF0B58"/>
    <w:rsid w:val="00FF0B64"/>
    <w:rsid w:val="00FF14FD"/>
    <w:rsid w:val="00FF19B6"/>
    <w:rsid w:val="00FF1AF2"/>
    <w:rsid w:val="00FF1CD9"/>
    <w:rsid w:val="00FF1E38"/>
    <w:rsid w:val="00FF20EF"/>
    <w:rsid w:val="00FF2BFC"/>
    <w:rsid w:val="00FF2DEC"/>
    <w:rsid w:val="00FF338A"/>
    <w:rsid w:val="00FF4252"/>
    <w:rsid w:val="00FF48F0"/>
    <w:rsid w:val="00FF4B06"/>
    <w:rsid w:val="00FF4C7D"/>
    <w:rsid w:val="00FF57DE"/>
    <w:rsid w:val="00FF5C48"/>
    <w:rsid w:val="00FF5DAC"/>
    <w:rsid w:val="00FF642D"/>
    <w:rsid w:val="00FF6D7E"/>
    <w:rsid w:val="00FF6EE9"/>
    <w:rsid w:val="00FF7BD3"/>
    <w:rsid w:val="01070D5B"/>
    <w:rsid w:val="012B4701"/>
    <w:rsid w:val="016519C1"/>
    <w:rsid w:val="022C0730"/>
    <w:rsid w:val="029055F2"/>
    <w:rsid w:val="03256A6C"/>
    <w:rsid w:val="04042D0E"/>
    <w:rsid w:val="0457395D"/>
    <w:rsid w:val="049A1135"/>
    <w:rsid w:val="04F62CC6"/>
    <w:rsid w:val="04F75026"/>
    <w:rsid w:val="0627537E"/>
    <w:rsid w:val="063F1B74"/>
    <w:rsid w:val="06511BDB"/>
    <w:rsid w:val="06D67F4E"/>
    <w:rsid w:val="079C68A2"/>
    <w:rsid w:val="07FB4E2D"/>
    <w:rsid w:val="08790225"/>
    <w:rsid w:val="08FF1C4F"/>
    <w:rsid w:val="09026AD0"/>
    <w:rsid w:val="099C4F73"/>
    <w:rsid w:val="0A6D12FD"/>
    <w:rsid w:val="0AA25E42"/>
    <w:rsid w:val="0AE915AD"/>
    <w:rsid w:val="0C5504D1"/>
    <w:rsid w:val="0CE17CCE"/>
    <w:rsid w:val="0DE528B2"/>
    <w:rsid w:val="0E153F87"/>
    <w:rsid w:val="0E4210EA"/>
    <w:rsid w:val="0F3906E3"/>
    <w:rsid w:val="0FB331CF"/>
    <w:rsid w:val="10220782"/>
    <w:rsid w:val="10945E1E"/>
    <w:rsid w:val="1104788D"/>
    <w:rsid w:val="117D7491"/>
    <w:rsid w:val="12257ED3"/>
    <w:rsid w:val="124021EA"/>
    <w:rsid w:val="134F56BC"/>
    <w:rsid w:val="13B06731"/>
    <w:rsid w:val="15727405"/>
    <w:rsid w:val="15D14E87"/>
    <w:rsid w:val="15E2164D"/>
    <w:rsid w:val="1655529B"/>
    <w:rsid w:val="16D276A1"/>
    <w:rsid w:val="170A0AC1"/>
    <w:rsid w:val="171B2DF6"/>
    <w:rsid w:val="17F024A2"/>
    <w:rsid w:val="1852322F"/>
    <w:rsid w:val="19707ECA"/>
    <w:rsid w:val="198F32D7"/>
    <w:rsid w:val="19982807"/>
    <w:rsid w:val="19DD4C7B"/>
    <w:rsid w:val="1ADD2620"/>
    <w:rsid w:val="1AF27DCA"/>
    <w:rsid w:val="1CA96AFA"/>
    <w:rsid w:val="1CF3211F"/>
    <w:rsid w:val="1EB3776D"/>
    <w:rsid w:val="1F0505AA"/>
    <w:rsid w:val="1F99438F"/>
    <w:rsid w:val="201723F5"/>
    <w:rsid w:val="218B0FE2"/>
    <w:rsid w:val="21DE15EF"/>
    <w:rsid w:val="21FB5F9F"/>
    <w:rsid w:val="232C7925"/>
    <w:rsid w:val="233A68EF"/>
    <w:rsid w:val="23C32EA5"/>
    <w:rsid w:val="240B2444"/>
    <w:rsid w:val="25581A1E"/>
    <w:rsid w:val="25F42177"/>
    <w:rsid w:val="26325A66"/>
    <w:rsid w:val="28100C39"/>
    <w:rsid w:val="296D4414"/>
    <w:rsid w:val="299A404E"/>
    <w:rsid w:val="2BA04E22"/>
    <w:rsid w:val="2C9D7EF2"/>
    <w:rsid w:val="2CB10376"/>
    <w:rsid w:val="2CB25CAD"/>
    <w:rsid w:val="2CE518DA"/>
    <w:rsid w:val="2D7B4600"/>
    <w:rsid w:val="2DAA682A"/>
    <w:rsid w:val="2E906696"/>
    <w:rsid w:val="30D27BFF"/>
    <w:rsid w:val="315A3AB0"/>
    <w:rsid w:val="31627594"/>
    <w:rsid w:val="316A0959"/>
    <w:rsid w:val="32336DA8"/>
    <w:rsid w:val="343F7577"/>
    <w:rsid w:val="350D28DD"/>
    <w:rsid w:val="36190749"/>
    <w:rsid w:val="362476E7"/>
    <w:rsid w:val="365F6866"/>
    <w:rsid w:val="36E42F24"/>
    <w:rsid w:val="375A306E"/>
    <w:rsid w:val="3779394E"/>
    <w:rsid w:val="37AC6F13"/>
    <w:rsid w:val="382471D8"/>
    <w:rsid w:val="386701FE"/>
    <w:rsid w:val="38C36302"/>
    <w:rsid w:val="395E279D"/>
    <w:rsid w:val="398639DA"/>
    <w:rsid w:val="399E016A"/>
    <w:rsid w:val="39AB2C49"/>
    <w:rsid w:val="39CC5CA5"/>
    <w:rsid w:val="39E84962"/>
    <w:rsid w:val="3A1F2107"/>
    <w:rsid w:val="3A6A3C67"/>
    <w:rsid w:val="3B514788"/>
    <w:rsid w:val="3B850AC5"/>
    <w:rsid w:val="3C691664"/>
    <w:rsid w:val="3CC77C92"/>
    <w:rsid w:val="3CD10763"/>
    <w:rsid w:val="3D1141CF"/>
    <w:rsid w:val="3D5C5A64"/>
    <w:rsid w:val="3DC101DC"/>
    <w:rsid w:val="3E6A1E9A"/>
    <w:rsid w:val="3EC740AE"/>
    <w:rsid w:val="3EF26852"/>
    <w:rsid w:val="40463AB2"/>
    <w:rsid w:val="408C6AF0"/>
    <w:rsid w:val="40B125C4"/>
    <w:rsid w:val="4105127D"/>
    <w:rsid w:val="414E5934"/>
    <w:rsid w:val="414F1CE3"/>
    <w:rsid w:val="415A3C6B"/>
    <w:rsid w:val="41AE4EAF"/>
    <w:rsid w:val="423701A9"/>
    <w:rsid w:val="428B3060"/>
    <w:rsid w:val="42C7370C"/>
    <w:rsid w:val="42ED4682"/>
    <w:rsid w:val="431E13F4"/>
    <w:rsid w:val="438B5E28"/>
    <w:rsid w:val="43B70AA5"/>
    <w:rsid w:val="43CC3F57"/>
    <w:rsid w:val="446975B0"/>
    <w:rsid w:val="44E9142E"/>
    <w:rsid w:val="450767A6"/>
    <w:rsid w:val="45927683"/>
    <w:rsid w:val="474437DB"/>
    <w:rsid w:val="48B5750F"/>
    <w:rsid w:val="48BD578B"/>
    <w:rsid w:val="4915618A"/>
    <w:rsid w:val="4936230A"/>
    <w:rsid w:val="496E3E68"/>
    <w:rsid w:val="49BF569E"/>
    <w:rsid w:val="4A44148A"/>
    <w:rsid w:val="4A9D5667"/>
    <w:rsid w:val="4ABE2425"/>
    <w:rsid w:val="4AF313B8"/>
    <w:rsid w:val="4C63224B"/>
    <w:rsid w:val="4C9902DE"/>
    <w:rsid w:val="4CBD5F40"/>
    <w:rsid w:val="4E72713C"/>
    <w:rsid w:val="4EC71947"/>
    <w:rsid w:val="4EF67F74"/>
    <w:rsid w:val="4FA73922"/>
    <w:rsid w:val="4FD429BA"/>
    <w:rsid w:val="52020133"/>
    <w:rsid w:val="52394B8E"/>
    <w:rsid w:val="525A4C06"/>
    <w:rsid w:val="52846B32"/>
    <w:rsid w:val="52FF2013"/>
    <w:rsid w:val="54756B99"/>
    <w:rsid w:val="566E6A89"/>
    <w:rsid w:val="57A04D4E"/>
    <w:rsid w:val="59CD78E2"/>
    <w:rsid w:val="59F91C8A"/>
    <w:rsid w:val="5A082F03"/>
    <w:rsid w:val="5A0A5BA3"/>
    <w:rsid w:val="5A7B5AE7"/>
    <w:rsid w:val="5A89391C"/>
    <w:rsid w:val="5C537D94"/>
    <w:rsid w:val="5EF86B45"/>
    <w:rsid w:val="5F2E53A7"/>
    <w:rsid w:val="60445D2B"/>
    <w:rsid w:val="60C35633"/>
    <w:rsid w:val="622A255E"/>
    <w:rsid w:val="62352B74"/>
    <w:rsid w:val="62F31AFE"/>
    <w:rsid w:val="63401284"/>
    <w:rsid w:val="637D586B"/>
    <w:rsid w:val="63A30F39"/>
    <w:rsid w:val="63DE2FB6"/>
    <w:rsid w:val="656960A7"/>
    <w:rsid w:val="65FF6A62"/>
    <w:rsid w:val="660F392F"/>
    <w:rsid w:val="684F2AD7"/>
    <w:rsid w:val="6885769C"/>
    <w:rsid w:val="68B2354E"/>
    <w:rsid w:val="68BF2482"/>
    <w:rsid w:val="68CD27E4"/>
    <w:rsid w:val="68D32ACA"/>
    <w:rsid w:val="69347DA2"/>
    <w:rsid w:val="69531548"/>
    <w:rsid w:val="6B0D0B90"/>
    <w:rsid w:val="6BA505A7"/>
    <w:rsid w:val="6C8568E0"/>
    <w:rsid w:val="6D3C22F3"/>
    <w:rsid w:val="6E7100B0"/>
    <w:rsid w:val="6EC55B40"/>
    <w:rsid w:val="6ED722D3"/>
    <w:rsid w:val="6FB371C8"/>
    <w:rsid w:val="70763D6E"/>
    <w:rsid w:val="70AE6D6B"/>
    <w:rsid w:val="70FB0888"/>
    <w:rsid w:val="711523CD"/>
    <w:rsid w:val="724F27D3"/>
    <w:rsid w:val="73FF59A1"/>
    <w:rsid w:val="74207BDF"/>
    <w:rsid w:val="752A3C63"/>
    <w:rsid w:val="759440A8"/>
    <w:rsid w:val="75D837BA"/>
    <w:rsid w:val="7606432D"/>
    <w:rsid w:val="76571146"/>
    <w:rsid w:val="76B07CC5"/>
    <w:rsid w:val="77866F8C"/>
    <w:rsid w:val="788052B3"/>
    <w:rsid w:val="78D44C99"/>
    <w:rsid w:val="79AC155B"/>
    <w:rsid w:val="79E61F64"/>
    <w:rsid w:val="7A2478D5"/>
    <w:rsid w:val="7A8C4B1E"/>
    <w:rsid w:val="7ABB3FE8"/>
    <w:rsid w:val="7B384E18"/>
    <w:rsid w:val="7B4B5C2E"/>
    <w:rsid w:val="7C4E5F17"/>
    <w:rsid w:val="7C987E8D"/>
    <w:rsid w:val="7CC919D8"/>
    <w:rsid w:val="7DA243F4"/>
    <w:rsid w:val="7DDD290B"/>
    <w:rsid w:val="7EAB07F1"/>
    <w:rsid w:val="7F3C0728"/>
    <w:rsid w:val="7F765924"/>
    <w:rsid w:val="7F98382B"/>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qFormat="1"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qFormat/>
    <w:uiPriority w:val="0"/>
    <w:pPr>
      <w:keepNext/>
      <w:keepLines/>
      <w:spacing w:before="120" w:after="120"/>
      <w:jc w:val="center"/>
      <w:outlineLvl w:val="0"/>
    </w:pPr>
    <w:rPr>
      <w:b/>
      <w:spacing w:val="20"/>
      <w:kern w:val="44"/>
      <w:sz w:val="32"/>
    </w:rPr>
  </w:style>
  <w:style w:type="paragraph" w:styleId="4">
    <w:name w:val="heading 2"/>
    <w:basedOn w:val="1"/>
    <w:next w:val="1"/>
    <w:link w:val="70"/>
    <w:qFormat/>
    <w:uiPriority w:val="0"/>
    <w:pPr>
      <w:keepNext/>
      <w:keepLines/>
      <w:spacing w:line="400" w:lineRule="exact"/>
      <w:jc w:val="center"/>
      <w:outlineLvl w:val="1"/>
    </w:pPr>
    <w:rPr>
      <w:rFonts w:ascii="Arial" w:hAnsi="Arial"/>
      <w:b/>
      <w:kern w:val="0"/>
      <w:sz w:val="30"/>
    </w:rPr>
  </w:style>
  <w:style w:type="paragraph" w:styleId="5">
    <w:name w:val="heading 3"/>
    <w:basedOn w:val="1"/>
    <w:link w:val="64"/>
    <w:qFormat/>
    <w:uiPriority w:val="0"/>
    <w:pPr>
      <w:keepNext/>
      <w:keepLines/>
      <w:spacing w:before="60" w:after="60" w:line="500" w:lineRule="exact"/>
      <w:ind w:firstLine="510"/>
      <w:outlineLvl w:val="2"/>
    </w:pPr>
    <w:rPr>
      <w:rFonts w:ascii="宋体"/>
      <w:b/>
      <w:sz w:val="24"/>
    </w:rPr>
  </w:style>
  <w:style w:type="paragraph" w:styleId="6">
    <w:name w:val="heading 4"/>
    <w:basedOn w:val="1"/>
    <w:next w:val="1"/>
    <w:link w:val="7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2"/>
    <w:qFormat/>
    <w:uiPriority w:val="0"/>
    <w:pPr>
      <w:keepNext/>
      <w:jc w:val="center"/>
      <w:outlineLvl w:val="4"/>
    </w:pPr>
    <w:rPr>
      <w:rFonts w:ascii="仿宋_GB2312" w:eastAsia="仿宋_GB2312"/>
      <w:b/>
      <w:bCs/>
      <w:sz w:val="24"/>
    </w:rPr>
  </w:style>
  <w:style w:type="paragraph" w:styleId="8">
    <w:name w:val="heading 6"/>
    <w:basedOn w:val="1"/>
    <w:next w:val="1"/>
    <w:link w:val="73"/>
    <w:qFormat/>
    <w:uiPriority w:val="0"/>
    <w:pPr>
      <w:keepNext/>
      <w:keepLines/>
      <w:widowControl/>
      <w:numPr>
        <w:ilvl w:val="5"/>
        <w:numId w:val="1"/>
      </w:numPr>
      <w:tabs>
        <w:tab w:val="left" w:pos="1440"/>
      </w:tabs>
      <w:spacing w:before="240" w:after="64" w:line="317" w:lineRule="auto"/>
      <w:jc w:val="left"/>
      <w:outlineLvl w:val="5"/>
    </w:pPr>
    <w:rPr>
      <w:rFonts w:ascii="Arial" w:hAnsi="Arial" w:eastAsia="黑体"/>
      <w:b/>
      <w:bCs/>
      <w:kern w:val="0"/>
      <w:sz w:val="24"/>
      <w:szCs w:val="24"/>
    </w:rPr>
  </w:style>
  <w:style w:type="paragraph" w:styleId="9">
    <w:name w:val="heading 7"/>
    <w:basedOn w:val="1"/>
    <w:next w:val="1"/>
    <w:link w:val="74"/>
    <w:qFormat/>
    <w:uiPriority w:val="0"/>
    <w:pPr>
      <w:keepNext/>
      <w:keepLines/>
      <w:widowControl/>
      <w:tabs>
        <w:tab w:val="left" w:pos="2520"/>
        <w:tab w:val="left" w:pos="3472"/>
      </w:tabs>
      <w:spacing w:before="240" w:after="64" w:line="317" w:lineRule="auto"/>
      <w:ind w:left="3472" w:hanging="420"/>
      <w:jc w:val="left"/>
      <w:outlineLvl w:val="6"/>
    </w:pPr>
    <w:rPr>
      <w:b/>
      <w:bCs/>
      <w:kern w:val="0"/>
      <w:sz w:val="24"/>
      <w:szCs w:val="24"/>
    </w:rPr>
  </w:style>
  <w:style w:type="paragraph" w:styleId="10">
    <w:name w:val="heading 8"/>
    <w:basedOn w:val="1"/>
    <w:next w:val="1"/>
    <w:link w:val="75"/>
    <w:qFormat/>
    <w:uiPriority w:val="0"/>
    <w:pPr>
      <w:keepNext/>
      <w:keepLines/>
      <w:widowControl/>
      <w:tabs>
        <w:tab w:val="left" w:pos="1440"/>
        <w:tab w:val="left" w:pos="3892"/>
      </w:tabs>
      <w:spacing w:before="240" w:after="64" w:line="317" w:lineRule="auto"/>
      <w:ind w:left="3892" w:hanging="420"/>
      <w:jc w:val="left"/>
      <w:outlineLvl w:val="7"/>
    </w:pPr>
    <w:rPr>
      <w:rFonts w:ascii="Arial" w:hAnsi="Arial" w:eastAsia="黑体"/>
      <w:kern w:val="0"/>
      <w:sz w:val="24"/>
      <w:szCs w:val="24"/>
    </w:rPr>
  </w:style>
  <w:style w:type="paragraph" w:styleId="11">
    <w:name w:val="heading 9"/>
    <w:basedOn w:val="1"/>
    <w:next w:val="1"/>
    <w:link w:val="76"/>
    <w:qFormat/>
    <w:uiPriority w:val="0"/>
    <w:pPr>
      <w:keepNext/>
      <w:keepLines/>
      <w:widowControl/>
      <w:tabs>
        <w:tab w:val="left" w:pos="1584"/>
        <w:tab w:val="left" w:pos="4312"/>
      </w:tabs>
      <w:spacing w:before="240" w:after="64" w:line="317" w:lineRule="auto"/>
      <w:ind w:left="4312" w:hanging="420"/>
      <w:jc w:val="left"/>
      <w:outlineLvl w:val="8"/>
    </w:pPr>
    <w:rPr>
      <w:rFonts w:ascii="Arial" w:hAnsi="Arial" w:eastAsia="黑体"/>
      <w:kern w:val="0"/>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macro"/>
    <w:link w:val="17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12">
    <w:name w:val="List 3"/>
    <w:basedOn w:val="1"/>
    <w:qFormat/>
    <w:uiPriority w:val="0"/>
    <w:pPr>
      <w:ind w:left="100" w:leftChars="400" w:hanging="200" w:hangingChars="200"/>
    </w:pPr>
    <w:rPr>
      <w:szCs w:val="24"/>
    </w:rPr>
  </w:style>
  <w:style w:type="paragraph" w:styleId="13">
    <w:name w:val="toc 7"/>
    <w:basedOn w:val="1"/>
    <w:next w:val="1"/>
    <w:qFormat/>
    <w:uiPriority w:val="39"/>
    <w:pPr>
      <w:ind w:left="1260"/>
      <w:jc w:val="left"/>
    </w:pPr>
    <w:rPr>
      <w:rFonts w:asciiTheme="minorHAnsi" w:hAnsiTheme="minorHAnsi" w:cstheme="minorHAnsi"/>
      <w:sz w:val="18"/>
      <w:szCs w:val="18"/>
    </w:rPr>
  </w:style>
  <w:style w:type="paragraph" w:styleId="14">
    <w:name w:val="Normal Indent"/>
    <w:basedOn w:val="1"/>
    <w:link w:val="69"/>
    <w:qFormat/>
    <w:uiPriority w:val="0"/>
    <w:pPr>
      <w:ind w:firstLine="420"/>
    </w:pPr>
  </w:style>
  <w:style w:type="paragraph" w:styleId="15">
    <w:name w:val="caption"/>
    <w:basedOn w:val="1"/>
    <w:next w:val="1"/>
    <w:link w:val="382"/>
    <w:qFormat/>
    <w:uiPriority w:val="0"/>
    <w:rPr>
      <w:rFonts w:ascii="Arial" w:hAnsi="Arial" w:eastAsia="黑体" w:cs="Arial"/>
      <w:sz w:val="20"/>
    </w:rPr>
  </w:style>
  <w:style w:type="paragraph" w:styleId="16">
    <w:name w:val="List Bullet"/>
    <w:basedOn w:val="1"/>
    <w:qFormat/>
    <w:uiPriority w:val="0"/>
    <w:pPr>
      <w:tabs>
        <w:tab w:val="left" w:pos="360"/>
        <w:tab w:val="left" w:pos="432"/>
      </w:tabs>
      <w:ind w:left="432" w:hanging="432"/>
    </w:pPr>
    <w:rPr>
      <w:szCs w:val="24"/>
    </w:rPr>
  </w:style>
  <w:style w:type="paragraph" w:styleId="17">
    <w:name w:val="Document Map"/>
    <w:basedOn w:val="1"/>
    <w:next w:val="18"/>
    <w:link w:val="116"/>
    <w:qFormat/>
    <w:uiPriority w:val="0"/>
    <w:pPr>
      <w:shd w:val="clear" w:color="auto" w:fill="000080"/>
    </w:pPr>
  </w:style>
  <w:style w:type="paragraph" w:styleId="18">
    <w:name w:val="Block Text"/>
    <w:basedOn w:val="1"/>
    <w:qFormat/>
    <w:uiPriority w:val="0"/>
    <w:pPr>
      <w:widowControl/>
      <w:spacing w:after="120"/>
      <w:ind w:left="1440" w:leftChars="700" w:right="1440" w:rightChars="700"/>
      <w:jc w:val="left"/>
    </w:pPr>
    <w:rPr>
      <w:kern w:val="0"/>
      <w:sz w:val="20"/>
    </w:rPr>
  </w:style>
  <w:style w:type="paragraph" w:styleId="19">
    <w:name w:val="toa heading"/>
    <w:basedOn w:val="1"/>
    <w:next w:val="1"/>
    <w:qFormat/>
    <w:uiPriority w:val="0"/>
    <w:pPr>
      <w:spacing w:before="120"/>
    </w:pPr>
    <w:rPr>
      <w:rFonts w:ascii="Arial" w:hAnsi="Arial" w:cs="Arial"/>
      <w:sz w:val="24"/>
      <w:szCs w:val="24"/>
    </w:rPr>
  </w:style>
  <w:style w:type="paragraph" w:styleId="20">
    <w:name w:val="annotation text"/>
    <w:basedOn w:val="1"/>
    <w:link w:val="142"/>
    <w:unhideWhenUsed/>
    <w:qFormat/>
    <w:uiPriority w:val="99"/>
    <w:pPr>
      <w:jc w:val="left"/>
    </w:pPr>
  </w:style>
  <w:style w:type="paragraph" w:styleId="21">
    <w:name w:val="Body Text 3"/>
    <w:basedOn w:val="1"/>
    <w:link w:val="175"/>
    <w:qFormat/>
    <w:uiPriority w:val="0"/>
    <w:pPr>
      <w:widowControl/>
      <w:spacing w:after="120"/>
      <w:jc w:val="left"/>
    </w:pPr>
    <w:rPr>
      <w:kern w:val="0"/>
      <w:sz w:val="16"/>
      <w:szCs w:val="16"/>
    </w:rPr>
  </w:style>
  <w:style w:type="paragraph" w:styleId="22">
    <w:name w:val="Body Text"/>
    <w:basedOn w:val="1"/>
    <w:next w:val="1"/>
    <w:link w:val="125"/>
    <w:qFormat/>
    <w:uiPriority w:val="0"/>
    <w:pPr>
      <w:adjustRightInd w:val="0"/>
      <w:spacing w:line="440" w:lineRule="exact"/>
    </w:pPr>
    <w:rPr>
      <w:rFonts w:ascii="宋体" w:hAnsi="宋体"/>
      <w:bCs/>
      <w:color w:val="000000"/>
      <w:sz w:val="24"/>
    </w:rPr>
  </w:style>
  <w:style w:type="paragraph" w:styleId="23">
    <w:name w:val="Body Text Indent"/>
    <w:basedOn w:val="1"/>
    <w:link w:val="127"/>
    <w:qFormat/>
    <w:uiPriority w:val="0"/>
    <w:pPr>
      <w:spacing w:line="460" w:lineRule="exact"/>
      <w:ind w:firstLine="510"/>
    </w:pPr>
  </w:style>
  <w:style w:type="paragraph" w:styleId="24">
    <w:name w:val="List 2"/>
    <w:basedOn w:val="1"/>
    <w:qFormat/>
    <w:uiPriority w:val="0"/>
    <w:pPr>
      <w:ind w:left="100" w:leftChars="200" w:hanging="200" w:hangingChars="200"/>
    </w:pPr>
    <w:rPr>
      <w:szCs w:val="24"/>
    </w:rPr>
  </w:style>
  <w:style w:type="paragraph" w:styleId="25">
    <w:name w:val="index 4"/>
    <w:basedOn w:val="1"/>
    <w:next w:val="1"/>
    <w:unhideWhenUsed/>
    <w:qFormat/>
    <w:uiPriority w:val="99"/>
    <w:pPr>
      <w:ind w:left="600" w:leftChars="600"/>
    </w:pPr>
    <w:rPr>
      <w:szCs w:val="24"/>
    </w:rPr>
  </w:style>
  <w:style w:type="paragraph" w:styleId="26">
    <w:name w:val="toc 5"/>
    <w:basedOn w:val="1"/>
    <w:next w:val="1"/>
    <w:qFormat/>
    <w:uiPriority w:val="39"/>
    <w:pPr>
      <w:ind w:left="840"/>
      <w:jc w:val="left"/>
    </w:pPr>
    <w:rPr>
      <w:rFonts w:asciiTheme="minorHAnsi" w:hAnsiTheme="minorHAnsi" w:cstheme="minorHAnsi"/>
      <w:sz w:val="18"/>
      <w:szCs w:val="18"/>
    </w:rPr>
  </w:style>
  <w:style w:type="paragraph" w:styleId="27">
    <w:name w:val="toc 3"/>
    <w:basedOn w:val="1"/>
    <w:next w:val="1"/>
    <w:qFormat/>
    <w:uiPriority w:val="39"/>
    <w:pPr>
      <w:ind w:left="420"/>
      <w:jc w:val="left"/>
    </w:pPr>
    <w:rPr>
      <w:rFonts w:asciiTheme="minorHAnsi" w:hAnsiTheme="minorHAnsi" w:cstheme="minorHAnsi"/>
      <w:i/>
      <w:iCs/>
      <w:sz w:val="20"/>
    </w:rPr>
  </w:style>
  <w:style w:type="paragraph" w:styleId="28">
    <w:name w:val="Plain Text"/>
    <w:basedOn w:val="1"/>
    <w:link w:val="77"/>
    <w:qFormat/>
    <w:uiPriority w:val="99"/>
    <w:rPr>
      <w:rFonts w:ascii="宋体" w:hAnsi="Courier New"/>
    </w:rPr>
  </w:style>
  <w:style w:type="paragraph" w:styleId="29">
    <w:name w:val="toc 8"/>
    <w:basedOn w:val="1"/>
    <w:next w:val="1"/>
    <w:qFormat/>
    <w:uiPriority w:val="39"/>
    <w:pPr>
      <w:ind w:left="1470"/>
      <w:jc w:val="left"/>
    </w:pPr>
    <w:rPr>
      <w:rFonts w:asciiTheme="minorHAnsi" w:hAnsiTheme="minorHAnsi" w:cstheme="minorHAnsi"/>
      <w:sz w:val="18"/>
      <w:szCs w:val="18"/>
    </w:rPr>
  </w:style>
  <w:style w:type="paragraph" w:styleId="30">
    <w:name w:val="Date"/>
    <w:basedOn w:val="1"/>
    <w:next w:val="1"/>
    <w:link w:val="80"/>
    <w:qFormat/>
    <w:uiPriority w:val="0"/>
    <w:pPr>
      <w:ind w:left="100" w:leftChars="2500"/>
    </w:pPr>
    <w:rPr>
      <w:rFonts w:eastAsia="楷体_GB2312"/>
      <w:sz w:val="48"/>
      <w:szCs w:val="24"/>
    </w:rPr>
  </w:style>
  <w:style w:type="paragraph" w:styleId="31">
    <w:name w:val="Body Text Indent 2"/>
    <w:basedOn w:val="1"/>
    <w:link w:val="101"/>
    <w:qFormat/>
    <w:uiPriority w:val="0"/>
    <w:pPr>
      <w:spacing w:line="500" w:lineRule="exact"/>
      <w:ind w:firstLine="510"/>
    </w:pPr>
    <w:rPr>
      <w:rFonts w:ascii="宋体"/>
      <w:sz w:val="24"/>
    </w:rPr>
  </w:style>
  <w:style w:type="paragraph" w:styleId="32">
    <w:name w:val="Balloon Text"/>
    <w:basedOn w:val="1"/>
    <w:link w:val="124"/>
    <w:qFormat/>
    <w:uiPriority w:val="99"/>
    <w:rPr>
      <w:sz w:val="18"/>
      <w:szCs w:val="18"/>
    </w:rPr>
  </w:style>
  <w:style w:type="paragraph" w:styleId="33">
    <w:name w:val="footer"/>
    <w:basedOn w:val="1"/>
    <w:link w:val="133"/>
    <w:qFormat/>
    <w:uiPriority w:val="0"/>
    <w:pPr>
      <w:tabs>
        <w:tab w:val="center" w:pos="4153"/>
        <w:tab w:val="right" w:pos="8306"/>
      </w:tabs>
      <w:snapToGrid w:val="0"/>
      <w:jc w:val="left"/>
    </w:pPr>
    <w:rPr>
      <w:sz w:val="18"/>
    </w:rPr>
  </w:style>
  <w:style w:type="paragraph" w:styleId="34">
    <w:name w:val="header"/>
    <w:basedOn w:val="1"/>
    <w:link w:val="115"/>
    <w:qFormat/>
    <w:uiPriority w:val="0"/>
    <w:pPr>
      <w:pBdr>
        <w:bottom w:val="single" w:color="auto" w:sz="6" w:space="1"/>
      </w:pBdr>
      <w:tabs>
        <w:tab w:val="center" w:pos="4153"/>
        <w:tab w:val="right" w:pos="8306"/>
      </w:tabs>
      <w:snapToGrid w:val="0"/>
      <w:jc w:val="center"/>
    </w:pPr>
    <w:rPr>
      <w:sz w:val="18"/>
    </w:rPr>
  </w:style>
  <w:style w:type="paragraph" w:styleId="35">
    <w:name w:val="toc 1"/>
    <w:basedOn w:val="36"/>
    <w:next w:val="1"/>
    <w:qFormat/>
    <w:uiPriority w:val="39"/>
    <w:pPr>
      <w:spacing w:before="120" w:after="120"/>
      <w:jc w:val="left"/>
    </w:pPr>
    <w:rPr>
      <w:rFonts w:asciiTheme="minorHAnsi" w:hAnsiTheme="minorHAnsi" w:cstheme="minorHAnsi"/>
      <w:b/>
      <w:bCs/>
      <w:caps/>
      <w:sz w:val="20"/>
    </w:rPr>
  </w:style>
  <w:style w:type="paragraph" w:styleId="36">
    <w:name w:val="index 1"/>
    <w:basedOn w:val="1"/>
    <w:next w:val="1"/>
    <w:qFormat/>
    <w:uiPriority w:val="0"/>
    <w:rPr>
      <w:rFonts w:ascii="宋体" w:hAnsi="宋体"/>
      <w:sz w:val="24"/>
      <w:szCs w:val="24"/>
    </w:rPr>
  </w:style>
  <w:style w:type="paragraph" w:styleId="37">
    <w:name w:val="toc 4"/>
    <w:basedOn w:val="1"/>
    <w:next w:val="1"/>
    <w:qFormat/>
    <w:uiPriority w:val="39"/>
    <w:pPr>
      <w:ind w:left="630"/>
      <w:jc w:val="left"/>
    </w:pPr>
    <w:rPr>
      <w:rFonts w:asciiTheme="minorHAnsi" w:hAnsiTheme="minorHAnsi" w:cstheme="minorHAnsi"/>
      <w:sz w:val="18"/>
      <w:szCs w:val="18"/>
    </w:rPr>
  </w:style>
  <w:style w:type="paragraph" w:styleId="38">
    <w:name w:val="Subtitle"/>
    <w:basedOn w:val="1"/>
    <w:next w:val="1"/>
    <w:link w:val="287"/>
    <w:qFormat/>
    <w:uiPriority w:val="99"/>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ind w:left="200" w:hanging="200" w:hangingChars="200"/>
    </w:pPr>
    <w:rPr>
      <w:szCs w:val="24"/>
    </w:rPr>
  </w:style>
  <w:style w:type="paragraph" w:styleId="40">
    <w:name w:val="footnote text"/>
    <w:basedOn w:val="1"/>
    <w:link w:val="249"/>
    <w:qFormat/>
    <w:uiPriority w:val="0"/>
    <w:pPr>
      <w:snapToGrid w:val="0"/>
      <w:jc w:val="left"/>
    </w:pPr>
    <w:rPr>
      <w:sz w:val="18"/>
      <w:szCs w:val="18"/>
    </w:rPr>
  </w:style>
  <w:style w:type="paragraph" w:styleId="41">
    <w:name w:val="toc 6"/>
    <w:basedOn w:val="1"/>
    <w:next w:val="1"/>
    <w:qFormat/>
    <w:uiPriority w:val="39"/>
    <w:pPr>
      <w:ind w:left="1050"/>
      <w:jc w:val="left"/>
    </w:pPr>
    <w:rPr>
      <w:rFonts w:asciiTheme="minorHAnsi" w:hAnsiTheme="minorHAnsi" w:cstheme="minorHAnsi"/>
      <w:sz w:val="18"/>
      <w:szCs w:val="18"/>
    </w:rPr>
  </w:style>
  <w:style w:type="paragraph" w:styleId="42">
    <w:name w:val="List 5"/>
    <w:next w:val="35"/>
    <w:unhideWhenUsed/>
    <w:qFormat/>
    <w:uiPriority w:val="0"/>
    <w:pPr>
      <w:widowControl w:val="0"/>
      <w:ind w:left="2100" w:hanging="420"/>
      <w:jc w:val="both"/>
    </w:pPr>
    <w:rPr>
      <w:rFonts w:ascii="Calibri" w:hAnsi="Calibri" w:eastAsia="宋体" w:cs="Times New Roman"/>
      <w:kern w:val="2"/>
      <w:sz w:val="21"/>
      <w:szCs w:val="22"/>
      <w:lang w:val="en-US" w:eastAsia="zh-CN" w:bidi="ar-SA"/>
    </w:rPr>
  </w:style>
  <w:style w:type="paragraph" w:styleId="43">
    <w:name w:val="Body Text Indent 3"/>
    <w:basedOn w:val="1"/>
    <w:link w:val="110"/>
    <w:qFormat/>
    <w:uiPriority w:val="0"/>
    <w:pPr>
      <w:spacing w:line="360" w:lineRule="auto"/>
      <w:ind w:firstLine="480" w:firstLineChars="200"/>
    </w:pPr>
    <w:rPr>
      <w:sz w:val="24"/>
      <w:szCs w:val="24"/>
    </w:rPr>
  </w:style>
  <w:style w:type="paragraph" w:styleId="44">
    <w:name w:val="toc 2"/>
    <w:basedOn w:val="1"/>
    <w:next w:val="1"/>
    <w:link w:val="114"/>
    <w:qFormat/>
    <w:uiPriority w:val="39"/>
    <w:pPr>
      <w:ind w:left="210"/>
      <w:jc w:val="left"/>
    </w:pPr>
    <w:rPr>
      <w:rFonts w:asciiTheme="minorHAnsi" w:hAnsiTheme="minorHAnsi" w:cstheme="minorHAnsi"/>
      <w:smallCaps/>
      <w:sz w:val="20"/>
    </w:rPr>
  </w:style>
  <w:style w:type="paragraph" w:styleId="45">
    <w:name w:val="toc 9"/>
    <w:basedOn w:val="1"/>
    <w:next w:val="1"/>
    <w:qFormat/>
    <w:uiPriority w:val="39"/>
    <w:pPr>
      <w:ind w:left="1680"/>
      <w:jc w:val="left"/>
    </w:pPr>
    <w:rPr>
      <w:rFonts w:asciiTheme="minorHAnsi" w:hAnsiTheme="minorHAnsi" w:cstheme="minorHAnsi"/>
      <w:sz w:val="18"/>
      <w:szCs w:val="18"/>
    </w:rPr>
  </w:style>
  <w:style w:type="paragraph" w:styleId="46">
    <w:name w:val="Body Text 2"/>
    <w:basedOn w:val="1"/>
    <w:link w:val="105"/>
    <w:qFormat/>
    <w:uiPriority w:val="0"/>
    <w:pPr>
      <w:spacing w:before="360"/>
    </w:pPr>
    <w:rPr>
      <w:rFonts w:ascii="仿宋_GB2312" w:eastAsia="仿宋_GB2312"/>
      <w:b/>
      <w:color w:val="000000"/>
      <w:kern w:val="0"/>
      <w:sz w:val="44"/>
    </w:rPr>
  </w:style>
  <w:style w:type="paragraph" w:styleId="47">
    <w:name w:val="List Continue 2"/>
    <w:basedOn w:val="1"/>
    <w:qFormat/>
    <w:uiPriority w:val="0"/>
    <w:pPr>
      <w:spacing w:after="120"/>
      <w:ind w:left="840" w:leftChars="400"/>
    </w:pPr>
    <w:rPr>
      <w:szCs w:val="24"/>
    </w:rPr>
  </w:style>
  <w:style w:type="paragraph" w:styleId="48">
    <w:name w:val="HTML Preformatted"/>
    <w:basedOn w:val="1"/>
    <w:link w:val="12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9">
    <w:name w:val="Normal (Web)"/>
    <w:basedOn w:val="1"/>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50">
    <w:name w:val="Title"/>
    <w:basedOn w:val="1"/>
    <w:link w:val="218"/>
    <w:qFormat/>
    <w:uiPriority w:val="99"/>
    <w:pPr>
      <w:adjustRightInd w:val="0"/>
      <w:spacing w:line="420" w:lineRule="atLeast"/>
      <w:jc w:val="center"/>
      <w:textAlignment w:val="baseline"/>
      <w:outlineLvl w:val="0"/>
    </w:pPr>
    <w:rPr>
      <w:rFonts w:ascii="Arial" w:hAnsi="Arial"/>
      <w:b/>
      <w:kern w:val="0"/>
      <w:sz w:val="32"/>
    </w:rPr>
  </w:style>
  <w:style w:type="paragraph" w:styleId="51">
    <w:name w:val="annotation subject"/>
    <w:basedOn w:val="20"/>
    <w:next w:val="20"/>
    <w:link w:val="143"/>
    <w:unhideWhenUsed/>
    <w:qFormat/>
    <w:uiPriority w:val="0"/>
    <w:rPr>
      <w:b/>
      <w:bCs/>
    </w:rPr>
  </w:style>
  <w:style w:type="paragraph" w:styleId="52">
    <w:name w:val="Body Text First Indent"/>
    <w:basedOn w:val="22"/>
    <w:link w:val="252"/>
    <w:qFormat/>
    <w:uiPriority w:val="0"/>
    <w:pPr>
      <w:adjustRightInd/>
      <w:spacing w:after="120" w:line="360" w:lineRule="auto"/>
      <w:ind w:firstLine="309" w:firstLineChars="100"/>
      <w:outlineLvl w:val="0"/>
    </w:pPr>
    <w:rPr>
      <w:rFonts w:ascii="Times New Roman" w:hAnsi="Times New Roman"/>
      <w:kern w:val="28"/>
      <w:sz w:val="21"/>
      <w:szCs w:val="21"/>
    </w:rPr>
  </w:style>
  <w:style w:type="paragraph" w:styleId="53">
    <w:name w:val="Body Text First Indent 2"/>
    <w:basedOn w:val="23"/>
    <w:link w:val="195"/>
    <w:qFormat/>
    <w:uiPriority w:val="0"/>
    <w:pPr>
      <w:widowControl/>
      <w:spacing w:line="240" w:lineRule="auto"/>
      <w:ind w:firstLine="200" w:firstLineChars="200"/>
      <w:jc w:val="left"/>
    </w:pPr>
    <w:rPr>
      <w:szCs w:val="24"/>
    </w:rPr>
  </w:style>
  <w:style w:type="table" w:styleId="55">
    <w:name w:val="Table Grid"/>
    <w:basedOn w:val="5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99"/>
    <w:rPr>
      <w:rFonts w:ascii="Arial" w:hAnsi="Arial" w:eastAsia="黑体"/>
      <w:color w:val="800080"/>
      <w:kern w:val="2"/>
      <w:sz w:val="21"/>
      <w:szCs w:val="21"/>
      <w:u w:val="single"/>
      <w:lang w:val="en-US" w:eastAsia="zh-CN" w:bidi="ar-SA"/>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basedOn w:val="56"/>
    <w:unhideWhenUsed/>
    <w:qFormat/>
    <w:uiPriority w:val="0"/>
    <w:rPr>
      <w:sz w:val="21"/>
      <w:szCs w:val="21"/>
    </w:rPr>
  </w:style>
  <w:style w:type="character" w:styleId="63">
    <w:name w:val="footnote reference"/>
    <w:qFormat/>
    <w:uiPriority w:val="0"/>
    <w:rPr>
      <w:vertAlign w:val="superscript"/>
    </w:rPr>
  </w:style>
  <w:style w:type="character" w:customStyle="1" w:styleId="64">
    <w:name w:val="标题 3 字符"/>
    <w:link w:val="5"/>
    <w:qFormat/>
    <w:uiPriority w:val="0"/>
    <w:rPr>
      <w:rFonts w:ascii="宋体"/>
      <w:b/>
      <w:kern w:val="2"/>
      <w:sz w:val="24"/>
    </w:rPr>
  </w:style>
  <w:style w:type="paragraph" w:customStyle="1" w:styleId="65">
    <w:name w:val="p0"/>
    <w:basedOn w:val="1"/>
    <w:next w:val="42"/>
    <w:link w:val="326"/>
    <w:qFormat/>
    <w:uiPriority w:val="0"/>
    <w:pPr>
      <w:widowControl/>
    </w:pPr>
    <w:rPr>
      <w:kern w:val="0"/>
      <w:szCs w:val="21"/>
    </w:rPr>
  </w:style>
  <w:style w:type="paragraph" w:customStyle="1" w:styleId="66">
    <w:name w:val="首行缩进"/>
    <w:basedOn w:val="1"/>
    <w:qFormat/>
    <w:uiPriority w:val="0"/>
    <w:pPr>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67">
    <w:name w:val="列出段落1"/>
    <w:qFormat/>
    <w:uiPriority w:val="0"/>
    <w:pPr>
      <w:widowControl w:val="0"/>
      <w:ind w:left="720"/>
      <w:jc w:val="both"/>
    </w:pPr>
    <w:rPr>
      <w:rFonts w:ascii="Times New Roman" w:hAnsi="Times New Roman" w:eastAsia="Times New Roman" w:cs="Times New Roman"/>
      <w:color w:val="000000"/>
      <w:kern w:val="2"/>
      <w:sz w:val="21"/>
      <w:szCs w:val="21"/>
      <w:lang w:val="en-US" w:eastAsia="zh-CN" w:bidi="ar-SA"/>
    </w:rPr>
  </w:style>
  <w:style w:type="character" w:customStyle="1" w:styleId="68">
    <w:name w:val="标题 1 字符"/>
    <w:basedOn w:val="56"/>
    <w:link w:val="3"/>
    <w:qFormat/>
    <w:uiPriority w:val="0"/>
    <w:rPr>
      <w:b/>
      <w:spacing w:val="20"/>
      <w:kern w:val="44"/>
      <w:sz w:val="32"/>
    </w:rPr>
  </w:style>
  <w:style w:type="character" w:customStyle="1" w:styleId="69">
    <w:name w:val="正文缩进 字符"/>
    <w:link w:val="14"/>
    <w:qFormat/>
    <w:uiPriority w:val="0"/>
    <w:rPr>
      <w:rFonts w:eastAsia="宋体"/>
      <w:kern w:val="2"/>
      <w:sz w:val="21"/>
      <w:lang w:val="en-US" w:eastAsia="zh-CN" w:bidi="ar-SA"/>
    </w:rPr>
  </w:style>
  <w:style w:type="character" w:customStyle="1" w:styleId="70">
    <w:name w:val="标题 2 字符"/>
    <w:link w:val="4"/>
    <w:qFormat/>
    <w:uiPriority w:val="0"/>
    <w:rPr>
      <w:rFonts w:ascii="Arial" w:hAnsi="Arial"/>
      <w:b/>
      <w:sz w:val="30"/>
    </w:rPr>
  </w:style>
  <w:style w:type="character" w:customStyle="1" w:styleId="71">
    <w:name w:val="标题 4 字符"/>
    <w:link w:val="6"/>
    <w:qFormat/>
    <w:uiPriority w:val="0"/>
    <w:rPr>
      <w:rFonts w:ascii="Arial" w:hAnsi="Arial" w:eastAsia="黑体"/>
      <w:b/>
      <w:bCs/>
      <w:kern w:val="2"/>
      <w:sz w:val="28"/>
      <w:szCs w:val="28"/>
    </w:rPr>
  </w:style>
  <w:style w:type="character" w:customStyle="1" w:styleId="72">
    <w:name w:val="标题 5 字符"/>
    <w:link w:val="7"/>
    <w:qFormat/>
    <w:uiPriority w:val="0"/>
    <w:rPr>
      <w:rFonts w:ascii="仿宋_GB2312" w:eastAsia="仿宋_GB2312"/>
      <w:b/>
      <w:bCs/>
      <w:kern w:val="2"/>
      <w:sz w:val="24"/>
    </w:rPr>
  </w:style>
  <w:style w:type="character" w:customStyle="1" w:styleId="73">
    <w:name w:val="标题 6 字符"/>
    <w:basedOn w:val="56"/>
    <w:link w:val="8"/>
    <w:qFormat/>
    <w:uiPriority w:val="0"/>
    <w:rPr>
      <w:rFonts w:ascii="Arial" w:hAnsi="Arial" w:eastAsia="黑体"/>
      <w:b/>
      <w:bCs/>
      <w:sz w:val="24"/>
      <w:szCs w:val="24"/>
    </w:rPr>
  </w:style>
  <w:style w:type="character" w:customStyle="1" w:styleId="74">
    <w:name w:val="标题 7 字符"/>
    <w:basedOn w:val="56"/>
    <w:link w:val="9"/>
    <w:qFormat/>
    <w:uiPriority w:val="0"/>
    <w:rPr>
      <w:b/>
      <w:bCs/>
      <w:sz w:val="24"/>
      <w:szCs w:val="24"/>
    </w:rPr>
  </w:style>
  <w:style w:type="character" w:customStyle="1" w:styleId="75">
    <w:name w:val="标题 8 字符"/>
    <w:basedOn w:val="56"/>
    <w:link w:val="10"/>
    <w:qFormat/>
    <w:uiPriority w:val="0"/>
    <w:rPr>
      <w:rFonts w:ascii="Arial" w:hAnsi="Arial" w:eastAsia="黑体"/>
      <w:sz w:val="24"/>
      <w:szCs w:val="24"/>
    </w:rPr>
  </w:style>
  <w:style w:type="character" w:customStyle="1" w:styleId="76">
    <w:name w:val="标题 9 字符"/>
    <w:basedOn w:val="56"/>
    <w:link w:val="11"/>
    <w:qFormat/>
    <w:uiPriority w:val="0"/>
    <w:rPr>
      <w:rFonts w:ascii="Arial" w:hAnsi="Arial" w:eastAsia="黑体"/>
      <w:sz w:val="21"/>
      <w:szCs w:val="21"/>
    </w:rPr>
  </w:style>
  <w:style w:type="character" w:customStyle="1" w:styleId="77">
    <w:name w:val="纯文本 字符"/>
    <w:link w:val="28"/>
    <w:qFormat/>
    <w:uiPriority w:val="99"/>
    <w:rPr>
      <w:rFonts w:ascii="宋体" w:hAnsi="Courier New" w:eastAsia="宋体"/>
      <w:kern w:val="2"/>
      <w:sz w:val="21"/>
      <w:lang w:val="en-US" w:eastAsia="zh-CN" w:bidi="ar-SA"/>
    </w:rPr>
  </w:style>
  <w:style w:type="character" w:customStyle="1" w:styleId="78">
    <w:name w:val="ca-31"/>
    <w:qFormat/>
    <w:uiPriority w:val="99"/>
    <w:rPr>
      <w:rFonts w:ascii="宋体" w:hAnsi="宋体" w:eastAsia="宋体" w:cs="Times New Roman"/>
      <w:color w:val="000000"/>
      <w:sz w:val="28"/>
      <w:szCs w:val="28"/>
    </w:rPr>
  </w:style>
  <w:style w:type="character" w:customStyle="1" w:styleId="79">
    <w:name w:val="纯文本 Char1"/>
    <w:qFormat/>
    <w:uiPriority w:val="0"/>
    <w:rPr>
      <w:rFonts w:ascii="宋体" w:eastAsia="宋体"/>
      <w:szCs w:val="24"/>
      <w:lang w:val="en-US" w:eastAsia="zh-CN" w:bidi="ar-SA"/>
    </w:rPr>
  </w:style>
  <w:style w:type="character" w:customStyle="1" w:styleId="80">
    <w:name w:val="日期 字符"/>
    <w:link w:val="30"/>
    <w:qFormat/>
    <w:locked/>
    <w:uiPriority w:val="0"/>
    <w:rPr>
      <w:rFonts w:eastAsia="楷体_GB2312"/>
      <w:kern w:val="2"/>
      <w:sz w:val="48"/>
      <w:szCs w:val="24"/>
    </w:rPr>
  </w:style>
  <w:style w:type="character" w:customStyle="1" w:styleId="81">
    <w:name w:val="point_normal"/>
    <w:basedOn w:val="56"/>
    <w:qFormat/>
    <w:uiPriority w:val="0"/>
  </w:style>
  <w:style w:type="character" w:customStyle="1" w:styleId="82">
    <w:name w:val="style4 style5"/>
    <w:basedOn w:val="56"/>
    <w:qFormat/>
    <w:uiPriority w:val="0"/>
  </w:style>
  <w:style w:type="character" w:customStyle="1" w:styleId="83">
    <w:name w:val="规划正文 Char Char Char Char"/>
    <w:link w:val="84"/>
    <w:qFormat/>
    <w:uiPriority w:val="0"/>
    <w:rPr>
      <w:rFonts w:eastAsia="宋体"/>
      <w:kern w:val="2"/>
      <w:sz w:val="28"/>
      <w:szCs w:val="28"/>
      <w:lang w:val="en-US" w:eastAsia="zh-CN" w:bidi="ar-SA"/>
    </w:rPr>
  </w:style>
  <w:style w:type="paragraph" w:customStyle="1" w:styleId="84">
    <w:name w:val="规划正文 Char Char"/>
    <w:basedOn w:val="1"/>
    <w:link w:val="83"/>
    <w:qFormat/>
    <w:uiPriority w:val="0"/>
    <w:pPr>
      <w:widowControl/>
      <w:spacing w:line="360" w:lineRule="auto"/>
      <w:ind w:firstLine="200" w:firstLineChars="200"/>
      <w:jc w:val="left"/>
    </w:pPr>
    <w:rPr>
      <w:sz w:val="28"/>
      <w:szCs w:val="28"/>
    </w:rPr>
  </w:style>
  <w:style w:type="character" w:customStyle="1" w:styleId="85">
    <w:name w:val="标题 1 Char Char"/>
    <w:qFormat/>
    <w:uiPriority w:val="0"/>
    <w:rPr>
      <w:rFonts w:eastAsia="宋体"/>
      <w:b/>
      <w:bCs/>
      <w:kern w:val="44"/>
      <w:sz w:val="44"/>
      <w:lang w:val="en-US" w:eastAsia="zh-CN" w:bidi="ar-SA"/>
    </w:rPr>
  </w:style>
  <w:style w:type="character" w:customStyle="1" w:styleId="86">
    <w:name w:val="small1"/>
    <w:qFormat/>
    <w:uiPriority w:val="0"/>
    <w:rPr>
      <w:rFonts w:hint="default" w:ascii="Verdana" w:hAnsi="Verdana"/>
      <w:sz w:val="17"/>
      <w:szCs w:val="17"/>
    </w:rPr>
  </w:style>
  <w:style w:type="character" w:customStyle="1" w:styleId="87">
    <w:name w:val="正文段 Char Char"/>
    <w:link w:val="88"/>
    <w:qFormat/>
    <w:uiPriority w:val="0"/>
    <w:rPr>
      <w:rFonts w:ascii="宋体" w:eastAsia="宋体"/>
      <w:kern w:val="2"/>
      <w:sz w:val="24"/>
      <w:lang w:val="en-US" w:eastAsia="zh-CN" w:bidi="ar-SA"/>
    </w:rPr>
  </w:style>
  <w:style w:type="paragraph" w:customStyle="1" w:styleId="88">
    <w:name w:val="正文段"/>
    <w:basedOn w:val="1"/>
    <w:link w:val="87"/>
    <w:qFormat/>
    <w:uiPriority w:val="0"/>
    <w:pPr>
      <w:snapToGrid w:val="0"/>
      <w:spacing w:after="240" w:line="240" w:lineRule="atLeast"/>
      <w:ind w:firstLine="425"/>
    </w:pPr>
    <w:rPr>
      <w:rFonts w:ascii="宋体"/>
      <w:sz w:val="24"/>
    </w:rPr>
  </w:style>
  <w:style w:type="character" w:customStyle="1" w:styleId="89">
    <w:name w:val="样式 规划正文 Char + 宋体 Char Char"/>
    <w:link w:val="90"/>
    <w:qFormat/>
    <w:uiPriority w:val="0"/>
    <w:rPr>
      <w:rFonts w:ascii="宋体" w:hAnsi="宋体" w:eastAsia="宋体"/>
      <w:kern w:val="2"/>
      <w:sz w:val="28"/>
      <w:szCs w:val="28"/>
      <w:lang w:val="en-US" w:eastAsia="zh-CN" w:bidi="ar-SA"/>
    </w:rPr>
  </w:style>
  <w:style w:type="paragraph" w:customStyle="1" w:styleId="90">
    <w:name w:val="样式 规划正文 Char + 宋体"/>
    <w:basedOn w:val="84"/>
    <w:link w:val="89"/>
    <w:qFormat/>
    <w:uiPriority w:val="0"/>
    <w:rPr>
      <w:rFonts w:ascii="宋体" w:hAnsi="宋体"/>
    </w:rPr>
  </w:style>
  <w:style w:type="character" w:customStyle="1" w:styleId="91">
    <w:name w:val="访问过的超链接1"/>
    <w:qFormat/>
    <w:uiPriority w:val="0"/>
    <w:rPr>
      <w:color w:val="800080"/>
      <w:u w:val="single"/>
    </w:rPr>
  </w:style>
  <w:style w:type="character" w:customStyle="1" w:styleId="92">
    <w:name w:val="p41"/>
    <w:qFormat/>
    <w:uiPriority w:val="0"/>
    <w:rPr>
      <w:rFonts w:hint="eastAsia" w:ascii="宋体" w:hAnsi="宋体" w:eastAsia="宋体"/>
      <w:sz w:val="22"/>
      <w:szCs w:val="22"/>
    </w:rPr>
  </w:style>
  <w:style w:type="character" w:customStyle="1" w:styleId="93">
    <w:name w:val="para"/>
    <w:basedOn w:val="56"/>
    <w:qFormat/>
    <w:uiPriority w:val="0"/>
  </w:style>
  <w:style w:type="character" w:customStyle="1" w:styleId="94">
    <w:name w:val="title_emph"/>
    <w:basedOn w:val="56"/>
    <w:qFormat/>
    <w:uiPriority w:val="0"/>
  </w:style>
  <w:style w:type="character" w:customStyle="1" w:styleId="95">
    <w:name w:val="Char Char2"/>
    <w:qFormat/>
    <w:uiPriority w:val="0"/>
    <w:rPr>
      <w:rFonts w:ascii="宋体" w:eastAsia="宋体"/>
      <w:kern w:val="2"/>
      <w:sz w:val="21"/>
      <w:lang w:val="en-US" w:eastAsia="zh-CN" w:bidi="ar-SA"/>
    </w:rPr>
  </w:style>
  <w:style w:type="character" w:customStyle="1" w:styleId="96">
    <w:name w:val="v151"/>
    <w:qFormat/>
    <w:uiPriority w:val="0"/>
    <w:rPr>
      <w:sz w:val="18"/>
      <w:szCs w:val="18"/>
    </w:rPr>
  </w:style>
  <w:style w:type="paragraph" w:customStyle="1" w:styleId="97">
    <w:name w:val="并列项-点"/>
    <w:basedOn w:val="1"/>
    <w:qFormat/>
    <w:uiPriority w:val="0"/>
    <w:pPr>
      <w:tabs>
        <w:tab w:val="left" w:pos="840"/>
      </w:tabs>
      <w:adjustRightInd w:val="0"/>
      <w:snapToGrid w:val="0"/>
      <w:spacing w:after="120" w:line="360" w:lineRule="exact"/>
      <w:ind w:left="840" w:hanging="480"/>
    </w:pPr>
    <w:rPr>
      <w:rFonts w:eastAsia="仿宋_GB2312"/>
      <w:sz w:val="32"/>
    </w:rPr>
  </w:style>
  <w:style w:type="paragraph" w:customStyle="1" w:styleId="98">
    <w:name w:val="retrait3"/>
    <w:basedOn w:val="1"/>
    <w:qFormat/>
    <w:uiPriority w:val="99"/>
    <w:pPr>
      <w:widowControl/>
      <w:spacing w:before="20" w:after="20"/>
      <w:ind w:left="851"/>
      <w:jc w:val="left"/>
    </w:pPr>
    <w:rPr>
      <w:rFonts w:ascii="Arial" w:hAnsi="Arial"/>
      <w:kern w:val="0"/>
      <w:sz w:val="24"/>
      <w:lang w:val="en-GB"/>
    </w:rPr>
  </w:style>
  <w:style w:type="paragraph" w:customStyle="1" w:styleId="99">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0">
    <w:name w:val="正文 New New New New New New"/>
    <w:qFormat/>
    <w:uiPriority w:val="0"/>
    <w:pPr>
      <w:widowControl w:val="0"/>
      <w:jc w:val="both"/>
    </w:pPr>
    <w:rPr>
      <w:rFonts w:ascii="Calibri" w:hAnsi="Calibri" w:eastAsia="宋体" w:cs="Times New Roman"/>
      <w:kern w:val="2"/>
      <w:sz w:val="21"/>
      <w:szCs w:val="21"/>
      <w:lang w:val="en-US" w:eastAsia="zh-CN" w:bidi="ar-SA"/>
    </w:rPr>
  </w:style>
  <w:style w:type="character" w:customStyle="1" w:styleId="101">
    <w:name w:val="正文文本缩进 2 字符"/>
    <w:basedOn w:val="56"/>
    <w:link w:val="31"/>
    <w:qFormat/>
    <w:uiPriority w:val="0"/>
    <w:rPr>
      <w:rFonts w:ascii="宋体"/>
      <w:kern w:val="2"/>
      <w:sz w:val="24"/>
    </w:rPr>
  </w:style>
  <w:style w:type="paragraph" w:customStyle="1" w:styleId="102">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3">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4">
    <w:name w:val="NomDoc"/>
    <w:basedOn w:val="1"/>
    <w:qFormat/>
    <w:uiPriority w:val="99"/>
    <w:pPr>
      <w:widowControl/>
      <w:jc w:val="left"/>
    </w:pPr>
    <w:rPr>
      <w:rFonts w:ascii="Arial" w:hAnsi="Arial"/>
      <w:caps/>
      <w:kern w:val="0"/>
      <w:sz w:val="16"/>
      <w:lang w:val="en-GB"/>
    </w:rPr>
  </w:style>
  <w:style w:type="character" w:customStyle="1" w:styleId="105">
    <w:name w:val="正文文本 2 字符"/>
    <w:basedOn w:val="56"/>
    <w:link w:val="46"/>
    <w:qFormat/>
    <w:uiPriority w:val="0"/>
    <w:rPr>
      <w:rFonts w:ascii="仿宋_GB2312" w:eastAsia="仿宋_GB2312"/>
      <w:b/>
      <w:color w:val="000000"/>
      <w:sz w:val="44"/>
    </w:rPr>
  </w:style>
  <w:style w:type="paragraph" w:customStyle="1" w:styleId="106">
    <w:name w:val="Char111"/>
    <w:basedOn w:val="1"/>
    <w:link w:val="107"/>
    <w:qFormat/>
    <w:uiPriority w:val="0"/>
    <w:rPr>
      <w:rFonts w:ascii="仿宋_GB2312" w:eastAsia="仿宋_GB2312"/>
      <w:b/>
      <w:sz w:val="32"/>
      <w:szCs w:val="32"/>
    </w:rPr>
  </w:style>
  <w:style w:type="character" w:customStyle="1" w:styleId="107">
    <w:name w:val="Char Char Char"/>
    <w:link w:val="106"/>
    <w:qFormat/>
    <w:uiPriority w:val="0"/>
    <w:rPr>
      <w:rFonts w:ascii="仿宋_GB2312" w:eastAsia="仿宋_GB2312"/>
      <w:b/>
      <w:kern w:val="2"/>
      <w:sz w:val="32"/>
      <w:szCs w:val="32"/>
    </w:rPr>
  </w:style>
  <w:style w:type="paragraph" w:customStyle="1" w:styleId="108">
    <w:name w:val="Char Char5 Char Char"/>
    <w:basedOn w:val="1"/>
    <w:qFormat/>
    <w:uiPriority w:val="0"/>
    <w:pPr>
      <w:adjustRightInd w:val="0"/>
      <w:spacing w:line="360" w:lineRule="auto"/>
    </w:pPr>
    <w:rPr>
      <w:kern w:val="0"/>
      <w:sz w:val="24"/>
    </w:rPr>
  </w:style>
  <w:style w:type="paragraph" w:customStyle="1" w:styleId="109">
    <w:name w:val="字元 字元 字元 字元 字元"/>
    <w:basedOn w:val="1"/>
    <w:qFormat/>
    <w:uiPriority w:val="0"/>
  </w:style>
  <w:style w:type="character" w:customStyle="1" w:styleId="110">
    <w:name w:val="正文文本缩进 3 字符"/>
    <w:link w:val="43"/>
    <w:qFormat/>
    <w:uiPriority w:val="0"/>
    <w:rPr>
      <w:kern w:val="2"/>
      <w:sz w:val="24"/>
      <w:szCs w:val="24"/>
    </w:rPr>
  </w:style>
  <w:style w:type="paragraph" w:customStyle="1" w:styleId="111">
    <w:name w:val="Char Char Char Char Char Char Char Char Char Char1"/>
    <w:basedOn w:val="1"/>
    <w:qFormat/>
    <w:uiPriority w:val="99"/>
    <w:pPr>
      <w:tabs>
        <w:tab w:val="left" w:pos="425"/>
      </w:tabs>
      <w:ind w:left="425" w:hanging="425"/>
    </w:pPr>
  </w:style>
  <w:style w:type="paragraph" w:customStyle="1" w:styleId="112">
    <w:name w:val="规划正文"/>
    <w:basedOn w:val="1"/>
    <w:qFormat/>
    <w:uiPriority w:val="0"/>
    <w:pPr>
      <w:widowControl/>
      <w:spacing w:line="360" w:lineRule="auto"/>
      <w:ind w:firstLine="200" w:firstLineChars="200"/>
      <w:jc w:val="left"/>
    </w:pPr>
    <w:rPr>
      <w:kern w:val="0"/>
      <w:sz w:val="28"/>
      <w:szCs w:val="28"/>
    </w:rPr>
  </w:style>
  <w:style w:type="paragraph" w:customStyle="1" w:styleId="113">
    <w:name w:val="pa-5"/>
    <w:basedOn w:val="1"/>
    <w:qFormat/>
    <w:uiPriority w:val="99"/>
    <w:pPr>
      <w:widowControl/>
      <w:spacing w:line="360" w:lineRule="atLeast"/>
      <w:jc w:val="left"/>
    </w:pPr>
    <w:rPr>
      <w:rFonts w:ascii="宋体" w:hAnsi="宋体" w:cs="宋体"/>
      <w:kern w:val="0"/>
      <w:sz w:val="24"/>
      <w:szCs w:val="24"/>
    </w:rPr>
  </w:style>
  <w:style w:type="character" w:customStyle="1" w:styleId="114">
    <w:name w:val="TOC 2 字符"/>
    <w:link w:val="44"/>
    <w:qFormat/>
    <w:uiPriority w:val="39"/>
    <w:rPr>
      <w:rFonts w:asciiTheme="minorHAnsi" w:hAnsiTheme="minorHAnsi" w:cstheme="minorHAnsi"/>
      <w:smallCaps/>
      <w:kern w:val="2"/>
    </w:rPr>
  </w:style>
  <w:style w:type="character" w:customStyle="1" w:styleId="115">
    <w:name w:val="页眉 字符"/>
    <w:basedOn w:val="56"/>
    <w:link w:val="34"/>
    <w:qFormat/>
    <w:uiPriority w:val="0"/>
    <w:rPr>
      <w:kern w:val="2"/>
      <w:sz w:val="18"/>
    </w:rPr>
  </w:style>
  <w:style w:type="character" w:customStyle="1" w:styleId="116">
    <w:name w:val="文档结构图 字符"/>
    <w:link w:val="17"/>
    <w:qFormat/>
    <w:uiPriority w:val="0"/>
    <w:rPr>
      <w:kern w:val="2"/>
      <w:sz w:val="21"/>
      <w:shd w:val="clear" w:color="auto" w:fill="000080"/>
    </w:rPr>
  </w:style>
  <w:style w:type="paragraph" w:customStyle="1" w:styleId="117">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18">
    <w:name w:val="p15"/>
    <w:basedOn w:val="1"/>
    <w:qFormat/>
    <w:uiPriority w:val="0"/>
    <w:pPr>
      <w:widowControl/>
      <w:spacing w:before="100" w:after="100"/>
      <w:jc w:val="left"/>
    </w:pPr>
    <w:rPr>
      <w:rFonts w:ascii="宋体" w:hAnsi="宋体" w:cs="宋体"/>
      <w:kern w:val="0"/>
      <w:sz w:val="24"/>
      <w:szCs w:val="24"/>
    </w:rPr>
  </w:style>
  <w:style w:type="paragraph" w:customStyle="1" w:styleId="119">
    <w:name w:val="新编号"/>
    <w:basedOn w:val="120"/>
    <w:qFormat/>
    <w:uiPriority w:val="0"/>
    <w:pPr>
      <w:tabs>
        <w:tab w:val="left" w:pos="0"/>
        <w:tab w:val="left" w:pos="360"/>
      </w:tabs>
      <w:ind w:firstLine="400"/>
    </w:pPr>
    <w:rPr>
      <w:kern w:val="0"/>
    </w:rPr>
  </w:style>
  <w:style w:type="paragraph" w:customStyle="1" w:styleId="120">
    <w:name w:val="样式 规划正文 Char + 宋体 两端对齐 首行缩进:  2 字符 行距: 固定值 26 磅"/>
    <w:basedOn w:val="84"/>
    <w:qFormat/>
    <w:uiPriority w:val="0"/>
    <w:pPr>
      <w:tabs>
        <w:tab w:val="left" w:pos="360"/>
      </w:tabs>
      <w:spacing w:line="520" w:lineRule="exact"/>
      <w:ind w:firstLine="0" w:firstLineChars="0"/>
      <w:jc w:val="both"/>
    </w:pPr>
    <w:rPr>
      <w:rFonts w:ascii="宋体" w:hAnsi="宋体" w:cs="宋体"/>
      <w:szCs w:val="20"/>
    </w:rPr>
  </w:style>
  <w:style w:type="character" w:customStyle="1" w:styleId="121">
    <w:name w:val="HTML 预设格式 字符"/>
    <w:link w:val="48"/>
    <w:qFormat/>
    <w:uiPriority w:val="99"/>
    <w:rPr>
      <w:rFonts w:ascii="宋体" w:hAnsi="宋体" w:cs="宋体"/>
      <w:sz w:val="24"/>
      <w:szCs w:val="24"/>
    </w:rPr>
  </w:style>
  <w:style w:type="paragraph" w:customStyle="1" w:styleId="122">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123">
    <w:name w:val="表格内字体"/>
    <w:basedOn w:val="1"/>
    <w:qFormat/>
    <w:uiPriority w:val="0"/>
    <w:pPr>
      <w:spacing w:before="360" w:line="360" w:lineRule="auto"/>
      <w:jc w:val="center"/>
    </w:pPr>
    <w:rPr>
      <w:rFonts w:ascii="宋体" w:eastAsia="仿宋_GB2312"/>
    </w:rPr>
  </w:style>
  <w:style w:type="character" w:customStyle="1" w:styleId="124">
    <w:name w:val="批注框文本 字符"/>
    <w:link w:val="32"/>
    <w:qFormat/>
    <w:uiPriority w:val="99"/>
    <w:rPr>
      <w:kern w:val="2"/>
      <w:sz w:val="18"/>
      <w:szCs w:val="18"/>
    </w:rPr>
  </w:style>
  <w:style w:type="character" w:customStyle="1" w:styleId="125">
    <w:name w:val="正文文本 字符"/>
    <w:link w:val="22"/>
    <w:qFormat/>
    <w:uiPriority w:val="0"/>
    <w:rPr>
      <w:rFonts w:ascii="宋体" w:hAnsi="宋体"/>
      <w:bCs/>
      <w:color w:val="000000"/>
      <w:kern w:val="2"/>
      <w:sz w:val="24"/>
    </w:rPr>
  </w:style>
  <w:style w:type="paragraph" w:styleId="126">
    <w:name w:val="List Paragraph"/>
    <w:basedOn w:val="1"/>
    <w:qFormat/>
    <w:uiPriority w:val="0"/>
    <w:pPr>
      <w:ind w:left="720"/>
      <w:contextualSpacing/>
    </w:pPr>
    <w:rPr>
      <w:sz w:val="28"/>
    </w:rPr>
  </w:style>
  <w:style w:type="character" w:customStyle="1" w:styleId="127">
    <w:name w:val="正文文本缩进 字符"/>
    <w:basedOn w:val="56"/>
    <w:link w:val="23"/>
    <w:qFormat/>
    <w:uiPriority w:val="99"/>
    <w:rPr>
      <w:kern w:val="2"/>
      <w:sz w:val="21"/>
    </w:rPr>
  </w:style>
  <w:style w:type="paragraph" w:customStyle="1" w:styleId="128">
    <w:name w:val="小标题"/>
    <w:basedOn w:val="120"/>
    <w:qFormat/>
    <w:uiPriority w:val="0"/>
    <w:pPr>
      <w:tabs>
        <w:tab w:val="left" w:pos="814"/>
        <w:tab w:val="clear" w:pos="360"/>
      </w:tabs>
      <w:ind w:left="737" w:hanging="283"/>
    </w:pPr>
  </w:style>
  <w:style w:type="paragraph" w:customStyle="1" w:styleId="129">
    <w:name w:val="要点1"/>
    <w:basedOn w:val="14"/>
    <w:qFormat/>
    <w:uiPriority w:val="0"/>
    <w:pPr>
      <w:tabs>
        <w:tab w:val="left" w:pos="960"/>
      </w:tabs>
      <w:spacing w:line="520" w:lineRule="exact"/>
      <w:ind w:firstLine="200" w:firstLineChars="200"/>
    </w:pPr>
    <w:rPr>
      <w:rFonts w:ascii="宋体" w:hAnsi="宋体"/>
      <w:sz w:val="28"/>
      <w:szCs w:val="28"/>
    </w:rPr>
  </w:style>
  <w:style w:type="paragraph" w:customStyle="1" w:styleId="130">
    <w:name w:val="图片"/>
    <w:basedOn w:val="1"/>
    <w:next w:val="15"/>
    <w:qFormat/>
    <w:uiPriority w:val="0"/>
    <w:pPr>
      <w:keepNext/>
      <w:widowControl/>
      <w:jc w:val="left"/>
    </w:pPr>
    <w:rPr>
      <w:rFonts w:ascii="Garamond" w:hAnsi="Garamond"/>
      <w:kern w:val="0"/>
    </w:rPr>
  </w:style>
  <w:style w:type="paragraph" w:customStyle="1" w:styleId="131">
    <w:name w:val="字元 字元"/>
    <w:basedOn w:val="1"/>
    <w:qFormat/>
    <w:uiPriority w:val="0"/>
  </w:style>
  <w:style w:type="paragraph" w:customStyle="1" w:styleId="132">
    <w:name w:val="Absatz2AL"/>
    <w:basedOn w:val="22"/>
    <w:next w:val="1"/>
    <w:qFormat/>
    <w:uiPriority w:val="0"/>
    <w:pPr>
      <w:widowControl/>
      <w:overflowPunct w:val="0"/>
      <w:autoSpaceDE w:val="0"/>
      <w:autoSpaceDN w:val="0"/>
      <w:spacing w:line="240" w:lineRule="auto"/>
    </w:pPr>
    <w:rPr>
      <w:rFonts w:ascii="Times New Roman" w:hAnsi="Times New Roman" w:eastAsia="楷体_GB2312"/>
      <w:bCs w:val="0"/>
      <w:color w:val="auto"/>
      <w:kern w:val="0"/>
      <w:lang w:val="de-DE"/>
    </w:rPr>
  </w:style>
  <w:style w:type="character" w:customStyle="1" w:styleId="133">
    <w:name w:val="页脚 字符"/>
    <w:basedOn w:val="56"/>
    <w:link w:val="33"/>
    <w:qFormat/>
    <w:uiPriority w:val="0"/>
    <w:rPr>
      <w:kern w:val="2"/>
      <w:sz w:val="18"/>
    </w:rPr>
  </w:style>
  <w:style w:type="paragraph" w:customStyle="1" w:styleId="13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35">
    <w:name w:val="默认段落字体 Para Char"/>
    <w:basedOn w:val="1"/>
    <w:qFormat/>
    <w:uiPriority w:val="0"/>
  </w:style>
  <w:style w:type="paragraph" w:customStyle="1" w:styleId="136">
    <w:name w:val="TOC 标题1"/>
    <w:basedOn w:val="3"/>
    <w:next w:val="1"/>
    <w:qFormat/>
    <w:uiPriority w:val="39"/>
    <w:pPr>
      <w:widowControl/>
      <w:spacing w:before="480" w:after="0" w:line="276" w:lineRule="auto"/>
      <w:jc w:val="left"/>
      <w:outlineLvl w:val="9"/>
    </w:pPr>
    <w:rPr>
      <w:rFonts w:ascii="Cambria" w:hAnsi="Cambria"/>
      <w:bCs/>
      <w:color w:val="365F91"/>
      <w:spacing w:val="0"/>
      <w:kern w:val="0"/>
      <w:sz w:val="28"/>
      <w:szCs w:val="28"/>
    </w:rPr>
  </w:style>
  <w:style w:type="paragraph" w:customStyle="1" w:styleId="137">
    <w:name w:val="正文_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8">
    <w:name w:val="正文文本缩进 2 Char1"/>
    <w:qFormat/>
    <w:uiPriority w:val="0"/>
    <w:rPr>
      <w:kern w:val="2"/>
      <w:sz w:val="21"/>
    </w:rPr>
  </w:style>
  <w:style w:type="paragraph" w:customStyle="1" w:styleId="139">
    <w:name w:val="正文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0">
    <w:name w:val="纯文本 字符1"/>
    <w:qFormat/>
    <w:uiPriority w:val="99"/>
    <w:rPr>
      <w:rFonts w:ascii="宋体" w:hAnsi="Times New Roman" w:eastAsia="宋体" w:cs="Times New Roman"/>
      <w:kern w:val="0"/>
      <w:sz w:val="20"/>
      <w:szCs w:val="24"/>
    </w:rPr>
  </w:style>
  <w:style w:type="paragraph" w:customStyle="1" w:styleId="141">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2">
    <w:name w:val="批注文字 字符"/>
    <w:basedOn w:val="56"/>
    <w:link w:val="20"/>
    <w:qFormat/>
    <w:uiPriority w:val="99"/>
    <w:rPr>
      <w:kern w:val="2"/>
      <w:sz w:val="21"/>
    </w:rPr>
  </w:style>
  <w:style w:type="character" w:customStyle="1" w:styleId="143">
    <w:name w:val="批注主题 字符"/>
    <w:basedOn w:val="142"/>
    <w:link w:val="51"/>
    <w:qFormat/>
    <w:uiPriority w:val="0"/>
    <w:rPr>
      <w:b/>
      <w:bCs/>
      <w:kern w:val="2"/>
      <w:sz w:val="21"/>
    </w:rPr>
  </w:style>
  <w:style w:type="paragraph" w:customStyle="1" w:styleId="144">
    <w:name w:val="Blockquote"/>
    <w:basedOn w:val="1"/>
    <w:link w:val="145"/>
    <w:qFormat/>
    <w:uiPriority w:val="0"/>
    <w:pPr>
      <w:autoSpaceDE w:val="0"/>
      <w:autoSpaceDN w:val="0"/>
      <w:adjustRightInd w:val="0"/>
      <w:spacing w:before="100" w:after="100"/>
      <w:ind w:left="360" w:right="360"/>
      <w:jc w:val="left"/>
    </w:pPr>
    <w:rPr>
      <w:kern w:val="0"/>
      <w:sz w:val="24"/>
    </w:rPr>
  </w:style>
  <w:style w:type="character" w:customStyle="1" w:styleId="145">
    <w:name w:val="Blockquote Char"/>
    <w:link w:val="144"/>
    <w:qFormat/>
    <w:uiPriority w:val="0"/>
    <w:rPr>
      <w:sz w:val="24"/>
    </w:rPr>
  </w:style>
  <w:style w:type="paragraph" w:customStyle="1" w:styleId="146">
    <w:name w:val="Normal_0"/>
    <w:qFormat/>
    <w:uiPriority w:val="0"/>
    <w:pPr>
      <w:widowControl w:val="0"/>
      <w:jc w:val="both"/>
    </w:pPr>
    <w:rPr>
      <w:rFonts w:ascii="Calibri" w:hAnsi="Calibri" w:eastAsia="宋体" w:cs="Times New Roman"/>
      <w:lang w:val="en-US" w:eastAsia="zh-CN" w:bidi="ar-SA"/>
    </w:rPr>
  </w:style>
  <w:style w:type="paragraph" w:customStyle="1" w:styleId="147">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48">
    <w:name w:val="Normal_1"/>
    <w:qFormat/>
    <w:uiPriority w:val="0"/>
    <w:pPr>
      <w:widowControl w:val="0"/>
      <w:jc w:val="both"/>
    </w:pPr>
    <w:rPr>
      <w:rFonts w:ascii="Calibri" w:hAnsi="Calibri" w:eastAsia="宋体" w:cs="Times New Roman"/>
      <w:lang w:val="en-US" w:eastAsia="zh-CN" w:bidi="ar-SA"/>
    </w:rPr>
  </w:style>
  <w:style w:type="paragraph" w:customStyle="1" w:styleId="149">
    <w:name w:val="页脚1"/>
    <w:basedOn w:val="146"/>
    <w:link w:val="150"/>
    <w:unhideWhenUsed/>
    <w:qFormat/>
    <w:uiPriority w:val="0"/>
    <w:pPr>
      <w:tabs>
        <w:tab w:val="center" w:pos="4153"/>
        <w:tab w:val="right" w:pos="8306"/>
      </w:tabs>
      <w:snapToGrid w:val="0"/>
      <w:jc w:val="left"/>
    </w:pPr>
    <w:rPr>
      <w:sz w:val="18"/>
      <w:szCs w:val="18"/>
    </w:rPr>
  </w:style>
  <w:style w:type="character" w:customStyle="1" w:styleId="150">
    <w:name w:val="页脚 Char_0"/>
    <w:link w:val="149"/>
    <w:qFormat/>
    <w:uiPriority w:val="0"/>
    <w:rPr>
      <w:rFonts w:ascii="Calibri" w:hAnsi="Calibri"/>
      <w:sz w:val="18"/>
      <w:szCs w:val="18"/>
    </w:rPr>
  </w:style>
  <w:style w:type="paragraph" w:customStyle="1" w:styleId="151">
    <w:name w:val="正文_3_0"/>
    <w:qFormat/>
    <w:uiPriority w:val="0"/>
    <w:pPr>
      <w:widowControl w:val="0"/>
      <w:jc w:val="both"/>
    </w:pPr>
    <w:rPr>
      <w:rFonts w:ascii="Calibri" w:hAnsi="Calibri" w:eastAsia="宋体" w:cs="Times New Roman"/>
      <w:lang w:val="en-US" w:eastAsia="zh-CN" w:bidi="ar-SA"/>
    </w:rPr>
  </w:style>
  <w:style w:type="character" w:customStyle="1" w:styleId="152">
    <w:name w:val="Char Char19"/>
    <w:qFormat/>
    <w:uiPriority w:val="0"/>
    <w:rPr>
      <w:rFonts w:ascii="Arial" w:hAnsi="Arial" w:eastAsia="黑体"/>
      <w:b/>
      <w:bCs/>
      <w:sz w:val="32"/>
      <w:szCs w:val="32"/>
    </w:rPr>
  </w:style>
  <w:style w:type="paragraph" w:customStyle="1" w:styleId="153">
    <w:name w:val="Normal_2"/>
    <w:qFormat/>
    <w:uiPriority w:val="0"/>
    <w:pPr>
      <w:widowControl w:val="0"/>
      <w:jc w:val="both"/>
    </w:pPr>
    <w:rPr>
      <w:rFonts w:ascii="Calibri" w:hAnsi="Calibri" w:eastAsia="宋体" w:cs="Times New Roman"/>
      <w:lang w:val="en-US" w:eastAsia="zh-CN" w:bidi="ar-SA"/>
    </w:rPr>
  </w:style>
  <w:style w:type="paragraph" w:customStyle="1" w:styleId="154">
    <w:name w:val="Normal_1_0"/>
    <w:qFormat/>
    <w:uiPriority w:val="0"/>
    <w:pPr>
      <w:widowControl w:val="0"/>
      <w:jc w:val="both"/>
    </w:pPr>
    <w:rPr>
      <w:rFonts w:ascii="Calibri" w:hAnsi="Calibri" w:eastAsia="宋体" w:cs="Times New Roman"/>
      <w:lang w:val="en-US" w:eastAsia="zh-CN" w:bidi="ar-SA"/>
    </w:rPr>
  </w:style>
  <w:style w:type="paragraph" w:customStyle="1" w:styleId="155">
    <w:name w:val="Normal_3"/>
    <w:qFormat/>
    <w:uiPriority w:val="0"/>
    <w:pPr>
      <w:widowControl w:val="0"/>
      <w:jc w:val="both"/>
    </w:pPr>
    <w:rPr>
      <w:rFonts w:ascii="Calibri" w:hAnsi="Calibri" w:eastAsia="宋体" w:cs="Times New Roman"/>
      <w:lang w:val="en-US" w:eastAsia="zh-CN" w:bidi="ar-SA"/>
    </w:rPr>
  </w:style>
  <w:style w:type="paragraph" w:customStyle="1" w:styleId="156">
    <w:name w:val="样式1"/>
    <w:basedOn w:val="6"/>
    <w:qFormat/>
    <w:uiPriority w:val="0"/>
    <w:pPr>
      <w:widowControl/>
      <w:jc w:val="left"/>
    </w:pPr>
    <w:rPr>
      <w:rFonts w:ascii="黑体"/>
      <w:kern w:val="0"/>
      <w:sz w:val="24"/>
      <w:szCs w:val="30"/>
    </w:rPr>
  </w:style>
  <w:style w:type="paragraph" w:customStyle="1" w:styleId="157">
    <w:name w:val="标题4"/>
    <w:basedOn w:val="1"/>
    <w:next w:val="6"/>
    <w:link w:val="158"/>
    <w:qFormat/>
    <w:uiPriority w:val="0"/>
    <w:pPr>
      <w:widowControl/>
      <w:jc w:val="left"/>
    </w:pPr>
    <w:rPr>
      <w:rFonts w:ascii="黑体" w:eastAsia="黑体"/>
      <w:kern w:val="0"/>
      <w:sz w:val="24"/>
      <w:szCs w:val="30"/>
    </w:rPr>
  </w:style>
  <w:style w:type="character" w:customStyle="1" w:styleId="158">
    <w:name w:val="标题4 Char Char"/>
    <w:link w:val="157"/>
    <w:qFormat/>
    <w:uiPriority w:val="0"/>
    <w:rPr>
      <w:rFonts w:ascii="黑体" w:eastAsia="黑体"/>
      <w:sz w:val="24"/>
      <w:szCs w:val="30"/>
    </w:rPr>
  </w:style>
  <w:style w:type="paragraph" w:customStyle="1" w:styleId="159">
    <w:name w:val="样式2"/>
    <w:basedOn w:val="6"/>
    <w:next w:val="6"/>
    <w:qFormat/>
    <w:uiPriority w:val="0"/>
    <w:pPr>
      <w:widowControl/>
      <w:jc w:val="left"/>
    </w:pPr>
    <w:rPr>
      <w:rFonts w:ascii="黑体"/>
      <w:kern w:val="0"/>
      <w:sz w:val="24"/>
      <w:szCs w:val="30"/>
    </w:rPr>
  </w:style>
  <w:style w:type="character" w:customStyle="1" w:styleId="160">
    <w:name w:val="正文文本缩进 Char1"/>
    <w:basedOn w:val="56"/>
    <w:qFormat/>
    <w:uiPriority w:val="0"/>
  </w:style>
  <w:style w:type="paragraph" w:customStyle="1" w:styleId="161">
    <w:name w:val="Char3"/>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character" w:customStyle="1" w:styleId="162">
    <w:name w:val="zbggmain style9"/>
    <w:basedOn w:val="56"/>
    <w:qFormat/>
    <w:uiPriority w:val="0"/>
  </w:style>
  <w:style w:type="paragraph" w:customStyle="1" w:styleId="163">
    <w:name w:val="样式 标题 3 + (中文) 黑体 小四 非加粗 段前: 7.8 磅 段后: 0 磅 行距: 固定值 20 磅"/>
    <w:basedOn w:val="5"/>
    <w:qFormat/>
    <w:uiPriority w:val="0"/>
    <w:pPr>
      <w:spacing w:before="0" w:after="0" w:line="400" w:lineRule="exact"/>
      <w:ind w:firstLine="0"/>
    </w:pPr>
    <w:rPr>
      <w:rFonts w:ascii="Times New Roman" w:eastAsia="黑体" w:cs="宋体"/>
      <w:b w:val="0"/>
    </w:rPr>
  </w:style>
  <w:style w:type="paragraph" w:customStyle="1" w:styleId="164">
    <w:name w:val="样式 标题 2 + Times New Roman 四号 非加粗 段前: 5 磅 段后: 0 磅 行距: 固定值 20..."/>
    <w:basedOn w:val="4"/>
    <w:link w:val="165"/>
    <w:qFormat/>
    <w:uiPriority w:val="0"/>
    <w:pPr>
      <w:spacing w:before="100"/>
      <w:jc w:val="both"/>
    </w:pPr>
    <w:rPr>
      <w:rFonts w:ascii="Times New Roman" w:hAnsi="Times New Roman" w:eastAsia="黑体" w:cs="宋体"/>
      <w:b w:val="0"/>
      <w:kern w:val="2"/>
      <w:sz w:val="28"/>
    </w:rPr>
  </w:style>
  <w:style w:type="character" w:customStyle="1" w:styleId="165">
    <w:name w:val="样式 标题 2 + Times New Roman 四号 非加粗 段前: 5 磅 段后: 0 磅 行距: 固定值 20... Char Char"/>
    <w:basedOn w:val="56"/>
    <w:link w:val="164"/>
    <w:qFormat/>
    <w:uiPriority w:val="0"/>
    <w:rPr>
      <w:rFonts w:eastAsia="黑体" w:cs="宋体"/>
      <w:kern w:val="2"/>
      <w:sz w:val="28"/>
    </w:rPr>
  </w:style>
  <w:style w:type="paragraph" w:customStyle="1" w:styleId="166">
    <w:name w:val="Char6 Char Char Char"/>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167">
    <w:name w:val="opening2"/>
    <w:basedOn w:val="1"/>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168">
    <w:name w:val="7"/>
    <w:basedOn w:val="1"/>
    <w:qFormat/>
    <w:uiPriority w:val="0"/>
    <w:pPr>
      <w:widowControl/>
      <w:tabs>
        <w:tab w:val="left" w:pos="425"/>
      </w:tabs>
      <w:spacing w:beforeLines="100" w:after="160" w:line="240" w:lineRule="exact"/>
      <w:ind w:left="425" w:hanging="425"/>
      <w:jc w:val="left"/>
    </w:pPr>
    <w:rPr>
      <w:rFonts w:ascii="Verdana" w:hAnsi="Verdana" w:eastAsia="黑体"/>
      <w:kern w:val="0"/>
      <w:sz w:val="20"/>
      <w:lang w:eastAsia="en-US"/>
    </w:rPr>
  </w:style>
  <w:style w:type="character" w:customStyle="1" w:styleId="169">
    <w:name w:val="javascript"/>
    <w:basedOn w:val="56"/>
    <w:qFormat/>
    <w:uiPriority w:val="0"/>
  </w:style>
  <w:style w:type="character" w:customStyle="1" w:styleId="170">
    <w:name w:val="style11"/>
    <w:qFormat/>
    <w:uiPriority w:val="0"/>
    <w:rPr>
      <w:b/>
      <w:bCs/>
    </w:rPr>
  </w:style>
  <w:style w:type="paragraph" w:customStyle="1" w:styleId="171">
    <w:name w:val="1"/>
    <w:basedOn w:val="1"/>
    <w:next w:val="18"/>
    <w:qFormat/>
    <w:uiPriority w:val="0"/>
    <w:pPr>
      <w:adjustRightInd w:val="0"/>
      <w:ind w:left="420" w:right="33"/>
      <w:jc w:val="left"/>
      <w:textAlignment w:val="baseline"/>
    </w:pPr>
    <w:rPr>
      <w:kern w:val="0"/>
      <w:sz w:val="24"/>
    </w:rPr>
  </w:style>
  <w:style w:type="paragraph" w:customStyle="1" w:styleId="172">
    <w:name w:val="样式 样式 样式 宋体 小四 黑色 两端对齐 + 首行缩进:  2 字符 + 五号 首行缩进:  2 字符"/>
    <w:basedOn w:val="1"/>
    <w:qFormat/>
    <w:uiPriority w:val="0"/>
    <w:pPr>
      <w:widowControl/>
      <w:spacing w:line="340" w:lineRule="exact"/>
      <w:ind w:firstLine="200" w:firstLineChars="200"/>
    </w:pPr>
    <w:rPr>
      <w:rFonts w:ascii="宋体" w:hAnsi="宋体"/>
      <w:color w:val="000000"/>
      <w:kern w:val="0"/>
    </w:rPr>
  </w:style>
  <w:style w:type="paragraph" w:customStyle="1" w:styleId="173">
    <w:name w:val="目录文字"/>
    <w:basedOn w:val="1"/>
    <w:qFormat/>
    <w:uiPriority w:val="0"/>
    <w:pPr>
      <w:widowControl/>
      <w:spacing w:line="480" w:lineRule="auto"/>
      <w:jc w:val="left"/>
    </w:pPr>
    <w:rPr>
      <w:rFonts w:ascii="宋体" w:hAnsi="宋体"/>
      <w:kern w:val="0"/>
      <w:sz w:val="24"/>
    </w:rPr>
  </w:style>
  <w:style w:type="paragraph" w:customStyle="1" w:styleId="174">
    <w:name w:val="xl51"/>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75">
    <w:name w:val="正文文本 3 字符"/>
    <w:basedOn w:val="56"/>
    <w:link w:val="21"/>
    <w:qFormat/>
    <w:uiPriority w:val="0"/>
    <w:rPr>
      <w:sz w:val="16"/>
      <w:szCs w:val="16"/>
    </w:rPr>
  </w:style>
  <w:style w:type="character" w:customStyle="1" w:styleId="176">
    <w:name w:val="宏文本 字符"/>
    <w:link w:val="2"/>
    <w:qFormat/>
    <w:uiPriority w:val="0"/>
    <w:rPr>
      <w:rFonts w:ascii="Courier New" w:hAnsi="Courier New"/>
      <w:sz w:val="24"/>
      <w:szCs w:val="24"/>
    </w:rPr>
  </w:style>
  <w:style w:type="character" w:customStyle="1" w:styleId="177">
    <w:name w:val="宏文本 Char1"/>
    <w:basedOn w:val="56"/>
    <w:qFormat/>
    <w:uiPriority w:val="0"/>
    <w:rPr>
      <w:rFonts w:ascii="Courier New" w:hAnsi="Courier New" w:cs="Courier New"/>
      <w:kern w:val="2"/>
      <w:sz w:val="24"/>
      <w:szCs w:val="24"/>
    </w:rPr>
  </w:style>
  <w:style w:type="character" w:customStyle="1" w:styleId="178">
    <w:name w:val="15"/>
    <w:qFormat/>
    <w:uiPriority w:val="0"/>
    <w:rPr>
      <w:rFonts w:hint="eastAsia" w:ascii="MingLiU" w:hAnsi="MingLiU" w:eastAsia="MingLiU"/>
      <w:sz w:val="22"/>
      <w:szCs w:val="22"/>
    </w:rPr>
  </w:style>
  <w:style w:type="character" w:customStyle="1" w:styleId="179">
    <w:name w:val="font51"/>
    <w:qFormat/>
    <w:uiPriority w:val="0"/>
    <w:rPr>
      <w:rFonts w:hint="eastAsia" w:ascii="宋体" w:hAnsi="宋体" w:eastAsia="宋体" w:cs="宋体"/>
      <w:b/>
      <w:color w:val="000000"/>
      <w:sz w:val="21"/>
      <w:szCs w:val="21"/>
      <w:u w:val="none"/>
    </w:rPr>
  </w:style>
  <w:style w:type="character" w:customStyle="1" w:styleId="180">
    <w:name w:val="正文文本 (2)_"/>
    <w:link w:val="181"/>
    <w:qFormat/>
    <w:uiPriority w:val="0"/>
    <w:rPr>
      <w:rFonts w:ascii="MingLiU" w:hAnsi="MingLiU" w:eastAsia="MingLiU" w:cs="MingLiU"/>
      <w:spacing w:val="4"/>
      <w:sz w:val="22"/>
      <w:szCs w:val="22"/>
    </w:rPr>
  </w:style>
  <w:style w:type="paragraph" w:customStyle="1" w:styleId="181">
    <w:name w:val="正文文本 (2)"/>
    <w:basedOn w:val="1"/>
    <w:link w:val="180"/>
    <w:qFormat/>
    <w:uiPriority w:val="0"/>
    <w:pPr>
      <w:spacing w:after="120" w:line="458" w:lineRule="exact"/>
      <w:jc w:val="distribute"/>
    </w:pPr>
    <w:rPr>
      <w:rFonts w:ascii="MingLiU" w:hAnsi="MingLiU" w:eastAsia="MingLiU" w:cs="MingLiU"/>
      <w:spacing w:val="4"/>
      <w:kern w:val="0"/>
      <w:sz w:val="22"/>
      <w:szCs w:val="22"/>
    </w:rPr>
  </w:style>
  <w:style w:type="character" w:customStyle="1" w:styleId="182">
    <w:name w:val="font61"/>
    <w:qFormat/>
    <w:uiPriority w:val="0"/>
    <w:rPr>
      <w:rFonts w:hint="default" w:ascii="Times New Roman" w:hAnsi="Times New Roman" w:cs="Times New Roman"/>
      <w:b/>
      <w:color w:val="000000"/>
      <w:sz w:val="21"/>
      <w:szCs w:val="21"/>
      <w:u w:val="none"/>
    </w:rPr>
  </w:style>
  <w:style w:type="character" w:customStyle="1" w:styleId="183">
    <w:name w:val="my Char Char"/>
    <w:link w:val="184"/>
    <w:qFormat/>
    <w:uiPriority w:val="0"/>
    <w:rPr>
      <w:color w:val="000000"/>
      <w:kern w:val="2"/>
      <w:sz w:val="24"/>
      <w:szCs w:val="24"/>
    </w:rPr>
  </w:style>
  <w:style w:type="paragraph" w:customStyle="1" w:styleId="184">
    <w:name w:val="my"/>
    <w:basedOn w:val="43"/>
    <w:link w:val="183"/>
    <w:qFormat/>
    <w:uiPriority w:val="0"/>
    <w:rPr>
      <w:color w:val="000000"/>
    </w:rPr>
  </w:style>
  <w:style w:type="character" w:customStyle="1" w:styleId="185">
    <w:name w:val="样式 标题 2 + 二号 Char"/>
    <w:qFormat/>
    <w:uiPriority w:val="0"/>
    <w:rPr>
      <w:rFonts w:ascii="Arial" w:hAnsi="Arial" w:eastAsia="宋体"/>
      <w:b/>
      <w:color w:val="FF0000"/>
      <w:sz w:val="32"/>
      <w:lang w:val="en-US" w:eastAsia="zh-CN"/>
    </w:rPr>
  </w:style>
  <w:style w:type="character" w:customStyle="1" w:styleId="186">
    <w:name w:val="font161"/>
    <w:qFormat/>
    <w:uiPriority w:val="0"/>
    <w:rPr>
      <w:rFonts w:ascii="Arial" w:hAnsi="Arial" w:eastAsia="黑体"/>
      <w:b/>
      <w:bCs/>
      <w:kern w:val="2"/>
      <w:sz w:val="32"/>
      <w:szCs w:val="32"/>
      <w:lang w:val="en-US" w:eastAsia="zh-CN" w:bidi="ar-SA"/>
    </w:rPr>
  </w:style>
  <w:style w:type="character" w:customStyle="1" w:styleId="187">
    <w:name w:val="表一 Char Char"/>
    <w:link w:val="188"/>
    <w:qFormat/>
    <w:uiPriority w:val="0"/>
    <w:rPr>
      <w:snapToGrid w:val="0"/>
      <w:sz w:val="24"/>
    </w:rPr>
  </w:style>
  <w:style w:type="paragraph" w:customStyle="1" w:styleId="188">
    <w:name w:val="表一"/>
    <w:basedOn w:val="1"/>
    <w:link w:val="187"/>
    <w:qFormat/>
    <w:uiPriority w:val="0"/>
    <w:pPr>
      <w:adjustRightInd w:val="0"/>
      <w:snapToGrid w:val="0"/>
      <w:ind w:right="-71"/>
      <w:jc w:val="center"/>
    </w:pPr>
    <w:rPr>
      <w:snapToGrid w:val="0"/>
      <w:kern w:val="0"/>
      <w:sz w:val="24"/>
    </w:rPr>
  </w:style>
  <w:style w:type="character" w:customStyle="1" w:styleId="189">
    <w:name w:val="段落 Char"/>
    <w:link w:val="190"/>
    <w:qFormat/>
    <w:uiPriority w:val="0"/>
    <w:rPr>
      <w:rFonts w:ascii="宋体" w:hAnsi="宋体"/>
      <w:kern w:val="2"/>
      <w:sz w:val="24"/>
      <w:szCs w:val="24"/>
    </w:rPr>
  </w:style>
  <w:style w:type="paragraph" w:customStyle="1" w:styleId="190">
    <w:name w:val="段落"/>
    <w:basedOn w:val="1"/>
    <w:link w:val="189"/>
    <w:qFormat/>
    <w:uiPriority w:val="0"/>
    <w:pPr>
      <w:spacing w:line="440" w:lineRule="exact"/>
      <w:ind w:firstLine="200" w:firstLineChars="200"/>
    </w:pPr>
    <w:rPr>
      <w:rFonts w:ascii="宋体" w:hAnsi="宋体"/>
      <w:sz w:val="24"/>
      <w:szCs w:val="24"/>
    </w:rPr>
  </w:style>
  <w:style w:type="character" w:customStyle="1" w:styleId="191">
    <w:name w:val="Char Char1"/>
    <w:qFormat/>
    <w:uiPriority w:val="0"/>
    <w:rPr>
      <w:rFonts w:eastAsia="宋体"/>
      <w:b/>
      <w:kern w:val="2"/>
      <w:sz w:val="32"/>
      <w:lang w:val="en-US" w:eastAsia="zh-CN"/>
    </w:rPr>
  </w:style>
  <w:style w:type="character" w:customStyle="1" w:styleId="192">
    <w:name w:val="正文文本_"/>
    <w:link w:val="193"/>
    <w:qFormat/>
    <w:uiPriority w:val="0"/>
    <w:rPr>
      <w:rFonts w:ascii="MingLiU" w:hAnsi="MingLiU" w:eastAsia="MingLiU" w:cs="MingLiU"/>
      <w:spacing w:val="9"/>
      <w:sz w:val="21"/>
      <w:szCs w:val="21"/>
    </w:rPr>
  </w:style>
  <w:style w:type="paragraph" w:customStyle="1" w:styleId="193">
    <w:name w:val="正文文本1"/>
    <w:basedOn w:val="1"/>
    <w:link w:val="192"/>
    <w:qFormat/>
    <w:uiPriority w:val="0"/>
    <w:pPr>
      <w:spacing w:after="60" w:line="463" w:lineRule="exact"/>
      <w:jc w:val="distribute"/>
    </w:pPr>
    <w:rPr>
      <w:rFonts w:ascii="MingLiU" w:hAnsi="MingLiU" w:eastAsia="MingLiU" w:cs="MingLiU"/>
      <w:spacing w:val="9"/>
      <w:kern w:val="0"/>
      <w:szCs w:val="21"/>
    </w:rPr>
  </w:style>
  <w:style w:type="character" w:customStyle="1" w:styleId="194">
    <w:name w:val="font31"/>
    <w:qFormat/>
    <w:uiPriority w:val="0"/>
    <w:rPr>
      <w:rFonts w:hint="default" w:ascii="Times New Roman" w:hAnsi="Times New Roman" w:cs="Times New Roman"/>
      <w:color w:val="000000"/>
      <w:sz w:val="21"/>
      <w:szCs w:val="21"/>
      <w:u w:val="none"/>
    </w:rPr>
  </w:style>
  <w:style w:type="character" w:customStyle="1" w:styleId="195">
    <w:name w:val="正文文本首行缩进 2 字符"/>
    <w:basedOn w:val="196"/>
    <w:link w:val="53"/>
    <w:qFormat/>
    <w:uiPriority w:val="0"/>
    <w:rPr>
      <w:kern w:val="2"/>
      <w:sz w:val="21"/>
      <w:szCs w:val="24"/>
    </w:rPr>
  </w:style>
  <w:style w:type="character" w:customStyle="1" w:styleId="196">
    <w:name w:val="正文文本缩进 Char"/>
    <w:qFormat/>
    <w:uiPriority w:val="0"/>
    <w:rPr>
      <w:kern w:val="2"/>
      <w:sz w:val="21"/>
      <w:szCs w:val="24"/>
    </w:rPr>
  </w:style>
  <w:style w:type="character" w:customStyle="1" w:styleId="197">
    <w:name w:val="正文首行缩进 2 Char1"/>
    <w:basedOn w:val="127"/>
    <w:qFormat/>
    <w:uiPriority w:val="0"/>
    <w:rPr>
      <w:kern w:val="2"/>
      <w:sz w:val="21"/>
    </w:rPr>
  </w:style>
  <w:style w:type="character" w:customStyle="1" w:styleId="198">
    <w:name w:val="HTML 预设格式 Char1"/>
    <w:qFormat/>
    <w:uiPriority w:val="0"/>
    <w:rPr>
      <w:rFonts w:ascii="Courier New" w:hAnsi="Courier New" w:cs="Courier New"/>
    </w:rPr>
  </w:style>
  <w:style w:type="character" w:customStyle="1" w:styleId="199">
    <w:name w:val="正正正文 Char1"/>
    <w:link w:val="200"/>
    <w:qFormat/>
    <w:uiPriority w:val="0"/>
    <w:rPr>
      <w:color w:val="000000"/>
      <w:kern w:val="2"/>
      <w:sz w:val="21"/>
    </w:rPr>
  </w:style>
  <w:style w:type="paragraph" w:customStyle="1" w:styleId="200">
    <w:name w:val="正正正文"/>
    <w:basedOn w:val="1"/>
    <w:link w:val="199"/>
    <w:qFormat/>
    <w:uiPriority w:val="0"/>
    <w:pPr>
      <w:snapToGrid w:val="0"/>
      <w:spacing w:line="460" w:lineRule="exact"/>
      <w:ind w:firstLine="420" w:firstLineChars="200"/>
    </w:pPr>
    <w:rPr>
      <w:color w:val="000000"/>
    </w:rPr>
  </w:style>
  <w:style w:type="character" w:customStyle="1" w:styleId="201">
    <w:name w:val="Char Char3"/>
    <w:qFormat/>
    <w:uiPriority w:val="0"/>
    <w:rPr>
      <w:rFonts w:eastAsia="宋体"/>
      <w:b/>
      <w:kern w:val="44"/>
      <w:sz w:val="44"/>
      <w:lang w:val="en-US" w:eastAsia="zh-CN"/>
    </w:rPr>
  </w:style>
  <w:style w:type="character" w:customStyle="1" w:styleId="202">
    <w:name w:val="font21"/>
    <w:qFormat/>
    <w:uiPriority w:val="0"/>
    <w:rPr>
      <w:rFonts w:hint="eastAsia" w:ascii="宋体" w:hAnsi="宋体" w:eastAsia="宋体" w:cs="宋体"/>
      <w:color w:val="FF0000"/>
      <w:sz w:val="21"/>
      <w:szCs w:val="21"/>
      <w:u w:val="none"/>
    </w:rPr>
  </w:style>
  <w:style w:type="character" w:customStyle="1" w:styleId="203">
    <w:name w:val="p21"/>
    <w:qFormat/>
    <w:uiPriority w:val="0"/>
    <w:rPr>
      <w:sz w:val="9"/>
      <w:szCs w:val="9"/>
    </w:rPr>
  </w:style>
  <w:style w:type="character" w:customStyle="1" w:styleId="204">
    <w:name w:val="正文文本 + Tahoma"/>
    <w:qFormat/>
    <w:uiPriority w:val="0"/>
    <w:rPr>
      <w:rFonts w:ascii="Tahoma" w:hAnsi="Tahoma" w:eastAsia="Tahoma" w:cs="Tahoma"/>
      <w:color w:val="000000"/>
      <w:spacing w:val="23"/>
      <w:w w:val="100"/>
      <w:position w:val="0"/>
      <w:sz w:val="19"/>
      <w:szCs w:val="19"/>
      <w:u w:val="none"/>
      <w:lang w:val="zh-CN"/>
    </w:rPr>
  </w:style>
  <w:style w:type="character" w:customStyle="1" w:styleId="205">
    <w:name w:val="正文文本 (2) + 间距 3 pt"/>
    <w:qFormat/>
    <w:uiPriority w:val="0"/>
    <w:rPr>
      <w:rFonts w:ascii="MingLiU" w:hAnsi="MingLiU" w:eastAsia="MingLiU" w:cs="MingLiU"/>
      <w:color w:val="000000"/>
      <w:spacing w:val="73"/>
      <w:w w:val="100"/>
      <w:position w:val="0"/>
      <w:sz w:val="22"/>
      <w:szCs w:val="22"/>
      <w:u w:val="none"/>
      <w:lang w:val="zh-CN"/>
    </w:rPr>
  </w:style>
  <w:style w:type="character" w:customStyle="1" w:styleId="206">
    <w:name w:val="font5 Char"/>
    <w:link w:val="207"/>
    <w:qFormat/>
    <w:uiPriority w:val="0"/>
    <w:rPr>
      <w:rFonts w:ascii="宋体" w:hAnsi="宋体"/>
      <w:sz w:val="24"/>
      <w:szCs w:val="24"/>
    </w:rPr>
  </w:style>
  <w:style w:type="paragraph" w:customStyle="1" w:styleId="207">
    <w:name w:val="font5"/>
    <w:basedOn w:val="1"/>
    <w:link w:val="206"/>
    <w:qFormat/>
    <w:uiPriority w:val="0"/>
    <w:pPr>
      <w:widowControl/>
      <w:spacing w:before="100" w:beforeAutospacing="1" w:after="100" w:afterAutospacing="1"/>
      <w:jc w:val="left"/>
    </w:pPr>
    <w:rPr>
      <w:rFonts w:ascii="宋体" w:hAnsi="宋体"/>
      <w:kern w:val="0"/>
      <w:sz w:val="24"/>
      <w:szCs w:val="24"/>
    </w:rPr>
  </w:style>
  <w:style w:type="character" w:customStyle="1" w:styleId="208">
    <w:name w:val="标题 3 Char Char"/>
    <w:qFormat/>
    <w:uiPriority w:val="0"/>
    <w:rPr>
      <w:rFonts w:eastAsia="宋体"/>
      <w:b/>
      <w:kern w:val="2"/>
      <w:sz w:val="32"/>
      <w:lang w:val="en-US" w:eastAsia="zh-CN"/>
    </w:rPr>
  </w:style>
  <w:style w:type="character" w:customStyle="1" w:styleId="209">
    <w:name w:val="正文缩进 Char1 Char"/>
    <w:qFormat/>
    <w:uiPriority w:val="0"/>
    <w:rPr>
      <w:rFonts w:eastAsia="宋体"/>
      <w:kern w:val="2"/>
      <w:sz w:val="24"/>
      <w:szCs w:val="24"/>
      <w:lang w:val="en-US" w:eastAsia="zh-CN" w:bidi="ar-SA"/>
    </w:rPr>
  </w:style>
  <w:style w:type="character" w:customStyle="1" w:styleId="210">
    <w:name w:val="font01"/>
    <w:qFormat/>
    <w:uiPriority w:val="0"/>
    <w:rPr>
      <w:rFonts w:hint="eastAsia" w:ascii="宋体" w:hAnsi="宋体" w:eastAsia="宋体" w:cs="宋体"/>
      <w:color w:val="000000"/>
      <w:sz w:val="21"/>
      <w:szCs w:val="21"/>
      <w:u w:val="none"/>
    </w:rPr>
  </w:style>
  <w:style w:type="character" w:customStyle="1" w:styleId="211">
    <w:name w:val="font11"/>
    <w:qFormat/>
    <w:uiPriority w:val="0"/>
    <w:rPr>
      <w:rFonts w:hint="default" w:ascii="Times New Roman" w:hAnsi="Times New Roman" w:cs="Times New Roman"/>
      <w:color w:val="FF0000"/>
      <w:sz w:val="21"/>
      <w:szCs w:val="21"/>
      <w:u w:val="none"/>
    </w:rPr>
  </w:style>
  <w:style w:type="paragraph" w:customStyle="1" w:styleId="212">
    <w:name w:val="样式 样式 样式 公正文 + 首行缩进:  2 字符2 + 首行缩进:  2 字符 + 首行缩进:  2 字符"/>
    <w:basedOn w:val="213"/>
    <w:qFormat/>
    <w:uiPriority w:val="0"/>
  </w:style>
  <w:style w:type="paragraph" w:customStyle="1" w:styleId="213">
    <w:name w:val="样式 样式 公正文 + 首行缩进:  2 字符2 + 首行缩进:  2 字符"/>
    <w:basedOn w:val="214"/>
    <w:qFormat/>
    <w:uiPriority w:val="0"/>
  </w:style>
  <w:style w:type="paragraph" w:customStyle="1" w:styleId="214">
    <w:name w:val="样式 公正文 + 首行缩进:  2 字符2"/>
    <w:basedOn w:val="215"/>
    <w:qFormat/>
    <w:uiPriority w:val="0"/>
    <w:rPr>
      <w:rFonts w:cs="宋体"/>
    </w:rPr>
  </w:style>
  <w:style w:type="paragraph" w:customStyle="1" w:styleId="215">
    <w:name w:val="公正文"/>
    <w:basedOn w:val="14"/>
    <w:qFormat/>
    <w:uiPriority w:val="0"/>
    <w:pPr>
      <w:adjustRightInd w:val="0"/>
      <w:snapToGrid w:val="0"/>
      <w:spacing w:line="560" w:lineRule="exact"/>
      <w:ind w:firstLine="200"/>
    </w:pPr>
    <w:rPr>
      <w:rFonts w:ascii="仿宋_GB2312" w:hAnsi="宋体" w:eastAsia="仿宋_GB2312"/>
      <w:sz w:val="28"/>
    </w:rPr>
  </w:style>
  <w:style w:type="paragraph" w:customStyle="1" w:styleId="216">
    <w:name w:val="样式 样式 样式 样式 公正文 + 首行缩进:  2 字符2 + 首行缩进:  2 字符 + 首行缩进:  2 字符 + 首行缩...1"/>
    <w:basedOn w:val="212"/>
    <w:qFormat/>
    <w:uiPriority w:val="0"/>
    <w:pPr>
      <w:adjustRightInd/>
      <w:snapToGrid/>
    </w:pPr>
  </w:style>
  <w:style w:type="paragraph" w:customStyle="1" w:styleId="217">
    <w:name w:val="表二"/>
    <w:basedOn w:val="1"/>
    <w:qFormat/>
    <w:uiPriority w:val="0"/>
    <w:pPr>
      <w:adjustRightInd w:val="0"/>
      <w:snapToGrid w:val="0"/>
    </w:pPr>
    <w:rPr>
      <w:snapToGrid w:val="0"/>
      <w:kern w:val="0"/>
    </w:rPr>
  </w:style>
  <w:style w:type="character" w:customStyle="1" w:styleId="218">
    <w:name w:val="标题 字符"/>
    <w:basedOn w:val="56"/>
    <w:link w:val="50"/>
    <w:qFormat/>
    <w:uiPriority w:val="99"/>
    <w:rPr>
      <w:rFonts w:ascii="Arial" w:hAnsi="Arial"/>
      <w:b/>
      <w:sz w:val="32"/>
    </w:rPr>
  </w:style>
  <w:style w:type="paragraph" w:customStyle="1" w:styleId="219">
    <w:name w:val="表三"/>
    <w:basedOn w:val="217"/>
    <w:qFormat/>
    <w:uiPriority w:val="0"/>
    <w:pPr>
      <w:ind w:right="-34" w:rightChars="-34"/>
      <w:jc w:val="right"/>
    </w:pPr>
  </w:style>
  <w:style w:type="paragraph" w:customStyle="1" w:styleId="220">
    <w:name w:val="样式 样式 样式 样式 样式 公正文 + 首行缩进:  2 字符2 + 首行缩进:  2 字符 + 首行缩进:  2 字符 + ..."/>
    <w:basedOn w:val="216"/>
    <w:qFormat/>
    <w:uiPriority w:val="0"/>
  </w:style>
  <w:style w:type="paragraph" w:customStyle="1" w:styleId="221">
    <w:name w:val="contentartic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样式 标题 2标题 2 Char章章1章2章3章11章21章4章12章22章5章6章7章8章9章..."/>
    <w:basedOn w:val="4"/>
    <w:qFormat/>
    <w:uiPriority w:val="0"/>
    <w:pPr>
      <w:spacing w:line="360" w:lineRule="auto"/>
      <w:jc w:val="left"/>
    </w:pPr>
    <w:rPr>
      <w:rFonts w:ascii="宋体" w:hAnsi="宋体" w:cs="宋体"/>
      <w:bCs/>
      <w:color w:val="FF0000"/>
      <w:sz w:val="21"/>
    </w:rPr>
  </w:style>
  <w:style w:type="paragraph" w:customStyle="1" w:styleId="223">
    <w:name w:val="样式 样式 样式 样式 样式 样式 公正文 + 首行缩进:  2 字符2 + 首行缩进:  2 字符 + 首行缩进:  2 字符..."/>
    <w:basedOn w:val="220"/>
    <w:qFormat/>
    <w:uiPriority w:val="0"/>
  </w:style>
  <w:style w:type="paragraph" w:customStyle="1" w:styleId="224">
    <w:name w:val="样式 标题 1 + 黑体 三号 非加粗 居中 段前: 6 磅 段后: 6 磅 行距: 固定值 20 磅"/>
    <w:basedOn w:val="3"/>
    <w:qFormat/>
    <w:uiPriority w:val="0"/>
    <w:pPr>
      <w:spacing w:line="400" w:lineRule="exact"/>
    </w:pPr>
    <w:rPr>
      <w:rFonts w:ascii="黑体" w:hAnsi="黑体" w:eastAsia="黑体" w:cs="宋体"/>
      <w:b w:val="0"/>
      <w:spacing w:val="0"/>
    </w:rPr>
  </w:style>
  <w:style w:type="paragraph" w:customStyle="1" w:styleId="225">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226">
    <w:name w:val="表格文字"/>
    <w:basedOn w:val="1"/>
    <w:qFormat/>
    <w:uiPriority w:val="0"/>
    <w:pPr>
      <w:adjustRightInd w:val="0"/>
      <w:spacing w:line="420" w:lineRule="atLeast"/>
      <w:jc w:val="left"/>
      <w:textAlignment w:val="baseline"/>
    </w:pPr>
    <w:rPr>
      <w:kern w:val="0"/>
    </w:rPr>
  </w:style>
  <w:style w:type="paragraph" w:customStyle="1" w:styleId="227">
    <w:name w:val="样式 首行缩进:  2 字符"/>
    <w:basedOn w:val="1"/>
    <w:qFormat/>
    <w:uiPriority w:val="0"/>
    <w:pPr>
      <w:widowControl/>
      <w:spacing w:line="400" w:lineRule="exact"/>
      <w:ind w:firstLine="200" w:firstLineChars="200"/>
      <w:jc w:val="left"/>
    </w:pPr>
    <w:rPr>
      <w:rFonts w:cs="宋体"/>
      <w:kern w:val="0"/>
    </w:rPr>
  </w:style>
  <w:style w:type="paragraph" w:customStyle="1" w:styleId="228">
    <w:name w:val="Char1"/>
    <w:basedOn w:val="1"/>
    <w:qFormat/>
    <w:uiPriority w:val="0"/>
    <w:pPr>
      <w:pageBreakBefore/>
      <w:spacing w:line="360" w:lineRule="auto"/>
    </w:pPr>
    <w:rPr>
      <w:sz w:val="28"/>
    </w:rPr>
  </w:style>
  <w:style w:type="paragraph" w:customStyle="1" w:styleId="229">
    <w:name w:val="标题2"/>
    <w:basedOn w:val="4"/>
    <w:next w:val="1"/>
    <w:qFormat/>
    <w:uiPriority w:val="0"/>
    <w:pPr>
      <w:snapToGrid w:val="0"/>
      <w:spacing w:before="120" w:after="120" w:line="240" w:lineRule="auto"/>
      <w:jc w:val="left"/>
    </w:pPr>
    <w:rPr>
      <w:rFonts w:ascii="Times New Roman" w:hAnsi="Times New Roman"/>
      <w:b w:val="0"/>
      <w:sz w:val="21"/>
      <w:szCs w:val="21"/>
    </w:rPr>
  </w:style>
  <w:style w:type="paragraph" w:customStyle="1" w:styleId="230">
    <w:name w:val="表格2"/>
    <w:basedOn w:val="1"/>
    <w:qFormat/>
    <w:uiPriority w:val="0"/>
    <w:pPr>
      <w:adjustRightInd w:val="0"/>
      <w:spacing w:before="60" w:after="60"/>
      <w:jc w:val="center"/>
    </w:pPr>
    <w:rPr>
      <w:rFonts w:ascii="宋体"/>
      <w:color w:val="000000"/>
      <w:kern w:val="0"/>
      <w:sz w:val="24"/>
    </w:rPr>
  </w:style>
  <w:style w:type="paragraph" w:customStyle="1" w:styleId="231">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32">
    <w:name w:val="XW正文"/>
    <w:basedOn w:val="23"/>
    <w:qFormat/>
    <w:uiPriority w:val="0"/>
    <w:pPr>
      <w:adjustRightInd w:val="0"/>
      <w:snapToGrid w:val="0"/>
      <w:spacing w:line="300" w:lineRule="auto"/>
      <w:ind w:firstLine="520" w:firstLineChars="200"/>
      <w:jc w:val="left"/>
    </w:pPr>
    <w:rPr>
      <w:kern w:val="0"/>
      <w:szCs w:val="24"/>
    </w:rPr>
  </w:style>
  <w:style w:type="paragraph" w:customStyle="1" w:styleId="233">
    <w:name w:val="样式 样式 标题 3小标题 1一、标题 3XW标题 3 Char Char Char Char Char Char Char....."/>
    <w:basedOn w:val="1"/>
    <w:qFormat/>
    <w:uiPriority w:val="0"/>
    <w:pPr>
      <w:keepNext/>
      <w:keepLines/>
      <w:spacing w:line="360" w:lineRule="auto"/>
      <w:jc w:val="left"/>
      <w:outlineLvl w:val="2"/>
    </w:pPr>
    <w:rPr>
      <w:rFonts w:ascii="宋体" w:hAnsi="宋体" w:cs="宋体"/>
      <w:b/>
      <w:bCs/>
      <w:color w:val="0000FF"/>
    </w:rPr>
  </w:style>
  <w:style w:type="paragraph" w:customStyle="1" w:styleId="234">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35">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236">
    <w:name w:val="表格"/>
    <w:basedOn w:val="1"/>
    <w:qFormat/>
    <w:uiPriority w:val="0"/>
    <w:pPr>
      <w:jc w:val="center"/>
      <w:textAlignment w:val="center"/>
    </w:pPr>
    <w:rPr>
      <w:rFonts w:ascii="华文细黑" w:hAnsi="华文细黑"/>
      <w:kern w:val="0"/>
    </w:rPr>
  </w:style>
  <w:style w:type="paragraph" w:customStyle="1" w:styleId="237">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38">
    <w:name w:val="_Style 12"/>
    <w:basedOn w:val="1"/>
    <w:qFormat/>
    <w:uiPriority w:val="0"/>
    <w:rPr>
      <w:sz w:val="28"/>
      <w:szCs w:val="28"/>
    </w:rPr>
  </w:style>
  <w:style w:type="paragraph" w:customStyle="1" w:styleId="23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40">
    <w:name w:val="Char2"/>
    <w:basedOn w:val="1"/>
    <w:qFormat/>
    <w:uiPriority w:val="0"/>
    <w:pPr>
      <w:ind w:left="432" w:hanging="432"/>
    </w:pPr>
    <w:rPr>
      <w:sz w:val="24"/>
    </w:rPr>
  </w:style>
  <w:style w:type="paragraph" w:customStyle="1" w:styleId="241">
    <w:name w:val="样式 标题 1 + 首行缩进:  2 字符"/>
    <w:basedOn w:val="3"/>
    <w:qFormat/>
    <w:uiPriority w:val="0"/>
    <w:pPr>
      <w:spacing w:before="0" w:after="0" w:line="576" w:lineRule="auto"/>
      <w:jc w:val="left"/>
    </w:pPr>
    <w:rPr>
      <w:rFonts w:cs="宋体"/>
      <w:spacing w:val="0"/>
      <w:sz w:val="44"/>
    </w:rPr>
  </w:style>
  <w:style w:type="paragraph" w:customStyle="1" w:styleId="242">
    <w:name w:val="_Style 7"/>
    <w:basedOn w:val="1"/>
    <w:qFormat/>
    <w:uiPriority w:val="0"/>
    <w:pPr>
      <w:pageBreakBefore/>
      <w:spacing w:line="360" w:lineRule="auto"/>
    </w:pPr>
  </w:style>
  <w:style w:type="paragraph" w:customStyle="1" w:styleId="24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4">
    <w:name w:val="Char Char Char Char Char Char Char Char Char Char"/>
    <w:basedOn w:val="1"/>
    <w:qFormat/>
    <w:uiPriority w:val="0"/>
  </w:style>
  <w:style w:type="paragraph" w:customStyle="1" w:styleId="245">
    <w:name w:val="t_black_12_b"/>
    <w:basedOn w:val="1"/>
    <w:qFormat/>
    <w:uiPriority w:val="0"/>
    <w:pPr>
      <w:widowControl/>
      <w:jc w:val="left"/>
    </w:pPr>
    <w:rPr>
      <w:rFonts w:ascii="宋体" w:hAnsi="宋体" w:cs="宋体"/>
      <w:b/>
      <w:bCs/>
      <w:color w:val="212121"/>
      <w:kern w:val="0"/>
      <w:sz w:val="9"/>
      <w:szCs w:val="9"/>
    </w:rPr>
  </w:style>
  <w:style w:type="paragraph" w:customStyle="1" w:styleId="246">
    <w:name w:val="4 Char Char Char Char Char Char Char Char Char Char Char Char Char Char Char Char Char Char Char Char Char Char"/>
    <w:basedOn w:val="1"/>
    <w:qFormat/>
    <w:uiPriority w:val="0"/>
  </w:style>
  <w:style w:type="paragraph" w:customStyle="1" w:styleId="24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48">
    <w:name w:val="Char Char Char Char Char Char Char Char Char Char Char Char Char"/>
    <w:basedOn w:val="1"/>
    <w:qFormat/>
    <w:uiPriority w:val="0"/>
    <w:rPr>
      <w:szCs w:val="24"/>
    </w:rPr>
  </w:style>
  <w:style w:type="character" w:customStyle="1" w:styleId="249">
    <w:name w:val="脚注文本 字符"/>
    <w:basedOn w:val="56"/>
    <w:link w:val="40"/>
    <w:qFormat/>
    <w:uiPriority w:val="0"/>
    <w:rPr>
      <w:kern w:val="2"/>
      <w:sz w:val="18"/>
      <w:szCs w:val="18"/>
    </w:rPr>
  </w:style>
  <w:style w:type="character" w:customStyle="1" w:styleId="250">
    <w:name w:val="样式 粉红 下划线"/>
    <w:qFormat/>
    <w:uiPriority w:val="0"/>
    <w:rPr>
      <w:color w:val="auto"/>
      <w:u w:val="none"/>
    </w:rPr>
  </w:style>
  <w:style w:type="character" w:customStyle="1" w:styleId="251">
    <w:name w:val="样式 粉红"/>
    <w:qFormat/>
    <w:uiPriority w:val="0"/>
    <w:rPr>
      <w:color w:val="auto"/>
      <w:u w:val="none"/>
    </w:rPr>
  </w:style>
  <w:style w:type="character" w:customStyle="1" w:styleId="252">
    <w:name w:val="正文文本首行缩进 字符"/>
    <w:basedOn w:val="125"/>
    <w:link w:val="52"/>
    <w:qFormat/>
    <w:uiPriority w:val="0"/>
    <w:rPr>
      <w:rFonts w:ascii="宋体" w:hAnsi="宋体"/>
      <w:color w:val="000000"/>
      <w:kern w:val="28"/>
      <w:sz w:val="21"/>
      <w:szCs w:val="21"/>
    </w:rPr>
  </w:style>
  <w:style w:type="paragraph" w:customStyle="1" w:styleId="253">
    <w:name w:val="范本-正文"/>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254">
    <w:name w:val="金安桥正文"/>
    <w:basedOn w:val="23"/>
    <w:qFormat/>
    <w:uiPriority w:val="0"/>
    <w:pPr>
      <w:adjustRightInd w:val="0"/>
      <w:spacing w:line="300" w:lineRule="auto"/>
      <w:ind w:firstLine="200" w:firstLineChars="200"/>
      <w:jc w:val="left"/>
    </w:pPr>
    <w:rPr>
      <w:kern w:val="0"/>
      <w:sz w:val="24"/>
    </w:rPr>
  </w:style>
  <w:style w:type="paragraph" w:customStyle="1" w:styleId="255">
    <w:name w:val="正  文"/>
    <w:basedOn w:val="1"/>
    <w:qFormat/>
    <w:uiPriority w:val="0"/>
    <w:pPr>
      <w:spacing w:line="360" w:lineRule="auto"/>
      <w:ind w:firstLine="200" w:firstLineChars="200"/>
    </w:pPr>
    <w:rPr>
      <w:rFonts w:ascii="宋体"/>
      <w:sz w:val="24"/>
      <w:szCs w:val="24"/>
    </w:rPr>
  </w:style>
  <w:style w:type="paragraph" w:customStyle="1" w:styleId="256">
    <w:name w:val="XW标题3"/>
    <w:basedOn w:val="232"/>
    <w:next w:val="232"/>
    <w:qFormat/>
    <w:uiPriority w:val="0"/>
    <w:pPr>
      <w:snapToGrid/>
      <w:spacing w:before="200" w:line="360" w:lineRule="auto"/>
      <w:ind w:firstLine="0" w:firstLineChars="0"/>
      <w:outlineLvl w:val="2"/>
    </w:pPr>
    <w:rPr>
      <w:rFonts w:ascii="Arial" w:hAnsi="Arial" w:eastAsia="黑体"/>
      <w:sz w:val="30"/>
      <w:szCs w:val="20"/>
    </w:rPr>
  </w:style>
  <w:style w:type="paragraph" w:customStyle="1" w:styleId="257">
    <w:name w:val="XW悬挂正文"/>
    <w:basedOn w:val="232"/>
    <w:qFormat/>
    <w:uiPriority w:val="0"/>
    <w:pPr>
      <w:snapToGrid/>
      <w:spacing w:line="360" w:lineRule="auto"/>
      <w:ind w:left="1474" w:hanging="340" w:firstLineChars="0"/>
    </w:pPr>
    <w:rPr>
      <w:rFonts w:hAnsi="宋体"/>
      <w:sz w:val="24"/>
      <w:szCs w:val="20"/>
    </w:rPr>
  </w:style>
  <w:style w:type="paragraph" w:customStyle="1" w:styleId="258">
    <w:name w:val="XW标题1"/>
    <w:basedOn w:val="232"/>
    <w:next w:val="232"/>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259">
    <w:name w:val="首页脚样式"/>
    <w:basedOn w:val="33"/>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60">
    <w:name w:val="标题3"/>
    <w:basedOn w:val="229"/>
    <w:qFormat/>
    <w:uiPriority w:val="0"/>
    <w:pPr>
      <w:snapToGrid/>
      <w:spacing w:before="0" w:after="0" w:line="360" w:lineRule="auto"/>
      <w:jc w:val="both"/>
      <w:outlineLvl w:val="0"/>
    </w:pPr>
    <w:rPr>
      <w:b/>
      <w:kern w:val="44"/>
    </w:rPr>
  </w:style>
  <w:style w:type="paragraph" w:customStyle="1" w:styleId="261">
    <w:name w:val="正文小标题"/>
    <w:basedOn w:val="1"/>
    <w:next w:val="22"/>
    <w:qFormat/>
    <w:uiPriority w:val="0"/>
    <w:pPr>
      <w:tabs>
        <w:tab w:val="left" w:pos="735"/>
        <w:tab w:val="left" w:pos="780"/>
      </w:tabs>
      <w:overflowPunct w:val="0"/>
      <w:autoSpaceDE w:val="0"/>
      <w:autoSpaceDN w:val="0"/>
      <w:adjustRightInd w:val="0"/>
      <w:ind w:firstLine="420" w:firstLineChars="200"/>
    </w:pPr>
    <w:rPr>
      <w:rFonts w:hAnsi="宋体"/>
      <w:kern w:val="0"/>
    </w:rPr>
  </w:style>
  <w:style w:type="paragraph" w:customStyle="1" w:styleId="262">
    <w:name w:val="基准标题"/>
    <w:basedOn w:val="22"/>
    <w:next w:val="22"/>
    <w:qFormat/>
    <w:uiPriority w:val="0"/>
    <w:pPr>
      <w:widowControl/>
      <w:tabs>
        <w:tab w:val="left" w:pos="6000"/>
        <w:tab w:val="left" w:pos="7680"/>
      </w:tabs>
      <w:adjustRightInd/>
      <w:spacing w:line="360" w:lineRule="auto"/>
      <w:ind w:firstLine="422" w:firstLineChars="200"/>
      <w:jc w:val="left"/>
    </w:pPr>
    <w:rPr>
      <w:rFonts w:ascii="Garamond" w:hAnsi="Garamond"/>
      <w:bCs w:val="0"/>
      <w:color w:val="auto"/>
      <w:kern w:val="0"/>
      <w:sz w:val="21"/>
    </w:rPr>
  </w:style>
  <w:style w:type="paragraph" w:customStyle="1" w:styleId="263">
    <w:name w:val="XW标题2"/>
    <w:basedOn w:val="232"/>
    <w:next w:val="232"/>
    <w:qFormat/>
    <w:uiPriority w:val="0"/>
    <w:pPr>
      <w:snapToGrid/>
      <w:spacing w:before="300" w:line="360" w:lineRule="auto"/>
      <w:ind w:firstLine="0" w:firstLineChars="0"/>
      <w:outlineLvl w:val="1"/>
    </w:pPr>
    <w:rPr>
      <w:rFonts w:ascii="Arial" w:hAnsi="Arial" w:eastAsia="黑体"/>
      <w:sz w:val="32"/>
      <w:szCs w:val="20"/>
    </w:rPr>
  </w:style>
  <w:style w:type="paragraph" w:customStyle="1" w:styleId="264">
    <w:name w:val="奇页脚样式"/>
    <w:basedOn w:val="33"/>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65">
    <w:name w:val="XW标题4"/>
    <w:basedOn w:val="232"/>
    <w:next w:val="232"/>
    <w:qFormat/>
    <w:uiPriority w:val="0"/>
    <w:pPr>
      <w:snapToGrid/>
      <w:spacing w:before="200" w:line="360" w:lineRule="auto"/>
      <w:ind w:firstLine="0" w:firstLineChars="0"/>
      <w:outlineLvl w:val="3"/>
    </w:pPr>
    <w:rPr>
      <w:rFonts w:hAnsi="宋体" w:eastAsia="仿宋_GB2312"/>
      <w:b/>
      <w:sz w:val="28"/>
      <w:szCs w:val="20"/>
    </w:rPr>
  </w:style>
  <w:style w:type="paragraph" w:customStyle="1" w:styleId="266">
    <w:name w:val="XW表名"/>
    <w:basedOn w:val="3"/>
    <w:qFormat/>
    <w:uiPriority w:val="0"/>
    <w:pPr>
      <w:keepNext w:val="0"/>
      <w:keepLines w:val="0"/>
      <w:adjustRightInd w:val="0"/>
      <w:spacing w:before="300" w:after="80"/>
      <w:outlineLvl w:val="9"/>
    </w:pPr>
    <w:rPr>
      <w:rFonts w:eastAsia="黑体"/>
      <w:b w:val="0"/>
      <w:spacing w:val="0"/>
      <w:sz w:val="24"/>
    </w:rPr>
  </w:style>
  <w:style w:type="paragraph" w:customStyle="1" w:styleId="267">
    <w:name w:val="XW表内文字"/>
    <w:basedOn w:val="1"/>
    <w:qFormat/>
    <w:uiPriority w:val="0"/>
    <w:pPr>
      <w:adjustRightInd w:val="0"/>
      <w:spacing w:before="60" w:after="60" w:line="300" w:lineRule="exact"/>
      <w:ind w:firstLine="422" w:firstLineChars="200"/>
      <w:jc w:val="center"/>
    </w:pPr>
    <w:rPr>
      <w:rFonts w:hAnsi="宋体"/>
      <w:kern w:val="0"/>
    </w:rPr>
  </w:style>
  <w:style w:type="paragraph" w:customStyle="1" w:styleId="268">
    <w:name w:val="XW图名表名"/>
    <w:basedOn w:val="1"/>
    <w:qFormat/>
    <w:uiPriority w:val="0"/>
    <w:pPr>
      <w:adjustRightInd w:val="0"/>
      <w:spacing w:before="120" w:after="60"/>
      <w:ind w:firstLine="422" w:firstLineChars="200"/>
      <w:jc w:val="center"/>
    </w:pPr>
    <w:rPr>
      <w:rFonts w:hAnsi="宋体" w:eastAsia="黑体"/>
      <w:kern w:val="0"/>
      <w:sz w:val="24"/>
    </w:rPr>
  </w:style>
  <w:style w:type="paragraph" w:customStyle="1" w:styleId="269">
    <w:name w:val="正文2"/>
    <w:basedOn w:val="1"/>
    <w:next w:val="1"/>
    <w:qFormat/>
    <w:uiPriority w:val="0"/>
    <w:pPr>
      <w:tabs>
        <w:tab w:val="left" w:pos="4025"/>
      </w:tabs>
      <w:spacing w:line="360" w:lineRule="auto"/>
      <w:ind w:left="4025" w:hanging="425" w:firstLineChars="200"/>
    </w:pPr>
    <w:rPr>
      <w:rFonts w:hAnsi="宋体"/>
      <w:sz w:val="24"/>
    </w:rPr>
  </w:style>
  <w:style w:type="paragraph" w:customStyle="1" w:styleId="270">
    <w:name w:val="目录"/>
    <w:basedOn w:val="1"/>
    <w:qFormat/>
    <w:uiPriority w:val="0"/>
    <w:pPr>
      <w:spacing w:before="240" w:after="600" w:line="560" w:lineRule="exact"/>
      <w:jc w:val="center"/>
    </w:pPr>
    <w:rPr>
      <w:rFonts w:eastAsia="黑体"/>
      <w:sz w:val="32"/>
      <w:szCs w:val="32"/>
    </w:rPr>
  </w:style>
  <w:style w:type="paragraph" w:customStyle="1" w:styleId="271">
    <w:name w:val="简单回函地址"/>
    <w:basedOn w:val="1"/>
    <w:qFormat/>
    <w:uiPriority w:val="0"/>
    <w:rPr>
      <w:szCs w:val="24"/>
    </w:rPr>
  </w:style>
  <w:style w:type="paragraph" w:customStyle="1" w:styleId="272">
    <w:name w:val="条款正文（三级标题）"/>
    <w:basedOn w:val="5"/>
    <w:qFormat/>
    <w:uiPriority w:val="0"/>
    <w:pPr>
      <w:keepNext w:val="0"/>
      <w:keepLines w:val="0"/>
      <w:tabs>
        <w:tab w:val="left" w:pos="720"/>
      </w:tabs>
      <w:autoSpaceDE w:val="0"/>
      <w:autoSpaceDN w:val="0"/>
      <w:adjustRightInd w:val="0"/>
      <w:spacing w:before="0" w:after="0" w:line="360" w:lineRule="auto"/>
      <w:ind w:firstLine="416" w:firstLineChars="198"/>
    </w:pPr>
    <w:rPr>
      <w:rFonts w:ascii="Times New Roman"/>
      <w:b w:val="0"/>
      <w:color w:val="000000"/>
      <w:kern w:val="24"/>
      <w:sz w:val="21"/>
    </w:rPr>
  </w:style>
  <w:style w:type="paragraph" w:customStyle="1" w:styleId="273">
    <w:name w:val="正文3"/>
    <w:basedOn w:val="1"/>
    <w:next w:val="1"/>
    <w:qFormat/>
    <w:uiPriority w:val="0"/>
    <w:pPr>
      <w:tabs>
        <w:tab w:val="left" w:pos="1276"/>
      </w:tabs>
      <w:autoSpaceDE w:val="0"/>
      <w:autoSpaceDN w:val="0"/>
      <w:adjustRightInd w:val="0"/>
      <w:spacing w:line="360" w:lineRule="auto"/>
      <w:ind w:left="1276" w:hanging="425" w:firstLineChars="200"/>
    </w:pPr>
    <w:rPr>
      <w:rFonts w:hAnsi="宋体"/>
      <w:spacing w:val="4"/>
      <w:sz w:val="24"/>
    </w:rPr>
  </w:style>
  <w:style w:type="paragraph" w:customStyle="1" w:styleId="274">
    <w:name w:val="标题一"/>
    <w:basedOn w:val="1"/>
    <w:qFormat/>
    <w:uiPriority w:val="0"/>
    <w:rPr>
      <w:b/>
      <w:sz w:val="30"/>
      <w:szCs w:val="24"/>
    </w:rPr>
  </w:style>
  <w:style w:type="character" w:customStyle="1" w:styleId="275">
    <w:name w:val="标题 1 Char1"/>
    <w:qFormat/>
    <w:uiPriority w:val="0"/>
    <w:rPr>
      <w:rFonts w:eastAsia="宋体"/>
      <w:b/>
      <w:bCs/>
      <w:kern w:val="44"/>
      <w:sz w:val="44"/>
      <w:szCs w:val="44"/>
      <w:lang w:val="en-US" w:eastAsia="zh-CN" w:bidi="ar-SA"/>
    </w:rPr>
  </w:style>
  <w:style w:type="character" w:customStyle="1" w:styleId="276">
    <w:name w:val="question-title2"/>
    <w:basedOn w:val="56"/>
    <w:qFormat/>
    <w:uiPriority w:val="0"/>
  </w:style>
  <w:style w:type="paragraph" w:customStyle="1" w:styleId="277">
    <w:name w:val="Char Char Char Char Char Char1 Char1"/>
    <w:basedOn w:val="1"/>
    <w:qFormat/>
    <w:uiPriority w:val="0"/>
    <w:pPr>
      <w:ind w:left="510"/>
    </w:pPr>
    <w:rPr>
      <w:szCs w:val="24"/>
    </w:rPr>
  </w:style>
  <w:style w:type="paragraph" w:customStyle="1" w:styleId="278">
    <w:name w:val="Char Char Char Char Char Char Char"/>
    <w:basedOn w:val="1"/>
    <w:next w:val="2"/>
    <w:qFormat/>
    <w:uiPriority w:val="0"/>
    <w:rPr>
      <w:sz w:val="28"/>
      <w:szCs w:val="28"/>
    </w:rPr>
  </w:style>
  <w:style w:type="paragraph" w:customStyle="1" w:styleId="279">
    <w:name w:val="Char Char Char Char Char Char"/>
    <w:basedOn w:val="1"/>
    <w:next w:val="2"/>
    <w:qFormat/>
    <w:uiPriority w:val="0"/>
    <w:rPr>
      <w:szCs w:val="24"/>
    </w:rPr>
  </w:style>
  <w:style w:type="paragraph" w:customStyle="1" w:styleId="280">
    <w:name w:val="正文4"/>
    <w:qFormat/>
    <w:uiPriority w:val="99"/>
    <w:pPr>
      <w:jc w:val="both"/>
    </w:pPr>
    <w:rPr>
      <w:rFonts w:ascii="Times New Roman" w:hAnsi="Times New Roman" w:eastAsia="宋体" w:cs="Times New Roman"/>
      <w:kern w:val="2"/>
      <w:sz w:val="21"/>
      <w:szCs w:val="21"/>
      <w:lang w:val="en-US" w:eastAsia="zh-CN" w:bidi="ar-SA"/>
    </w:rPr>
  </w:style>
  <w:style w:type="paragraph" w:customStyle="1" w:styleId="281">
    <w:name w:val="Char Char Char Char Char Char1 Char Char Char Char Char Char Char Char Char Char Char Char Char"/>
    <w:basedOn w:val="1"/>
    <w:qFormat/>
    <w:uiPriority w:val="99"/>
    <w:rPr>
      <w:szCs w:val="24"/>
    </w:rPr>
  </w:style>
  <w:style w:type="character" w:customStyle="1" w:styleId="282">
    <w:name w:val="正文文本 Char1"/>
    <w:qFormat/>
    <w:uiPriority w:val="0"/>
    <w:rPr>
      <w:kern w:val="2"/>
      <w:sz w:val="21"/>
      <w:szCs w:val="22"/>
    </w:rPr>
  </w:style>
  <w:style w:type="character" w:customStyle="1" w:styleId="283">
    <w:name w:val="明显强调1"/>
    <w:qFormat/>
    <w:uiPriority w:val="0"/>
    <w:rPr>
      <w:b/>
      <w:bCs/>
      <w:i/>
      <w:iCs/>
      <w:color w:val="4F81BD"/>
    </w:rPr>
  </w:style>
  <w:style w:type="character" w:customStyle="1" w:styleId="284">
    <w:name w:val="批注主题 Char1"/>
    <w:qFormat/>
    <w:uiPriority w:val="0"/>
    <w:rPr>
      <w:b/>
      <w:bCs/>
      <w:kern w:val="2"/>
      <w:sz w:val="21"/>
      <w:szCs w:val="22"/>
    </w:rPr>
  </w:style>
  <w:style w:type="character" w:customStyle="1" w:styleId="285">
    <w:name w:val="批注框文本 Char1"/>
    <w:qFormat/>
    <w:uiPriority w:val="0"/>
    <w:rPr>
      <w:kern w:val="2"/>
      <w:sz w:val="18"/>
      <w:szCs w:val="18"/>
    </w:rPr>
  </w:style>
  <w:style w:type="character" w:customStyle="1" w:styleId="286">
    <w:name w:val="书籍标题1"/>
    <w:qFormat/>
    <w:uiPriority w:val="0"/>
    <w:rPr>
      <w:b/>
      <w:bCs/>
      <w:smallCaps/>
      <w:spacing w:val="5"/>
    </w:rPr>
  </w:style>
  <w:style w:type="character" w:customStyle="1" w:styleId="287">
    <w:name w:val="副标题 字符"/>
    <w:link w:val="38"/>
    <w:qFormat/>
    <w:uiPriority w:val="99"/>
    <w:rPr>
      <w:rFonts w:ascii="Cambria" w:hAnsi="Cambria"/>
      <w:b/>
      <w:bCs/>
      <w:kern w:val="28"/>
      <w:sz w:val="32"/>
      <w:szCs w:val="32"/>
    </w:rPr>
  </w:style>
  <w:style w:type="character" w:customStyle="1" w:styleId="288">
    <w:name w:val="副标题 Char1"/>
    <w:basedOn w:val="56"/>
    <w:qFormat/>
    <w:uiPriority w:val="0"/>
    <w:rPr>
      <w:rFonts w:asciiTheme="majorHAnsi" w:hAnsiTheme="majorHAnsi" w:cstheme="majorBidi"/>
      <w:b/>
      <w:bCs/>
      <w:kern w:val="28"/>
      <w:sz w:val="32"/>
      <w:szCs w:val="32"/>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不明显强调1"/>
    <w:qFormat/>
    <w:uiPriority w:val="0"/>
    <w:rPr>
      <w:i/>
      <w:iCs/>
      <w:color w:val="808080"/>
    </w:rPr>
  </w:style>
  <w:style w:type="character" w:customStyle="1" w:styleId="291">
    <w:name w:val="不明显参考1"/>
    <w:qFormat/>
    <w:uiPriority w:val="0"/>
    <w:rPr>
      <w:smallCaps/>
      <w:color w:val="C0504D"/>
      <w:u w:val="single"/>
    </w:rPr>
  </w:style>
  <w:style w:type="character" w:customStyle="1" w:styleId="292">
    <w:name w:val="明显参考1"/>
    <w:qFormat/>
    <w:uiPriority w:val="0"/>
    <w:rPr>
      <w:b/>
      <w:bCs/>
      <w:smallCaps/>
      <w:color w:val="C0504D"/>
      <w:spacing w:val="5"/>
      <w:u w:val="single"/>
    </w:rPr>
  </w:style>
  <w:style w:type="character" w:customStyle="1" w:styleId="293">
    <w:name w:val="标题5 Char Char"/>
    <w:link w:val="294"/>
    <w:qFormat/>
    <w:uiPriority w:val="0"/>
    <w:rPr>
      <w:rFonts w:ascii="Arial" w:hAnsi="Arial"/>
      <w:b/>
      <w:bCs/>
      <w:sz w:val="24"/>
      <w:szCs w:val="32"/>
    </w:rPr>
  </w:style>
  <w:style w:type="paragraph" w:customStyle="1" w:styleId="294">
    <w:name w:val="标题5"/>
    <w:basedOn w:val="5"/>
    <w:link w:val="293"/>
    <w:qFormat/>
    <w:uiPriority w:val="0"/>
    <w:pPr>
      <w:spacing w:before="260" w:after="260" w:line="413" w:lineRule="auto"/>
      <w:ind w:firstLine="0"/>
    </w:pPr>
    <w:rPr>
      <w:rFonts w:ascii="Arial" w:hAnsi="Arial"/>
      <w:bCs/>
      <w:kern w:val="0"/>
      <w:szCs w:val="32"/>
    </w:rPr>
  </w:style>
  <w:style w:type="character" w:customStyle="1" w:styleId="295">
    <w:name w:val="明显引用 字符"/>
    <w:link w:val="296"/>
    <w:qFormat/>
    <w:uiPriority w:val="99"/>
    <w:rPr>
      <w:b/>
      <w:bCs/>
      <w:i/>
      <w:iCs/>
      <w:color w:val="4F81BD"/>
    </w:rPr>
  </w:style>
  <w:style w:type="paragraph" w:styleId="296">
    <w:name w:val="Intense Quote"/>
    <w:basedOn w:val="1"/>
    <w:next w:val="1"/>
    <w:link w:val="295"/>
    <w:qFormat/>
    <w:uiPriority w:val="99"/>
    <w:pPr>
      <w:pBdr>
        <w:bottom w:val="single" w:color="4F81BD" w:sz="4" w:space="4"/>
      </w:pBdr>
      <w:spacing w:before="200" w:after="280"/>
      <w:ind w:left="936" w:right="936"/>
    </w:pPr>
    <w:rPr>
      <w:b/>
      <w:bCs/>
      <w:i/>
      <w:iCs/>
      <w:color w:val="4F81BD"/>
      <w:kern w:val="0"/>
      <w:sz w:val="20"/>
    </w:rPr>
  </w:style>
  <w:style w:type="character" w:customStyle="1" w:styleId="297">
    <w:name w:val="明显引用 Char1"/>
    <w:basedOn w:val="56"/>
    <w:qFormat/>
    <w:uiPriority w:val="0"/>
    <w:rPr>
      <w:b/>
      <w:bCs/>
      <w:i/>
      <w:iCs/>
      <w:color w:val="4F81BD" w:themeColor="accent1"/>
      <w:kern w:val="2"/>
      <w:sz w:val="21"/>
      <w14:textFill>
        <w14:solidFill>
          <w14:schemeClr w14:val="accent1"/>
        </w14:solidFill>
      </w14:textFill>
    </w:rPr>
  </w:style>
  <w:style w:type="character" w:customStyle="1" w:styleId="298">
    <w:name w:val="日期 Char1"/>
    <w:qFormat/>
    <w:uiPriority w:val="0"/>
    <w:rPr>
      <w:kern w:val="2"/>
      <w:sz w:val="21"/>
      <w:szCs w:val="22"/>
    </w:rPr>
  </w:style>
  <w:style w:type="character" w:customStyle="1" w:styleId="299">
    <w:name w:val="文档结构图 Char1"/>
    <w:qFormat/>
    <w:uiPriority w:val="0"/>
    <w:rPr>
      <w:rFonts w:ascii="宋体"/>
      <w:kern w:val="2"/>
      <w:sz w:val="18"/>
      <w:szCs w:val="18"/>
    </w:rPr>
  </w:style>
  <w:style w:type="character" w:customStyle="1" w:styleId="300">
    <w:name w:val="textcontents"/>
    <w:qFormat/>
    <w:uiPriority w:val="0"/>
    <w:rPr>
      <w:rFonts w:cs="Times New Roman"/>
    </w:rPr>
  </w:style>
  <w:style w:type="character" w:customStyle="1" w:styleId="301">
    <w:name w:val="引用 字符"/>
    <w:link w:val="302"/>
    <w:qFormat/>
    <w:uiPriority w:val="99"/>
    <w:rPr>
      <w:i/>
      <w:iCs/>
      <w:color w:val="000000"/>
    </w:rPr>
  </w:style>
  <w:style w:type="paragraph" w:styleId="302">
    <w:name w:val="Quote"/>
    <w:basedOn w:val="1"/>
    <w:next w:val="1"/>
    <w:link w:val="301"/>
    <w:qFormat/>
    <w:uiPriority w:val="99"/>
    <w:rPr>
      <w:i/>
      <w:iCs/>
      <w:color w:val="000000"/>
      <w:kern w:val="0"/>
      <w:sz w:val="20"/>
    </w:rPr>
  </w:style>
  <w:style w:type="character" w:customStyle="1" w:styleId="303">
    <w:name w:val="引用 Char1"/>
    <w:basedOn w:val="56"/>
    <w:qFormat/>
    <w:uiPriority w:val="0"/>
    <w:rPr>
      <w:i/>
      <w:iCs/>
      <w:color w:val="000000" w:themeColor="text1"/>
      <w:kern w:val="2"/>
      <w:sz w:val="21"/>
      <w14:textFill>
        <w14:solidFill>
          <w14:schemeClr w14:val="tx1"/>
        </w14:solidFill>
      </w14:textFill>
    </w:rPr>
  </w:style>
  <w:style w:type="character" w:customStyle="1" w:styleId="304">
    <w:name w:val="Char Char Char1"/>
    <w:qFormat/>
    <w:uiPriority w:val="0"/>
    <w:rPr>
      <w:rFonts w:ascii="Verdana" w:hAnsi="Verdana" w:eastAsia="黑体"/>
      <w:lang w:eastAsia="en-US"/>
    </w:rPr>
  </w:style>
  <w:style w:type="character" w:customStyle="1" w:styleId="305">
    <w:name w:val="副标题 Char2"/>
    <w:basedOn w:val="56"/>
    <w:qFormat/>
    <w:uiPriority w:val="0"/>
    <w:rPr>
      <w:rFonts w:ascii="Cambria" w:hAnsi="Cambria" w:cs="Times New Roman"/>
      <w:b/>
      <w:bCs/>
      <w:kern w:val="28"/>
      <w:sz w:val="32"/>
      <w:szCs w:val="32"/>
    </w:rPr>
  </w:style>
  <w:style w:type="character" w:customStyle="1" w:styleId="306">
    <w:name w:val="明显引用 Char2"/>
    <w:basedOn w:val="56"/>
    <w:qFormat/>
    <w:uiPriority w:val="30"/>
    <w:rPr>
      <w:b/>
      <w:bCs/>
      <w:i/>
      <w:iCs/>
      <w:color w:val="4F81BD"/>
    </w:rPr>
  </w:style>
  <w:style w:type="paragraph" w:styleId="307">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8">
    <w:name w:val="Char Char Char Char Char Char Char1"/>
    <w:basedOn w:val="1"/>
    <w:qFormat/>
    <w:uiPriority w:val="99"/>
    <w:pPr>
      <w:jc w:val="left"/>
    </w:pPr>
    <w:rPr>
      <w:rFonts w:ascii="宋体" w:hAnsi="宋体" w:cs="宋体"/>
      <w:kern w:val="0"/>
      <w:sz w:val="24"/>
      <w:szCs w:val="24"/>
    </w:rPr>
  </w:style>
  <w:style w:type="character" w:customStyle="1" w:styleId="309">
    <w:name w:val="引用 Char2"/>
    <w:basedOn w:val="56"/>
    <w:qFormat/>
    <w:uiPriority w:val="29"/>
    <w:rPr>
      <w:i/>
      <w:iCs/>
      <w:color w:val="000000"/>
    </w:rPr>
  </w:style>
  <w:style w:type="paragraph" w:customStyle="1" w:styleId="310">
    <w:name w:val="Char11"/>
    <w:basedOn w:val="1"/>
    <w:qFormat/>
    <w:uiPriority w:val="99"/>
    <w:rPr>
      <w:rFonts w:ascii="仿宋_GB2312" w:eastAsia="仿宋_GB2312"/>
      <w:b/>
      <w:sz w:val="32"/>
      <w:szCs w:val="32"/>
    </w:rPr>
  </w:style>
  <w:style w:type="paragraph" w:customStyle="1" w:styleId="311">
    <w:name w:val="Char12"/>
    <w:basedOn w:val="1"/>
    <w:qFormat/>
    <w:uiPriority w:val="99"/>
    <w:pPr>
      <w:pageBreakBefore/>
      <w:spacing w:line="360" w:lineRule="auto"/>
    </w:pPr>
    <w:rPr>
      <w:sz w:val="28"/>
    </w:rPr>
  </w:style>
  <w:style w:type="paragraph" w:customStyle="1" w:styleId="312">
    <w:name w:val="flNote"/>
    <w:basedOn w:val="1"/>
    <w:qFormat/>
    <w:uiPriority w:val="99"/>
    <w:pPr>
      <w:adjustRightInd w:val="0"/>
      <w:spacing w:before="320" w:after="160" w:line="360" w:lineRule="atLeast"/>
      <w:jc w:val="center"/>
    </w:pPr>
    <w:rPr>
      <w:rFonts w:ascii="Arial" w:eastAsia="黑体"/>
      <w:kern w:val="0"/>
      <w:sz w:val="30"/>
    </w:rPr>
  </w:style>
  <w:style w:type="paragraph" w:customStyle="1" w:styleId="313">
    <w:name w:val="空半行"/>
    <w:basedOn w:val="1"/>
    <w:qFormat/>
    <w:uiPriority w:val="99"/>
    <w:pPr>
      <w:adjustRightInd w:val="0"/>
      <w:spacing w:line="120" w:lineRule="exact"/>
    </w:pPr>
    <w:rPr>
      <w:rFonts w:eastAsia="仿宋_GB2312"/>
      <w:color w:val="FFFFFF"/>
      <w:kern w:val="0"/>
      <w:sz w:val="30"/>
    </w:rPr>
  </w:style>
  <w:style w:type="character" w:customStyle="1" w:styleId="314">
    <w:name w:val="标题 Char1"/>
    <w:basedOn w:val="56"/>
    <w:qFormat/>
    <w:locked/>
    <w:uiPriority w:val="0"/>
    <w:rPr>
      <w:rFonts w:ascii="Cambria" w:hAnsi="Cambria"/>
      <w:b/>
      <w:bCs/>
      <w:kern w:val="2"/>
      <w:sz w:val="32"/>
      <w:szCs w:val="32"/>
    </w:rPr>
  </w:style>
  <w:style w:type="character" w:customStyle="1" w:styleId="315">
    <w:name w:val="正文文本 Char2"/>
    <w:basedOn w:val="56"/>
    <w:qFormat/>
    <w:locked/>
    <w:uiPriority w:val="0"/>
  </w:style>
  <w:style w:type="paragraph" w:customStyle="1" w:styleId="316">
    <w:name w:val="Normal_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17">
    <w:name w:val="标题 1 字符1"/>
    <w:basedOn w:val="56"/>
    <w:qFormat/>
    <w:uiPriority w:val="0"/>
    <w:rPr>
      <w:b/>
      <w:bCs/>
      <w:kern w:val="44"/>
      <w:sz w:val="44"/>
      <w:szCs w:val="44"/>
    </w:rPr>
  </w:style>
  <w:style w:type="paragraph" w:customStyle="1" w:styleId="3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19">
    <w:name w:val="副标题 字符1"/>
    <w:basedOn w:val="56"/>
    <w:qFormat/>
    <w:uiPriority w:val="11"/>
    <w:rPr>
      <w:rFonts w:hint="default" w:asciiTheme="minorHAnsi" w:hAnsiTheme="minorHAnsi" w:eastAsiaTheme="minorEastAsia" w:cstheme="minorBidi"/>
      <w:b/>
      <w:bCs/>
      <w:kern w:val="28"/>
      <w:sz w:val="32"/>
      <w:szCs w:val="32"/>
    </w:rPr>
  </w:style>
  <w:style w:type="character" w:customStyle="1" w:styleId="320">
    <w:name w:val="明显引用 字符1"/>
    <w:basedOn w:val="56"/>
    <w:qFormat/>
    <w:uiPriority w:val="30"/>
    <w:rPr>
      <w:i/>
      <w:iCs/>
      <w:color w:val="4F81BD" w:themeColor="accent1"/>
      <w14:textFill>
        <w14:solidFill>
          <w14:schemeClr w14:val="accent1"/>
        </w14:solidFill>
      </w14:textFill>
    </w:rPr>
  </w:style>
  <w:style w:type="character" w:customStyle="1" w:styleId="321">
    <w:name w:val="引用 字符1"/>
    <w:basedOn w:val="56"/>
    <w:qFormat/>
    <w:uiPriority w:val="29"/>
    <w:rPr>
      <w:i/>
      <w:iCs/>
      <w:color w:val="404040" w:themeColor="text1" w:themeTint="BF"/>
      <w14:textFill>
        <w14:solidFill>
          <w14:schemeClr w14:val="tx1">
            <w14:lumMod w14:val="75000"/>
            <w14:lumOff w14:val="25000"/>
          </w14:schemeClr>
        </w14:solidFill>
      </w14:textFill>
    </w:rPr>
  </w:style>
  <w:style w:type="paragraph" w:customStyle="1" w:styleId="322">
    <w:name w:val="正文_5_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323">
    <w:name w:val="Normal_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4">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5">
    <w:name w:val="10"/>
    <w:basedOn w:val="56"/>
    <w:qFormat/>
    <w:uiPriority w:val="0"/>
    <w:rPr>
      <w:rFonts w:hint="default" w:ascii="Times New Roman" w:hAnsi="Times New Roman" w:cs="Times New Roman"/>
    </w:rPr>
  </w:style>
  <w:style w:type="character" w:customStyle="1" w:styleId="326">
    <w:name w:val="p0 Char"/>
    <w:link w:val="65"/>
    <w:qFormat/>
    <w:uiPriority w:val="0"/>
    <w:rPr>
      <w:sz w:val="21"/>
      <w:szCs w:val="21"/>
    </w:rPr>
  </w:style>
  <w:style w:type="character" w:customStyle="1" w:styleId="327">
    <w:name w:val="未处理的提及1"/>
    <w:basedOn w:val="56"/>
    <w:semiHidden/>
    <w:unhideWhenUsed/>
    <w:qFormat/>
    <w:uiPriority w:val="99"/>
    <w:rPr>
      <w:color w:val="605E5C"/>
      <w:shd w:val="clear" w:color="auto" w:fill="E1DFDD"/>
    </w:rPr>
  </w:style>
  <w:style w:type="character" w:customStyle="1" w:styleId="328">
    <w:name w:val="Char Char8"/>
    <w:qFormat/>
    <w:uiPriority w:val="0"/>
    <w:rPr>
      <w:rFonts w:hint="default" w:ascii="Arial" w:hAnsi="Arial" w:eastAsia="黑体" w:cs="Arial"/>
      <w:b/>
      <w:bCs/>
      <w:kern w:val="2"/>
      <w:sz w:val="32"/>
      <w:szCs w:val="32"/>
      <w:lang w:val="en-US" w:eastAsia="zh-CN" w:bidi="ar-SA"/>
    </w:rPr>
  </w:style>
  <w:style w:type="paragraph" w:customStyle="1" w:styleId="329">
    <w:name w:val="Table Paragraph"/>
    <w:basedOn w:val="1"/>
    <w:qFormat/>
    <w:uiPriority w:val="1"/>
    <w:pPr>
      <w:autoSpaceDE w:val="0"/>
      <w:autoSpaceDN w:val="0"/>
      <w:spacing w:before="2"/>
      <w:jc w:val="left"/>
    </w:pPr>
    <w:rPr>
      <w:rFonts w:ascii="宋体" w:hAnsi="宋体" w:cs="宋体"/>
      <w:kern w:val="0"/>
      <w:sz w:val="22"/>
      <w:szCs w:val="22"/>
      <w:lang w:eastAsia="en-US"/>
    </w:rPr>
  </w:style>
  <w:style w:type="character" w:customStyle="1" w:styleId="330">
    <w:name w:val="日期 字符1"/>
    <w:basedOn w:val="56"/>
    <w:qFormat/>
    <w:uiPriority w:val="0"/>
    <w:rPr>
      <w:rFonts w:ascii="Times New Roman" w:hAnsi="Times New Roman" w:eastAsia="宋体" w:cs="Times New Roman"/>
      <w:szCs w:val="20"/>
    </w:rPr>
  </w:style>
  <w:style w:type="character" w:customStyle="1" w:styleId="331">
    <w:name w:val="宏文本 字符1"/>
    <w:basedOn w:val="56"/>
    <w:semiHidden/>
    <w:qFormat/>
    <w:uiPriority w:val="99"/>
    <w:rPr>
      <w:rFonts w:ascii="Courier New" w:hAnsi="Courier New" w:eastAsia="宋体" w:cs="Courier New"/>
      <w:sz w:val="24"/>
      <w:szCs w:val="24"/>
    </w:rPr>
  </w:style>
  <w:style w:type="character" w:customStyle="1" w:styleId="332">
    <w:name w:val="正文文本首行缩进 2 字符1"/>
    <w:basedOn w:val="127"/>
    <w:semiHidden/>
    <w:qFormat/>
    <w:uiPriority w:val="99"/>
    <w:rPr>
      <w:rFonts w:ascii="Times New Roman" w:hAnsi="Times New Roman" w:eastAsia="宋体" w:cs="Times New Roman"/>
      <w:kern w:val="2"/>
      <w:sz w:val="21"/>
      <w:szCs w:val="20"/>
    </w:rPr>
  </w:style>
  <w:style w:type="character" w:customStyle="1" w:styleId="333">
    <w:name w:val="未处理的提及2"/>
    <w:basedOn w:val="56"/>
    <w:semiHidden/>
    <w:unhideWhenUsed/>
    <w:qFormat/>
    <w:uiPriority w:val="99"/>
    <w:rPr>
      <w:color w:val="605E5C"/>
      <w:shd w:val="clear" w:color="auto" w:fill="E1DFDD"/>
    </w:rPr>
  </w:style>
  <w:style w:type="table" w:customStyle="1" w:styleId="334">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5">
    <w:name w:val="p16"/>
    <w:basedOn w:val="1"/>
    <w:qFormat/>
    <w:uiPriority w:val="0"/>
    <w:pPr>
      <w:widowControl/>
    </w:pPr>
    <w:rPr>
      <w:rFonts w:ascii="Calibri" w:hAnsi="Calibri" w:cs="宋体"/>
      <w:kern w:val="0"/>
      <w:szCs w:val="21"/>
    </w:rPr>
  </w:style>
  <w:style w:type="character" w:customStyle="1" w:styleId="336">
    <w:name w:val="正文文本缩进 字符1"/>
    <w:basedOn w:val="56"/>
    <w:qFormat/>
    <w:uiPriority w:val="99"/>
  </w:style>
  <w:style w:type="character" w:customStyle="1" w:styleId="337">
    <w:name w:val="未处理的提及3"/>
    <w:basedOn w:val="56"/>
    <w:semiHidden/>
    <w:unhideWhenUsed/>
    <w:qFormat/>
    <w:uiPriority w:val="99"/>
    <w:rPr>
      <w:color w:val="605E5C"/>
      <w:shd w:val="clear" w:color="auto" w:fill="E1DFDD"/>
    </w:rPr>
  </w:style>
  <w:style w:type="paragraph" w:customStyle="1" w:styleId="338">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character" w:customStyle="1" w:styleId="339">
    <w:name w:val="gyy正文 Char2"/>
    <w:link w:val="340"/>
    <w:qFormat/>
    <w:uiPriority w:val="0"/>
    <w:rPr>
      <w:rFonts w:cs="宋体"/>
      <w:snapToGrid w:val="0"/>
      <w:sz w:val="28"/>
    </w:rPr>
  </w:style>
  <w:style w:type="paragraph" w:customStyle="1" w:styleId="340">
    <w:name w:val="gyy正文"/>
    <w:basedOn w:val="1"/>
    <w:link w:val="339"/>
    <w:qFormat/>
    <w:uiPriority w:val="0"/>
    <w:pPr>
      <w:snapToGrid w:val="0"/>
      <w:spacing w:line="360" w:lineRule="auto"/>
      <w:ind w:firstLine="200" w:firstLineChars="200"/>
    </w:pPr>
    <w:rPr>
      <w:rFonts w:cs="宋体"/>
      <w:snapToGrid w:val="0"/>
      <w:kern w:val="0"/>
      <w:sz w:val="28"/>
    </w:rPr>
  </w:style>
  <w:style w:type="character" w:customStyle="1" w:styleId="341">
    <w:name w:val="font41"/>
    <w:qFormat/>
    <w:uiPriority w:val="0"/>
    <w:rPr>
      <w:rFonts w:hint="eastAsia" w:ascii="宋体" w:hAnsi="宋体" w:eastAsia="宋体" w:cs="宋体"/>
      <w:color w:val="000000"/>
      <w:sz w:val="32"/>
      <w:szCs w:val="32"/>
      <w:u w:val="none"/>
    </w:rPr>
  </w:style>
  <w:style w:type="character" w:customStyle="1" w:styleId="342">
    <w:name w:val="16"/>
    <w:qFormat/>
    <w:uiPriority w:val="0"/>
    <w:rPr>
      <w:rFonts w:hint="eastAsia" w:ascii="仿宋_GB2312" w:eastAsia="仿宋_GB2312"/>
      <w:color w:val="000000"/>
      <w:sz w:val="24"/>
      <w:szCs w:val="24"/>
      <w:vertAlign w:val="superscript"/>
    </w:rPr>
  </w:style>
  <w:style w:type="character" w:customStyle="1" w:styleId="343">
    <w:name w:val="4号字26磅sd Char"/>
    <w:link w:val="344"/>
    <w:qFormat/>
    <w:uiPriority w:val="0"/>
    <w:rPr>
      <w:rFonts w:ascii="宋体" w:hAnsi="宋体" w:cs="宋体"/>
      <w:color w:val="000000"/>
      <w:sz w:val="28"/>
      <w:szCs w:val="28"/>
    </w:rPr>
  </w:style>
  <w:style w:type="paragraph" w:customStyle="1" w:styleId="344">
    <w:name w:val="4号字26磅sd"/>
    <w:link w:val="343"/>
    <w:qFormat/>
    <w:uiPriority w:val="0"/>
    <w:pPr>
      <w:spacing w:line="520" w:lineRule="exact"/>
      <w:ind w:firstLine="200" w:firstLineChars="200"/>
    </w:pPr>
    <w:rPr>
      <w:rFonts w:ascii="宋体" w:hAnsi="宋体" w:eastAsia="宋体" w:cs="宋体"/>
      <w:color w:val="000000"/>
      <w:sz w:val="28"/>
      <w:szCs w:val="28"/>
      <w:lang w:val="en-US" w:eastAsia="zh-CN" w:bidi="ar-SA"/>
    </w:rPr>
  </w:style>
  <w:style w:type="character" w:customStyle="1" w:styleId="345">
    <w:name w:val="font101"/>
    <w:qFormat/>
    <w:uiPriority w:val="0"/>
    <w:rPr>
      <w:rFonts w:hint="default" w:ascii="Times New Roman" w:hAnsi="Times New Roman" w:cs="Times New Roman"/>
      <w:color w:val="000000"/>
      <w:sz w:val="20"/>
      <w:szCs w:val="20"/>
      <w:u w:val="none"/>
    </w:rPr>
  </w:style>
  <w:style w:type="character" w:customStyle="1" w:styleId="346">
    <w:name w:val="font71"/>
    <w:qFormat/>
    <w:uiPriority w:val="0"/>
    <w:rPr>
      <w:rFonts w:hint="eastAsia" w:ascii="宋体" w:hAnsi="宋体" w:eastAsia="宋体" w:cs="宋体"/>
      <w:color w:val="000000"/>
      <w:sz w:val="20"/>
      <w:szCs w:val="20"/>
      <w:u w:val="none"/>
    </w:rPr>
  </w:style>
  <w:style w:type="character" w:customStyle="1" w:styleId="347">
    <w:name w:val="font91"/>
    <w:qFormat/>
    <w:uiPriority w:val="0"/>
    <w:rPr>
      <w:rFonts w:hint="default" w:ascii="Times New Roman" w:hAnsi="Times New Roman" w:cs="Times New Roman"/>
      <w:color w:val="000000"/>
      <w:sz w:val="20"/>
      <w:szCs w:val="20"/>
      <w:u w:val="none"/>
    </w:rPr>
  </w:style>
  <w:style w:type="character" w:customStyle="1" w:styleId="348">
    <w:name w:val="font112"/>
    <w:qFormat/>
    <w:uiPriority w:val="0"/>
    <w:rPr>
      <w:rFonts w:hint="default" w:ascii="Times New Roman" w:hAnsi="Times New Roman" w:cs="Times New Roman"/>
      <w:color w:val="000000"/>
      <w:sz w:val="20"/>
      <w:szCs w:val="20"/>
      <w:u w:val="none"/>
    </w:rPr>
  </w:style>
  <w:style w:type="character" w:customStyle="1" w:styleId="349">
    <w:name w:val="font81"/>
    <w:qFormat/>
    <w:uiPriority w:val="0"/>
    <w:rPr>
      <w:rFonts w:hint="eastAsia" w:ascii="宋体" w:hAnsi="宋体" w:eastAsia="宋体" w:cs="宋体"/>
      <w:b/>
      <w:bCs/>
      <w:color w:val="000000"/>
      <w:sz w:val="18"/>
      <w:szCs w:val="18"/>
      <w:u w:val="none"/>
    </w:rPr>
  </w:style>
  <w:style w:type="character" w:customStyle="1" w:styleId="350">
    <w:name w:val="正文文本 字符1"/>
    <w:basedOn w:val="56"/>
    <w:semiHidden/>
    <w:qFormat/>
    <w:uiPriority w:val="99"/>
  </w:style>
  <w:style w:type="character" w:customStyle="1" w:styleId="351">
    <w:name w:val="文档结构图 字符1"/>
    <w:basedOn w:val="56"/>
    <w:semiHidden/>
    <w:qFormat/>
    <w:uiPriority w:val="99"/>
    <w:rPr>
      <w:rFonts w:ascii="Microsoft YaHei UI" w:eastAsia="Microsoft YaHei UI"/>
      <w:sz w:val="18"/>
      <w:szCs w:val="18"/>
    </w:rPr>
  </w:style>
  <w:style w:type="character" w:customStyle="1" w:styleId="352">
    <w:name w:val="标题 字符1"/>
    <w:basedOn w:val="56"/>
    <w:qFormat/>
    <w:uiPriority w:val="10"/>
    <w:rPr>
      <w:rFonts w:asciiTheme="majorHAnsi" w:hAnsiTheme="majorHAnsi" w:eastAsiaTheme="majorEastAsia" w:cstheme="majorBidi"/>
      <w:b/>
      <w:bCs/>
      <w:sz w:val="32"/>
      <w:szCs w:val="32"/>
    </w:rPr>
  </w:style>
  <w:style w:type="paragraph" w:customStyle="1" w:styleId="35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54">
    <w:name w:val="TOC 标题2"/>
    <w:basedOn w:val="3"/>
    <w:next w:val="1"/>
    <w:qFormat/>
    <w:uiPriority w:val="39"/>
    <w:pPr>
      <w:widowControl/>
      <w:spacing w:before="480" w:after="0" w:line="276" w:lineRule="auto"/>
      <w:jc w:val="left"/>
      <w:outlineLvl w:val="9"/>
    </w:pPr>
    <w:rPr>
      <w:rFonts w:ascii="Cambria" w:hAnsi="Cambria"/>
      <w:bCs/>
      <w:color w:val="365F91"/>
      <w:spacing w:val="0"/>
      <w:kern w:val="0"/>
      <w:sz w:val="28"/>
      <w:szCs w:val="28"/>
    </w:rPr>
  </w:style>
  <w:style w:type="paragraph" w:customStyle="1" w:styleId="355">
    <w:name w:val="DD五号字"/>
    <w:basedOn w:val="356"/>
    <w:qFormat/>
    <w:uiPriority w:val="0"/>
    <w:pPr>
      <w:spacing w:line="400" w:lineRule="exact"/>
      <w:ind w:firstLine="397"/>
    </w:pPr>
    <w:rPr>
      <w:sz w:val="21"/>
      <w:szCs w:val="21"/>
    </w:rPr>
  </w:style>
  <w:style w:type="paragraph" w:customStyle="1" w:styleId="356">
    <w:name w:val="样式 宋体 四号 黑色 首行缩进:  1.06 厘米 行距: 固定值 27 磅"/>
    <w:basedOn w:val="1"/>
    <w:qFormat/>
    <w:uiPriority w:val="0"/>
    <w:pPr>
      <w:spacing w:line="520" w:lineRule="exact"/>
      <w:ind w:firstLine="601"/>
    </w:pPr>
    <w:rPr>
      <w:rFonts w:ascii="宋体" w:hAnsi="宋体" w:cs="宋体"/>
      <w:color w:val="000000"/>
      <w:sz w:val="28"/>
    </w:rPr>
  </w:style>
  <w:style w:type="paragraph" w:customStyle="1" w:styleId="357">
    <w:name w:val="DD正文"/>
    <w:basedOn w:val="356"/>
    <w:qFormat/>
    <w:uiPriority w:val="0"/>
    <w:pPr>
      <w:overflowPunct w:val="0"/>
      <w:spacing w:line="520" w:lineRule="atLeast"/>
      <w:ind w:firstLine="560" w:firstLineChars="200"/>
    </w:pPr>
    <w:rPr>
      <w:rFonts w:cs="Times New Roman"/>
      <w:color w:val="auto"/>
      <w:szCs w:val="28"/>
    </w:rPr>
  </w:style>
  <w:style w:type="paragraph" w:customStyle="1" w:styleId="358">
    <w:name w:val="gyy正文文字"/>
    <w:basedOn w:val="1"/>
    <w:qFormat/>
    <w:uiPriority w:val="0"/>
    <w:pPr>
      <w:spacing w:line="360" w:lineRule="auto"/>
      <w:ind w:firstLine="471"/>
    </w:pPr>
    <w:rPr>
      <w:rFonts w:cs="宋体"/>
      <w:color w:val="000000"/>
      <w:sz w:val="24"/>
      <w:szCs w:val="24"/>
    </w:rPr>
  </w:style>
  <w:style w:type="paragraph" w:customStyle="1" w:styleId="359">
    <w:name w:val="Char Char Char Char1"/>
    <w:basedOn w:val="1"/>
    <w:qFormat/>
    <w:uiPriority w:val="0"/>
    <w:rPr>
      <w:szCs w:val="24"/>
    </w:rPr>
  </w:style>
  <w:style w:type="paragraph" w:customStyle="1" w:styleId="360">
    <w:name w:val="W报告正文"/>
    <w:basedOn w:val="1"/>
    <w:qFormat/>
    <w:uiPriority w:val="0"/>
    <w:pPr>
      <w:ind w:firstLine="480"/>
    </w:pPr>
    <w:rPr>
      <w:szCs w:val="24"/>
    </w:rPr>
  </w:style>
  <w:style w:type="paragraph" w:customStyle="1" w:styleId="361">
    <w:name w:val="默认段落字体 Para Char Char Char Char Char Char Char"/>
    <w:basedOn w:val="1"/>
    <w:qFormat/>
    <w:uiPriority w:val="0"/>
    <w:pPr>
      <w:tabs>
        <w:tab w:val="left" w:pos="4665"/>
        <w:tab w:val="left" w:pos="8970"/>
      </w:tabs>
      <w:ind w:firstLine="400"/>
    </w:pPr>
  </w:style>
  <w:style w:type="paragraph" w:customStyle="1" w:styleId="362">
    <w:name w:val="DD 2级标题"/>
    <w:basedOn w:val="1"/>
    <w:qFormat/>
    <w:uiPriority w:val="0"/>
    <w:pPr>
      <w:spacing w:beforeLines="50" w:afterLines="50"/>
      <w:jc w:val="left"/>
      <w:outlineLvl w:val="1"/>
    </w:pPr>
    <w:rPr>
      <w:b/>
      <w:sz w:val="30"/>
      <w:szCs w:val="28"/>
    </w:rPr>
  </w:style>
  <w:style w:type="paragraph" w:customStyle="1" w:styleId="363">
    <w:name w:val="DD 正文"/>
    <w:basedOn w:val="364"/>
    <w:qFormat/>
    <w:uiPriority w:val="0"/>
    <w:pPr>
      <w:spacing w:line="500" w:lineRule="exact"/>
      <w:ind w:firstLine="200" w:firstLineChars="200"/>
    </w:pPr>
    <w:rPr>
      <w:szCs w:val="28"/>
    </w:rPr>
  </w:style>
  <w:style w:type="paragraph" w:customStyle="1" w:styleId="364">
    <w:name w:val="样式 宋体 四号 黑色 首行缩进:  1.13 厘米 行距: 固定值 26 磅"/>
    <w:basedOn w:val="1"/>
    <w:qFormat/>
    <w:uiPriority w:val="0"/>
    <w:pPr>
      <w:spacing w:line="540" w:lineRule="exact"/>
      <w:ind w:firstLine="641"/>
    </w:pPr>
    <w:rPr>
      <w:rFonts w:ascii="宋体" w:hAnsi="宋体" w:cs="宋体"/>
      <w:color w:val="000000"/>
    </w:rPr>
  </w:style>
  <w:style w:type="paragraph" w:customStyle="1" w:styleId="365">
    <w:name w:val="a报告正文文本"/>
    <w:basedOn w:val="364"/>
    <w:qFormat/>
    <w:uiPriority w:val="0"/>
    <w:pPr>
      <w:spacing w:line="520" w:lineRule="exact"/>
      <w:ind w:firstLine="200" w:firstLineChars="200"/>
    </w:pPr>
    <w:rPr>
      <w:rFonts w:ascii="Times New Roman" w:hAnsi="Times New Roman"/>
      <w:color w:val="auto"/>
      <w:szCs w:val="24"/>
    </w:rPr>
  </w:style>
  <w:style w:type="paragraph" w:customStyle="1" w:styleId="366">
    <w:name w:val="Char4"/>
    <w:basedOn w:val="1"/>
    <w:qFormat/>
    <w:uiPriority w:val="0"/>
    <w:rPr>
      <w:rFonts w:ascii="Tahoma" w:hAnsi="Tahoma"/>
      <w:sz w:val="24"/>
    </w:rPr>
  </w:style>
  <w:style w:type="paragraph" w:customStyle="1" w:styleId="367">
    <w:name w:val="4 Char Char Char Char Char Char Char Char Char Char Char Char Char Char Char Char1 Char"/>
    <w:basedOn w:val="1"/>
    <w:qFormat/>
    <w:uiPriority w:val="0"/>
    <w:rPr>
      <w:szCs w:val="24"/>
    </w:rPr>
  </w:style>
  <w:style w:type="paragraph" w:customStyle="1" w:styleId="368">
    <w:name w:val="1报告正文文本"/>
    <w:basedOn w:val="364"/>
    <w:qFormat/>
    <w:uiPriority w:val="0"/>
    <w:pPr>
      <w:spacing w:line="360" w:lineRule="auto"/>
      <w:ind w:firstLine="200" w:firstLineChars="200"/>
      <w:jc w:val="left"/>
    </w:pPr>
    <w:rPr>
      <w:rFonts w:ascii="Times New Roman" w:hAnsi="Times New Roman"/>
      <w:color w:val="auto"/>
      <w:sz w:val="24"/>
      <w:szCs w:val="24"/>
    </w:rPr>
  </w:style>
  <w:style w:type="paragraph" w:customStyle="1" w:styleId="369">
    <w:name w:val="gyy表名图名"/>
    <w:basedOn w:val="1"/>
    <w:qFormat/>
    <w:uiPriority w:val="0"/>
    <w:pPr>
      <w:spacing w:before="120"/>
      <w:jc w:val="center"/>
    </w:pPr>
    <w:rPr>
      <w:rFonts w:eastAsia="黑体" w:cs="宋体"/>
      <w:kern w:val="0"/>
      <w:sz w:val="24"/>
    </w:rPr>
  </w:style>
  <w:style w:type="paragraph" w:customStyle="1" w:styleId="370">
    <w:name w:val="WPSOffice手动目录 1"/>
    <w:qFormat/>
    <w:uiPriority w:val="0"/>
    <w:rPr>
      <w:rFonts w:ascii="Times New Roman" w:hAnsi="Times New Roman" w:eastAsia="宋体" w:cs="Times New Roman"/>
      <w:lang w:val="en-US" w:eastAsia="zh-CN" w:bidi="ar-SA"/>
    </w:rPr>
  </w:style>
  <w:style w:type="paragraph" w:customStyle="1" w:styleId="37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2">
    <w:name w:val="Q表头"/>
    <w:basedOn w:val="1"/>
    <w:next w:val="1"/>
    <w:qFormat/>
    <w:uiPriority w:val="0"/>
    <w:pPr>
      <w:adjustRightInd w:val="0"/>
      <w:snapToGrid w:val="0"/>
      <w:spacing w:beforeLines="50" w:afterLines="50"/>
      <w:jc w:val="center"/>
    </w:pPr>
    <w:rPr>
      <w:b/>
      <w:szCs w:val="24"/>
    </w:rPr>
  </w:style>
  <w:style w:type="paragraph" w:customStyle="1" w:styleId="37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74">
    <w:name w:val="标题 1 字符2"/>
    <w:basedOn w:val="56"/>
    <w:qFormat/>
    <w:uiPriority w:val="0"/>
    <w:rPr>
      <w:b/>
      <w:spacing w:val="20"/>
      <w:kern w:val="44"/>
      <w:sz w:val="32"/>
    </w:rPr>
  </w:style>
  <w:style w:type="character" w:customStyle="1" w:styleId="375">
    <w:name w:val="纯文本 字符2"/>
    <w:qFormat/>
    <w:uiPriority w:val="0"/>
    <w:rPr>
      <w:rFonts w:ascii="宋体" w:hAnsi="Courier New" w:eastAsia="宋体"/>
      <w:kern w:val="2"/>
      <w:sz w:val="21"/>
      <w:lang w:val="en-US" w:eastAsia="zh-CN" w:bidi="ar-SA"/>
    </w:rPr>
  </w:style>
  <w:style w:type="paragraph" w:customStyle="1" w:styleId="376">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77">
    <w:name w:val="2"/>
    <w:qFormat/>
    <w:uiPriority w:val="0"/>
    <w:rPr>
      <w:rFonts w:ascii="Times New Roman" w:hAnsi="Times New Roman" w:eastAsia="宋体" w:cs="Times New Roman"/>
      <w:lang w:val="en-US" w:eastAsia="zh-CN" w:bidi="ar-SA"/>
    </w:rPr>
  </w:style>
  <w:style w:type="character" w:customStyle="1" w:styleId="378">
    <w:name w:val="grame"/>
    <w:basedOn w:val="56"/>
    <w:qFormat/>
    <w:uiPriority w:val="0"/>
  </w:style>
  <w:style w:type="paragraph" w:customStyle="1" w:styleId="379">
    <w:name w:val="Char3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380">
    <w:name w:val="Char6 Char Char Char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character" w:customStyle="1" w:styleId="381">
    <w:name w:val="已访问的超链接1"/>
    <w:qFormat/>
    <w:uiPriority w:val="0"/>
    <w:rPr>
      <w:color w:val="800080"/>
      <w:u w:val="single"/>
    </w:rPr>
  </w:style>
  <w:style w:type="character" w:customStyle="1" w:styleId="382">
    <w:name w:val="题注 字符"/>
    <w:link w:val="15"/>
    <w:qFormat/>
    <w:uiPriority w:val="0"/>
    <w:rPr>
      <w:rFonts w:ascii="Arial" w:hAnsi="Arial" w:eastAsia="黑体" w:cs="Arial"/>
      <w:kern w:val="2"/>
    </w:rPr>
  </w:style>
  <w:style w:type="paragraph" w:customStyle="1" w:styleId="383">
    <w:name w:val="单位"/>
    <w:next w:val="53"/>
    <w:link w:val="384"/>
    <w:qFormat/>
    <w:uiPriority w:val="0"/>
    <w:pPr>
      <w:keepNext/>
      <w:adjustRightInd w:val="0"/>
      <w:snapToGrid w:val="0"/>
      <w:spacing w:line="360" w:lineRule="auto"/>
      <w:ind w:right="50" w:rightChars="50"/>
      <w:jc w:val="right"/>
    </w:pPr>
    <w:rPr>
      <w:rFonts w:ascii="Cambria" w:hAnsi="Cambria" w:eastAsia="宋体" w:cs="Times New Roman"/>
      <w:kern w:val="2"/>
      <w:sz w:val="21"/>
      <w:szCs w:val="24"/>
      <w:lang w:val="en-US" w:eastAsia="zh-CN" w:bidi="ar-SA"/>
    </w:rPr>
  </w:style>
  <w:style w:type="character" w:customStyle="1" w:styleId="384">
    <w:name w:val="单位 Char"/>
    <w:link w:val="383"/>
    <w:qFormat/>
    <w:uiPriority w:val="0"/>
    <w:rPr>
      <w:rFonts w:ascii="Cambria" w:hAnsi="Cambria"/>
      <w:kern w:val="2"/>
      <w:sz w:val="21"/>
      <w:szCs w:val="24"/>
    </w:rPr>
  </w:style>
  <w:style w:type="paragraph" w:customStyle="1" w:styleId="385">
    <w:name w:val="表中文字－ld"/>
    <w:next w:val="1"/>
    <w:qFormat/>
    <w:uiPriority w:val="0"/>
    <w:pPr>
      <w:widowControl w:val="0"/>
      <w:adjustRightInd w:val="0"/>
      <w:snapToGrid w:val="0"/>
      <w:spacing w:before="40" w:after="40"/>
      <w:jc w:val="center"/>
    </w:pPr>
    <w:rPr>
      <w:rFonts w:ascii="Cambria" w:hAnsi="Cambria" w:eastAsia="宋体" w:cs="方正综艺简体"/>
      <w:sz w:val="21"/>
      <w:szCs w:val="21"/>
      <w:lang w:val="en-US" w:eastAsia="zh-CN" w:bidi="ar-SA"/>
    </w:rPr>
  </w:style>
  <w:style w:type="paragraph" w:customStyle="1" w:styleId="386">
    <w:name w:val="正文1111"/>
    <w:basedOn w:val="1"/>
    <w:next w:val="43"/>
    <w:qFormat/>
    <w:uiPriority w:val="0"/>
    <w:pPr>
      <w:spacing w:line="360" w:lineRule="auto"/>
      <w:ind w:firstLine="200" w:firstLineChars="200"/>
    </w:pPr>
    <w:rPr>
      <w:rFonts w:ascii="Cambria" w:hAnsi="Cambria" w:cs="Cambria"/>
      <w:spacing w:val="10"/>
      <w:kern w:val="0"/>
      <w:sz w:val="24"/>
      <w:szCs w:val="24"/>
    </w:rPr>
  </w:style>
  <w:style w:type="paragraph" w:customStyle="1" w:styleId="387">
    <w:name w:val="正文文本8"/>
    <w:basedOn w:val="1"/>
    <w:qFormat/>
    <w:uiPriority w:val="0"/>
    <w:pPr>
      <w:shd w:val="clear" w:color="auto" w:fill="FFFFFF"/>
      <w:spacing w:line="461" w:lineRule="exact"/>
      <w:jc w:val="left"/>
    </w:pPr>
    <w:rPr>
      <w:rFonts w:ascii="Tahoma" w:hAnsi="Tahoma" w:eastAsia="Tahoma"/>
      <w:spacing w:val="30"/>
      <w:kern w:val="0"/>
      <w:sz w:val="23"/>
      <w:szCs w:val="23"/>
      <w:shd w:val="clear" w:color="auto" w:fill="FFFFFF"/>
    </w:rPr>
  </w:style>
  <w:style w:type="paragraph" w:customStyle="1" w:styleId="388">
    <w:name w:val="表名"/>
    <w:basedOn w:val="1"/>
    <w:link w:val="389"/>
    <w:qFormat/>
    <w:uiPriority w:val="0"/>
    <w:pPr>
      <w:spacing w:line="360" w:lineRule="auto"/>
      <w:jc w:val="center"/>
    </w:pPr>
    <w:rPr>
      <w:rFonts w:ascii="Cambria" w:hAnsi="Cambria" w:eastAsia="Calibri"/>
      <w:bCs/>
      <w:sz w:val="24"/>
      <w:szCs w:val="24"/>
    </w:rPr>
  </w:style>
  <w:style w:type="character" w:customStyle="1" w:styleId="389">
    <w:name w:val="表名 Char"/>
    <w:link w:val="388"/>
    <w:qFormat/>
    <w:uiPriority w:val="0"/>
    <w:rPr>
      <w:rFonts w:ascii="Cambria" w:hAnsi="Cambria" w:eastAsia="Calibri"/>
      <w:bCs/>
      <w:kern w:val="2"/>
      <w:sz w:val="24"/>
      <w:szCs w:val="24"/>
    </w:rPr>
  </w:style>
  <w:style w:type="paragraph" w:customStyle="1" w:styleId="390">
    <w:name w:val="表格标题"/>
    <w:basedOn w:val="1"/>
    <w:link w:val="391"/>
    <w:qFormat/>
    <w:uiPriority w:val="0"/>
    <w:pPr>
      <w:spacing w:line="360" w:lineRule="auto"/>
      <w:ind w:firstLine="454"/>
      <w:jc w:val="center"/>
    </w:pPr>
    <w:rPr>
      <w:rFonts w:ascii="Calibri" w:hAnsi="Cambria" w:eastAsia="Calibri"/>
      <w:spacing w:val="5"/>
      <w:sz w:val="24"/>
    </w:rPr>
  </w:style>
  <w:style w:type="character" w:customStyle="1" w:styleId="391">
    <w:name w:val="表格标题 Char"/>
    <w:link w:val="390"/>
    <w:qFormat/>
    <w:uiPriority w:val="0"/>
    <w:rPr>
      <w:rFonts w:ascii="Calibri" w:hAnsi="Cambria" w:eastAsia="Calibri"/>
      <w:spacing w:val="5"/>
      <w:kern w:val="2"/>
      <w:sz w:val="24"/>
    </w:rPr>
  </w:style>
  <w:style w:type="paragraph" w:customStyle="1" w:styleId="392">
    <w:name w:val="报告正文"/>
    <w:basedOn w:val="53"/>
    <w:link w:val="393"/>
    <w:qFormat/>
    <w:uiPriority w:val="0"/>
    <w:pPr>
      <w:widowControl w:val="0"/>
      <w:spacing w:line="360" w:lineRule="auto"/>
      <w:jc w:val="both"/>
    </w:pPr>
    <w:rPr>
      <w:rFonts w:ascii="Cambria" w:hAnsi="Cambria"/>
      <w:spacing w:val="4"/>
      <w:sz w:val="24"/>
      <w:szCs w:val="20"/>
    </w:rPr>
  </w:style>
  <w:style w:type="character" w:customStyle="1" w:styleId="393">
    <w:name w:val="报告正文 Char"/>
    <w:link w:val="392"/>
    <w:qFormat/>
    <w:uiPriority w:val="0"/>
    <w:rPr>
      <w:rFonts w:ascii="Cambria" w:hAnsi="Cambria"/>
      <w:spacing w:val="4"/>
      <w:kern w:val="2"/>
      <w:sz w:val="24"/>
    </w:rPr>
  </w:style>
  <w:style w:type="paragraph" w:customStyle="1" w:styleId="394">
    <w:name w:val="无间隔1"/>
    <w:qFormat/>
    <w:uiPriority w:val="0"/>
    <w:pPr>
      <w:widowControl w:val="0"/>
      <w:snapToGrid w:val="0"/>
      <w:jc w:val="both"/>
    </w:pPr>
    <w:rPr>
      <w:rFonts w:ascii="MSung Light SC" w:hAnsi="MSung Light SC" w:eastAsia="宋体" w:cs="Cambria"/>
      <w:color w:val="000000"/>
      <w:kern w:val="2"/>
      <w:sz w:val="21"/>
      <w:szCs w:val="21"/>
      <w:lang w:val="en-US" w:eastAsia="zh-CN" w:bidi="ar-SA"/>
    </w:rPr>
  </w:style>
  <w:style w:type="paragraph" w:customStyle="1" w:styleId="395">
    <w:name w:val="p2"/>
    <w:basedOn w:val="1"/>
    <w:qFormat/>
    <w:uiPriority w:val="0"/>
    <w:pPr>
      <w:widowControl/>
      <w:spacing w:line="480" w:lineRule="auto"/>
      <w:ind w:firstLine="420"/>
      <w:jc w:val="left"/>
    </w:pPr>
    <w:rPr>
      <w:rFonts w:ascii="宋体" w:hAnsi="宋体" w:cs="宋体"/>
      <w:kern w:val="0"/>
      <w:szCs w:val="21"/>
    </w:rPr>
  </w:style>
  <w:style w:type="character" w:customStyle="1" w:styleId="396">
    <w:name w:val="ca-11"/>
    <w:qFormat/>
    <w:uiPriority w:val="0"/>
    <w:rPr>
      <w:rFonts w:hint="default" w:ascii="Times New Roman" w:hAnsi="Times New Roman" w:cs="Times New Roman"/>
      <w:sz w:val="28"/>
      <w:szCs w:val="28"/>
    </w:rPr>
  </w:style>
  <w:style w:type="character" w:customStyle="1" w:styleId="397">
    <w:name w:val="已访问的超链接2"/>
    <w:qFormat/>
    <w:uiPriority w:val="0"/>
    <w:rPr>
      <w:rFonts w:ascii="Arial" w:hAnsi="Arial" w:eastAsia="黑体"/>
      <w:color w:val="800080"/>
      <w:kern w:val="2"/>
      <w:sz w:val="21"/>
      <w:szCs w:val="21"/>
      <w:u w:val="single"/>
      <w:lang w:val="en-US" w:eastAsia="zh-CN" w:bidi="ar-SA"/>
    </w:rPr>
  </w:style>
  <w:style w:type="paragraph" w:customStyle="1" w:styleId="398">
    <w:name w:val="日期1"/>
    <w:basedOn w:val="243"/>
    <w:next w:val="243"/>
    <w:link w:val="399"/>
    <w:qFormat/>
    <w:uiPriority w:val="0"/>
    <w:pPr>
      <w:widowControl w:val="0"/>
      <w:ind w:left="100" w:leftChars="2500"/>
    </w:pPr>
    <w:rPr>
      <w:szCs w:val="24"/>
      <w:lang w:val="zh-CN"/>
    </w:rPr>
  </w:style>
  <w:style w:type="character" w:customStyle="1" w:styleId="399">
    <w:name w:val="日期 Char_0"/>
    <w:link w:val="398"/>
    <w:qFormat/>
    <w:uiPriority w:val="0"/>
    <w:rPr>
      <w:kern w:val="2"/>
      <w:sz w:val="21"/>
      <w:szCs w:val="24"/>
      <w:lang w:val="zh-CN"/>
    </w:rPr>
  </w:style>
  <w:style w:type="paragraph" w:customStyle="1" w:styleId="400">
    <w:name w:val="cjk"/>
    <w:basedOn w:val="1"/>
    <w:qFormat/>
    <w:uiPriority w:val="0"/>
    <w:pPr>
      <w:widowControl/>
      <w:spacing w:before="100" w:beforeAutospacing="1" w:after="142"/>
    </w:pPr>
    <w:rPr>
      <w:rFonts w:ascii="宋体" w:hAnsi="宋体" w:cs="宋体"/>
      <w:color w:val="000000"/>
      <w:kern w:val="0"/>
      <w:sz w:val="20"/>
    </w:rPr>
  </w:style>
  <w:style w:type="paragraph" w:customStyle="1" w:styleId="401">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402">
    <w:name w:val="CM99"/>
    <w:basedOn w:val="324"/>
    <w:next w:val="324"/>
    <w:qFormat/>
    <w:uiPriority w:val="0"/>
    <w:pPr>
      <w:spacing w:after="443"/>
    </w:pPr>
    <w:rPr>
      <w:rFonts w:ascii="宋体"/>
      <w:color w:val="auto"/>
    </w:rPr>
  </w:style>
  <w:style w:type="paragraph" w:customStyle="1" w:styleId="403">
    <w:name w:val="标准中文版式_正文"/>
    <w:basedOn w:val="1"/>
    <w:qFormat/>
    <w:uiPriority w:val="0"/>
    <w:pPr>
      <w:spacing w:before="30" w:line="360" w:lineRule="auto"/>
      <w:ind w:firstLine="200" w:firstLineChars="200"/>
    </w:pPr>
    <w:rPr>
      <w:rFonts w:ascii="Arial" w:hAnsi="Arial"/>
      <w:sz w:val="24"/>
      <w:szCs w:val="24"/>
    </w:rPr>
  </w:style>
  <w:style w:type="paragraph" w:customStyle="1" w:styleId="404">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405">
    <w:name w:val="Body text|1"/>
    <w:basedOn w:val="1"/>
    <w:qFormat/>
    <w:uiPriority w:val="0"/>
    <w:pPr>
      <w:spacing w:line="434" w:lineRule="auto"/>
      <w:jc w:val="left"/>
    </w:pPr>
    <w:rPr>
      <w:rFonts w:ascii="宋体" w:hAnsi="宋体" w:cs="宋体"/>
      <w:color w:val="000000"/>
      <w:kern w:val="0"/>
      <w:sz w:val="28"/>
      <w:szCs w:val="28"/>
      <w:lang w:val="zh-TW" w:eastAsia="zh-TW" w:bidi="zh-TW"/>
    </w:rPr>
  </w:style>
  <w:style w:type="paragraph" w:customStyle="1" w:styleId="406">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407">
    <w:name w:val="正文_0_0"/>
    <w:qFormat/>
    <w:uiPriority w:val="0"/>
    <w:pPr>
      <w:widowControl w:val="0"/>
      <w:autoSpaceDE w:val="0"/>
      <w:autoSpaceDN w:val="0"/>
    </w:pPr>
    <w:rPr>
      <w:rFonts w:ascii="宋体" w:hAnsi="宋体" w:eastAsia="宋体" w:cs="宋体"/>
      <w:sz w:val="22"/>
      <w:szCs w:val="22"/>
      <w:lang w:val="en-US" w:eastAsia="en-US" w:bidi="ar-SA"/>
    </w:rPr>
  </w:style>
  <w:style w:type="paragraph" w:customStyle="1" w:styleId="408">
    <w:name w:val="Table Paragraph_0"/>
    <w:basedOn w:val="407"/>
    <w:qFormat/>
    <w:uiPriority w:val="0"/>
  </w:style>
  <w:style w:type="paragraph" w:customStyle="1" w:styleId="409">
    <w:name w:val="Table Text"/>
    <w:basedOn w:val="1"/>
    <w:semiHidden/>
    <w:qFormat/>
    <w:uiPriority w:val="0"/>
    <w:rPr>
      <w:rFonts w:ascii="黑体" w:hAnsi="黑体" w:eastAsia="黑体" w:cs="黑体"/>
      <w:sz w:val="37"/>
      <w:szCs w:val="37"/>
      <w:lang w:val="en-US" w:eastAsia="en-US" w:bidi="ar-SA"/>
    </w:rPr>
  </w:style>
  <w:style w:type="paragraph" w:customStyle="1" w:styleId="410">
    <w:name w:val="Heading 2_0"/>
    <w:basedOn w:val="146"/>
    <w:next w:val="146"/>
    <w:qFormat/>
    <w:uiPriority w:val="0"/>
    <w:pPr>
      <w:keepNext/>
      <w:jc w:val="center"/>
      <w:outlineLvl w:val="1"/>
    </w:pPr>
    <w:rPr>
      <w:rFonts w:cs="Times New Roman"/>
      <w:b/>
      <w:sz w:val="36"/>
      <w:szCs w:val="20"/>
      <w:lang w:val="zh-CN"/>
    </w:rPr>
  </w:style>
  <w:style w:type="paragraph" w:customStyle="1" w:styleId="411">
    <w:name w:val="纯文本1"/>
    <w:basedOn w:val="1"/>
    <w:qFormat/>
    <w:uiPriority w:val="0"/>
    <w:rPr>
      <w:rFonts w:ascii="宋体" w:hAnsi="Courier New"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2AF19-CF88-43EF-B3F3-700614FC15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15970</Words>
  <Characters>17980</Characters>
  <Lines>1439</Lines>
  <Paragraphs>1712</Paragraphs>
  <TotalTime>122</TotalTime>
  <ScaleCrop>false</ScaleCrop>
  <LinksUpToDate>false</LinksUpToDate>
  <CharactersWithSpaces>18312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2024-07-08T00:50:00Z</dcterms:created>
  <dc:creator>云南铭漾</dc:creator>
  <cp:lastModifiedBy>Administrator</cp:lastModifiedBy>
  <cp:lastPrinted>2024-04-17T06:28:00Z</cp:lastPrinted>
  <dcterms:modified xsi:type="dcterms:W3CDTF">2026-05-25T06:03:27Z</dcterms:modified>
  <dc:title>昆明市五华区自然资源局</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0E8BE0828A7D4503BAB5DAADDA9E8E70_13</vt:lpwstr>
  </property>
  <property fmtid="{D5CDD505-2E9C-101B-9397-08002B2CF9AE}" pid="4" name="KSOTemplateDocerSaveRecord">
    <vt:lpwstr>eyJoZGlkIjoiOWE0MmNlOTI3NTJlNDdlOTc5MmQyZjI3ZWFmNDI3ZDMiLCJ1c2VySWQiOiI0NDUwNTYxNTAifQ==</vt:lpwstr>
  </property>
</Properties>
</file>