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B8D1F">
      <w:pPr>
        <w:pStyle w:val="9"/>
        <w:spacing w:line="360" w:lineRule="auto"/>
        <w:rPr>
          <w:rFonts w:hint="eastAsia" w:ascii="仿宋" w:hAnsi="仿宋" w:eastAsia="仿宋" w:cs="仿宋"/>
          <w:color w:val="000000" w:themeColor="text1"/>
          <w:highlight w:val="none"/>
          <w14:textFill>
            <w14:solidFill>
              <w14:schemeClr w14:val="tx1"/>
            </w14:solidFill>
          </w14:textFill>
        </w:rPr>
      </w:pPr>
    </w:p>
    <w:p w14:paraId="0061BF13">
      <w:pPr>
        <w:pStyle w:val="9"/>
        <w:spacing w:line="360" w:lineRule="auto"/>
        <w:rPr>
          <w:rFonts w:hint="eastAsia" w:ascii="仿宋" w:hAnsi="仿宋" w:eastAsia="仿宋" w:cs="仿宋"/>
          <w:color w:val="000000" w:themeColor="text1"/>
          <w:highlight w:val="none"/>
          <w14:textFill>
            <w14:solidFill>
              <w14:schemeClr w14:val="tx1"/>
            </w14:solidFill>
          </w14:textFill>
        </w:rPr>
      </w:pPr>
    </w:p>
    <w:p w14:paraId="40EBE317">
      <w:pPr>
        <w:pStyle w:val="9"/>
        <w:spacing w:line="360" w:lineRule="auto"/>
        <w:rPr>
          <w:rFonts w:hint="eastAsia" w:ascii="仿宋" w:hAnsi="仿宋" w:eastAsia="仿宋" w:cs="仿宋"/>
          <w:color w:val="000000" w:themeColor="text1"/>
          <w:highlight w:val="none"/>
          <w14:textFill>
            <w14:solidFill>
              <w14:schemeClr w14:val="tx1"/>
            </w14:solidFill>
          </w14:textFill>
        </w:rPr>
      </w:pPr>
    </w:p>
    <w:p w14:paraId="3473C31F">
      <w:pPr>
        <w:pStyle w:val="9"/>
        <w:spacing w:line="360" w:lineRule="auto"/>
        <w:rPr>
          <w:rFonts w:hint="eastAsia" w:ascii="仿宋" w:hAnsi="仿宋" w:eastAsia="仿宋" w:cs="仿宋"/>
          <w:color w:val="000000" w:themeColor="text1"/>
          <w:highlight w:val="none"/>
          <w14:textFill>
            <w14:solidFill>
              <w14:schemeClr w14:val="tx1"/>
            </w14:solidFill>
          </w14:textFill>
        </w:rPr>
      </w:pPr>
    </w:p>
    <w:p w14:paraId="5811555A">
      <w:pPr>
        <w:pStyle w:val="9"/>
        <w:spacing w:line="360" w:lineRule="auto"/>
        <w:rPr>
          <w:rFonts w:hint="eastAsia" w:ascii="仿宋" w:hAnsi="仿宋" w:eastAsia="仿宋" w:cs="仿宋"/>
          <w:color w:val="000000" w:themeColor="text1"/>
          <w:highlight w:val="none"/>
          <w14:textFill>
            <w14:solidFill>
              <w14:schemeClr w14:val="tx1"/>
            </w14:solidFill>
          </w14:textFill>
        </w:rPr>
      </w:pPr>
    </w:p>
    <w:p w14:paraId="2C043669">
      <w:pPr>
        <w:spacing w:line="360" w:lineRule="auto"/>
        <w:jc w:val="center"/>
        <w:rPr>
          <w:rFonts w:hint="eastAsia" w:ascii="仿宋" w:hAnsi="仿宋" w:eastAsia="仿宋" w:cs="仿宋"/>
          <w:color w:val="000000" w:themeColor="text1"/>
          <w:sz w:val="72"/>
          <w:szCs w:val="72"/>
          <w:highlight w:val="none"/>
          <w:lang w:eastAsia="zh-CN"/>
          <w14:textFill>
            <w14:solidFill>
              <w14:schemeClr w14:val="tx1"/>
            </w14:solidFill>
          </w14:textFill>
        </w:rPr>
      </w:pPr>
      <w:bookmarkStart w:id="0" w:name="_Toc4763"/>
      <w:bookmarkStart w:id="1" w:name="_Toc24565"/>
      <w:r>
        <w:rPr>
          <w:rFonts w:hint="eastAsia" w:ascii="仿宋" w:hAnsi="仿宋" w:eastAsia="仿宋" w:cs="仿宋"/>
          <w:b/>
          <w:snapToGrid/>
          <w:color w:val="000000" w:themeColor="text1"/>
          <w:kern w:val="2"/>
          <w:sz w:val="84"/>
          <w:szCs w:val="24"/>
          <w:highlight w:val="none"/>
          <w:lang w:eastAsia="zh-CN"/>
          <w14:textFill>
            <w14:solidFill>
              <w14:schemeClr w14:val="tx1"/>
            </w14:solidFill>
          </w14:textFill>
        </w:rPr>
        <w:t>竞争性磋商文件</w:t>
      </w:r>
      <w:bookmarkEnd w:id="0"/>
      <w:bookmarkEnd w:id="1"/>
    </w:p>
    <w:p w14:paraId="38A83662">
      <w:pPr>
        <w:pStyle w:val="9"/>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283B1815">
      <w:pPr>
        <w:pStyle w:val="9"/>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7E17A63B">
      <w:pPr>
        <w:pStyle w:val="9"/>
        <w:spacing w:line="360" w:lineRule="auto"/>
        <w:jc w:val="center"/>
        <w:rPr>
          <w:rFonts w:hint="eastAsia" w:ascii="仿宋" w:hAnsi="仿宋" w:eastAsia="仿宋" w:cs="仿宋"/>
          <w:b/>
          <w:color w:val="000000" w:themeColor="text1"/>
          <w:sz w:val="36"/>
          <w:highlight w:val="none"/>
          <w:lang w:eastAsia="zh-CN"/>
          <w14:textFill>
            <w14:solidFill>
              <w14:schemeClr w14:val="tx1"/>
            </w14:solidFill>
          </w14:textFill>
        </w:rPr>
      </w:pPr>
    </w:p>
    <w:p w14:paraId="6C512602">
      <w:pPr>
        <w:pStyle w:val="9"/>
        <w:spacing w:line="360" w:lineRule="auto"/>
        <w:jc w:val="center"/>
        <w:rPr>
          <w:rFonts w:hint="eastAsia" w:ascii="仿宋" w:hAnsi="仿宋" w:eastAsia="仿宋" w:cs="仿宋"/>
          <w:b/>
          <w:color w:val="000000" w:themeColor="text1"/>
          <w:sz w:val="36"/>
          <w:highlight w:val="none"/>
          <w:lang w:eastAsia="zh-CN"/>
          <w14:textFill>
            <w14:solidFill>
              <w14:schemeClr w14:val="tx1"/>
            </w14:solidFill>
          </w14:textFill>
        </w:rPr>
      </w:pPr>
    </w:p>
    <w:p w14:paraId="002C0F3F">
      <w:pPr>
        <w:pStyle w:val="9"/>
        <w:spacing w:line="360" w:lineRule="auto"/>
        <w:jc w:val="center"/>
        <w:rPr>
          <w:rFonts w:hint="eastAsia" w:ascii="仿宋" w:hAnsi="仿宋" w:eastAsia="仿宋" w:cs="仿宋"/>
          <w:b/>
          <w:color w:val="000000" w:themeColor="text1"/>
          <w:sz w:val="36"/>
          <w:highlight w:val="none"/>
          <w:lang w:eastAsia="zh-CN"/>
          <w14:textFill>
            <w14:solidFill>
              <w14:schemeClr w14:val="tx1"/>
            </w14:solidFill>
          </w14:textFill>
        </w:rPr>
      </w:pPr>
    </w:p>
    <w:p w14:paraId="137ABC2B">
      <w:pPr>
        <w:spacing w:line="480" w:lineRule="auto"/>
        <w:ind w:left="2164" w:leftChars="304" w:hanging="1526" w:hangingChars="500"/>
        <w:jc w:val="both"/>
        <w:rPr>
          <w:rFonts w:hint="eastAsia" w:ascii="仿宋" w:hAnsi="仿宋" w:eastAsia="仿宋" w:cs="仿宋"/>
          <w:b/>
          <w:color w:val="000000" w:themeColor="text1"/>
          <w:w w:val="95"/>
          <w:sz w:val="32"/>
          <w:highlight w:val="none"/>
          <w:lang w:eastAsia="zh-CN"/>
          <w14:textFill>
            <w14:solidFill>
              <w14:schemeClr w14:val="tx1"/>
            </w14:solidFill>
          </w14:textFill>
        </w:rPr>
      </w:pPr>
      <w:bookmarkStart w:id="2" w:name="_Toc24260"/>
      <w:bookmarkStart w:id="3" w:name="_Toc5029"/>
      <w:r>
        <w:rPr>
          <w:rFonts w:hint="eastAsia" w:ascii="仿宋" w:hAnsi="仿宋" w:eastAsia="仿宋" w:cs="仿宋"/>
          <w:b/>
          <w:color w:val="000000" w:themeColor="text1"/>
          <w:w w:val="95"/>
          <w:sz w:val="32"/>
          <w:highlight w:val="none"/>
          <w:lang w:eastAsia="zh-CN"/>
          <w14:textFill>
            <w14:solidFill>
              <w14:schemeClr w14:val="tx1"/>
            </w14:solidFill>
          </w14:textFill>
        </w:rPr>
        <w:t>项目名称：国家环境保护准噶尔荒漠绿洲交错区科学观测研究站围栏建设工程</w:t>
      </w:r>
    </w:p>
    <w:p w14:paraId="1303C0AC">
      <w:pPr>
        <w:spacing w:line="480" w:lineRule="auto"/>
        <w:ind w:firstLine="643" w:firstLineChars="200"/>
        <w:jc w:val="both"/>
        <w:rPr>
          <w:rFonts w:hint="eastAsia" w:ascii="仿宋" w:hAnsi="仿宋" w:eastAsia="仿宋" w:cs="仿宋"/>
          <w:b/>
          <w:color w:val="000000" w:themeColor="text1"/>
          <w:sz w:val="32"/>
          <w:highlight w:val="none"/>
          <w:lang w:val="en-US" w:eastAsia="zh-CN"/>
          <w14:textFill>
            <w14:solidFill>
              <w14:schemeClr w14:val="tx1"/>
            </w14:solidFill>
          </w14:textFill>
        </w:rPr>
      </w:pPr>
      <w:r>
        <w:rPr>
          <w:rFonts w:hint="eastAsia" w:ascii="仿宋" w:hAnsi="仿宋" w:eastAsia="仿宋" w:cs="仿宋"/>
          <w:b/>
          <w:color w:val="000000" w:themeColor="text1"/>
          <w:sz w:val="32"/>
          <w:highlight w:val="none"/>
          <w:lang w:eastAsia="zh-CN"/>
          <w14:textFill>
            <w14:solidFill>
              <w14:schemeClr w14:val="tx1"/>
            </w14:solidFill>
          </w14:textFill>
        </w:rPr>
        <w:t>项目编号/包号：</w:t>
      </w:r>
      <w:bookmarkEnd w:id="2"/>
      <w:bookmarkEnd w:id="3"/>
      <w:bookmarkStart w:id="4" w:name="_Toc10167"/>
      <w:bookmarkStart w:id="5" w:name="_Toc18434"/>
      <w:r>
        <w:rPr>
          <w:rFonts w:hint="eastAsia" w:ascii="仿宋" w:hAnsi="仿宋" w:eastAsia="仿宋" w:cs="仿宋"/>
          <w:b/>
          <w:color w:val="000000" w:themeColor="text1"/>
          <w:sz w:val="32"/>
          <w:highlight w:val="none"/>
          <w:lang w:eastAsia="zh-CN"/>
          <w14:textFill>
            <w14:solidFill>
              <w14:schemeClr w14:val="tx1"/>
            </w14:solidFill>
          </w14:textFill>
        </w:rPr>
        <w:t>HHTD-DL-2026100</w:t>
      </w:r>
      <w:r>
        <w:rPr>
          <w:rFonts w:hint="eastAsia" w:ascii="仿宋" w:hAnsi="仿宋" w:eastAsia="仿宋" w:cs="仿宋"/>
          <w:b/>
          <w:color w:val="000000" w:themeColor="text1"/>
          <w:sz w:val="32"/>
          <w:highlight w:val="none"/>
          <w:lang w:val="en-US" w:eastAsia="zh-CN"/>
          <w14:textFill>
            <w14:solidFill>
              <w14:schemeClr w14:val="tx1"/>
            </w14:solidFill>
          </w14:textFill>
        </w:rPr>
        <w:t>6</w:t>
      </w:r>
    </w:p>
    <w:p w14:paraId="12034AE6">
      <w:pPr>
        <w:spacing w:line="480" w:lineRule="auto"/>
        <w:ind w:firstLine="643" w:firstLineChars="200"/>
        <w:jc w:val="both"/>
        <w:rPr>
          <w:rFonts w:hint="eastAsia" w:ascii="仿宋" w:hAnsi="仿宋" w:eastAsia="仿宋" w:cs="仿宋"/>
          <w:b/>
          <w:color w:val="000000" w:themeColor="text1"/>
          <w:sz w:val="32"/>
          <w:highlight w:val="none"/>
          <w:lang w:eastAsia="zh-CN"/>
          <w14:textFill>
            <w14:solidFill>
              <w14:schemeClr w14:val="tx1"/>
            </w14:solidFill>
          </w14:textFill>
        </w:rPr>
      </w:pPr>
      <w:r>
        <w:rPr>
          <w:rFonts w:hint="eastAsia" w:ascii="仿宋" w:hAnsi="仿宋" w:eastAsia="仿宋" w:cs="仿宋"/>
          <w:b/>
          <w:color w:val="000000" w:themeColor="text1"/>
          <w:sz w:val="32"/>
          <w:highlight w:val="none"/>
          <w:lang w:eastAsia="zh-CN"/>
          <w14:textFill>
            <w14:solidFill>
              <w14:schemeClr w14:val="tx1"/>
            </w14:solidFill>
          </w14:textFill>
        </w:rPr>
        <w:t>采 购</w:t>
      </w:r>
      <w:r>
        <w:rPr>
          <w:rFonts w:hint="eastAsia" w:ascii="仿宋" w:hAnsi="仿宋" w:eastAsia="仿宋" w:cs="仿宋"/>
          <w:b/>
          <w:color w:val="000000" w:themeColor="text1"/>
          <w:spacing w:val="-13"/>
          <w:sz w:val="32"/>
          <w:highlight w:val="none"/>
          <w:lang w:eastAsia="zh-CN"/>
          <w14:textFill>
            <w14:solidFill>
              <w14:schemeClr w14:val="tx1"/>
            </w14:solidFill>
          </w14:textFill>
        </w:rPr>
        <w:t xml:space="preserve"> </w:t>
      </w:r>
      <w:r>
        <w:rPr>
          <w:rFonts w:hint="eastAsia" w:ascii="仿宋" w:hAnsi="仿宋" w:eastAsia="仿宋" w:cs="仿宋"/>
          <w:b/>
          <w:color w:val="000000" w:themeColor="text1"/>
          <w:sz w:val="32"/>
          <w:highlight w:val="none"/>
          <w:lang w:eastAsia="zh-CN"/>
          <w14:textFill>
            <w14:solidFill>
              <w14:schemeClr w14:val="tx1"/>
            </w14:solidFill>
          </w14:textFill>
        </w:rPr>
        <w:t>人：</w:t>
      </w:r>
      <w:bookmarkEnd w:id="4"/>
      <w:bookmarkEnd w:id="5"/>
      <w:r>
        <w:rPr>
          <w:rFonts w:hint="eastAsia" w:ascii="仿宋" w:hAnsi="仿宋" w:eastAsia="仿宋" w:cs="仿宋"/>
          <w:b/>
          <w:color w:val="000000" w:themeColor="text1"/>
          <w:sz w:val="32"/>
          <w:highlight w:val="none"/>
          <w:lang w:eastAsia="zh-CN"/>
          <w14:textFill>
            <w14:solidFill>
              <w14:schemeClr w14:val="tx1"/>
            </w14:solidFill>
          </w14:textFill>
        </w:rPr>
        <w:t>新疆维吾尔自治区环境保护科学研究院</w:t>
      </w:r>
    </w:p>
    <w:p w14:paraId="235D06D0">
      <w:pPr>
        <w:spacing w:line="360" w:lineRule="auto"/>
        <w:ind w:firstLine="611" w:firstLineChars="200"/>
        <w:jc w:val="both"/>
        <w:rPr>
          <w:rFonts w:hint="eastAsia" w:ascii="仿宋" w:hAnsi="仿宋" w:eastAsia="仿宋" w:cs="仿宋"/>
          <w:b/>
          <w:color w:val="000000" w:themeColor="text1"/>
          <w:w w:val="95"/>
          <w:sz w:val="32"/>
          <w:highlight w:val="none"/>
          <w:lang w:eastAsia="zh-CN"/>
          <w14:textFill>
            <w14:solidFill>
              <w14:schemeClr w14:val="tx1"/>
            </w14:solidFill>
          </w14:textFill>
        </w:rPr>
      </w:pPr>
      <w:r>
        <w:rPr>
          <w:rFonts w:hint="eastAsia" w:ascii="仿宋" w:hAnsi="仿宋" w:eastAsia="仿宋" w:cs="仿宋"/>
          <w:b/>
          <w:color w:val="000000" w:themeColor="text1"/>
          <w:w w:val="95"/>
          <w:sz w:val="32"/>
          <w:highlight w:val="none"/>
          <w:lang w:eastAsia="zh-CN"/>
          <w14:textFill>
            <w14:solidFill>
              <w14:schemeClr w14:val="tx1"/>
            </w14:solidFill>
          </w14:textFill>
        </w:rPr>
        <w:t>采购代理机构：新疆华恒通达项目管理有限公司</w:t>
      </w:r>
    </w:p>
    <w:p w14:paraId="42DB2850">
      <w:pPr>
        <w:spacing w:line="360" w:lineRule="auto"/>
        <w:jc w:val="center"/>
        <w:rPr>
          <w:rFonts w:hint="eastAsia" w:ascii="仿宋" w:hAnsi="仿宋" w:eastAsia="仿宋" w:cs="仿宋"/>
          <w:b/>
          <w:color w:val="000000" w:themeColor="text1"/>
          <w:sz w:val="32"/>
          <w:highlight w:val="none"/>
          <w:lang w:eastAsia="zh-CN"/>
          <w14:textFill>
            <w14:solidFill>
              <w14:schemeClr w14:val="tx1"/>
            </w14:solidFill>
          </w14:textFill>
        </w:rPr>
      </w:pPr>
    </w:p>
    <w:p w14:paraId="6CA65B3A">
      <w:pPr>
        <w:spacing w:line="360" w:lineRule="auto"/>
        <w:jc w:val="center"/>
        <w:rPr>
          <w:rFonts w:hint="eastAsia" w:ascii="仿宋" w:hAnsi="仿宋" w:eastAsia="仿宋" w:cs="仿宋"/>
          <w:b/>
          <w:color w:val="000000" w:themeColor="text1"/>
          <w:sz w:val="32"/>
          <w:highlight w:val="none"/>
          <w14:textFill>
            <w14:solidFill>
              <w14:schemeClr w14:val="tx1"/>
            </w14:solidFill>
          </w14:textFill>
        </w:rPr>
      </w:pPr>
      <w:r>
        <w:rPr>
          <w:rFonts w:hint="eastAsia" w:ascii="仿宋" w:hAnsi="仿宋" w:eastAsia="仿宋" w:cs="仿宋"/>
          <w:b/>
          <w:color w:val="000000" w:themeColor="text1"/>
          <w:sz w:val="32"/>
          <w:highlight w:val="none"/>
          <w14:textFill>
            <w14:solidFill>
              <w14:schemeClr w14:val="tx1"/>
            </w14:solidFill>
          </w14:textFill>
        </w:rPr>
        <w:t>202</w:t>
      </w:r>
      <w:r>
        <w:rPr>
          <w:rFonts w:hint="eastAsia" w:ascii="仿宋" w:hAnsi="仿宋" w:eastAsia="仿宋" w:cs="仿宋"/>
          <w:b/>
          <w:color w:val="000000" w:themeColor="text1"/>
          <w:sz w:val="32"/>
          <w:highlight w:val="none"/>
          <w:lang w:eastAsia="zh-CN"/>
          <w14:textFill>
            <w14:solidFill>
              <w14:schemeClr w14:val="tx1"/>
            </w14:solidFill>
          </w14:textFill>
        </w:rPr>
        <w:t>6</w:t>
      </w:r>
      <w:r>
        <w:rPr>
          <w:rFonts w:hint="eastAsia" w:ascii="仿宋" w:hAnsi="仿宋" w:eastAsia="仿宋" w:cs="仿宋"/>
          <w:b/>
          <w:color w:val="000000" w:themeColor="text1"/>
          <w:sz w:val="32"/>
          <w:highlight w:val="none"/>
          <w14:textFill>
            <w14:solidFill>
              <w14:schemeClr w14:val="tx1"/>
            </w14:solidFill>
          </w14:textFill>
        </w:rPr>
        <w:t>年</w:t>
      </w:r>
      <w:r>
        <w:rPr>
          <w:rFonts w:hint="eastAsia" w:ascii="仿宋" w:hAnsi="仿宋" w:eastAsia="仿宋" w:cs="仿宋"/>
          <w:b/>
          <w:color w:val="000000" w:themeColor="text1"/>
          <w:sz w:val="32"/>
          <w:highlight w:val="none"/>
          <w:lang w:val="en-US" w:eastAsia="zh-CN"/>
          <w14:textFill>
            <w14:solidFill>
              <w14:schemeClr w14:val="tx1"/>
            </w14:solidFill>
          </w14:textFill>
        </w:rPr>
        <w:t>6</w:t>
      </w:r>
      <w:bookmarkStart w:id="190" w:name="_GoBack"/>
      <w:bookmarkEnd w:id="190"/>
      <w:r>
        <w:rPr>
          <w:rFonts w:hint="eastAsia" w:ascii="仿宋" w:hAnsi="仿宋" w:eastAsia="仿宋" w:cs="仿宋"/>
          <w:b/>
          <w:color w:val="000000" w:themeColor="text1"/>
          <w:sz w:val="32"/>
          <w:highlight w:val="none"/>
          <w14:textFill>
            <w14:solidFill>
              <w14:schemeClr w14:val="tx1"/>
            </w14:solidFill>
          </w14:textFill>
        </w:rPr>
        <w:t>月</w:t>
      </w:r>
    </w:p>
    <w:p w14:paraId="4506BBED">
      <w:pPr>
        <w:spacing w:line="360" w:lineRule="auto"/>
        <w:jc w:val="center"/>
        <w:rPr>
          <w:rFonts w:hint="eastAsia" w:ascii="仿宋" w:hAnsi="仿宋" w:eastAsia="仿宋" w:cs="仿宋"/>
          <w:color w:val="000000" w:themeColor="text1"/>
          <w:sz w:val="32"/>
          <w:highlight w:val="none"/>
          <w14:textFill>
            <w14:solidFill>
              <w14:schemeClr w14:val="tx1"/>
            </w14:solidFill>
          </w14:textFill>
        </w:rPr>
        <w:sectPr>
          <w:headerReference r:id="rId4" w:type="first"/>
          <w:headerReference r:id="rId3" w:type="even"/>
          <w:footerReference r:id="rId5" w:type="even"/>
          <w:pgSz w:w="11910" w:h="16840"/>
          <w:pgMar w:top="1417" w:right="1417" w:bottom="1417" w:left="1417" w:header="1191" w:footer="720" w:gutter="0"/>
          <w:cols w:space="720" w:num="1"/>
          <w:titlePg/>
          <w:docGrid w:linePitch="1" w:charSpace="0"/>
        </w:sectPr>
      </w:pPr>
    </w:p>
    <w:p w14:paraId="2E6456AE">
      <w:pPr>
        <w:pStyle w:val="9"/>
        <w:spacing w:line="360" w:lineRule="auto"/>
        <w:rPr>
          <w:rFonts w:hint="eastAsia" w:ascii="仿宋" w:hAnsi="仿宋" w:eastAsia="仿宋" w:cs="仿宋"/>
          <w:color w:val="000000" w:themeColor="text1"/>
          <w:highlight w:val="none"/>
          <w14:textFill>
            <w14:solidFill>
              <w14:schemeClr w14:val="tx1"/>
            </w14:solidFill>
          </w14:textFill>
        </w:rPr>
      </w:pPr>
    </w:p>
    <w:p w14:paraId="5A5E140C">
      <w:pPr>
        <w:spacing w:line="360" w:lineRule="auto"/>
        <w:jc w:val="center"/>
        <w:outlineLvl w:val="9"/>
        <w:rPr>
          <w:rFonts w:hint="eastAsia" w:ascii="仿宋" w:hAnsi="仿宋" w:eastAsia="仿宋" w:cs="仿宋"/>
          <w:b/>
          <w:bCs/>
          <w:color w:val="000000" w:themeColor="text1"/>
          <w:spacing w:val="-44"/>
          <w:sz w:val="40"/>
          <w:szCs w:val="40"/>
          <w:highlight w:val="none"/>
          <w14:textFill>
            <w14:solidFill>
              <w14:schemeClr w14:val="tx1"/>
            </w14:solidFill>
          </w14:textFill>
        </w:rPr>
      </w:pPr>
      <w:bookmarkStart w:id="6" w:name="_Toc12550"/>
      <w:bookmarkStart w:id="7" w:name="_Toc8355"/>
      <w:bookmarkStart w:id="8" w:name="_Toc21445"/>
      <w:bookmarkStart w:id="9" w:name="_Toc19702"/>
      <w:bookmarkStart w:id="10" w:name="_Toc30756"/>
      <w:bookmarkStart w:id="11" w:name="_Toc15808"/>
      <w:r>
        <w:rPr>
          <w:rFonts w:hint="eastAsia" w:ascii="仿宋" w:hAnsi="仿宋" w:eastAsia="仿宋" w:cs="仿宋"/>
          <w:b/>
          <w:bCs/>
          <w:color w:val="000000" w:themeColor="text1"/>
          <w:spacing w:val="-44"/>
          <w:sz w:val="40"/>
          <w:szCs w:val="40"/>
          <w:highlight w:val="none"/>
          <w14:textFill>
            <w14:solidFill>
              <w14:schemeClr w14:val="tx1"/>
            </w14:solidFill>
          </w14:textFill>
        </w:rPr>
        <w:t>目</w:t>
      </w:r>
      <w:r>
        <w:rPr>
          <w:rFonts w:hint="eastAsia" w:ascii="仿宋" w:hAnsi="仿宋" w:eastAsia="仿宋" w:cs="仿宋"/>
          <w:b/>
          <w:bCs/>
          <w:color w:val="000000" w:themeColor="text1"/>
          <w:spacing w:val="-44"/>
          <w:sz w:val="40"/>
          <w:szCs w:val="40"/>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44"/>
          <w:sz w:val="40"/>
          <w:szCs w:val="40"/>
          <w:highlight w:val="none"/>
          <w14:textFill>
            <w14:solidFill>
              <w14:schemeClr w14:val="tx1"/>
            </w14:solidFill>
          </w14:textFill>
        </w:rPr>
        <w:t>录</w:t>
      </w:r>
      <w:bookmarkEnd w:id="6"/>
      <w:bookmarkEnd w:id="7"/>
      <w:bookmarkEnd w:id="8"/>
      <w:bookmarkEnd w:id="9"/>
      <w:bookmarkEnd w:id="10"/>
      <w:bookmarkEnd w:id="11"/>
    </w:p>
    <w:sdt>
      <w:sdtPr>
        <w:rPr>
          <w:rFonts w:hint="eastAsia" w:ascii="仿宋" w:hAnsi="仿宋" w:eastAsia="仿宋" w:cs="仿宋"/>
          <w:snapToGrid w:val="0"/>
          <w:color w:val="000000" w:themeColor="text1"/>
          <w:sz w:val="21"/>
          <w:szCs w:val="21"/>
          <w:highlight w:val="none"/>
          <w:lang w:val="en-US" w:eastAsia="en-US" w:bidi="ar-SA"/>
          <w14:textFill>
            <w14:solidFill>
              <w14:schemeClr w14:val="tx1"/>
            </w14:solidFill>
          </w14:textFill>
        </w:rPr>
        <w:id w:val="147471143"/>
        <w15:color w:val="DBDBDB"/>
        <w:docPartObj>
          <w:docPartGallery w:val="Table of Contents"/>
          <w:docPartUnique/>
        </w:docPartObj>
      </w:sdtPr>
      <w:sdtEndPr>
        <w:rPr>
          <w:rFonts w:hint="eastAsia" w:ascii="仿宋" w:hAnsi="仿宋" w:eastAsia="仿宋" w:cs="仿宋"/>
          <w:snapToGrid w:val="0"/>
          <w:color w:val="000000" w:themeColor="text1"/>
          <w:spacing w:val="-44"/>
          <w:sz w:val="21"/>
          <w:szCs w:val="36"/>
          <w:highlight w:val="none"/>
          <w:lang w:val="en-US" w:eastAsia="zh-CN" w:bidi="ar-SA"/>
          <w14:textFill>
            <w14:solidFill>
              <w14:schemeClr w14:val="tx1"/>
            </w14:solidFill>
          </w14:textFill>
        </w:rPr>
      </w:sdtEndPr>
      <w:sdtContent>
        <w:p w14:paraId="15127A73">
          <w:pPr>
            <w:spacing w:before="0" w:beforeLines="0" w:after="0" w:afterLines="0" w:line="240" w:lineRule="auto"/>
            <w:ind w:left="0" w:leftChars="0" w:right="0" w:rightChars="0" w:firstLine="0" w:firstLineChars="0"/>
            <w:jc w:val="center"/>
            <w:rPr>
              <w:rFonts w:hint="eastAsia" w:ascii="仿宋" w:hAnsi="仿宋" w:eastAsia="仿宋" w:cs="仿宋"/>
              <w:color w:val="000000" w:themeColor="text1"/>
              <w:highlight w:val="none"/>
              <w14:textFill>
                <w14:solidFill>
                  <w14:schemeClr w14:val="tx1"/>
                </w14:solidFill>
              </w14:textFill>
            </w:rPr>
          </w:pPr>
        </w:p>
        <w:p w14:paraId="5C0A2461">
          <w:pPr>
            <w:pStyle w:val="17"/>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44"/>
              <w:sz w:val="36"/>
              <w:szCs w:val="36"/>
              <w:highlight w:val="none"/>
              <w:lang w:eastAsia="zh-CN"/>
              <w14:textFill>
                <w14:solidFill>
                  <w14:schemeClr w14:val="tx1"/>
                </w14:solidFill>
              </w14:textFill>
            </w:rPr>
            <w:fldChar w:fldCharType="begin"/>
          </w:r>
          <w:r>
            <w:rPr>
              <w:rFonts w:hint="eastAsia" w:ascii="仿宋" w:hAnsi="仿宋" w:eastAsia="仿宋" w:cs="仿宋"/>
              <w:color w:val="000000" w:themeColor="text1"/>
              <w:spacing w:val="-44"/>
              <w:sz w:val="36"/>
              <w:szCs w:val="36"/>
              <w:highlight w:val="none"/>
              <w:lang w:eastAsia="zh-CN"/>
              <w14:textFill>
                <w14:solidFill>
                  <w14:schemeClr w14:val="tx1"/>
                </w14:solidFill>
              </w14:textFill>
            </w:rPr>
            <w:instrText xml:space="preserve">TOC \o "1-1" \h \u </w:instrText>
          </w:r>
          <w:r>
            <w:rPr>
              <w:rFonts w:hint="eastAsia" w:ascii="仿宋" w:hAnsi="仿宋" w:eastAsia="仿宋" w:cs="仿宋"/>
              <w:color w:val="000000" w:themeColor="text1"/>
              <w:spacing w:val="-44"/>
              <w:sz w:val="36"/>
              <w:szCs w:val="36"/>
              <w:highlight w:val="none"/>
              <w:lang w:eastAsia="zh-CN"/>
              <w14:textFill>
                <w14:solidFill>
                  <w14:schemeClr w14:val="tx1"/>
                </w14:solidFill>
              </w14:textFill>
            </w:rPr>
            <w:fldChar w:fldCharType="separate"/>
          </w:r>
          <w:r>
            <w:rPr>
              <w:rFonts w:hint="eastAsia" w:ascii="仿宋" w:hAnsi="仿宋" w:eastAsia="仿宋" w:cs="仿宋"/>
              <w:b/>
              <w:bCs/>
              <w:color w:val="000000" w:themeColor="text1"/>
              <w:spacing w:val="-44"/>
              <w:sz w:val="28"/>
              <w:szCs w:val="48"/>
              <w:highlight w:val="none"/>
              <w:lang w:eastAsia="zh-CN"/>
              <w14:textFill>
                <w14:solidFill>
                  <w14:schemeClr w14:val="tx1"/>
                </w14:solidFill>
              </w14:textFill>
            </w:rPr>
            <w:fldChar w:fldCharType="begin"/>
          </w:r>
          <w:r>
            <w:rPr>
              <w:rFonts w:hint="eastAsia" w:ascii="仿宋" w:hAnsi="仿宋" w:eastAsia="仿宋" w:cs="仿宋"/>
              <w:b/>
              <w:bCs/>
              <w:color w:val="000000" w:themeColor="text1"/>
              <w:spacing w:val="-44"/>
              <w:sz w:val="28"/>
              <w:szCs w:val="48"/>
              <w:highlight w:val="none"/>
              <w:lang w:eastAsia="zh-CN"/>
              <w14:textFill>
                <w14:solidFill>
                  <w14:schemeClr w14:val="tx1"/>
                </w14:solidFill>
              </w14:textFill>
            </w:rPr>
            <w:instrText xml:space="preserve"> HYPERLINK \l _Toc31269 </w:instrText>
          </w:r>
          <w:r>
            <w:rPr>
              <w:rFonts w:hint="eastAsia" w:ascii="仿宋" w:hAnsi="仿宋" w:eastAsia="仿宋" w:cs="仿宋"/>
              <w:b/>
              <w:bCs/>
              <w:color w:val="000000" w:themeColor="text1"/>
              <w:spacing w:val="-44"/>
              <w:sz w:val="28"/>
              <w:szCs w:val="48"/>
              <w:highlight w:val="none"/>
              <w:lang w:eastAsia="zh-CN"/>
              <w14:textFill>
                <w14:solidFill>
                  <w14:schemeClr w14:val="tx1"/>
                </w14:solidFill>
              </w14:textFill>
            </w:rPr>
            <w:fldChar w:fldCharType="separate"/>
          </w:r>
          <w:r>
            <w:rPr>
              <w:rFonts w:hint="eastAsia" w:ascii="仿宋" w:hAnsi="仿宋" w:eastAsia="仿宋" w:cs="仿宋"/>
              <w:b/>
              <w:bCs/>
              <w:color w:val="000000" w:themeColor="text1"/>
              <w:spacing w:val="-5"/>
              <w:sz w:val="28"/>
              <w:szCs w:val="48"/>
              <w:highlight w:val="none"/>
              <w:lang w:eastAsia="zh-CN"/>
              <w14:textFill>
                <w14:solidFill>
                  <w14:schemeClr w14:val="tx1"/>
                </w14:solidFill>
              </w14:textFill>
            </w:rPr>
            <w:t>第一章采购邀请</w:t>
          </w:r>
          <w:r>
            <w:rPr>
              <w:rFonts w:hint="eastAsia" w:ascii="仿宋" w:hAnsi="仿宋" w:eastAsia="仿宋" w:cs="仿宋"/>
              <w:b/>
              <w:bCs/>
              <w:color w:val="000000" w:themeColor="text1"/>
              <w:sz w:val="28"/>
              <w:szCs w:val="28"/>
              <w:highlight w:val="none"/>
              <w14:textFill>
                <w14:solidFill>
                  <w14:schemeClr w14:val="tx1"/>
                </w14:solidFill>
              </w14:textFill>
            </w:rPr>
            <w:tab/>
          </w:r>
          <w:r>
            <w:rPr>
              <w:rFonts w:hint="eastAsia" w:ascii="仿宋" w:hAnsi="仿宋" w:eastAsia="仿宋" w:cs="仿宋"/>
              <w:b/>
              <w:bCs/>
              <w:color w:val="000000" w:themeColor="text1"/>
              <w:sz w:val="28"/>
              <w:szCs w:val="28"/>
              <w:highlight w:val="none"/>
              <w14:textFill>
                <w14:solidFill>
                  <w14:schemeClr w14:val="tx1"/>
                </w14:solidFill>
              </w14:textFill>
            </w:rPr>
            <w:fldChar w:fldCharType="begin"/>
          </w:r>
          <w:r>
            <w:rPr>
              <w:rFonts w:hint="eastAsia" w:ascii="仿宋" w:hAnsi="仿宋" w:eastAsia="仿宋" w:cs="仿宋"/>
              <w:b/>
              <w:bCs/>
              <w:color w:val="000000" w:themeColor="text1"/>
              <w:sz w:val="28"/>
              <w:szCs w:val="28"/>
              <w:highlight w:val="none"/>
              <w14:textFill>
                <w14:solidFill>
                  <w14:schemeClr w14:val="tx1"/>
                </w14:solidFill>
              </w14:textFill>
            </w:rPr>
            <w:instrText xml:space="preserve"> PAGEREF _Toc31269 \h </w:instrText>
          </w:r>
          <w:r>
            <w:rPr>
              <w:rFonts w:hint="eastAsia" w:ascii="仿宋" w:hAnsi="仿宋" w:eastAsia="仿宋" w:cs="仿宋"/>
              <w:b/>
              <w:bCs/>
              <w:color w:val="000000" w:themeColor="text1"/>
              <w:sz w:val="28"/>
              <w:szCs w:val="28"/>
              <w:highlight w:val="none"/>
              <w14:textFill>
                <w14:solidFill>
                  <w14:schemeClr w14:val="tx1"/>
                </w14:solidFill>
              </w14:textFill>
            </w:rPr>
            <w:fldChar w:fldCharType="separate"/>
          </w:r>
          <w:r>
            <w:rPr>
              <w:rFonts w:hint="eastAsia" w:ascii="仿宋" w:hAnsi="仿宋" w:eastAsia="仿宋" w:cs="仿宋"/>
              <w:b/>
              <w:bCs/>
              <w:color w:val="000000" w:themeColor="text1"/>
              <w:sz w:val="28"/>
              <w:szCs w:val="28"/>
              <w:highlight w:val="none"/>
              <w14:textFill>
                <w14:solidFill>
                  <w14:schemeClr w14:val="tx1"/>
                </w14:solidFill>
              </w14:textFill>
            </w:rPr>
            <w:t>1</w:t>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r>
            <w:rPr>
              <w:rFonts w:hint="eastAsia" w:ascii="仿宋" w:hAnsi="仿宋" w:eastAsia="仿宋" w:cs="仿宋"/>
              <w:b/>
              <w:bCs/>
              <w:color w:val="000000" w:themeColor="text1"/>
              <w:spacing w:val="-44"/>
              <w:sz w:val="28"/>
              <w:szCs w:val="48"/>
              <w:highlight w:val="none"/>
              <w:lang w:eastAsia="zh-CN"/>
              <w14:textFill>
                <w14:solidFill>
                  <w14:schemeClr w14:val="tx1"/>
                </w14:solidFill>
              </w14:textFill>
            </w:rPr>
            <w:fldChar w:fldCharType="end"/>
          </w:r>
        </w:p>
        <w:p w14:paraId="1D5574A2">
          <w:pPr>
            <w:pStyle w:val="17"/>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pacing w:val="-44"/>
              <w:sz w:val="28"/>
              <w:szCs w:val="48"/>
              <w:highlight w:val="none"/>
              <w:lang w:eastAsia="zh-CN"/>
              <w14:textFill>
                <w14:solidFill>
                  <w14:schemeClr w14:val="tx1"/>
                </w14:solidFill>
              </w14:textFill>
            </w:rPr>
            <w:fldChar w:fldCharType="begin"/>
          </w:r>
          <w:r>
            <w:rPr>
              <w:rFonts w:hint="eastAsia" w:ascii="仿宋" w:hAnsi="仿宋" w:eastAsia="仿宋" w:cs="仿宋"/>
              <w:b/>
              <w:bCs/>
              <w:color w:val="000000" w:themeColor="text1"/>
              <w:spacing w:val="-44"/>
              <w:sz w:val="28"/>
              <w:szCs w:val="48"/>
              <w:highlight w:val="none"/>
              <w:lang w:eastAsia="zh-CN"/>
              <w14:textFill>
                <w14:solidFill>
                  <w14:schemeClr w14:val="tx1"/>
                </w14:solidFill>
              </w14:textFill>
            </w:rPr>
            <w:instrText xml:space="preserve"> HYPERLINK \l _Toc12145 </w:instrText>
          </w:r>
          <w:r>
            <w:rPr>
              <w:rFonts w:hint="eastAsia" w:ascii="仿宋" w:hAnsi="仿宋" w:eastAsia="仿宋" w:cs="仿宋"/>
              <w:b/>
              <w:bCs/>
              <w:color w:val="000000" w:themeColor="text1"/>
              <w:spacing w:val="-44"/>
              <w:sz w:val="28"/>
              <w:szCs w:val="48"/>
              <w:highlight w:val="none"/>
              <w:lang w:eastAsia="zh-CN"/>
              <w14:textFill>
                <w14:solidFill>
                  <w14:schemeClr w14:val="tx1"/>
                </w14:solidFill>
              </w14:textFill>
            </w:rPr>
            <w:fldChar w:fldCharType="separate"/>
          </w:r>
          <w:r>
            <w:rPr>
              <w:rFonts w:hint="eastAsia" w:ascii="仿宋" w:hAnsi="仿宋" w:eastAsia="仿宋" w:cs="仿宋"/>
              <w:b/>
              <w:bCs/>
              <w:color w:val="000000" w:themeColor="text1"/>
              <w:sz w:val="28"/>
              <w:szCs w:val="48"/>
              <w:highlight w:val="none"/>
              <w:lang w:eastAsia="zh-CN"/>
              <w14:textFill>
                <w14:solidFill>
                  <w14:schemeClr w14:val="tx1"/>
                </w14:solidFill>
              </w14:textFill>
            </w:rPr>
            <w:t>第二章供应商须知</w:t>
          </w:r>
          <w:r>
            <w:rPr>
              <w:rFonts w:hint="eastAsia" w:ascii="仿宋" w:hAnsi="仿宋" w:eastAsia="仿宋" w:cs="仿宋"/>
              <w:b/>
              <w:bCs/>
              <w:color w:val="000000" w:themeColor="text1"/>
              <w:sz w:val="28"/>
              <w:szCs w:val="28"/>
              <w:highlight w:val="none"/>
              <w14:textFill>
                <w14:solidFill>
                  <w14:schemeClr w14:val="tx1"/>
                </w14:solidFill>
              </w14:textFill>
            </w:rPr>
            <w:tab/>
          </w:r>
          <w:r>
            <w:rPr>
              <w:rFonts w:hint="eastAsia" w:ascii="仿宋" w:hAnsi="仿宋" w:eastAsia="仿宋" w:cs="仿宋"/>
              <w:b/>
              <w:bCs/>
              <w:color w:val="000000" w:themeColor="text1"/>
              <w:sz w:val="28"/>
              <w:szCs w:val="28"/>
              <w:highlight w:val="none"/>
              <w14:textFill>
                <w14:solidFill>
                  <w14:schemeClr w14:val="tx1"/>
                </w14:solidFill>
              </w14:textFill>
            </w:rPr>
            <w:fldChar w:fldCharType="begin"/>
          </w:r>
          <w:r>
            <w:rPr>
              <w:rFonts w:hint="eastAsia" w:ascii="仿宋" w:hAnsi="仿宋" w:eastAsia="仿宋" w:cs="仿宋"/>
              <w:b/>
              <w:bCs/>
              <w:color w:val="000000" w:themeColor="text1"/>
              <w:sz w:val="28"/>
              <w:szCs w:val="28"/>
              <w:highlight w:val="none"/>
              <w14:textFill>
                <w14:solidFill>
                  <w14:schemeClr w14:val="tx1"/>
                </w14:solidFill>
              </w14:textFill>
            </w:rPr>
            <w:instrText xml:space="preserve"> PAGEREF _Toc12145 \h </w:instrText>
          </w:r>
          <w:r>
            <w:rPr>
              <w:rFonts w:hint="eastAsia" w:ascii="仿宋" w:hAnsi="仿宋" w:eastAsia="仿宋" w:cs="仿宋"/>
              <w:b/>
              <w:bCs/>
              <w:color w:val="000000" w:themeColor="text1"/>
              <w:sz w:val="28"/>
              <w:szCs w:val="28"/>
              <w:highlight w:val="none"/>
              <w14:textFill>
                <w14:solidFill>
                  <w14:schemeClr w14:val="tx1"/>
                </w14:solidFill>
              </w14:textFill>
            </w:rPr>
            <w:fldChar w:fldCharType="separate"/>
          </w:r>
          <w:r>
            <w:rPr>
              <w:rFonts w:hint="eastAsia" w:ascii="仿宋" w:hAnsi="仿宋" w:eastAsia="仿宋" w:cs="仿宋"/>
              <w:b/>
              <w:bCs/>
              <w:color w:val="000000" w:themeColor="text1"/>
              <w:sz w:val="28"/>
              <w:szCs w:val="28"/>
              <w:highlight w:val="none"/>
              <w14:textFill>
                <w14:solidFill>
                  <w14:schemeClr w14:val="tx1"/>
                </w14:solidFill>
              </w14:textFill>
            </w:rPr>
            <w:t>4</w:t>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r>
            <w:rPr>
              <w:rFonts w:hint="eastAsia" w:ascii="仿宋" w:hAnsi="仿宋" w:eastAsia="仿宋" w:cs="仿宋"/>
              <w:b/>
              <w:bCs/>
              <w:color w:val="000000" w:themeColor="text1"/>
              <w:spacing w:val="-44"/>
              <w:sz w:val="28"/>
              <w:szCs w:val="48"/>
              <w:highlight w:val="none"/>
              <w:lang w:eastAsia="zh-CN"/>
              <w14:textFill>
                <w14:solidFill>
                  <w14:schemeClr w14:val="tx1"/>
                </w14:solidFill>
              </w14:textFill>
            </w:rPr>
            <w:fldChar w:fldCharType="end"/>
          </w:r>
        </w:p>
        <w:p w14:paraId="7D969127">
          <w:pPr>
            <w:pStyle w:val="17"/>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pacing w:val="-44"/>
              <w:sz w:val="28"/>
              <w:szCs w:val="48"/>
              <w:highlight w:val="none"/>
              <w:lang w:eastAsia="zh-CN"/>
              <w14:textFill>
                <w14:solidFill>
                  <w14:schemeClr w14:val="tx1"/>
                </w14:solidFill>
              </w14:textFill>
            </w:rPr>
            <w:fldChar w:fldCharType="begin"/>
          </w:r>
          <w:r>
            <w:rPr>
              <w:rFonts w:hint="eastAsia" w:ascii="仿宋" w:hAnsi="仿宋" w:eastAsia="仿宋" w:cs="仿宋"/>
              <w:b/>
              <w:bCs/>
              <w:color w:val="000000" w:themeColor="text1"/>
              <w:spacing w:val="-44"/>
              <w:sz w:val="28"/>
              <w:szCs w:val="48"/>
              <w:highlight w:val="none"/>
              <w:lang w:eastAsia="zh-CN"/>
              <w14:textFill>
                <w14:solidFill>
                  <w14:schemeClr w14:val="tx1"/>
                </w14:solidFill>
              </w14:textFill>
            </w:rPr>
            <w:instrText xml:space="preserve"> HYPERLINK \l _Toc12004 </w:instrText>
          </w:r>
          <w:r>
            <w:rPr>
              <w:rFonts w:hint="eastAsia" w:ascii="仿宋" w:hAnsi="仿宋" w:eastAsia="仿宋" w:cs="仿宋"/>
              <w:b/>
              <w:bCs/>
              <w:color w:val="000000" w:themeColor="text1"/>
              <w:spacing w:val="-44"/>
              <w:sz w:val="28"/>
              <w:szCs w:val="48"/>
              <w:highlight w:val="none"/>
              <w:lang w:eastAsia="zh-CN"/>
              <w14:textFill>
                <w14:solidFill>
                  <w14:schemeClr w14:val="tx1"/>
                </w14:solidFill>
              </w14:textFill>
            </w:rPr>
            <w:fldChar w:fldCharType="separate"/>
          </w:r>
          <w:r>
            <w:rPr>
              <w:rFonts w:hint="eastAsia" w:ascii="仿宋" w:hAnsi="仿宋" w:eastAsia="仿宋" w:cs="仿宋"/>
              <w:b/>
              <w:bCs/>
              <w:color w:val="000000" w:themeColor="text1"/>
              <w:spacing w:val="-4"/>
              <w:sz w:val="28"/>
              <w:szCs w:val="48"/>
              <w:highlight w:val="none"/>
              <w:lang w:eastAsia="zh-CN"/>
              <w14:textFill>
                <w14:solidFill>
                  <w14:schemeClr w14:val="tx1"/>
                </w14:solidFill>
              </w14:textFill>
            </w:rPr>
            <w:t>第三章评审方法和评审标准</w:t>
          </w:r>
          <w:r>
            <w:rPr>
              <w:rFonts w:hint="eastAsia" w:ascii="仿宋" w:hAnsi="仿宋" w:eastAsia="仿宋" w:cs="仿宋"/>
              <w:b/>
              <w:bCs/>
              <w:color w:val="000000" w:themeColor="text1"/>
              <w:sz w:val="28"/>
              <w:szCs w:val="28"/>
              <w:highlight w:val="none"/>
              <w14:textFill>
                <w14:solidFill>
                  <w14:schemeClr w14:val="tx1"/>
                </w14:solidFill>
              </w14:textFill>
            </w:rPr>
            <w:tab/>
          </w:r>
          <w:r>
            <w:rPr>
              <w:rFonts w:hint="eastAsia" w:ascii="仿宋" w:hAnsi="仿宋" w:eastAsia="仿宋" w:cs="仿宋"/>
              <w:b/>
              <w:bCs/>
              <w:color w:val="000000" w:themeColor="text1"/>
              <w:sz w:val="28"/>
              <w:szCs w:val="28"/>
              <w:highlight w:val="none"/>
              <w14:textFill>
                <w14:solidFill>
                  <w14:schemeClr w14:val="tx1"/>
                </w14:solidFill>
              </w14:textFill>
            </w:rPr>
            <w:fldChar w:fldCharType="begin"/>
          </w:r>
          <w:r>
            <w:rPr>
              <w:rFonts w:hint="eastAsia" w:ascii="仿宋" w:hAnsi="仿宋" w:eastAsia="仿宋" w:cs="仿宋"/>
              <w:b/>
              <w:bCs/>
              <w:color w:val="000000" w:themeColor="text1"/>
              <w:sz w:val="28"/>
              <w:szCs w:val="28"/>
              <w:highlight w:val="none"/>
              <w14:textFill>
                <w14:solidFill>
                  <w14:schemeClr w14:val="tx1"/>
                </w14:solidFill>
              </w14:textFill>
            </w:rPr>
            <w:instrText xml:space="preserve"> PAGEREF _Toc12004 \h </w:instrText>
          </w:r>
          <w:r>
            <w:rPr>
              <w:rFonts w:hint="eastAsia" w:ascii="仿宋" w:hAnsi="仿宋" w:eastAsia="仿宋" w:cs="仿宋"/>
              <w:b/>
              <w:bCs/>
              <w:color w:val="000000" w:themeColor="text1"/>
              <w:sz w:val="28"/>
              <w:szCs w:val="28"/>
              <w:highlight w:val="none"/>
              <w14:textFill>
                <w14:solidFill>
                  <w14:schemeClr w14:val="tx1"/>
                </w14:solidFill>
              </w14:textFill>
            </w:rPr>
            <w:fldChar w:fldCharType="separate"/>
          </w:r>
          <w:r>
            <w:rPr>
              <w:rFonts w:hint="eastAsia" w:ascii="仿宋" w:hAnsi="仿宋" w:eastAsia="仿宋" w:cs="仿宋"/>
              <w:b/>
              <w:bCs/>
              <w:color w:val="000000" w:themeColor="text1"/>
              <w:sz w:val="28"/>
              <w:szCs w:val="28"/>
              <w:highlight w:val="none"/>
              <w14:textFill>
                <w14:solidFill>
                  <w14:schemeClr w14:val="tx1"/>
                </w14:solidFill>
              </w14:textFill>
            </w:rPr>
            <w:t>18</w:t>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r>
            <w:rPr>
              <w:rFonts w:hint="eastAsia" w:ascii="仿宋" w:hAnsi="仿宋" w:eastAsia="仿宋" w:cs="仿宋"/>
              <w:b/>
              <w:bCs/>
              <w:color w:val="000000" w:themeColor="text1"/>
              <w:spacing w:val="-44"/>
              <w:sz w:val="28"/>
              <w:szCs w:val="48"/>
              <w:highlight w:val="none"/>
              <w:lang w:eastAsia="zh-CN"/>
              <w14:textFill>
                <w14:solidFill>
                  <w14:schemeClr w14:val="tx1"/>
                </w14:solidFill>
              </w14:textFill>
            </w:rPr>
            <w:fldChar w:fldCharType="end"/>
          </w:r>
        </w:p>
        <w:p w14:paraId="6DBE8E86">
          <w:pPr>
            <w:pStyle w:val="17"/>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pacing w:val="-44"/>
              <w:sz w:val="28"/>
              <w:szCs w:val="48"/>
              <w:highlight w:val="none"/>
              <w:lang w:eastAsia="zh-CN"/>
              <w14:textFill>
                <w14:solidFill>
                  <w14:schemeClr w14:val="tx1"/>
                </w14:solidFill>
              </w14:textFill>
            </w:rPr>
            <w:fldChar w:fldCharType="begin"/>
          </w:r>
          <w:r>
            <w:rPr>
              <w:rFonts w:hint="eastAsia" w:ascii="仿宋" w:hAnsi="仿宋" w:eastAsia="仿宋" w:cs="仿宋"/>
              <w:b/>
              <w:bCs/>
              <w:color w:val="000000" w:themeColor="text1"/>
              <w:spacing w:val="-44"/>
              <w:sz w:val="28"/>
              <w:szCs w:val="48"/>
              <w:highlight w:val="none"/>
              <w:lang w:eastAsia="zh-CN"/>
              <w14:textFill>
                <w14:solidFill>
                  <w14:schemeClr w14:val="tx1"/>
                </w14:solidFill>
              </w14:textFill>
            </w:rPr>
            <w:instrText xml:space="preserve"> HYPERLINK \l _Toc7544 </w:instrText>
          </w:r>
          <w:r>
            <w:rPr>
              <w:rFonts w:hint="eastAsia" w:ascii="仿宋" w:hAnsi="仿宋" w:eastAsia="仿宋" w:cs="仿宋"/>
              <w:b/>
              <w:bCs/>
              <w:color w:val="000000" w:themeColor="text1"/>
              <w:spacing w:val="-44"/>
              <w:sz w:val="28"/>
              <w:szCs w:val="48"/>
              <w:highlight w:val="none"/>
              <w:lang w:eastAsia="zh-CN"/>
              <w14:textFill>
                <w14:solidFill>
                  <w14:schemeClr w14:val="tx1"/>
                </w14:solidFill>
              </w14:textFill>
            </w:rPr>
            <w:fldChar w:fldCharType="separate"/>
          </w:r>
          <w:r>
            <w:rPr>
              <w:rFonts w:hint="eastAsia" w:ascii="仿宋" w:hAnsi="仿宋" w:eastAsia="仿宋" w:cs="仿宋"/>
              <w:b/>
              <w:bCs/>
              <w:color w:val="000000" w:themeColor="text1"/>
              <w:spacing w:val="8"/>
              <w:sz w:val="28"/>
              <w:szCs w:val="44"/>
              <w:highlight w:val="none"/>
              <w:lang w:eastAsia="zh-CN"/>
              <w14:textFill>
                <w14:solidFill>
                  <w14:schemeClr w14:val="tx1"/>
                </w14:solidFill>
              </w14:textFill>
            </w:rPr>
            <w:t>第四章采购需求</w:t>
          </w:r>
          <w:r>
            <w:rPr>
              <w:rFonts w:hint="eastAsia" w:ascii="仿宋" w:hAnsi="仿宋" w:eastAsia="仿宋" w:cs="仿宋"/>
              <w:b/>
              <w:bCs/>
              <w:color w:val="000000" w:themeColor="text1"/>
              <w:sz w:val="28"/>
              <w:szCs w:val="28"/>
              <w:highlight w:val="none"/>
              <w14:textFill>
                <w14:solidFill>
                  <w14:schemeClr w14:val="tx1"/>
                </w14:solidFill>
              </w14:textFill>
            </w:rPr>
            <w:tab/>
          </w:r>
          <w:r>
            <w:rPr>
              <w:rFonts w:hint="eastAsia" w:ascii="仿宋" w:hAnsi="仿宋" w:eastAsia="仿宋" w:cs="仿宋"/>
              <w:b/>
              <w:bCs/>
              <w:color w:val="000000" w:themeColor="text1"/>
              <w:sz w:val="28"/>
              <w:szCs w:val="28"/>
              <w:highlight w:val="none"/>
              <w14:textFill>
                <w14:solidFill>
                  <w14:schemeClr w14:val="tx1"/>
                </w14:solidFill>
              </w14:textFill>
            </w:rPr>
            <w:fldChar w:fldCharType="begin"/>
          </w:r>
          <w:r>
            <w:rPr>
              <w:rFonts w:hint="eastAsia" w:ascii="仿宋" w:hAnsi="仿宋" w:eastAsia="仿宋" w:cs="仿宋"/>
              <w:b/>
              <w:bCs/>
              <w:color w:val="000000" w:themeColor="text1"/>
              <w:sz w:val="28"/>
              <w:szCs w:val="28"/>
              <w:highlight w:val="none"/>
              <w14:textFill>
                <w14:solidFill>
                  <w14:schemeClr w14:val="tx1"/>
                </w14:solidFill>
              </w14:textFill>
            </w:rPr>
            <w:instrText xml:space="preserve"> PAGEREF _Toc7544 \h </w:instrText>
          </w:r>
          <w:r>
            <w:rPr>
              <w:rFonts w:hint="eastAsia" w:ascii="仿宋" w:hAnsi="仿宋" w:eastAsia="仿宋" w:cs="仿宋"/>
              <w:b/>
              <w:bCs/>
              <w:color w:val="000000" w:themeColor="text1"/>
              <w:sz w:val="28"/>
              <w:szCs w:val="28"/>
              <w:highlight w:val="none"/>
              <w14:textFill>
                <w14:solidFill>
                  <w14:schemeClr w14:val="tx1"/>
                </w14:solidFill>
              </w14:textFill>
            </w:rPr>
            <w:fldChar w:fldCharType="separate"/>
          </w:r>
          <w:r>
            <w:rPr>
              <w:rFonts w:hint="eastAsia" w:ascii="仿宋" w:hAnsi="仿宋" w:eastAsia="仿宋" w:cs="仿宋"/>
              <w:b/>
              <w:bCs/>
              <w:color w:val="000000" w:themeColor="text1"/>
              <w:sz w:val="28"/>
              <w:szCs w:val="28"/>
              <w:highlight w:val="none"/>
              <w14:textFill>
                <w14:solidFill>
                  <w14:schemeClr w14:val="tx1"/>
                </w14:solidFill>
              </w14:textFill>
            </w:rPr>
            <w:t>27</w:t>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r>
            <w:rPr>
              <w:rFonts w:hint="eastAsia" w:ascii="仿宋" w:hAnsi="仿宋" w:eastAsia="仿宋" w:cs="仿宋"/>
              <w:b/>
              <w:bCs/>
              <w:color w:val="000000" w:themeColor="text1"/>
              <w:spacing w:val="-44"/>
              <w:sz w:val="28"/>
              <w:szCs w:val="48"/>
              <w:highlight w:val="none"/>
              <w:lang w:eastAsia="zh-CN"/>
              <w14:textFill>
                <w14:solidFill>
                  <w14:schemeClr w14:val="tx1"/>
                </w14:solidFill>
              </w14:textFill>
            </w:rPr>
            <w:fldChar w:fldCharType="end"/>
          </w:r>
        </w:p>
        <w:p w14:paraId="7AB5500C">
          <w:pPr>
            <w:pStyle w:val="17"/>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pacing w:val="-44"/>
              <w:sz w:val="28"/>
              <w:szCs w:val="48"/>
              <w:highlight w:val="none"/>
              <w:lang w:eastAsia="zh-CN"/>
              <w14:textFill>
                <w14:solidFill>
                  <w14:schemeClr w14:val="tx1"/>
                </w14:solidFill>
              </w14:textFill>
            </w:rPr>
            <w:fldChar w:fldCharType="begin"/>
          </w:r>
          <w:r>
            <w:rPr>
              <w:rFonts w:hint="eastAsia" w:ascii="仿宋" w:hAnsi="仿宋" w:eastAsia="仿宋" w:cs="仿宋"/>
              <w:b/>
              <w:bCs/>
              <w:color w:val="000000" w:themeColor="text1"/>
              <w:spacing w:val="-44"/>
              <w:sz w:val="28"/>
              <w:szCs w:val="48"/>
              <w:highlight w:val="none"/>
              <w:lang w:eastAsia="zh-CN"/>
              <w14:textFill>
                <w14:solidFill>
                  <w14:schemeClr w14:val="tx1"/>
                </w14:solidFill>
              </w14:textFill>
            </w:rPr>
            <w:instrText xml:space="preserve"> HYPERLINK \l _Toc27170 </w:instrText>
          </w:r>
          <w:r>
            <w:rPr>
              <w:rFonts w:hint="eastAsia" w:ascii="仿宋" w:hAnsi="仿宋" w:eastAsia="仿宋" w:cs="仿宋"/>
              <w:b/>
              <w:bCs/>
              <w:color w:val="000000" w:themeColor="text1"/>
              <w:spacing w:val="-44"/>
              <w:sz w:val="28"/>
              <w:szCs w:val="48"/>
              <w:highlight w:val="none"/>
              <w:lang w:eastAsia="zh-CN"/>
              <w14:textFill>
                <w14:solidFill>
                  <w14:schemeClr w14:val="tx1"/>
                </w14:solidFill>
              </w14:textFill>
            </w:rPr>
            <w:fldChar w:fldCharType="separate"/>
          </w:r>
          <w:r>
            <w:rPr>
              <w:rFonts w:hint="eastAsia" w:ascii="仿宋" w:hAnsi="仿宋" w:eastAsia="仿宋" w:cs="仿宋"/>
              <w:b/>
              <w:bCs/>
              <w:color w:val="000000" w:themeColor="text1"/>
              <w:spacing w:val="8"/>
              <w:sz w:val="28"/>
              <w:szCs w:val="44"/>
              <w:highlight w:val="none"/>
              <w:lang w:eastAsia="zh-CN"/>
              <w14:textFill>
                <w14:solidFill>
                  <w14:schemeClr w14:val="tx1"/>
                </w14:solidFill>
              </w14:textFill>
            </w:rPr>
            <w:t>第五章合同草案条款</w:t>
          </w:r>
          <w:r>
            <w:rPr>
              <w:rFonts w:hint="eastAsia" w:ascii="仿宋" w:hAnsi="仿宋" w:eastAsia="仿宋" w:cs="仿宋"/>
              <w:b/>
              <w:bCs/>
              <w:color w:val="000000" w:themeColor="text1"/>
              <w:sz w:val="28"/>
              <w:szCs w:val="28"/>
              <w:highlight w:val="none"/>
              <w14:textFill>
                <w14:solidFill>
                  <w14:schemeClr w14:val="tx1"/>
                </w14:solidFill>
              </w14:textFill>
            </w:rPr>
            <w:tab/>
          </w:r>
          <w:r>
            <w:rPr>
              <w:rFonts w:hint="eastAsia" w:ascii="仿宋" w:hAnsi="仿宋" w:eastAsia="仿宋" w:cs="仿宋"/>
              <w:b/>
              <w:bCs/>
              <w:color w:val="000000" w:themeColor="text1"/>
              <w:sz w:val="28"/>
              <w:szCs w:val="28"/>
              <w:highlight w:val="none"/>
              <w14:textFill>
                <w14:solidFill>
                  <w14:schemeClr w14:val="tx1"/>
                </w14:solidFill>
              </w14:textFill>
            </w:rPr>
            <w:fldChar w:fldCharType="begin"/>
          </w:r>
          <w:r>
            <w:rPr>
              <w:rFonts w:hint="eastAsia" w:ascii="仿宋" w:hAnsi="仿宋" w:eastAsia="仿宋" w:cs="仿宋"/>
              <w:b/>
              <w:bCs/>
              <w:color w:val="000000" w:themeColor="text1"/>
              <w:sz w:val="28"/>
              <w:szCs w:val="28"/>
              <w:highlight w:val="none"/>
              <w14:textFill>
                <w14:solidFill>
                  <w14:schemeClr w14:val="tx1"/>
                </w14:solidFill>
              </w14:textFill>
            </w:rPr>
            <w:instrText xml:space="preserve"> PAGEREF _Toc27170 \h </w:instrText>
          </w:r>
          <w:r>
            <w:rPr>
              <w:rFonts w:hint="eastAsia" w:ascii="仿宋" w:hAnsi="仿宋" w:eastAsia="仿宋" w:cs="仿宋"/>
              <w:b/>
              <w:bCs/>
              <w:color w:val="000000" w:themeColor="text1"/>
              <w:sz w:val="28"/>
              <w:szCs w:val="28"/>
              <w:highlight w:val="none"/>
              <w14:textFill>
                <w14:solidFill>
                  <w14:schemeClr w14:val="tx1"/>
                </w14:solidFill>
              </w14:textFill>
            </w:rPr>
            <w:fldChar w:fldCharType="separate"/>
          </w:r>
          <w:r>
            <w:rPr>
              <w:rFonts w:hint="eastAsia" w:ascii="仿宋" w:hAnsi="仿宋" w:eastAsia="仿宋" w:cs="仿宋"/>
              <w:b/>
              <w:bCs/>
              <w:color w:val="000000" w:themeColor="text1"/>
              <w:sz w:val="28"/>
              <w:szCs w:val="28"/>
              <w:highlight w:val="none"/>
              <w14:textFill>
                <w14:solidFill>
                  <w14:schemeClr w14:val="tx1"/>
                </w14:solidFill>
              </w14:textFill>
            </w:rPr>
            <w:t>34</w:t>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r>
            <w:rPr>
              <w:rFonts w:hint="eastAsia" w:ascii="仿宋" w:hAnsi="仿宋" w:eastAsia="仿宋" w:cs="仿宋"/>
              <w:b/>
              <w:bCs/>
              <w:color w:val="000000" w:themeColor="text1"/>
              <w:spacing w:val="-44"/>
              <w:sz w:val="28"/>
              <w:szCs w:val="48"/>
              <w:highlight w:val="none"/>
              <w:lang w:eastAsia="zh-CN"/>
              <w14:textFill>
                <w14:solidFill>
                  <w14:schemeClr w14:val="tx1"/>
                </w14:solidFill>
              </w14:textFill>
            </w:rPr>
            <w:fldChar w:fldCharType="end"/>
          </w:r>
        </w:p>
        <w:p w14:paraId="2493DE5E">
          <w:pPr>
            <w:pStyle w:val="17"/>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spacing w:val="-44"/>
              <w:sz w:val="28"/>
              <w:szCs w:val="48"/>
              <w:highlight w:val="none"/>
              <w:lang w:eastAsia="zh-CN"/>
              <w14:textFill>
                <w14:solidFill>
                  <w14:schemeClr w14:val="tx1"/>
                </w14:solidFill>
              </w14:textFill>
            </w:rPr>
            <w:fldChar w:fldCharType="begin"/>
          </w:r>
          <w:r>
            <w:rPr>
              <w:rFonts w:hint="eastAsia" w:ascii="仿宋" w:hAnsi="仿宋" w:eastAsia="仿宋" w:cs="仿宋"/>
              <w:b/>
              <w:bCs/>
              <w:color w:val="000000" w:themeColor="text1"/>
              <w:spacing w:val="-44"/>
              <w:sz w:val="28"/>
              <w:szCs w:val="48"/>
              <w:highlight w:val="none"/>
              <w:lang w:eastAsia="zh-CN"/>
              <w14:textFill>
                <w14:solidFill>
                  <w14:schemeClr w14:val="tx1"/>
                </w14:solidFill>
              </w14:textFill>
            </w:rPr>
            <w:instrText xml:space="preserve"> HYPERLINK \l _Toc23905 </w:instrText>
          </w:r>
          <w:r>
            <w:rPr>
              <w:rFonts w:hint="eastAsia" w:ascii="仿宋" w:hAnsi="仿宋" w:eastAsia="仿宋" w:cs="仿宋"/>
              <w:b/>
              <w:bCs/>
              <w:color w:val="000000" w:themeColor="text1"/>
              <w:spacing w:val="-44"/>
              <w:sz w:val="28"/>
              <w:szCs w:val="48"/>
              <w:highlight w:val="none"/>
              <w:lang w:eastAsia="zh-CN"/>
              <w14:textFill>
                <w14:solidFill>
                  <w14:schemeClr w14:val="tx1"/>
                </w14:solidFill>
              </w14:textFill>
            </w:rPr>
            <w:fldChar w:fldCharType="separate"/>
          </w:r>
          <w:r>
            <w:rPr>
              <w:rFonts w:hint="eastAsia" w:ascii="仿宋" w:hAnsi="仿宋" w:eastAsia="仿宋" w:cs="仿宋"/>
              <w:b/>
              <w:bCs/>
              <w:color w:val="000000" w:themeColor="text1"/>
              <w:spacing w:val="7"/>
              <w:sz w:val="28"/>
              <w:szCs w:val="44"/>
              <w:highlight w:val="none"/>
              <w:lang w:eastAsia="zh-CN"/>
              <w14:textFill>
                <w14:solidFill>
                  <w14:schemeClr w14:val="tx1"/>
                </w14:solidFill>
              </w14:textFill>
            </w:rPr>
            <w:t>第六章响应文件格式</w:t>
          </w:r>
          <w:r>
            <w:rPr>
              <w:rFonts w:hint="eastAsia" w:ascii="仿宋" w:hAnsi="仿宋" w:eastAsia="仿宋" w:cs="仿宋"/>
              <w:b/>
              <w:bCs/>
              <w:color w:val="000000" w:themeColor="text1"/>
              <w:sz w:val="28"/>
              <w:szCs w:val="28"/>
              <w:highlight w:val="none"/>
              <w14:textFill>
                <w14:solidFill>
                  <w14:schemeClr w14:val="tx1"/>
                </w14:solidFill>
              </w14:textFill>
            </w:rPr>
            <w:tab/>
          </w:r>
          <w:r>
            <w:rPr>
              <w:rFonts w:hint="eastAsia" w:ascii="仿宋" w:hAnsi="仿宋" w:eastAsia="仿宋" w:cs="仿宋"/>
              <w:b/>
              <w:bCs/>
              <w:color w:val="000000" w:themeColor="text1"/>
              <w:sz w:val="28"/>
              <w:szCs w:val="28"/>
              <w:highlight w:val="none"/>
              <w14:textFill>
                <w14:solidFill>
                  <w14:schemeClr w14:val="tx1"/>
                </w14:solidFill>
              </w14:textFill>
            </w:rPr>
            <w:fldChar w:fldCharType="begin"/>
          </w:r>
          <w:r>
            <w:rPr>
              <w:rFonts w:hint="eastAsia" w:ascii="仿宋" w:hAnsi="仿宋" w:eastAsia="仿宋" w:cs="仿宋"/>
              <w:b/>
              <w:bCs/>
              <w:color w:val="000000" w:themeColor="text1"/>
              <w:sz w:val="28"/>
              <w:szCs w:val="28"/>
              <w:highlight w:val="none"/>
              <w14:textFill>
                <w14:solidFill>
                  <w14:schemeClr w14:val="tx1"/>
                </w14:solidFill>
              </w14:textFill>
            </w:rPr>
            <w:instrText xml:space="preserve"> PAGEREF _Toc23905 \h </w:instrText>
          </w:r>
          <w:r>
            <w:rPr>
              <w:rFonts w:hint="eastAsia" w:ascii="仿宋" w:hAnsi="仿宋" w:eastAsia="仿宋" w:cs="仿宋"/>
              <w:b/>
              <w:bCs/>
              <w:color w:val="000000" w:themeColor="text1"/>
              <w:sz w:val="28"/>
              <w:szCs w:val="28"/>
              <w:highlight w:val="none"/>
              <w14:textFill>
                <w14:solidFill>
                  <w14:schemeClr w14:val="tx1"/>
                </w14:solidFill>
              </w14:textFill>
            </w:rPr>
            <w:fldChar w:fldCharType="separate"/>
          </w:r>
          <w:r>
            <w:rPr>
              <w:rFonts w:hint="eastAsia" w:ascii="仿宋" w:hAnsi="仿宋" w:eastAsia="仿宋" w:cs="仿宋"/>
              <w:b/>
              <w:bCs/>
              <w:color w:val="000000" w:themeColor="text1"/>
              <w:sz w:val="28"/>
              <w:szCs w:val="28"/>
              <w:highlight w:val="none"/>
              <w14:textFill>
                <w14:solidFill>
                  <w14:schemeClr w14:val="tx1"/>
                </w14:solidFill>
              </w14:textFill>
            </w:rPr>
            <w:t>183</w:t>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r>
            <w:rPr>
              <w:rFonts w:hint="eastAsia" w:ascii="仿宋" w:hAnsi="仿宋" w:eastAsia="仿宋" w:cs="仿宋"/>
              <w:b/>
              <w:bCs/>
              <w:color w:val="000000" w:themeColor="text1"/>
              <w:spacing w:val="-44"/>
              <w:sz w:val="28"/>
              <w:szCs w:val="48"/>
              <w:highlight w:val="none"/>
              <w:lang w:eastAsia="zh-CN"/>
              <w14:textFill>
                <w14:solidFill>
                  <w14:schemeClr w14:val="tx1"/>
                </w14:solidFill>
              </w14:textFill>
            </w:rPr>
            <w:fldChar w:fldCharType="end"/>
          </w:r>
        </w:p>
        <w:p w14:paraId="760E8904">
          <w:pPr>
            <w:spacing w:line="500" w:lineRule="exact"/>
            <w:jc w:val="center"/>
            <w:outlineLvl w:val="0"/>
            <w:rPr>
              <w:rFonts w:hint="eastAsia" w:ascii="仿宋" w:hAnsi="仿宋" w:eastAsia="仿宋" w:cs="仿宋"/>
              <w:snapToGrid w:val="0"/>
              <w:color w:val="000000" w:themeColor="text1"/>
              <w:spacing w:val="-44"/>
              <w:sz w:val="21"/>
              <w:szCs w:val="36"/>
              <w:highlight w:val="none"/>
              <w:lang w:val="en-US" w:eastAsia="zh-CN" w:bidi="ar-SA"/>
              <w14:textFill>
                <w14:solidFill>
                  <w14:schemeClr w14:val="tx1"/>
                </w14:solidFill>
              </w14:textFill>
            </w:rPr>
          </w:pPr>
          <w:r>
            <w:rPr>
              <w:rFonts w:hint="eastAsia" w:ascii="仿宋" w:hAnsi="仿宋" w:eastAsia="仿宋" w:cs="仿宋"/>
              <w:color w:val="000000" w:themeColor="text1"/>
              <w:spacing w:val="-44"/>
              <w:szCs w:val="36"/>
              <w:highlight w:val="none"/>
              <w:lang w:eastAsia="zh-CN"/>
              <w14:textFill>
                <w14:solidFill>
                  <w14:schemeClr w14:val="tx1"/>
                </w14:solidFill>
              </w14:textFill>
            </w:rPr>
            <w:fldChar w:fldCharType="end"/>
          </w:r>
        </w:p>
      </w:sdtContent>
    </w:sdt>
    <w:p w14:paraId="5B494BF8">
      <w:pPr>
        <w:spacing w:line="500" w:lineRule="exact"/>
        <w:jc w:val="center"/>
        <w:outlineLvl w:val="9"/>
        <w:rPr>
          <w:rFonts w:hint="eastAsia" w:ascii="仿宋" w:hAnsi="仿宋" w:eastAsia="仿宋" w:cs="仿宋"/>
          <w:snapToGrid w:val="0"/>
          <w:color w:val="000000" w:themeColor="text1"/>
          <w:spacing w:val="-44"/>
          <w:sz w:val="21"/>
          <w:szCs w:val="36"/>
          <w:highlight w:val="none"/>
          <w:lang w:val="en-US" w:eastAsia="zh-CN" w:bidi="ar-SA"/>
          <w14:textFill>
            <w14:solidFill>
              <w14:schemeClr w14:val="tx1"/>
            </w14:solidFill>
          </w14:textFill>
        </w:rPr>
      </w:pPr>
    </w:p>
    <w:p w14:paraId="26AB5D62">
      <w:pPr>
        <w:spacing w:line="360" w:lineRule="auto"/>
        <w:rPr>
          <w:rFonts w:hint="eastAsia" w:ascii="仿宋" w:hAnsi="仿宋" w:eastAsia="仿宋" w:cs="仿宋"/>
          <w:color w:val="000000" w:themeColor="text1"/>
          <w:szCs w:val="28"/>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 xml:space="preserve">     </w:t>
      </w:r>
    </w:p>
    <w:p w14:paraId="172A470E">
      <w:pPr>
        <w:pStyle w:val="13"/>
        <w:outlineLvl w:val="9"/>
        <w:rPr>
          <w:rFonts w:hint="eastAsia" w:ascii="仿宋" w:hAnsi="仿宋" w:eastAsia="仿宋" w:cs="仿宋"/>
          <w:color w:val="000000" w:themeColor="text1"/>
          <w:highlight w:val="none"/>
          <w:lang w:eastAsia="zh-CN"/>
          <w14:textFill>
            <w14:solidFill>
              <w14:schemeClr w14:val="tx1"/>
            </w14:solidFill>
          </w14:textFill>
        </w:rPr>
        <w:sectPr>
          <w:headerReference r:id="rId6" w:type="default"/>
          <w:footerReference r:id="rId7" w:type="default"/>
          <w:pgSz w:w="11907" w:h="16839"/>
          <w:pgMar w:top="1417" w:right="1417" w:bottom="1417" w:left="1417" w:header="1191" w:footer="0" w:gutter="0"/>
          <w:pgNumType w:start="1"/>
          <w:cols w:space="720" w:num="1"/>
        </w:sectPr>
      </w:pPr>
    </w:p>
    <w:p w14:paraId="4BF49E61">
      <w:pPr>
        <w:numPr>
          <w:ilvl w:val="0"/>
          <w:numId w:val="1"/>
        </w:numPr>
        <w:spacing w:line="360" w:lineRule="auto"/>
        <w:jc w:val="center"/>
        <w:outlineLvl w:val="0"/>
        <w:rPr>
          <w:rFonts w:hint="eastAsia" w:ascii="仿宋" w:hAnsi="仿宋" w:eastAsia="仿宋" w:cs="仿宋"/>
          <w:b/>
          <w:bCs/>
          <w:color w:val="000000" w:themeColor="text1"/>
          <w:spacing w:val="-5"/>
          <w:sz w:val="36"/>
          <w:szCs w:val="36"/>
          <w:highlight w:val="none"/>
          <w:lang w:eastAsia="zh-CN"/>
          <w14:textFill>
            <w14:solidFill>
              <w14:schemeClr w14:val="tx1"/>
            </w14:solidFill>
          </w14:textFill>
        </w:rPr>
      </w:pPr>
      <w:bookmarkStart w:id="12" w:name="bookmark1"/>
      <w:bookmarkEnd w:id="12"/>
      <w:bookmarkStart w:id="13" w:name="_Toc184"/>
      <w:bookmarkStart w:id="14" w:name="_Toc10850"/>
      <w:bookmarkStart w:id="15" w:name="_Toc31269"/>
      <w:bookmarkStart w:id="16" w:name="_Toc867"/>
      <w:bookmarkStart w:id="17" w:name="_Toc8493"/>
      <w:r>
        <w:rPr>
          <w:rFonts w:hint="eastAsia" w:ascii="仿宋" w:hAnsi="仿宋" w:eastAsia="仿宋" w:cs="仿宋"/>
          <w:b/>
          <w:color w:val="000000" w:themeColor="text1"/>
          <w:sz w:val="36"/>
          <w:szCs w:val="36"/>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5"/>
          <w:sz w:val="36"/>
          <w:szCs w:val="36"/>
          <w:highlight w:val="none"/>
          <w:lang w:eastAsia="zh-CN"/>
          <w14:textFill>
            <w14:solidFill>
              <w14:schemeClr w14:val="tx1"/>
            </w14:solidFill>
          </w14:textFill>
        </w:rPr>
        <w:t>采购邀请</w:t>
      </w:r>
      <w:bookmarkEnd w:id="13"/>
      <w:bookmarkEnd w:id="14"/>
      <w:bookmarkEnd w:id="15"/>
      <w:bookmarkEnd w:id="16"/>
      <w:bookmarkEnd w:id="17"/>
    </w:p>
    <w:p w14:paraId="107B10FF">
      <w:pPr>
        <w:numPr>
          <w:ilvl w:val="0"/>
          <w:numId w:val="0"/>
        </w:numPr>
        <w:spacing w:line="360" w:lineRule="auto"/>
        <w:jc w:val="center"/>
        <w:outlineLvl w:val="9"/>
        <w:rPr>
          <w:rFonts w:hint="eastAsia" w:ascii="仿宋" w:hAnsi="仿宋" w:eastAsia="仿宋" w:cs="仿宋"/>
          <w:b/>
          <w:bCs/>
          <w:color w:val="000000" w:themeColor="text1"/>
          <w:spacing w:val="-5"/>
          <w:sz w:val="11"/>
          <w:szCs w:val="11"/>
          <w:highlight w:val="none"/>
          <w:lang w:eastAsia="zh-CN"/>
          <w14:textFill>
            <w14:solidFill>
              <w14:schemeClr w14:val="tx1"/>
            </w14:solidFill>
          </w14:textFill>
        </w:rPr>
      </w:pPr>
    </w:p>
    <w:p w14:paraId="24871B03">
      <w:pPr>
        <w:pStyle w:val="20"/>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000000" w:themeColor="text1"/>
          <w:szCs w:val="24"/>
          <w:highlight w:val="none"/>
          <w:lang w:eastAsia="zh-CN"/>
          <w14:textFill>
            <w14:solidFill>
              <w14:schemeClr w14:val="tx1"/>
            </w14:solidFill>
          </w14:textFill>
        </w:rPr>
      </w:pPr>
      <w:bookmarkStart w:id="18" w:name="_Toc305158928"/>
      <w:bookmarkStart w:id="19" w:name="_Toc353873938"/>
      <w:bookmarkStart w:id="20" w:name="_Toc264969275"/>
      <w:bookmarkStart w:id="21" w:name="_Toc150774783"/>
      <w:bookmarkStart w:id="22" w:name="_Toc512937850"/>
      <w:bookmarkStart w:id="23" w:name="_Toc265228423"/>
      <w:bookmarkStart w:id="24" w:name="_Toc353825548"/>
      <w:bookmarkStart w:id="25" w:name="_Toc3271"/>
      <w:bookmarkStart w:id="26" w:name="_Toc195842950"/>
      <w:bookmarkStart w:id="27" w:name="_Toc15012"/>
      <w:bookmarkStart w:id="28" w:name="_Toc305158854"/>
      <w:bookmarkStart w:id="29" w:name="_Toc127151777"/>
      <w:bookmarkStart w:id="30" w:name="_Toc127161488"/>
      <w:bookmarkStart w:id="31" w:name="_Toc226965856"/>
      <w:r>
        <w:rPr>
          <w:rFonts w:hint="eastAsia" w:ascii="仿宋" w:hAnsi="仿宋" w:eastAsia="仿宋" w:cs="仿宋"/>
          <w:color w:val="000000" w:themeColor="text1"/>
          <w:szCs w:val="24"/>
          <w:highlight w:val="none"/>
          <w:lang w:eastAsia="zh-CN"/>
          <w14:textFill>
            <w14:solidFill>
              <w14:schemeClr w14:val="tx1"/>
            </w14:solidFill>
          </w14:textFill>
        </w:rPr>
        <w:t>项目概况</w:t>
      </w:r>
    </w:p>
    <w:p w14:paraId="0E510266">
      <w:pPr>
        <w:pStyle w:val="20"/>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400" w:lineRule="exact"/>
        <w:ind w:firstLine="480" w:firstLineChars="200"/>
        <w:textAlignment w:val="auto"/>
        <w:rPr>
          <w:rStyle w:val="27"/>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国家环境保护准噶尔荒漠绿洲交错区科学观测研究站围栏建设工程采购项目的潜在供应商应在政采云平台线上获取采购文件，并于2026年0</w:t>
      </w:r>
      <w:r>
        <w:rPr>
          <w:rFonts w:hint="eastAsia" w:ascii="仿宋" w:hAnsi="仿宋" w:eastAsia="仿宋" w:cs="仿宋"/>
          <w:color w:val="000000" w:themeColor="text1"/>
          <w:szCs w:val="24"/>
          <w:highlight w:val="none"/>
          <w:lang w:val="en-US" w:eastAsia="zh-CN"/>
          <w14:textFill>
            <w14:solidFill>
              <w14:schemeClr w14:val="tx1"/>
            </w14:solidFill>
          </w14:textFill>
        </w:rPr>
        <w:t>6</w:t>
      </w:r>
      <w:r>
        <w:rPr>
          <w:rFonts w:hint="eastAsia" w:ascii="仿宋" w:hAnsi="仿宋" w:eastAsia="仿宋" w:cs="仿宋"/>
          <w:color w:val="000000" w:themeColor="text1"/>
          <w:szCs w:val="24"/>
          <w:highlight w:val="none"/>
          <w:lang w:eastAsia="zh-CN"/>
          <w14:textFill>
            <w14:solidFill>
              <w14:schemeClr w14:val="tx1"/>
            </w14:solidFill>
          </w14:textFill>
        </w:rPr>
        <w:t>月</w:t>
      </w:r>
      <w:r>
        <w:rPr>
          <w:rFonts w:hint="eastAsia" w:ascii="仿宋" w:hAnsi="仿宋" w:eastAsia="仿宋" w:cs="仿宋"/>
          <w:color w:val="000000" w:themeColor="text1"/>
          <w:szCs w:val="24"/>
          <w:highlight w:val="none"/>
          <w:lang w:val="en-US" w:eastAsia="zh-CN"/>
          <w14:textFill>
            <w14:solidFill>
              <w14:schemeClr w14:val="tx1"/>
            </w14:solidFill>
          </w14:textFill>
        </w:rPr>
        <w:t>18</w:t>
      </w:r>
      <w:r>
        <w:rPr>
          <w:rFonts w:hint="eastAsia" w:ascii="仿宋" w:hAnsi="仿宋" w:eastAsia="仿宋" w:cs="仿宋"/>
          <w:color w:val="000000" w:themeColor="text1"/>
          <w:szCs w:val="24"/>
          <w:highlight w:val="none"/>
          <w:lang w:eastAsia="zh-CN"/>
          <w14:textFill>
            <w14:solidFill>
              <w14:schemeClr w14:val="tx1"/>
            </w14:solidFill>
          </w14:textFill>
        </w:rPr>
        <w:t>日11:00（北京时间）前提交响应文件。</w:t>
      </w:r>
    </w:p>
    <w:p w14:paraId="1BA2CE21">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exact"/>
        <w:jc w:val="both"/>
        <w:textAlignment w:val="auto"/>
        <w:rPr>
          <w:rStyle w:val="27"/>
          <w:rFonts w:hint="eastAsia" w:ascii="仿宋" w:hAnsi="仿宋" w:eastAsia="仿宋" w:cs="仿宋"/>
          <w:color w:val="000000" w:themeColor="text1"/>
          <w:szCs w:val="24"/>
          <w:highlight w:val="none"/>
          <w:lang w:eastAsia="zh-CN"/>
          <w14:textFill>
            <w14:solidFill>
              <w14:schemeClr w14:val="tx1"/>
            </w14:solidFill>
          </w14:textFill>
        </w:rPr>
      </w:pPr>
    </w:p>
    <w:p w14:paraId="5249D920">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Style w:val="27"/>
          <w:rFonts w:hint="eastAsia" w:ascii="仿宋" w:hAnsi="仿宋" w:eastAsia="仿宋" w:cs="仿宋"/>
          <w:color w:val="000000" w:themeColor="text1"/>
          <w:szCs w:val="24"/>
          <w:highlight w:val="none"/>
          <w:lang w:eastAsia="zh-CN"/>
          <w14:textFill>
            <w14:solidFill>
              <w14:schemeClr w14:val="tx1"/>
            </w14:solidFill>
          </w14:textFill>
        </w:rPr>
        <w:t>一、项目基本情况</w:t>
      </w:r>
    </w:p>
    <w:p w14:paraId="6C9BAFCC">
      <w:pPr>
        <w:pStyle w:val="20"/>
        <w:keepNext w:val="0"/>
        <w:keepLines w:val="0"/>
        <w:pageBreakBefore w:val="0"/>
        <w:tabs>
          <w:tab w:val="left" w:pos="6683"/>
        </w:tabs>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项目编号：HHTD-DL-2026100</w:t>
      </w:r>
      <w:r>
        <w:rPr>
          <w:rFonts w:hint="eastAsia" w:ascii="仿宋" w:hAnsi="仿宋" w:eastAsia="仿宋" w:cs="仿宋"/>
          <w:color w:val="000000" w:themeColor="text1"/>
          <w:szCs w:val="24"/>
          <w:highlight w:val="none"/>
          <w:lang w:val="en-US" w:eastAsia="zh-CN"/>
          <w14:textFill>
            <w14:solidFill>
              <w14:schemeClr w14:val="tx1"/>
            </w14:solidFill>
          </w14:textFill>
        </w:rPr>
        <w:t>6</w:t>
      </w:r>
      <w:r>
        <w:rPr>
          <w:rFonts w:hint="eastAsia" w:ascii="仿宋" w:hAnsi="仿宋" w:eastAsia="仿宋" w:cs="仿宋"/>
          <w:color w:val="000000" w:themeColor="text1"/>
          <w:szCs w:val="24"/>
          <w:highlight w:val="none"/>
          <w:lang w:eastAsia="zh-CN"/>
          <w14:textFill>
            <w14:solidFill>
              <w14:schemeClr w14:val="tx1"/>
            </w14:solidFill>
          </w14:textFill>
        </w:rPr>
        <w:tab/>
      </w:r>
    </w:p>
    <w:p w14:paraId="4C82FA0C">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项目名称：国家环境保护准噶尔荒漠绿洲交错区科学观测研究站围栏建设工程</w:t>
      </w:r>
    </w:p>
    <w:p w14:paraId="5549F198">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采购方式：竞争性磋商</w:t>
      </w:r>
    </w:p>
    <w:p w14:paraId="66615C3D">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val="en-US"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预算金额（元）：</w:t>
      </w:r>
      <w:r>
        <w:rPr>
          <w:rFonts w:hint="eastAsia" w:ascii="仿宋" w:hAnsi="仿宋" w:eastAsia="仿宋" w:cs="仿宋"/>
          <w:color w:val="000000" w:themeColor="text1"/>
          <w:szCs w:val="24"/>
          <w:highlight w:val="none"/>
          <w:lang w:val="en-US" w:eastAsia="zh-CN"/>
          <w14:textFill>
            <w14:solidFill>
              <w14:schemeClr w14:val="tx1"/>
            </w14:solidFill>
          </w14:textFill>
        </w:rPr>
        <w:t>3104800</w:t>
      </w:r>
      <w:r>
        <w:rPr>
          <w:rFonts w:hint="eastAsia" w:ascii="仿宋" w:hAnsi="仿宋" w:eastAsia="仿宋" w:cs="仿宋"/>
          <w:color w:val="000000" w:themeColor="text1"/>
          <w:szCs w:val="24"/>
          <w:highlight w:val="none"/>
          <w:lang w:eastAsia="zh-CN"/>
          <w14:textFill>
            <w14:solidFill>
              <w14:schemeClr w14:val="tx1"/>
            </w14:solidFill>
          </w14:textFill>
        </w:rPr>
        <w:t>.00</w:t>
      </w:r>
    </w:p>
    <w:p w14:paraId="3A13E444">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最高限价（元）：</w:t>
      </w:r>
      <w:r>
        <w:rPr>
          <w:rFonts w:hint="eastAsia" w:ascii="仿宋" w:hAnsi="仿宋" w:eastAsia="仿宋" w:cs="仿宋"/>
          <w:color w:val="000000" w:themeColor="text1"/>
          <w:szCs w:val="24"/>
          <w:highlight w:val="none"/>
          <w:lang w:val="en-US" w:eastAsia="zh-CN"/>
          <w14:textFill>
            <w14:solidFill>
              <w14:schemeClr w14:val="tx1"/>
            </w14:solidFill>
          </w14:textFill>
        </w:rPr>
        <w:t>3097949.36</w:t>
      </w:r>
    </w:p>
    <w:p w14:paraId="791AE0DC">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采购需求：</w:t>
      </w:r>
    </w:p>
    <w:p w14:paraId="2B385A74">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p>
    <w:p w14:paraId="69AFC2C4">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标项名称：国家环境保护准噶尔荒漠绿洲交错区科学观测研究站围栏建设工程</w:t>
      </w:r>
    </w:p>
    <w:p w14:paraId="5B615C0F">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数量：1</w:t>
      </w:r>
    </w:p>
    <w:p w14:paraId="48D9F693">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预算金额（元）：</w:t>
      </w:r>
      <w:r>
        <w:rPr>
          <w:rFonts w:hint="eastAsia" w:ascii="仿宋" w:hAnsi="仿宋" w:eastAsia="仿宋" w:cs="仿宋"/>
          <w:color w:val="000000" w:themeColor="text1"/>
          <w:szCs w:val="24"/>
          <w:highlight w:val="none"/>
          <w:lang w:val="en-US" w:eastAsia="zh-CN"/>
          <w14:textFill>
            <w14:solidFill>
              <w14:schemeClr w14:val="tx1"/>
            </w14:solidFill>
          </w14:textFill>
        </w:rPr>
        <w:t>3104800</w:t>
      </w:r>
      <w:r>
        <w:rPr>
          <w:rFonts w:hint="eastAsia" w:ascii="仿宋" w:hAnsi="仿宋" w:eastAsia="仿宋" w:cs="仿宋"/>
          <w:color w:val="000000" w:themeColor="text1"/>
          <w:szCs w:val="24"/>
          <w:highlight w:val="none"/>
          <w:lang w:eastAsia="zh-CN"/>
          <w14:textFill>
            <w14:solidFill>
              <w14:schemeClr w14:val="tx1"/>
            </w14:solidFill>
          </w14:textFill>
        </w:rPr>
        <w:t>.00</w:t>
      </w:r>
    </w:p>
    <w:p w14:paraId="41C9BE7F">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单位：项</w:t>
      </w:r>
    </w:p>
    <w:p w14:paraId="7B39E98D">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val="en-US"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简要规格描述：本工程为国家环境保护准噶尔荒漠绿洲交错区科学观测研究站围栏建设工程，建设地点位于</w:t>
      </w:r>
      <w:r>
        <w:rPr>
          <w:rFonts w:hint="eastAsia" w:ascii="仿宋" w:hAnsi="仿宋" w:eastAsia="仿宋" w:cs="仿宋"/>
          <w:color w:val="000000" w:themeColor="text1"/>
          <w:szCs w:val="24"/>
          <w:highlight w:val="none"/>
          <w:lang w:val="en-US" w:eastAsia="zh-CN"/>
          <w14:textFill>
            <w14:solidFill>
              <w14:schemeClr w14:val="tx1"/>
            </w14:solidFill>
          </w14:textFill>
        </w:rPr>
        <w:t>兵团第六师103团9连</w:t>
      </w:r>
      <w:r>
        <w:rPr>
          <w:rFonts w:hint="eastAsia" w:ascii="仿宋" w:hAnsi="仿宋" w:eastAsia="仿宋" w:cs="仿宋"/>
          <w:color w:val="000000" w:themeColor="text1"/>
          <w:szCs w:val="24"/>
          <w:highlight w:val="none"/>
          <w:lang w:eastAsia="zh-CN"/>
          <w14:textFill>
            <w14:solidFill>
              <w14:schemeClr w14:val="tx1"/>
            </w14:solidFill>
          </w14:textFill>
        </w:rPr>
        <w:t>，</w:t>
      </w:r>
      <w:r>
        <w:rPr>
          <w:rFonts w:hint="eastAsia" w:ascii="仿宋" w:hAnsi="仿宋" w:eastAsia="仿宋" w:cs="仿宋"/>
          <w:color w:val="000000" w:themeColor="text1"/>
          <w:szCs w:val="24"/>
          <w:highlight w:val="none"/>
          <w:lang w:val="zh-CN" w:eastAsia="zh-CN"/>
          <w14:textFill>
            <w14:solidFill>
              <w14:schemeClr w14:val="tx1"/>
            </w14:solidFill>
          </w14:textFill>
        </w:rPr>
        <w:t>新建铁艺围栏总长11.5公里，配套安装1座大门、10台监控设备</w:t>
      </w:r>
      <w:r>
        <w:rPr>
          <w:rFonts w:hint="eastAsia" w:ascii="仿宋" w:hAnsi="仿宋" w:eastAsia="仿宋" w:cs="仿宋"/>
          <w:color w:val="000000" w:themeColor="text1"/>
          <w:szCs w:val="24"/>
          <w:highlight w:val="none"/>
          <w:lang w:val="en-US" w:eastAsia="zh-CN"/>
          <w14:textFill>
            <w14:solidFill>
              <w14:schemeClr w14:val="tx1"/>
            </w14:solidFill>
          </w14:textFill>
        </w:rPr>
        <w:t>等相关附属设施。</w:t>
      </w:r>
    </w:p>
    <w:p w14:paraId="222002C2">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备注：</w:t>
      </w:r>
    </w:p>
    <w:p w14:paraId="730D896C">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color w:val="000000" w:themeColor="text1"/>
          <w:highlight w:val="none"/>
          <w:lang w:eastAsia="zh-CN"/>
          <w14:textFill>
            <w14:solidFill>
              <w14:schemeClr w14:val="tx1"/>
            </w14:solidFill>
          </w14:textFill>
        </w:rPr>
      </w:pPr>
    </w:p>
    <w:p w14:paraId="651DEEA8">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合同履约期限：标项 1，</w:t>
      </w:r>
      <w:r>
        <w:rPr>
          <w:rFonts w:hint="eastAsia" w:ascii="仿宋" w:hAnsi="仿宋" w:eastAsia="仿宋" w:cs="仿宋"/>
          <w:color w:val="000000" w:themeColor="text1"/>
          <w:szCs w:val="24"/>
          <w:highlight w:val="none"/>
          <w:lang w:val="en-US" w:eastAsia="zh-CN"/>
          <w14:textFill>
            <w14:solidFill>
              <w14:schemeClr w14:val="tx1"/>
            </w14:solidFill>
          </w14:textFill>
        </w:rPr>
        <w:t>2026年06月29日开工、</w:t>
      </w:r>
      <w:r>
        <w:rPr>
          <w:rFonts w:hint="eastAsia" w:ascii="仿宋" w:hAnsi="仿宋" w:eastAsia="仿宋" w:cs="仿宋"/>
          <w:color w:val="000000" w:themeColor="text1"/>
          <w:szCs w:val="24"/>
          <w:highlight w:val="none"/>
          <w:lang w:eastAsia="zh-CN"/>
          <w14:textFill>
            <w14:solidFill>
              <w14:schemeClr w14:val="tx1"/>
            </w14:solidFill>
          </w14:textFill>
        </w:rPr>
        <w:t>202</w:t>
      </w:r>
      <w:r>
        <w:rPr>
          <w:rFonts w:hint="eastAsia" w:ascii="仿宋" w:hAnsi="仿宋" w:eastAsia="仿宋" w:cs="仿宋"/>
          <w:color w:val="000000" w:themeColor="text1"/>
          <w:szCs w:val="24"/>
          <w:highlight w:val="none"/>
          <w:lang w:val="en-US" w:eastAsia="zh-CN"/>
          <w14:textFill>
            <w14:solidFill>
              <w14:schemeClr w14:val="tx1"/>
            </w14:solidFill>
          </w14:textFill>
        </w:rPr>
        <w:t>6</w:t>
      </w:r>
      <w:r>
        <w:rPr>
          <w:rFonts w:hint="eastAsia" w:ascii="仿宋" w:hAnsi="仿宋" w:eastAsia="仿宋" w:cs="仿宋"/>
          <w:color w:val="000000" w:themeColor="text1"/>
          <w:szCs w:val="24"/>
          <w:highlight w:val="none"/>
          <w:lang w:eastAsia="zh-CN"/>
          <w14:textFill>
            <w14:solidFill>
              <w14:schemeClr w14:val="tx1"/>
            </w14:solidFill>
          </w14:textFill>
        </w:rPr>
        <w:t>年</w:t>
      </w:r>
      <w:r>
        <w:rPr>
          <w:rFonts w:hint="eastAsia" w:ascii="仿宋" w:hAnsi="仿宋" w:eastAsia="仿宋" w:cs="仿宋"/>
          <w:color w:val="000000" w:themeColor="text1"/>
          <w:szCs w:val="24"/>
          <w:highlight w:val="none"/>
          <w:lang w:val="en-US" w:eastAsia="zh-CN"/>
          <w14:textFill>
            <w14:solidFill>
              <w14:schemeClr w14:val="tx1"/>
            </w14:solidFill>
          </w14:textFill>
        </w:rPr>
        <w:t>11</w:t>
      </w:r>
      <w:r>
        <w:rPr>
          <w:rFonts w:hint="eastAsia" w:ascii="仿宋" w:hAnsi="仿宋" w:eastAsia="仿宋" w:cs="仿宋"/>
          <w:color w:val="000000" w:themeColor="text1"/>
          <w:szCs w:val="24"/>
          <w:highlight w:val="none"/>
          <w:lang w:eastAsia="zh-CN"/>
          <w14:textFill>
            <w14:solidFill>
              <w14:schemeClr w14:val="tx1"/>
            </w14:solidFill>
          </w14:textFill>
        </w:rPr>
        <w:t>月</w:t>
      </w:r>
      <w:r>
        <w:rPr>
          <w:rFonts w:hint="eastAsia" w:ascii="仿宋" w:hAnsi="仿宋" w:eastAsia="仿宋" w:cs="仿宋"/>
          <w:color w:val="000000" w:themeColor="text1"/>
          <w:szCs w:val="24"/>
          <w:highlight w:val="none"/>
          <w:lang w:val="en-US" w:eastAsia="zh-CN"/>
          <w14:textFill>
            <w14:solidFill>
              <w14:schemeClr w14:val="tx1"/>
            </w14:solidFill>
          </w14:textFill>
        </w:rPr>
        <w:t>15</w:t>
      </w:r>
      <w:r>
        <w:rPr>
          <w:rFonts w:hint="eastAsia" w:ascii="仿宋" w:hAnsi="仿宋" w:eastAsia="仿宋" w:cs="仿宋"/>
          <w:color w:val="000000" w:themeColor="text1"/>
          <w:szCs w:val="24"/>
          <w:highlight w:val="none"/>
          <w:lang w:eastAsia="zh-CN"/>
          <w14:textFill>
            <w14:solidFill>
              <w14:schemeClr w14:val="tx1"/>
            </w14:solidFill>
          </w14:textFill>
        </w:rPr>
        <w:t>日</w:t>
      </w:r>
      <w:r>
        <w:rPr>
          <w:rFonts w:hint="eastAsia" w:ascii="仿宋" w:hAnsi="仿宋" w:eastAsia="仿宋" w:cs="仿宋"/>
          <w:color w:val="000000" w:themeColor="text1"/>
          <w:szCs w:val="24"/>
          <w:highlight w:val="none"/>
          <w:lang w:val="en-US" w:eastAsia="zh-CN"/>
          <w14:textFill>
            <w14:solidFill>
              <w14:schemeClr w14:val="tx1"/>
            </w14:solidFill>
          </w14:textFill>
        </w:rPr>
        <w:t>竣工，总工期140天（日历日），具体以签订合同为准</w:t>
      </w:r>
      <w:r>
        <w:rPr>
          <w:rFonts w:hint="eastAsia" w:ascii="仿宋" w:hAnsi="仿宋" w:eastAsia="仿宋" w:cs="仿宋"/>
          <w:color w:val="000000" w:themeColor="text1"/>
          <w:szCs w:val="24"/>
          <w:highlight w:val="none"/>
          <w:lang w:eastAsia="zh-CN"/>
          <w14:textFill>
            <w14:solidFill>
              <w14:schemeClr w14:val="tx1"/>
            </w14:solidFill>
          </w14:textFill>
        </w:rPr>
        <w:t>。</w:t>
      </w:r>
    </w:p>
    <w:p w14:paraId="33FFC14A">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本项目（否）接受联合体投标。</w:t>
      </w:r>
    </w:p>
    <w:p w14:paraId="021351B0">
      <w:pPr>
        <w:pStyle w:val="2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exact"/>
        <w:jc w:val="both"/>
        <w:textAlignment w:val="auto"/>
        <w:rPr>
          <w:rStyle w:val="27"/>
          <w:rFonts w:hint="eastAsia" w:ascii="仿宋" w:hAnsi="仿宋" w:eastAsia="仿宋" w:cs="仿宋"/>
          <w:color w:val="000000" w:themeColor="text1"/>
          <w:szCs w:val="24"/>
          <w:highlight w:val="none"/>
          <w14:textFill>
            <w14:solidFill>
              <w14:schemeClr w14:val="tx1"/>
            </w14:solidFill>
          </w14:textFill>
        </w:rPr>
      </w:pPr>
      <w:r>
        <w:rPr>
          <w:rStyle w:val="27"/>
          <w:rFonts w:hint="eastAsia" w:ascii="仿宋" w:hAnsi="仿宋" w:eastAsia="仿宋" w:cs="仿宋"/>
          <w:color w:val="000000" w:themeColor="text1"/>
          <w:szCs w:val="24"/>
          <w:highlight w:val="none"/>
          <w:lang w:val="en-US" w:eastAsia="zh-CN"/>
          <w14:textFill>
            <w14:solidFill>
              <w14:schemeClr w14:val="tx1"/>
            </w14:solidFill>
          </w14:textFill>
        </w:rPr>
        <w:t>二、</w:t>
      </w:r>
      <w:r>
        <w:rPr>
          <w:rStyle w:val="27"/>
          <w:rFonts w:hint="eastAsia" w:ascii="仿宋" w:hAnsi="仿宋" w:eastAsia="仿宋" w:cs="仿宋"/>
          <w:color w:val="000000" w:themeColor="text1"/>
          <w:szCs w:val="24"/>
          <w:highlight w:val="none"/>
          <w14:textFill>
            <w14:solidFill>
              <w14:schemeClr w14:val="tx1"/>
            </w14:solidFill>
          </w14:textFill>
        </w:rPr>
        <w:t>申请人的资格要求：</w:t>
      </w:r>
    </w:p>
    <w:p w14:paraId="725806A9">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1.满足《中华人民共和国政府采购法》第二十二条规定；</w:t>
      </w:r>
    </w:p>
    <w:p w14:paraId="2E9B06A7">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2.落实政府采购政策需满足的资格要求：标项1：本项目专门面向中小企业采购，即：在工程采购项目中，工程由</w:t>
      </w:r>
      <w:r>
        <w:rPr>
          <w:rFonts w:hint="eastAsia" w:ascii="仿宋" w:hAnsi="仿宋" w:eastAsia="仿宋" w:cs="仿宋"/>
          <w:color w:val="000000" w:themeColor="text1"/>
          <w:szCs w:val="24"/>
          <w:highlight w:val="none"/>
          <w:lang w:val="en-US" w:eastAsia="zh-CN"/>
          <w14:textFill>
            <w14:solidFill>
              <w14:schemeClr w14:val="tx1"/>
            </w14:solidFill>
          </w14:textFill>
        </w:rPr>
        <w:t>中</w:t>
      </w:r>
      <w:r>
        <w:rPr>
          <w:rFonts w:hint="eastAsia" w:ascii="仿宋" w:hAnsi="仿宋" w:eastAsia="仿宋" w:cs="仿宋"/>
          <w:color w:val="000000" w:themeColor="text1"/>
          <w:szCs w:val="24"/>
          <w:highlight w:val="none"/>
          <w:lang w:eastAsia="zh-CN"/>
          <w14:textFill>
            <w14:solidFill>
              <w14:schemeClr w14:val="tx1"/>
            </w14:solidFill>
          </w14:textFill>
        </w:rPr>
        <w:t>小企业承建，即工程施工单位为</w:t>
      </w:r>
      <w:r>
        <w:rPr>
          <w:rFonts w:hint="eastAsia" w:ascii="仿宋" w:hAnsi="仿宋" w:eastAsia="仿宋" w:cs="仿宋"/>
          <w:color w:val="000000" w:themeColor="text1"/>
          <w:szCs w:val="24"/>
          <w:highlight w:val="none"/>
          <w:lang w:val="en-US" w:eastAsia="zh-CN"/>
          <w14:textFill>
            <w14:solidFill>
              <w14:schemeClr w14:val="tx1"/>
            </w14:solidFill>
          </w14:textFill>
        </w:rPr>
        <w:t>中小</w:t>
      </w:r>
      <w:r>
        <w:rPr>
          <w:rFonts w:hint="eastAsia" w:ascii="仿宋" w:hAnsi="仿宋" w:eastAsia="仿宋" w:cs="仿宋"/>
          <w:color w:val="000000" w:themeColor="text1"/>
          <w:szCs w:val="24"/>
          <w:highlight w:val="none"/>
          <w:lang w:eastAsia="zh-CN"/>
          <w14:textFill>
            <w14:solidFill>
              <w14:schemeClr w14:val="tx1"/>
            </w14:solidFill>
          </w14:textFill>
        </w:rPr>
        <w:t>企业。</w:t>
      </w:r>
    </w:p>
    <w:p w14:paraId="6541A964">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3.本项目的特定资格要求：标项1：</w:t>
      </w:r>
    </w:p>
    <w:p w14:paraId="7169601D">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（1）供应商须具备建设行政主管部门颁发的有效的建筑工程施工总承包三级（含三级）以上资质，具备有效的安全生产许可证。</w:t>
      </w:r>
    </w:p>
    <w:p w14:paraId="1099B585">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val="en-US"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（2）供应商拟派项目负责人具备建筑工程专业二级及以上注册建造师执业资格及有效的安全生产考核合格证书（B类）、具有2025年</w:t>
      </w:r>
      <w:r>
        <w:rPr>
          <w:rFonts w:hint="eastAsia" w:ascii="仿宋" w:hAnsi="仿宋" w:eastAsia="仿宋" w:cs="仿宋"/>
          <w:color w:val="000000" w:themeColor="text1"/>
          <w:szCs w:val="24"/>
          <w:highlight w:val="none"/>
          <w:lang w:val="en-US" w:eastAsia="zh-CN"/>
          <w14:textFill>
            <w14:solidFill>
              <w14:schemeClr w14:val="tx1"/>
            </w14:solidFill>
          </w14:textFill>
        </w:rPr>
        <w:t>12</w:t>
      </w:r>
      <w:r>
        <w:rPr>
          <w:rFonts w:hint="eastAsia" w:ascii="仿宋" w:hAnsi="仿宋" w:eastAsia="仿宋" w:cs="仿宋"/>
          <w:color w:val="000000" w:themeColor="text1"/>
          <w:szCs w:val="24"/>
          <w:highlight w:val="none"/>
          <w:lang w:eastAsia="zh-CN"/>
          <w14:textFill>
            <w14:solidFill>
              <w14:schemeClr w14:val="tx1"/>
            </w14:solidFill>
          </w14:textFill>
        </w:rPr>
        <w:t>月-2026年0</w:t>
      </w:r>
      <w:r>
        <w:rPr>
          <w:rFonts w:hint="eastAsia" w:ascii="仿宋" w:hAnsi="仿宋" w:eastAsia="仿宋" w:cs="仿宋"/>
          <w:color w:val="000000" w:themeColor="text1"/>
          <w:szCs w:val="24"/>
          <w:highlight w:val="none"/>
          <w:lang w:val="en-US" w:eastAsia="zh-CN"/>
          <w14:textFill>
            <w14:solidFill>
              <w14:schemeClr w14:val="tx1"/>
            </w14:solidFill>
          </w14:textFill>
        </w:rPr>
        <w:t>5</w:t>
      </w:r>
      <w:r>
        <w:rPr>
          <w:rFonts w:hint="eastAsia" w:ascii="仿宋" w:hAnsi="仿宋" w:eastAsia="仿宋" w:cs="仿宋"/>
          <w:color w:val="000000" w:themeColor="text1"/>
          <w:szCs w:val="24"/>
          <w:highlight w:val="none"/>
          <w:lang w:eastAsia="zh-CN"/>
          <w14:textFill>
            <w14:solidFill>
              <w14:schemeClr w14:val="tx1"/>
            </w14:solidFill>
          </w14:textFill>
        </w:rPr>
        <w:t>月在职单位个人社保证明，且在确定成交人时不得担任其他</w:t>
      </w:r>
      <w:r>
        <w:rPr>
          <w:rFonts w:hint="eastAsia" w:ascii="仿宋" w:hAnsi="仿宋" w:eastAsia="仿宋" w:cs="仿宋"/>
          <w:color w:val="000000" w:themeColor="text1"/>
          <w:szCs w:val="24"/>
          <w:highlight w:val="none"/>
          <w:lang w:val="en-US" w:eastAsia="zh-CN"/>
          <w14:textFill>
            <w14:solidFill>
              <w14:schemeClr w14:val="tx1"/>
            </w14:solidFill>
          </w14:textFill>
        </w:rPr>
        <w:t>在</w:t>
      </w:r>
      <w:r>
        <w:rPr>
          <w:rFonts w:hint="eastAsia" w:ascii="仿宋" w:hAnsi="仿宋" w:eastAsia="仿宋" w:cs="仿宋"/>
          <w:color w:val="000000" w:themeColor="text1"/>
          <w:szCs w:val="24"/>
          <w:highlight w:val="none"/>
          <w:lang w:eastAsia="zh-CN"/>
          <w14:textFill>
            <w14:solidFill>
              <w14:schemeClr w14:val="tx1"/>
            </w14:solidFill>
          </w14:textFill>
        </w:rPr>
        <w:t>施建设工程项目的项目负责人、项目经理</w:t>
      </w:r>
      <w:r>
        <w:rPr>
          <w:rFonts w:hint="eastAsia" w:ascii="仿宋" w:hAnsi="仿宋" w:eastAsia="仿宋" w:cs="仿宋"/>
          <w:color w:val="000000" w:themeColor="text1"/>
          <w:szCs w:val="24"/>
          <w:highlight w:val="none"/>
          <w:lang w:val="en-US" w:eastAsia="zh-CN"/>
          <w14:textFill>
            <w14:solidFill>
              <w14:schemeClr w14:val="tx1"/>
            </w14:solidFill>
          </w14:textFill>
        </w:rPr>
        <w:t>。</w:t>
      </w:r>
    </w:p>
    <w:p w14:paraId="68E9388B">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val="en-US" w:eastAsia="zh-CN"/>
          <w14:textFill>
            <w14:solidFill>
              <w14:schemeClr w14:val="tx1"/>
            </w14:solidFill>
          </w14:textFill>
        </w:rPr>
      </w:pPr>
      <w:r>
        <w:rPr>
          <w:rFonts w:hint="eastAsia" w:ascii="仿宋" w:hAnsi="仿宋" w:eastAsia="仿宋" w:cs="仿宋"/>
          <w:color w:val="000000" w:themeColor="text1"/>
          <w:szCs w:val="24"/>
          <w:highlight w:val="none"/>
          <w:lang w:val="en-US" w:eastAsia="zh-CN"/>
          <w14:textFill>
            <w14:solidFill>
              <w14:schemeClr w14:val="tx1"/>
            </w14:solidFill>
          </w14:textFill>
        </w:rPr>
        <w:t>（3）新疆维吾尔自治区区外建筑企业若中标应按新疆维吾尔自治区住房和城乡建设厅 2018 年 4 月 24 日发布的《关于进一步推动自治区建筑市场统一开放的通知》(新建建【2018】10号)的规定，登录新疆建筑市场监管和诚信信息一体化平台（简称新疆工程建设云，网址:（https://jsy.xjjs.gov.cn），注册报送企业基本信息和人员信息。</w:t>
      </w:r>
    </w:p>
    <w:p w14:paraId="72149C49">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val="en-US" w:eastAsia="zh-CN"/>
          <w14:textFill>
            <w14:solidFill>
              <w14:schemeClr w14:val="tx1"/>
            </w14:solidFill>
          </w14:textFill>
        </w:rPr>
      </w:pPr>
      <w:r>
        <w:rPr>
          <w:rFonts w:hint="eastAsia" w:ascii="仿宋" w:hAnsi="仿宋" w:eastAsia="仿宋" w:cs="仿宋"/>
          <w:color w:val="000000" w:themeColor="text1"/>
          <w:szCs w:val="24"/>
          <w:highlight w:val="none"/>
          <w:lang w:val="en-US" w:eastAsia="zh-CN"/>
          <w14:textFill>
            <w14:solidFill>
              <w14:schemeClr w14:val="tx1"/>
            </w14:solidFill>
          </w14:textFill>
        </w:rPr>
        <w:t>（4）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14:paraId="3B5B5037">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Style w:val="27"/>
          <w:rFonts w:hint="eastAsia" w:ascii="仿宋" w:hAnsi="仿宋" w:eastAsia="仿宋" w:cs="仿宋"/>
          <w:color w:val="000000" w:themeColor="text1"/>
          <w:szCs w:val="24"/>
          <w:highlight w:val="none"/>
          <w:lang w:eastAsia="zh-CN"/>
          <w14:textFill>
            <w14:solidFill>
              <w14:schemeClr w14:val="tx1"/>
            </w14:solidFill>
          </w14:textFill>
        </w:rPr>
        <w:t>三、获取采购文件</w:t>
      </w:r>
    </w:p>
    <w:p w14:paraId="67A3906C">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时间：2026年0</w:t>
      </w:r>
      <w:r>
        <w:rPr>
          <w:rFonts w:hint="eastAsia" w:ascii="仿宋" w:hAnsi="仿宋" w:eastAsia="仿宋" w:cs="仿宋"/>
          <w:color w:val="000000" w:themeColor="text1"/>
          <w:szCs w:val="24"/>
          <w:highlight w:val="none"/>
          <w:lang w:val="en-US" w:eastAsia="zh-CN"/>
          <w14:textFill>
            <w14:solidFill>
              <w14:schemeClr w14:val="tx1"/>
            </w14:solidFill>
          </w14:textFill>
        </w:rPr>
        <w:t>6</w:t>
      </w:r>
      <w:r>
        <w:rPr>
          <w:rFonts w:hint="eastAsia" w:ascii="仿宋" w:hAnsi="仿宋" w:eastAsia="仿宋" w:cs="仿宋"/>
          <w:color w:val="000000" w:themeColor="text1"/>
          <w:szCs w:val="24"/>
          <w:highlight w:val="none"/>
          <w:lang w:eastAsia="zh-CN"/>
          <w14:textFill>
            <w14:solidFill>
              <w14:schemeClr w14:val="tx1"/>
            </w14:solidFill>
          </w14:textFill>
        </w:rPr>
        <w:t>月</w:t>
      </w:r>
      <w:r>
        <w:rPr>
          <w:rFonts w:hint="eastAsia" w:ascii="仿宋" w:hAnsi="仿宋" w:eastAsia="仿宋" w:cs="仿宋"/>
          <w:color w:val="000000" w:themeColor="text1"/>
          <w:szCs w:val="24"/>
          <w:highlight w:val="none"/>
          <w:lang w:val="en-US" w:eastAsia="zh-CN"/>
          <w14:textFill>
            <w14:solidFill>
              <w14:schemeClr w14:val="tx1"/>
            </w14:solidFill>
          </w14:textFill>
        </w:rPr>
        <w:t>08</w:t>
      </w:r>
      <w:r>
        <w:rPr>
          <w:rFonts w:hint="eastAsia" w:ascii="仿宋" w:hAnsi="仿宋" w:eastAsia="仿宋" w:cs="仿宋"/>
          <w:color w:val="000000" w:themeColor="text1"/>
          <w:szCs w:val="24"/>
          <w:highlight w:val="none"/>
          <w:lang w:eastAsia="zh-CN"/>
          <w14:textFill>
            <w14:solidFill>
              <w14:schemeClr w14:val="tx1"/>
            </w14:solidFill>
          </w14:textFill>
        </w:rPr>
        <w:t>日至2026年</w:t>
      </w:r>
      <w:r>
        <w:rPr>
          <w:rFonts w:hint="eastAsia" w:ascii="仿宋" w:hAnsi="仿宋" w:eastAsia="仿宋" w:cs="仿宋"/>
          <w:color w:val="000000" w:themeColor="text1"/>
          <w:szCs w:val="24"/>
          <w:highlight w:val="none"/>
          <w:lang w:val="en-US" w:eastAsia="zh-CN"/>
          <w14:textFill>
            <w14:solidFill>
              <w14:schemeClr w14:val="tx1"/>
            </w14:solidFill>
          </w14:textFill>
        </w:rPr>
        <w:t>06</w:t>
      </w:r>
      <w:r>
        <w:rPr>
          <w:rFonts w:hint="eastAsia" w:ascii="仿宋" w:hAnsi="仿宋" w:eastAsia="仿宋" w:cs="仿宋"/>
          <w:color w:val="000000" w:themeColor="text1"/>
          <w:szCs w:val="24"/>
          <w:highlight w:val="none"/>
          <w:lang w:eastAsia="zh-CN"/>
          <w14:textFill>
            <w14:solidFill>
              <w14:schemeClr w14:val="tx1"/>
            </w14:solidFill>
          </w14:textFill>
        </w:rPr>
        <w:t>月</w:t>
      </w:r>
      <w:r>
        <w:rPr>
          <w:rFonts w:hint="eastAsia" w:ascii="仿宋" w:hAnsi="仿宋" w:eastAsia="仿宋" w:cs="仿宋"/>
          <w:color w:val="000000" w:themeColor="text1"/>
          <w:szCs w:val="24"/>
          <w:highlight w:val="none"/>
          <w:lang w:val="en-US" w:eastAsia="zh-CN"/>
          <w14:textFill>
            <w14:solidFill>
              <w14:schemeClr w14:val="tx1"/>
            </w14:solidFill>
          </w14:textFill>
        </w:rPr>
        <w:t>15</w:t>
      </w:r>
      <w:r>
        <w:rPr>
          <w:rFonts w:hint="eastAsia" w:ascii="仿宋" w:hAnsi="仿宋" w:eastAsia="仿宋" w:cs="仿宋"/>
          <w:color w:val="000000" w:themeColor="text1"/>
          <w:szCs w:val="24"/>
          <w:highlight w:val="none"/>
          <w:lang w:eastAsia="zh-CN"/>
          <w14:textFill>
            <w14:solidFill>
              <w14:schemeClr w14:val="tx1"/>
            </w14:solidFill>
          </w14:textFill>
        </w:rPr>
        <w:t>日，每天上午00:00至1</w:t>
      </w:r>
      <w:r>
        <w:rPr>
          <w:rFonts w:hint="eastAsia" w:ascii="仿宋" w:hAnsi="仿宋" w:eastAsia="仿宋" w:cs="仿宋"/>
          <w:color w:val="000000" w:themeColor="text1"/>
          <w:szCs w:val="24"/>
          <w:highlight w:val="none"/>
          <w:lang w:val="en-US" w:eastAsia="zh-CN"/>
          <w14:textFill>
            <w14:solidFill>
              <w14:schemeClr w14:val="tx1"/>
            </w14:solidFill>
          </w14:textFill>
        </w:rPr>
        <w:t>4</w:t>
      </w:r>
      <w:r>
        <w:rPr>
          <w:rFonts w:hint="eastAsia" w:ascii="仿宋" w:hAnsi="仿宋" w:eastAsia="仿宋" w:cs="仿宋"/>
          <w:color w:val="000000" w:themeColor="text1"/>
          <w:szCs w:val="24"/>
          <w:highlight w:val="none"/>
          <w:lang w:eastAsia="zh-CN"/>
          <w14:textFill>
            <w14:solidFill>
              <w14:schemeClr w14:val="tx1"/>
            </w14:solidFill>
          </w14:textFill>
        </w:rPr>
        <w:t>:00，下午1</w:t>
      </w:r>
      <w:r>
        <w:rPr>
          <w:rFonts w:hint="eastAsia" w:ascii="仿宋" w:hAnsi="仿宋" w:eastAsia="仿宋" w:cs="仿宋"/>
          <w:color w:val="000000" w:themeColor="text1"/>
          <w:szCs w:val="24"/>
          <w:highlight w:val="none"/>
          <w:lang w:val="en-US" w:eastAsia="zh-CN"/>
          <w14:textFill>
            <w14:solidFill>
              <w14:schemeClr w14:val="tx1"/>
            </w14:solidFill>
          </w14:textFill>
        </w:rPr>
        <w:t>4</w:t>
      </w:r>
      <w:r>
        <w:rPr>
          <w:rFonts w:hint="eastAsia" w:ascii="仿宋" w:hAnsi="仿宋" w:eastAsia="仿宋" w:cs="仿宋"/>
          <w:color w:val="000000" w:themeColor="text1"/>
          <w:szCs w:val="24"/>
          <w:highlight w:val="none"/>
          <w:lang w:eastAsia="zh-CN"/>
          <w14:textFill>
            <w14:solidFill>
              <w14:schemeClr w14:val="tx1"/>
            </w14:solidFill>
          </w14:textFill>
        </w:rPr>
        <w:t>:00至23:59（北京时间，法定节假日除外）</w:t>
      </w:r>
    </w:p>
    <w:p w14:paraId="48ECBDB4">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地点：政采云平台线上</w:t>
      </w:r>
    </w:p>
    <w:p w14:paraId="6A13AEB6">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方式：</w:t>
      </w:r>
      <w:r>
        <w:rPr>
          <w:rFonts w:hint="eastAsia" w:ascii="仿宋" w:hAnsi="仿宋" w:eastAsia="仿宋" w:cs="仿宋"/>
          <w:color w:val="000000" w:themeColor="text1"/>
          <w:szCs w:val="24"/>
          <w:highlight w:val="none"/>
          <w:lang w:eastAsia="zh-CN"/>
          <w14:textFill>
            <w14:solidFill>
              <w14:schemeClr w14:val="tx1"/>
            </w14:solidFill>
          </w14:textFill>
        </w:rPr>
        <w:t>供应商</w:t>
      </w:r>
      <w:r>
        <w:rPr>
          <w:rFonts w:hint="eastAsia" w:ascii="仿宋" w:hAnsi="仿宋" w:eastAsia="仿宋" w:cs="仿宋"/>
          <w:color w:val="000000" w:themeColor="text1"/>
          <w:szCs w:val="24"/>
          <w:highlight w:val="none"/>
          <w14:textFill>
            <w14:solidFill>
              <w14:schemeClr w14:val="tx1"/>
            </w14:solidFill>
          </w14:textFill>
        </w:rPr>
        <w:t>登录政采云平台https://www.zcygov.cn/在线申请获取采购文件（进入“项目采购”应用，在获取采购文件菜单中选择项目，申请获取采购文件）</w:t>
      </w:r>
      <w:r>
        <w:rPr>
          <w:rFonts w:hint="eastAsia" w:ascii="仿宋" w:hAnsi="仿宋" w:eastAsia="仿宋" w:cs="仿宋"/>
          <w:color w:val="000000" w:themeColor="text1"/>
          <w:szCs w:val="24"/>
          <w:highlight w:val="none"/>
          <w:lang w:eastAsia="zh-CN"/>
          <w14:textFill>
            <w14:solidFill>
              <w14:schemeClr w14:val="tx1"/>
            </w14:solidFill>
          </w14:textFill>
        </w:rPr>
        <w:t>，或者点击采购公告底部潜在供应商“获取采购文件”，页面跳转后登陆，直接获取采购文件。</w:t>
      </w:r>
    </w:p>
    <w:p w14:paraId="51504C45">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售价（元）：0</w:t>
      </w:r>
    </w:p>
    <w:p w14:paraId="5B31AB8A">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exact"/>
        <w:jc w:val="both"/>
        <w:textAlignment w:val="auto"/>
        <w:rPr>
          <w:rStyle w:val="27"/>
          <w:rFonts w:hint="eastAsia" w:ascii="仿宋" w:hAnsi="仿宋" w:eastAsia="仿宋" w:cs="仿宋"/>
          <w:color w:val="000000" w:themeColor="text1"/>
          <w:szCs w:val="24"/>
          <w:highlight w:val="none"/>
          <w:lang w:eastAsia="zh-CN"/>
          <w14:textFill>
            <w14:solidFill>
              <w14:schemeClr w14:val="tx1"/>
            </w14:solidFill>
          </w14:textFill>
        </w:rPr>
      </w:pPr>
      <w:r>
        <w:rPr>
          <w:rStyle w:val="27"/>
          <w:rFonts w:hint="eastAsia" w:ascii="仿宋" w:hAnsi="仿宋" w:eastAsia="仿宋" w:cs="仿宋"/>
          <w:color w:val="000000" w:themeColor="text1"/>
          <w:szCs w:val="24"/>
          <w:highlight w:val="none"/>
          <w:lang w:eastAsia="zh-CN"/>
          <w14:textFill>
            <w14:solidFill>
              <w14:schemeClr w14:val="tx1"/>
            </w14:solidFill>
          </w14:textFill>
        </w:rPr>
        <w:t>四、响应文件提交</w:t>
      </w:r>
    </w:p>
    <w:p w14:paraId="6E66F5B7">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截止时间：2026年</w:t>
      </w:r>
      <w:r>
        <w:rPr>
          <w:rFonts w:hint="eastAsia" w:ascii="仿宋" w:hAnsi="仿宋" w:eastAsia="仿宋" w:cs="仿宋"/>
          <w:color w:val="000000" w:themeColor="text1"/>
          <w:szCs w:val="24"/>
          <w:highlight w:val="none"/>
          <w:lang w:val="en-US" w:eastAsia="zh-CN"/>
          <w14:textFill>
            <w14:solidFill>
              <w14:schemeClr w14:val="tx1"/>
            </w14:solidFill>
          </w14:textFill>
        </w:rPr>
        <w:t>06</w:t>
      </w:r>
      <w:r>
        <w:rPr>
          <w:rFonts w:hint="eastAsia" w:ascii="仿宋" w:hAnsi="仿宋" w:eastAsia="仿宋" w:cs="仿宋"/>
          <w:color w:val="000000" w:themeColor="text1"/>
          <w:szCs w:val="24"/>
          <w:highlight w:val="none"/>
          <w:lang w:eastAsia="zh-CN"/>
          <w14:textFill>
            <w14:solidFill>
              <w14:schemeClr w14:val="tx1"/>
            </w14:solidFill>
          </w14:textFill>
        </w:rPr>
        <w:t>月</w:t>
      </w:r>
      <w:r>
        <w:rPr>
          <w:rFonts w:hint="eastAsia" w:ascii="仿宋" w:hAnsi="仿宋" w:eastAsia="仿宋" w:cs="仿宋"/>
          <w:color w:val="000000" w:themeColor="text1"/>
          <w:szCs w:val="24"/>
          <w:highlight w:val="none"/>
          <w:lang w:val="en-US" w:eastAsia="zh-CN"/>
          <w14:textFill>
            <w14:solidFill>
              <w14:schemeClr w14:val="tx1"/>
            </w14:solidFill>
          </w14:textFill>
        </w:rPr>
        <w:t>18</w:t>
      </w:r>
      <w:r>
        <w:rPr>
          <w:rFonts w:hint="eastAsia" w:ascii="仿宋" w:hAnsi="仿宋" w:eastAsia="仿宋" w:cs="仿宋"/>
          <w:color w:val="000000" w:themeColor="text1"/>
          <w:szCs w:val="24"/>
          <w:highlight w:val="none"/>
          <w:lang w:eastAsia="zh-CN"/>
          <w14:textFill>
            <w14:solidFill>
              <w14:schemeClr w14:val="tx1"/>
            </w14:solidFill>
          </w14:textFill>
        </w:rPr>
        <w:t>日11:00（北京时间）</w:t>
      </w:r>
    </w:p>
    <w:p w14:paraId="49E63567">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 xml:space="preserve">地点：请登录政采云投标客户端投标 </w:t>
      </w:r>
    </w:p>
    <w:p w14:paraId="1A444B7B">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exact"/>
        <w:jc w:val="both"/>
        <w:textAlignment w:val="auto"/>
        <w:rPr>
          <w:rStyle w:val="27"/>
          <w:rFonts w:hint="eastAsia" w:ascii="仿宋" w:hAnsi="仿宋" w:eastAsia="仿宋" w:cs="仿宋"/>
          <w:color w:val="000000" w:themeColor="text1"/>
          <w:szCs w:val="24"/>
          <w:highlight w:val="none"/>
          <w:lang w:eastAsia="zh-CN"/>
          <w14:textFill>
            <w14:solidFill>
              <w14:schemeClr w14:val="tx1"/>
            </w14:solidFill>
          </w14:textFill>
        </w:rPr>
      </w:pPr>
      <w:r>
        <w:rPr>
          <w:rStyle w:val="27"/>
          <w:rFonts w:hint="eastAsia" w:ascii="仿宋" w:hAnsi="仿宋" w:eastAsia="仿宋" w:cs="仿宋"/>
          <w:color w:val="000000" w:themeColor="text1"/>
          <w:szCs w:val="24"/>
          <w:highlight w:val="none"/>
          <w:lang w:eastAsia="zh-CN"/>
          <w14:textFill>
            <w14:solidFill>
              <w14:schemeClr w14:val="tx1"/>
            </w14:solidFill>
          </w14:textFill>
        </w:rPr>
        <w:t>五、响应文件开启</w:t>
      </w:r>
    </w:p>
    <w:p w14:paraId="5EF80FA6">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开时间：2026年</w:t>
      </w:r>
      <w:r>
        <w:rPr>
          <w:rFonts w:hint="eastAsia" w:ascii="仿宋" w:hAnsi="仿宋" w:eastAsia="仿宋" w:cs="仿宋"/>
          <w:color w:val="000000" w:themeColor="text1"/>
          <w:szCs w:val="24"/>
          <w:highlight w:val="none"/>
          <w:lang w:val="en-US" w:eastAsia="zh-CN"/>
          <w14:textFill>
            <w14:solidFill>
              <w14:schemeClr w14:val="tx1"/>
            </w14:solidFill>
          </w14:textFill>
        </w:rPr>
        <w:t>06</w:t>
      </w:r>
      <w:r>
        <w:rPr>
          <w:rFonts w:hint="eastAsia" w:ascii="仿宋" w:hAnsi="仿宋" w:eastAsia="仿宋" w:cs="仿宋"/>
          <w:color w:val="000000" w:themeColor="text1"/>
          <w:szCs w:val="24"/>
          <w:highlight w:val="none"/>
          <w:lang w:eastAsia="zh-CN"/>
          <w14:textFill>
            <w14:solidFill>
              <w14:schemeClr w14:val="tx1"/>
            </w14:solidFill>
          </w14:textFill>
        </w:rPr>
        <w:t>月</w:t>
      </w:r>
      <w:r>
        <w:rPr>
          <w:rFonts w:hint="eastAsia" w:ascii="仿宋" w:hAnsi="仿宋" w:eastAsia="仿宋" w:cs="仿宋"/>
          <w:color w:val="000000" w:themeColor="text1"/>
          <w:szCs w:val="24"/>
          <w:highlight w:val="none"/>
          <w:lang w:val="en-US" w:eastAsia="zh-CN"/>
          <w14:textFill>
            <w14:solidFill>
              <w14:schemeClr w14:val="tx1"/>
            </w14:solidFill>
          </w14:textFill>
        </w:rPr>
        <w:t>18</w:t>
      </w:r>
      <w:r>
        <w:rPr>
          <w:rFonts w:hint="eastAsia" w:ascii="仿宋" w:hAnsi="仿宋" w:eastAsia="仿宋" w:cs="仿宋"/>
          <w:color w:val="000000" w:themeColor="text1"/>
          <w:szCs w:val="24"/>
          <w:highlight w:val="none"/>
          <w:lang w:eastAsia="zh-CN"/>
          <w14:textFill>
            <w14:solidFill>
              <w14:schemeClr w14:val="tx1"/>
            </w14:solidFill>
          </w14:textFill>
        </w:rPr>
        <w:t>日11:00（北京时间）</w:t>
      </w:r>
    </w:p>
    <w:p w14:paraId="586FE9B9">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地点：</w:t>
      </w:r>
      <w:r>
        <w:rPr>
          <w:rFonts w:hint="eastAsia" w:ascii="仿宋" w:hAnsi="仿宋" w:eastAsia="仿宋" w:cs="仿宋"/>
          <w:color w:val="000000" w:themeColor="text1"/>
          <w:szCs w:val="24"/>
          <w:highlight w:val="none"/>
          <w:lang w:eastAsia="zh-CN"/>
          <w14:textFill>
            <w14:solidFill>
              <w14:schemeClr w14:val="tx1"/>
            </w14:solidFill>
          </w14:textFill>
        </w:rPr>
        <w:t>供应商</w:t>
      </w:r>
      <w:r>
        <w:rPr>
          <w:rFonts w:hint="eastAsia" w:ascii="仿宋" w:hAnsi="仿宋" w:eastAsia="仿宋" w:cs="仿宋"/>
          <w:color w:val="000000" w:themeColor="text1"/>
          <w:szCs w:val="24"/>
          <w:highlight w:val="none"/>
          <w14:textFill>
            <w14:solidFill>
              <w14:schemeClr w14:val="tx1"/>
            </w14:solidFill>
          </w14:textFill>
        </w:rPr>
        <w:t>登录政采云平台https://www.zcygov.cn/，进入“项目采购-开标评标-右边选择对应项目点击“进入项目”进入开标大厅。</w:t>
      </w:r>
    </w:p>
    <w:p w14:paraId="4B8A520A">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Style w:val="27"/>
          <w:rFonts w:hint="eastAsia" w:ascii="仿宋" w:hAnsi="仿宋" w:eastAsia="仿宋" w:cs="仿宋"/>
          <w:color w:val="000000" w:themeColor="text1"/>
          <w:szCs w:val="24"/>
          <w:highlight w:val="none"/>
          <w:lang w:eastAsia="zh-CN"/>
          <w14:textFill>
            <w14:solidFill>
              <w14:schemeClr w14:val="tx1"/>
            </w14:solidFill>
          </w14:textFill>
        </w:rPr>
        <w:t>六、公告期限</w:t>
      </w:r>
    </w:p>
    <w:p w14:paraId="33E90263">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自本公告发布之日起3个工作日。</w:t>
      </w:r>
    </w:p>
    <w:p w14:paraId="710FCD46">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exact"/>
        <w:jc w:val="both"/>
        <w:textAlignment w:val="auto"/>
        <w:rPr>
          <w:rStyle w:val="27"/>
          <w:rFonts w:hint="eastAsia" w:ascii="仿宋" w:hAnsi="仿宋" w:eastAsia="仿宋" w:cs="仿宋"/>
          <w:color w:val="000000" w:themeColor="text1"/>
          <w:szCs w:val="24"/>
          <w:highlight w:val="none"/>
          <w:lang w:eastAsia="zh-CN"/>
          <w14:textFill>
            <w14:solidFill>
              <w14:schemeClr w14:val="tx1"/>
            </w14:solidFill>
          </w14:textFill>
        </w:rPr>
      </w:pPr>
      <w:r>
        <w:rPr>
          <w:rStyle w:val="27"/>
          <w:rFonts w:hint="eastAsia" w:ascii="仿宋" w:hAnsi="仿宋" w:eastAsia="仿宋" w:cs="仿宋"/>
          <w:color w:val="000000" w:themeColor="text1"/>
          <w:szCs w:val="24"/>
          <w:highlight w:val="none"/>
          <w:lang w:eastAsia="zh-CN"/>
          <w14:textFill>
            <w14:solidFill>
              <w14:schemeClr w14:val="tx1"/>
            </w14:solidFill>
          </w14:textFill>
        </w:rPr>
        <w:t>七、其他补充事宜</w:t>
      </w:r>
    </w:p>
    <w:p w14:paraId="66ADFF6C">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auto"/>
        <w:rPr>
          <w:rStyle w:val="27"/>
          <w:rFonts w:hint="eastAsia" w:ascii="仿宋" w:hAnsi="仿宋" w:eastAsia="仿宋" w:cs="仿宋"/>
          <w:b w:val="0"/>
          <w:bCs w:val="0"/>
          <w:color w:val="000000" w:themeColor="text1"/>
          <w:szCs w:val="24"/>
          <w:highlight w:val="none"/>
          <w:lang w:eastAsia="zh-CN"/>
          <w14:textFill>
            <w14:solidFill>
              <w14:schemeClr w14:val="tx1"/>
            </w14:solidFill>
          </w14:textFill>
        </w:rPr>
      </w:pPr>
      <w:r>
        <w:rPr>
          <w:rStyle w:val="27"/>
          <w:rFonts w:hint="eastAsia" w:ascii="仿宋" w:hAnsi="仿宋" w:eastAsia="仿宋" w:cs="仿宋"/>
          <w:b w:val="0"/>
          <w:bCs w:val="0"/>
          <w:color w:val="000000" w:themeColor="text1"/>
          <w:szCs w:val="24"/>
          <w:highlight w:val="none"/>
          <w:lang w:val="en-US" w:eastAsia="zh-CN"/>
          <w14:textFill>
            <w14:solidFill>
              <w14:schemeClr w14:val="tx1"/>
            </w14:solidFill>
          </w14:textFill>
        </w:rPr>
        <w:t>1、</w:t>
      </w:r>
      <w:r>
        <w:rPr>
          <w:rStyle w:val="27"/>
          <w:rFonts w:hint="eastAsia" w:ascii="仿宋" w:hAnsi="仿宋" w:eastAsia="仿宋" w:cs="仿宋"/>
          <w:b w:val="0"/>
          <w:bCs w:val="0"/>
          <w:color w:val="000000" w:themeColor="text1"/>
          <w:szCs w:val="24"/>
          <w:highlight w:val="none"/>
          <w:lang w:eastAsia="zh-CN"/>
          <w14:textFill>
            <w14:solidFill>
              <w14:schemeClr w14:val="tx1"/>
            </w14:solidFill>
          </w14:textFill>
        </w:rPr>
        <w:t>本项目实行网上投标，采用电子投标文件。</w:t>
      </w:r>
    </w:p>
    <w:p w14:paraId="4264CDB1">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auto"/>
        <w:rPr>
          <w:rStyle w:val="27"/>
          <w:rFonts w:hint="eastAsia" w:ascii="仿宋" w:hAnsi="仿宋" w:eastAsia="仿宋" w:cs="仿宋"/>
          <w:b w:val="0"/>
          <w:bCs w:val="0"/>
          <w:color w:val="000000" w:themeColor="text1"/>
          <w:szCs w:val="24"/>
          <w:highlight w:val="none"/>
          <w:lang w:eastAsia="zh-CN"/>
          <w14:textFill>
            <w14:solidFill>
              <w14:schemeClr w14:val="tx1"/>
            </w14:solidFill>
          </w14:textFill>
        </w:rPr>
      </w:pPr>
      <w:r>
        <w:rPr>
          <w:rStyle w:val="27"/>
          <w:rFonts w:hint="eastAsia" w:ascii="仿宋" w:hAnsi="仿宋" w:eastAsia="仿宋" w:cs="仿宋"/>
          <w:b w:val="0"/>
          <w:bCs w:val="0"/>
          <w:color w:val="000000" w:themeColor="text1"/>
          <w:szCs w:val="24"/>
          <w:highlight w:val="none"/>
          <w:lang w:eastAsia="zh-CN"/>
          <w14:textFill>
            <w14:solidFill>
              <w14:schemeClr w14:val="tx1"/>
            </w14:solidFill>
          </w14:textFill>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4C76592D">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auto"/>
        <w:rPr>
          <w:rStyle w:val="27"/>
          <w:rFonts w:hint="eastAsia" w:ascii="仿宋" w:hAnsi="仿宋" w:eastAsia="仿宋" w:cs="仿宋"/>
          <w:b w:val="0"/>
          <w:bCs w:val="0"/>
          <w:color w:val="000000" w:themeColor="text1"/>
          <w:szCs w:val="24"/>
          <w:highlight w:val="none"/>
          <w:lang w:eastAsia="zh-CN"/>
          <w14:textFill>
            <w14:solidFill>
              <w14:schemeClr w14:val="tx1"/>
            </w14:solidFill>
          </w14:textFill>
        </w:rPr>
      </w:pPr>
      <w:r>
        <w:rPr>
          <w:rStyle w:val="27"/>
          <w:rFonts w:hint="eastAsia" w:ascii="仿宋" w:hAnsi="仿宋" w:eastAsia="仿宋" w:cs="仿宋"/>
          <w:b w:val="0"/>
          <w:bCs w:val="0"/>
          <w:color w:val="000000" w:themeColor="text1"/>
          <w:szCs w:val="24"/>
          <w:highlight w:val="none"/>
          <w:lang w:eastAsia="zh-CN"/>
          <w14:textFill>
            <w14:solidFill>
              <w14:schemeClr w14:val="tx1"/>
            </w14:solidFill>
          </w14:textFill>
        </w:rPr>
        <w:t>3、供应商将政采云电子交易客户端下载、安装完成后，可通过账号密码或CA登录客户端进行投标文件的制作。在使用政采云投标客户端时，建议使用WIN7及以上操作系统。</w:t>
      </w:r>
    </w:p>
    <w:p w14:paraId="10733C40">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auto"/>
        <w:rPr>
          <w:rStyle w:val="27"/>
          <w:rFonts w:hint="eastAsia" w:ascii="仿宋" w:hAnsi="仿宋" w:eastAsia="仿宋" w:cs="仿宋"/>
          <w:b w:val="0"/>
          <w:bCs w:val="0"/>
          <w:color w:val="000000" w:themeColor="text1"/>
          <w:szCs w:val="24"/>
          <w:highlight w:val="none"/>
          <w:lang w:eastAsia="zh-CN"/>
          <w14:textFill>
            <w14:solidFill>
              <w14:schemeClr w14:val="tx1"/>
            </w14:solidFill>
          </w14:textFill>
        </w:rPr>
      </w:pPr>
      <w:r>
        <w:rPr>
          <w:rStyle w:val="27"/>
          <w:rFonts w:hint="eastAsia" w:ascii="仿宋" w:hAnsi="仿宋" w:eastAsia="仿宋" w:cs="仿宋"/>
          <w:b w:val="0"/>
          <w:bCs w:val="0"/>
          <w:color w:val="000000" w:themeColor="text1"/>
          <w:szCs w:val="24"/>
          <w:highlight w:val="none"/>
          <w:lang w:eastAsia="zh-CN"/>
          <w14:textFill>
            <w14:solidFill>
              <w14:schemeClr w14:val="tx1"/>
            </w14:solidFill>
          </w14:textFill>
        </w:rPr>
        <w:t>4、其他事项：/</w:t>
      </w:r>
    </w:p>
    <w:p w14:paraId="074A8524">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exact"/>
        <w:jc w:val="both"/>
        <w:textAlignment w:val="auto"/>
        <w:rPr>
          <w:rStyle w:val="27"/>
          <w:rFonts w:hint="eastAsia" w:ascii="仿宋" w:hAnsi="仿宋" w:eastAsia="仿宋" w:cs="仿宋"/>
          <w:color w:val="000000" w:themeColor="text1"/>
          <w:szCs w:val="24"/>
          <w:highlight w:val="none"/>
          <w:lang w:eastAsia="zh-CN"/>
          <w14:textFill>
            <w14:solidFill>
              <w14:schemeClr w14:val="tx1"/>
            </w14:solidFill>
          </w14:textFill>
        </w:rPr>
      </w:pPr>
      <w:r>
        <w:rPr>
          <w:rStyle w:val="27"/>
          <w:rFonts w:hint="eastAsia" w:ascii="仿宋" w:hAnsi="仿宋" w:eastAsia="仿宋" w:cs="仿宋"/>
          <w:color w:val="000000" w:themeColor="text1"/>
          <w:szCs w:val="24"/>
          <w:highlight w:val="none"/>
          <w:lang w:eastAsia="zh-CN"/>
          <w14:textFill>
            <w14:solidFill>
              <w14:schemeClr w14:val="tx1"/>
            </w14:solidFill>
          </w14:textFill>
        </w:rPr>
        <w:t>特别提示：</w:t>
      </w:r>
    </w:p>
    <w:p w14:paraId="0C0EC487">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2" w:firstLineChars="200"/>
        <w:jc w:val="both"/>
        <w:textAlignment w:val="auto"/>
        <w:rPr>
          <w:rStyle w:val="27"/>
          <w:rFonts w:hint="eastAsia" w:ascii="仿宋" w:hAnsi="仿宋" w:eastAsia="仿宋" w:cs="仿宋"/>
          <w:color w:val="000000" w:themeColor="text1"/>
          <w:szCs w:val="24"/>
          <w:highlight w:val="none"/>
          <w:lang w:eastAsia="zh-CN"/>
          <w14:textFill>
            <w14:solidFill>
              <w14:schemeClr w14:val="tx1"/>
            </w14:solidFill>
          </w14:textFill>
        </w:rPr>
      </w:pPr>
      <w:r>
        <w:rPr>
          <w:rStyle w:val="27"/>
          <w:rFonts w:hint="eastAsia" w:ascii="仿宋" w:hAnsi="仿宋" w:eastAsia="仿宋" w:cs="仿宋"/>
          <w:color w:val="000000" w:themeColor="text1"/>
          <w:szCs w:val="24"/>
          <w:highlight w:val="none"/>
          <w:lang w:eastAsia="zh-CN"/>
          <w14:textFill>
            <w14:solidFill>
              <w14:schemeClr w14:val="tx1"/>
            </w14:solidFill>
          </w14:textFill>
        </w:rPr>
        <w:t>1、采购限额标准以上，200万元以下的货物和服务采购项目、400万元以下的工程采购项目，适宜由中小企业提供的，采购人应当专门面向中小企业采购。</w:t>
      </w:r>
    </w:p>
    <w:p w14:paraId="7D5771D4">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2" w:firstLineChars="200"/>
        <w:jc w:val="both"/>
        <w:textAlignment w:val="auto"/>
        <w:rPr>
          <w:rStyle w:val="27"/>
          <w:rFonts w:hint="eastAsia" w:ascii="仿宋" w:hAnsi="仿宋" w:eastAsia="仿宋" w:cs="仿宋"/>
          <w:color w:val="000000" w:themeColor="text1"/>
          <w:szCs w:val="24"/>
          <w:highlight w:val="none"/>
          <w:lang w:eastAsia="zh-CN"/>
          <w14:textFill>
            <w14:solidFill>
              <w14:schemeClr w14:val="tx1"/>
            </w14:solidFill>
          </w14:textFill>
        </w:rPr>
      </w:pPr>
      <w:r>
        <w:rPr>
          <w:rStyle w:val="27"/>
          <w:rFonts w:hint="eastAsia" w:ascii="仿宋" w:hAnsi="仿宋" w:eastAsia="仿宋" w:cs="仿宋"/>
          <w:color w:val="000000" w:themeColor="text1"/>
          <w:szCs w:val="24"/>
          <w:highlight w:val="none"/>
          <w:lang w:eastAsia="zh-CN"/>
          <w14:textFill>
            <w14:solidFill>
              <w14:schemeClr w14:val="tx1"/>
            </w14:solidFill>
          </w14:textFill>
        </w:rPr>
        <w:t>2、超过200万元的货物和服务采购项目，预留该部分采购项目预算总额的30%以上专门面向中小企业采购，其中预留给小微企业的比例不低于60%。</w:t>
      </w:r>
    </w:p>
    <w:p w14:paraId="05C7B551">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2" w:firstLineChars="200"/>
        <w:jc w:val="both"/>
        <w:textAlignment w:val="auto"/>
        <w:rPr>
          <w:rStyle w:val="27"/>
          <w:rFonts w:hint="eastAsia" w:ascii="仿宋" w:hAnsi="仿宋" w:eastAsia="仿宋" w:cs="仿宋"/>
          <w:color w:val="000000" w:themeColor="text1"/>
          <w:szCs w:val="24"/>
          <w:highlight w:val="none"/>
          <w:lang w:eastAsia="zh-CN"/>
          <w14:textFill>
            <w14:solidFill>
              <w14:schemeClr w14:val="tx1"/>
            </w14:solidFill>
          </w14:textFill>
        </w:rPr>
      </w:pPr>
      <w:r>
        <w:rPr>
          <w:rStyle w:val="27"/>
          <w:rFonts w:hint="eastAsia" w:ascii="仿宋" w:hAnsi="仿宋" w:eastAsia="仿宋" w:cs="仿宋"/>
          <w:color w:val="000000" w:themeColor="text1"/>
          <w:szCs w:val="24"/>
          <w:highlight w:val="none"/>
          <w:lang w:eastAsia="zh-CN"/>
          <w14:textFill>
            <w14:solidFill>
              <w14:schemeClr w14:val="tx1"/>
            </w14:solidFill>
          </w14:textFill>
        </w:rPr>
        <w:t>3、超过400万元的工程采购项目中适宜由中小企业提供的，预留该部分采购项目预算总额的40%以上专门面向中小企业采购，其中预留给小微企业的比例不低于60%。</w:t>
      </w:r>
    </w:p>
    <w:p w14:paraId="6ED336B7">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2" w:firstLineChars="200"/>
        <w:jc w:val="both"/>
        <w:textAlignment w:val="auto"/>
        <w:rPr>
          <w:rStyle w:val="27"/>
          <w:rFonts w:hint="eastAsia" w:ascii="仿宋" w:hAnsi="仿宋" w:eastAsia="仿宋" w:cs="仿宋"/>
          <w:color w:val="000000" w:themeColor="text1"/>
          <w:szCs w:val="24"/>
          <w:highlight w:val="none"/>
          <w:lang w:eastAsia="zh-CN"/>
          <w14:textFill>
            <w14:solidFill>
              <w14:schemeClr w14:val="tx1"/>
            </w14:solidFill>
          </w14:textFill>
        </w:rPr>
      </w:pPr>
      <w:r>
        <w:rPr>
          <w:rStyle w:val="27"/>
          <w:rFonts w:hint="eastAsia" w:ascii="仿宋" w:hAnsi="仿宋" w:eastAsia="仿宋" w:cs="仿宋"/>
          <w:color w:val="000000" w:themeColor="text1"/>
          <w:szCs w:val="24"/>
          <w:highlight w:val="none"/>
          <w:lang w:eastAsia="zh-CN"/>
          <w14:textFill>
            <w14:solidFill>
              <w14:schemeClr w14:val="tx1"/>
            </w14:solidFill>
          </w14:textFill>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C8F8A91">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2" w:firstLineChars="200"/>
        <w:jc w:val="both"/>
        <w:textAlignment w:val="auto"/>
        <w:rPr>
          <w:rStyle w:val="27"/>
          <w:rFonts w:hint="eastAsia" w:ascii="仿宋" w:hAnsi="仿宋" w:eastAsia="仿宋" w:cs="仿宋"/>
          <w:color w:val="000000" w:themeColor="text1"/>
          <w:szCs w:val="24"/>
          <w:highlight w:val="none"/>
          <w:lang w:eastAsia="zh-CN"/>
          <w14:textFill>
            <w14:solidFill>
              <w14:schemeClr w14:val="tx1"/>
            </w14:solidFill>
          </w14:textFill>
        </w:rPr>
      </w:pPr>
      <w:r>
        <w:rPr>
          <w:rStyle w:val="27"/>
          <w:rFonts w:hint="eastAsia" w:ascii="仿宋" w:hAnsi="仿宋" w:eastAsia="仿宋" w:cs="仿宋"/>
          <w:color w:val="000000" w:themeColor="text1"/>
          <w:szCs w:val="24"/>
          <w:highlight w:val="none"/>
          <w:lang w:eastAsia="zh-CN"/>
          <w14:textFill>
            <w14:solidFill>
              <w14:schemeClr w14:val="tx1"/>
            </w14:solidFill>
          </w14:textFill>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70DABA7">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highlight w:val="none"/>
          <w:lang w:eastAsia="zh-CN"/>
          <w14:textFill>
            <w14:solidFill>
              <w14:schemeClr w14:val="tx1"/>
            </w14:solidFill>
          </w14:textFill>
        </w:rPr>
      </w:pPr>
    </w:p>
    <w:p w14:paraId="4CD224CF">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exact"/>
        <w:jc w:val="both"/>
        <w:textAlignment w:val="auto"/>
        <w:rPr>
          <w:rStyle w:val="27"/>
          <w:rFonts w:hint="eastAsia" w:ascii="仿宋" w:hAnsi="仿宋" w:eastAsia="仿宋" w:cs="仿宋"/>
          <w:color w:val="000000" w:themeColor="text1"/>
          <w:szCs w:val="24"/>
          <w:highlight w:val="none"/>
          <w:lang w:eastAsia="zh-CN"/>
          <w14:textFill>
            <w14:solidFill>
              <w14:schemeClr w14:val="tx1"/>
            </w14:solidFill>
          </w14:textFill>
        </w:rPr>
      </w:pPr>
      <w:r>
        <w:rPr>
          <w:rStyle w:val="27"/>
          <w:rFonts w:hint="eastAsia" w:ascii="仿宋" w:hAnsi="仿宋" w:eastAsia="仿宋" w:cs="仿宋"/>
          <w:color w:val="000000" w:themeColor="text1"/>
          <w:szCs w:val="24"/>
          <w:highlight w:val="none"/>
          <w:lang w:eastAsia="zh-CN"/>
          <w14:textFill>
            <w14:solidFill>
              <w14:schemeClr w14:val="tx1"/>
            </w14:solidFill>
          </w14:textFill>
        </w:rPr>
        <w:t>八、凡对本次招标提出询问，请按以下方式联系</w:t>
      </w:r>
    </w:p>
    <w:p w14:paraId="538FDD8E">
      <w:pPr>
        <w:pStyle w:val="1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1.采购人信息</w:t>
      </w:r>
    </w:p>
    <w:p w14:paraId="118A2E15">
      <w:pPr>
        <w:pStyle w:val="1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名 称：新疆维吾尔自治区环境保护科学研究院</w:t>
      </w:r>
    </w:p>
    <w:p w14:paraId="7D811E7D">
      <w:pPr>
        <w:pStyle w:val="1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地 址：新疆乌鲁木齐市新市区科学一街428号</w:t>
      </w:r>
    </w:p>
    <w:p w14:paraId="4F97B836">
      <w:pPr>
        <w:pStyle w:val="1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联系方式：</w:t>
      </w:r>
      <w:r>
        <w:rPr>
          <w:rFonts w:hint="eastAsia" w:ascii="仿宋" w:hAnsi="仿宋" w:eastAsia="仿宋" w:cs="仿宋"/>
          <w:color w:val="000000" w:themeColor="text1"/>
          <w:sz w:val="24"/>
          <w:szCs w:val="24"/>
          <w:highlight w:val="none"/>
          <w:lang w:val="en-US" w:eastAsia="zh-CN"/>
          <w14:textFill>
            <w14:solidFill>
              <w14:schemeClr w14:val="tx1"/>
            </w14:solidFill>
          </w14:textFill>
        </w:rPr>
        <w:t>18935909692</w:t>
      </w:r>
    </w:p>
    <w:p w14:paraId="508A66A6">
      <w:pPr>
        <w:pStyle w:val="1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2.采购代理机构信息</w:t>
      </w:r>
    </w:p>
    <w:p w14:paraId="2D8E159B">
      <w:pPr>
        <w:pStyle w:val="1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名 称：新疆华恒通达项目管理有限公司</w:t>
      </w:r>
    </w:p>
    <w:p w14:paraId="1534A374">
      <w:pPr>
        <w:pStyle w:val="1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地 址：新疆乌鲁木齐高新区(新市区)北京南路416号盈科国际21楼A21-235</w:t>
      </w:r>
    </w:p>
    <w:p w14:paraId="79B36E62">
      <w:pPr>
        <w:pStyle w:val="1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联系方式：15001697967、15899168386</w:t>
      </w:r>
    </w:p>
    <w:p w14:paraId="7656CD90">
      <w:pPr>
        <w:pStyle w:val="1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3.项目联系方式</w:t>
      </w:r>
    </w:p>
    <w:p w14:paraId="563C47C2">
      <w:pPr>
        <w:pStyle w:val="1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项目联系人：谢宏英</w:t>
      </w:r>
    </w:p>
    <w:p w14:paraId="41DFF6B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电话：15001697967</w:t>
      </w:r>
      <w:bookmarkStart w:id="32" w:name="bookmark2"/>
      <w:bookmarkEnd w:id="32"/>
      <w:r>
        <w:rPr>
          <w:rFonts w:hint="eastAsia" w:ascii="仿宋" w:hAnsi="仿宋" w:eastAsia="仿宋" w:cs="仿宋"/>
          <w:color w:val="000000" w:themeColor="text1"/>
          <w:sz w:val="24"/>
          <w:szCs w:val="24"/>
          <w:highlight w:val="none"/>
          <w:lang w:eastAsia="zh-CN"/>
          <w14:textFill>
            <w14:solidFill>
              <w14:schemeClr w14:val="tx1"/>
            </w14:solidFill>
          </w14:textFill>
        </w:rPr>
        <w:t>、15899168386</w:t>
      </w:r>
    </w:p>
    <w:p w14:paraId="4876B496">
      <w:pPr>
        <w:keepNext w:val="0"/>
        <w:keepLines w:val="0"/>
        <w:pageBreakBefore w:val="0"/>
        <w:wordWrap/>
        <w:overflowPunct/>
        <w:topLinePunct w:val="0"/>
        <w:bidi w:val="0"/>
        <w:spacing w:line="400" w:lineRule="exact"/>
        <w:ind w:firstLine="723" w:firstLineChars="200"/>
        <w:jc w:val="both"/>
        <w:outlineLvl w:val="9"/>
        <w:rPr>
          <w:rFonts w:hint="eastAsia" w:ascii="仿宋" w:hAnsi="仿宋" w:eastAsia="仿宋" w:cs="仿宋"/>
          <w:b/>
          <w:color w:val="000000" w:themeColor="text1"/>
          <w:sz w:val="36"/>
          <w:szCs w:val="36"/>
          <w:highlight w:val="none"/>
          <w:lang w:eastAsia="zh-CN"/>
          <w14:textFill>
            <w14:solidFill>
              <w14:schemeClr w14:val="tx1"/>
            </w14:solidFill>
          </w14:textFill>
        </w:rPr>
      </w:pPr>
      <w:r>
        <w:rPr>
          <w:rFonts w:hint="eastAsia" w:ascii="仿宋" w:hAnsi="仿宋" w:eastAsia="仿宋" w:cs="仿宋"/>
          <w:b/>
          <w:color w:val="000000" w:themeColor="text1"/>
          <w:sz w:val="36"/>
          <w:szCs w:val="36"/>
          <w:highlight w:val="none"/>
          <w:lang w:eastAsia="zh-CN"/>
          <w14:textFill>
            <w14:solidFill>
              <w14:schemeClr w14:val="tx1"/>
            </w14:solidFill>
          </w14:textFill>
        </w:rPr>
        <w:br w:type="page"/>
      </w:r>
    </w:p>
    <w:p w14:paraId="0CFAB1F7">
      <w:pPr>
        <w:kinsoku/>
        <w:autoSpaceDE/>
        <w:autoSpaceDN/>
        <w:adjustRightInd/>
        <w:snapToGrid/>
        <w:spacing w:line="360" w:lineRule="auto"/>
        <w:jc w:val="center"/>
        <w:textAlignment w:val="auto"/>
        <w:outlineLvl w:val="0"/>
        <w:rPr>
          <w:rFonts w:hint="eastAsia" w:ascii="仿宋" w:hAnsi="仿宋" w:eastAsia="仿宋" w:cs="仿宋"/>
          <w:b/>
          <w:color w:val="000000" w:themeColor="text1"/>
          <w:sz w:val="32"/>
          <w:szCs w:val="32"/>
          <w:highlight w:val="none"/>
          <w:lang w:eastAsia="zh-CN"/>
          <w14:textFill>
            <w14:solidFill>
              <w14:schemeClr w14:val="tx1"/>
            </w14:solidFill>
          </w14:textFill>
        </w:rPr>
      </w:pPr>
      <w:bookmarkStart w:id="33" w:name="_Toc16945"/>
      <w:bookmarkStart w:id="34" w:name="_Toc9216"/>
      <w:bookmarkStart w:id="35" w:name="_Toc12145"/>
      <w:r>
        <w:rPr>
          <w:rFonts w:hint="eastAsia" w:ascii="仿宋" w:hAnsi="仿宋" w:eastAsia="仿宋" w:cs="仿宋"/>
          <w:b/>
          <w:color w:val="000000" w:themeColor="text1"/>
          <w:sz w:val="36"/>
          <w:szCs w:val="36"/>
          <w:highlight w:val="none"/>
          <w:lang w:eastAsia="zh-CN"/>
          <w14:textFill>
            <w14:solidFill>
              <w14:schemeClr w14:val="tx1"/>
            </w14:solidFill>
          </w14:textFill>
        </w:rPr>
        <w:t>第二章   供应商须知</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3"/>
      <w:bookmarkEnd w:id="34"/>
      <w:bookmarkEnd w:id="35"/>
    </w:p>
    <w:p w14:paraId="088A118C">
      <w:pPr>
        <w:pStyle w:val="2"/>
        <w:tabs>
          <w:tab w:val="center" w:pos="4592"/>
          <w:tab w:val="left" w:pos="7860"/>
        </w:tabs>
        <w:spacing w:before="0" w:line="360" w:lineRule="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highlight w:val="none"/>
          <w:lang w:eastAsia="zh-CN"/>
          <w14:textFill>
            <w14:solidFill>
              <w14:schemeClr w14:val="tx1"/>
            </w14:solidFill>
          </w14:textFill>
        </w:rPr>
        <w:t>供应商须知资料表</w:t>
      </w:r>
    </w:p>
    <w:p w14:paraId="33CFDFE8">
      <w:pPr>
        <w:spacing w:line="360" w:lineRule="auto"/>
        <w:ind w:firstLine="48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本表是对供应商须知的具体补充和修改，如有矛盾，均以本资料表为准。标记“■”的选项意为适用于本项目，标记“□”的选项意为不适用于本项目。</w:t>
      </w:r>
    </w:p>
    <w:tbl>
      <w:tblPr>
        <w:tblStyle w:val="24"/>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709"/>
      </w:tblGrid>
      <w:tr w14:paraId="4859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blHeader/>
          <w:jc w:val="center"/>
        </w:trPr>
        <w:tc>
          <w:tcPr>
            <w:tcW w:w="988" w:type="dxa"/>
            <w:vAlign w:val="center"/>
          </w:tcPr>
          <w:p w14:paraId="48CD9C06">
            <w:pPr>
              <w:spacing w:line="360" w:lineRule="auto"/>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条款号</w:t>
            </w:r>
          </w:p>
        </w:tc>
        <w:tc>
          <w:tcPr>
            <w:tcW w:w="1701" w:type="dxa"/>
            <w:vAlign w:val="center"/>
          </w:tcPr>
          <w:p w14:paraId="12E77CBB">
            <w:pPr>
              <w:spacing w:line="360" w:lineRule="auto"/>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条目</w:t>
            </w:r>
          </w:p>
        </w:tc>
        <w:tc>
          <w:tcPr>
            <w:tcW w:w="6709" w:type="dxa"/>
            <w:vAlign w:val="center"/>
          </w:tcPr>
          <w:p w14:paraId="55A8D0A6">
            <w:pPr>
              <w:spacing w:line="360" w:lineRule="auto"/>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内容</w:t>
            </w:r>
          </w:p>
        </w:tc>
      </w:tr>
      <w:tr w14:paraId="55FB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988" w:type="dxa"/>
            <w:vAlign w:val="center"/>
          </w:tcPr>
          <w:p w14:paraId="24AF1CEB">
            <w:pPr>
              <w:pStyle w:val="12"/>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w:t>
            </w:r>
          </w:p>
        </w:tc>
        <w:tc>
          <w:tcPr>
            <w:tcW w:w="1701" w:type="dxa"/>
            <w:vAlign w:val="center"/>
          </w:tcPr>
          <w:p w14:paraId="6CF51D10">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项目属性</w:t>
            </w:r>
          </w:p>
        </w:tc>
        <w:tc>
          <w:tcPr>
            <w:tcW w:w="6709" w:type="dxa"/>
            <w:vAlign w:val="center"/>
          </w:tcPr>
          <w:p w14:paraId="1268E9C6">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项目属性：</w:t>
            </w:r>
          </w:p>
          <w:p w14:paraId="5DDD0740">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□服务</w:t>
            </w:r>
          </w:p>
          <w:p w14:paraId="036C168B">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□货物</w:t>
            </w:r>
          </w:p>
          <w:p w14:paraId="64A98260">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■工程</w:t>
            </w:r>
          </w:p>
        </w:tc>
      </w:tr>
      <w:tr w14:paraId="36BF9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988" w:type="dxa"/>
            <w:vAlign w:val="center"/>
          </w:tcPr>
          <w:p w14:paraId="2B6AB7A1">
            <w:pPr>
              <w:pStyle w:val="12"/>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w:t>
            </w:r>
          </w:p>
        </w:tc>
        <w:tc>
          <w:tcPr>
            <w:tcW w:w="1701" w:type="dxa"/>
            <w:vAlign w:val="center"/>
          </w:tcPr>
          <w:p w14:paraId="381357BB">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科研仪器设备</w:t>
            </w:r>
          </w:p>
        </w:tc>
        <w:tc>
          <w:tcPr>
            <w:tcW w:w="6709" w:type="dxa"/>
            <w:vAlign w:val="center"/>
          </w:tcPr>
          <w:p w14:paraId="59197C45">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是否属于科研仪器设备招标项目：</w:t>
            </w:r>
          </w:p>
          <w:p w14:paraId="41C14D04">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□是</w:t>
            </w:r>
          </w:p>
          <w:p w14:paraId="2FB46626">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■否</w:t>
            </w:r>
          </w:p>
        </w:tc>
      </w:tr>
      <w:tr w14:paraId="0381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988" w:type="dxa"/>
            <w:vMerge w:val="restart"/>
            <w:vAlign w:val="center"/>
          </w:tcPr>
          <w:p w14:paraId="6ED807B9">
            <w:pPr>
              <w:pStyle w:val="12"/>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w:t>
            </w:r>
          </w:p>
        </w:tc>
        <w:tc>
          <w:tcPr>
            <w:tcW w:w="1701" w:type="dxa"/>
            <w:vAlign w:val="center"/>
          </w:tcPr>
          <w:p w14:paraId="70AD406F">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现场考察</w:t>
            </w:r>
          </w:p>
        </w:tc>
        <w:tc>
          <w:tcPr>
            <w:tcW w:w="6709" w:type="dxa"/>
            <w:vAlign w:val="center"/>
          </w:tcPr>
          <w:p w14:paraId="418DE8D2">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■不组织</w:t>
            </w:r>
          </w:p>
          <w:p w14:paraId="7C299BEC">
            <w:pPr>
              <w:rPr>
                <w:rFonts w:hint="eastAsia"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□组织，考察时间：__年_月_日_</w:t>
            </w:r>
            <w:r>
              <w:rPr>
                <w:rFonts w:hint="eastAsia" w:ascii="仿宋" w:hAnsi="仿宋" w:eastAsia="仿宋" w:cs="仿宋"/>
                <w:bCs/>
                <w:color w:val="000000" w:themeColor="text1"/>
                <w:sz w:val="24"/>
                <w:highlight w:val="none"/>
                <w:lang w:eastAsia="zh-CN"/>
                <w14:textFill>
                  <w14:solidFill>
                    <w14:schemeClr w14:val="tx1"/>
                  </w14:solidFill>
                </w14:textFill>
              </w:rPr>
              <w:t>点</w:t>
            </w:r>
            <w:r>
              <w:rPr>
                <w:rFonts w:hint="eastAsia" w:ascii="仿宋" w:hAnsi="仿宋" w:eastAsia="仿宋" w:cs="仿宋"/>
                <w:color w:val="000000" w:themeColor="text1"/>
                <w:sz w:val="24"/>
                <w:highlight w:val="none"/>
                <w:lang w:eastAsia="zh-CN"/>
                <w14:textFill>
                  <w14:solidFill>
                    <w14:schemeClr w14:val="tx1"/>
                  </w14:solidFill>
                </w14:textFill>
              </w:rPr>
              <w:t>_</w:t>
            </w:r>
            <w:r>
              <w:rPr>
                <w:rFonts w:hint="eastAsia" w:ascii="仿宋" w:hAnsi="仿宋" w:eastAsia="仿宋" w:cs="仿宋"/>
                <w:bCs/>
                <w:color w:val="000000" w:themeColor="text1"/>
                <w:sz w:val="24"/>
                <w:highlight w:val="none"/>
                <w:lang w:eastAsia="zh-CN"/>
                <w14:textFill>
                  <w14:solidFill>
                    <w14:schemeClr w14:val="tx1"/>
                  </w14:solidFill>
                </w14:textFill>
              </w:rPr>
              <w:t>分</w:t>
            </w:r>
          </w:p>
          <w:p w14:paraId="634FB28E">
            <w:pPr>
              <w:pStyle w:val="1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考察地点：____________。</w:t>
            </w:r>
          </w:p>
        </w:tc>
      </w:tr>
      <w:tr w14:paraId="7198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988" w:type="dxa"/>
            <w:vMerge w:val="continue"/>
            <w:vAlign w:val="center"/>
          </w:tcPr>
          <w:p w14:paraId="27C74ADB">
            <w:pPr>
              <w:pStyle w:val="12"/>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vAlign w:val="center"/>
          </w:tcPr>
          <w:p w14:paraId="238F6F47">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磋商</w:t>
            </w:r>
            <w:r>
              <w:rPr>
                <w:rFonts w:hint="eastAsia" w:ascii="仿宋" w:hAnsi="仿宋" w:eastAsia="仿宋" w:cs="仿宋"/>
                <w:color w:val="000000" w:themeColor="text1"/>
                <w:sz w:val="24"/>
                <w:highlight w:val="none"/>
                <w14:textFill>
                  <w14:solidFill>
                    <w14:schemeClr w14:val="tx1"/>
                  </w14:solidFill>
                </w14:textFill>
              </w:rPr>
              <w:t>前答疑会</w:t>
            </w:r>
          </w:p>
        </w:tc>
        <w:tc>
          <w:tcPr>
            <w:tcW w:w="6709" w:type="dxa"/>
            <w:vAlign w:val="center"/>
          </w:tcPr>
          <w:p w14:paraId="50ACC7B7">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■不召开</w:t>
            </w:r>
          </w:p>
          <w:p w14:paraId="0F7697EB">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□召开，召开时间：__年_月_日_</w:t>
            </w:r>
            <w:r>
              <w:rPr>
                <w:rFonts w:hint="eastAsia" w:ascii="仿宋" w:hAnsi="仿宋" w:eastAsia="仿宋" w:cs="仿宋"/>
                <w:bCs/>
                <w:color w:val="000000" w:themeColor="text1"/>
                <w:sz w:val="24"/>
                <w:highlight w:val="none"/>
                <w:lang w:eastAsia="zh-CN"/>
                <w14:textFill>
                  <w14:solidFill>
                    <w14:schemeClr w14:val="tx1"/>
                  </w14:solidFill>
                </w14:textFill>
              </w:rPr>
              <w:t>点</w:t>
            </w:r>
            <w:r>
              <w:rPr>
                <w:rFonts w:hint="eastAsia" w:ascii="仿宋" w:hAnsi="仿宋" w:eastAsia="仿宋" w:cs="仿宋"/>
                <w:color w:val="000000" w:themeColor="text1"/>
                <w:sz w:val="24"/>
                <w:highlight w:val="none"/>
                <w:lang w:eastAsia="zh-CN"/>
                <w14:textFill>
                  <w14:solidFill>
                    <w14:schemeClr w14:val="tx1"/>
                  </w14:solidFill>
                </w14:textFill>
              </w:rPr>
              <w:t>_</w:t>
            </w:r>
            <w:r>
              <w:rPr>
                <w:rFonts w:hint="eastAsia" w:ascii="仿宋" w:hAnsi="仿宋" w:eastAsia="仿宋" w:cs="仿宋"/>
                <w:bCs/>
                <w:color w:val="000000" w:themeColor="text1"/>
                <w:sz w:val="24"/>
                <w:highlight w:val="none"/>
                <w:lang w:eastAsia="zh-CN"/>
                <w14:textFill>
                  <w14:solidFill>
                    <w14:schemeClr w14:val="tx1"/>
                  </w14:solidFill>
                </w14:textFill>
              </w:rPr>
              <w:t>分</w:t>
            </w:r>
          </w:p>
          <w:p w14:paraId="53AEBD14">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召开地点：____________。</w:t>
            </w:r>
          </w:p>
        </w:tc>
      </w:tr>
      <w:tr w14:paraId="436B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jc w:val="center"/>
        </w:trPr>
        <w:tc>
          <w:tcPr>
            <w:tcW w:w="988" w:type="dxa"/>
            <w:vAlign w:val="center"/>
          </w:tcPr>
          <w:p w14:paraId="05D7B40D">
            <w:pPr>
              <w:pStyle w:val="12"/>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.2.5</w:t>
            </w:r>
          </w:p>
        </w:tc>
        <w:tc>
          <w:tcPr>
            <w:tcW w:w="1701" w:type="dxa"/>
            <w:vAlign w:val="center"/>
          </w:tcPr>
          <w:p w14:paraId="3F22F91D">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标的所属行业</w:t>
            </w:r>
          </w:p>
        </w:tc>
        <w:tc>
          <w:tcPr>
            <w:tcW w:w="6709" w:type="dxa"/>
            <w:vAlign w:val="center"/>
          </w:tcPr>
          <w:p w14:paraId="3BBBB5B0">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本项目采购标的对应的中小企业划分标准所属行业：</w:t>
            </w:r>
          </w:p>
          <w:tbl>
            <w:tblPr>
              <w:tblStyle w:val="24"/>
              <w:tblW w:w="6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3145"/>
              <w:gridCol w:w="1772"/>
            </w:tblGrid>
            <w:tr w14:paraId="72E04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1" w:type="pct"/>
                  <w:tcBorders>
                    <w:top w:val="single" w:color="auto" w:sz="4" w:space="0"/>
                    <w:left w:val="single" w:color="auto" w:sz="4" w:space="0"/>
                    <w:bottom w:val="single" w:color="auto" w:sz="4" w:space="0"/>
                    <w:right w:val="single" w:color="auto" w:sz="4" w:space="0"/>
                  </w:tcBorders>
                  <w:vAlign w:val="center"/>
                </w:tcPr>
                <w:p w14:paraId="2B35E6D9">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包号</w:t>
                  </w:r>
                </w:p>
              </w:tc>
              <w:tc>
                <w:tcPr>
                  <w:tcW w:w="2442" w:type="pct"/>
                  <w:tcBorders>
                    <w:top w:val="single" w:color="auto" w:sz="4" w:space="0"/>
                    <w:left w:val="single" w:color="auto" w:sz="4" w:space="0"/>
                    <w:bottom w:val="single" w:color="auto" w:sz="4" w:space="0"/>
                    <w:right w:val="single" w:color="auto" w:sz="4" w:space="0"/>
                  </w:tcBorders>
                  <w:vAlign w:val="center"/>
                </w:tcPr>
                <w:p w14:paraId="4DE5D85D">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标的名称</w:t>
                  </w:r>
                </w:p>
              </w:tc>
              <w:tc>
                <w:tcPr>
                  <w:tcW w:w="1376" w:type="pct"/>
                  <w:tcBorders>
                    <w:top w:val="single" w:color="auto" w:sz="4" w:space="0"/>
                    <w:left w:val="single" w:color="auto" w:sz="4" w:space="0"/>
                    <w:bottom w:val="single" w:color="auto" w:sz="4" w:space="0"/>
                    <w:right w:val="single" w:color="auto" w:sz="4" w:space="0"/>
                  </w:tcBorders>
                  <w:vAlign w:val="center"/>
                </w:tcPr>
                <w:p w14:paraId="05AA5735">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中小企业划分标准所属行业</w:t>
                  </w:r>
                </w:p>
              </w:tc>
            </w:tr>
            <w:tr w14:paraId="403D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1" w:type="pct"/>
                  <w:tcBorders>
                    <w:top w:val="single" w:color="auto" w:sz="4" w:space="0"/>
                    <w:left w:val="single" w:color="auto" w:sz="4" w:space="0"/>
                    <w:bottom w:val="single" w:color="auto" w:sz="4" w:space="0"/>
                    <w:right w:val="single" w:color="auto" w:sz="4" w:space="0"/>
                  </w:tcBorders>
                  <w:vAlign w:val="center"/>
                </w:tcPr>
                <w:p w14:paraId="208C5403">
                  <w:pPr>
                    <w:jc w:val="center"/>
                    <w:rPr>
                      <w:rFonts w:hint="eastAsia" w:ascii="仿宋" w:hAnsi="仿宋" w:eastAsia="仿宋" w:cs="仿宋"/>
                      <w:bCs/>
                      <w:color w:val="000000" w:themeColor="text1"/>
                      <w:sz w:val="24"/>
                      <w:highlight w:val="none"/>
                      <w:lang w:val="en-US"/>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HHTD-DL-2026100</w:t>
                  </w:r>
                  <w:r>
                    <w:rPr>
                      <w:rFonts w:hint="eastAsia" w:ascii="仿宋" w:hAnsi="仿宋" w:eastAsia="仿宋" w:cs="仿宋"/>
                      <w:bCs/>
                      <w:color w:val="000000" w:themeColor="text1"/>
                      <w:sz w:val="24"/>
                      <w:highlight w:val="none"/>
                      <w:lang w:val="en-US" w:eastAsia="zh-CN"/>
                      <w14:textFill>
                        <w14:solidFill>
                          <w14:schemeClr w14:val="tx1"/>
                        </w14:solidFill>
                      </w14:textFill>
                    </w:rPr>
                    <w:t>6</w:t>
                  </w:r>
                </w:p>
              </w:tc>
              <w:tc>
                <w:tcPr>
                  <w:tcW w:w="2442" w:type="pct"/>
                  <w:tcBorders>
                    <w:top w:val="single" w:color="auto" w:sz="4" w:space="0"/>
                    <w:left w:val="single" w:color="auto" w:sz="4" w:space="0"/>
                    <w:bottom w:val="single" w:color="auto" w:sz="4" w:space="0"/>
                    <w:right w:val="single" w:color="auto" w:sz="4" w:space="0"/>
                  </w:tcBorders>
                  <w:vAlign w:val="center"/>
                </w:tcPr>
                <w:p w14:paraId="427FBE32">
                  <w:pPr>
                    <w:jc w:val="center"/>
                    <w:rPr>
                      <w:rFonts w:hint="eastAsia"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国家环境保护准噶尔荒漠绿洲交错区科学观测研究站围栏建设工程</w:t>
                  </w:r>
                </w:p>
              </w:tc>
              <w:tc>
                <w:tcPr>
                  <w:tcW w:w="1376" w:type="pct"/>
                  <w:tcBorders>
                    <w:top w:val="single" w:color="auto" w:sz="4" w:space="0"/>
                    <w:left w:val="single" w:color="auto" w:sz="4" w:space="0"/>
                    <w:bottom w:val="single" w:color="auto" w:sz="4" w:space="0"/>
                    <w:right w:val="single" w:color="auto" w:sz="4" w:space="0"/>
                  </w:tcBorders>
                  <w:vAlign w:val="center"/>
                </w:tcPr>
                <w:p w14:paraId="39B06C77">
                  <w:pPr>
                    <w:jc w:val="center"/>
                    <w:rPr>
                      <w:rFonts w:hint="eastAsia"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建筑业</w:t>
                  </w:r>
                </w:p>
              </w:tc>
            </w:tr>
          </w:tbl>
          <w:p w14:paraId="2189ED8F">
            <w:pPr>
              <w:rPr>
                <w:rFonts w:hint="eastAsia" w:ascii="仿宋" w:hAnsi="仿宋" w:eastAsia="仿宋" w:cs="仿宋"/>
                <w:color w:val="000000" w:themeColor="text1"/>
                <w:sz w:val="24"/>
                <w:highlight w:val="none"/>
                <w14:textFill>
                  <w14:solidFill>
                    <w14:schemeClr w14:val="tx1"/>
                  </w14:solidFill>
                </w14:textFill>
              </w:rPr>
            </w:pPr>
          </w:p>
        </w:tc>
      </w:tr>
      <w:tr w14:paraId="5D8CF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9" w:hRule="atLeast"/>
          <w:jc w:val="center"/>
        </w:trPr>
        <w:tc>
          <w:tcPr>
            <w:tcW w:w="988" w:type="dxa"/>
            <w:vAlign w:val="center"/>
          </w:tcPr>
          <w:p w14:paraId="0705D2BC">
            <w:pPr>
              <w:pStyle w:val="12"/>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.2</w:t>
            </w:r>
          </w:p>
        </w:tc>
        <w:tc>
          <w:tcPr>
            <w:tcW w:w="1701" w:type="dxa"/>
            <w:vAlign w:val="center"/>
          </w:tcPr>
          <w:p w14:paraId="057228E1">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投标报价</w:t>
            </w:r>
          </w:p>
        </w:tc>
        <w:tc>
          <w:tcPr>
            <w:tcW w:w="6709" w:type="dxa"/>
            <w:vAlign w:val="center"/>
          </w:tcPr>
          <w:p w14:paraId="0796E428">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投标报价的特殊规定：</w:t>
            </w:r>
          </w:p>
          <w:p w14:paraId="42BB90A6">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无</w:t>
            </w:r>
          </w:p>
          <w:p w14:paraId="30A8FA09">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有，具体情形：</w:t>
            </w:r>
            <w:r>
              <w:rPr>
                <w:rFonts w:hint="eastAsia" w:ascii="仿宋" w:hAnsi="仿宋" w:eastAsia="仿宋" w:cs="仿宋"/>
                <w:color w:val="000000" w:themeColor="text1"/>
                <w:sz w:val="24"/>
                <w:highlight w:val="none"/>
                <w:u w:val="single"/>
                <w14:textFill>
                  <w14:solidFill>
                    <w14:schemeClr w14:val="tx1"/>
                  </w14:solidFill>
                </w14:textFill>
              </w:rPr>
              <w:t>按照工程量清单报价</w:t>
            </w:r>
            <w:r>
              <w:rPr>
                <w:rFonts w:hint="eastAsia" w:ascii="仿宋" w:hAnsi="仿宋" w:eastAsia="仿宋" w:cs="仿宋"/>
                <w:color w:val="000000" w:themeColor="text1"/>
                <w:sz w:val="24"/>
                <w:highlight w:val="none"/>
                <w14:textFill>
                  <w14:solidFill>
                    <w14:schemeClr w14:val="tx1"/>
                  </w14:solidFill>
                </w14:textFill>
              </w:rPr>
              <w:t>。</w:t>
            </w:r>
          </w:p>
          <w:p w14:paraId="3235BE6B">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本项目设置磋商控制价(最高限价)，各供应商须按照竞争性磋商文件和给定的图纸、工程量清单要求，按照工程量清单格式报本项目的全部相关工程或服务费用。</w:t>
            </w:r>
          </w:p>
          <w:p w14:paraId="080C88DC">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磋商控制价金额（最高限价）RMB</w:t>
            </w:r>
            <w:r>
              <w:rPr>
                <w:rFonts w:hint="eastAsia" w:ascii="仿宋" w:hAnsi="仿宋" w:eastAsia="仿宋" w:cs="仿宋"/>
                <w:color w:val="000000" w:themeColor="text1"/>
                <w:sz w:val="24"/>
                <w:highlight w:val="none"/>
                <w:u w:val="single"/>
                <w:lang w:val="en-US" w:eastAsia="zh-CN"/>
                <w14:textFill>
                  <w14:solidFill>
                    <w14:schemeClr w14:val="tx1"/>
                  </w14:solidFill>
                </w14:textFill>
              </w:rPr>
              <w:t>3097949.36</w:t>
            </w:r>
            <w:r>
              <w:rPr>
                <w:rFonts w:hint="eastAsia" w:ascii="仿宋" w:hAnsi="仿宋" w:eastAsia="仿宋" w:cs="仿宋"/>
                <w:color w:val="000000" w:themeColor="text1"/>
                <w:sz w:val="24"/>
                <w:highlight w:val="none"/>
                <w14:textFill>
                  <w14:solidFill>
                    <w14:schemeClr w14:val="tx1"/>
                  </w14:solidFill>
                </w14:textFill>
              </w:rPr>
              <w:t>元；</w:t>
            </w:r>
          </w:p>
          <w:p w14:paraId="632C94A9">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注：总报价超过磋商控制价金额的，将被拒绝。</w:t>
            </w:r>
          </w:p>
        </w:tc>
      </w:tr>
    </w:tbl>
    <w:p w14:paraId="0482E670">
      <w:pPr>
        <w:spacing w:line="360" w:lineRule="auto"/>
        <w:rPr>
          <w:rFonts w:hint="eastAsia" w:ascii="仿宋" w:hAnsi="仿宋" w:eastAsia="仿宋" w:cs="仿宋"/>
          <w:color w:val="000000" w:themeColor="text1"/>
          <w:highlight w:val="none"/>
          <w14:textFill>
            <w14:solidFill>
              <w14:schemeClr w14:val="tx1"/>
            </w14:solidFill>
          </w14:textFill>
        </w:rPr>
      </w:pPr>
    </w:p>
    <w:tbl>
      <w:tblPr>
        <w:tblStyle w:val="24"/>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630"/>
        <w:gridCol w:w="6987"/>
      </w:tblGrid>
      <w:tr w14:paraId="275E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002" w:type="dxa"/>
            <w:vAlign w:val="center"/>
          </w:tcPr>
          <w:p w14:paraId="2CCEFABB">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条款号</w:t>
            </w:r>
          </w:p>
        </w:tc>
        <w:tc>
          <w:tcPr>
            <w:tcW w:w="1630" w:type="dxa"/>
            <w:vAlign w:val="center"/>
          </w:tcPr>
          <w:p w14:paraId="1B759993">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条目</w:t>
            </w:r>
          </w:p>
        </w:tc>
        <w:tc>
          <w:tcPr>
            <w:tcW w:w="6987" w:type="dxa"/>
            <w:vAlign w:val="center"/>
          </w:tcPr>
          <w:p w14:paraId="09915461">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内容</w:t>
            </w:r>
          </w:p>
        </w:tc>
      </w:tr>
      <w:tr w14:paraId="7889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jc w:val="center"/>
        </w:trPr>
        <w:tc>
          <w:tcPr>
            <w:tcW w:w="1002" w:type="dxa"/>
            <w:vAlign w:val="center"/>
          </w:tcPr>
          <w:p w14:paraId="774532F9">
            <w:pPr>
              <w:pStyle w:val="12"/>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.1</w:t>
            </w:r>
          </w:p>
        </w:tc>
        <w:tc>
          <w:tcPr>
            <w:tcW w:w="1630" w:type="dxa"/>
            <w:vMerge w:val="restart"/>
            <w:vAlign w:val="center"/>
          </w:tcPr>
          <w:p w14:paraId="34C15F29">
            <w:pPr>
              <w:spacing w:line="360" w:lineRule="auto"/>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磋商保证金</w:t>
            </w:r>
          </w:p>
        </w:tc>
        <w:tc>
          <w:tcPr>
            <w:tcW w:w="6987" w:type="dxa"/>
            <w:vAlign w:val="center"/>
          </w:tcPr>
          <w:p w14:paraId="796C8687">
            <w:pPr>
              <w:widowControl w:val="0"/>
              <w:kinsoku/>
              <w:autoSpaceDE/>
              <w:autoSpaceDN/>
              <w:adjustRightInd/>
              <w:snapToGrid/>
              <w:spacing w:line="240" w:lineRule="exact"/>
              <w:jc w:val="both"/>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磋商保证金金额:</w:t>
            </w:r>
          </w:p>
          <w:p w14:paraId="5371D2B1">
            <w:pPr>
              <w:widowControl w:val="0"/>
              <w:kinsoku/>
              <w:autoSpaceDE/>
              <w:autoSpaceDN/>
              <w:adjustRightInd/>
              <w:snapToGrid/>
              <w:spacing w:line="240" w:lineRule="exact"/>
              <w:jc w:val="both"/>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磋商保证金金额：</w:t>
            </w:r>
            <w:r>
              <w:rPr>
                <w:rFonts w:hint="eastAsia" w:ascii="仿宋" w:hAnsi="仿宋" w:eastAsia="仿宋" w:cs="仿宋"/>
                <w:color w:val="000000" w:themeColor="text1"/>
                <w:sz w:val="24"/>
                <w:highlight w:val="none"/>
                <w:lang w:val="en-US" w:eastAsia="zh-CN"/>
                <w14:textFill>
                  <w14:solidFill>
                    <w14:schemeClr w14:val="tx1"/>
                  </w14:solidFill>
                </w14:textFill>
              </w:rPr>
              <w:t>60</w:t>
            </w:r>
            <w:r>
              <w:rPr>
                <w:rFonts w:hint="eastAsia" w:ascii="仿宋" w:hAnsi="仿宋" w:eastAsia="仿宋" w:cs="仿宋"/>
                <w:color w:val="000000" w:themeColor="text1"/>
                <w:sz w:val="24"/>
                <w:highlight w:val="none"/>
                <w:lang w:eastAsia="zh-CN"/>
                <w14:textFill>
                  <w14:solidFill>
                    <w14:schemeClr w14:val="tx1"/>
                  </w14:solidFill>
                </w14:textFill>
              </w:rPr>
              <w:t>000.00元；（大写：</w:t>
            </w:r>
            <w:r>
              <w:rPr>
                <w:rFonts w:hint="eastAsia" w:ascii="仿宋" w:hAnsi="仿宋" w:eastAsia="仿宋" w:cs="仿宋"/>
                <w:color w:val="000000" w:themeColor="text1"/>
                <w:sz w:val="24"/>
                <w:highlight w:val="none"/>
                <w:lang w:val="en-US" w:eastAsia="zh-CN"/>
                <w14:textFill>
                  <w14:solidFill>
                    <w14:schemeClr w14:val="tx1"/>
                  </w14:solidFill>
                </w14:textFill>
              </w:rPr>
              <w:t>陆万元整</w:t>
            </w:r>
            <w:r>
              <w:rPr>
                <w:rFonts w:hint="eastAsia" w:ascii="仿宋" w:hAnsi="仿宋" w:eastAsia="仿宋" w:cs="仿宋"/>
                <w:color w:val="000000" w:themeColor="text1"/>
                <w:sz w:val="24"/>
                <w:highlight w:val="none"/>
                <w:lang w:eastAsia="zh-CN"/>
                <w14:textFill>
                  <w14:solidFill>
                    <w14:schemeClr w14:val="tx1"/>
                  </w14:solidFill>
                </w14:textFill>
              </w:rPr>
              <w:t>）</w:t>
            </w:r>
          </w:p>
          <w:p w14:paraId="50ACAEA3">
            <w:pPr>
              <w:widowControl w:val="0"/>
              <w:kinsoku/>
              <w:autoSpaceDE/>
              <w:autoSpaceDN/>
              <w:adjustRightInd/>
              <w:snapToGrid/>
              <w:spacing w:line="240" w:lineRule="exact"/>
              <w:jc w:val="both"/>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磋商保证金收受人信息：</w:t>
            </w:r>
          </w:p>
          <w:p w14:paraId="0BB470FE">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保证金收款人：新疆华恒通达项目管理有限公司</w:t>
            </w:r>
          </w:p>
          <w:p w14:paraId="245F8895">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开户银行：中国农业银行股份有限公司乌鲁木齐长沙路兵团支行</w:t>
            </w:r>
          </w:p>
          <w:p w14:paraId="00077A79">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账号：30706101040009006</w:t>
            </w:r>
          </w:p>
          <w:p w14:paraId="39F22C3B">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行号：103881070615 </w:t>
            </w:r>
          </w:p>
          <w:p w14:paraId="1A9796B9">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注：磋商保证金到账（保函提交）截止时间同投标截止时间。以支票、汇票、本票、网上银行支付等形式提交投标保证金的，应在磋商截止时间前到账；以金融机构、担保机构出具的纸质保函等形式提交磋商保证金的，应在磋商截止时间前将原件提交至采购代理机构。以电子保函形式提交磋商保证金的，应在磋商截止时间前完成电子保函办理。未按上述要求缴纳投标保证金的，其磋商无效。</w:t>
            </w:r>
          </w:p>
          <w:p w14:paraId="447DFCAA">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供应商在汇款时务必注明所投项目编号及用途，否则，因款项用途不明导致投标无效等后果由供应商自行承担。</w:t>
            </w:r>
          </w:p>
          <w:p w14:paraId="3052EE36">
            <w:pPr>
              <w:widowControl w:val="0"/>
              <w:kinsoku/>
              <w:autoSpaceDE/>
              <w:autoSpaceDN/>
              <w:adjustRightInd/>
              <w:snapToGrid/>
              <w:spacing w:line="240" w:lineRule="exact"/>
              <w:jc w:val="both"/>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网银转账或银行电汇（须从其单位基本账户转出）</w:t>
            </w:r>
            <w:r>
              <w:rPr>
                <w:rFonts w:hint="eastAsia" w:ascii="仿宋" w:hAnsi="仿宋" w:eastAsia="仿宋" w:cs="仿宋"/>
                <w:color w:val="000000" w:themeColor="text1"/>
                <w:sz w:val="24"/>
                <w:highlight w:val="none"/>
                <w:lang w:eastAsia="zh-CN"/>
                <w14:textFill>
                  <w14:solidFill>
                    <w14:schemeClr w14:val="tx1"/>
                  </w14:solidFill>
                </w14:textFill>
              </w:rPr>
              <w:t>。</w:t>
            </w:r>
          </w:p>
        </w:tc>
      </w:tr>
      <w:tr w14:paraId="5FE6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002" w:type="dxa"/>
            <w:vAlign w:val="center"/>
          </w:tcPr>
          <w:p w14:paraId="45C3B9AF">
            <w:pPr>
              <w:pStyle w:val="12"/>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5</w:t>
            </w:r>
          </w:p>
        </w:tc>
        <w:tc>
          <w:tcPr>
            <w:tcW w:w="1630" w:type="dxa"/>
            <w:vMerge w:val="continue"/>
            <w:vAlign w:val="center"/>
          </w:tcPr>
          <w:p w14:paraId="00B73922">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6987" w:type="dxa"/>
            <w:vAlign w:val="center"/>
          </w:tcPr>
          <w:p w14:paraId="10177691">
            <w:pPr>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磋商证金不予退还的其他情形：</w:t>
            </w:r>
          </w:p>
          <w:p w14:paraId="6F2C4867">
            <w:pPr>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■无</w:t>
            </w:r>
          </w:p>
          <w:p w14:paraId="10E297D0">
            <w:pPr>
              <w:pStyle w:val="12"/>
              <w:widowControl w:val="0"/>
              <w:kinsoku/>
              <w:autoSpaceDE/>
              <w:autoSpaceDN/>
              <w:adjustRightInd/>
              <w:snapToGrid/>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有，具体情形：___________。</w:t>
            </w:r>
          </w:p>
        </w:tc>
      </w:tr>
      <w:tr w14:paraId="0BDD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002" w:type="dxa"/>
            <w:vAlign w:val="center"/>
          </w:tcPr>
          <w:p w14:paraId="30007461">
            <w:pPr>
              <w:pStyle w:val="12"/>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.1</w:t>
            </w:r>
          </w:p>
        </w:tc>
        <w:tc>
          <w:tcPr>
            <w:tcW w:w="1630" w:type="dxa"/>
            <w:vAlign w:val="center"/>
          </w:tcPr>
          <w:p w14:paraId="1C7D6729">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有效期</w:t>
            </w:r>
          </w:p>
        </w:tc>
        <w:tc>
          <w:tcPr>
            <w:tcW w:w="6987" w:type="dxa"/>
            <w:vAlign w:val="center"/>
          </w:tcPr>
          <w:p w14:paraId="11EB5309">
            <w:pPr>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自响应文件提交截止之日起算</w:t>
            </w:r>
            <w:r>
              <w:rPr>
                <w:rFonts w:hint="eastAsia" w:ascii="仿宋" w:hAnsi="仿宋" w:eastAsia="仿宋" w:cs="仿宋"/>
                <w:color w:val="000000" w:themeColor="text1"/>
                <w:sz w:val="24"/>
                <w:highlight w:val="none"/>
                <w:u w:val="single"/>
                <w:lang w:eastAsia="zh-CN"/>
                <w14:textFill>
                  <w14:solidFill>
                    <w14:schemeClr w14:val="tx1"/>
                  </w14:solidFill>
                </w14:textFill>
              </w:rPr>
              <w:t xml:space="preserve">90 </w:t>
            </w:r>
            <w:r>
              <w:rPr>
                <w:rFonts w:hint="eastAsia" w:ascii="仿宋" w:hAnsi="仿宋" w:eastAsia="仿宋" w:cs="仿宋"/>
                <w:color w:val="000000" w:themeColor="text1"/>
                <w:sz w:val="24"/>
                <w:highlight w:val="none"/>
                <w:lang w:eastAsia="zh-CN"/>
                <w14:textFill>
                  <w14:solidFill>
                    <w14:schemeClr w14:val="tx1"/>
                  </w14:solidFill>
                </w14:textFill>
              </w:rPr>
              <w:t>日历天。</w:t>
            </w:r>
          </w:p>
        </w:tc>
      </w:tr>
      <w:tr w14:paraId="3EB1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002" w:type="dxa"/>
            <w:vAlign w:val="center"/>
          </w:tcPr>
          <w:p w14:paraId="3EA7089D">
            <w:pPr>
              <w:pStyle w:val="12"/>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17.2</w:t>
            </w:r>
          </w:p>
        </w:tc>
        <w:tc>
          <w:tcPr>
            <w:tcW w:w="1630" w:type="dxa"/>
            <w:vAlign w:val="center"/>
          </w:tcPr>
          <w:p w14:paraId="29023ED6">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解密时间</w:t>
            </w:r>
          </w:p>
        </w:tc>
        <w:tc>
          <w:tcPr>
            <w:tcW w:w="6987" w:type="dxa"/>
            <w:vAlign w:val="center"/>
          </w:tcPr>
          <w:p w14:paraId="56315C60">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解密时间：30分钟。</w:t>
            </w:r>
          </w:p>
        </w:tc>
      </w:tr>
      <w:tr w14:paraId="384E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1002" w:type="dxa"/>
            <w:vAlign w:val="center"/>
          </w:tcPr>
          <w:p w14:paraId="42D5ACCE">
            <w:pPr>
              <w:pStyle w:val="12"/>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.1</w:t>
            </w:r>
          </w:p>
        </w:tc>
        <w:tc>
          <w:tcPr>
            <w:tcW w:w="1630" w:type="dxa"/>
            <w:vAlign w:val="center"/>
          </w:tcPr>
          <w:p w14:paraId="1A533221">
            <w:pPr>
              <w:spacing w:line="360" w:lineRule="auto"/>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确定</w:t>
            </w:r>
            <w:r>
              <w:rPr>
                <w:rFonts w:hint="eastAsia" w:ascii="仿宋" w:hAnsi="仿宋" w:eastAsia="仿宋" w:cs="仿宋"/>
                <w:color w:val="000000" w:themeColor="text1"/>
                <w:sz w:val="24"/>
                <w:highlight w:val="none"/>
                <w:lang w:eastAsia="zh-CN"/>
                <w14:textFill>
                  <w14:solidFill>
                    <w14:schemeClr w14:val="tx1"/>
                  </w14:solidFill>
                </w14:textFill>
              </w:rPr>
              <w:t>成交供应商</w:t>
            </w:r>
          </w:p>
        </w:tc>
        <w:tc>
          <w:tcPr>
            <w:tcW w:w="6987" w:type="dxa"/>
            <w:vAlign w:val="center"/>
          </w:tcPr>
          <w:p w14:paraId="04B6E6EC">
            <w:pPr>
              <w:pStyle w:val="12"/>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采购人是否授权磋商小组直接确定成交供应商： </w:t>
            </w:r>
          </w:p>
          <w:p w14:paraId="77C5916C">
            <w:pPr>
              <w:pStyle w:val="12"/>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■否</w:t>
            </w:r>
          </w:p>
          <w:p w14:paraId="7168C415">
            <w:pPr>
              <w:pStyle w:val="12"/>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□是</w:t>
            </w:r>
          </w:p>
          <w:p w14:paraId="5B37508A">
            <w:pPr>
              <w:pStyle w:val="12"/>
              <w:widowControl w:val="0"/>
              <w:kinsoku/>
              <w:autoSpaceDE/>
              <w:autoSpaceDN/>
              <w:adjustRightInd/>
              <w:snapToGrid/>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成交候选人并列的，按照以下方式确定成交供应商：</w:t>
            </w:r>
            <w:r>
              <w:rPr>
                <w:rFonts w:hint="eastAsia" w:ascii="仿宋" w:hAnsi="仿宋" w:eastAsia="仿宋" w:cs="仿宋"/>
                <w:color w:val="000000" w:themeColor="text1"/>
                <w:highlight w:val="none"/>
                <w:lang w:eastAsia="zh-CN"/>
                <w14:textFill>
                  <w14:solidFill>
                    <w14:schemeClr w14:val="tx1"/>
                  </w14:solidFill>
                </w14:textFill>
              </w:rPr>
              <w:t xml:space="preserve"> </w:t>
            </w:r>
          </w:p>
          <w:p w14:paraId="7419A229">
            <w:pPr>
              <w:pStyle w:val="12"/>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■得分且投标报价均相同的，以</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技术部分</w:t>
            </w:r>
            <w:r>
              <w:rPr>
                <w:rFonts w:hint="eastAsia" w:ascii="仿宋" w:hAnsi="仿宋" w:eastAsia="仿宋" w:cs="仿宋"/>
                <w:color w:val="000000" w:themeColor="text1"/>
                <w:sz w:val="24"/>
                <w:highlight w:val="none"/>
                <w:lang w:eastAsia="zh-CN"/>
                <w14:textFill>
                  <w14:solidFill>
                    <w14:schemeClr w14:val="tx1"/>
                  </w14:solidFill>
                </w14:textFill>
              </w:rPr>
              <w:t>得分高者为成交供应商</w:t>
            </w:r>
          </w:p>
          <w:p w14:paraId="166EEB8B">
            <w:pPr>
              <w:widowControl w:val="0"/>
              <w:kinsoku/>
              <w:autoSpaceDE/>
              <w:autoSpaceDN/>
              <w:adjustRightInd/>
              <w:snapToGrid/>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□随机抽取</w:t>
            </w:r>
          </w:p>
        </w:tc>
      </w:tr>
      <w:tr w14:paraId="1284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1002" w:type="dxa"/>
            <w:vAlign w:val="center"/>
          </w:tcPr>
          <w:p w14:paraId="483316C8">
            <w:pPr>
              <w:pStyle w:val="12"/>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.5</w:t>
            </w:r>
          </w:p>
        </w:tc>
        <w:tc>
          <w:tcPr>
            <w:tcW w:w="1630" w:type="dxa"/>
            <w:vAlign w:val="center"/>
          </w:tcPr>
          <w:p w14:paraId="6AFDCDF2">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分包</w:t>
            </w:r>
          </w:p>
        </w:tc>
        <w:tc>
          <w:tcPr>
            <w:tcW w:w="6987" w:type="dxa"/>
            <w:vAlign w:val="center"/>
          </w:tcPr>
          <w:p w14:paraId="25D2AE35">
            <w:pPr>
              <w:pStyle w:val="12"/>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本项目是否允许分包：</w:t>
            </w:r>
          </w:p>
          <w:p w14:paraId="1E71F34F">
            <w:pPr>
              <w:pStyle w:val="12"/>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■不允许</w:t>
            </w:r>
          </w:p>
          <w:p w14:paraId="148FDF31">
            <w:pPr>
              <w:pStyle w:val="12"/>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□允许，具体要求：______。</w:t>
            </w:r>
          </w:p>
          <w:p w14:paraId="6E7204D5">
            <w:pPr>
              <w:pStyle w:val="12"/>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（1）可以分包履行的具体内容：______；</w:t>
            </w:r>
          </w:p>
          <w:p w14:paraId="27305BC3">
            <w:pPr>
              <w:pStyle w:val="12"/>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（2）允许分包的金额或者比例：______；</w:t>
            </w:r>
          </w:p>
          <w:p w14:paraId="053D0F66">
            <w:pPr>
              <w:pStyle w:val="12"/>
              <w:widowControl w:val="0"/>
              <w:kinsoku/>
              <w:autoSpaceDE/>
              <w:autoSpaceDN/>
              <w:adjustRightInd/>
              <w:snapToGrid/>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（3）其他要求：______。</w:t>
            </w:r>
          </w:p>
        </w:tc>
      </w:tr>
      <w:tr w14:paraId="2C7C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002" w:type="dxa"/>
            <w:vAlign w:val="center"/>
          </w:tcPr>
          <w:p w14:paraId="0066872C">
            <w:pPr>
              <w:pStyle w:val="12"/>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.1.1</w:t>
            </w:r>
          </w:p>
        </w:tc>
        <w:tc>
          <w:tcPr>
            <w:tcW w:w="1630" w:type="dxa"/>
            <w:vAlign w:val="center"/>
          </w:tcPr>
          <w:p w14:paraId="785C6285">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询问</w:t>
            </w:r>
          </w:p>
        </w:tc>
        <w:tc>
          <w:tcPr>
            <w:tcW w:w="6987" w:type="dxa"/>
            <w:vAlign w:val="center"/>
          </w:tcPr>
          <w:p w14:paraId="0B3C89B9">
            <w:pPr>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询问送达形式：</w:t>
            </w:r>
            <w:r>
              <w:rPr>
                <w:rFonts w:hint="eastAsia" w:ascii="仿宋" w:hAnsi="仿宋" w:eastAsia="仿宋" w:cs="仿宋"/>
                <w:color w:val="000000" w:themeColor="text1"/>
                <w:sz w:val="24"/>
                <w:highlight w:val="none"/>
                <w:u w:val="single"/>
                <w:lang w:eastAsia="zh-CN"/>
                <w14:textFill>
                  <w14:solidFill>
                    <w14:schemeClr w14:val="tx1"/>
                  </w14:solidFill>
                </w14:textFill>
              </w:rPr>
              <w:t>书面形式（加盖单位公章），现场递交。</w:t>
            </w:r>
          </w:p>
        </w:tc>
      </w:tr>
      <w:tr w14:paraId="4029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002" w:type="dxa"/>
            <w:vAlign w:val="center"/>
          </w:tcPr>
          <w:p w14:paraId="33F25397">
            <w:pPr>
              <w:pStyle w:val="12"/>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.3</w:t>
            </w:r>
          </w:p>
        </w:tc>
        <w:tc>
          <w:tcPr>
            <w:tcW w:w="1630" w:type="dxa"/>
            <w:vAlign w:val="center"/>
          </w:tcPr>
          <w:p w14:paraId="727DA656">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联系方式</w:t>
            </w:r>
          </w:p>
        </w:tc>
        <w:tc>
          <w:tcPr>
            <w:tcW w:w="6987" w:type="dxa"/>
            <w:vAlign w:val="center"/>
          </w:tcPr>
          <w:p w14:paraId="59633351">
            <w:pPr>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接收询问和质疑的联系方式</w:t>
            </w:r>
          </w:p>
          <w:p w14:paraId="4DB490DA">
            <w:pPr>
              <w:widowControl w:val="0"/>
              <w:kinsoku/>
              <w:autoSpaceDE/>
              <w:autoSpaceDN/>
              <w:adjustRightInd/>
              <w:snapToGrid/>
              <w:ind w:left="1200" w:hanging="1200" w:hangingChars="5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联系部门：</w:t>
            </w:r>
            <w:r>
              <w:rPr>
                <w:rFonts w:hint="eastAsia" w:ascii="仿宋" w:hAnsi="仿宋" w:eastAsia="仿宋" w:cs="仿宋"/>
                <w:color w:val="000000" w:themeColor="text1"/>
                <w:sz w:val="24"/>
                <w:highlight w:val="none"/>
                <w:u w:val="single"/>
                <w:lang w:val="en-US" w:eastAsia="zh-CN"/>
                <w14:textFill>
                  <w14:solidFill>
                    <w14:schemeClr w14:val="tx1"/>
                  </w14:solidFill>
                </w14:textFill>
              </w:rPr>
              <w:t>新疆华恒通达项目管理有限公司</w:t>
            </w:r>
          </w:p>
          <w:p w14:paraId="2325E0A6">
            <w:pPr>
              <w:widowControl w:val="0"/>
              <w:kinsoku/>
              <w:autoSpaceDE/>
              <w:autoSpaceDN/>
              <w:adjustRightInd/>
              <w:snapToGrid/>
              <w:ind w:left="1200" w:hanging="1200" w:hangingChars="500"/>
              <w:textAlignment w:val="auto"/>
              <w:rPr>
                <w:rFonts w:hint="eastAsia"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联系电话：</w:t>
            </w:r>
            <w:r>
              <w:rPr>
                <w:rFonts w:hint="eastAsia" w:ascii="仿宋" w:hAnsi="仿宋" w:eastAsia="仿宋" w:cs="仿宋"/>
                <w:color w:val="000000" w:themeColor="text1"/>
                <w:sz w:val="24"/>
                <w:highlight w:val="none"/>
                <w:u w:val="single"/>
                <w:lang w:eastAsia="zh-CN"/>
                <w14:textFill>
                  <w14:solidFill>
                    <w14:schemeClr w14:val="tx1"/>
                  </w14:solidFill>
                </w14:textFill>
              </w:rPr>
              <w:t>15899168386</w:t>
            </w:r>
          </w:p>
          <w:p w14:paraId="7F2817E4">
            <w:pPr>
              <w:widowControl w:val="0"/>
              <w:kinsoku/>
              <w:autoSpaceDE/>
              <w:autoSpaceDN/>
              <w:adjustRightInd/>
              <w:snapToGrid/>
              <w:ind w:left="1200" w:hanging="1200" w:hangingChars="5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通讯地址：</w:t>
            </w:r>
            <w:r>
              <w:rPr>
                <w:rFonts w:hint="eastAsia" w:ascii="仿宋" w:hAnsi="仿宋" w:eastAsia="仿宋" w:cs="仿宋"/>
                <w:color w:val="000000" w:themeColor="text1"/>
                <w:sz w:val="24"/>
                <w:highlight w:val="none"/>
                <w:u w:val="single"/>
                <w:lang w:eastAsia="zh-CN"/>
                <w14:textFill>
                  <w14:solidFill>
                    <w14:schemeClr w14:val="tx1"/>
                  </w14:solidFill>
                </w14:textFill>
              </w:rPr>
              <w:t>新疆乌鲁木齐高新区(新市区)北京南路416号盈科国际21楼A21-235。</w:t>
            </w:r>
          </w:p>
        </w:tc>
      </w:tr>
      <w:tr w14:paraId="58CE1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002" w:type="dxa"/>
            <w:tcBorders>
              <w:top w:val="single" w:color="auto" w:sz="4" w:space="0"/>
              <w:left w:val="single" w:color="auto" w:sz="4" w:space="0"/>
              <w:bottom w:val="single" w:color="auto" w:sz="4" w:space="0"/>
              <w:right w:val="single" w:color="auto" w:sz="4" w:space="0"/>
            </w:tcBorders>
            <w:vAlign w:val="center"/>
          </w:tcPr>
          <w:p w14:paraId="15F8FC35">
            <w:pPr>
              <w:pStyle w:val="12"/>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5</w:t>
            </w:r>
          </w:p>
        </w:tc>
        <w:tc>
          <w:tcPr>
            <w:tcW w:w="1630" w:type="dxa"/>
            <w:tcBorders>
              <w:top w:val="single" w:color="auto" w:sz="4" w:space="0"/>
              <w:left w:val="single" w:color="auto" w:sz="4" w:space="0"/>
              <w:bottom w:val="single" w:color="auto" w:sz="4" w:space="0"/>
              <w:right w:val="single" w:color="auto" w:sz="4" w:space="0"/>
            </w:tcBorders>
            <w:vAlign w:val="center"/>
          </w:tcPr>
          <w:p w14:paraId="0BF0403E">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代理费</w:t>
            </w:r>
          </w:p>
        </w:tc>
        <w:tc>
          <w:tcPr>
            <w:tcW w:w="6987" w:type="dxa"/>
            <w:tcBorders>
              <w:top w:val="single" w:color="auto" w:sz="4" w:space="0"/>
              <w:left w:val="single" w:color="auto" w:sz="4" w:space="0"/>
              <w:bottom w:val="single" w:color="auto" w:sz="4" w:space="0"/>
              <w:right w:val="single" w:color="auto" w:sz="4" w:space="0"/>
            </w:tcBorders>
            <w:vAlign w:val="center"/>
          </w:tcPr>
          <w:p w14:paraId="1ADD4CD6">
            <w:pPr>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收费对象：</w:t>
            </w:r>
          </w:p>
          <w:p w14:paraId="36D97E11">
            <w:pPr>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□采购人</w:t>
            </w:r>
          </w:p>
          <w:p w14:paraId="50C62139">
            <w:pPr>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■成交供应商</w:t>
            </w:r>
          </w:p>
          <w:p w14:paraId="5BF579BF">
            <w:pPr>
              <w:widowControl w:val="0"/>
              <w:kinsoku/>
              <w:autoSpaceDE/>
              <w:autoSpaceDN/>
              <w:adjustRightInd/>
              <w:snapToGrid/>
              <w:ind w:left="-2"/>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收费标准：</w:t>
            </w:r>
            <w:r>
              <w:rPr>
                <w:rFonts w:hint="eastAsia" w:ascii="仿宋" w:hAnsi="仿宋" w:eastAsia="仿宋" w:cs="仿宋"/>
                <w:color w:val="000000" w:themeColor="text1"/>
                <w:sz w:val="24"/>
                <w:szCs w:val="32"/>
                <w:highlight w:val="none"/>
                <w:u w:val="single"/>
                <w:lang w:eastAsia="zh-CN"/>
                <w14:textFill>
                  <w14:solidFill>
                    <w14:schemeClr w14:val="tx1"/>
                  </w14:solidFill>
                </w14:textFill>
              </w:rPr>
              <w:t>成交供应商以成交金额为基准价格，参照国家发展计划委员会（计价格[2002]1980号文件）向采购代理机构支付代理费。</w:t>
            </w:r>
          </w:p>
          <w:p w14:paraId="734C7FC2">
            <w:pPr>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缴纳时间：</w:t>
            </w:r>
            <w:r>
              <w:rPr>
                <w:rFonts w:hint="eastAsia" w:ascii="仿宋" w:hAnsi="仿宋" w:eastAsia="仿宋" w:cs="仿宋"/>
                <w:color w:val="000000" w:themeColor="text1"/>
                <w:sz w:val="24"/>
                <w:szCs w:val="32"/>
                <w:highlight w:val="none"/>
                <w:u w:val="single"/>
                <w:lang w:eastAsia="zh-CN"/>
                <w14:textFill>
                  <w14:solidFill>
                    <w14:schemeClr w14:val="tx1"/>
                  </w14:solidFill>
                </w14:textFill>
              </w:rPr>
              <w:t>成交供应商在领取成交通知书前须一次性向采购代理机构缴纳代理费</w:t>
            </w:r>
            <w:r>
              <w:rPr>
                <w:rFonts w:hint="eastAsia" w:ascii="仿宋" w:hAnsi="仿宋" w:eastAsia="仿宋" w:cs="仿宋"/>
                <w:color w:val="000000" w:themeColor="text1"/>
                <w:sz w:val="24"/>
                <w:szCs w:val="32"/>
                <w:highlight w:val="none"/>
                <w:lang w:eastAsia="zh-CN"/>
                <w14:textFill>
                  <w14:solidFill>
                    <w14:schemeClr w14:val="tx1"/>
                  </w14:solidFill>
                </w14:textFill>
              </w:rPr>
              <w:t>。</w:t>
            </w:r>
          </w:p>
        </w:tc>
      </w:tr>
    </w:tbl>
    <w:p w14:paraId="75DAB4D3">
      <w:pPr>
        <w:pStyle w:val="9"/>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6258022E">
      <w:pPr>
        <w:pStyle w:val="9"/>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65587E8B">
      <w:pPr>
        <w:spacing w:line="360" w:lineRule="auto"/>
        <w:jc w:val="center"/>
        <w:rPr>
          <w:rFonts w:hint="eastAsia" w:ascii="仿宋" w:hAnsi="仿宋" w:eastAsia="仿宋" w:cs="仿宋"/>
          <w:color w:val="000000" w:themeColor="text1"/>
          <w:spacing w:val="-4"/>
          <w:sz w:val="28"/>
          <w:szCs w:val="28"/>
          <w:highlight w:val="none"/>
          <w:lang w:eastAsia="zh-CN"/>
          <w14:textFill>
            <w14:solidFill>
              <w14:schemeClr w14:val="tx1"/>
            </w14:solidFill>
          </w14:textFill>
        </w:rPr>
        <w:sectPr>
          <w:headerReference r:id="rId8" w:type="default"/>
          <w:footerReference r:id="rId9" w:type="default"/>
          <w:pgSz w:w="11907" w:h="16839"/>
          <w:pgMar w:top="1417" w:right="1417" w:bottom="1417" w:left="1417" w:header="1191" w:footer="1092" w:gutter="0"/>
          <w:pgNumType w:fmt="decimal" w:start="1"/>
          <w:cols w:space="720" w:num="1"/>
        </w:sectPr>
      </w:pPr>
    </w:p>
    <w:p w14:paraId="0EFB808D">
      <w:pPr>
        <w:spacing w:line="360" w:lineRule="auto"/>
        <w:jc w:val="center"/>
        <w:outlineLvl w:val="1"/>
        <w:rPr>
          <w:rFonts w:hint="eastAsia" w:ascii="仿宋" w:hAnsi="仿宋" w:eastAsia="仿宋" w:cs="仿宋"/>
          <w:b/>
          <w:bCs/>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spacing w:val="-4"/>
          <w:sz w:val="28"/>
          <w:szCs w:val="28"/>
          <w:highlight w:val="none"/>
          <w:lang w:eastAsia="zh-CN"/>
          <w14:textFill>
            <w14:solidFill>
              <w14:schemeClr w14:val="tx1"/>
            </w14:solidFill>
          </w14:textFill>
        </w:rPr>
        <w:t>供应商须知</w:t>
      </w:r>
    </w:p>
    <w:p w14:paraId="617F63D5">
      <w:pPr>
        <w:spacing w:line="360" w:lineRule="auto"/>
        <w:jc w:val="center"/>
        <w:outlineLvl w:val="2"/>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pacing w:val="-13"/>
          <w:sz w:val="28"/>
          <w:szCs w:val="28"/>
          <w:highlight w:val="none"/>
          <w:lang w:eastAsia="zh-CN"/>
          <w14:textFill>
            <w14:solidFill>
              <w14:schemeClr w14:val="tx1"/>
            </w14:solidFill>
          </w14:textFill>
        </w:rPr>
        <w:t>一</w:t>
      </w:r>
      <w:r>
        <w:rPr>
          <w:rFonts w:hint="eastAsia" w:ascii="仿宋" w:hAnsi="仿宋" w:eastAsia="仿宋" w:cs="仿宋"/>
          <w:b/>
          <w:bCs/>
          <w:color w:val="000000" w:themeColor="text1"/>
          <w:spacing w:val="9"/>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13"/>
          <w:sz w:val="28"/>
          <w:szCs w:val="28"/>
          <w:highlight w:val="none"/>
          <w:lang w:eastAsia="zh-CN"/>
          <w14:textFill>
            <w14:solidFill>
              <w14:schemeClr w14:val="tx1"/>
            </w14:solidFill>
          </w14:textFill>
        </w:rPr>
        <w:t>说</w:t>
      </w:r>
      <w:r>
        <w:rPr>
          <w:rFonts w:hint="eastAsia" w:ascii="仿宋" w:hAnsi="仿宋" w:eastAsia="仿宋" w:cs="仿宋"/>
          <w:b/>
          <w:bCs/>
          <w:color w:val="000000" w:themeColor="text1"/>
          <w:spacing w:val="20"/>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13"/>
          <w:sz w:val="28"/>
          <w:szCs w:val="28"/>
          <w:highlight w:val="none"/>
          <w:lang w:eastAsia="zh-CN"/>
          <w14:textFill>
            <w14:solidFill>
              <w14:schemeClr w14:val="tx1"/>
            </w14:solidFill>
          </w14:textFill>
        </w:rPr>
        <w:t>明</w:t>
      </w:r>
    </w:p>
    <w:p w14:paraId="6F25CE93">
      <w:pPr>
        <w:pStyle w:val="9"/>
        <w:spacing w:before="204" w:line="201" w:lineRule="auto"/>
        <w:ind w:left="2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   采购人、采购代理机构、供应商、联合体</w:t>
      </w:r>
    </w:p>
    <w:p w14:paraId="1872C255">
      <w:pPr>
        <w:pStyle w:val="9"/>
        <w:spacing w:before="175" w:line="270" w:lineRule="auto"/>
        <w:ind w:left="1085" w:right="7" w:hanging="69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   采购人、采购代理机构：指依法进行政府采购的国家机关、事业单位、团体</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组织，及其委托的采购代理机构。本项目采购人、采购代理机构见第</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一章《采</w:t>
      </w:r>
      <w:r>
        <w:rPr>
          <w:rFonts w:hint="eastAsia" w:ascii="仿宋" w:hAnsi="仿宋" w:eastAsia="仿宋" w:cs="仿宋"/>
          <w:color w:val="000000" w:themeColor="text1"/>
          <w:spacing w:val="-16"/>
          <w:w w:val="97"/>
          <w:sz w:val="24"/>
          <w:szCs w:val="24"/>
          <w:highlight w:val="none"/>
          <w:lang w:eastAsia="zh-CN"/>
          <w14:textFill>
            <w14:solidFill>
              <w14:schemeClr w14:val="tx1"/>
            </w14:solidFill>
          </w14:textFill>
        </w:rPr>
        <w:t>购邀请》。</w:t>
      </w:r>
    </w:p>
    <w:p w14:paraId="05960422">
      <w:pPr>
        <w:pStyle w:val="9"/>
        <w:spacing w:before="175" w:line="253" w:lineRule="auto"/>
        <w:ind w:left="1085" w:right="4" w:hanging="69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1.2   供应商（也称“</w:t>
      </w:r>
      <w:r>
        <w:rPr>
          <w:rFonts w:hint="eastAsia" w:ascii="仿宋" w:hAnsi="仿宋" w:eastAsia="仿宋" w:cs="仿宋"/>
          <w:color w:val="000000" w:themeColor="text1"/>
          <w:spacing w:val="-32"/>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申请人”</w:t>
      </w:r>
      <w:r>
        <w:rPr>
          <w:rFonts w:hint="eastAsia" w:ascii="仿宋" w:hAnsi="仿宋" w:eastAsia="仿宋" w:cs="仿宋"/>
          <w:color w:val="000000" w:themeColor="text1"/>
          <w:spacing w:val="-58"/>
          <w:w w:val="88"/>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指向采购人提供货物、工程或</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者服务的法人、其他组织或者自然人。</w:t>
      </w:r>
    </w:p>
    <w:p w14:paraId="67294A3E">
      <w:pPr>
        <w:pStyle w:val="9"/>
        <w:spacing w:before="175" w:line="251" w:lineRule="auto"/>
        <w:ind w:left="1083" w:right="7" w:hanging="69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1.3   联合体：指两个以上的自然人、法人或者其他组织组成一个联合体，以一个</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供应商的身份共同参加政府采购。</w:t>
      </w:r>
    </w:p>
    <w:p w14:paraId="361207B6">
      <w:pPr>
        <w:pStyle w:val="9"/>
        <w:spacing w:before="179" w:line="200" w:lineRule="auto"/>
        <w:ind w:left="1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   资金来源、项目属性、科研仪器设备采购</w:t>
      </w:r>
    </w:p>
    <w:p w14:paraId="6CBEAD20">
      <w:pPr>
        <w:pStyle w:val="9"/>
        <w:spacing w:before="175" w:line="253" w:lineRule="auto"/>
        <w:ind w:left="1085" w:right="4" w:hanging="69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2.1   资金来源为财政性资金和/或本项目采购中无法与财政性资金分割的非财政性资金。</w:t>
      </w:r>
    </w:p>
    <w:p w14:paraId="6A04A6EC">
      <w:pPr>
        <w:pStyle w:val="9"/>
        <w:spacing w:before="178" w:line="200" w:lineRule="auto"/>
        <w:ind w:left="37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2.2   项目属性见《供应商须知资料表》。</w:t>
      </w:r>
    </w:p>
    <w:p w14:paraId="4F84A724">
      <w:pPr>
        <w:pStyle w:val="9"/>
        <w:spacing w:before="179" w:line="200" w:lineRule="auto"/>
        <w:ind w:left="37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2.3   是否属于科研仪器设备采购见《供应商须知资料表</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w:t>
      </w:r>
    </w:p>
    <w:p w14:paraId="2F0CF023">
      <w:pPr>
        <w:pStyle w:val="9"/>
        <w:spacing w:before="179" w:line="200" w:lineRule="auto"/>
        <w:ind w:left="1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   现场考察、磋商前答疑会</w:t>
      </w:r>
    </w:p>
    <w:p w14:paraId="1E654350">
      <w:pPr>
        <w:pStyle w:val="9"/>
        <w:spacing w:before="177" w:line="253" w:lineRule="auto"/>
        <w:ind w:left="1083" w:right="7" w:hanging="70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3.1   若《供应商须知资料表》中规定了组织现场考察、召开磋商前答疑会，则供</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应商应按要求在规定的时间和地点参加。</w:t>
      </w:r>
    </w:p>
    <w:p w14:paraId="2DD40A50">
      <w:pPr>
        <w:pStyle w:val="9"/>
        <w:spacing w:before="176" w:line="270" w:lineRule="auto"/>
        <w:ind w:left="1083" w:right="7" w:hanging="70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3.2   由于未参加现场考察或磋</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商前答疑会而导致对项目实际情况不了解</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，影响响</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应文件编制、报价准确性、综合因素响应不全面等问题的，由供应商自行承担不利评审后果。</w:t>
      </w:r>
    </w:p>
    <w:p w14:paraId="3A9C6605">
      <w:pPr>
        <w:pStyle w:val="9"/>
        <w:spacing w:before="175" w:line="196" w:lineRule="auto"/>
        <w:ind w:left="1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   政府采购政策（包括但不限于下列具体政策要求）</w:t>
      </w:r>
    </w:p>
    <w:p w14:paraId="1D02A82F">
      <w:pPr>
        <w:pStyle w:val="9"/>
        <w:spacing w:before="186" w:line="200" w:lineRule="auto"/>
        <w:ind w:left="37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4.1   采购本国货物、工程和服务</w:t>
      </w:r>
    </w:p>
    <w:p w14:paraId="09FAC8CD">
      <w:pPr>
        <w:pStyle w:val="9"/>
        <w:spacing w:before="179" w:line="251" w:lineRule="auto"/>
        <w:ind w:left="1984" w:hanging="892"/>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4.1.1  政府采购应当采购本国货物、工程</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和服务。但有《</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中华人民共和国政府采购法</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 xml:space="preserve">》第十条规定情形的除外。 </w:t>
      </w:r>
    </w:p>
    <w:p w14:paraId="74F61D03">
      <w:pPr>
        <w:pStyle w:val="9"/>
        <w:spacing w:before="179" w:line="251" w:lineRule="auto"/>
        <w:ind w:left="1984" w:hanging="89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4.1.2  本项目如接受非本国货物、工程、服务参与响应，则具体要求见第四</w:t>
      </w:r>
      <w:r>
        <w:rPr>
          <w:rFonts w:hint="eastAsia" w:ascii="仿宋" w:hAnsi="仿宋" w:eastAsia="仿宋" w:cs="仿宋"/>
          <w:color w:val="000000" w:themeColor="text1"/>
          <w:spacing w:val="-14"/>
          <w:sz w:val="24"/>
          <w:szCs w:val="24"/>
          <w:highlight w:val="none"/>
          <w:lang w:eastAsia="zh-CN"/>
          <w14:textFill>
            <w14:solidFill>
              <w14:schemeClr w14:val="tx1"/>
            </w14:solidFill>
          </w14:textFill>
        </w:rPr>
        <w:t>章《采购需求》。</w:t>
      </w:r>
    </w:p>
    <w:p w14:paraId="20C3F34E">
      <w:pPr>
        <w:pStyle w:val="9"/>
        <w:spacing w:before="176" w:line="304" w:lineRule="auto"/>
        <w:ind w:left="1986" w:right="133" w:hanging="894"/>
        <w:rPr>
          <w:rFonts w:hint="eastAsia" w:ascii="仿宋" w:hAnsi="仿宋" w:eastAsia="仿宋" w:cs="仿宋"/>
          <w:color w:val="000000" w:themeColor="text1"/>
          <w:spacing w:val="-21"/>
          <w:w w:val="96"/>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4.1.3  进口产品指通过中国海关报关验放进入中国</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境内且产自关境外的产</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品，包括已经进入中国境内的进口产品。关于进口产品的相关规定依</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据《政府采购进口产品管理办法》（财库〔2007〕119 号文）、《关</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于政府采购进口产品管理有关问题的通知》（财办库〔2</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008〕248</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1"/>
          <w:w w:val="96"/>
          <w:sz w:val="24"/>
          <w:szCs w:val="24"/>
          <w:highlight w:val="none"/>
          <w:lang w:eastAsia="zh-CN"/>
          <w14:textFill>
            <w14:solidFill>
              <w14:schemeClr w14:val="tx1"/>
            </w14:solidFill>
          </w14:textFill>
        </w:rPr>
        <w:t>号文）。</w:t>
      </w:r>
    </w:p>
    <w:p w14:paraId="74722FC1">
      <w:pPr>
        <w:pStyle w:val="9"/>
        <w:spacing w:before="186" w:line="200" w:lineRule="auto"/>
        <w:ind w:left="372"/>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4.2   本国产品</w:t>
      </w:r>
    </w:p>
    <w:p w14:paraId="3F2A1762">
      <w:pPr>
        <w:pStyle w:val="9"/>
        <w:spacing w:before="176" w:line="304" w:lineRule="auto"/>
        <w:ind w:left="1066" w:leftChars="0" w:right="133" w:firstLine="26" w:firstLineChars="0"/>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本项目按照《国务院办公厅关于在政府采购中实施本国产品标准及相关政策的通知》（国办发〔2025〕34 号）和《关于贯彻落实&lt;国务院办公厅关于在政府采购中实施本国产品标准及相关政策的通知&gt;的意见》（财库〔2025〕30 号）有关要求，落实本国产品标准。</w:t>
      </w:r>
    </w:p>
    <w:p w14:paraId="1859AA84">
      <w:pPr>
        <w:pStyle w:val="9"/>
        <w:spacing w:before="1" w:line="200" w:lineRule="auto"/>
        <w:ind w:left="37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4.3</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中小企业、监狱企业及残疾人福利性单位</w:t>
      </w:r>
    </w:p>
    <w:p w14:paraId="42EF3FC0">
      <w:pPr>
        <w:pStyle w:val="9"/>
        <w:spacing w:before="178" w:line="201" w:lineRule="auto"/>
        <w:ind w:left="109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4.</w:t>
      </w: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.1</w:t>
      </w:r>
      <w:r>
        <w:rPr>
          <w:rFonts w:hint="eastAsia" w:ascii="仿宋" w:hAnsi="仿宋" w:eastAsia="仿宋" w:cs="仿宋"/>
          <w:color w:val="000000" w:themeColor="text1"/>
          <w:spacing w:val="1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中小企业定义：</w:t>
      </w:r>
    </w:p>
    <w:p w14:paraId="6F6D929F">
      <w:pPr>
        <w:pStyle w:val="9"/>
        <w:spacing w:before="176" w:line="304" w:lineRule="auto"/>
        <w:ind w:left="2879" w:hanging="88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.1.1中小企业是指在中华人民共和国境内依法设立，依据国务院</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w:t>
      </w:r>
      <w:r>
        <w:rPr>
          <w:rFonts w:hint="eastAsia" w:ascii="仿宋" w:hAnsi="仿宋" w:eastAsia="仿宋" w:cs="仿宋"/>
          <w:color w:val="000000" w:themeColor="text1"/>
          <w:spacing w:val="-11"/>
          <w:sz w:val="24"/>
          <w:szCs w:val="24"/>
          <w:highlight w:val="none"/>
          <w:lang w:eastAsia="zh-CN"/>
          <w14:textFill>
            <w14:solidFill>
              <w14:schemeClr w14:val="tx1"/>
            </w14:solidFill>
          </w14:textFill>
        </w:rPr>
        <w:t>定依据《中华人民共和国中小企业促进法》、《关于进一步加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大政府采购支持中小企业力度的通知》（财库〔 2022 〕19</w:t>
      </w:r>
      <w:r>
        <w:rPr>
          <w:rFonts w:hint="eastAsia" w:ascii="仿宋" w:hAnsi="仿宋" w:eastAsia="仿宋" w:cs="仿宋"/>
          <w:color w:val="000000" w:themeColor="text1"/>
          <w:spacing w:val="-15"/>
          <w:sz w:val="24"/>
          <w:szCs w:val="24"/>
          <w:highlight w:val="none"/>
          <w:lang w:eastAsia="zh-CN"/>
          <w14:textFill>
            <w14:solidFill>
              <w14:schemeClr w14:val="tx1"/>
            </w14:solidFill>
          </w14:textFill>
        </w:rPr>
        <w:t>号）、《政府采购促进中小企业发展管理办法》（财库〔20</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20〕</w:t>
      </w:r>
      <w:r>
        <w:rPr>
          <w:rFonts w:hint="eastAsia" w:ascii="仿宋" w:hAnsi="仿宋" w:eastAsia="仿宋" w:cs="仿宋"/>
          <w:color w:val="000000" w:themeColor="text1"/>
          <w:spacing w:val="-13"/>
          <w:sz w:val="24"/>
          <w:szCs w:val="24"/>
          <w:highlight w:val="none"/>
          <w:lang w:eastAsia="zh-CN"/>
          <w14:textFill>
            <w14:solidFill>
              <w14:schemeClr w14:val="tx1"/>
            </w14:solidFill>
          </w14:textFill>
        </w:rPr>
        <w:t>46 号）、《关于印发中小企业划型标准规定的通知》（</w:t>
      </w:r>
      <w:r>
        <w:rPr>
          <w:rFonts w:hint="eastAsia" w:ascii="仿宋" w:hAnsi="仿宋" w:eastAsia="仿宋" w:cs="仿宋"/>
          <w:color w:val="000000" w:themeColor="text1"/>
          <w:spacing w:val="-14"/>
          <w:sz w:val="24"/>
          <w:szCs w:val="24"/>
          <w:highlight w:val="none"/>
          <w:lang w:eastAsia="zh-CN"/>
          <w14:textFill>
            <w14:solidFill>
              <w14:schemeClr w14:val="tx1"/>
            </w14:solidFill>
          </w14:textFill>
        </w:rPr>
        <w:t>工信部</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联企业〔2011〕300号）、《金融业企</w:t>
      </w:r>
      <w:r>
        <w:rPr>
          <w:rFonts w:hint="eastAsia" w:ascii="仿宋" w:hAnsi="仿宋" w:eastAsia="仿宋" w:cs="仿宋"/>
          <w:color w:val="000000" w:themeColor="text1"/>
          <w:sz w:val="24"/>
          <w:szCs w:val="24"/>
          <w:highlight w:val="none"/>
          <w:lang w:eastAsia="zh-CN"/>
          <w14:textFill>
            <w14:solidFill>
              <w14:schemeClr w14:val="tx1"/>
            </w14:solidFill>
          </w14:textFill>
        </w:rPr>
        <w:t>业划型标准规定》</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（〔2015〕309号）等国务院批准的中小企业划分标准执</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行。</w:t>
      </w:r>
    </w:p>
    <w:p w14:paraId="599ED0DA">
      <w:pPr>
        <w:pStyle w:val="9"/>
        <w:spacing w:before="1" w:line="304" w:lineRule="auto"/>
        <w:ind w:left="2890" w:right="137" w:hanging="893"/>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w:t>
      </w: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.1.2 供应商提供的货物、工程或者服务符合下列情形的，享受中</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小企业扶持政策：</w:t>
      </w:r>
    </w:p>
    <w:p w14:paraId="3CBF1509">
      <w:pPr>
        <w:pStyle w:val="9"/>
        <w:spacing w:before="3" w:line="251" w:lineRule="auto"/>
        <w:ind w:left="2863" w:right="137" w:hanging="34"/>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（1）在货物采购项目中，货物由中小企业制造，</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即货物由中小企业生产且使用该中小企业商号或者注册商标；</w:t>
      </w:r>
    </w:p>
    <w:p w14:paraId="0996CBF2">
      <w:pPr>
        <w:pStyle w:val="9"/>
        <w:spacing w:before="179" w:line="251" w:lineRule="auto"/>
        <w:ind w:left="2839" w:right="137" w:hanging="1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（2）在工程采购项目中，工程由中小企业承建，即工程施</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工单位为中小企业；</w:t>
      </w:r>
    </w:p>
    <w:p w14:paraId="791AB5F0">
      <w:pPr>
        <w:spacing w:before="274" w:line="304" w:lineRule="auto"/>
        <w:ind w:left="2839" w:right="7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（3）在服务采购项目中，服务由中小企业承接，即提供服</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务的人员为中小企业依照《中华人民共和国劳动合同法》订立劳动合同的从业人员。</w:t>
      </w:r>
    </w:p>
    <w:p w14:paraId="10C2ACC7">
      <w:pPr>
        <w:pStyle w:val="9"/>
        <w:spacing w:before="3" w:line="251" w:lineRule="auto"/>
        <w:ind w:left="2893" w:right="58" w:hanging="89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w:t>
      </w: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.1.3 在货物采购项目中，供应商提供的货物既有中小企业制造货</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物，也有大型企业制造货物的，不享受中小企业扶持政策。</w:t>
      </w:r>
    </w:p>
    <w:p w14:paraId="176B1A0C">
      <w:pPr>
        <w:pStyle w:val="9"/>
        <w:spacing w:before="174" w:line="270" w:lineRule="auto"/>
        <w:ind w:left="2909" w:right="79" w:hanging="91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.1.4</w:t>
      </w:r>
      <w:r>
        <w:rPr>
          <w:rFonts w:hint="eastAsia" w:ascii="仿宋" w:hAnsi="仿宋" w:eastAsia="仿宋" w:cs="仿宋"/>
          <w:color w:val="000000" w:themeColor="text1"/>
          <w:spacing w:val="33"/>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以联合体形式参加政府采购活动，联合体各方均为中小企业</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的，联合体视同中小企业。其中，联合体各方均为小微企业的，联合体视同小微企业。</w:t>
      </w:r>
    </w:p>
    <w:p w14:paraId="02D30A57">
      <w:pPr>
        <w:pStyle w:val="9"/>
        <w:spacing w:before="184" w:line="289" w:lineRule="auto"/>
        <w:ind w:left="1983" w:hanging="89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4.</w:t>
      </w: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.2  在政府采购活动中，监</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狱企业视同小型、微型企业，享受预留份额、</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团监狱管理局、戒毒管理局的企业。</w:t>
      </w:r>
    </w:p>
    <w:p w14:paraId="7540661F">
      <w:pPr>
        <w:pStyle w:val="9"/>
        <w:spacing w:before="178" w:line="278" w:lineRule="auto"/>
        <w:ind w:left="1984" w:right="79" w:hanging="89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w:t>
      </w: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.3  在政府采购活动中，残疾人福利性单位视同小型、微型企业，享受预</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留份额、评审中价格扣除等促进中小企业发展的政府采购政策。残疾人福利性单位定义：享受政府采购支持政策的残疾人福利性单位应当</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同时满足以下条件：</w:t>
      </w:r>
    </w:p>
    <w:p w14:paraId="429AAE26">
      <w:pPr>
        <w:pStyle w:val="9"/>
        <w:spacing w:before="175" w:line="268" w:lineRule="auto"/>
        <w:ind w:left="2879" w:right="78" w:hanging="88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2"/>
          <w:sz w:val="24"/>
          <w:szCs w:val="24"/>
          <w:highlight w:val="none"/>
          <w:lang w:eastAsia="zh-CN"/>
          <w14:textFill>
            <w14:solidFill>
              <w14:schemeClr w14:val="tx1"/>
            </w14:solidFill>
          </w14:textFill>
        </w:rPr>
        <w:t>4.</w:t>
      </w:r>
      <w:r>
        <w:rPr>
          <w:rFonts w:hint="eastAsia" w:ascii="仿宋" w:hAnsi="仿宋" w:eastAsia="仿宋" w:cs="仿宋"/>
          <w:color w:val="000000" w:themeColor="text1"/>
          <w:spacing w:val="12"/>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pacing w:val="12"/>
          <w:sz w:val="24"/>
          <w:szCs w:val="24"/>
          <w:highlight w:val="none"/>
          <w:lang w:eastAsia="zh-CN"/>
          <w14:textFill>
            <w14:solidFill>
              <w14:schemeClr w14:val="tx1"/>
            </w14:solidFill>
          </w14:textFill>
        </w:rPr>
        <w:t>.3.1 安置的残疾人占本单位在职职工人数的比例不低于25%</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（含25%</w:t>
      </w:r>
      <w:r>
        <w:rPr>
          <w:rFonts w:hint="eastAsia" w:ascii="仿宋" w:hAnsi="仿宋" w:eastAsia="仿宋" w:cs="仿宋"/>
          <w:color w:val="000000" w:themeColor="text1"/>
          <w:spacing w:val="-45"/>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并且安置的残疾人人数不少于10人（含10</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人</w:t>
      </w:r>
      <w:r>
        <w:rPr>
          <w:rFonts w:hint="eastAsia" w:ascii="仿宋" w:hAnsi="仿宋" w:eastAsia="仿宋" w:cs="仿宋"/>
          <w:color w:val="000000" w:themeColor="text1"/>
          <w:spacing w:val="-55"/>
          <w:sz w:val="24"/>
          <w:szCs w:val="24"/>
          <w:highlight w:val="none"/>
          <w:lang w:eastAsia="zh-CN"/>
          <w14:textFill>
            <w14:solidFill>
              <w14:schemeClr w14:val="tx1"/>
            </w14:solidFill>
          </w14:textFill>
        </w:rPr>
        <w:t>）；</w:t>
      </w:r>
    </w:p>
    <w:p w14:paraId="4317AE2A">
      <w:pPr>
        <w:pStyle w:val="9"/>
        <w:spacing w:before="186" w:line="251" w:lineRule="auto"/>
        <w:ind w:left="2889" w:right="79" w:hanging="89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w:t>
      </w: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.3.2 依法与安置的每位残疾人签订了一年以上（含一年）的劳动</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合同或服务协议；</w:t>
      </w:r>
    </w:p>
    <w:p w14:paraId="7E814A3C">
      <w:pPr>
        <w:pStyle w:val="9"/>
        <w:spacing w:before="176" w:line="253" w:lineRule="auto"/>
        <w:ind w:left="2888" w:right="79" w:hanging="891"/>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w:t>
      </w: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.3.3 为安置的每位残疾人按月足额缴纳了基本养老保险、基本医</w:t>
      </w:r>
      <w:r>
        <w:rPr>
          <w:rFonts w:hint="eastAsia" w:ascii="仿宋" w:hAnsi="仿宋" w:eastAsia="仿宋" w:cs="仿宋"/>
          <w:color w:val="000000" w:themeColor="text1"/>
          <w:sz w:val="24"/>
          <w:szCs w:val="24"/>
          <w:highlight w:val="none"/>
          <w:lang w:eastAsia="zh-CN"/>
          <w14:textFill>
            <w14:solidFill>
              <w14:schemeClr w14:val="tx1"/>
            </w14:solidFill>
          </w14:textFill>
        </w:rPr>
        <w:t>疗保险、失业保险、工伤保险和生育保险等社会</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保险费；</w:t>
      </w:r>
    </w:p>
    <w:p w14:paraId="4109DCDA">
      <w:pPr>
        <w:pStyle w:val="9"/>
        <w:spacing w:before="176" w:line="253" w:lineRule="auto"/>
        <w:ind w:left="2888" w:right="79" w:hanging="89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w:t>
      </w: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.3.4 通过银行等金融机构向安置的每位残疾人，按月支付了不低</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于单位所在区县适用的经省级人民政府批准的月最</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低工资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标准的工资；</w:t>
      </w:r>
    </w:p>
    <w:p w14:paraId="326A772E">
      <w:pPr>
        <w:pStyle w:val="9"/>
        <w:spacing w:before="177" w:line="268" w:lineRule="auto"/>
        <w:ind w:left="2889" w:right="254" w:hanging="89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w:t>
      </w: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.3.5 提供本单位制造的货物、承担的工程或者服务（以下</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简称产</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品</w:t>
      </w:r>
      <w:r>
        <w:rPr>
          <w:rFonts w:hint="eastAsia" w:ascii="仿宋" w:hAnsi="仿宋" w:eastAsia="仿宋" w:cs="仿宋"/>
          <w:color w:val="000000" w:themeColor="text1"/>
          <w:spacing w:val="-2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51"/>
          <w:w w:val="89"/>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或者提供其他残疾人福利性单位制造的货物（不</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包括</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使用非残疾人福利性单位注册商标的货物</w:t>
      </w:r>
      <w:r>
        <w:rPr>
          <w:rFonts w:hint="eastAsia" w:ascii="仿宋" w:hAnsi="仿宋" w:eastAsia="仿宋" w:cs="仿宋"/>
          <w:color w:val="000000" w:themeColor="text1"/>
          <w:spacing w:val="-49"/>
          <w:sz w:val="24"/>
          <w:szCs w:val="24"/>
          <w:highlight w:val="none"/>
          <w:lang w:eastAsia="zh-CN"/>
          <w14:textFill>
            <w14:solidFill>
              <w14:schemeClr w14:val="tx1"/>
            </w14:solidFill>
          </w14:textFill>
        </w:rPr>
        <w:t>）；</w:t>
      </w:r>
    </w:p>
    <w:p w14:paraId="396AED56">
      <w:pPr>
        <w:pStyle w:val="9"/>
        <w:spacing w:before="187" w:line="283" w:lineRule="auto"/>
        <w:ind w:left="2891" w:hanging="894"/>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w:t>
      </w: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.3.6 前款所称残疾人是指法定劳动年龄内，持有《中华人民共和</w:t>
      </w:r>
      <w:r>
        <w:rPr>
          <w:rFonts w:hint="eastAsia" w:ascii="仿宋" w:hAnsi="仿宋" w:eastAsia="仿宋" w:cs="仿宋"/>
          <w:color w:val="000000" w:themeColor="text1"/>
          <w:spacing w:val="-14"/>
          <w:sz w:val="24"/>
          <w:szCs w:val="24"/>
          <w:highlight w:val="none"/>
          <w:lang w:eastAsia="zh-CN"/>
          <w14:textFill>
            <w14:solidFill>
              <w14:schemeClr w14:val="tx1"/>
            </w14:solidFill>
          </w14:textFill>
        </w:rPr>
        <w:t>国残疾人证》或者《中华人民共和国残疾军人证（1至</w:t>
      </w:r>
      <w:r>
        <w:rPr>
          <w:rFonts w:hint="eastAsia" w:ascii="仿宋" w:hAnsi="仿宋" w:eastAsia="仿宋" w:cs="仿宋"/>
          <w:color w:val="000000" w:themeColor="text1"/>
          <w:spacing w:val="-15"/>
          <w:sz w:val="24"/>
          <w:szCs w:val="24"/>
          <w:highlight w:val="none"/>
          <w:lang w:eastAsia="zh-CN"/>
          <w14:textFill>
            <w14:solidFill>
              <w14:schemeClr w14:val="tx1"/>
            </w14:solidFill>
          </w14:textFill>
        </w:rPr>
        <w:t>8级）》</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的自然人，包括具有劳动条件和劳动意愿的精神残疾人。在</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职职工人数是指与残疾人福利性单位建立劳动关系并依法</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签订劳动合同或服务协议的雇员人数。</w:t>
      </w:r>
    </w:p>
    <w:p w14:paraId="561FDCF9">
      <w:pPr>
        <w:pStyle w:val="9"/>
        <w:spacing w:before="177" w:line="200" w:lineRule="auto"/>
        <w:ind w:left="109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.4  本项目是否专门面向中小企业预留采</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购份额见第一章《采购邀请》。</w:t>
      </w:r>
    </w:p>
    <w:p w14:paraId="1F6D2968">
      <w:pPr>
        <w:pStyle w:val="9"/>
        <w:spacing w:before="181" w:line="200" w:lineRule="auto"/>
        <w:ind w:left="1092"/>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4.</w:t>
      </w:r>
      <w:r>
        <w:rPr>
          <w:rFonts w:hint="eastAsia" w:ascii="仿宋" w:hAnsi="仿宋" w:eastAsia="仿宋" w:cs="仿宋"/>
          <w:color w:val="000000" w:themeColor="text1"/>
          <w:spacing w:val="-3"/>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.5  采购标的对应的中小企业划分标准所属行业见《供应商须知资料表</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w:t>
      </w:r>
    </w:p>
    <w:p w14:paraId="39DA324E">
      <w:pPr>
        <w:pStyle w:val="9"/>
        <w:spacing w:before="181" w:line="200" w:lineRule="auto"/>
        <w:ind w:left="109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4.</w:t>
      </w:r>
      <w:r>
        <w:rPr>
          <w:rFonts w:hint="eastAsia" w:ascii="仿宋" w:hAnsi="仿宋" w:eastAsia="仿宋" w:cs="仿宋"/>
          <w:color w:val="000000" w:themeColor="text1"/>
          <w:spacing w:val="-7"/>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.6  小微企业价格评审优惠的政策调整：见第三章《评审方法</w:t>
      </w:r>
      <w:r>
        <w:rPr>
          <w:rFonts w:hint="eastAsia" w:ascii="仿宋" w:hAnsi="仿宋" w:eastAsia="仿宋" w:cs="仿宋"/>
          <w:color w:val="000000" w:themeColor="text1"/>
          <w:spacing w:val="-8"/>
          <w:sz w:val="24"/>
          <w:szCs w:val="24"/>
          <w:highlight w:val="none"/>
          <w:lang w:eastAsia="zh-CN"/>
          <w14:textFill>
            <w14:solidFill>
              <w14:schemeClr w14:val="tx1"/>
            </w14:solidFill>
          </w14:textFill>
        </w:rPr>
        <w:t>和评审标准》。</w:t>
      </w:r>
    </w:p>
    <w:p w14:paraId="02C8A4AB">
      <w:pPr>
        <w:pStyle w:val="9"/>
        <w:spacing w:before="179" w:line="201" w:lineRule="auto"/>
        <w:ind w:left="37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w:t>
      </w: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 xml:space="preserve">  政府采购节能产品、环境标志产品</w:t>
      </w:r>
    </w:p>
    <w:p w14:paraId="6661EECA">
      <w:pPr>
        <w:pStyle w:val="9"/>
        <w:spacing w:before="180" w:line="283" w:lineRule="auto"/>
        <w:ind w:left="1984" w:right="254" w:hanging="89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w:t>
      </w: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.1  政府采购节能产品、环境标志产品实施品目清单管理。财政部、发展</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改革委、生态环境部等部门根据产品节能环保性能、技术水平和市场成熟程度等因素，确定实施政府优先采购和强制采购的产品类别及所依据的相关标准规范，以品目清单的形式发布并适时调整。依据品目</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清单和认证证书实施政府优先采购和强制采购。</w:t>
      </w:r>
    </w:p>
    <w:p w14:paraId="56129DD7">
      <w:pPr>
        <w:pStyle w:val="9"/>
        <w:spacing w:before="178" w:line="286" w:lineRule="auto"/>
        <w:ind w:left="1980" w:right="43" w:hanging="88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w:t>
      </w: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.2  采购人拟采购的产品属于品目清单范围的，采购人及其委托的采购代</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理机构依据国家确定的认证机构出具的、处于有效期之内的节能产品、</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环境标志产品认证证书，对获得证书的产品实施政府优先采购或强制采购。关于政府采购节能产品、环境标志产品的相关规定依据《关于调整优化节能产品、环境标志产品政府采购执行机制的通知》（财库</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〔2019〕9号）。</w:t>
      </w:r>
    </w:p>
    <w:p w14:paraId="233E2583">
      <w:pPr>
        <w:pStyle w:val="9"/>
        <w:spacing w:before="182" w:line="270" w:lineRule="auto"/>
        <w:ind w:left="1984" w:right="193" w:hanging="89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w:t>
      </w: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.3  如本项目采购产品属于实施政府强制采购品目清单范围的节能产品，</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则供应商所报产品必须获得国家确定的认证机构出具的、处于有效期</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之内的节能产品认证证书，否则</w:t>
      </w:r>
      <w:r>
        <w:rPr>
          <w:rFonts w:hint="eastAsia" w:ascii="仿宋" w:hAnsi="仿宋" w:eastAsia="仿宋" w:cs="仿宋"/>
          <w:b/>
          <w:bCs/>
          <w:color w:val="000000" w:themeColor="text1"/>
          <w:spacing w:val="-3"/>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w:t>
      </w:r>
    </w:p>
    <w:p w14:paraId="6CD2B176">
      <w:pPr>
        <w:pStyle w:val="9"/>
        <w:spacing w:before="274" w:line="304" w:lineRule="auto"/>
        <w:ind w:left="1991" w:right="132" w:hanging="89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w:t>
      </w: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.4   非政府强制采购的节能产品或环境标志产品，依据品目清单和认证证</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书实施政府优先采购。优先采购的具体规定见第三章《评审方法和评</w:t>
      </w:r>
      <w:r>
        <w:rPr>
          <w:rFonts w:hint="eastAsia" w:ascii="仿宋" w:hAnsi="仿宋" w:eastAsia="仿宋" w:cs="仿宋"/>
          <w:color w:val="000000" w:themeColor="text1"/>
          <w:spacing w:val="-20"/>
          <w:w w:val="98"/>
          <w:sz w:val="24"/>
          <w:szCs w:val="24"/>
          <w:highlight w:val="none"/>
          <w:lang w:eastAsia="zh-CN"/>
          <w14:textFill>
            <w14:solidFill>
              <w14:schemeClr w14:val="tx1"/>
            </w14:solidFill>
          </w14:textFill>
        </w:rPr>
        <w:t>审标准》（如涉及）。</w:t>
      </w:r>
    </w:p>
    <w:p w14:paraId="69EEFEEA">
      <w:pPr>
        <w:pStyle w:val="9"/>
        <w:spacing w:before="1" w:line="200" w:lineRule="auto"/>
        <w:ind w:left="37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4.</w:t>
      </w:r>
      <w:r>
        <w:rPr>
          <w:rFonts w:hint="eastAsia" w:ascii="仿宋" w:hAnsi="仿宋" w:eastAsia="仿宋" w:cs="仿宋"/>
          <w:color w:val="000000" w:themeColor="text1"/>
          <w:spacing w:val="3"/>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 xml:space="preserve">     正版软件</w:t>
      </w:r>
    </w:p>
    <w:p w14:paraId="10B64B60">
      <w:pPr>
        <w:pStyle w:val="9"/>
        <w:spacing w:before="177" w:line="304" w:lineRule="auto"/>
        <w:ind w:left="1965" w:hanging="873"/>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w:t>
      </w: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.1  各级政府部门在购置计算机办公设备时，必须采购预装正版操作系统</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软件的计算机产品，相关规定依据《国家版权局、信息产</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业部、财政</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部、国务院机关事务管理局关于政府部门购置计算机办公</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设备必须采购已预装正版操作系统软件产品的通知》（国权联〔20</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06〕1号）、</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《国务院办公厅关于进一步做好政府机关使用正版软件工作的通知》</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（国办发〔2010〕47号）、《财政部关于进一步做好政府机关使用正版软件工作的通知》（财预〔2010〕536号）。</w:t>
      </w:r>
    </w:p>
    <w:p w14:paraId="3C7658B9">
      <w:pPr>
        <w:pStyle w:val="9"/>
        <w:spacing w:line="200" w:lineRule="auto"/>
        <w:ind w:left="37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pacing w:val="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网络安全专用产品</w:t>
      </w:r>
    </w:p>
    <w:p w14:paraId="2336898D">
      <w:pPr>
        <w:pStyle w:val="9"/>
        <w:spacing w:before="180" w:line="304" w:lineRule="auto"/>
        <w:ind w:left="1985" w:right="128" w:hanging="893"/>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4.</w:t>
      </w:r>
      <w:r>
        <w:rPr>
          <w:rFonts w:hint="eastAsia" w:ascii="仿宋" w:hAnsi="仿宋" w:eastAsia="仿宋" w:cs="仿宋"/>
          <w:color w:val="000000" w:themeColor="text1"/>
          <w:spacing w:val="-3"/>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.1  根据《关于调整网络安全专用产品安</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全管理有关事项的公告》（2023</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年第1号</w:t>
      </w:r>
      <w:r>
        <w:rPr>
          <w:rFonts w:hint="eastAsia" w:ascii="仿宋" w:hAnsi="仿宋" w:eastAsia="仿宋" w:cs="仿宋"/>
          <w:color w:val="000000" w:themeColor="text1"/>
          <w:spacing w:val="-58"/>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所提供产品属于列入《网络关键设备和网络安全专用产</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品目录》的网络安全专用产品时，应当按照《信息安全技术网络安全专用产品安全技术要求》等相关国家标准的强制性要求，由具备资格</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的机构安全认证合格或者安全检测符合要求。</w:t>
      </w:r>
    </w:p>
    <w:p w14:paraId="7E479F9D">
      <w:pPr>
        <w:pStyle w:val="9"/>
        <w:spacing w:line="200" w:lineRule="auto"/>
        <w:ind w:left="372"/>
        <w:rPr>
          <w:rFonts w:hint="eastAsia"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4.6  采购需求标准</w:t>
      </w:r>
    </w:p>
    <w:p w14:paraId="1CC34F7C">
      <w:pPr>
        <w:pStyle w:val="9"/>
        <w:spacing w:before="273" w:line="196" w:lineRule="auto"/>
        <w:ind w:left="109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4.6.1  商品包装、快递包装政府采购需求标准（试行）</w:t>
      </w:r>
    </w:p>
    <w:p w14:paraId="0BCD0EDC">
      <w:pPr>
        <w:pStyle w:val="9"/>
        <w:spacing w:before="186" w:line="304" w:lineRule="auto"/>
        <w:ind w:left="1989" w:right="70" w:firstLine="7"/>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为助力打好污染防治攻坚战，推广使用绿色包装，根据</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财政部关于印</w:t>
      </w:r>
      <w:r>
        <w:rPr>
          <w:rFonts w:hint="eastAsia" w:ascii="仿宋" w:hAnsi="仿宋" w:eastAsia="仿宋" w:cs="仿宋"/>
          <w:color w:val="000000" w:themeColor="text1"/>
          <w:spacing w:val="-12"/>
          <w:sz w:val="24"/>
          <w:szCs w:val="24"/>
          <w:highlight w:val="none"/>
          <w:lang w:eastAsia="zh-CN"/>
          <w14:textFill>
            <w14:solidFill>
              <w14:schemeClr w14:val="tx1"/>
            </w14:solidFill>
          </w14:textFill>
        </w:rPr>
        <w:t>发《商品包装政府采购需求标准（试行）》、《快递包装政府采购需求</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标准（试行）》的通知（财办库〔2020〕123号</w:t>
      </w:r>
      <w:r>
        <w:rPr>
          <w:rFonts w:hint="eastAsia" w:ascii="仿宋" w:hAnsi="仿宋" w:eastAsia="仿宋" w:cs="仿宋"/>
          <w:color w:val="000000" w:themeColor="text1"/>
          <w:spacing w:val="-55"/>
          <w:w w:val="97"/>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本项目如涉及商</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品包装和快递包装的，则其具体要求见第四章《采购需求》。</w:t>
      </w:r>
    </w:p>
    <w:p w14:paraId="54BFB3FC">
      <w:pPr>
        <w:pStyle w:val="9"/>
        <w:spacing w:before="1" w:line="200" w:lineRule="auto"/>
        <w:ind w:left="109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4.6.2  其他政府采购需求标准</w:t>
      </w:r>
    </w:p>
    <w:p w14:paraId="5968AEE0">
      <w:pPr>
        <w:spacing w:before="176" w:line="304" w:lineRule="auto"/>
        <w:ind w:left="1984" w:right="72" w:firstLine="7"/>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为贯彻落实《深化政府采购制度改革方案》有关要求，推动政府采购需求标准建设，财政部门会同有关部门制定发布的其他政府采购需求标准，本项目如涉及，则具体要求见第四章《采购需求</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w:t>
      </w:r>
    </w:p>
    <w:p w14:paraId="2009A989">
      <w:pPr>
        <w:pStyle w:val="9"/>
        <w:spacing w:line="200" w:lineRule="auto"/>
        <w:ind w:left="1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5</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响应费用</w:t>
      </w:r>
    </w:p>
    <w:p w14:paraId="2DB99E4C">
      <w:pPr>
        <w:pStyle w:val="9"/>
        <w:spacing w:before="180" w:line="200" w:lineRule="auto"/>
        <w:jc w:val="righ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5.1     供应商应自行承担所有与准备和</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参加磋商有关的费用，无论磋商的结果如何，</w:t>
      </w:r>
    </w:p>
    <w:p w14:paraId="44FAA5EC">
      <w:pPr>
        <w:spacing w:before="177" w:line="200" w:lineRule="auto"/>
        <w:ind w:firstLine="960" w:firstLineChars="4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采购人或采购代理机构在任何情况下均无承担这些费用的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义务和责任。</w:t>
      </w:r>
    </w:p>
    <w:p w14:paraId="5EBC202E">
      <w:pPr>
        <w:pStyle w:val="9"/>
        <w:spacing w:line="274" w:lineRule="auto"/>
        <w:rPr>
          <w:rFonts w:hint="eastAsia" w:ascii="仿宋" w:hAnsi="仿宋" w:eastAsia="仿宋" w:cs="仿宋"/>
          <w:color w:val="000000" w:themeColor="text1"/>
          <w:highlight w:val="none"/>
          <w:lang w:eastAsia="zh-CN"/>
          <w14:textFill>
            <w14:solidFill>
              <w14:schemeClr w14:val="tx1"/>
            </w14:solidFill>
          </w14:textFill>
        </w:rPr>
      </w:pPr>
    </w:p>
    <w:p w14:paraId="67CC9D76">
      <w:pPr>
        <w:spacing w:before="121" w:line="201" w:lineRule="auto"/>
        <w:ind w:left="3208"/>
        <w:outlineLvl w:val="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二 竞争性磋商文件</w:t>
      </w:r>
    </w:p>
    <w:p w14:paraId="2FC1AD82">
      <w:pPr>
        <w:pStyle w:val="9"/>
        <w:spacing w:before="201" w:line="201" w:lineRule="auto"/>
        <w:ind w:left="1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6   竞争性磋商文件构成</w:t>
      </w:r>
    </w:p>
    <w:p w14:paraId="342A0E72">
      <w:pPr>
        <w:pStyle w:val="9"/>
        <w:spacing w:before="175" w:line="201" w:lineRule="auto"/>
        <w:ind w:left="37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6.1   竞争性磋商文件包括以下部分：</w:t>
      </w:r>
    </w:p>
    <w:p w14:paraId="4C790A6C">
      <w:pPr>
        <w:spacing w:before="179" w:line="201" w:lineRule="auto"/>
        <w:ind w:left="144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第一章     采购邀请</w:t>
      </w:r>
    </w:p>
    <w:p w14:paraId="5A91B75C">
      <w:pPr>
        <w:spacing w:before="177" w:line="200" w:lineRule="auto"/>
        <w:ind w:left="144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第二章     供应商须知</w:t>
      </w:r>
    </w:p>
    <w:p w14:paraId="2334345E">
      <w:pPr>
        <w:spacing w:before="179" w:line="201" w:lineRule="auto"/>
        <w:ind w:left="144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第三章     评审方法和评审标准</w:t>
      </w:r>
    </w:p>
    <w:p w14:paraId="24C9BBDD">
      <w:pPr>
        <w:spacing w:before="176" w:line="201" w:lineRule="auto"/>
        <w:ind w:left="144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第四章     采购需求</w:t>
      </w:r>
    </w:p>
    <w:p w14:paraId="6A38CC39">
      <w:pPr>
        <w:spacing w:before="176" w:line="201" w:lineRule="auto"/>
        <w:ind w:left="144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第五章     合同草案条款</w:t>
      </w:r>
    </w:p>
    <w:p w14:paraId="1FFF96BA">
      <w:pPr>
        <w:spacing w:before="178" w:line="201" w:lineRule="auto"/>
        <w:ind w:left="144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第六章     响应文件格式</w:t>
      </w:r>
    </w:p>
    <w:p w14:paraId="2B462641">
      <w:pPr>
        <w:pStyle w:val="9"/>
        <w:spacing w:before="176" w:line="304" w:lineRule="auto"/>
        <w:ind w:left="1085" w:right="73" w:hanging="70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6.2   供应商应认真阅读竞争性磋商文件的全部内容。供应商应按照</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竞争性磋商文</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件要求提交响应文件并保证所提供的全部资料的真实性，并对竞争性磋商文</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件做出实质性响应</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，否则</w:t>
      </w:r>
      <w:r>
        <w:rPr>
          <w:rFonts w:hint="eastAsia" w:ascii="仿宋" w:hAnsi="仿宋" w:eastAsia="仿宋" w:cs="仿宋"/>
          <w:b/>
          <w:bCs/>
          <w:color w:val="000000" w:themeColor="text1"/>
          <w:spacing w:val="-3"/>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w:t>
      </w:r>
    </w:p>
    <w:p w14:paraId="3D36466F">
      <w:pPr>
        <w:pStyle w:val="9"/>
        <w:spacing w:before="1" w:line="200" w:lineRule="auto"/>
        <w:ind w:left="2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7   对竞争性磋商文件的澄清或修改</w:t>
      </w:r>
    </w:p>
    <w:p w14:paraId="6638DA5A">
      <w:pPr>
        <w:pStyle w:val="9"/>
        <w:spacing w:before="1" w:line="269" w:lineRule="auto"/>
        <w:ind w:left="1087" w:hanging="70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7.1   采购人、采购代理机构或者磋商小组对已发出的竞争性磋商</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文件进行必要澄清或者修改的，将以书面形式通知所有获取竞争性磋商文件的潜在</w:t>
      </w:r>
      <w:r>
        <w:rPr>
          <w:rFonts w:hint="eastAsia" w:ascii="仿宋" w:hAnsi="仿宋" w:eastAsia="仿宋" w:cs="仿宋"/>
          <w:color w:val="000000" w:themeColor="text1"/>
          <w:sz w:val="24"/>
          <w:szCs w:val="24"/>
          <w:highlight w:val="none"/>
          <w:lang w:eastAsia="zh-CN"/>
          <w14:textFill>
            <w14:solidFill>
              <w14:schemeClr w14:val="tx1"/>
            </w14:solidFill>
          </w14:textFill>
        </w:rPr>
        <w:t>供应商。采用公告方式邀请供应商参与的，还将在原公告发布媒体上发</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布更正公告。</w:t>
      </w:r>
    </w:p>
    <w:p w14:paraId="2E1D9A38">
      <w:pPr>
        <w:pStyle w:val="9"/>
        <w:spacing w:before="1" w:line="269" w:lineRule="auto"/>
        <w:ind w:left="1087" w:hanging="70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7.2   上述书面通知，按照获取竞争</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性磋商文件的潜在供应商提供的联系方式发出，</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因提供的信息有误导致通知延迟或无法通知的，采购人或采购代理机构不承</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担责任。</w:t>
      </w:r>
    </w:p>
    <w:p w14:paraId="40B222EC">
      <w:pPr>
        <w:pStyle w:val="9"/>
        <w:spacing w:before="174" w:line="284" w:lineRule="auto"/>
        <w:ind w:left="1085" w:right="72" w:hanging="70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7.3   澄清或者修改的内容为竞争性磋</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商文件的组成部分，并对所有获取竞争性磋</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商文件的潜在供应商具有约束力。澄清或者修改的内容可能影响响应文件编</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制的，将在提交首次响应文件截止之日3个工作日前，以</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书面形式通知所有获取磋商文件的供应商；不足上述时间的，将顺</w:t>
      </w:r>
      <w:r>
        <w:rPr>
          <w:rFonts w:hint="eastAsia" w:ascii="仿宋" w:hAnsi="仿宋" w:eastAsia="仿宋" w:cs="仿宋"/>
          <w:color w:val="000000" w:themeColor="text1"/>
          <w:sz w:val="24"/>
          <w:szCs w:val="24"/>
          <w:highlight w:val="none"/>
          <w:lang w:eastAsia="zh-CN"/>
          <w14:textFill>
            <w14:solidFill>
              <w14:schemeClr w14:val="tx1"/>
            </w14:solidFill>
          </w14:textFill>
        </w:rPr>
        <w:t>延提交首次响应文件截止时</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间。</w:t>
      </w:r>
    </w:p>
    <w:p w14:paraId="0CF283A4">
      <w:pPr>
        <w:pStyle w:val="9"/>
        <w:spacing w:line="273" w:lineRule="auto"/>
        <w:rPr>
          <w:rFonts w:hint="eastAsia" w:ascii="仿宋" w:hAnsi="仿宋" w:eastAsia="仿宋" w:cs="仿宋"/>
          <w:color w:val="000000" w:themeColor="text1"/>
          <w:highlight w:val="none"/>
          <w:lang w:eastAsia="zh-CN"/>
          <w14:textFill>
            <w14:solidFill>
              <w14:schemeClr w14:val="tx1"/>
            </w14:solidFill>
          </w14:textFill>
        </w:rPr>
      </w:pPr>
    </w:p>
    <w:p w14:paraId="4EB0DE21">
      <w:pPr>
        <w:spacing w:before="121" w:line="201" w:lineRule="auto"/>
        <w:ind w:left="3213"/>
        <w:outlineLvl w:val="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pacing w:val="-3"/>
          <w:sz w:val="28"/>
          <w:szCs w:val="28"/>
          <w:highlight w:val="none"/>
          <w:lang w:eastAsia="zh-CN"/>
          <w14:textFill>
            <w14:solidFill>
              <w14:schemeClr w14:val="tx1"/>
            </w14:solidFill>
          </w14:textFill>
        </w:rPr>
        <w:t>三</w:t>
      </w:r>
      <w:r>
        <w:rPr>
          <w:rFonts w:hint="eastAsia" w:ascii="仿宋" w:hAnsi="仿宋" w:eastAsia="仿宋" w:cs="仿宋"/>
          <w:b/>
          <w:bCs/>
          <w:color w:val="000000" w:themeColor="text1"/>
          <w:spacing w:val="4"/>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3"/>
          <w:sz w:val="28"/>
          <w:szCs w:val="28"/>
          <w:highlight w:val="none"/>
          <w:lang w:eastAsia="zh-CN"/>
          <w14:textFill>
            <w14:solidFill>
              <w14:schemeClr w14:val="tx1"/>
            </w14:solidFill>
          </w14:textFill>
        </w:rPr>
        <w:t>响应文件的编制</w:t>
      </w:r>
    </w:p>
    <w:p w14:paraId="724670A0">
      <w:pPr>
        <w:pStyle w:val="9"/>
        <w:spacing w:before="199" w:line="200" w:lineRule="auto"/>
        <w:ind w:left="1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8   响应范围、竞争性磋商文件中计量单位的使用及磋商语言</w:t>
      </w:r>
    </w:p>
    <w:p w14:paraId="135BA5C2">
      <w:pPr>
        <w:pStyle w:val="9"/>
        <w:spacing w:before="180" w:line="278" w:lineRule="auto"/>
        <w:ind w:left="1087" w:right="73" w:hanging="71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8.1   本项目如划分采购包，供应商</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可以对本项目的其中一个采购包进行响应</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，也可同时对多个采购包进行响应。供应商应当对所参与采购包对应第四章《采</w:t>
      </w:r>
      <w:r>
        <w:rPr>
          <w:rFonts w:hint="eastAsia" w:ascii="仿宋" w:hAnsi="仿宋" w:eastAsia="仿宋" w:cs="仿宋"/>
          <w:color w:val="000000" w:themeColor="text1"/>
          <w:sz w:val="24"/>
          <w:szCs w:val="24"/>
          <w:highlight w:val="none"/>
          <w:lang w:eastAsia="zh-CN"/>
          <w14:textFill>
            <w14:solidFill>
              <w14:schemeClr w14:val="tx1"/>
            </w14:solidFill>
          </w14:textFill>
        </w:rPr>
        <w:t>购需求》所列的全部内容进行响应，不得将一个采购包中的内容拆分响应，</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否则其对该采购包的响应将被认定为</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无效响应</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3DF2D23A">
      <w:pPr>
        <w:pStyle w:val="9"/>
        <w:spacing w:before="177" w:line="253" w:lineRule="auto"/>
        <w:ind w:left="1083" w:right="73" w:hanging="70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8.2   除竞争性磋商文件有特殊要求外，本项</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目磋商所使用的计量单位，应采用中</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华人民共和国法定计量单位。</w:t>
      </w:r>
    </w:p>
    <w:p w14:paraId="2777D13D">
      <w:pPr>
        <w:pStyle w:val="9"/>
        <w:spacing w:before="175" w:line="284" w:lineRule="auto"/>
        <w:ind w:left="1080" w:right="73" w:hanging="704"/>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8.3   除专用术语外，响应文件及来</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往函电均应使用中文书写。必要时专用术语应附有中文解释。供应商提交的支持资料和已印制的文献可以用外文，但相应</w:t>
      </w:r>
      <w:r>
        <w:rPr>
          <w:rFonts w:hint="eastAsia" w:ascii="仿宋" w:hAnsi="仿宋" w:eastAsia="仿宋" w:cs="仿宋"/>
          <w:color w:val="000000" w:themeColor="text1"/>
          <w:sz w:val="24"/>
          <w:szCs w:val="24"/>
          <w:highlight w:val="none"/>
          <w:lang w:eastAsia="zh-CN"/>
          <w14:textFill>
            <w14:solidFill>
              <w14:schemeClr w14:val="tx1"/>
            </w14:solidFill>
          </w14:textFill>
        </w:rPr>
        <w:t>内容应附有中文翻译本，在解释响应文件时以中文翻译本为准</w:t>
      </w:r>
      <w:r>
        <w:rPr>
          <w:rFonts w:hint="eastAsia" w:ascii="仿宋" w:hAnsi="仿宋" w:eastAsia="仿宋" w:cs="仿宋"/>
          <w:color w:val="000000" w:themeColor="text1"/>
          <w:spacing w:val="-4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。未附中文翻</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译本或翻译本中文内容明显与外文内容不一致的，其不利后果由供应商自行</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承担。</w:t>
      </w:r>
    </w:p>
    <w:p w14:paraId="3AA2E6A7">
      <w:pPr>
        <w:pStyle w:val="9"/>
        <w:spacing w:before="174" w:line="201" w:lineRule="auto"/>
        <w:ind w:left="1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9</w:t>
      </w:r>
      <w:r>
        <w:rPr>
          <w:rFonts w:hint="eastAsia" w:ascii="仿宋" w:hAnsi="仿宋" w:eastAsia="仿宋" w:cs="仿宋"/>
          <w:color w:val="000000" w:themeColor="text1"/>
          <w:spacing w:val="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响应文件构成</w:t>
      </w:r>
    </w:p>
    <w:p w14:paraId="1677782D">
      <w:pPr>
        <w:pStyle w:val="9"/>
        <w:spacing w:before="176" w:line="313" w:lineRule="auto"/>
        <w:ind w:left="1080" w:right="70" w:hanging="71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9.1   供应商应当按照竞争性磋商文件的要求编制</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响应文件，并对其提交的响应文</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件的真实性、合法性承担法律责任。响应文件的部分格式要求，见第六章《响</w:t>
      </w:r>
      <w:r>
        <w:rPr>
          <w:rFonts w:hint="eastAsia" w:ascii="仿宋" w:hAnsi="仿宋" w:eastAsia="仿宋" w:cs="仿宋"/>
          <w:color w:val="000000" w:themeColor="text1"/>
          <w:spacing w:val="-14"/>
          <w:w w:val="99"/>
          <w:sz w:val="24"/>
          <w:szCs w:val="24"/>
          <w:highlight w:val="none"/>
          <w:lang w:eastAsia="zh-CN"/>
          <w14:textFill>
            <w14:solidFill>
              <w14:schemeClr w14:val="tx1"/>
            </w14:solidFill>
          </w14:textFill>
        </w:rPr>
        <w:t>应文件格式》。</w:t>
      </w:r>
    </w:p>
    <w:p w14:paraId="004A1238">
      <w:pPr>
        <w:pStyle w:val="9"/>
        <w:spacing w:before="180" w:line="283" w:lineRule="auto"/>
        <w:ind w:left="1079" w:right="108" w:hanging="70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9.2   对于竞争性磋商文件中标记了“</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实质性格式</w:t>
      </w:r>
      <w:r>
        <w:rPr>
          <w:rFonts w:hint="eastAsia" w:ascii="仿宋" w:hAnsi="仿宋" w:eastAsia="仿宋" w:cs="仿宋"/>
          <w:color w:val="000000" w:themeColor="text1"/>
          <w:spacing w:val="-4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”文件的，供应商不得改变格式中</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给定的文字所表达的含义，不得删减格式中的实质性内容，不得自行添加与</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格式中给定的文字内容相矛盾的内容，不得对应当填</w:t>
      </w:r>
      <w:r>
        <w:rPr>
          <w:rFonts w:hint="eastAsia" w:ascii="仿宋" w:hAnsi="仿宋" w:eastAsia="仿宋" w:cs="仿宋"/>
          <w:color w:val="000000" w:themeColor="text1"/>
          <w:sz w:val="24"/>
          <w:szCs w:val="24"/>
          <w:highlight w:val="none"/>
          <w:lang w:eastAsia="zh-CN"/>
          <w14:textFill>
            <w14:solidFill>
              <w14:schemeClr w14:val="tx1"/>
            </w14:solidFill>
          </w14:textFill>
        </w:rPr>
        <w:t>写的空格不填写或不实质性响应，</w:t>
      </w:r>
      <w:r>
        <w:rPr>
          <w:rFonts w:hint="eastAsia" w:ascii="仿宋" w:hAnsi="仿宋" w:eastAsia="仿宋" w:cs="仿宋"/>
          <w:b/>
          <w:bCs/>
          <w:color w:val="000000" w:themeColor="text1"/>
          <w:sz w:val="24"/>
          <w:szCs w:val="24"/>
          <w:highlight w:val="none"/>
          <w:lang w:eastAsia="zh-CN"/>
          <w14:textFill>
            <w14:solidFill>
              <w14:schemeClr w14:val="tx1"/>
            </w14:solidFill>
          </w14:textFill>
        </w:rPr>
        <w:t>否则响应无效</w:t>
      </w:r>
      <w:r>
        <w:rPr>
          <w:rFonts w:hint="eastAsia" w:ascii="仿宋" w:hAnsi="仿宋" w:eastAsia="仿宋" w:cs="仿宋"/>
          <w:b/>
          <w:bCs/>
          <w:color w:val="000000" w:themeColor="text1"/>
          <w:spacing w:val="-4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。未标记</w:t>
      </w:r>
      <w:r>
        <w:rPr>
          <w:rFonts w:hint="eastAsia" w:ascii="仿宋" w:hAnsi="仿宋" w:eastAsia="仿宋" w:cs="仿宋"/>
          <w:color w:val="000000" w:themeColor="text1"/>
          <w:spacing w:val="-5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“实质性格式</w:t>
      </w:r>
      <w:r>
        <w:rPr>
          <w:rFonts w:hint="eastAsia" w:ascii="仿宋" w:hAnsi="仿宋" w:eastAsia="仿宋" w:cs="仿宋"/>
          <w:color w:val="000000" w:themeColor="text1"/>
          <w:spacing w:val="-4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”的文件和竞争性磋商文件未</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提供格式的内容，可由供应商自行编写。</w:t>
      </w:r>
    </w:p>
    <w:p w14:paraId="34A9A6D7">
      <w:pPr>
        <w:pStyle w:val="9"/>
        <w:spacing w:before="176" w:line="201" w:lineRule="auto"/>
        <w:ind w:left="37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9.3   第三章《评审方法和评审标准》中涉及的证明文件。</w:t>
      </w:r>
    </w:p>
    <w:p w14:paraId="6B725E4C">
      <w:pPr>
        <w:pStyle w:val="9"/>
        <w:spacing w:before="179" w:line="269" w:lineRule="auto"/>
        <w:ind w:left="1079" w:right="110" w:hanging="70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9.4   对照第四章《采购需求》，说明所提供货物和服务已对第四章《采购需求》做</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出了响应，或申明与第四章《采购需求》</w:t>
      </w:r>
      <w:r>
        <w:rPr>
          <w:rFonts w:hint="eastAsia" w:ascii="仿宋" w:hAnsi="仿宋" w:eastAsia="仿宋" w:cs="仿宋"/>
          <w:color w:val="000000" w:themeColor="text1"/>
          <w:spacing w:val="-42"/>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的偏差和例外</w:t>
      </w:r>
      <w:r>
        <w:rPr>
          <w:rFonts w:hint="eastAsia" w:ascii="仿宋" w:hAnsi="仿宋" w:eastAsia="仿宋" w:cs="仿宋"/>
          <w:color w:val="000000" w:themeColor="text1"/>
          <w:spacing w:val="-4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。如第四章</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《采购需</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求》中要求提供证明文件的，供应商应当按具体要求提供</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证明文件。</w:t>
      </w:r>
    </w:p>
    <w:p w14:paraId="1D9869D2">
      <w:pPr>
        <w:pStyle w:val="9"/>
        <w:spacing w:before="179" w:line="200" w:lineRule="auto"/>
        <w:ind w:left="37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9.5   供应商认为应附的其他材料。</w:t>
      </w:r>
    </w:p>
    <w:p w14:paraId="7B205974">
      <w:pPr>
        <w:pStyle w:val="9"/>
        <w:spacing w:before="178" w:line="200" w:lineRule="auto"/>
        <w:ind w:left="2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10</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报价</w:t>
      </w:r>
    </w:p>
    <w:p w14:paraId="2314B1E0">
      <w:pPr>
        <w:pStyle w:val="9"/>
        <w:spacing w:before="180" w:line="200" w:lineRule="auto"/>
        <w:ind w:left="38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10.1</w:t>
      </w:r>
      <w:r>
        <w:rPr>
          <w:rFonts w:hint="eastAsia" w:ascii="仿宋" w:hAnsi="仿宋" w:eastAsia="仿宋" w:cs="仿宋"/>
          <w:color w:val="000000" w:themeColor="text1"/>
          <w:spacing w:val="3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所有响应均以人民币为计价货币。</w:t>
      </w:r>
    </w:p>
    <w:p w14:paraId="6BF8A63B">
      <w:pPr>
        <w:pStyle w:val="9"/>
        <w:spacing w:before="175" w:line="270" w:lineRule="auto"/>
        <w:ind w:left="1469" w:right="113" w:hanging="87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10.2  供应商的报价应包括为完成本项目所发生的一切费用和税费，采购</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人将不</w:t>
      </w:r>
      <w:r>
        <w:rPr>
          <w:rFonts w:hint="eastAsia" w:ascii="仿宋" w:hAnsi="仿宋" w:eastAsia="仿宋" w:cs="仿宋"/>
          <w:color w:val="000000" w:themeColor="text1"/>
          <w:spacing w:val="-10"/>
          <w:sz w:val="24"/>
          <w:szCs w:val="24"/>
          <w:highlight w:val="none"/>
          <w:lang w:eastAsia="zh-CN"/>
          <w14:textFill>
            <w14:solidFill>
              <w14:schemeClr w14:val="tx1"/>
            </w14:solidFill>
          </w14:textFill>
        </w:rPr>
        <w:t>再支付报价以外的任何费用。供应商的报价应包括但不限于下列内容，《供</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应商须知资料表》中有特殊规定的，从其规定。</w:t>
      </w:r>
    </w:p>
    <w:p w14:paraId="3D0E06B1">
      <w:pPr>
        <w:pStyle w:val="9"/>
        <w:spacing w:before="178" w:line="278" w:lineRule="auto"/>
        <w:ind w:left="1988" w:hanging="88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10.2.1 响应货物及标准附件、备品备件、专用工具等的出厂价（包括已在中</w:t>
      </w:r>
      <w:r>
        <w:rPr>
          <w:rFonts w:hint="eastAsia" w:ascii="仿宋" w:hAnsi="仿宋" w:eastAsia="仿宋" w:cs="仿宋"/>
          <w:color w:val="000000" w:themeColor="text1"/>
          <w:sz w:val="24"/>
          <w:szCs w:val="24"/>
          <w:highlight w:val="none"/>
          <w:lang w:eastAsia="zh-CN"/>
          <w14:textFill>
            <w14:solidFill>
              <w14:schemeClr w14:val="tx1"/>
            </w14:solidFill>
          </w14:textFill>
        </w:rPr>
        <w:t>国国内的进口货物完税后的仓库交货价、展室交货价或货</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架交货价）</w:t>
      </w:r>
      <w:r>
        <w:rPr>
          <w:rFonts w:hint="eastAsia" w:ascii="仿宋" w:hAnsi="仿宋" w:eastAsia="仿宋" w:cs="仿宋"/>
          <w:color w:val="000000" w:themeColor="text1"/>
          <w:sz w:val="24"/>
          <w:szCs w:val="24"/>
          <w:highlight w:val="none"/>
          <w:lang w:eastAsia="zh-CN"/>
          <w14:textFill>
            <w14:solidFill>
              <w14:schemeClr w14:val="tx1"/>
            </w14:solidFill>
          </w14:textFill>
        </w:rPr>
        <w:t>和运至最终目的地的运输费和保险费，安装调试、检验、</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技术服务、培训、质量保证、售后服务、税费等；</w:t>
      </w:r>
    </w:p>
    <w:p w14:paraId="5E238572">
      <w:pPr>
        <w:pStyle w:val="9"/>
        <w:spacing w:before="179" w:line="200" w:lineRule="auto"/>
        <w:ind w:left="110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10.2.2 按照竞争性磋商文件要求完成本项目的全部相关费用。</w:t>
      </w:r>
    </w:p>
    <w:p w14:paraId="13C35BC1">
      <w:pPr>
        <w:pStyle w:val="9"/>
        <w:spacing w:before="178" w:line="251" w:lineRule="auto"/>
        <w:ind w:left="1080" w:right="115" w:hanging="69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10.3</w:t>
      </w:r>
      <w:r>
        <w:rPr>
          <w:rFonts w:hint="eastAsia" w:ascii="仿宋" w:hAnsi="仿宋" w:eastAsia="仿宋" w:cs="仿宋"/>
          <w:color w:val="000000" w:themeColor="text1"/>
          <w:spacing w:val="31"/>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采购人不得向供应商索要或者接受其给予的赠品、回扣或者与采购无关的其</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他商品、服务。</w:t>
      </w:r>
    </w:p>
    <w:p w14:paraId="48A3BFD3">
      <w:pPr>
        <w:pStyle w:val="9"/>
        <w:spacing w:before="178" w:line="249" w:lineRule="auto"/>
        <w:ind w:left="1083" w:right="113" w:hanging="69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10.4</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供应商不能提供任何有选择性或可调整的最后报价（竞争性磋</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商文件另有规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定的除外</w:t>
      </w:r>
      <w:r>
        <w:rPr>
          <w:rFonts w:hint="eastAsia" w:ascii="仿宋" w:hAnsi="仿宋" w:eastAsia="仿宋" w:cs="仿宋"/>
          <w:color w:val="000000" w:themeColor="text1"/>
          <w:spacing w:val="-5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否则其</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4D02CAC8">
      <w:pPr>
        <w:pStyle w:val="9"/>
        <w:spacing w:before="186" w:line="201" w:lineRule="auto"/>
        <w:ind w:left="2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 磋商保证金</w:t>
      </w:r>
    </w:p>
    <w:p w14:paraId="7F2A3F48">
      <w:pPr>
        <w:pStyle w:val="9"/>
        <w:spacing w:before="177" w:line="253" w:lineRule="auto"/>
        <w:ind w:left="1101" w:hanging="71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11.1</w:t>
      </w:r>
      <w:r>
        <w:rPr>
          <w:rFonts w:hint="eastAsia" w:ascii="仿宋" w:hAnsi="仿宋" w:eastAsia="仿宋" w:cs="仿宋"/>
          <w:color w:val="000000" w:themeColor="text1"/>
          <w:spacing w:val="35"/>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供应商应按《供应商须知资料表》中规定的金额及要求交纳磋商保证金。供</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应商自愿超额缴纳磋商保证金的，响应文件不做无效处理。</w:t>
      </w:r>
    </w:p>
    <w:p w14:paraId="12CAAB30">
      <w:pPr>
        <w:pStyle w:val="9"/>
        <w:spacing w:before="177" w:line="253" w:lineRule="auto"/>
        <w:ind w:left="1101" w:hanging="71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11.2</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交纳磋商保证金可采用的形式：政府采购法律法规接受的支票、汇票、本票、网上银行支付或者金融机构、担保机构出具的保函等非现金形式。</w:t>
      </w:r>
    </w:p>
    <w:p w14:paraId="041617FF">
      <w:pPr>
        <w:pStyle w:val="9"/>
        <w:spacing w:before="178" w:line="289" w:lineRule="auto"/>
        <w:ind w:left="1080" w:right="91" w:hanging="69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11.3</w:t>
      </w:r>
      <w:r>
        <w:rPr>
          <w:rFonts w:hint="eastAsia" w:ascii="仿宋" w:hAnsi="仿宋" w:eastAsia="仿宋" w:cs="仿宋"/>
          <w:color w:val="000000" w:themeColor="text1"/>
          <w:spacing w:val="30"/>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磋商保证金到账截止时间同首次响应文件提交截止时间。以支</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票、汇票、本票、网上银行支付等形式提交磋商保证金的，应在首次响应文件提交截止时间前到账；以金融机构、担保机构出具的纸质保函等形式提交</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磋商保证金的，应在首次响应文件提交截止时间前将原件提交至采购代理机</w:t>
      </w:r>
      <w:r>
        <w:rPr>
          <w:rFonts w:hint="eastAsia" w:ascii="仿宋" w:hAnsi="仿宋" w:eastAsia="仿宋" w:cs="仿宋"/>
          <w:color w:val="000000" w:themeColor="text1"/>
          <w:sz w:val="24"/>
          <w:szCs w:val="24"/>
          <w:highlight w:val="none"/>
          <w:lang w:eastAsia="zh-CN"/>
          <w14:textFill>
            <w14:solidFill>
              <w14:schemeClr w14:val="tx1"/>
            </w14:solidFill>
          </w14:textFill>
        </w:rPr>
        <w:t>构；以电子保函形式提交磋商保证金的，应在首次响应文件提交截止时间前</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完成电子保函办理。未按上述要求缴</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纳保证金的，其</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5EA35705">
      <w:pPr>
        <w:pStyle w:val="9"/>
        <w:spacing w:before="178" w:line="270" w:lineRule="auto"/>
        <w:ind w:left="1082" w:right="91" w:hanging="7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11.4</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供应商除需在响应文件中提供“磋商保证金</w:t>
      </w:r>
      <w:r>
        <w:rPr>
          <w:rFonts w:hint="eastAsia" w:ascii="仿宋" w:hAnsi="仿宋" w:eastAsia="仿宋" w:cs="仿宋"/>
          <w:color w:val="000000" w:themeColor="text1"/>
          <w:sz w:val="24"/>
          <w:szCs w:val="24"/>
          <w:highlight w:val="none"/>
          <w:lang w:eastAsia="zh-CN"/>
          <w14:textFill>
            <w14:solidFill>
              <w14:schemeClr w14:val="tx1"/>
            </w14:solidFill>
          </w14:textFill>
        </w:rPr>
        <w:t>凭证/交款单据电子件</w:t>
      </w:r>
      <w:r>
        <w:rPr>
          <w:rFonts w:hint="eastAsia" w:ascii="仿宋" w:hAnsi="仿宋" w:eastAsia="仿宋" w:cs="仿宋"/>
          <w:color w:val="000000" w:themeColor="text1"/>
          <w:spacing w:val="-4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”，还需在首次响应文件提交截止时间前，通过电子交易平台上传“磋商保证金凭证/交</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款单据电子件”。</w:t>
      </w:r>
    </w:p>
    <w:p w14:paraId="3B4E3C4C">
      <w:pPr>
        <w:pStyle w:val="9"/>
        <w:spacing w:before="176" w:line="200" w:lineRule="auto"/>
        <w:ind w:left="38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11.5</w:t>
      </w:r>
      <w:r>
        <w:rPr>
          <w:rFonts w:hint="eastAsia" w:ascii="仿宋" w:hAnsi="仿宋" w:eastAsia="仿宋" w:cs="仿宋"/>
          <w:color w:val="000000" w:themeColor="text1"/>
          <w:spacing w:val="3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磋商保证金有效期同响应有效期。</w:t>
      </w:r>
    </w:p>
    <w:p w14:paraId="436C1583">
      <w:pPr>
        <w:pStyle w:val="9"/>
        <w:spacing w:before="180" w:line="251" w:lineRule="auto"/>
        <w:ind w:left="1079" w:right="141" w:hanging="69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11.6</w:t>
      </w:r>
      <w:r>
        <w:rPr>
          <w:rFonts w:hint="eastAsia" w:ascii="仿宋" w:hAnsi="仿宋" w:eastAsia="仿宋" w:cs="仿宋"/>
          <w:color w:val="000000" w:themeColor="text1"/>
          <w:spacing w:val="3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供应商为联合体的，可以由联合体中的一方或者多方共同交纳磋商保证金，</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其交纳的保证金对联合体各方均具有约束力。</w:t>
      </w:r>
    </w:p>
    <w:p w14:paraId="24821DA1">
      <w:pPr>
        <w:pStyle w:val="9"/>
        <w:spacing w:before="175" w:line="270" w:lineRule="auto"/>
        <w:ind w:left="1081" w:right="94" w:hanging="69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11.7</w:t>
      </w:r>
      <w:r>
        <w:rPr>
          <w:rFonts w:hint="eastAsia" w:ascii="仿宋" w:hAnsi="仿宋" w:eastAsia="仿宋" w:cs="仿宋"/>
          <w:color w:val="000000" w:themeColor="text1"/>
          <w:spacing w:val="3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采购人、采购代理机构将及时退还供应商的保证金，采用银行保函、担保机构担保函等形式递交的保证金，经供应商同意后采购人、采购</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代理机构可以</w:t>
      </w:r>
      <w:r>
        <w:rPr>
          <w:rFonts w:hint="eastAsia" w:ascii="仿宋" w:hAnsi="仿宋" w:eastAsia="仿宋" w:cs="仿宋"/>
          <w:color w:val="000000" w:themeColor="text1"/>
          <w:sz w:val="24"/>
          <w:szCs w:val="24"/>
          <w:highlight w:val="none"/>
          <w:lang w:eastAsia="zh-CN"/>
          <w14:textFill>
            <w14:solidFill>
              <w14:schemeClr w14:val="tx1"/>
            </w14:solidFill>
          </w14:textFill>
        </w:rPr>
        <w:t>不再退还，但因供应商自身原因导致无法及</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时退还的除外：</w:t>
      </w:r>
    </w:p>
    <w:p w14:paraId="2EB77791">
      <w:pPr>
        <w:pStyle w:val="9"/>
        <w:spacing w:before="175" w:line="270" w:lineRule="auto"/>
        <w:ind w:left="1983" w:right="91" w:hanging="87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11.7.1 已提交响应文件的供应商，在提交最后报价之前，可以根据磋商情况</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退出磋商。采购人、采购代理机构将退还退出磋商的供应商的磋商保</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证金；</w:t>
      </w:r>
    </w:p>
    <w:p w14:paraId="4F72B37E">
      <w:pPr>
        <w:pStyle w:val="9"/>
        <w:spacing w:before="176" w:line="253" w:lineRule="auto"/>
        <w:ind w:left="1985" w:right="93" w:hanging="87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11.7.2 成交供应商的磋商保证金，在采购合同签订后5个工作日内退还成</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交供应商；</w:t>
      </w:r>
    </w:p>
    <w:p w14:paraId="7E5CBCFD">
      <w:pPr>
        <w:pStyle w:val="9"/>
        <w:spacing w:before="178" w:line="243" w:lineRule="auto"/>
        <w:ind w:left="1986" w:right="93" w:hanging="87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11.7.3 未成交供应商的磋商保证金，在成交通知书发出后5个工作日内退</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还。</w:t>
      </w:r>
    </w:p>
    <w:p w14:paraId="46CB3C68">
      <w:pPr>
        <w:pStyle w:val="9"/>
        <w:spacing w:before="209" w:line="200" w:lineRule="auto"/>
        <w:ind w:left="38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11.8</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有下列情形之一的，采购人或采购代理机构不予退还磋商保证金：</w:t>
      </w:r>
    </w:p>
    <w:p w14:paraId="7DD93D6A">
      <w:pPr>
        <w:pStyle w:val="9"/>
        <w:spacing w:before="274" w:line="200" w:lineRule="auto"/>
        <w:ind w:left="110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11.8.1  供应商在响应文件提交截止时间后撤回响应文件的；</w:t>
      </w:r>
    </w:p>
    <w:p w14:paraId="12161155">
      <w:pPr>
        <w:pStyle w:val="9"/>
        <w:spacing w:before="177" w:line="200" w:lineRule="auto"/>
        <w:ind w:left="110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11.8.2  供应商在响应文件中提供虚假</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材料的；</w:t>
      </w:r>
    </w:p>
    <w:p w14:paraId="73A3AD3D">
      <w:pPr>
        <w:pStyle w:val="9"/>
        <w:spacing w:before="179" w:line="251" w:lineRule="auto"/>
        <w:ind w:left="1986" w:right="87" w:hanging="87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11.8.3</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除因不可抗力或磋商文件认可的情形以外，成交供应商不与采购人签</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订合同的；</w:t>
      </w:r>
    </w:p>
    <w:p w14:paraId="6939E250">
      <w:pPr>
        <w:pStyle w:val="9"/>
        <w:spacing w:before="177" w:line="200" w:lineRule="auto"/>
        <w:ind w:left="110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11.8.4  供应商与采购人、其他供应商或者采购代理机构恶意串通的；</w:t>
      </w:r>
    </w:p>
    <w:p w14:paraId="6CABF94B">
      <w:pPr>
        <w:pStyle w:val="9"/>
        <w:spacing w:before="180" w:line="200" w:lineRule="auto"/>
        <w:ind w:left="110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11.8.5</w:t>
      </w:r>
      <w:r>
        <w:rPr>
          <w:rFonts w:hint="eastAsia" w:ascii="仿宋" w:hAnsi="仿宋" w:eastAsia="仿宋" w:cs="仿宋"/>
          <w:color w:val="000000" w:themeColor="text1"/>
          <w:spacing w:val="6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《供应商须知资料表》规定的其他情形。</w:t>
      </w:r>
    </w:p>
    <w:p w14:paraId="1C87911C">
      <w:pPr>
        <w:pStyle w:val="9"/>
        <w:spacing w:before="177" w:line="200" w:lineRule="auto"/>
        <w:ind w:left="2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12 响应有效期</w:t>
      </w:r>
    </w:p>
    <w:p w14:paraId="17D69127">
      <w:pPr>
        <w:pStyle w:val="9"/>
        <w:spacing w:before="180" w:line="200" w:lineRule="auto"/>
        <w:ind w:left="1112" w:leftChars="181" w:hanging="732" w:hangingChars="3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12.1  响应文件应在本竞争性磋商文件《供应商</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须知资料表》</w:t>
      </w:r>
      <w:r>
        <w:rPr>
          <w:rFonts w:hint="eastAsia" w:ascii="仿宋" w:hAnsi="仿宋" w:eastAsia="仿宋" w:cs="仿宋"/>
          <w:color w:val="000000" w:themeColor="text1"/>
          <w:spacing w:val="-3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中规定的响应有效期</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内保持有效，响应有效期少于竞争性磋商文件规定期限的</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，其</w:t>
      </w:r>
      <w:r>
        <w:rPr>
          <w:rFonts w:hint="eastAsia" w:ascii="仿宋" w:hAnsi="仿宋" w:eastAsia="仿宋" w:cs="仿宋"/>
          <w:b/>
          <w:bCs/>
          <w:color w:val="000000" w:themeColor="text1"/>
          <w:spacing w:val="-3"/>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w:t>
      </w:r>
    </w:p>
    <w:p w14:paraId="1D8B3E91">
      <w:pPr>
        <w:pStyle w:val="9"/>
        <w:spacing w:before="177" w:line="201" w:lineRule="auto"/>
        <w:ind w:left="2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13 响应文件的签署、盖章</w:t>
      </w:r>
    </w:p>
    <w:p w14:paraId="01EBF967">
      <w:pPr>
        <w:pStyle w:val="9"/>
        <w:spacing w:before="179" w:line="278" w:lineRule="auto"/>
        <w:ind w:left="1474" w:right="12" w:hanging="88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13.1   竞争性磋商文件要求签字的内容</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（如授权委托书等</w:t>
      </w:r>
      <w:r>
        <w:rPr>
          <w:rFonts w:hint="eastAsia" w:ascii="仿宋" w:hAnsi="仿宋" w:eastAsia="仿宋" w:cs="仿宋"/>
          <w:color w:val="000000" w:themeColor="text1"/>
          <w:spacing w:val="-52"/>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可以使用电子签章</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或使用原件的电子件（电子件指扫描件</w:t>
      </w:r>
      <w:r>
        <w:rPr>
          <w:rFonts w:hint="eastAsia" w:ascii="仿宋" w:hAnsi="仿宋" w:eastAsia="仿宋" w:cs="仿宋"/>
          <w:color w:val="000000" w:themeColor="text1"/>
          <w:spacing w:val="-42"/>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照片等形式电子文件</w:t>
      </w:r>
      <w:r>
        <w:rPr>
          <w:rFonts w:hint="eastAsia" w:ascii="仿宋" w:hAnsi="仿宋" w:eastAsia="仿宋" w:cs="仿宋"/>
          <w:color w:val="000000" w:themeColor="text1"/>
          <w:spacing w:val="-55"/>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要求第三方出具的盖章件原件（如联合协议、分包意向协议、制造商授权书等</w:t>
      </w:r>
      <w:r>
        <w:rPr>
          <w:rFonts w:hint="eastAsia" w:ascii="仿宋" w:hAnsi="仿宋" w:eastAsia="仿宋" w:cs="仿宋"/>
          <w:color w:val="000000" w:themeColor="text1"/>
          <w:spacing w:val="-50"/>
          <w:w w:val="88"/>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响应文件中应使用原件的电子件。</w:t>
      </w:r>
    </w:p>
    <w:p w14:paraId="54CB84C9">
      <w:pPr>
        <w:pStyle w:val="9"/>
        <w:spacing w:before="180" w:line="200" w:lineRule="auto"/>
        <w:jc w:val="righ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13.2</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竞争性磋商文件要求盖章的内容，一般通过响应文件编制工具加盖电子签</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章。</w:t>
      </w:r>
    </w:p>
    <w:p w14:paraId="1EB1FED9">
      <w:pPr>
        <w:pStyle w:val="9"/>
        <w:spacing w:line="425" w:lineRule="auto"/>
        <w:rPr>
          <w:rFonts w:hint="eastAsia" w:ascii="仿宋" w:hAnsi="仿宋" w:eastAsia="仿宋" w:cs="仿宋"/>
          <w:color w:val="000000" w:themeColor="text1"/>
          <w:highlight w:val="none"/>
          <w:lang w:eastAsia="zh-CN"/>
          <w14:textFill>
            <w14:solidFill>
              <w14:schemeClr w14:val="tx1"/>
            </w14:solidFill>
          </w14:textFill>
        </w:rPr>
      </w:pPr>
    </w:p>
    <w:p w14:paraId="2D8A7D8F">
      <w:pPr>
        <w:spacing w:before="121" w:line="201" w:lineRule="auto"/>
        <w:ind w:left="3237"/>
        <w:outlineLvl w:val="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pacing w:val="-6"/>
          <w:sz w:val="28"/>
          <w:szCs w:val="28"/>
          <w:highlight w:val="none"/>
          <w:lang w:eastAsia="zh-CN"/>
          <w14:textFill>
            <w14:solidFill>
              <w14:schemeClr w14:val="tx1"/>
            </w14:solidFill>
          </w14:textFill>
        </w:rPr>
        <w:t>四</w:t>
      </w:r>
      <w:r>
        <w:rPr>
          <w:rFonts w:hint="eastAsia" w:ascii="仿宋" w:hAnsi="仿宋" w:eastAsia="仿宋" w:cs="仿宋"/>
          <w:b/>
          <w:bCs/>
          <w:color w:val="000000" w:themeColor="text1"/>
          <w:spacing w:val="4"/>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6"/>
          <w:sz w:val="28"/>
          <w:szCs w:val="28"/>
          <w:highlight w:val="none"/>
          <w:lang w:eastAsia="zh-CN"/>
          <w14:textFill>
            <w14:solidFill>
              <w14:schemeClr w14:val="tx1"/>
            </w14:solidFill>
          </w14:textFill>
        </w:rPr>
        <w:t>响应文件的提交</w:t>
      </w:r>
    </w:p>
    <w:p w14:paraId="34FFAFAA">
      <w:pPr>
        <w:pStyle w:val="9"/>
        <w:spacing w:before="201" w:line="201" w:lineRule="auto"/>
        <w:ind w:left="2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14 响应文件的提交</w:t>
      </w:r>
    </w:p>
    <w:p w14:paraId="5002E8FE">
      <w:pPr>
        <w:pStyle w:val="9"/>
        <w:spacing w:before="174" w:line="253" w:lineRule="auto"/>
        <w:ind w:left="1082" w:right="90" w:hanging="7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14.1</w:t>
      </w:r>
      <w:r>
        <w:rPr>
          <w:rFonts w:hint="eastAsia" w:ascii="仿宋" w:hAnsi="仿宋" w:eastAsia="仿宋" w:cs="仿宋"/>
          <w:color w:val="000000" w:themeColor="text1"/>
          <w:spacing w:val="30"/>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本项目使用新疆政府采购电子交易平台（政采云）。供应商根据竞争性磋商文件及电</w:t>
      </w:r>
      <w:r>
        <w:rPr>
          <w:rFonts w:hint="eastAsia" w:ascii="仿宋" w:hAnsi="仿宋" w:eastAsia="仿宋" w:cs="仿宋"/>
          <w:color w:val="000000" w:themeColor="text1"/>
          <w:sz w:val="24"/>
          <w:szCs w:val="24"/>
          <w:highlight w:val="none"/>
          <w:lang w:eastAsia="zh-CN"/>
          <w14:textFill>
            <w14:solidFill>
              <w14:schemeClr w14:val="tx1"/>
            </w14:solidFill>
          </w14:textFill>
        </w:rPr>
        <w:t>子交易平台供应商操作手册要求编制、生成并提</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交电子响应文件。</w:t>
      </w:r>
    </w:p>
    <w:p w14:paraId="1AB1491E">
      <w:pPr>
        <w:pStyle w:val="9"/>
        <w:spacing w:before="176" w:line="253" w:lineRule="auto"/>
        <w:ind w:left="1094" w:right="90" w:hanging="71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14.2</w:t>
      </w:r>
      <w:r>
        <w:rPr>
          <w:rFonts w:hint="eastAsia" w:ascii="仿宋" w:hAnsi="仿宋" w:eastAsia="仿宋" w:cs="仿宋"/>
          <w:color w:val="000000" w:themeColor="text1"/>
          <w:spacing w:val="28"/>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采购人及采购代理机构拒绝接受通过电子交易平台以外任何形式提交的</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首次</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响应文件，磋商保证金除外。</w:t>
      </w:r>
    </w:p>
    <w:p w14:paraId="1E4ECC82">
      <w:pPr>
        <w:pStyle w:val="9"/>
        <w:spacing w:before="177" w:line="201" w:lineRule="auto"/>
        <w:ind w:left="2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15 响应文件提交截止时间</w:t>
      </w:r>
    </w:p>
    <w:p w14:paraId="50084B14">
      <w:pPr>
        <w:pStyle w:val="9"/>
        <w:spacing w:before="177" w:line="304" w:lineRule="auto"/>
        <w:ind w:left="1083" w:right="90" w:hanging="70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15.1</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供应商应在竞争性磋商文件要求响应文件提交截止时间前，将电子响应</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文件</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提交至电子交易平台。</w:t>
      </w:r>
    </w:p>
    <w:p w14:paraId="69350C6A">
      <w:pPr>
        <w:pStyle w:val="9"/>
        <w:spacing w:before="1" w:line="200" w:lineRule="auto"/>
        <w:ind w:left="2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16 响应文件的修改与撤回</w:t>
      </w:r>
    </w:p>
    <w:p w14:paraId="332A29A8">
      <w:pPr>
        <w:pStyle w:val="9"/>
        <w:spacing w:before="3" w:line="309" w:lineRule="auto"/>
        <w:ind w:left="1083" w:right="35" w:hanging="70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16.1  响应文件提交截止时间前，</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供应商可以通过电子交易平台对所提交的响应文</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件进行补充、修改或者撤回。磋商保证金的补充、修改或者撤回无需通过电</w:t>
      </w:r>
      <w:r>
        <w:rPr>
          <w:rFonts w:hint="eastAsia" w:ascii="仿宋" w:hAnsi="仿宋" w:eastAsia="仿宋" w:cs="仿宋"/>
          <w:color w:val="000000" w:themeColor="text1"/>
          <w:sz w:val="24"/>
          <w:szCs w:val="24"/>
          <w:highlight w:val="none"/>
          <w:lang w:eastAsia="zh-CN"/>
          <w14:textFill>
            <w14:solidFill>
              <w14:schemeClr w14:val="tx1"/>
            </w14:solidFill>
          </w14:textFill>
        </w:rPr>
        <w:t>子交易平台，但应就其补充、修改或者撤回通知采购人</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或采购代理机构。</w:t>
      </w:r>
    </w:p>
    <w:p w14:paraId="738CE220">
      <w:pPr>
        <w:pStyle w:val="9"/>
        <w:spacing w:before="3" w:line="309" w:lineRule="auto"/>
        <w:ind w:left="1083" w:right="35" w:hanging="70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16.2</w:t>
      </w:r>
      <w:r>
        <w:rPr>
          <w:rFonts w:hint="eastAsia" w:ascii="仿宋" w:hAnsi="仿宋" w:eastAsia="仿宋" w:cs="仿宋"/>
          <w:color w:val="000000" w:themeColor="text1"/>
          <w:spacing w:val="3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供应商对响应文件的补充、修改的内容应当按照竞争性磋商文件要求签署、</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盖章，作为响应文件的组成部分。补充、修改的内容与响应文件不一致的，以补充、修改的内容为准。</w:t>
      </w:r>
    </w:p>
    <w:p w14:paraId="7ECBEC7E">
      <w:pPr>
        <w:pStyle w:val="9"/>
        <w:spacing w:line="272" w:lineRule="auto"/>
        <w:rPr>
          <w:rFonts w:hint="eastAsia" w:ascii="仿宋" w:hAnsi="仿宋" w:eastAsia="仿宋" w:cs="仿宋"/>
          <w:color w:val="000000" w:themeColor="text1"/>
          <w:highlight w:val="none"/>
          <w:lang w:eastAsia="zh-CN"/>
          <w14:textFill>
            <w14:solidFill>
              <w14:schemeClr w14:val="tx1"/>
            </w14:solidFill>
          </w14:textFill>
        </w:rPr>
      </w:pPr>
    </w:p>
    <w:p w14:paraId="703C9C2D">
      <w:pPr>
        <w:spacing w:before="120" w:line="202" w:lineRule="auto"/>
        <w:ind w:left="3915"/>
        <w:outlineLvl w:val="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pacing w:val="-5"/>
          <w:sz w:val="28"/>
          <w:szCs w:val="28"/>
          <w:highlight w:val="none"/>
          <w:lang w:eastAsia="zh-CN"/>
          <w14:textFill>
            <w14:solidFill>
              <w14:schemeClr w14:val="tx1"/>
            </w14:solidFill>
          </w14:textFill>
        </w:rPr>
        <w:t>五</w:t>
      </w:r>
      <w:r>
        <w:rPr>
          <w:rFonts w:hint="eastAsia" w:ascii="仿宋" w:hAnsi="仿宋" w:eastAsia="仿宋" w:cs="仿宋"/>
          <w:b/>
          <w:bCs/>
          <w:color w:val="000000" w:themeColor="text1"/>
          <w:spacing w:val="1"/>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5"/>
          <w:sz w:val="28"/>
          <w:szCs w:val="28"/>
          <w:highlight w:val="none"/>
          <w:lang w:eastAsia="zh-CN"/>
          <w14:textFill>
            <w14:solidFill>
              <w14:schemeClr w14:val="tx1"/>
            </w14:solidFill>
          </w14:textFill>
        </w:rPr>
        <w:t>评审</w:t>
      </w:r>
    </w:p>
    <w:p w14:paraId="604054AB">
      <w:pPr>
        <w:pStyle w:val="9"/>
        <w:spacing w:before="198" w:line="201" w:lineRule="auto"/>
        <w:ind w:left="2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17 响应文件的解密与开启</w:t>
      </w:r>
    </w:p>
    <w:p w14:paraId="1EFD1ABC">
      <w:pPr>
        <w:pStyle w:val="9"/>
        <w:spacing w:before="179" w:line="251" w:lineRule="auto"/>
        <w:ind w:left="1097" w:right="7" w:hanging="71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17.1</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采购人或采购代理机构将按竞争性磋商文件的规定，在响</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应文件提交截止时</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间的同一时间和竞争性磋商文件预先确定的地点开启响应文件。</w:t>
      </w:r>
    </w:p>
    <w:p w14:paraId="6EF76660">
      <w:pPr>
        <w:pStyle w:val="9"/>
        <w:spacing w:before="175" w:line="270" w:lineRule="auto"/>
        <w:ind w:left="1080" w:right="7" w:hanging="69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17.2</w:t>
      </w:r>
      <w:r>
        <w:rPr>
          <w:rFonts w:hint="eastAsia" w:ascii="仿宋" w:hAnsi="仿宋" w:eastAsia="仿宋" w:cs="仿宋"/>
          <w:color w:val="000000" w:themeColor="text1"/>
          <w:spacing w:val="30"/>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本项目解密使用新疆政府采购电子交易平台（政采云）。供应商应在《供应商须知资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料表》规定的时间内对响应文件进行解密，因非系统原因导致的解密失败，</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视为</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无效响应</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241F670A">
      <w:pPr>
        <w:pStyle w:val="9"/>
        <w:spacing w:before="179" w:line="269" w:lineRule="auto"/>
        <w:ind w:left="1078" w:right="7" w:hanging="69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17.3</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供应商认为采购人员及相关人员与其他供应商有利害关</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系的，可以向采购人或采购代理机构书面提出回避申请，并说明理由。采购人或采购代理机构将</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及时询问被申请回避人员，有利害关系的被申请回避人员</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将回避。</w:t>
      </w:r>
    </w:p>
    <w:p w14:paraId="63C0AF57">
      <w:pPr>
        <w:pStyle w:val="9"/>
        <w:spacing w:before="179" w:line="200" w:lineRule="auto"/>
        <w:ind w:left="38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17.4</w:t>
      </w:r>
      <w:r>
        <w:rPr>
          <w:rFonts w:hint="eastAsia" w:ascii="仿宋" w:hAnsi="仿宋" w:eastAsia="仿宋" w:cs="仿宋"/>
          <w:color w:val="000000" w:themeColor="text1"/>
          <w:spacing w:val="3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供应商不足3家的，不予解密。</w:t>
      </w:r>
    </w:p>
    <w:p w14:paraId="72138C19">
      <w:pPr>
        <w:pStyle w:val="9"/>
        <w:spacing w:before="179" w:line="200" w:lineRule="auto"/>
        <w:ind w:left="38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17.5</w:t>
      </w:r>
      <w:r>
        <w:rPr>
          <w:rFonts w:hint="eastAsia" w:ascii="仿宋" w:hAnsi="仿宋" w:eastAsia="仿宋" w:cs="仿宋"/>
          <w:color w:val="000000" w:themeColor="text1"/>
          <w:spacing w:val="3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本项目不公开报价。</w:t>
      </w:r>
    </w:p>
    <w:p w14:paraId="72F27FB5">
      <w:pPr>
        <w:pStyle w:val="9"/>
        <w:spacing w:before="177" w:line="202" w:lineRule="auto"/>
        <w:ind w:left="2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18 磋商小组</w:t>
      </w:r>
    </w:p>
    <w:p w14:paraId="5C1A40DB">
      <w:pPr>
        <w:pStyle w:val="9"/>
        <w:spacing w:before="177" w:line="251" w:lineRule="auto"/>
        <w:ind w:left="1080" w:right="7" w:hanging="69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18.1</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磋商小组根据政府采购有关规定和本次采购项目的特点进行组建，并负</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责具</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体评审与磋商事务，独立履行职责。</w:t>
      </w:r>
    </w:p>
    <w:p w14:paraId="7637065E">
      <w:pPr>
        <w:pStyle w:val="9"/>
        <w:spacing w:before="180" w:line="278" w:lineRule="auto"/>
        <w:ind w:left="1079" w:hanging="69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18.2</w:t>
      </w:r>
      <w:r>
        <w:rPr>
          <w:rFonts w:hint="eastAsia" w:ascii="仿宋" w:hAnsi="仿宋" w:eastAsia="仿宋" w:cs="仿宋"/>
          <w:color w:val="000000" w:themeColor="text1"/>
          <w:spacing w:val="2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评审专家须符合《财政部关于在政府采购活动中查询及使用信用记录有关问</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题的通知》（财库〔2016〕125号）的规定。依法自行选定评审专家的</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购人和采购代理机构将查询有关信用记录，对具有行贿、受贿、欺诈等不良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信用记录的人员，拒绝其参与政府采购活动。</w:t>
      </w:r>
    </w:p>
    <w:p w14:paraId="37FC4B2C">
      <w:pPr>
        <w:pStyle w:val="9"/>
        <w:spacing w:before="177" w:line="201" w:lineRule="auto"/>
        <w:ind w:left="2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19 评审方法和评审标准</w:t>
      </w:r>
    </w:p>
    <w:p w14:paraId="64DC96BF">
      <w:pPr>
        <w:pStyle w:val="9"/>
        <w:spacing w:before="176" w:line="201" w:lineRule="auto"/>
        <w:ind w:left="38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19.1</w:t>
      </w:r>
      <w:r>
        <w:rPr>
          <w:rFonts w:hint="eastAsia" w:ascii="仿宋" w:hAnsi="仿宋" w:eastAsia="仿宋" w:cs="仿宋"/>
          <w:color w:val="000000" w:themeColor="text1"/>
          <w:spacing w:val="35"/>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见第三章《评审方法和评审标准》。</w:t>
      </w:r>
    </w:p>
    <w:p w14:paraId="7D900D53">
      <w:pPr>
        <w:pStyle w:val="9"/>
        <w:spacing w:line="288" w:lineRule="auto"/>
        <w:rPr>
          <w:rFonts w:hint="eastAsia" w:ascii="仿宋" w:hAnsi="仿宋" w:eastAsia="仿宋" w:cs="仿宋"/>
          <w:color w:val="000000" w:themeColor="text1"/>
          <w:highlight w:val="none"/>
          <w:lang w:eastAsia="zh-CN"/>
          <w14:textFill>
            <w14:solidFill>
              <w14:schemeClr w14:val="tx1"/>
            </w14:solidFill>
          </w14:textFill>
        </w:rPr>
      </w:pPr>
    </w:p>
    <w:p w14:paraId="1A5C3798">
      <w:pPr>
        <w:spacing w:before="120" w:line="201" w:lineRule="auto"/>
        <w:ind w:left="3627"/>
        <w:outlineLvl w:val="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六     确定成交</w:t>
      </w:r>
    </w:p>
    <w:p w14:paraId="5ECD813B">
      <w:pPr>
        <w:pStyle w:val="9"/>
        <w:spacing w:before="199" w:line="201" w:lineRule="auto"/>
        <w:ind w:left="1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20 确定成交供应商</w:t>
      </w:r>
    </w:p>
    <w:p w14:paraId="0CE3AB6C">
      <w:pPr>
        <w:pStyle w:val="9"/>
        <w:spacing w:before="178" w:line="304" w:lineRule="auto"/>
        <w:ind w:left="1079" w:right="2" w:hanging="70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20.1</w:t>
      </w:r>
      <w:r>
        <w:rPr>
          <w:rFonts w:hint="eastAsia" w:ascii="仿宋" w:hAnsi="仿宋" w:eastAsia="仿宋" w:cs="仿宋"/>
          <w:color w:val="000000" w:themeColor="text1"/>
          <w:spacing w:val="32"/>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采购人将在收到评审报告后，从评审报告提出的成交候选供应商中，按照排</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序由高到低的原则确定成交供应商</w:t>
      </w:r>
      <w:r>
        <w:rPr>
          <w:rFonts w:hint="eastAsia" w:ascii="仿宋" w:hAnsi="仿宋" w:eastAsia="仿宋" w:cs="仿宋"/>
          <w:color w:val="000000" w:themeColor="text1"/>
          <w:spacing w:val="-3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。采购人是否授权磋商小组直接确定成交</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供应商，见《供应商须知资料表》。成交候选人并列的，按照《供应商须知资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料表》要求确定成交供应商。</w:t>
      </w:r>
    </w:p>
    <w:p w14:paraId="153412CC">
      <w:pPr>
        <w:pStyle w:val="9"/>
        <w:spacing w:before="1" w:line="200" w:lineRule="auto"/>
        <w:ind w:left="1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21 成交公告与成交通知书</w:t>
      </w:r>
    </w:p>
    <w:p w14:paraId="09C1D74E">
      <w:pPr>
        <w:pStyle w:val="9"/>
        <w:spacing w:before="175" w:line="270" w:lineRule="auto"/>
        <w:ind w:left="1078" w:right="2" w:hanging="70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21.1</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采购人或采购代理机构将在成交供应商确定后2个工作日内</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，在新疆政府采购网</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公告成交结果，同时向成交供应商发出成交通知书，成交公告期限为 1</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个工作日。</w:t>
      </w:r>
    </w:p>
    <w:p w14:paraId="6C6D91D7">
      <w:pPr>
        <w:pStyle w:val="9"/>
        <w:spacing w:before="179" w:line="269" w:lineRule="auto"/>
        <w:ind w:left="1087" w:right="2" w:hanging="70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21.2</w:t>
      </w:r>
      <w:r>
        <w:rPr>
          <w:rFonts w:hint="eastAsia" w:ascii="仿宋" w:hAnsi="仿宋" w:eastAsia="仿宋" w:cs="仿宋"/>
          <w:color w:val="000000" w:themeColor="text1"/>
          <w:spacing w:val="3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成交通知书对采购人和成交供应商均具有法律效力。成交通知书发出后</w:t>
      </w:r>
      <w:r>
        <w:rPr>
          <w:rFonts w:hint="eastAsia" w:ascii="仿宋" w:hAnsi="仿宋" w:eastAsia="仿宋" w:cs="仿宋"/>
          <w:color w:val="000000" w:themeColor="text1"/>
          <w:spacing w:val="-2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，采</w:t>
      </w:r>
      <w:r>
        <w:rPr>
          <w:rFonts w:hint="eastAsia" w:ascii="仿宋" w:hAnsi="仿宋" w:eastAsia="仿宋" w:cs="仿宋"/>
          <w:color w:val="000000" w:themeColor="text1"/>
          <w:sz w:val="24"/>
          <w:szCs w:val="24"/>
          <w:highlight w:val="none"/>
          <w:lang w:eastAsia="zh-CN"/>
          <w14:textFill>
            <w14:solidFill>
              <w14:schemeClr w14:val="tx1"/>
            </w14:solidFill>
          </w14:textFill>
        </w:rPr>
        <w:t>购人改变成交结果的，或者成交供应商放弃成交项目的，应当依法承担法律</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责任。</w:t>
      </w:r>
    </w:p>
    <w:p w14:paraId="4280E263">
      <w:pPr>
        <w:pStyle w:val="9"/>
        <w:spacing w:before="178" w:line="203" w:lineRule="auto"/>
        <w:ind w:left="1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22</w:t>
      </w:r>
      <w:r>
        <w:rPr>
          <w:rFonts w:hint="eastAsia" w:ascii="仿宋" w:hAnsi="仿宋" w:eastAsia="仿宋" w:cs="仿宋"/>
          <w:color w:val="000000" w:themeColor="text1"/>
          <w:spacing w:val="-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终止</w:t>
      </w:r>
    </w:p>
    <w:p w14:paraId="6579BE6A">
      <w:pPr>
        <w:pStyle w:val="9"/>
        <w:spacing w:before="174" w:line="304" w:lineRule="auto"/>
        <w:ind w:left="1081" w:right="52" w:hanging="70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22.1  出现下列情形之一的，采购人或采购代理机构将终止竞争性磋商采购活动，</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发布项目终止公告并说明原因，重新开展采</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购活动：</w:t>
      </w:r>
    </w:p>
    <w:p w14:paraId="0A8AC92B">
      <w:pPr>
        <w:pStyle w:val="9"/>
        <w:spacing w:line="200" w:lineRule="auto"/>
        <w:ind w:left="109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22.1.1  因情况变化，不再符合规定的竞争性磋商采购方式适用情形的；</w:t>
      </w:r>
    </w:p>
    <w:p w14:paraId="49CF16AE">
      <w:pPr>
        <w:pStyle w:val="9"/>
        <w:spacing w:before="178" w:line="200" w:lineRule="auto"/>
        <w:ind w:left="1098"/>
        <w:rPr>
          <w:rFonts w:hint="eastAsia"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22.1.2  出现影响采购公正的违法、违规行为的；</w:t>
      </w:r>
    </w:p>
    <w:p w14:paraId="7EB17DCD">
      <w:pPr>
        <w:pStyle w:val="9"/>
        <w:spacing w:before="178" w:line="200" w:lineRule="auto"/>
        <w:ind w:left="2072" w:leftChars="522" w:hanging="976" w:hangingChars="4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22.1.3  除了“市场竞争不充分的科研项目，以及需要扶持的科</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技成果转化项</w:t>
      </w:r>
      <w:r>
        <w:rPr>
          <w:rFonts w:hint="eastAsia" w:ascii="仿宋" w:hAnsi="仿宋" w:eastAsia="仿宋" w:cs="仿宋"/>
          <w:color w:val="000000" w:themeColor="text1"/>
          <w:sz w:val="24"/>
          <w:szCs w:val="24"/>
          <w:highlight w:val="none"/>
          <w:lang w:eastAsia="zh-CN"/>
          <w14:textFill>
            <w14:solidFill>
              <w14:schemeClr w14:val="tx1"/>
            </w14:solidFill>
          </w14:textFill>
        </w:rPr>
        <w:t>目，提交最后报价的供应商可以为2家；政府购买服务项目（含政</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府和社会资本合作项目</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在采购过程中符合要求的供应商（社会资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本）只有2家的，竞争性磋商采购活动可以继续进行”的情形外，在</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采购过程中符合要求的供应商或者报价未超过采购预算的供应商不</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足3家的。</w:t>
      </w:r>
    </w:p>
    <w:p w14:paraId="7A3411C9">
      <w:pPr>
        <w:pStyle w:val="9"/>
        <w:spacing w:before="176" w:line="201" w:lineRule="auto"/>
        <w:ind w:left="1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23 签订合同</w:t>
      </w:r>
    </w:p>
    <w:p w14:paraId="3A9B5703">
      <w:pPr>
        <w:pStyle w:val="9"/>
        <w:spacing w:before="4" w:line="268" w:lineRule="auto"/>
        <w:ind w:left="1078" w:hanging="70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23.1</w:t>
      </w:r>
      <w:r>
        <w:rPr>
          <w:rFonts w:hint="eastAsia" w:ascii="仿宋" w:hAnsi="仿宋" w:eastAsia="仿宋" w:cs="仿宋"/>
          <w:color w:val="000000" w:themeColor="text1"/>
          <w:spacing w:val="28"/>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采购人与成交供应商应当在成交通知书发</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出之日起30日内，按照磋商文件确</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定的合同文本以及采购标的、规格型号</w:t>
      </w:r>
      <w:r>
        <w:rPr>
          <w:rFonts w:hint="eastAsia" w:ascii="仿宋" w:hAnsi="仿宋" w:eastAsia="仿宋" w:cs="仿宋"/>
          <w:color w:val="000000" w:themeColor="text1"/>
          <w:spacing w:val="-4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、采购金额、采购数量</w:t>
      </w:r>
      <w:r>
        <w:rPr>
          <w:rFonts w:hint="eastAsia" w:ascii="仿宋" w:hAnsi="仿宋" w:eastAsia="仿宋" w:cs="仿宋"/>
          <w:color w:val="000000" w:themeColor="text1"/>
          <w:spacing w:val="-42"/>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、技术和服务要求等事项签订政府采购合同。</w:t>
      </w:r>
    </w:p>
    <w:p w14:paraId="7465E5D4">
      <w:pPr>
        <w:pStyle w:val="9"/>
        <w:spacing w:before="4" w:line="268" w:lineRule="auto"/>
        <w:ind w:left="1078" w:hanging="70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23.2</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成交供应商拒绝签订政府采购合同的</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，采购人可以按照评审报告推荐的成交</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候选人名单排序，确定下一候选人为成交供应商，也可以重新开展采购</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活动。</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拒绝签订政府采购合同的成交供应商不得参加对该项目重新开展的采购</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活动。</w:t>
      </w:r>
    </w:p>
    <w:p w14:paraId="042EEAC2">
      <w:pPr>
        <w:pStyle w:val="9"/>
        <w:spacing w:before="179" w:line="251" w:lineRule="auto"/>
        <w:ind w:left="1080" w:right="133" w:hanging="70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23.3</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联合体成交的，联合体各方应当共同与采购人签订合同</w:t>
      </w:r>
      <w:r>
        <w:rPr>
          <w:rFonts w:hint="eastAsia" w:ascii="仿宋" w:hAnsi="仿宋" w:eastAsia="仿宋" w:cs="仿宋"/>
          <w:color w:val="000000" w:themeColor="text1"/>
          <w:sz w:val="24"/>
          <w:szCs w:val="24"/>
          <w:highlight w:val="none"/>
          <w:lang w:eastAsia="zh-CN"/>
          <w14:textFill>
            <w14:solidFill>
              <w14:schemeClr w14:val="tx1"/>
            </w14:solidFill>
          </w14:textFill>
        </w:rPr>
        <w:t>，就采购合同约定的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事项向采购人承担连带责任。</w:t>
      </w:r>
    </w:p>
    <w:p w14:paraId="16F0C7F5">
      <w:pPr>
        <w:pStyle w:val="9"/>
        <w:spacing w:before="179" w:line="201" w:lineRule="auto"/>
        <w:ind w:left="373"/>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23.4</w:t>
      </w:r>
      <w:r>
        <w:rPr>
          <w:rFonts w:hint="eastAsia" w:ascii="仿宋" w:hAnsi="仿宋" w:eastAsia="仿宋" w:cs="仿宋"/>
          <w:color w:val="000000" w:themeColor="text1"/>
          <w:spacing w:val="3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政府采购合同不能转包。</w:t>
      </w:r>
    </w:p>
    <w:p w14:paraId="2E33AD50">
      <w:pPr>
        <w:pStyle w:val="9"/>
        <w:spacing w:before="180" w:line="283" w:lineRule="auto"/>
        <w:ind w:left="1079" w:right="126" w:hanging="706"/>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23.5</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采购人允许采用分包方式履行合同的</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，成交供应商可以依法采取分包方式履</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行合同。本项目是否允许分包，见《供应商须知资料表》。政府采购合同分包</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履行的，应当在响应文件中载明分包承担主体</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，分包承</w:t>
      </w:r>
      <w:r>
        <w:rPr>
          <w:rFonts w:hint="eastAsia" w:ascii="仿宋" w:hAnsi="仿宋" w:eastAsia="仿宋" w:cs="仿宋"/>
          <w:color w:val="000000" w:themeColor="text1"/>
          <w:sz w:val="24"/>
          <w:szCs w:val="24"/>
          <w:highlight w:val="none"/>
          <w:lang w:eastAsia="zh-CN"/>
          <w14:textFill>
            <w14:solidFill>
              <w14:schemeClr w14:val="tx1"/>
            </w14:solidFill>
          </w14:textFill>
        </w:rPr>
        <w:t>担主体应当具备相应资质条件且不得再次分包，</w:t>
      </w:r>
      <w:r>
        <w:rPr>
          <w:rFonts w:hint="eastAsia" w:ascii="仿宋" w:hAnsi="仿宋" w:eastAsia="仿宋" w:cs="仿宋"/>
          <w:b/>
          <w:bCs/>
          <w:color w:val="000000" w:themeColor="text1"/>
          <w:sz w:val="24"/>
          <w:szCs w:val="24"/>
          <w:highlight w:val="none"/>
          <w:lang w:eastAsia="zh-CN"/>
          <w14:textFill>
            <w14:solidFill>
              <w14:schemeClr w14:val="tx1"/>
            </w14:solidFill>
          </w14:textFill>
        </w:rPr>
        <w:t>否则响应无效</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。成交供应商就采购项目和分包项</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目向采购人负责，分包供应商就分包项目承担责任。</w:t>
      </w:r>
    </w:p>
    <w:p w14:paraId="0F8CAF75">
      <w:pPr>
        <w:pStyle w:val="9"/>
        <w:spacing w:before="179" w:line="201" w:lineRule="auto"/>
        <w:ind w:left="1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24 询问与质疑</w:t>
      </w:r>
    </w:p>
    <w:p w14:paraId="2333C35E">
      <w:pPr>
        <w:pStyle w:val="9"/>
        <w:spacing w:before="177" w:line="202" w:lineRule="auto"/>
        <w:ind w:left="373"/>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24.1</w:t>
      </w:r>
      <w:r>
        <w:rPr>
          <w:rFonts w:hint="eastAsia" w:ascii="仿宋" w:hAnsi="仿宋" w:eastAsia="仿宋" w:cs="仿宋"/>
          <w:color w:val="000000" w:themeColor="text1"/>
          <w:spacing w:val="29"/>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询问</w:t>
      </w:r>
    </w:p>
    <w:p w14:paraId="13DAB8E7">
      <w:pPr>
        <w:pStyle w:val="9"/>
        <w:spacing w:before="173" w:line="253" w:lineRule="auto"/>
        <w:ind w:left="1986" w:right="131" w:hanging="88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24.1.1 供应商对政府采购活动事项有疑问的，可依法向采购人或采购代理机</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构提出询问，提出形式见《供应商须知资料表》。</w:t>
      </w:r>
    </w:p>
    <w:p w14:paraId="48F441E5">
      <w:pPr>
        <w:pStyle w:val="9"/>
        <w:spacing w:before="177" w:line="251" w:lineRule="auto"/>
        <w:ind w:left="1984" w:right="131" w:hanging="88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24.1.2 采购人或采购代理机构对供</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应商依法提出的询问，在3个工作日内</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作出答复，但答复的内容不得涉及商业秘密。</w:t>
      </w:r>
    </w:p>
    <w:p w14:paraId="5D90CF12">
      <w:pPr>
        <w:pStyle w:val="9"/>
        <w:spacing w:before="178" w:line="201" w:lineRule="auto"/>
        <w:ind w:left="373"/>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24.2</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质疑</w:t>
      </w:r>
    </w:p>
    <w:p w14:paraId="1764E06D">
      <w:pPr>
        <w:pStyle w:val="9"/>
        <w:spacing w:before="178" w:line="278" w:lineRule="auto"/>
        <w:ind w:left="1985" w:right="58" w:hanging="88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24.2.1  供应商认为竞争性磋商文件、采购过程、成交结果使自己的权益受到</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损害的，可以在知道或者应知其权益受到损害之日起</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7个工作日内，</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以书面形式向采购人、采购代理机构提出质疑。采购人、采购代理机</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构在收到质疑函后7个工作日内作出答复。</w:t>
      </w:r>
    </w:p>
    <w:p w14:paraId="140264E1">
      <w:pPr>
        <w:pStyle w:val="9"/>
        <w:spacing w:before="175" w:line="253" w:lineRule="auto"/>
        <w:ind w:left="2003" w:right="131" w:hanging="90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24.2.2  质疑函须使用财政部制定的范本文件。供应商为自然人的，质疑函应</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当由本人签字；供应商为法人或者其他组织的，质疑函应当由法定代</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表人、主要负责人，或者其授权代表签字或者盖章，并加盖公章。</w:t>
      </w:r>
    </w:p>
    <w:p w14:paraId="3AE4D6D1">
      <w:pPr>
        <w:pStyle w:val="9"/>
        <w:spacing w:before="180" w:line="283" w:lineRule="auto"/>
        <w:ind w:left="1984" w:hanging="88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24.2.3  供应商委托代理人进行质疑的，应当随质疑函同时提交供应商签署的</w:t>
      </w:r>
      <w:r>
        <w:rPr>
          <w:rFonts w:hint="eastAsia" w:ascii="仿宋" w:hAnsi="仿宋" w:eastAsia="仿宋" w:cs="仿宋"/>
          <w:color w:val="000000" w:themeColor="text1"/>
          <w:spacing w:val="-9"/>
          <w:sz w:val="24"/>
          <w:szCs w:val="24"/>
          <w:highlight w:val="none"/>
          <w:lang w:eastAsia="zh-CN"/>
          <w14:textFill>
            <w14:solidFill>
              <w14:schemeClr w14:val="tx1"/>
            </w14:solidFill>
          </w14:textFill>
        </w:rPr>
        <w:t>授权委托书。授权委托书应当载明代理人的姓名或者名称、代理事项、</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具体权限、期限和相关事项。供应商为自然人的，应当由本人签字；</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供应商为法人或者其他组织的，应当由法定代表人、主要负责人签字</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或者盖章，并加盖公章。</w:t>
      </w:r>
    </w:p>
    <w:p w14:paraId="7811E9E9">
      <w:pPr>
        <w:pStyle w:val="9"/>
        <w:spacing w:before="175" w:line="270" w:lineRule="auto"/>
        <w:ind w:left="1984" w:right="30" w:hanging="88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24.2.4  供应商应在法定质疑期内一次性提出针对同一采购程序环</w:t>
      </w:r>
      <w:r>
        <w:rPr>
          <w:rFonts w:hint="eastAsia" w:ascii="仿宋" w:hAnsi="仿宋" w:eastAsia="仿宋" w:cs="仿宋"/>
          <w:color w:val="000000" w:themeColor="text1"/>
          <w:sz w:val="24"/>
          <w:szCs w:val="24"/>
          <w:highlight w:val="none"/>
          <w:lang w:eastAsia="zh-CN"/>
          <w14:textFill>
            <w14:solidFill>
              <w14:schemeClr w14:val="tx1"/>
            </w14:solidFill>
          </w14:textFill>
        </w:rPr>
        <w:t>节的质疑，</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法定质疑期内针对同一采购程序环节再次提出的质疑，采购人、采购</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代理机构有权不予答复。</w:t>
      </w:r>
    </w:p>
    <w:p w14:paraId="6247959D">
      <w:pPr>
        <w:pStyle w:val="9"/>
        <w:spacing w:before="177" w:line="200" w:lineRule="auto"/>
        <w:ind w:right="28"/>
        <w:jc w:val="righ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 xml:space="preserve">  24.3</w:t>
      </w:r>
      <w:r>
        <w:rPr>
          <w:rFonts w:hint="eastAsia" w:ascii="仿宋" w:hAnsi="仿宋" w:eastAsia="仿宋" w:cs="仿宋"/>
          <w:color w:val="000000" w:themeColor="text1"/>
          <w:spacing w:val="3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接收询问和质疑的联系部门、联系电话和通讯地址见《供应商须知资料表》。</w:t>
      </w:r>
    </w:p>
    <w:p w14:paraId="6F439F8B">
      <w:pPr>
        <w:pStyle w:val="9"/>
        <w:spacing w:before="179" w:line="201" w:lineRule="auto"/>
        <w:ind w:left="1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25</w:t>
      </w:r>
      <w:r>
        <w:rPr>
          <w:rFonts w:hint="eastAsia" w:ascii="仿宋" w:hAnsi="仿宋" w:eastAsia="仿宋" w:cs="仿宋"/>
          <w:color w:val="000000" w:themeColor="text1"/>
          <w:spacing w:val="-12"/>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代理费</w:t>
      </w:r>
    </w:p>
    <w:p w14:paraId="104C8CD6">
      <w:pPr>
        <w:pStyle w:val="9"/>
        <w:spacing w:before="177" w:line="200" w:lineRule="auto"/>
        <w:ind w:left="1074" w:leftChars="177" w:hanging="702" w:hangingChars="3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25.1  收费对象、收费标准及缴纳时间见《供应商须知资料表》。由成</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交供应商支付</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的，成交供应商须一次性向采购代理机构缴纳代理费，报价应包含代理费用。</w:t>
      </w:r>
    </w:p>
    <w:p w14:paraId="63C3B299">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10" w:type="default"/>
          <w:footerReference r:id="rId11" w:type="default"/>
          <w:pgSz w:w="11907" w:h="16839"/>
          <w:pgMar w:top="1417" w:right="1417" w:bottom="1417" w:left="1417" w:header="1191" w:footer="1092" w:gutter="0"/>
          <w:pgNumType w:fmt="decimal"/>
          <w:cols w:space="720" w:num="1"/>
        </w:sectPr>
      </w:pPr>
    </w:p>
    <w:p w14:paraId="65A79503">
      <w:pPr>
        <w:spacing w:line="360" w:lineRule="auto"/>
        <w:jc w:val="center"/>
        <w:outlineLvl w:val="0"/>
        <w:rPr>
          <w:rFonts w:hint="eastAsia" w:ascii="仿宋" w:hAnsi="仿宋" w:eastAsia="仿宋" w:cs="仿宋"/>
          <w:b/>
          <w:bCs/>
          <w:color w:val="000000" w:themeColor="text1"/>
          <w:spacing w:val="-4"/>
          <w:sz w:val="36"/>
          <w:szCs w:val="36"/>
          <w:highlight w:val="none"/>
          <w:lang w:eastAsia="zh-CN"/>
          <w14:textFill>
            <w14:solidFill>
              <w14:schemeClr w14:val="tx1"/>
            </w14:solidFill>
          </w14:textFill>
        </w:rPr>
      </w:pPr>
      <w:bookmarkStart w:id="36" w:name="bookmark3"/>
      <w:bookmarkEnd w:id="36"/>
      <w:bookmarkStart w:id="37" w:name="_Toc12004"/>
      <w:bookmarkStart w:id="38" w:name="_Toc13270"/>
      <w:bookmarkStart w:id="39" w:name="_Toc27149"/>
      <w:r>
        <w:rPr>
          <w:rFonts w:hint="eastAsia" w:ascii="仿宋" w:hAnsi="仿宋" w:eastAsia="仿宋" w:cs="仿宋"/>
          <w:b/>
          <w:bCs/>
          <w:color w:val="000000" w:themeColor="text1"/>
          <w:spacing w:val="-4"/>
          <w:sz w:val="36"/>
          <w:szCs w:val="36"/>
          <w:highlight w:val="none"/>
          <w:lang w:eastAsia="zh-CN"/>
          <w14:textFill>
            <w14:solidFill>
              <w14:schemeClr w14:val="tx1"/>
            </w14:solidFill>
          </w14:textFill>
        </w:rPr>
        <w:t>第三章</w:t>
      </w:r>
      <w:bookmarkStart w:id="40" w:name="_Toc3879"/>
      <w:r>
        <w:rPr>
          <w:rFonts w:hint="eastAsia" w:ascii="仿宋" w:hAnsi="仿宋" w:eastAsia="仿宋" w:cs="仿宋"/>
          <w:b/>
          <w:color w:val="000000" w:themeColor="text1"/>
          <w:sz w:val="36"/>
          <w:szCs w:val="36"/>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4"/>
          <w:sz w:val="36"/>
          <w:szCs w:val="36"/>
          <w:highlight w:val="none"/>
          <w:lang w:eastAsia="zh-CN"/>
          <w14:textFill>
            <w14:solidFill>
              <w14:schemeClr w14:val="tx1"/>
            </w14:solidFill>
          </w14:textFill>
        </w:rPr>
        <w:t>评审方法和评审标准</w:t>
      </w:r>
      <w:bookmarkEnd w:id="37"/>
      <w:bookmarkEnd w:id="38"/>
      <w:bookmarkEnd w:id="39"/>
      <w:bookmarkEnd w:id="40"/>
    </w:p>
    <w:p w14:paraId="690C7079">
      <w:pPr>
        <w:tabs>
          <w:tab w:val="left" w:pos="360"/>
          <w:tab w:val="left" w:pos="900"/>
        </w:tabs>
        <w:spacing w:line="360" w:lineRule="auto"/>
        <w:jc w:val="center"/>
        <w:outlineLvl w:val="1"/>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一、评审方法</w:t>
      </w:r>
    </w:p>
    <w:p w14:paraId="1D43D0BD">
      <w:pPr>
        <w:tabs>
          <w:tab w:val="left" w:pos="360"/>
          <w:tab w:val="left" w:pos="900"/>
        </w:tabs>
        <w:spacing w:line="360" w:lineRule="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   响应文件的资格审查和符合性审查</w:t>
      </w:r>
    </w:p>
    <w:p w14:paraId="4DABA306">
      <w:pPr>
        <w:tabs>
          <w:tab w:val="left" w:pos="360"/>
          <w:tab w:val="left" w:pos="900"/>
        </w:tabs>
        <w:spacing w:line="360" w:lineRule="auto"/>
        <w:ind w:left="480" w:hanging="480" w:hanging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1.1  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仿宋" w:hAnsi="仿宋" w:eastAsia="仿宋" w:cs="仿宋"/>
          <w:b/>
          <w:bCs/>
          <w:color w:val="000000" w:themeColor="text1"/>
          <w:sz w:val="24"/>
          <w:highlight w:val="none"/>
          <w:lang w:eastAsia="zh-CN"/>
          <w14:textFill>
            <w14:solidFill>
              <w14:schemeClr w14:val="tx1"/>
            </w14:solidFill>
          </w14:textFill>
        </w:rPr>
        <w:t>无效响应</w:t>
      </w:r>
      <w:r>
        <w:rPr>
          <w:rFonts w:hint="eastAsia" w:ascii="仿宋" w:hAnsi="仿宋" w:eastAsia="仿宋" w:cs="仿宋"/>
          <w:color w:val="000000" w:themeColor="text1"/>
          <w:sz w:val="24"/>
          <w:highlight w:val="none"/>
          <w:lang w:eastAsia="zh-CN"/>
          <w14:textFill>
            <w14:solidFill>
              <w14:schemeClr w14:val="tx1"/>
            </w14:solidFill>
          </w14:textFill>
        </w:rPr>
        <w:t>处理，磋商小组应当告知提交响应文件的供应商。</w:t>
      </w:r>
    </w:p>
    <w:p w14:paraId="4C99F824">
      <w:pPr>
        <w:tabs>
          <w:tab w:val="left" w:pos="360"/>
          <w:tab w:val="left" w:pos="900"/>
        </w:tabs>
        <w:spacing w:line="360" w:lineRule="auto"/>
        <w:ind w:left="720" w:hanging="720" w:hangingChars="3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1.2 《资格审查要求》中对格式有要求的，除竞争性磋商文件另有规定外，均为“实质性格式”文件。</w:t>
      </w:r>
    </w:p>
    <w:p w14:paraId="49D16A8C">
      <w:pPr>
        <w:tabs>
          <w:tab w:val="left" w:pos="360"/>
          <w:tab w:val="left" w:pos="900"/>
        </w:tabs>
        <w:spacing w:line="360" w:lineRule="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1.3  《资格审查要求》见下表：</w:t>
      </w:r>
    </w:p>
    <w:p w14:paraId="01F1652A">
      <w:pPr>
        <w:tabs>
          <w:tab w:val="left" w:pos="360"/>
          <w:tab w:val="left" w:pos="900"/>
        </w:tabs>
        <w:spacing w:line="360" w:lineRule="auto"/>
        <w:jc w:val="center"/>
        <w:outlineLvl w:val="1"/>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资格审查要求</w:t>
      </w:r>
    </w:p>
    <w:tbl>
      <w:tblPr>
        <w:tblStyle w:val="24"/>
        <w:tblW w:w="459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1592"/>
        <w:gridCol w:w="4730"/>
        <w:gridCol w:w="1278"/>
      </w:tblGrid>
      <w:tr w14:paraId="19A81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5" w:hRule="atLeast"/>
          <w:tblHeader/>
        </w:trPr>
        <w:tc>
          <w:tcPr>
            <w:tcW w:w="432" w:type="pct"/>
            <w:vAlign w:val="center"/>
          </w:tcPr>
          <w:p w14:paraId="24C2A9BE">
            <w:pPr>
              <w:tabs>
                <w:tab w:val="left" w:pos="1080"/>
              </w:tabs>
              <w:jc w:val="center"/>
              <w:rPr>
                <w:rFonts w:hint="eastAsia" w:ascii="仿宋" w:hAnsi="仿宋" w:eastAsia="仿宋" w:cs="仿宋"/>
                <w:b/>
                <w:color w:val="000000" w:themeColor="text1"/>
                <w:sz w:val="24"/>
                <w:highlight w:val="none"/>
                <w14:textFill>
                  <w14:solidFill>
                    <w14:schemeClr w14:val="tx1"/>
                  </w14:solidFill>
                </w14:textFill>
              </w:rPr>
            </w:pPr>
            <w:bookmarkStart w:id="41" w:name="_Hlt487972895"/>
            <w:bookmarkEnd w:id="41"/>
            <w:r>
              <w:rPr>
                <w:rFonts w:hint="eastAsia" w:ascii="仿宋" w:hAnsi="仿宋" w:eastAsia="仿宋" w:cs="仿宋"/>
                <w:b/>
                <w:color w:val="000000" w:themeColor="text1"/>
                <w:sz w:val="24"/>
                <w:highlight w:val="none"/>
                <w14:textFill>
                  <w14:solidFill>
                    <w14:schemeClr w14:val="tx1"/>
                  </w14:solidFill>
                </w14:textFill>
              </w:rPr>
              <w:t>序号</w:t>
            </w:r>
          </w:p>
        </w:tc>
        <w:tc>
          <w:tcPr>
            <w:tcW w:w="956" w:type="pct"/>
            <w:vAlign w:val="center"/>
          </w:tcPr>
          <w:p w14:paraId="5AF69B51">
            <w:pPr>
              <w:tabs>
                <w:tab w:val="left" w:pos="1080"/>
              </w:tabs>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审查因素</w:t>
            </w:r>
          </w:p>
        </w:tc>
        <w:tc>
          <w:tcPr>
            <w:tcW w:w="2842" w:type="pct"/>
            <w:vAlign w:val="center"/>
          </w:tcPr>
          <w:p w14:paraId="41B1533C">
            <w:pPr>
              <w:tabs>
                <w:tab w:val="left" w:pos="1080"/>
              </w:tabs>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审查内容</w:t>
            </w:r>
          </w:p>
        </w:tc>
        <w:tc>
          <w:tcPr>
            <w:tcW w:w="768" w:type="pct"/>
            <w:vAlign w:val="center"/>
          </w:tcPr>
          <w:p w14:paraId="4AD2F259">
            <w:pPr>
              <w:tabs>
                <w:tab w:val="left" w:pos="1080"/>
              </w:tabs>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格式要求</w:t>
            </w:r>
          </w:p>
        </w:tc>
      </w:tr>
      <w:tr w14:paraId="3EB63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32" w:type="pct"/>
            <w:vAlign w:val="center"/>
          </w:tcPr>
          <w:p w14:paraId="60FDFBC9">
            <w:pPr>
              <w:tabs>
                <w:tab w:val="left" w:pos="1080"/>
              </w:tabs>
              <w:kinsoku/>
              <w:adjustRightInd/>
              <w:spacing w:line="240" w:lineRule="exact"/>
              <w:jc w:val="center"/>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p>
        </w:tc>
        <w:tc>
          <w:tcPr>
            <w:tcW w:w="956" w:type="pct"/>
            <w:vAlign w:val="center"/>
          </w:tcPr>
          <w:p w14:paraId="0AB12B89">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满足《中华人民共和国政府采购法》第二十二条规定</w:t>
            </w:r>
            <w:r>
              <w:rPr>
                <w:rFonts w:hint="eastAsia" w:ascii="仿宋" w:hAnsi="仿宋" w:eastAsia="仿宋" w:cs="仿宋"/>
                <w:color w:val="000000" w:themeColor="text1"/>
                <w:highlight w:val="none"/>
                <w:lang w:eastAsia="zh-CN"/>
                <w14:textFill>
                  <w14:solidFill>
                    <w14:schemeClr w14:val="tx1"/>
                  </w14:solidFill>
                </w14:textFill>
              </w:rPr>
              <w:tab/>
            </w:r>
          </w:p>
        </w:tc>
        <w:tc>
          <w:tcPr>
            <w:tcW w:w="2842" w:type="pct"/>
            <w:vAlign w:val="center"/>
          </w:tcPr>
          <w:p w14:paraId="49DFCE42">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具体规定见第一章《采购邀请》</w:t>
            </w:r>
          </w:p>
        </w:tc>
        <w:tc>
          <w:tcPr>
            <w:tcW w:w="768" w:type="pct"/>
            <w:vAlign w:val="center"/>
          </w:tcPr>
          <w:p w14:paraId="29F88941">
            <w:pPr>
              <w:tabs>
                <w:tab w:val="left" w:pos="1080"/>
              </w:tabs>
              <w:kinsoku/>
              <w:adjustRightInd/>
              <w:spacing w:line="240" w:lineRule="exact"/>
              <w:textAlignment w:val="auto"/>
              <w:rPr>
                <w:rFonts w:hint="eastAsia" w:ascii="仿宋" w:hAnsi="仿宋" w:eastAsia="仿宋" w:cs="仿宋"/>
                <w:color w:val="000000" w:themeColor="text1"/>
                <w:highlight w:val="none"/>
                <w:lang w:eastAsia="zh-CN"/>
                <w14:textFill>
                  <w14:solidFill>
                    <w14:schemeClr w14:val="tx1"/>
                  </w14:solidFill>
                </w14:textFill>
              </w:rPr>
            </w:pPr>
          </w:p>
        </w:tc>
      </w:tr>
      <w:tr w14:paraId="331D1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34" w:hRule="atLeast"/>
        </w:trPr>
        <w:tc>
          <w:tcPr>
            <w:tcW w:w="432" w:type="pct"/>
            <w:vAlign w:val="center"/>
          </w:tcPr>
          <w:p w14:paraId="70489663">
            <w:pPr>
              <w:tabs>
                <w:tab w:val="left" w:pos="1080"/>
              </w:tabs>
              <w:kinsoku/>
              <w:adjustRightInd/>
              <w:spacing w:line="240" w:lineRule="exact"/>
              <w:jc w:val="center"/>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w:t>
            </w:r>
          </w:p>
        </w:tc>
        <w:tc>
          <w:tcPr>
            <w:tcW w:w="956" w:type="pct"/>
            <w:vAlign w:val="center"/>
          </w:tcPr>
          <w:p w14:paraId="2BBE3A18">
            <w:pPr>
              <w:tabs>
                <w:tab w:val="left" w:pos="1080"/>
              </w:tabs>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营业执照等证明文件</w:t>
            </w:r>
          </w:p>
        </w:tc>
        <w:tc>
          <w:tcPr>
            <w:tcW w:w="2842" w:type="pct"/>
            <w:vAlign w:val="center"/>
          </w:tcPr>
          <w:p w14:paraId="3BC77460">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供应商为企业（包括合伙企业）的，应提供有效的“营业执照”；</w:t>
            </w:r>
          </w:p>
          <w:p w14:paraId="6DC84F8E">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供应商为事业单位的，应提供有效的“事业单位法人证书”；</w:t>
            </w:r>
          </w:p>
          <w:p w14:paraId="38A0DBC5">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供应商是非企业机构的，应提供有效的“执业许可证”、“登记证书”等证明文件；</w:t>
            </w:r>
          </w:p>
          <w:p w14:paraId="0E1BDEAD">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供应商是个体工商户的，应提供有效的“个体工商户营业执照”；</w:t>
            </w:r>
          </w:p>
          <w:p w14:paraId="5E3A389C">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供应商是自然人的，应提供有效的自然人身份证明。</w:t>
            </w:r>
          </w:p>
          <w:p w14:paraId="7A9AA77D">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768" w:type="pct"/>
            <w:vAlign w:val="center"/>
          </w:tcPr>
          <w:p w14:paraId="1A18590E">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提供证明文件的电子件或电子证照</w:t>
            </w:r>
          </w:p>
        </w:tc>
      </w:tr>
      <w:tr w14:paraId="708CB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2" w:hRule="atLeast"/>
        </w:trPr>
        <w:tc>
          <w:tcPr>
            <w:tcW w:w="432" w:type="pct"/>
            <w:vAlign w:val="center"/>
          </w:tcPr>
          <w:p w14:paraId="7F1EE8AC">
            <w:pPr>
              <w:tabs>
                <w:tab w:val="left" w:pos="1080"/>
              </w:tabs>
              <w:kinsoku/>
              <w:adjustRightInd/>
              <w:spacing w:line="240" w:lineRule="exact"/>
              <w:jc w:val="center"/>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eastAsia="zh-CN"/>
                <w14:textFill>
                  <w14:solidFill>
                    <w14:schemeClr w14:val="tx1"/>
                  </w14:solidFill>
                </w14:textFill>
              </w:rPr>
              <w:t>2</w:t>
            </w:r>
          </w:p>
        </w:tc>
        <w:tc>
          <w:tcPr>
            <w:tcW w:w="956" w:type="pct"/>
            <w:vAlign w:val="center"/>
          </w:tcPr>
          <w:p w14:paraId="5FD103BF">
            <w:pPr>
              <w:tabs>
                <w:tab w:val="left" w:pos="1080"/>
              </w:tabs>
              <w:kinsoku/>
              <w:adjustRightInd/>
              <w:spacing w:line="24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供应商</w:t>
            </w:r>
            <w:r>
              <w:rPr>
                <w:rFonts w:hint="eastAsia" w:ascii="仿宋" w:hAnsi="仿宋" w:eastAsia="仿宋" w:cs="仿宋"/>
                <w:color w:val="000000" w:themeColor="text1"/>
                <w:highlight w:val="none"/>
                <w14:textFill>
                  <w14:solidFill>
                    <w14:schemeClr w14:val="tx1"/>
                  </w14:solidFill>
                </w14:textFill>
              </w:rPr>
              <w:t>资格声明书</w:t>
            </w:r>
          </w:p>
        </w:tc>
        <w:tc>
          <w:tcPr>
            <w:tcW w:w="2842" w:type="pct"/>
            <w:vAlign w:val="center"/>
          </w:tcPr>
          <w:p w14:paraId="70899A90">
            <w:pPr>
              <w:tabs>
                <w:tab w:val="left" w:pos="1080"/>
              </w:tabs>
              <w:kinsoku/>
              <w:adjustRightInd/>
              <w:spacing w:line="240" w:lineRule="exact"/>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提供了符合竞争性磋商文件要求的《供应商资格声明书》。</w:t>
            </w:r>
          </w:p>
        </w:tc>
        <w:tc>
          <w:tcPr>
            <w:tcW w:w="768" w:type="pct"/>
            <w:vAlign w:val="center"/>
          </w:tcPr>
          <w:p w14:paraId="69FB80E5">
            <w:pPr>
              <w:tabs>
                <w:tab w:val="left" w:pos="1080"/>
              </w:tabs>
              <w:kinsoku/>
              <w:adjustRightInd/>
              <w:spacing w:line="240" w:lineRule="exact"/>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格式见《响应文件格式》</w:t>
            </w:r>
          </w:p>
        </w:tc>
      </w:tr>
      <w:tr w14:paraId="6011C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20" w:hRule="atLeast"/>
        </w:trPr>
        <w:tc>
          <w:tcPr>
            <w:tcW w:w="432" w:type="pct"/>
            <w:vAlign w:val="center"/>
          </w:tcPr>
          <w:p w14:paraId="607B98B7">
            <w:pPr>
              <w:tabs>
                <w:tab w:val="left" w:pos="1080"/>
              </w:tabs>
              <w:kinsoku/>
              <w:adjustRightInd/>
              <w:spacing w:line="240" w:lineRule="exact"/>
              <w:jc w:val="center"/>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eastAsia="zh-CN"/>
                <w14:textFill>
                  <w14:solidFill>
                    <w14:schemeClr w14:val="tx1"/>
                  </w14:solidFill>
                </w14:textFill>
              </w:rPr>
              <w:t>3</w:t>
            </w:r>
          </w:p>
        </w:tc>
        <w:tc>
          <w:tcPr>
            <w:tcW w:w="956" w:type="pct"/>
            <w:vAlign w:val="center"/>
          </w:tcPr>
          <w:p w14:paraId="009E7D20">
            <w:pPr>
              <w:tabs>
                <w:tab w:val="left" w:pos="1080"/>
              </w:tabs>
              <w:kinsoku/>
              <w:adjustRightInd/>
              <w:spacing w:line="24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供应商</w:t>
            </w:r>
            <w:r>
              <w:rPr>
                <w:rFonts w:hint="eastAsia" w:ascii="仿宋" w:hAnsi="仿宋" w:eastAsia="仿宋" w:cs="仿宋"/>
                <w:color w:val="000000" w:themeColor="text1"/>
                <w:highlight w:val="none"/>
                <w14:textFill>
                  <w14:solidFill>
                    <w14:schemeClr w14:val="tx1"/>
                  </w14:solidFill>
                </w14:textFill>
              </w:rPr>
              <w:t>信用记录</w:t>
            </w:r>
          </w:p>
        </w:tc>
        <w:tc>
          <w:tcPr>
            <w:tcW w:w="2842" w:type="pct"/>
            <w:vAlign w:val="center"/>
          </w:tcPr>
          <w:p w14:paraId="5B32E387">
            <w:pPr>
              <w:tabs>
                <w:tab w:val="left" w:pos="1080"/>
              </w:tabs>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查询渠道：信用中国网站和中国政府采购网（www.creditchina.gov.cn、www.ccgp.gov.cn）；</w:t>
            </w:r>
          </w:p>
          <w:p w14:paraId="4A4FA702">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截止时点：首次响应文件提交截止时间以后、资格审查阶段采购人或采购代理机构的实际查询时间；</w:t>
            </w:r>
          </w:p>
          <w:p w14:paraId="6CC6CB6B">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信用信息查询记录和证据留存具体方式：查询结果网页打印页作为查询记录和证据，与其他竞争性磋商文件一并保存；</w:t>
            </w:r>
          </w:p>
          <w:p w14:paraId="2176C3F4">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信用信息的使用原则：经认定的被列入失信被执行人、重大税收违法案件当事人名单、政府采购严重违法失信行为记录名单的供应商，其</w:t>
            </w:r>
            <w:r>
              <w:rPr>
                <w:rFonts w:hint="eastAsia" w:ascii="仿宋" w:hAnsi="仿宋" w:eastAsia="仿宋" w:cs="仿宋"/>
                <w:b/>
                <w:bCs/>
                <w:color w:val="000000" w:themeColor="text1"/>
                <w:highlight w:val="none"/>
                <w:lang w:eastAsia="zh-CN"/>
                <w14:textFill>
                  <w14:solidFill>
                    <w14:schemeClr w14:val="tx1"/>
                  </w14:solidFill>
                </w14:textFill>
              </w:rPr>
              <w:t>响应无效</w:t>
            </w:r>
            <w:r>
              <w:rPr>
                <w:rFonts w:hint="eastAsia" w:ascii="仿宋" w:hAnsi="仿宋" w:eastAsia="仿宋" w:cs="仿宋"/>
                <w:color w:val="000000" w:themeColor="text1"/>
                <w:highlight w:val="none"/>
                <w:lang w:eastAsia="zh-CN"/>
                <w14:textFill>
                  <w14:solidFill>
                    <w14:schemeClr w14:val="tx1"/>
                  </w14:solidFill>
                </w14:textFill>
              </w:rPr>
              <w:t>。</w:t>
            </w:r>
          </w:p>
          <w:p w14:paraId="644839AF">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联合体形式磋商的，联合体成员存在不良信用记录，视同联合体存在不良信用记录。</w:t>
            </w:r>
          </w:p>
        </w:tc>
        <w:tc>
          <w:tcPr>
            <w:tcW w:w="768" w:type="pct"/>
            <w:vAlign w:val="center"/>
          </w:tcPr>
          <w:p w14:paraId="41D9EACE">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无须供应商提供，</w:t>
            </w:r>
            <w:r>
              <w:rPr>
                <w:rFonts w:hint="eastAsia" w:ascii="仿宋" w:hAnsi="仿宋" w:eastAsia="仿宋" w:cs="仿宋"/>
                <w:color w:val="000000" w:themeColor="text1"/>
                <w:highlight w:val="none"/>
                <w:lang w:val="en-US" w:eastAsia="zh-CN"/>
                <w14:textFill>
                  <w14:solidFill>
                    <w14:schemeClr w14:val="tx1"/>
                  </w14:solidFill>
                </w14:textFill>
              </w:rPr>
              <w:t>磋商小组</w:t>
            </w:r>
            <w:r>
              <w:rPr>
                <w:rFonts w:hint="eastAsia" w:ascii="仿宋" w:hAnsi="仿宋" w:eastAsia="仿宋" w:cs="仿宋"/>
                <w:color w:val="000000" w:themeColor="text1"/>
                <w:highlight w:val="none"/>
                <w:lang w:eastAsia="zh-CN"/>
                <w14:textFill>
                  <w14:solidFill>
                    <w14:schemeClr w14:val="tx1"/>
                  </w14:solidFill>
                </w14:textFill>
              </w:rPr>
              <w:t>查询。</w:t>
            </w:r>
          </w:p>
        </w:tc>
      </w:tr>
      <w:tr w14:paraId="52344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432" w:type="pct"/>
            <w:vAlign w:val="center"/>
          </w:tcPr>
          <w:p w14:paraId="241F05EB">
            <w:pPr>
              <w:tabs>
                <w:tab w:val="left" w:pos="1080"/>
              </w:tabs>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1-4</w:t>
            </w:r>
          </w:p>
        </w:tc>
        <w:tc>
          <w:tcPr>
            <w:tcW w:w="956" w:type="pct"/>
            <w:vAlign w:val="center"/>
          </w:tcPr>
          <w:p w14:paraId="5532C2BD">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法律、行政法规规定的其他条件</w:t>
            </w:r>
          </w:p>
        </w:tc>
        <w:tc>
          <w:tcPr>
            <w:tcW w:w="2842" w:type="pct"/>
            <w:vAlign w:val="center"/>
          </w:tcPr>
          <w:p w14:paraId="1765B99C">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法律、行政法规规定的其他条件</w:t>
            </w:r>
          </w:p>
        </w:tc>
        <w:tc>
          <w:tcPr>
            <w:tcW w:w="768" w:type="pct"/>
            <w:vAlign w:val="center"/>
          </w:tcPr>
          <w:p w14:paraId="348E4D32">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p>
        </w:tc>
      </w:tr>
      <w:tr w14:paraId="28459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3" w:hRule="atLeast"/>
        </w:trPr>
        <w:tc>
          <w:tcPr>
            <w:tcW w:w="432" w:type="pct"/>
            <w:vAlign w:val="center"/>
          </w:tcPr>
          <w:p w14:paraId="39C15FCE">
            <w:pPr>
              <w:tabs>
                <w:tab w:val="left" w:pos="1080"/>
              </w:tabs>
              <w:kinsoku/>
              <w:adjustRightInd/>
              <w:spacing w:line="240" w:lineRule="exact"/>
              <w:jc w:val="center"/>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p>
        </w:tc>
        <w:tc>
          <w:tcPr>
            <w:tcW w:w="956" w:type="pct"/>
            <w:vAlign w:val="center"/>
          </w:tcPr>
          <w:p w14:paraId="4A85444B">
            <w:pPr>
              <w:tabs>
                <w:tab w:val="left" w:pos="1080"/>
              </w:tabs>
              <w:kinsoku/>
              <w:adjustRightInd/>
              <w:spacing w:line="240" w:lineRule="exact"/>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落实政府采购政策需满足的资格要求</w:t>
            </w:r>
          </w:p>
        </w:tc>
        <w:tc>
          <w:tcPr>
            <w:tcW w:w="2842" w:type="pct"/>
            <w:vAlign w:val="center"/>
          </w:tcPr>
          <w:p w14:paraId="7599BEA5">
            <w:pPr>
              <w:tabs>
                <w:tab w:val="left" w:pos="1080"/>
              </w:tabs>
              <w:kinsoku/>
              <w:autoSpaceDE/>
              <w:autoSpaceDN/>
              <w:adjustRightInd/>
              <w:spacing w:line="240" w:lineRule="exact"/>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具体要求见第一章《采购邀请》</w:t>
            </w:r>
          </w:p>
        </w:tc>
        <w:tc>
          <w:tcPr>
            <w:tcW w:w="768" w:type="pct"/>
            <w:vAlign w:val="center"/>
          </w:tcPr>
          <w:p w14:paraId="2633B222">
            <w:pPr>
              <w:tabs>
                <w:tab w:val="left" w:pos="1080"/>
              </w:tabs>
              <w:kinsoku/>
              <w:adjustRightInd/>
              <w:spacing w:line="240" w:lineRule="exact"/>
              <w:textAlignment w:val="auto"/>
              <w:rPr>
                <w:rFonts w:hint="eastAsia" w:ascii="仿宋" w:hAnsi="仿宋" w:eastAsia="仿宋" w:cs="仿宋"/>
                <w:color w:val="000000" w:themeColor="text1"/>
                <w:highlight w:val="none"/>
                <w:lang w:eastAsia="zh-CN"/>
                <w14:textFill>
                  <w14:solidFill>
                    <w14:schemeClr w14:val="tx1"/>
                  </w14:solidFill>
                </w14:textFill>
              </w:rPr>
            </w:pPr>
          </w:p>
        </w:tc>
      </w:tr>
      <w:tr w14:paraId="5A0F7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32" w:type="pct"/>
            <w:vAlign w:val="center"/>
          </w:tcPr>
          <w:p w14:paraId="107D6160">
            <w:pPr>
              <w:tabs>
                <w:tab w:val="left" w:pos="1080"/>
              </w:tabs>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2-1</w:t>
            </w:r>
          </w:p>
        </w:tc>
        <w:tc>
          <w:tcPr>
            <w:tcW w:w="956" w:type="pct"/>
            <w:vAlign w:val="center"/>
          </w:tcPr>
          <w:p w14:paraId="350D4E68">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中小企业政策证明文件</w:t>
            </w:r>
          </w:p>
        </w:tc>
        <w:tc>
          <w:tcPr>
            <w:tcW w:w="2842" w:type="pct"/>
            <w:vAlign w:val="center"/>
          </w:tcPr>
          <w:p w14:paraId="530CCE3D">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供应商应为中小企业，提供如下资料：</w:t>
            </w:r>
          </w:p>
          <w:p w14:paraId="34DAC792">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1、供应商单独响应的，应提供《中小企业声明函》或《残疾人福利性单位声明函》或由省级以上监狱管理局、戒毒管理局（含新疆生产建设兵团）出具的属于监狱企业的证明文件。</w:t>
            </w:r>
          </w:p>
          <w:p w14:paraId="20DD7CA8">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768" w:type="pct"/>
            <w:vAlign w:val="center"/>
          </w:tcPr>
          <w:p w14:paraId="57D323C1">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格式见《响应文件格式》</w:t>
            </w:r>
          </w:p>
        </w:tc>
      </w:tr>
      <w:tr w14:paraId="0026B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2" w:hRule="atLeast"/>
        </w:trPr>
        <w:tc>
          <w:tcPr>
            <w:tcW w:w="432" w:type="pct"/>
            <w:vAlign w:val="center"/>
          </w:tcPr>
          <w:p w14:paraId="386F16D3">
            <w:pPr>
              <w:tabs>
                <w:tab w:val="left" w:pos="1080"/>
              </w:tabs>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lang w:eastAsia="zh-CN"/>
                <w14:textFill>
                  <w14:solidFill>
                    <w14:schemeClr w14:val="tx1"/>
                  </w14:solidFill>
                </w14:textFill>
              </w:rPr>
              <w:t>2</w:t>
            </w:r>
          </w:p>
        </w:tc>
        <w:tc>
          <w:tcPr>
            <w:tcW w:w="956" w:type="pct"/>
            <w:vAlign w:val="center"/>
          </w:tcPr>
          <w:p w14:paraId="18CB7765">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其它落实政府采购政策的资格要求</w:t>
            </w:r>
          </w:p>
        </w:tc>
        <w:tc>
          <w:tcPr>
            <w:tcW w:w="2842" w:type="pct"/>
            <w:vAlign w:val="center"/>
          </w:tcPr>
          <w:p w14:paraId="50B00FE5">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如有，见第一章《采购邀请》</w:t>
            </w:r>
          </w:p>
        </w:tc>
        <w:tc>
          <w:tcPr>
            <w:tcW w:w="768" w:type="pct"/>
            <w:vAlign w:val="center"/>
          </w:tcPr>
          <w:p w14:paraId="0D5E927F">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提供证明文件的电子件或电子证照</w:t>
            </w:r>
          </w:p>
        </w:tc>
      </w:tr>
      <w:tr w14:paraId="7EF2C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2" w:hRule="atLeast"/>
        </w:trPr>
        <w:tc>
          <w:tcPr>
            <w:tcW w:w="432" w:type="pct"/>
            <w:vAlign w:val="center"/>
          </w:tcPr>
          <w:p w14:paraId="6966D5FE">
            <w:pPr>
              <w:tabs>
                <w:tab w:val="left" w:pos="1080"/>
              </w:tabs>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p>
        </w:tc>
        <w:tc>
          <w:tcPr>
            <w:tcW w:w="956" w:type="pct"/>
            <w:vAlign w:val="center"/>
          </w:tcPr>
          <w:p w14:paraId="292C5289">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本项目的特定资格要求</w:t>
            </w:r>
          </w:p>
        </w:tc>
        <w:tc>
          <w:tcPr>
            <w:tcW w:w="2842" w:type="pct"/>
            <w:vAlign w:val="center"/>
          </w:tcPr>
          <w:p w14:paraId="7D8AE2DC">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（1）供应商须具备建设行政主管部门颁发的有效的建筑工程施工总承包三级（含三级）以上资质，具备有效的安全生产许可证。</w:t>
            </w:r>
          </w:p>
          <w:p w14:paraId="1D6DA960">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2）供应商拟派项目负责人具备建筑工程专业二级及以上注册建造师执业资格及有效的安全生产考核合格证书（B类）、具有2025年12月-2026年05月在职单位个人社保证明，且在确定成交人时不得担任其他在施建设工程项目的项目负责人、项目经理。</w:t>
            </w:r>
          </w:p>
          <w:p w14:paraId="23915356">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（3）新疆维吾尔自治区区外建筑企业若中标应按新疆维吾尔自治区住房和城乡建设厅 2018 年 4 月 24 日发布的《关于进一步推动自治区建筑市场统一开放的通知》(新建建【2018】10号)的规定，登录新疆建筑市场监管和诚信信息一体化平台（简称新疆工程建设云，网址:（https://jsy.xjjs.gov.cn），注册报送企业基本信息和人员信息。</w:t>
            </w:r>
          </w:p>
          <w:p w14:paraId="701BB639">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4）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tc>
        <w:tc>
          <w:tcPr>
            <w:tcW w:w="768" w:type="pct"/>
            <w:shd w:val="clear" w:color="auto" w:fill="auto"/>
            <w:vAlign w:val="center"/>
          </w:tcPr>
          <w:p w14:paraId="2015C9FE">
            <w:pPr>
              <w:tabs>
                <w:tab w:val="left" w:pos="1080"/>
              </w:tabs>
              <w:rPr>
                <w:rFonts w:hint="eastAsia" w:ascii="仿宋" w:hAnsi="仿宋" w:eastAsia="仿宋" w:cs="仿宋"/>
                <w:snapToGrid w:val="0"/>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提供证明文件或电子证照</w:t>
            </w:r>
          </w:p>
        </w:tc>
      </w:tr>
      <w:tr w14:paraId="4B455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9" w:hRule="atLeast"/>
        </w:trPr>
        <w:tc>
          <w:tcPr>
            <w:tcW w:w="432" w:type="pct"/>
            <w:vAlign w:val="center"/>
          </w:tcPr>
          <w:p w14:paraId="4345BCD6">
            <w:pPr>
              <w:tabs>
                <w:tab w:val="left" w:pos="1080"/>
              </w:tabs>
              <w:jc w:val="center"/>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3-1</w:t>
            </w:r>
          </w:p>
        </w:tc>
        <w:tc>
          <w:tcPr>
            <w:tcW w:w="956" w:type="pct"/>
            <w:vAlign w:val="center"/>
          </w:tcPr>
          <w:p w14:paraId="656A3196">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其他特定资格要求</w:t>
            </w:r>
          </w:p>
        </w:tc>
        <w:tc>
          <w:tcPr>
            <w:tcW w:w="2842" w:type="pct"/>
            <w:vAlign w:val="center"/>
          </w:tcPr>
          <w:p w14:paraId="35FD2B26">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如有，见第一章《采购邀请》</w:t>
            </w:r>
          </w:p>
          <w:p w14:paraId="4C6D1A9C">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注：如联合体中有同类资质的供应商按照联合体分工承担相同工作的，均应当提供资质证书电子件或电子证照。</w:t>
            </w:r>
          </w:p>
        </w:tc>
        <w:tc>
          <w:tcPr>
            <w:tcW w:w="768" w:type="pct"/>
            <w:vAlign w:val="center"/>
          </w:tcPr>
          <w:p w14:paraId="10A2A94B">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提供证明文件的电子件或电子证照</w:t>
            </w:r>
          </w:p>
        </w:tc>
      </w:tr>
      <w:tr w14:paraId="4F730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7" w:hRule="atLeast"/>
        </w:trPr>
        <w:tc>
          <w:tcPr>
            <w:tcW w:w="432" w:type="pct"/>
            <w:vAlign w:val="center"/>
          </w:tcPr>
          <w:p w14:paraId="3DD3ED6E">
            <w:pPr>
              <w:tabs>
                <w:tab w:val="left" w:pos="1080"/>
              </w:tabs>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w:t>
            </w:r>
          </w:p>
        </w:tc>
        <w:tc>
          <w:tcPr>
            <w:tcW w:w="956" w:type="pct"/>
            <w:vAlign w:val="center"/>
          </w:tcPr>
          <w:p w14:paraId="06487972">
            <w:pPr>
              <w:tabs>
                <w:tab w:val="left" w:pos="1080"/>
              </w:tabs>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磋商保证金</w:t>
            </w:r>
          </w:p>
        </w:tc>
        <w:tc>
          <w:tcPr>
            <w:tcW w:w="2842" w:type="pct"/>
            <w:vAlign w:val="center"/>
          </w:tcPr>
          <w:p w14:paraId="2567ADC8">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按照竞争性磋商文件的要求提交磋商保证金。</w:t>
            </w:r>
          </w:p>
        </w:tc>
        <w:tc>
          <w:tcPr>
            <w:tcW w:w="768" w:type="pct"/>
            <w:vAlign w:val="center"/>
          </w:tcPr>
          <w:p w14:paraId="1582A14F">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磋商保证金凭证/交款单据电子件</w:t>
            </w:r>
          </w:p>
        </w:tc>
      </w:tr>
      <w:tr w14:paraId="26C09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7" w:hRule="atLeast"/>
        </w:trPr>
        <w:tc>
          <w:tcPr>
            <w:tcW w:w="432" w:type="pct"/>
            <w:vAlign w:val="center"/>
          </w:tcPr>
          <w:p w14:paraId="0B62B576">
            <w:pPr>
              <w:tabs>
                <w:tab w:val="left" w:pos="1080"/>
              </w:tabs>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5</w:t>
            </w:r>
          </w:p>
        </w:tc>
        <w:tc>
          <w:tcPr>
            <w:tcW w:w="956" w:type="pct"/>
            <w:vAlign w:val="center"/>
          </w:tcPr>
          <w:p w14:paraId="64D83181">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 xml:space="preserve">获取竞争性磋商文件 </w:t>
            </w:r>
          </w:p>
        </w:tc>
        <w:tc>
          <w:tcPr>
            <w:tcW w:w="2842" w:type="pct"/>
            <w:vAlign w:val="center"/>
          </w:tcPr>
          <w:p w14:paraId="54F00032">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在规定期限内通过新疆政府采购电子交易平台获取所参与包的竞争性磋商文件。</w:t>
            </w:r>
          </w:p>
          <w:p w14:paraId="1644724E">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注：如本项目接受联合体，且供应商为联合体时，联合体中任一成员获取文件即视为满足要求。</w:t>
            </w:r>
          </w:p>
        </w:tc>
        <w:tc>
          <w:tcPr>
            <w:tcW w:w="768" w:type="pct"/>
            <w:vAlign w:val="center"/>
          </w:tcPr>
          <w:p w14:paraId="5AE1E2A4">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提供政采云平台的获取本项目采购文件回执函</w:t>
            </w:r>
          </w:p>
        </w:tc>
      </w:tr>
    </w:tbl>
    <w:p w14:paraId="44B8B2CA">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br w:type="page"/>
      </w:r>
    </w:p>
    <w:p w14:paraId="7CAFD907">
      <w:pPr>
        <w:tabs>
          <w:tab w:val="left" w:pos="360"/>
          <w:tab w:val="left" w:pos="900"/>
        </w:tabs>
        <w:spacing w:line="360" w:lineRule="auto"/>
        <w:outlineLvl w:val="9"/>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1.4    《符合性审查要求》见下表：</w:t>
      </w:r>
    </w:p>
    <w:p w14:paraId="0125E618">
      <w:pPr>
        <w:tabs>
          <w:tab w:val="left" w:pos="360"/>
          <w:tab w:val="left" w:pos="900"/>
        </w:tabs>
        <w:spacing w:line="360" w:lineRule="auto"/>
        <w:jc w:val="center"/>
        <w:outlineLvl w:val="1"/>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符合性审查要求</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1966"/>
        <w:gridCol w:w="5094"/>
        <w:gridCol w:w="1540"/>
      </w:tblGrid>
      <w:tr w14:paraId="4379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53" w:type="pct"/>
            <w:vAlign w:val="center"/>
          </w:tcPr>
          <w:p w14:paraId="25F8E6A2">
            <w:pPr>
              <w:jc w:val="center"/>
              <w:rPr>
                <w:rFonts w:hint="eastAsia" w:ascii="仿宋" w:hAnsi="仿宋" w:eastAsia="仿宋" w:cs="仿宋"/>
                <w:b/>
                <w:color w:val="000000" w:themeColor="text1"/>
                <w:sz w:val="24"/>
                <w:highlight w:val="none"/>
                <w14:textFill>
                  <w14:solidFill>
                    <w14:schemeClr w14:val="tx1"/>
                  </w14:solidFill>
                </w14:textFill>
              </w:rPr>
            </w:pPr>
            <w:bookmarkStart w:id="42" w:name="_Toc353873941"/>
            <w:bookmarkStart w:id="43" w:name="_Toc353825551"/>
            <w:r>
              <w:rPr>
                <w:rFonts w:hint="eastAsia" w:ascii="仿宋" w:hAnsi="仿宋" w:eastAsia="仿宋" w:cs="仿宋"/>
                <w:b/>
                <w:color w:val="000000" w:themeColor="text1"/>
                <w:sz w:val="24"/>
                <w:highlight w:val="none"/>
                <w14:textFill>
                  <w14:solidFill>
                    <w14:schemeClr w14:val="tx1"/>
                  </w14:solidFill>
                </w14:textFill>
              </w:rPr>
              <w:t>序号</w:t>
            </w:r>
          </w:p>
        </w:tc>
        <w:tc>
          <w:tcPr>
            <w:tcW w:w="1085" w:type="pct"/>
            <w:vAlign w:val="center"/>
          </w:tcPr>
          <w:p w14:paraId="58B4AC5E">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审查因素</w:t>
            </w:r>
          </w:p>
        </w:tc>
        <w:tc>
          <w:tcPr>
            <w:tcW w:w="2811" w:type="pct"/>
            <w:vAlign w:val="center"/>
          </w:tcPr>
          <w:p w14:paraId="26457D7C">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审查内容</w:t>
            </w:r>
          </w:p>
        </w:tc>
        <w:tc>
          <w:tcPr>
            <w:tcW w:w="850" w:type="pct"/>
            <w:vAlign w:val="center"/>
          </w:tcPr>
          <w:p w14:paraId="3CFFA5D0">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是否允许澄</w:t>
            </w:r>
          </w:p>
          <w:p w14:paraId="7C3F1C93">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清、说明或者更正</w:t>
            </w:r>
          </w:p>
        </w:tc>
      </w:tr>
      <w:tr w14:paraId="1F52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53" w:type="pct"/>
            <w:vAlign w:val="center"/>
          </w:tcPr>
          <w:p w14:paraId="3B0E24ED">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p>
        </w:tc>
        <w:tc>
          <w:tcPr>
            <w:tcW w:w="1085" w:type="pct"/>
            <w:vAlign w:val="center"/>
          </w:tcPr>
          <w:p w14:paraId="28AB5BD6">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授权委托书</w:t>
            </w:r>
          </w:p>
        </w:tc>
        <w:tc>
          <w:tcPr>
            <w:tcW w:w="2811" w:type="pct"/>
            <w:vAlign w:val="center"/>
          </w:tcPr>
          <w:p w14:paraId="50EEDC02">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按磋商文件要求提供授权委托书；</w:t>
            </w:r>
          </w:p>
        </w:tc>
        <w:tc>
          <w:tcPr>
            <w:tcW w:w="850" w:type="pct"/>
            <w:vAlign w:val="center"/>
          </w:tcPr>
          <w:p w14:paraId="20F2E25D">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否</w:t>
            </w:r>
          </w:p>
        </w:tc>
      </w:tr>
      <w:tr w14:paraId="6020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53" w:type="pct"/>
            <w:vAlign w:val="center"/>
          </w:tcPr>
          <w:p w14:paraId="6E698978">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p>
        </w:tc>
        <w:tc>
          <w:tcPr>
            <w:tcW w:w="1085" w:type="pct"/>
            <w:vAlign w:val="center"/>
          </w:tcPr>
          <w:p w14:paraId="61CBB5DB">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投标完整性</w:t>
            </w:r>
          </w:p>
        </w:tc>
        <w:tc>
          <w:tcPr>
            <w:tcW w:w="2811" w:type="pct"/>
            <w:vAlign w:val="center"/>
          </w:tcPr>
          <w:p w14:paraId="5F0C76BC">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未将一个标段中的内容拆开投标；</w:t>
            </w:r>
          </w:p>
        </w:tc>
        <w:tc>
          <w:tcPr>
            <w:tcW w:w="850" w:type="pct"/>
            <w:shd w:val="clear" w:color="auto" w:fill="auto"/>
            <w:vAlign w:val="center"/>
          </w:tcPr>
          <w:p w14:paraId="7A603A0A">
            <w:pPr>
              <w:jc w:val="center"/>
              <w:rPr>
                <w:rFonts w:hint="eastAsia" w:ascii="仿宋" w:hAnsi="仿宋" w:eastAsia="仿宋" w:cs="仿宋"/>
                <w:snapToGrid w:val="0"/>
                <w:color w:val="000000" w:themeColor="text1"/>
                <w:sz w:val="24"/>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否</w:t>
            </w:r>
          </w:p>
        </w:tc>
      </w:tr>
      <w:tr w14:paraId="5E43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53" w:type="pct"/>
            <w:vAlign w:val="center"/>
          </w:tcPr>
          <w:p w14:paraId="72AC0BDE">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p>
        </w:tc>
        <w:tc>
          <w:tcPr>
            <w:tcW w:w="1085" w:type="pct"/>
            <w:vAlign w:val="center"/>
          </w:tcPr>
          <w:p w14:paraId="4D5045A6">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报价</w:t>
            </w:r>
          </w:p>
        </w:tc>
        <w:tc>
          <w:tcPr>
            <w:tcW w:w="2811" w:type="pct"/>
            <w:vAlign w:val="center"/>
          </w:tcPr>
          <w:p w14:paraId="1B8CD0D7">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响应</w:t>
            </w:r>
            <w:r>
              <w:rPr>
                <w:rFonts w:hint="eastAsia" w:ascii="仿宋" w:hAnsi="仿宋" w:eastAsia="仿宋" w:cs="仿宋"/>
                <w:color w:val="000000" w:themeColor="text1"/>
                <w:sz w:val="24"/>
                <w:highlight w:val="none"/>
                <w:lang w:eastAsia="zh-CN"/>
                <w14:textFill>
                  <w14:solidFill>
                    <w14:schemeClr w14:val="tx1"/>
                  </w14:solidFill>
                </w14:textFill>
              </w:rPr>
              <w:t>报价未超过</w:t>
            </w:r>
            <w:r>
              <w:rPr>
                <w:rFonts w:hint="eastAsia" w:ascii="仿宋" w:hAnsi="仿宋" w:eastAsia="仿宋" w:cs="仿宋"/>
                <w:color w:val="000000" w:themeColor="text1"/>
                <w:sz w:val="24"/>
                <w:highlight w:val="none"/>
                <w:lang w:val="en-US" w:eastAsia="zh-CN"/>
                <w14:textFill>
                  <w14:solidFill>
                    <w14:schemeClr w14:val="tx1"/>
                  </w14:solidFill>
                </w14:textFill>
              </w:rPr>
              <w:t>竞争性</w:t>
            </w:r>
            <w:r>
              <w:rPr>
                <w:rFonts w:hint="eastAsia" w:ascii="仿宋" w:hAnsi="仿宋" w:eastAsia="仿宋" w:cs="仿宋"/>
                <w:color w:val="000000" w:themeColor="text1"/>
                <w:sz w:val="24"/>
                <w:highlight w:val="none"/>
                <w:lang w:eastAsia="zh-CN"/>
                <w14:textFill>
                  <w14:solidFill>
                    <w14:schemeClr w14:val="tx1"/>
                  </w14:solidFill>
                </w14:textFill>
              </w:rPr>
              <w:t>磋商文件中规定的项目/标段预算金额或者项目/标段最高限价（</w:t>
            </w:r>
            <w:r>
              <w:rPr>
                <w:rFonts w:hint="eastAsia" w:ascii="仿宋" w:hAnsi="仿宋" w:eastAsia="仿宋" w:cs="仿宋"/>
                <w:color w:val="000000" w:themeColor="text1"/>
                <w:sz w:val="24"/>
                <w:highlight w:val="none"/>
                <w:lang w:val="en-US" w:eastAsia="zh-CN"/>
                <w14:textFill>
                  <w14:solidFill>
                    <w14:schemeClr w14:val="tx1"/>
                  </w14:solidFill>
                </w14:textFill>
              </w:rPr>
              <w:t>控制价</w:t>
            </w:r>
            <w:r>
              <w:rPr>
                <w:rFonts w:hint="eastAsia" w:ascii="仿宋" w:hAnsi="仿宋" w:eastAsia="仿宋" w:cs="仿宋"/>
                <w:color w:val="000000" w:themeColor="text1"/>
                <w:sz w:val="24"/>
                <w:highlight w:val="none"/>
                <w:lang w:eastAsia="zh-CN"/>
                <w14:textFill>
                  <w14:solidFill>
                    <w14:schemeClr w14:val="tx1"/>
                  </w14:solidFill>
                </w14:textFill>
              </w:rPr>
              <w:t>）；</w:t>
            </w:r>
          </w:p>
        </w:tc>
        <w:tc>
          <w:tcPr>
            <w:tcW w:w="850" w:type="pct"/>
            <w:shd w:val="clear" w:color="auto" w:fill="auto"/>
            <w:vAlign w:val="center"/>
          </w:tcPr>
          <w:p w14:paraId="17D18B86">
            <w:pPr>
              <w:jc w:val="center"/>
              <w:rPr>
                <w:rFonts w:hint="eastAsia" w:ascii="仿宋" w:hAnsi="仿宋" w:eastAsia="仿宋" w:cs="仿宋"/>
                <w:snapToGrid w:val="0"/>
                <w:color w:val="000000" w:themeColor="text1"/>
                <w:sz w:val="24"/>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否</w:t>
            </w:r>
          </w:p>
        </w:tc>
      </w:tr>
      <w:tr w14:paraId="67BA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53" w:type="pct"/>
            <w:vAlign w:val="center"/>
          </w:tcPr>
          <w:p w14:paraId="6FDCCD9D">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p>
        </w:tc>
        <w:tc>
          <w:tcPr>
            <w:tcW w:w="1085" w:type="pct"/>
            <w:vAlign w:val="center"/>
          </w:tcPr>
          <w:p w14:paraId="04C8EABD">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报价唯一性</w:t>
            </w:r>
          </w:p>
        </w:tc>
        <w:tc>
          <w:tcPr>
            <w:tcW w:w="2811" w:type="pct"/>
            <w:vAlign w:val="center"/>
          </w:tcPr>
          <w:p w14:paraId="2AE1FAF3">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响应文件未出现可选择性或可调整的报价（</w:t>
            </w:r>
            <w:r>
              <w:rPr>
                <w:rFonts w:hint="eastAsia" w:ascii="仿宋" w:hAnsi="仿宋" w:eastAsia="仿宋" w:cs="仿宋"/>
                <w:color w:val="000000" w:themeColor="text1"/>
                <w:sz w:val="24"/>
                <w:highlight w:val="none"/>
                <w:lang w:val="en-US" w:eastAsia="zh-CN"/>
                <w14:textFill>
                  <w14:solidFill>
                    <w14:schemeClr w14:val="tx1"/>
                  </w14:solidFill>
                </w14:textFill>
              </w:rPr>
              <w:t>竞争性</w:t>
            </w:r>
            <w:r>
              <w:rPr>
                <w:rFonts w:hint="eastAsia" w:ascii="仿宋" w:hAnsi="仿宋" w:eastAsia="仿宋" w:cs="仿宋"/>
                <w:color w:val="000000" w:themeColor="text1"/>
                <w:sz w:val="24"/>
                <w:highlight w:val="none"/>
                <w:lang w:eastAsia="zh-CN"/>
                <w14:textFill>
                  <w14:solidFill>
                    <w14:schemeClr w14:val="tx1"/>
                  </w14:solidFill>
                </w14:textFill>
              </w:rPr>
              <w:t>磋商文件另有规定的除外）；</w:t>
            </w:r>
          </w:p>
        </w:tc>
        <w:tc>
          <w:tcPr>
            <w:tcW w:w="850" w:type="pct"/>
            <w:shd w:val="clear" w:color="auto" w:fill="auto"/>
            <w:vAlign w:val="center"/>
          </w:tcPr>
          <w:p w14:paraId="735A506F">
            <w:pPr>
              <w:jc w:val="center"/>
              <w:rPr>
                <w:rFonts w:hint="eastAsia" w:ascii="仿宋" w:hAnsi="仿宋" w:eastAsia="仿宋" w:cs="仿宋"/>
                <w:snapToGrid w:val="0"/>
                <w:color w:val="000000" w:themeColor="text1"/>
                <w:sz w:val="24"/>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否</w:t>
            </w:r>
          </w:p>
        </w:tc>
      </w:tr>
      <w:tr w14:paraId="2CEC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53" w:type="pct"/>
            <w:vAlign w:val="center"/>
          </w:tcPr>
          <w:p w14:paraId="5202FA99">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w:t>
            </w:r>
          </w:p>
        </w:tc>
        <w:tc>
          <w:tcPr>
            <w:tcW w:w="1085" w:type="pct"/>
            <w:vAlign w:val="center"/>
          </w:tcPr>
          <w:p w14:paraId="57549899">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有效期</w:t>
            </w:r>
          </w:p>
        </w:tc>
        <w:tc>
          <w:tcPr>
            <w:tcW w:w="2811" w:type="pct"/>
            <w:vAlign w:val="center"/>
          </w:tcPr>
          <w:p w14:paraId="636EF754">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响应文件中承诺的投标有效期满足</w:t>
            </w:r>
            <w:r>
              <w:rPr>
                <w:rFonts w:hint="eastAsia" w:ascii="仿宋" w:hAnsi="仿宋" w:eastAsia="仿宋" w:cs="仿宋"/>
                <w:color w:val="000000" w:themeColor="text1"/>
                <w:sz w:val="24"/>
                <w:highlight w:val="none"/>
                <w:lang w:val="en-US" w:eastAsia="zh-CN"/>
                <w14:textFill>
                  <w14:solidFill>
                    <w14:schemeClr w14:val="tx1"/>
                  </w14:solidFill>
                </w14:textFill>
              </w:rPr>
              <w:t>竞争性</w:t>
            </w:r>
            <w:r>
              <w:rPr>
                <w:rFonts w:hint="eastAsia" w:ascii="仿宋" w:hAnsi="仿宋" w:eastAsia="仿宋" w:cs="仿宋"/>
                <w:color w:val="000000" w:themeColor="text1"/>
                <w:sz w:val="24"/>
                <w:highlight w:val="none"/>
                <w:lang w:eastAsia="zh-CN"/>
                <w14:textFill>
                  <w14:solidFill>
                    <w14:schemeClr w14:val="tx1"/>
                  </w14:solidFill>
                </w14:textFill>
              </w:rPr>
              <w:t>磋商文件中载明的</w:t>
            </w:r>
            <w:r>
              <w:rPr>
                <w:rFonts w:hint="eastAsia" w:ascii="仿宋" w:hAnsi="仿宋" w:eastAsia="仿宋" w:cs="仿宋"/>
                <w:color w:val="000000" w:themeColor="text1"/>
                <w:sz w:val="24"/>
                <w:highlight w:val="none"/>
                <w:lang w:val="en-US" w:eastAsia="zh-CN"/>
                <w14:textFill>
                  <w14:solidFill>
                    <w14:schemeClr w14:val="tx1"/>
                  </w14:solidFill>
                </w14:textFill>
              </w:rPr>
              <w:t>响应</w:t>
            </w:r>
            <w:r>
              <w:rPr>
                <w:rFonts w:hint="eastAsia" w:ascii="仿宋" w:hAnsi="仿宋" w:eastAsia="仿宋" w:cs="仿宋"/>
                <w:color w:val="000000" w:themeColor="text1"/>
                <w:sz w:val="24"/>
                <w:highlight w:val="none"/>
                <w:lang w:eastAsia="zh-CN"/>
                <w14:textFill>
                  <w14:solidFill>
                    <w14:schemeClr w14:val="tx1"/>
                  </w14:solidFill>
                </w14:textFill>
              </w:rPr>
              <w:t>有效期的；</w:t>
            </w:r>
          </w:p>
        </w:tc>
        <w:tc>
          <w:tcPr>
            <w:tcW w:w="850" w:type="pct"/>
            <w:shd w:val="clear" w:color="auto" w:fill="auto"/>
            <w:vAlign w:val="center"/>
          </w:tcPr>
          <w:p w14:paraId="38EF4FD5">
            <w:pPr>
              <w:jc w:val="center"/>
              <w:rPr>
                <w:rFonts w:hint="eastAsia" w:ascii="仿宋" w:hAnsi="仿宋" w:eastAsia="仿宋" w:cs="仿宋"/>
                <w:snapToGrid w:val="0"/>
                <w:color w:val="000000" w:themeColor="text1"/>
                <w:sz w:val="24"/>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否</w:t>
            </w:r>
          </w:p>
        </w:tc>
      </w:tr>
      <w:tr w14:paraId="1A5F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53" w:type="pct"/>
            <w:vAlign w:val="center"/>
          </w:tcPr>
          <w:p w14:paraId="026D287C">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w:t>
            </w:r>
          </w:p>
        </w:tc>
        <w:tc>
          <w:tcPr>
            <w:tcW w:w="1085" w:type="pct"/>
            <w:vAlign w:val="center"/>
          </w:tcPr>
          <w:p w14:paraId="30B6C2D0">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签署、盖章</w:t>
            </w:r>
          </w:p>
        </w:tc>
        <w:tc>
          <w:tcPr>
            <w:tcW w:w="2811" w:type="pct"/>
            <w:vAlign w:val="center"/>
          </w:tcPr>
          <w:p w14:paraId="6E5C6E05">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响应文件按照</w:t>
            </w:r>
            <w:r>
              <w:rPr>
                <w:rFonts w:hint="eastAsia" w:ascii="仿宋" w:hAnsi="仿宋" w:eastAsia="仿宋" w:cs="仿宋"/>
                <w:color w:val="000000" w:themeColor="text1"/>
                <w:sz w:val="24"/>
                <w:highlight w:val="none"/>
                <w:lang w:val="en-US" w:eastAsia="zh-CN"/>
                <w14:textFill>
                  <w14:solidFill>
                    <w14:schemeClr w14:val="tx1"/>
                  </w14:solidFill>
                </w14:textFill>
              </w:rPr>
              <w:t>竞争性</w:t>
            </w:r>
            <w:r>
              <w:rPr>
                <w:rFonts w:hint="eastAsia" w:ascii="仿宋" w:hAnsi="仿宋" w:eastAsia="仿宋" w:cs="仿宋"/>
                <w:color w:val="000000" w:themeColor="text1"/>
                <w:sz w:val="24"/>
                <w:highlight w:val="none"/>
                <w:lang w:eastAsia="zh-CN"/>
                <w14:textFill>
                  <w14:solidFill>
                    <w14:schemeClr w14:val="tx1"/>
                  </w14:solidFill>
                </w14:textFill>
              </w:rPr>
              <w:t>磋商文件要求签署、盖章的；</w:t>
            </w:r>
          </w:p>
        </w:tc>
        <w:tc>
          <w:tcPr>
            <w:tcW w:w="850" w:type="pct"/>
            <w:shd w:val="clear" w:color="auto" w:fill="auto"/>
            <w:vAlign w:val="center"/>
          </w:tcPr>
          <w:p w14:paraId="308BDDC6">
            <w:pPr>
              <w:jc w:val="center"/>
              <w:rPr>
                <w:rFonts w:hint="eastAsia" w:ascii="仿宋" w:hAnsi="仿宋" w:eastAsia="仿宋" w:cs="仿宋"/>
                <w:snapToGrid w:val="0"/>
                <w:color w:val="000000" w:themeColor="text1"/>
                <w:sz w:val="24"/>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否</w:t>
            </w:r>
          </w:p>
        </w:tc>
      </w:tr>
      <w:tr w14:paraId="135F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53" w:type="pct"/>
            <w:vAlign w:val="center"/>
          </w:tcPr>
          <w:p w14:paraId="6AFF217B">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w:t>
            </w:r>
          </w:p>
        </w:tc>
        <w:tc>
          <w:tcPr>
            <w:tcW w:w="1085" w:type="pct"/>
            <w:vAlign w:val="center"/>
          </w:tcPr>
          <w:p w14:paraId="58B45DF3">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实质性格式</w:t>
            </w:r>
          </w:p>
        </w:tc>
        <w:tc>
          <w:tcPr>
            <w:tcW w:w="2811" w:type="pct"/>
            <w:vAlign w:val="center"/>
          </w:tcPr>
          <w:p w14:paraId="1A850D45">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标记为“实质性格式”的文件均按</w:t>
            </w:r>
            <w:r>
              <w:rPr>
                <w:rFonts w:hint="eastAsia" w:ascii="仿宋" w:hAnsi="仿宋" w:eastAsia="仿宋" w:cs="仿宋"/>
                <w:color w:val="000000" w:themeColor="text1"/>
                <w:sz w:val="24"/>
                <w:highlight w:val="none"/>
                <w:lang w:val="en-US" w:eastAsia="zh-CN"/>
                <w14:textFill>
                  <w14:solidFill>
                    <w14:schemeClr w14:val="tx1"/>
                  </w14:solidFill>
                </w14:textFill>
              </w:rPr>
              <w:t>竞争性</w:t>
            </w:r>
            <w:r>
              <w:rPr>
                <w:rFonts w:hint="eastAsia" w:ascii="仿宋" w:hAnsi="仿宋" w:eastAsia="仿宋" w:cs="仿宋"/>
                <w:color w:val="000000" w:themeColor="text1"/>
                <w:sz w:val="24"/>
                <w:highlight w:val="none"/>
                <w:lang w:eastAsia="zh-CN"/>
                <w14:textFill>
                  <w14:solidFill>
                    <w14:schemeClr w14:val="tx1"/>
                  </w14:solidFill>
                </w14:textFill>
              </w:rPr>
              <w:t>磋商文件要求提供；</w:t>
            </w:r>
          </w:p>
        </w:tc>
        <w:tc>
          <w:tcPr>
            <w:tcW w:w="850" w:type="pct"/>
            <w:shd w:val="clear" w:color="auto" w:fill="auto"/>
            <w:vAlign w:val="center"/>
          </w:tcPr>
          <w:p w14:paraId="12B322E6">
            <w:pPr>
              <w:jc w:val="center"/>
              <w:rPr>
                <w:rFonts w:hint="eastAsia" w:ascii="仿宋" w:hAnsi="仿宋" w:eastAsia="仿宋" w:cs="仿宋"/>
                <w:snapToGrid w:val="0"/>
                <w:color w:val="000000" w:themeColor="text1"/>
                <w:sz w:val="24"/>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否</w:t>
            </w:r>
          </w:p>
        </w:tc>
      </w:tr>
      <w:tr w14:paraId="532A2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53" w:type="pct"/>
            <w:vAlign w:val="center"/>
          </w:tcPr>
          <w:p w14:paraId="1EE9D336">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w:t>
            </w:r>
          </w:p>
        </w:tc>
        <w:tc>
          <w:tcPr>
            <w:tcW w:w="1085" w:type="pct"/>
            <w:vAlign w:val="center"/>
          </w:tcPr>
          <w:p w14:paraId="0B588DAC">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报价的修正（如有）</w:t>
            </w:r>
          </w:p>
        </w:tc>
        <w:tc>
          <w:tcPr>
            <w:tcW w:w="2811" w:type="pct"/>
            <w:vAlign w:val="center"/>
          </w:tcPr>
          <w:p w14:paraId="5F3FA4CC">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不涉及报价修正，或响应文件报价出现前后不一致时，供应商对修正后的报价予以确认；（如有）</w:t>
            </w:r>
          </w:p>
        </w:tc>
        <w:tc>
          <w:tcPr>
            <w:tcW w:w="850" w:type="pct"/>
            <w:vAlign w:val="center"/>
          </w:tcPr>
          <w:p w14:paraId="3EF613FD">
            <w:pPr>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是</w:t>
            </w:r>
          </w:p>
        </w:tc>
      </w:tr>
      <w:tr w14:paraId="68EA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3" w:type="pct"/>
            <w:vAlign w:val="center"/>
          </w:tcPr>
          <w:p w14:paraId="09D75579">
            <w:pPr>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9</w:t>
            </w:r>
          </w:p>
        </w:tc>
        <w:tc>
          <w:tcPr>
            <w:tcW w:w="1085" w:type="pct"/>
            <w:vAlign w:val="center"/>
          </w:tcPr>
          <w:p w14:paraId="409F3981">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★号条款响</w:t>
            </w:r>
          </w:p>
          <w:p w14:paraId="4DCDCD74">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应（如有）</w:t>
            </w:r>
          </w:p>
        </w:tc>
        <w:tc>
          <w:tcPr>
            <w:tcW w:w="2811" w:type="pct"/>
            <w:vAlign w:val="center"/>
          </w:tcPr>
          <w:p w14:paraId="2B0451AE">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响应文件满足第四章《采购需求》中★号条</w:t>
            </w:r>
          </w:p>
          <w:p w14:paraId="4048496E">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款要求的</w:t>
            </w:r>
          </w:p>
        </w:tc>
        <w:tc>
          <w:tcPr>
            <w:tcW w:w="850" w:type="pct"/>
            <w:shd w:val="clear" w:color="auto" w:fill="auto"/>
            <w:vAlign w:val="center"/>
          </w:tcPr>
          <w:p w14:paraId="6C881C5D">
            <w:pPr>
              <w:jc w:val="center"/>
              <w:rPr>
                <w:rFonts w:hint="eastAsia" w:ascii="仿宋" w:hAnsi="仿宋" w:eastAsia="仿宋" w:cs="仿宋"/>
                <w:snapToGrid w:val="0"/>
                <w:color w:val="000000" w:themeColor="text1"/>
                <w:sz w:val="24"/>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否</w:t>
            </w:r>
          </w:p>
        </w:tc>
      </w:tr>
      <w:tr w14:paraId="0A1D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253" w:type="pct"/>
            <w:vAlign w:val="center"/>
          </w:tcPr>
          <w:p w14:paraId="0F8580B1">
            <w:pPr>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10</w:t>
            </w:r>
          </w:p>
        </w:tc>
        <w:tc>
          <w:tcPr>
            <w:tcW w:w="1085" w:type="pct"/>
            <w:vAlign w:val="center"/>
          </w:tcPr>
          <w:p w14:paraId="0FA6B416">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报价合理性</w:t>
            </w:r>
          </w:p>
        </w:tc>
        <w:tc>
          <w:tcPr>
            <w:tcW w:w="2811" w:type="pct"/>
            <w:vAlign w:val="center"/>
          </w:tcPr>
          <w:p w14:paraId="095762CC">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报价合理，或供应商的报价明显低于其他通过符合性审查供应商的报价，有可能影响产品质量或者不能诚信履约的，能够应评标委员会要求在规定时间内证明其报价合理性的；</w:t>
            </w:r>
          </w:p>
        </w:tc>
        <w:tc>
          <w:tcPr>
            <w:tcW w:w="850" w:type="pct"/>
            <w:shd w:val="clear" w:color="auto" w:fill="auto"/>
            <w:vAlign w:val="center"/>
          </w:tcPr>
          <w:p w14:paraId="779453F6">
            <w:pPr>
              <w:jc w:val="center"/>
              <w:rPr>
                <w:rFonts w:hint="eastAsia" w:ascii="仿宋" w:hAnsi="仿宋" w:eastAsia="仿宋" w:cs="仿宋"/>
                <w:snapToGrid w:val="0"/>
                <w:color w:val="000000" w:themeColor="text1"/>
                <w:sz w:val="24"/>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是</w:t>
            </w:r>
          </w:p>
        </w:tc>
      </w:tr>
      <w:tr w14:paraId="6F72D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3" w:type="pct"/>
            <w:vAlign w:val="center"/>
          </w:tcPr>
          <w:p w14:paraId="5DEF8513">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1</w:t>
            </w:r>
          </w:p>
        </w:tc>
        <w:tc>
          <w:tcPr>
            <w:tcW w:w="1085" w:type="pct"/>
            <w:vAlign w:val="center"/>
          </w:tcPr>
          <w:p w14:paraId="48D11B1E">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公平竞争</w:t>
            </w:r>
          </w:p>
        </w:tc>
        <w:tc>
          <w:tcPr>
            <w:tcW w:w="2811" w:type="pct"/>
            <w:vAlign w:val="center"/>
          </w:tcPr>
          <w:p w14:paraId="190A3959">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供应商遵循公平竞争的原则，不存在恶意串通，妨碍其他供应商的竞争行为，不存在损害</w:t>
            </w:r>
            <w:r>
              <w:rPr>
                <w:rFonts w:hint="eastAsia" w:ascii="仿宋" w:hAnsi="仿宋" w:eastAsia="仿宋" w:cs="仿宋"/>
                <w:color w:val="000000" w:themeColor="text1"/>
                <w:sz w:val="24"/>
                <w:highlight w:val="none"/>
                <w:lang w:val="en-US" w:eastAsia="zh-CN"/>
                <w14:textFill>
                  <w14:solidFill>
                    <w14:schemeClr w14:val="tx1"/>
                  </w14:solidFill>
                </w14:textFill>
              </w:rPr>
              <w:t>采购</w:t>
            </w:r>
            <w:r>
              <w:rPr>
                <w:rFonts w:hint="eastAsia" w:ascii="仿宋" w:hAnsi="仿宋" w:eastAsia="仿宋" w:cs="仿宋"/>
                <w:color w:val="000000" w:themeColor="text1"/>
                <w:sz w:val="24"/>
                <w:highlight w:val="none"/>
                <w:lang w:eastAsia="zh-CN"/>
                <w14:textFill>
                  <w14:solidFill>
                    <w14:schemeClr w14:val="tx1"/>
                  </w14:solidFill>
                </w14:textFill>
              </w:rPr>
              <w:t>人或者其他供应商的合法权益情形的；</w:t>
            </w:r>
          </w:p>
        </w:tc>
        <w:tc>
          <w:tcPr>
            <w:tcW w:w="850" w:type="pct"/>
            <w:shd w:val="clear" w:color="auto" w:fill="auto"/>
            <w:vAlign w:val="center"/>
          </w:tcPr>
          <w:p w14:paraId="38112760">
            <w:pPr>
              <w:jc w:val="center"/>
              <w:rPr>
                <w:rFonts w:hint="eastAsia" w:ascii="仿宋" w:hAnsi="仿宋" w:eastAsia="仿宋" w:cs="仿宋"/>
                <w:snapToGrid w:val="0"/>
                <w:color w:val="000000" w:themeColor="text1"/>
                <w:sz w:val="24"/>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否</w:t>
            </w:r>
          </w:p>
        </w:tc>
      </w:tr>
      <w:tr w14:paraId="0F4A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253" w:type="pct"/>
            <w:vAlign w:val="center"/>
          </w:tcPr>
          <w:p w14:paraId="0FCA7D94">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2</w:t>
            </w:r>
          </w:p>
        </w:tc>
        <w:tc>
          <w:tcPr>
            <w:tcW w:w="1085" w:type="pct"/>
            <w:vAlign w:val="center"/>
          </w:tcPr>
          <w:p w14:paraId="664049F1">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串通投标</w:t>
            </w:r>
          </w:p>
        </w:tc>
        <w:tc>
          <w:tcPr>
            <w:tcW w:w="2811" w:type="pct"/>
            <w:vAlign w:val="center"/>
          </w:tcPr>
          <w:p w14:paraId="4B617EB6">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 性差异；（五）不同供应商的响应文件相互混装；（六）不同供应商的磋商保证金从同一单位或者个人的账户转出；</w:t>
            </w:r>
          </w:p>
        </w:tc>
        <w:tc>
          <w:tcPr>
            <w:tcW w:w="850" w:type="pct"/>
            <w:shd w:val="clear" w:color="auto" w:fill="auto"/>
            <w:vAlign w:val="center"/>
          </w:tcPr>
          <w:p w14:paraId="37BD867B">
            <w:pPr>
              <w:jc w:val="center"/>
              <w:rPr>
                <w:rFonts w:hint="eastAsia" w:ascii="仿宋" w:hAnsi="仿宋" w:eastAsia="仿宋" w:cs="仿宋"/>
                <w:snapToGrid w:val="0"/>
                <w:color w:val="000000" w:themeColor="text1"/>
                <w:sz w:val="24"/>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否</w:t>
            </w:r>
          </w:p>
        </w:tc>
      </w:tr>
      <w:tr w14:paraId="440A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53" w:type="pct"/>
            <w:vAlign w:val="center"/>
          </w:tcPr>
          <w:p w14:paraId="1B57DE01">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3</w:t>
            </w:r>
          </w:p>
        </w:tc>
        <w:tc>
          <w:tcPr>
            <w:tcW w:w="1085" w:type="pct"/>
            <w:vAlign w:val="center"/>
          </w:tcPr>
          <w:p w14:paraId="14EC7FD8">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附加条件</w:t>
            </w:r>
          </w:p>
        </w:tc>
        <w:tc>
          <w:tcPr>
            <w:tcW w:w="2811" w:type="pct"/>
            <w:vAlign w:val="center"/>
          </w:tcPr>
          <w:p w14:paraId="4FF12CC7">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响应文件未含有采购人不能接受的附加条件的；</w:t>
            </w:r>
          </w:p>
        </w:tc>
        <w:tc>
          <w:tcPr>
            <w:tcW w:w="1536" w:type="dxa"/>
            <w:vAlign w:val="center"/>
          </w:tcPr>
          <w:p w14:paraId="51FF8473">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否</w:t>
            </w:r>
          </w:p>
        </w:tc>
      </w:tr>
      <w:tr w14:paraId="66A3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253" w:type="pct"/>
            <w:vAlign w:val="center"/>
          </w:tcPr>
          <w:p w14:paraId="74E0B2CC">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4</w:t>
            </w:r>
          </w:p>
        </w:tc>
        <w:tc>
          <w:tcPr>
            <w:tcW w:w="1085" w:type="pct"/>
            <w:vAlign w:val="center"/>
          </w:tcPr>
          <w:p w14:paraId="6B382E39">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其他无效情形</w:t>
            </w:r>
          </w:p>
        </w:tc>
        <w:tc>
          <w:tcPr>
            <w:tcW w:w="2811" w:type="pct"/>
            <w:vAlign w:val="center"/>
          </w:tcPr>
          <w:p w14:paraId="6552331F">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供应商、响应文件不存在不符合法律、法规和</w:t>
            </w:r>
            <w:r>
              <w:rPr>
                <w:rFonts w:hint="eastAsia" w:ascii="仿宋" w:hAnsi="仿宋" w:eastAsia="仿宋" w:cs="仿宋"/>
                <w:color w:val="000000" w:themeColor="text1"/>
                <w:sz w:val="24"/>
                <w:highlight w:val="none"/>
                <w:lang w:val="en-US" w:eastAsia="zh-CN"/>
                <w14:textFill>
                  <w14:solidFill>
                    <w14:schemeClr w14:val="tx1"/>
                  </w14:solidFill>
                </w14:textFill>
              </w:rPr>
              <w:t>竞争性</w:t>
            </w:r>
            <w:r>
              <w:rPr>
                <w:rFonts w:hint="eastAsia" w:ascii="仿宋" w:hAnsi="仿宋" w:eastAsia="仿宋" w:cs="仿宋"/>
                <w:color w:val="000000" w:themeColor="text1"/>
                <w:sz w:val="24"/>
                <w:highlight w:val="none"/>
                <w:lang w:eastAsia="zh-CN"/>
                <w14:textFill>
                  <w14:solidFill>
                    <w14:schemeClr w14:val="tx1"/>
                  </w14:solidFill>
                </w14:textFill>
              </w:rPr>
              <w:t>磋商文件规定的其他无效情形。</w:t>
            </w:r>
          </w:p>
        </w:tc>
        <w:tc>
          <w:tcPr>
            <w:tcW w:w="1536" w:type="dxa"/>
            <w:vAlign w:val="center"/>
          </w:tcPr>
          <w:p w14:paraId="657738F6">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否</w:t>
            </w:r>
          </w:p>
        </w:tc>
      </w:tr>
    </w:tbl>
    <w:p w14:paraId="55934CCE">
      <w:pPr>
        <w:pStyle w:val="9"/>
        <w:spacing w:before="103" w:line="200" w:lineRule="auto"/>
        <w:ind w:left="13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   磋商、响应文件有关事项的澄清、说明或者更正和最后报价</w:t>
      </w:r>
    </w:p>
    <w:p w14:paraId="0EF64CBC">
      <w:pPr>
        <w:pStyle w:val="9"/>
        <w:spacing w:before="177" w:line="251" w:lineRule="auto"/>
        <w:ind w:left="1212" w:right="114" w:hanging="72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2.1   磋商小组所有成员将集中与单一供应商分</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别进行磋商，并给予所有参加磋商</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的供应商平等的磋商机会。</w:t>
      </w:r>
    </w:p>
    <w:p w14:paraId="19EA903B">
      <w:pPr>
        <w:pStyle w:val="9"/>
        <w:spacing w:before="180" w:line="269" w:lineRule="auto"/>
        <w:ind w:left="1196" w:right="24" w:hanging="71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2.2   在磋商过程中，磋商小组可以根</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据磋商文件和磋商情况实质性变动采购需求</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中的技术、服务要求以及合同草案条款，但不得变动磋商文件中的其他内容。</w:t>
      </w:r>
      <w:r>
        <w:rPr>
          <w:rFonts w:hint="eastAsia" w:ascii="仿宋" w:hAnsi="仿宋" w:eastAsia="仿宋" w:cs="仿宋"/>
          <w:color w:val="000000" w:themeColor="text1"/>
          <w:spacing w:val="1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实质性变动的内容，须经采购人代表确认。</w:t>
      </w:r>
    </w:p>
    <w:p w14:paraId="56ABE94B">
      <w:pPr>
        <w:pStyle w:val="9"/>
        <w:spacing w:before="179" w:line="251" w:lineRule="auto"/>
        <w:ind w:left="1205" w:right="114" w:hanging="71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2.3   对磋商文件作出的实质性变动是</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磋商文件的有效组成部分，磋商小组应当及</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时以书面形式同时通知所有参加磋商的供应商。</w:t>
      </w:r>
    </w:p>
    <w:p w14:paraId="1C21D57D">
      <w:pPr>
        <w:pStyle w:val="9"/>
        <w:spacing w:before="177" w:line="278" w:lineRule="auto"/>
        <w:ind w:left="1191" w:right="114" w:hanging="70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2.4   供应商应当按照磋商文件的变动情况和磋</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商小组的要求重新提交响应文件，</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并由其法定代表人（若供应商为事业单位或其他组织或分支机构</w:t>
      </w:r>
      <w:r>
        <w:rPr>
          <w:rFonts w:hint="eastAsia" w:ascii="仿宋" w:hAnsi="仿宋" w:eastAsia="仿宋" w:cs="仿宋"/>
          <w:color w:val="000000" w:themeColor="text1"/>
          <w:sz w:val="24"/>
          <w:szCs w:val="24"/>
          <w:highlight w:val="none"/>
          <w:lang w:eastAsia="zh-CN"/>
          <w14:textFill>
            <w14:solidFill>
              <w14:schemeClr w14:val="tx1"/>
            </w14:solidFill>
          </w14:textFill>
        </w:rPr>
        <w:t>，可为单位</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负责人）或授权代表签字或者加盖公章。由授权代表签字的，应当附授权委</w:t>
      </w:r>
      <w:r>
        <w:rPr>
          <w:rFonts w:hint="eastAsia" w:ascii="仿宋" w:hAnsi="仿宋" w:eastAsia="仿宋" w:cs="仿宋"/>
          <w:color w:val="000000" w:themeColor="text1"/>
          <w:sz w:val="24"/>
          <w:szCs w:val="24"/>
          <w:highlight w:val="none"/>
          <w:lang w:eastAsia="zh-CN"/>
          <w14:textFill>
            <w14:solidFill>
              <w14:schemeClr w14:val="tx1"/>
            </w14:solidFill>
          </w14:textFill>
        </w:rPr>
        <w:t>托书。供应商为自然人的，应当由本人签字并附身</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份证明。</w:t>
      </w:r>
    </w:p>
    <w:p w14:paraId="5907DDD2">
      <w:pPr>
        <w:pStyle w:val="9"/>
        <w:spacing w:before="179" w:line="201" w:lineRule="auto"/>
        <w:ind w:left="48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2.5   响应文件的澄清、说明或者更正：</w:t>
      </w:r>
    </w:p>
    <w:p w14:paraId="1DD5B116">
      <w:pPr>
        <w:pStyle w:val="9"/>
        <w:spacing w:before="175" w:line="270" w:lineRule="auto"/>
        <w:ind w:left="2116" w:right="112" w:hanging="90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2.5.1  磋商小组在对响应文件的有效性、完整性和响应程度进行审查时，可</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以要求供应商对响应文件中含义不明确、同类问题表述不一致或者有</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明显文字和计算错误的内容等作出必要的澄清、说明或者更正。</w:t>
      </w:r>
    </w:p>
    <w:p w14:paraId="29F74CC5">
      <w:pPr>
        <w:pStyle w:val="9"/>
        <w:spacing w:before="181" w:line="289" w:lineRule="auto"/>
        <w:ind w:left="2097" w:right="69" w:hanging="88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2.5.2   磋商小组对响应文件进行审查，如发现供应商提交的响应文件存在不</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满足《符合性审查要求》的内容，如属于表中</w:t>
      </w:r>
      <w:r>
        <w:rPr>
          <w:rFonts w:hint="eastAsia" w:ascii="仿宋" w:hAnsi="仿宋" w:eastAsia="仿宋" w:cs="仿宋"/>
          <w:color w:val="000000" w:themeColor="text1"/>
          <w:spacing w:val="-5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“不允许</w:t>
      </w:r>
      <w:r>
        <w:rPr>
          <w:rFonts w:hint="eastAsia" w:ascii="仿宋" w:hAnsi="仿宋" w:eastAsia="仿宋" w:cs="仿宋"/>
          <w:color w:val="000000" w:themeColor="text1"/>
          <w:spacing w:val="-5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”澄清、说明或</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者更正的内容，则供应商响应文件按</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无效处理</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；如属于表中的“允</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许</w:t>
      </w:r>
      <w:r>
        <w:rPr>
          <w:rFonts w:hint="eastAsia" w:ascii="仿宋" w:hAnsi="仿宋" w:eastAsia="仿宋" w:cs="仿宋"/>
          <w:color w:val="000000" w:themeColor="text1"/>
          <w:spacing w:val="-5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澄清、说明或更正的内容，磋商小组将要求供应商在规定的时间内对响应文件进行澄清、说明或者更正。如供应商在磋商小组规定的时间内未作出必要的澄清、说明或者更正，或澄清、说明或者更正后仍不</w:t>
      </w:r>
      <w:r>
        <w:rPr>
          <w:rFonts w:hint="eastAsia" w:ascii="仿宋" w:hAnsi="仿宋" w:eastAsia="仿宋" w:cs="仿宋"/>
          <w:color w:val="000000" w:themeColor="text1"/>
          <w:sz w:val="24"/>
          <w:szCs w:val="24"/>
          <w:highlight w:val="none"/>
          <w:lang w:eastAsia="zh-CN"/>
          <w14:textFill>
            <w14:solidFill>
              <w14:schemeClr w14:val="tx1"/>
            </w14:solidFill>
          </w14:textFill>
        </w:rPr>
        <w:t>能满足采购文件要求的，则供应商的响应文件按</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无效处理</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0F48E8C0">
      <w:pPr>
        <w:pStyle w:val="9"/>
        <w:spacing w:before="176" w:line="253" w:lineRule="auto"/>
        <w:ind w:left="2099" w:right="112" w:hanging="889"/>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2.5.3  供应商的澄清、说明或者更正不得超出响应文件的范围或者改变响应</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文件的实质性内容。磋商小组要求供应商澄清、说明或者更正响应文件应当以书面形式作出。供应商的澄清、说明或者更正应当由法定代</w:t>
      </w:r>
      <w:r>
        <w:rPr>
          <w:rFonts w:hint="eastAsia" w:ascii="仿宋" w:hAnsi="仿宋" w:eastAsia="仿宋" w:cs="仿宋"/>
          <w:color w:val="000000" w:themeColor="text1"/>
          <w:spacing w:val="-8"/>
          <w:sz w:val="24"/>
          <w:szCs w:val="24"/>
          <w:highlight w:val="none"/>
          <w:lang w:eastAsia="zh-CN"/>
          <w14:textFill>
            <w14:solidFill>
              <w14:schemeClr w14:val="tx1"/>
            </w14:solidFill>
          </w14:textFill>
        </w:rPr>
        <w:t>表人（若供应商为事业单位或其他组织</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或分支机构</w:t>
      </w:r>
      <w:r>
        <w:rPr>
          <w:rFonts w:hint="eastAsia" w:ascii="仿宋" w:hAnsi="仿宋" w:eastAsia="仿宋" w:cs="仿宋"/>
          <w:color w:val="000000" w:themeColor="text1"/>
          <w:spacing w:val="-8"/>
          <w:sz w:val="24"/>
          <w:szCs w:val="24"/>
          <w:highlight w:val="none"/>
          <w:lang w:eastAsia="zh-CN"/>
          <w14:textFill>
            <w14:solidFill>
              <w14:schemeClr w14:val="tx1"/>
            </w14:solidFill>
          </w14:textFill>
        </w:rPr>
        <w:t>，可为单位负责人）</w:t>
      </w:r>
      <w:r>
        <w:rPr>
          <w:rFonts w:hint="eastAsia" w:ascii="仿宋" w:hAnsi="仿宋" w:eastAsia="仿宋" w:cs="仿宋"/>
          <w:color w:val="000000" w:themeColor="text1"/>
          <w:spacing w:val="17"/>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或其授权代表签字或者加盖公章。由授权代表签字的，应当附授权委托书。供应商为自然人的，应当由本人签字并附身份证明。澄清、说</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明或者更正文件将作为响应文件内容的一部分。</w:t>
      </w:r>
    </w:p>
    <w:p w14:paraId="7B15D6A7">
      <w:pPr>
        <w:pStyle w:val="9"/>
        <w:spacing w:line="270" w:lineRule="auto"/>
        <w:ind w:left="1079" w:right="127" w:hanging="706"/>
        <w:rPr>
          <w:rFonts w:hint="eastAsia" w:ascii="仿宋" w:hAnsi="仿宋" w:eastAsia="仿宋" w:cs="仿宋"/>
          <w:color w:val="000000" w:themeColor="text1"/>
          <w:spacing w:val="-2"/>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2.6   磋商结束后</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，磋商小组将要求所</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有实质性响应的供应商在规定时间内提交最后报价。最后报价时间为磋商小组指定的时间，具体时间根据磋商进度另行</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通知。</w:t>
      </w:r>
    </w:p>
    <w:p w14:paraId="42C72767">
      <w:pPr>
        <w:pStyle w:val="9"/>
        <w:spacing w:before="175" w:line="292" w:lineRule="auto"/>
        <w:ind w:left="1078" w:right="125" w:hanging="70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2.7  关于启动异常低价投标（响应）审查程序及处理方式</w:t>
      </w:r>
    </w:p>
    <w:p w14:paraId="03BF2EFF">
      <w:pPr>
        <w:pStyle w:val="9"/>
        <w:spacing w:before="175" w:line="292" w:lineRule="auto"/>
        <w:ind w:left="1754" w:leftChars="455" w:right="125" w:hanging="799" w:hangingChars="333"/>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2.7</w:t>
      </w:r>
      <w:r>
        <w:rPr>
          <w:rFonts w:hint="eastAsia" w:ascii="仿宋" w:hAnsi="仿宋" w:eastAsia="仿宋" w:cs="仿宋"/>
          <w:color w:val="000000" w:themeColor="text1"/>
          <w:sz w:val="24"/>
          <w:szCs w:val="24"/>
          <w:highlight w:val="none"/>
          <w:lang w:eastAsia="zh-CN"/>
          <w14:textFill>
            <w14:solidFill>
              <w14:schemeClr w14:val="tx1"/>
            </w14:solidFill>
          </w14:textFill>
        </w:rPr>
        <w:t>.1 政府采购评审中出现下列情形之一的，评审委员会应当启动异常低价投标（响应）审查程序：（本条中响应报价指的是最后报价）</w:t>
      </w:r>
    </w:p>
    <w:p w14:paraId="0BBC5F31">
      <w:pPr>
        <w:pStyle w:val="9"/>
        <w:spacing w:before="175" w:line="292" w:lineRule="auto"/>
        <w:ind w:left="1762" w:leftChars="797" w:right="125" w:hanging="88" w:hangingChars="3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（1）响应报价低于全部通过符合性审查供应商响应报价平均值 50%的，即响应报价&lt;全部通过符合性审查供应商响应报价平均值×50%；</w:t>
      </w:r>
    </w:p>
    <w:p w14:paraId="57AFB745">
      <w:pPr>
        <w:pStyle w:val="9"/>
        <w:spacing w:before="175" w:line="292" w:lineRule="auto"/>
        <w:ind w:left="1762" w:leftChars="797" w:right="125" w:hanging="88" w:hangingChars="3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（2）响应报价低于通过符合性审查的次低报价供应商响应报价 50%的，即响应报价&lt;通过符合性审查的次低报价供应商响应报价×50%；</w:t>
      </w:r>
    </w:p>
    <w:p w14:paraId="4D98E64B">
      <w:pPr>
        <w:pStyle w:val="9"/>
        <w:spacing w:before="175" w:line="292" w:lineRule="auto"/>
        <w:ind w:left="1762" w:leftChars="797" w:right="125" w:hanging="88" w:hangingChars="3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（3）响应报价低于采购项目最高限价 45%的，即响应报价&lt;采购项目最高限价×45%；</w:t>
      </w:r>
    </w:p>
    <w:p w14:paraId="46D24D02">
      <w:pPr>
        <w:pStyle w:val="9"/>
        <w:spacing w:before="175" w:line="292" w:lineRule="auto"/>
        <w:ind w:left="1762" w:leftChars="797" w:right="125" w:hanging="88" w:hangingChars="3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（4）评审委员会基于专业判断，认为供应商报价过低，有可能影响产品质量或者不能诚信履约的其他情形。</w:t>
      </w:r>
    </w:p>
    <w:p w14:paraId="0AE751C3">
      <w:pPr>
        <w:pStyle w:val="9"/>
        <w:spacing w:before="175" w:line="292" w:lineRule="auto"/>
        <w:ind w:left="1762" w:leftChars="797" w:right="125" w:hanging="88" w:hangingChars="3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（5）相关法律法规对供应商报价有规定的，从其规定。</w:t>
      </w:r>
    </w:p>
    <w:p w14:paraId="5BEA64CE">
      <w:pPr>
        <w:pStyle w:val="9"/>
        <w:spacing w:before="175" w:line="292" w:lineRule="auto"/>
        <w:ind w:left="1754" w:leftChars="455" w:right="125" w:hanging="799" w:hangingChars="333"/>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2.7</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.2 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 30 分钟。其中，属于第（3）项情形，供应商已随响应文件一并提交相关书面说明及必要的证明材料的，在评审现场可不再重复提交。 </w:t>
      </w:r>
    </w:p>
    <w:p w14:paraId="370956DB">
      <w:pPr>
        <w:pStyle w:val="9"/>
        <w:spacing w:before="175" w:line="292" w:lineRule="auto"/>
        <w:ind w:left="1516" w:leftChars="455" w:right="125" w:hanging="561" w:hangingChars="234"/>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2.7</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无效响应处理。</w:t>
      </w:r>
    </w:p>
    <w:p w14:paraId="39FC34BC">
      <w:pPr>
        <w:pStyle w:val="9"/>
        <w:spacing w:before="175" w:line="292" w:lineRule="auto"/>
        <w:ind w:left="1516" w:leftChars="455" w:right="125" w:hanging="561" w:hangingChars="234"/>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2.7.4 上述投标（响应）报价指按照本章 3.2 修正后的报价。</w:t>
      </w:r>
    </w:p>
    <w:p w14:paraId="0FD8BAC2">
      <w:pPr>
        <w:pStyle w:val="9"/>
        <w:spacing w:before="175" w:line="292" w:lineRule="auto"/>
        <w:ind w:left="1078" w:right="125" w:hanging="70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2.8</w:t>
      </w:r>
      <w:r>
        <w:rPr>
          <w:rFonts w:hint="eastAsia" w:ascii="仿宋" w:hAnsi="仿宋" w:eastAsia="仿宋" w:cs="仿宋"/>
          <w:color w:val="000000" w:themeColor="text1"/>
          <w:sz w:val="24"/>
          <w:szCs w:val="24"/>
          <w:highlight w:val="none"/>
          <w:lang w:eastAsia="zh-CN"/>
          <w14:textFill>
            <w14:solidFill>
              <w14:schemeClr w14:val="tx1"/>
            </w14:solidFill>
          </w14:textFill>
        </w:rPr>
        <w:t>磋商文件能够详细列明采购标的的技术、服务要求的</w:t>
      </w:r>
      <w:r>
        <w:rPr>
          <w:rFonts w:hint="eastAsia" w:ascii="仿宋" w:hAnsi="仿宋" w:eastAsia="仿宋" w:cs="仿宋"/>
          <w:color w:val="000000" w:themeColor="text1"/>
          <w:spacing w:val="-2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，磋商结束后，磋商小</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组应当要求所有实质性响应的供应商在规定时间内提交最</w:t>
      </w:r>
      <w:r>
        <w:rPr>
          <w:rFonts w:hint="eastAsia" w:ascii="仿宋" w:hAnsi="仿宋" w:eastAsia="仿宋" w:cs="仿宋"/>
          <w:color w:val="000000" w:themeColor="text1"/>
          <w:sz w:val="24"/>
          <w:szCs w:val="24"/>
          <w:highlight w:val="none"/>
          <w:lang w:eastAsia="zh-CN"/>
          <w14:textFill>
            <w14:solidFill>
              <w14:schemeClr w14:val="tx1"/>
            </w14:solidFill>
          </w14:textFill>
        </w:rPr>
        <w:t>后报价，提交最后</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报价的供应商不得少于3家</w:t>
      </w:r>
      <w:r>
        <w:rPr>
          <w:rFonts w:hint="eastAsia" w:ascii="仿宋" w:hAnsi="仿宋" w:eastAsia="仿宋" w:cs="仿宋"/>
          <w:color w:val="000000" w:themeColor="text1"/>
          <w:spacing w:val="-2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。磋商文件不能详细列明采购标的的技术、服务要求，需经磋商由供应商提供最终设计方案或解决方案的，磋商结束后，磋</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商小组应当按照少数服从多数的原则投票推荐3家以上供应商的设计方案或</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者解决方案，并要求其在规定时间内提交最后报价。市场竞争不充分的科研</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项目，以及需要扶持的科技成果转化项目，提交最后报价的供应商可以为2</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家；政府购买服务项目（含政府和社会资本合作项目</w:t>
      </w:r>
      <w:r>
        <w:rPr>
          <w:rFonts w:hint="eastAsia" w:ascii="仿宋" w:hAnsi="仿宋" w:eastAsia="仿宋" w:cs="仿宋"/>
          <w:color w:val="000000" w:themeColor="text1"/>
          <w:spacing w:val="-54"/>
          <w:w w:val="9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在</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采购过程中符合要</w:t>
      </w:r>
      <w:r>
        <w:rPr>
          <w:rFonts w:hint="eastAsia" w:ascii="仿宋" w:hAnsi="仿宋" w:eastAsia="仿宋" w:cs="仿宋"/>
          <w:color w:val="000000" w:themeColor="text1"/>
          <w:sz w:val="24"/>
          <w:szCs w:val="24"/>
          <w:highlight w:val="none"/>
          <w:lang w:eastAsia="zh-CN"/>
          <w14:textFill>
            <w14:solidFill>
              <w14:schemeClr w14:val="tx1"/>
            </w14:solidFill>
          </w14:textFill>
        </w:rPr>
        <w:t>求的供应商（社会资本）只有2家的，竞争性磋商采购活动可以继续进</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行。</w:t>
      </w:r>
    </w:p>
    <w:p w14:paraId="08816225">
      <w:pPr>
        <w:pStyle w:val="9"/>
        <w:spacing w:before="187" w:line="200" w:lineRule="auto"/>
        <w:ind w:left="373"/>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w:t>
      </w: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 xml:space="preserve">  最后报价是供应商响应文件的有效组成部分。</w:t>
      </w:r>
    </w:p>
    <w:p w14:paraId="669EEBB9">
      <w:pPr>
        <w:pStyle w:val="9"/>
        <w:spacing w:before="175" w:line="253" w:lineRule="auto"/>
        <w:ind w:left="1081" w:right="127" w:hanging="70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w:t>
      </w: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 xml:space="preserve">  已提交响应文件的供应商</w:t>
      </w:r>
      <w:r>
        <w:rPr>
          <w:rFonts w:hint="eastAsia" w:ascii="仿宋" w:hAnsi="仿宋" w:eastAsia="仿宋" w:cs="仿宋"/>
          <w:color w:val="000000" w:themeColor="text1"/>
          <w:sz w:val="24"/>
          <w:szCs w:val="24"/>
          <w:highlight w:val="none"/>
          <w:lang w:eastAsia="zh-CN"/>
          <w14:textFill>
            <w14:solidFill>
              <w14:schemeClr w14:val="tx1"/>
            </w14:solidFill>
          </w14:textFill>
        </w:rPr>
        <w:t>，在提交最后报价之前，可以根据磋商情况退出磋</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商。</w:t>
      </w:r>
    </w:p>
    <w:p w14:paraId="79C60094">
      <w:pPr>
        <w:pStyle w:val="9"/>
        <w:spacing w:before="178" w:line="200" w:lineRule="auto"/>
        <w:ind w:left="1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   最后报价的算术修正及政策调整</w:t>
      </w:r>
    </w:p>
    <w:p w14:paraId="3C112EF1">
      <w:pPr>
        <w:pStyle w:val="9"/>
        <w:spacing w:before="178" w:line="278" w:lineRule="auto"/>
        <w:ind w:left="1080" w:right="125" w:hanging="70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3.1   最后报价须包含竞争性磋商文件全部</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内容</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，如最后分项报价表有缺漏视为已含在其他各项报价中，将不对最后报价进行调整。磋商小组有权要求供应商在评审现场合理的时间内对此进行书面确认，供应商</w:t>
      </w:r>
      <w:r>
        <w:rPr>
          <w:rFonts w:hint="eastAsia" w:ascii="仿宋" w:hAnsi="仿宋" w:eastAsia="仿宋" w:cs="仿宋"/>
          <w:color w:val="000000" w:themeColor="text1"/>
          <w:sz w:val="24"/>
          <w:szCs w:val="24"/>
          <w:highlight w:val="none"/>
          <w:lang w:eastAsia="zh-CN"/>
          <w14:textFill>
            <w14:solidFill>
              <w14:schemeClr w14:val="tx1"/>
            </w14:solidFill>
          </w14:textFill>
        </w:rPr>
        <w:t>不确认的，视为将一个</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采购包中的内容拆分响应，其</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7A42B315">
      <w:pPr>
        <w:pStyle w:val="9"/>
        <w:spacing w:before="178" w:line="200" w:lineRule="auto"/>
        <w:ind w:left="374"/>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3.2   最后报价出现前后不一致的，按照下列规定修正：</w:t>
      </w:r>
    </w:p>
    <w:p w14:paraId="6BDD1D2B">
      <w:pPr>
        <w:pStyle w:val="9"/>
        <w:spacing w:before="180" w:line="200" w:lineRule="auto"/>
        <w:ind w:left="1154"/>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3.2.1  竞争性磋商文件对于报价修正是否另有规定：</w:t>
      </w:r>
    </w:p>
    <w:p w14:paraId="1CB4F43B">
      <w:pPr>
        <w:pStyle w:val="9"/>
        <w:spacing w:before="180" w:line="200" w:lineRule="auto"/>
        <w:ind w:left="1154" w:firstLine="984" w:firstLineChars="400"/>
        <w:rPr>
          <w:rFonts w:hint="eastAsia"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□有，具体规定为：__________</w:t>
      </w:r>
    </w:p>
    <w:p w14:paraId="650A4DC7">
      <w:pPr>
        <w:pStyle w:val="9"/>
        <w:spacing w:before="180" w:line="200" w:lineRule="auto"/>
        <w:ind w:left="1154" w:firstLine="984" w:firstLineChars="400"/>
        <w:rPr>
          <w:rFonts w:hint="eastAsia"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■无，按下述 3.2.2-3.2.</w:t>
      </w:r>
      <w:r>
        <w:rPr>
          <w:rFonts w:hint="eastAsia" w:ascii="仿宋" w:hAnsi="仿宋" w:eastAsia="仿宋" w:cs="仿宋"/>
          <w:color w:val="000000" w:themeColor="text1"/>
          <w:spacing w:val="3"/>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项规定修正。</w:t>
      </w:r>
    </w:p>
    <w:p w14:paraId="5756BD08">
      <w:pPr>
        <w:pStyle w:val="9"/>
        <w:spacing w:before="180" w:line="200" w:lineRule="auto"/>
        <w:ind w:left="1154"/>
        <w:rPr>
          <w:rFonts w:hint="eastAsia"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3.2.2  大写金额和小写金额不一致的 ，以大写金额为准；</w:t>
      </w:r>
    </w:p>
    <w:p w14:paraId="359ED1C5">
      <w:pPr>
        <w:pStyle w:val="9"/>
        <w:spacing w:before="180" w:line="200" w:lineRule="auto"/>
        <w:ind w:left="2137" w:leftChars="549" w:hanging="984" w:hangingChars="400"/>
        <w:rPr>
          <w:rFonts w:hint="eastAsia"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3.2.3  单价金额小数点或者百分比有明显错位的，以总价为准，并修改单价；</w:t>
      </w:r>
    </w:p>
    <w:p w14:paraId="28E241B1">
      <w:pPr>
        <w:pStyle w:val="9"/>
        <w:spacing w:before="180" w:line="200" w:lineRule="auto"/>
        <w:ind w:left="1154"/>
        <w:rPr>
          <w:rFonts w:hint="eastAsia"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3.2.4  总价金额与按单价汇总金额不一致的，以单价金额计算结果为准。</w:t>
      </w:r>
    </w:p>
    <w:p w14:paraId="0AFEF5F3">
      <w:pPr>
        <w:pStyle w:val="9"/>
        <w:spacing w:before="180" w:line="200" w:lineRule="auto"/>
        <w:ind w:left="1154"/>
        <w:rPr>
          <w:rFonts w:hint="eastAsia"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3.2.5  同时出现两种以上不一致的，按照前款规定的顺序修正。</w:t>
      </w:r>
    </w:p>
    <w:p w14:paraId="722E2C2A">
      <w:pPr>
        <w:pStyle w:val="9"/>
        <w:spacing w:before="180" w:line="200" w:lineRule="auto"/>
        <w:ind w:left="2137" w:leftChars="549" w:hanging="984" w:hangingChars="400"/>
        <w:rPr>
          <w:rFonts w:hint="eastAsia" w:ascii="仿宋" w:hAnsi="仿宋" w:eastAsia="仿宋" w:cs="仿宋"/>
          <w:b/>
          <w:bCs/>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3.2.6  修正后的报价经供应商书面确认后产生约束力，供应商不确认的，</w:t>
      </w:r>
      <w:r>
        <w:rPr>
          <w:rFonts w:hint="eastAsia" w:ascii="仿宋" w:hAnsi="仿宋" w:eastAsia="仿宋" w:cs="仿宋"/>
          <w:b/>
          <w:bCs/>
          <w:color w:val="000000" w:themeColor="text1"/>
          <w:spacing w:val="3"/>
          <w:sz w:val="24"/>
          <w:szCs w:val="24"/>
          <w:highlight w:val="none"/>
          <w:lang w:eastAsia="zh-CN"/>
          <w14:textFill>
            <w14:solidFill>
              <w14:schemeClr w14:val="tx1"/>
            </w14:solidFill>
          </w14:textFill>
        </w:rPr>
        <w:t>其响应无效。</w:t>
      </w:r>
    </w:p>
    <w:p w14:paraId="70612CA2">
      <w:pPr>
        <w:pStyle w:val="9"/>
        <w:spacing w:before="176" w:line="304" w:lineRule="auto"/>
        <w:ind w:left="1079" w:right="75" w:hanging="70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3.3   落实政府采购政策的价格调整：只有符合第二章《供应商须知》4.2条</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规定</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情形的，可以享受中小企业扶持政策，用扣除后的价格参加评审；否则，评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审时价格不予扣除。</w:t>
      </w:r>
    </w:p>
    <w:p w14:paraId="5AFA39E9">
      <w:pPr>
        <w:pStyle w:val="9"/>
        <w:spacing w:before="3" w:line="269" w:lineRule="auto"/>
        <w:ind w:left="2041" w:right="75" w:hanging="88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3.3.1  对于未预留份额专门面向中小</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企业采购的采购项目，以及预留份额项</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目中的非预留部分采购包</w:t>
      </w:r>
      <w:r>
        <w:rPr>
          <w:rFonts w:hint="eastAsia" w:ascii="仿宋" w:hAnsi="仿宋" w:eastAsia="仿宋" w:cs="仿宋"/>
          <w:color w:val="000000" w:themeColor="text1"/>
          <w:spacing w:val="-1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，对小微企业报价给予</w:t>
      </w:r>
      <w:r>
        <w:rPr>
          <w:rFonts w:hint="eastAsia" w:ascii="仿宋" w:hAnsi="仿宋" w:eastAsia="仿宋" w:cs="仿宋"/>
          <w:b/>
          <w:bCs/>
          <w:color w:val="000000" w:themeColor="text1"/>
          <w:spacing w:val="3"/>
          <w:sz w:val="24"/>
          <w:szCs w:val="24"/>
          <w:highlight w:val="none"/>
          <w:u w:val="single"/>
          <w:lang w:eastAsia="zh-CN"/>
          <w14:textFill>
            <w14:solidFill>
              <w14:schemeClr w14:val="tx1"/>
            </w14:solidFill>
          </w14:textFill>
        </w:rPr>
        <w:t xml:space="preserve"> </w:t>
      </w:r>
      <w:r>
        <w:rPr>
          <w:rFonts w:hint="eastAsia" w:ascii="仿宋" w:hAnsi="仿宋" w:eastAsia="仿宋" w:cs="仿宋"/>
          <w:b/>
          <w:bCs/>
          <w:color w:val="000000" w:themeColor="text1"/>
          <w:spacing w:val="3"/>
          <w:sz w:val="24"/>
          <w:szCs w:val="24"/>
          <w:highlight w:val="none"/>
          <w:u w:val="single"/>
          <w:lang w:val="en-US" w:eastAsia="zh-CN"/>
          <w14:textFill>
            <w14:solidFill>
              <w14:schemeClr w14:val="tx1"/>
            </w14:solidFill>
          </w14:textFill>
        </w:rPr>
        <w:t>5</w:t>
      </w:r>
      <w:r>
        <w:rPr>
          <w:rFonts w:hint="eastAsia" w:ascii="仿宋" w:hAnsi="仿宋" w:eastAsia="仿宋" w:cs="仿宋"/>
          <w:b/>
          <w:bCs/>
          <w:color w:val="000000" w:themeColor="text1"/>
          <w:spacing w:val="3"/>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%的扣除，</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用扣除后的价格参加评审。</w:t>
      </w:r>
    </w:p>
    <w:p w14:paraId="4C8C919C">
      <w:pPr>
        <w:pStyle w:val="9"/>
        <w:spacing w:before="175" w:line="287" w:lineRule="auto"/>
        <w:ind w:left="2039" w:right="75" w:hanging="88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3.3.2  对于未预留份额专门面向中小</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企业采购的采购项目，以及预留份额项</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目中的非预留部分采购包，且接受大中型企业与小微企业组成联合体或者允许大中型企业向一家或者多家小微企业分包的采购项目，对于联合协议或者分包意向协议约定小微企业的合同份额占到合同</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总金额30%以上的联合体或者大中型企业的报价给予</w:t>
      </w:r>
      <w:r>
        <w:rPr>
          <w:rFonts w:hint="eastAsia" w:ascii="仿宋" w:hAnsi="仿宋" w:eastAsia="仿宋" w:cs="仿宋"/>
          <w:b/>
          <w:bCs/>
          <w:color w:val="000000" w:themeColor="text1"/>
          <w:spacing w:val="7"/>
          <w:sz w:val="24"/>
          <w:szCs w:val="24"/>
          <w:highlight w:val="none"/>
          <w:u w:val="single"/>
          <w:lang w:eastAsia="zh-CN"/>
          <w14:textFill>
            <w14:solidFill>
              <w14:schemeClr w14:val="tx1"/>
            </w14:solidFill>
          </w14:textFill>
        </w:rPr>
        <w:t xml:space="preserve"> </w:t>
      </w:r>
      <w:r>
        <w:rPr>
          <w:rFonts w:hint="eastAsia" w:ascii="仿宋" w:hAnsi="仿宋" w:eastAsia="仿宋" w:cs="仿宋"/>
          <w:b/>
          <w:bCs/>
          <w:color w:val="000000" w:themeColor="text1"/>
          <w:spacing w:val="7"/>
          <w:sz w:val="24"/>
          <w:szCs w:val="24"/>
          <w:highlight w:val="none"/>
          <w:u w:val="single"/>
          <w:lang w:val="en-US" w:eastAsia="zh-CN"/>
          <w14:textFill>
            <w14:solidFill>
              <w14:schemeClr w14:val="tx1"/>
            </w14:solidFill>
          </w14:textFill>
        </w:rPr>
        <w:t>2</w:t>
      </w:r>
      <w:r>
        <w:rPr>
          <w:rFonts w:hint="eastAsia" w:ascii="仿宋" w:hAnsi="仿宋" w:eastAsia="仿宋" w:cs="仿宋"/>
          <w:b/>
          <w:bCs/>
          <w:color w:val="000000" w:themeColor="text1"/>
          <w:spacing w:val="7"/>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扣除，用扣除后的价格参加评审。</w:t>
      </w:r>
    </w:p>
    <w:p w14:paraId="47BAF213">
      <w:pPr>
        <w:pStyle w:val="9"/>
        <w:spacing w:before="180" w:line="251" w:lineRule="auto"/>
        <w:ind w:left="2043" w:right="75" w:hanging="88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3.3.3   组成联合体或者接受分包的小</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微企业与联合体内其他企业、分包企业之间存在直接控股、管理关系的，不享受价格扣除优惠政策。</w:t>
      </w:r>
    </w:p>
    <w:p w14:paraId="69E5AC06">
      <w:pPr>
        <w:pStyle w:val="9"/>
        <w:spacing w:before="177" w:line="200" w:lineRule="auto"/>
        <w:ind w:left="1154"/>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3.3.4   价格扣除比例对小型企业和微型企</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业同等对待，不作区分。</w:t>
      </w:r>
    </w:p>
    <w:p w14:paraId="2B055C50">
      <w:pPr>
        <w:pStyle w:val="9"/>
        <w:spacing w:before="180" w:line="251" w:lineRule="auto"/>
        <w:ind w:left="2039" w:right="75" w:hanging="88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3.3.5   中小企业参加政府采购活动，应当按照竞争性磋商文件给</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定的格式出</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具《中小企业声明函》，否则不得享受相关中小企业扶持政策。</w:t>
      </w:r>
    </w:p>
    <w:p w14:paraId="07B345C1">
      <w:pPr>
        <w:pStyle w:val="9"/>
        <w:spacing w:before="178" w:line="249" w:lineRule="auto"/>
        <w:ind w:left="2036" w:right="75" w:hanging="88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3.3.6   监狱企业提供了由省级以上监</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狱管理局、戒毒管理局（含新疆生产建</w:t>
      </w:r>
      <w:r>
        <w:rPr>
          <w:rFonts w:hint="eastAsia" w:ascii="仿宋" w:hAnsi="仿宋" w:eastAsia="仿宋" w:cs="仿宋"/>
          <w:color w:val="000000" w:themeColor="text1"/>
          <w:sz w:val="24"/>
          <w:szCs w:val="24"/>
          <w:highlight w:val="none"/>
          <w:lang w:eastAsia="zh-CN"/>
          <w14:textFill>
            <w14:solidFill>
              <w14:schemeClr w14:val="tx1"/>
            </w14:solidFill>
          </w14:textFill>
        </w:rPr>
        <w:t>设兵团）出具的属于监狱企业的证明文件的，视同小微企</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业。</w:t>
      </w:r>
    </w:p>
    <w:p w14:paraId="0387A4AE">
      <w:pPr>
        <w:pStyle w:val="9"/>
        <w:spacing w:before="273" w:line="251" w:lineRule="auto"/>
        <w:ind w:left="2039" w:hanging="88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3.3.7   残疾人福利性单位按竞争性磋</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商文件要求提供了《残疾人福利性单位声明函》的，视同小微企业。</w:t>
      </w:r>
    </w:p>
    <w:p w14:paraId="05C55718">
      <w:pPr>
        <w:pStyle w:val="9"/>
        <w:spacing w:before="179" w:line="251" w:lineRule="auto"/>
        <w:ind w:left="2060" w:hanging="90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3.3.8   若供应商同时属于小型或微型</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企业、监狱企业、残疾人福利性单位中的两种及以上，将不重复享受小微企业价格扣减的优惠政策。</w:t>
      </w:r>
    </w:p>
    <w:p w14:paraId="7EAAE9D0">
      <w:pPr>
        <w:pStyle w:val="9"/>
        <w:spacing w:before="176" w:line="194" w:lineRule="auto"/>
        <w:ind w:left="1154"/>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3.3.9   其他为落实政府采购政策实施的优先采购：_____。</w:t>
      </w:r>
    </w:p>
    <w:p w14:paraId="7CFBDA63">
      <w:pPr>
        <w:pStyle w:val="9"/>
        <w:spacing w:before="176" w:line="304" w:lineRule="auto"/>
        <w:ind w:left="1079" w:right="75" w:hanging="705"/>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 xml:space="preserve">3.4 </w:t>
      </w:r>
      <w:r>
        <w:rPr>
          <w:rFonts w:hint="eastAsia" w:ascii="仿宋" w:hAnsi="仿宋" w:eastAsia="仿宋" w:cs="仿宋"/>
          <w:color w:val="000000" w:themeColor="text1"/>
          <w:spacing w:val="4"/>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支持本国产品政府采购的价格调整：只有符合第二章《供应商须知》4.2条规定情形的，可以享受本国产品支持政策，用扣除后的价格参加评审；否则，评审时价格不予扣除。</w:t>
      </w:r>
    </w:p>
    <w:p w14:paraId="62D27215">
      <w:pPr>
        <w:pStyle w:val="9"/>
        <w:spacing w:before="176" w:line="194" w:lineRule="auto"/>
        <w:ind w:left="1897" w:leftChars="549" w:hanging="744" w:hangingChars="300"/>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3.4.1 本项目既有本国产品又有非本国产品参与竞争的，依法对本国产品给予价格评审优惠，对本国产品的报价给予 20%的价格扣除，用扣除后的价格参与评审。</w:t>
      </w:r>
    </w:p>
    <w:p w14:paraId="0E2EB3B3">
      <w:pPr>
        <w:pStyle w:val="9"/>
        <w:spacing w:before="176" w:line="194" w:lineRule="auto"/>
        <w:ind w:left="1897" w:leftChars="549" w:hanging="744" w:hangingChars="300"/>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3.4.2 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80%以上时，依法对该供应商提供的全部产品给予价格评审优惠，即对该供应商提供的全部产品的总报价给予20%的价格扣除，用扣除后的价格参与评审。</w:t>
      </w:r>
    </w:p>
    <w:p w14:paraId="07A76FC0">
      <w:pPr>
        <w:pStyle w:val="9"/>
        <w:spacing w:before="176" w:line="194" w:lineRule="auto"/>
        <w:ind w:left="1897" w:leftChars="549" w:hanging="744" w:hangingChars="300"/>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3.4.3 供应商提供本国产品参加政府采购活动的，应当按照采购文件给定的格式出具《关于符合本国产品标准的声明函》或提供财政部会同有关部门规定的有关证明文件，否则视为非本国产品。</w:t>
      </w:r>
    </w:p>
    <w:p w14:paraId="7DD8D64E">
      <w:pPr>
        <w:pStyle w:val="9"/>
        <w:spacing w:before="191" w:line="200" w:lineRule="auto"/>
        <w:ind w:left="1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   磋商环节及提交最后报价后如出现以下情况的，供应商的</w:t>
      </w:r>
      <w:r>
        <w:rPr>
          <w:rFonts w:hint="eastAsia" w:ascii="仿宋" w:hAnsi="仿宋" w:eastAsia="仿宋" w:cs="仿宋"/>
          <w:b/>
          <w:bCs/>
          <w:color w:val="000000" w:themeColor="text1"/>
          <w:sz w:val="24"/>
          <w:szCs w:val="24"/>
          <w:highlight w:val="none"/>
          <w:lang w:eastAsia="zh-CN"/>
          <w14:textFill>
            <w14:solidFill>
              <w14:schemeClr w14:val="tx1"/>
            </w14:solidFill>
          </w14:textFill>
        </w:rPr>
        <w:t>响应文件无效</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02A27762">
      <w:pPr>
        <w:pStyle w:val="9"/>
        <w:spacing w:before="177" w:line="200" w:lineRule="auto"/>
        <w:ind w:left="36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4.1    供应商对实质性变动不予确认的；</w:t>
      </w:r>
    </w:p>
    <w:p w14:paraId="2DCAA69F">
      <w:pPr>
        <w:pStyle w:val="9"/>
        <w:spacing w:before="179" w:line="249" w:lineRule="auto"/>
        <w:ind w:left="1454" w:leftChars="174" w:right="2" w:hanging="1089" w:hangingChars="443"/>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4.2    不满足磋商文件★号条款或磋商文件技术指标超出磋商文件《采购需求》中</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主要技术参数允许偏差的最大范围的（如有</w:t>
      </w:r>
      <w:r>
        <w:rPr>
          <w:rFonts w:hint="eastAsia" w:ascii="仿宋" w:hAnsi="仿宋" w:eastAsia="仿宋" w:cs="仿宋"/>
          <w:color w:val="000000" w:themeColor="text1"/>
          <w:spacing w:val="-53"/>
          <w:sz w:val="24"/>
          <w:szCs w:val="24"/>
          <w:highlight w:val="none"/>
          <w:lang w:eastAsia="zh-CN"/>
          <w14:textFill>
            <w14:solidFill>
              <w14:schemeClr w14:val="tx1"/>
            </w14:solidFill>
          </w14:textFill>
        </w:rPr>
        <w:t>）；</w:t>
      </w:r>
    </w:p>
    <w:p w14:paraId="5266E832">
      <w:pPr>
        <w:pStyle w:val="9"/>
        <w:spacing w:before="185" w:line="200" w:lineRule="auto"/>
        <w:ind w:left="36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4.3    未按照磋商小组规定的时间、逾期提交最后报价的；</w:t>
      </w:r>
    </w:p>
    <w:p w14:paraId="50E6AD1D">
      <w:pPr>
        <w:pStyle w:val="9"/>
        <w:spacing w:before="178" w:line="251" w:lineRule="auto"/>
        <w:ind w:left="1482" w:leftChars="174" w:right="2" w:hanging="1117" w:hangingChars="44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4.4    如供应商的最后报价超过竞争性磋商文件中规定的项目/采购包预算金额或</w:t>
      </w:r>
      <w:r>
        <w:rPr>
          <w:rFonts w:hint="eastAsia" w:ascii="仿宋" w:hAnsi="仿宋" w:eastAsia="仿宋" w:cs="仿宋"/>
          <w:color w:val="000000" w:themeColor="text1"/>
          <w:sz w:val="24"/>
          <w:szCs w:val="24"/>
          <w:highlight w:val="none"/>
          <w:lang w:eastAsia="zh-CN"/>
          <w14:textFill>
            <w14:solidFill>
              <w14:schemeClr w14:val="tx1"/>
            </w14:solidFill>
          </w14:textFill>
        </w:rPr>
        <w:t>者项目/采购包最高限价的；</w:t>
      </w:r>
    </w:p>
    <w:p w14:paraId="3C8C2167">
      <w:pPr>
        <w:pStyle w:val="9"/>
        <w:spacing w:before="180" w:line="249" w:lineRule="auto"/>
        <w:ind w:left="1442" w:leftChars="174" w:right="2" w:hanging="1077" w:hangingChars="43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4.5    响应文件中出现可选择性或可调整的报价的（竞争性磋</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商文件另有规定的除</w:t>
      </w:r>
      <w:r>
        <w:rPr>
          <w:rFonts w:hint="eastAsia" w:ascii="仿宋" w:hAnsi="仿宋" w:eastAsia="仿宋" w:cs="仿宋"/>
          <w:color w:val="000000" w:themeColor="text1"/>
          <w:spacing w:val="-3"/>
          <w:w w:val="99"/>
          <w:sz w:val="24"/>
          <w:szCs w:val="24"/>
          <w:highlight w:val="none"/>
          <w:lang w:eastAsia="zh-CN"/>
          <w14:textFill>
            <w14:solidFill>
              <w14:schemeClr w14:val="tx1"/>
            </w14:solidFill>
          </w14:textFill>
        </w:rPr>
        <w:t>外</w:t>
      </w:r>
      <w:r>
        <w:rPr>
          <w:rFonts w:hint="eastAsia" w:ascii="仿宋" w:hAnsi="仿宋" w:eastAsia="仿宋" w:cs="仿宋"/>
          <w:color w:val="000000" w:themeColor="text1"/>
          <w:spacing w:val="-55"/>
          <w:sz w:val="24"/>
          <w:szCs w:val="24"/>
          <w:highlight w:val="none"/>
          <w:lang w:eastAsia="zh-CN"/>
          <w14:textFill>
            <w14:solidFill>
              <w14:schemeClr w14:val="tx1"/>
            </w14:solidFill>
          </w14:textFill>
        </w:rPr>
        <w:t>）；</w:t>
      </w:r>
    </w:p>
    <w:p w14:paraId="66EA4D86">
      <w:pPr>
        <w:pStyle w:val="9"/>
        <w:spacing w:before="187" w:line="200" w:lineRule="auto"/>
        <w:ind w:left="36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4.6    最后报价出现前后不一致，供应商对修正后的报价不予确认的；</w:t>
      </w:r>
    </w:p>
    <w:p w14:paraId="45ACF71B">
      <w:pPr>
        <w:pStyle w:val="9"/>
        <w:spacing w:before="177" w:line="194" w:lineRule="auto"/>
        <w:ind w:left="36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4.7</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其他：</w:t>
      </w:r>
      <w:r>
        <w:rPr>
          <w:rFonts w:hint="eastAsia" w:ascii="仿宋" w:hAnsi="仿宋" w:eastAsia="仿宋" w:cs="仿宋"/>
          <w:color w:val="000000" w:themeColor="text1"/>
          <w:spacing w:val="7"/>
          <w:sz w:val="24"/>
          <w:szCs w:val="24"/>
          <w:highlight w:val="none"/>
          <w:u w:val="single"/>
          <w:lang w:eastAsia="zh-CN"/>
          <w14:textFill>
            <w14:solidFill>
              <w14:schemeClr w14:val="tx1"/>
            </w14:solidFill>
          </w14:textFill>
        </w:rPr>
        <w:t xml:space="preserve">  /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w:t>
      </w:r>
    </w:p>
    <w:p w14:paraId="17909017">
      <w:pPr>
        <w:pStyle w:val="9"/>
        <w:spacing w:before="188" w:line="201" w:lineRule="auto"/>
        <w:ind w:left="1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5   评审方法和评审标准</w:t>
      </w:r>
    </w:p>
    <w:p w14:paraId="1FF48E8F">
      <w:pPr>
        <w:pStyle w:val="9"/>
        <w:spacing w:before="179" w:line="269" w:lineRule="auto"/>
        <w:ind w:left="1081" w:right="2" w:hanging="70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5.1   本项目采用的评审方法为：本项目的评审采用综合评分</w:t>
      </w:r>
      <w:r>
        <w:rPr>
          <w:rFonts w:hint="eastAsia" w:ascii="仿宋" w:hAnsi="仿宋" w:eastAsia="仿宋" w:cs="仿宋"/>
          <w:color w:val="000000" w:themeColor="text1"/>
          <w:sz w:val="24"/>
          <w:szCs w:val="24"/>
          <w:highlight w:val="none"/>
          <w:lang w:eastAsia="zh-CN"/>
          <w14:textFill>
            <w14:solidFill>
              <w14:schemeClr w14:val="tx1"/>
            </w14:solidFill>
          </w14:textFill>
        </w:rPr>
        <w:t>法</w:t>
      </w:r>
      <w:r>
        <w:rPr>
          <w:rFonts w:hint="eastAsia" w:ascii="仿宋" w:hAnsi="仿宋" w:eastAsia="仿宋" w:cs="仿宋"/>
          <w:color w:val="000000" w:themeColor="text1"/>
          <w:spacing w:val="-4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。综合评分法，是</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指响应文件满足磋商文件全部实质性要求且按评审因素的量化指标评审得分</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最高的供应商为成交候选供应商的评审方法。</w:t>
      </w:r>
    </w:p>
    <w:p w14:paraId="040DD361">
      <w:pPr>
        <w:pStyle w:val="9"/>
        <w:spacing w:before="180" w:line="200" w:lineRule="auto"/>
        <w:ind w:left="374"/>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5.2   竞争性磋商文件中没有规定的评审标准不得作为评审依据。</w:t>
      </w:r>
    </w:p>
    <w:p w14:paraId="2172D208">
      <w:pPr>
        <w:pStyle w:val="9"/>
        <w:spacing w:before="176" w:line="249" w:lineRule="auto"/>
        <w:ind w:left="1081" w:right="2" w:hanging="707"/>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5.3   非政府强制采购的节能产品或环境标志</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产品，依据品目清单和认证证书实施政府优先采购。优先采购的具体规定（如涉</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及）</w:t>
      </w:r>
      <w:r>
        <w:rPr>
          <w:rFonts w:hint="eastAsia" w:ascii="仿宋" w:hAnsi="仿宋" w:eastAsia="仿宋" w:cs="仿宋"/>
          <w:color w:val="000000" w:themeColor="text1"/>
          <w:spacing w:val="1"/>
          <w:sz w:val="24"/>
          <w:szCs w:val="24"/>
          <w:highlight w:val="none"/>
          <w:u w:val="single"/>
          <w:lang w:eastAsia="zh-CN"/>
          <w14:textFill>
            <w14:solidFill>
              <w14:schemeClr w14:val="tx1"/>
            </w14:solidFill>
          </w14:textFill>
        </w:rPr>
        <w:t xml:space="preserve">  /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3BEAE51D">
      <w:pPr>
        <w:pStyle w:val="9"/>
        <w:spacing w:before="190" w:line="201" w:lineRule="auto"/>
        <w:ind w:left="1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6   确定成交候选人名单</w:t>
      </w:r>
    </w:p>
    <w:p w14:paraId="3D64652C">
      <w:pPr>
        <w:pStyle w:val="9"/>
        <w:spacing w:before="179" w:line="310" w:lineRule="auto"/>
        <w:ind w:left="1079" w:right="2" w:hanging="70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6.1   磋商小组将根据各供应商的评审排序以及磋</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商文件中关于成交候选人的相关</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规定，确定本项目成交候选人名单，按照评审得分由高</w:t>
      </w:r>
      <w:r>
        <w:rPr>
          <w:rFonts w:hint="eastAsia" w:ascii="仿宋" w:hAnsi="仿宋" w:eastAsia="仿宋" w:cs="仿宋"/>
          <w:color w:val="000000" w:themeColor="text1"/>
          <w:sz w:val="24"/>
          <w:szCs w:val="24"/>
          <w:highlight w:val="none"/>
          <w:lang w:eastAsia="zh-CN"/>
          <w14:textFill>
            <w14:solidFill>
              <w14:schemeClr w14:val="tx1"/>
            </w14:solidFill>
          </w14:textFill>
        </w:rPr>
        <w:t>到低顺序推荐成交候选人的排名顺序</w:t>
      </w:r>
      <w:r>
        <w:rPr>
          <w:rFonts w:hint="eastAsia" w:ascii="仿宋" w:hAnsi="仿宋" w:eastAsia="仿宋" w:cs="仿宋"/>
          <w:color w:val="000000" w:themeColor="text1"/>
          <w:spacing w:val="-3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。评审得分相同的，按照最后报价由低到高的顺序推荐。评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审得分且最后报价相同的，按照技术指标优劣顺序推荐。响应文件满足</w:t>
      </w:r>
      <w:r>
        <w:rPr>
          <w:rFonts w:hint="eastAsia" w:ascii="仿宋" w:hAnsi="仿宋" w:eastAsia="仿宋" w:cs="仿宋"/>
          <w:color w:val="000000" w:themeColor="text1"/>
          <w:sz w:val="24"/>
          <w:szCs w:val="24"/>
          <w:highlight w:val="none"/>
          <w:lang w:eastAsia="zh-CN"/>
          <w14:textFill>
            <w14:solidFill>
              <w14:schemeClr w14:val="tx1"/>
            </w14:solidFill>
          </w14:textFill>
        </w:rPr>
        <w:t>竞争</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性磋商文件全部实质性要求，且按照评审因素的量化指标评审得分最高的供</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应商为排名第一的成交候选人。评分分值计算保留小数点后两位，第三位四</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舍五入。</w:t>
      </w:r>
    </w:p>
    <w:p w14:paraId="4F8A2871">
      <w:pPr>
        <w:pStyle w:val="9"/>
        <w:spacing w:line="268" w:lineRule="auto"/>
        <w:ind w:left="1079" w:hanging="70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6.2   磋商小组根据上述供应商排序，依次推荐排序前</w:t>
      </w:r>
      <w:r>
        <w:rPr>
          <w:rFonts w:hint="eastAsia" w:ascii="仿宋" w:hAnsi="仿宋" w:eastAsia="仿宋" w:cs="仿宋"/>
          <w:color w:val="000000" w:themeColor="text1"/>
          <w:spacing w:val="4"/>
          <w:sz w:val="24"/>
          <w:szCs w:val="24"/>
          <w:highlight w:val="none"/>
          <w:u w:val="single"/>
          <w:lang w:eastAsia="zh-CN"/>
          <w14:textFill>
            <w14:solidFill>
              <w14:schemeClr w14:val="tx1"/>
            </w14:solidFill>
          </w14:textFill>
        </w:rPr>
        <w:t xml:space="preserve">  3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名</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的供应商为成交候</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选供应商（若在磋商文件允许的情形下提交最后报价的供应商为二家，则依</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次推荐二名供应商为成交候选供应商</w:t>
      </w:r>
      <w:r>
        <w:rPr>
          <w:rFonts w:hint="eastAsia" w:ascii="仿宋" w:hAnsi="仿宋" w:eastAsia="仿宋" w:cs="仿宋"/>
          <w:color w:val="000000" w:themeColor="text1"/>
          <w:spacing w:val="9"/>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并编写评审报告。</w:t>
      </w:r>
    </w:p>
    <w:p w14:paraId="023E60A1">
      <w:pPr>
        <w:pStyle w:val="9"/>
        <w:spacing w:before="186" w:line="251" w:lineRule="auto"/>
        <w:ind w:left="1093" w:right="31" w:hanging="72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6.3   磋商小组要对评分汇总情况进行复核，特别是对排名第一的、报价最低的、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响应文件被认定为无效的情形进行重点复核。</w:t>
      </w:r>
    </w:p>
    <w:p w14:paraId="2E0DB158">
      <w:pPr>
        <w:pStyle w:val="9"/>
        <w:spacing w:before="177" w:line="200" w:lineRule="auto"/>
        <w:ind w:left="2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7   报告违法行为</w:t>
      </w:r>
    </w:p>
    <w:p w14:paraId="5E5940EE">
      <w:pPr>
        <w:tabs>
          <w:tab w:val="left" w:pos="1080"/>
          <w:tab w:val="left" w:pos="1589"/>
        </w:tabs>
        <w:spacing w:line="360" w:lineRule="auto"/>
        <w:ind w:left="964" w:hanging="968" w:hangingChars="400"/>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7.1     磋商小组在评审过程中发现供应商有行贿、提供虚假材</w:t>
      </w:r>
      <w:r>
        <w:rPr>
          <w:rFonts w:hint="eastAsia" w:ascii="仿宋" w:hAnsi="仿宋" w:eastAsia="仿宋" w:cs="仿宋"/>
          <w:color w:val="000000" w:themeColor="text1"/>
          <w:sz w:val="24"/>
          <w:szCs w:val="24"/>
          <w:highlight w:val="none"/>
          <w:lang w:eastAsia="zh-CN"/>
          <w14:textFill>
            <w14:solidFill>
              <w14:schemeClr w14:val="tx1"/>
            </w14:solidFill>
          </w14:textFill>
        </w:rPr>
        <w:t>料或者串通等违法行</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为时，应当及时向财政部门报告。</w:t>
      </w:r>
    </w:p>
    <w:p w14:paraId="211CD1A4">
      <w:pPr>
        <w:tabs>
          <w:tab w:val="left" w:pos="1080"/>
          <w:tab w:val="left" w:pos="1589"/>
        </w:tabs>
        <w:spacing w:line="360" w:lineRule="auto"/>
        <w:ind w:left="956" w:hanging="952" w:hangingChars="400"/>
        <w:rPr>
          <w:rFonts w:hint="eastAsia" w:ascii="仿宋" w:hAnsi="仿宋" w:eastAsia="仿宋" w:cs="仿宋"/>
          <w:color w:val="000000" w:themeColor="text1"/>
          <w:spacing w:val="-1"/>
          <w:sz w:val="24"/>
          <w:szCs w:val="24"/>
          <w:highlight w:val="none"/>
          <w:lang w:eastAsia="zh-CN"/>
          <w14:textFill>
            <w14:solidFill>
              <w14:schemeClr w14:val="tx1"/>
            </w14:solidFill>
          </w14:textFill>
        </w:rPr>
      </w:pPr>
    </w:p>
    <w:p w14:paraId="69A3389F">
      <w:pPr>
        <w:tabs>
          <w:tab w:val="left" w:pos="1080"/>
          <w:tab w:val="left" w:pos="1589"/>
        </w:tabs>
        <w:spacing w:line="360" w:lineRule="auto"/>
        <w:ind w:left="956" w:hanging="952" w:hangingChars="400"/>
        <w:rPr>
          <w:rFonts w:hint="eastAsia" w:ascii="仿宋" w:hAnsi="仿宋" w:eastAsia="仿宋" w:cs="仿宋"/>
          <w:color w:val="000000" w:themeColor="text1"/>
          <w:spacing w:val="-1"/>
          <w:sz w:val="24"/>
          <w:szCs w:val="24"/>
          <w:highlight w:val="none"/>
          <w:lang w:eastAsia="zh-CN"/>
          <w14:textFill>
            <w14:solidFill>
              <w14:schemeClr w14:val="tx1"/>
            </w14:solidFill>
          </w14:textFill>
        </w:rPr>
      </w:pPr>
    </w:p>
    <w:p w14:paraId="338F5F42">
      <w:pPr>
        <w:tabs>
          <w:tab w:val="left" w:pos="1080"/>
          <w:tab w:val="left" w:pos="1589"/>
        </w:tabs>
        <w:spacing w:line="360" w:lineRule="auto"/>
        <w:rPr>
          <w:rFonts w:hint="eastAsia" w:ascii="仿宋" w:hAnsi="仿宋" w:eastAsia="仿宋" w:cs="仿宋"/>
          <w:color w:val="000000" w:themeColor="text1"/>
          <w:spacing w:val="-1"/>
          <w:sz w:val="24"/>
          <w:szCs w:val="24"/>
          <w:highlight w:val="none"/>
          <w:lang w:eastAsia="zh-CN"/>
          <w14:textFill>
            <w14:solidFill>
              <w14:schemeClr w14:val="tx1"/>
            </w14:solidFill>
          </w14:textFill>
        </w:rPr>
      </w:pPr>
    </w:p>
    <w:p w14:paraId="1D7D18B8">
      <w:pPr>
        <w:jc w:val="center"/>
        <w:rPr>
          <w:rFonts w:hint="eastAsia" w:ascii="仿宋" w:hAnsi="仿宋" w:eastAsia="仿宋" w:cs="仿宋"/>
          <w:b/>
          <w:bCs/>
          <w:color w:val="000000" w:themeColor="text1"/>
          <w:spacing w:val="-6"/>
          <w:sz w:val="24"/>
          <w:szCs w:val="24"/>
          <w:highlight w:val="none"/>
          <w14:textFill>
            <w14:solidFill>
              <w14:schemeClr w14:val="tx1"/>
            </w14:solidFill>
          </w14:textFill>
        </w:rPr>
      </w:pPr>
      <w:r>
        <w:rPr>
          <w:rFonts w:hint="eastAsia" w:ascii="仿宋" w:hAnsi="仿宋" w:eastAsia="仿宋" w:cs="仿宋"/>
          <w:b/>
          <w:bCs/>
          <w:color w:val="000000" w:themeColor="text1"/>
          <w:spacing w:val="-6"/>
          <w:sz w:val="24"/>
          <w:szCs w:val="24"/>
          <w:highlight w:val="none"/>
          <w:lang w:val="en-US" w:eastAsia="zh-CN"/>
          <w14:textFill>
            <w14:solidFill>
              <w14:schemeClr w14:val="tx1"/>
            </w14:solidFill>
          </w14:textFill>
        </w:rPr>
        <w:t>二、</w:t>
      </w:r>
      <w:r>
        <w:rPr>
          <w:rFonts w:hint="eastAsia" w:ascii="仿宋" w:hAnsi="仿宋" w:eastAsia="仿宋" w:cs="仿宋"/>
          <w:b/>
          <w:bCs/>
          <w:color w:val="000000" w:themeColor="text1"/>
          <w:spacing w:val="-6"/>
          <w:sz w:val="24"/>
          <w:szCs w:val="24"/>
          <w:highlight w:val="none"/>
          <w14:textFill>
            <w14:solidFill>
              <w14:schemeClr w14:val="tx1"/>
            </w14:solidFill>
          </w14:textFill>
        </w:rPr>
        <w:t>评标标准</w:t>
      </w:r>
    </w:p>
    <w:bookmarkEnd w:id="42"/>
    <w:bookmarkEnd w:id="43"/>
    <w:tbl>
      <w:tblPr>
        <w:tblStyle w:val="24"/>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1780"/>
        <w:gridCol w:w="6179"/>
      </w:tblGrid>
      <w:tr w14:paraId="248B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1345" w:type="dxa"/>
            <w:noWrap w:val="0"/>
            <w:vAlign w:val="center"/>
          </w:tcPr>
          <w:p w14:paraId="651CB05E">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bookmarkStart w:id="44" w:name="bookmark6"/>
            <w:bookmarkEnd w:id="44"/>
            <w:bookmarkStart w:id="45" w:name="_Toc7544"/>
            <w:bookmarkStart w:id="46" w:name="_Toc32041"/>
            <w:bookmarkStart w:id="47" w:name="_Toc22191"/>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项目</w:t>
            </w:r>
          </w:p>
        </w:tc>
        <w:tc>
          <w:tcPr>
            <w:tcW w:w="1780" w:type="dxa"/>
            <w:noWrap w:val="0"/>
            <w:vAlign w:val="center"/>
          </w:tcPr>
          <w:p w14:paraId="3F94CB46">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内容</w:t>
            </w:r>
          </w:p>
        </w:tc>
        <w:tc>
          <w:tcPr>
            <w:tcW w:w="6179" w:type="dxa"/>
            <w:noWrap w:val="0"/>
            <w:vAlign w:val="center"/>
          </w:tcPr>
          <w:p w14:paraId="2CA98B51">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评分标准</w:t>
            </w:r>
          </w:p>
        </w:tc>
      </w:tr>
      <w:tr w14:paraId="1E35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8" w:hRule="atLeast"/>
          <w:jc w:val="center"/>
        </w:trPr>
        <w:tc>
          <w:tcPr>
            <w:tcW w:w="1345" w:type="dxa"/>
            <w:noWrap w:val="0"/>
            <w:vAlign w:val="center"/>
          </w:tcPr>
          <w:p w14:paraId="1036F997">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价格</w:t>
            </w:r>
          </w:p>
          <w:p w14:paraId="19387D63">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部分</w:t>
            </w:r>
          </w:p>
          <w:p w14:paraId="437EA1F8">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（30分）</w:t>
            </w:r>
          </w:p>
        </w:tc>
        <w:tc>
          <w:tcPr>
            <w:tcW w:w="1780" w:type="dxa"/>
            <w:noWrap w:val="0"/>
            <w:vAlign w:val="center"/>
          </w:tcPr>
          <w:p w14:paraId="606B1260">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报价</w:t>
            </w:r>
          </w:p>
          <w:p w14:paraId="78F45435">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（30分）</w:t>
            </w:r>
          </w:p>
        </w:tc>
        <w:tc>
          <w:tcPr>
            <w:tcW w:w="6179" w:type="dxa"/>
            <w:noWrap w:val="0"/>
            <w:vAlign w:val="center"/>
          </w:tcPr>
          <w:p w14:paraId="48065941">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left"/>
              <w:textAlignment w:val="auto"/>
              <w:rPr>
                <w:rFonts w:hint="default"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满足磋商文件要求的最后报价最低的供应商的价格为磋商基准价，其价格分为满分。其他供应商的价格分统一按照下列公式计算：磋商报价得分=（磋商基准价/最后磋商报价）×30，计算结果值在小数点后均保留两位小数，后余位数四舍五入计，其价格分为满分30分。</w:t>
            </w:r>
          </w:p>
          <w:p w14:paraId="2B1C85C0">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此处最后报价指经过报价修正，及因落实政府采购政策进行价格调整后的报价，详见第三章《评审方法和评审标准》3.2、3.3 及 3.4。</w:t>
            </w:r>
          </w:p>
        </w:tc>
      </w:tr>
      <w:tr w14:paraId="31D8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345" w:type="dxa"/>
            <w:vMerge w:val="restart"/>
            <w:noWrap w:val="0"/>
            <w:vAlign w:val="center"/>
          </w:tcPr>
          <w:p w14:paraId="013ECA0A">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商务部分（15分）</w:t>
            </w:r>
          </w:p>
        </w:tc>
        <w:tc>
          <w:tcPr>
            <w:tcW w:w="1780" w:type="dxa"/>
            <w:noWrap w:val="0"/>
            <w:vAlign w:val="center"/>
          </w:tcPr>
          <w:p w14:paraId="3B715C5C">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类似业绩</w:t>
            </w:r>
          </w:p>
          <w:p w14:paraId="405167C1">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（4分）</w:t>
            </w:r>
          </w:p>
        </w:tc>
        <w:tc>
          <w:tcPr>
            <w:tcW w:w="6179" w:type="dxa"/>
            <w:noWrap w:val="0"/>
            <w:vAlign w:val="center"/>
          </w:tcPr>
          <w:p w14:paraId="33993A14">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供应商已完成的类似项目业绩。提供一项有效业绩得2分，最高得4分。</w:t>
            </w:r>
          </w:p>
          <w:p w14:paraId="3669B4A2">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【供应商需提供中标（成交）通知书或合同协议书（含</w:t>
            </w:r>
          </w:p>
          <w:p w14:paraId="5811AC79">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首页、标的（内容）页、合同金额页、签字盖章页等）</w:t>
            </w:r>
          </w:p>
          <w:p w14:paraId="56B7FA09">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复印件加盖单位公章。】，不提供不得分。</w:t>
            </w:r>
          </w:p>
        </w:tc>
      </w:tr>
      <w:tr w14:paraId="4F4F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1345" w:type="dxa"/>
            <w:vMerge w:val="continue"/>
            <w:noWrap w:val="0"/>
            <w:vAlign w:val="center"/>
          </w:tcPr>
          <w:p w14:paraId="180760ED">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p>
        </w:tc>
        <w:tc>
          <w:tcPr>
            <w:tcW w:w="1780" w:type="dxa"/>
            <w:noWrap w:val="0"/>
            <w:vAlign w:val="center"/>
          </w:tcPr>
          <w:p w14:paraId="280C1602">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项目负责人</w:t>
            </w:r>
          </w:p>
          <w:p w14:paraId="795A3F98">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业绩</w:t>
            </w:r>
          </w:p>
          <w:p w14:paraId="30EA444D">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（2分）</w:t>
            </w:r>
          </w:p>
        </w:tc>
        <w:tc>
          <w:tcPr>
            <w:tcW w:w="6179" w:type="dxa"/>
            <w:noWrap w:val="0"/>
            <w:vAlign w:val="center"/>
          </w:tcPr>
          <w:p w14:paraId="3964373C">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作为项目负责人，承担过已完成的类似项目业绩。提供一项有效业绩得2分，最高得2分。</w:t>
            </w:r>
          </w:p>
          <w:p w14:paraId="327B1444">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【需提供中标（成交）通知书或合同协议书（含首页、标的（内容）页、合同金额页、签字盖章页等）复印件加盖单位公章，中标（成交）通知书或合同协议书中需体现项目负责人信息】。不提供不得分。</w:t>
            </w:r>
          </w:p>
        </w:tc>
      </w:tr>
      <w:tr w14:paraId="1F00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45" w:type="dxa"/>
            <w:vMerge w:val="continue"/>
            <w:noWrap w:val="0"/>
            <w:vAlign w:val="center"/>
          </w:tcPr>
          <w:p w14:paraId="43984FDD">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p>
        </w:tc>
        <w:tc>
          <w:tcPr>
            <w:tcW w:w="1780" w:type="dxa"/>
            <w:noWrap w:val="0"/>
            <w:vAlign w:val="center"/>
          </w:tcPr>
          <w:p w14:paraId="6A290CD7">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项目管理人员配备</w:t>
            </w:r>
          </w:p>
          <w:p w14:paraId="66ED1C64">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（7分）</w:t>
            </w:r>
          </w:p>
        </w:tc>
        <w:tc>
          <w:tcPr>
            <w:tcW w:w="6179" w:type="dxa"/>
            <w:noWrap w:val="0"/>
            <w:vAlign w:val="center"/>
          </w:tcPr>
          <w:p w14:paraId="64AED163">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管理机构、专业岗位人员配备齐全【包括技术负责人、施工员、安全员、质量员、材料员、资料员、造价人员】，得7分；否则不得分。</w:t>
            </w:r>
          </w:p>
          <w:p w14:paraId="7A28A444">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注;技术负责人须提供中级及以上工程师职称证书；施工员、安全员、质量员、材料员、资料员、造价人员须提供岗位证（资格证），其中：安全员还须提供有效的安全生产考核合格证书（C类），有2025年12月-2026年05月在职单位个人社保证明。不提供不得分。</w:t>
            </w:r>
          </w:p>
        </w:tc>
      </w:tr>
      <w:tr w14:paraId="6599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45" w:type="dxa"/>
            <w:vMerge w:val="continue"/>
            <w:noWrap w:val="0"/>
            <w:vAlign w:val="center"/>
          </w:tcPr>
          <w:p w14:paraId="5E52B1D2">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p>
        </w:tc>
        <w:tc>
          <w:tcPr>
            <w:tcW w:w="1780" w:type="dxa"/>
            <w:noWrap w:val="0"/>
            <w:vAlign w:val="center"/>
          </w:tcPr>
          <w:p w14:paraId="1632B674">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智慧工地</w:t>
            </w:r>
          </w:p>
          <w:p w14:paraId="4685163A">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（2分）</w:t>
            </w:r>
          </w:p>
        </w:tc>
        <w:tc>
          <w:tcPr>
            <w:tcW w:w="6179" w:type="dxa"/>
            <w:noWrap w:val="0"/>
            <w:vAlign w:val="center"/>
          </w:tcPr>
          <w:p w14:paraId="2932F276">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近2年，接入智慧工地一体化服务平台的，一个项目得1分，最多得2分。</w:t>
            </w:r>
          </w:p>
        </w:tc>
      </w:tr>
      <w:tr w14:paraId="594B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1345" w:type="dxa"/>
            <w:vMerge w:val="restart"/>
            <w:noWrap w:val="0"/>
            <w:vAlign w:val="center"/>
          </w:tcPr>
          <w:p w14:paraId="15EAF594">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技术部分</w:t>
            </w:r>
          </w:p>
          <w:p w14:paraId="063B835C">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（55分）</w:t>
            </w:r>
          </w:p>
        </w:tc>
        <w:tc>
          <w:tcPr>
            <w:tcW w:w="1780" w:type="dxa"/>
            <w:shd w:val="clear" w:color="auto" w:fill="auto"/>
            <w:noWrap w:val="0"/>
            <w:vAlign w:val="center"/>
          </w:tcPr>
          <w:p w14:paraId="63CD4B37">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工程概况</w:t>
            </w:r>
          </w:p>
          <w:p w14:paraId="55D520D0">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及特点</w:t>
            </w:r>
          </w:p>
          <w:p w14:paraId="5DEB6314">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（4分）</w:t>
            </w:r>
          </w:p>
        </w:tc>
        <w:tc>
          <w:tcPr>
            <w:tcW w:w="6179" w:type="dxa"/>
            <w:shd w:val="clear" w:color="auto" w:fill="auto"/>
            <w:noWrap w:val="0"/>
            <w:vAlign w:val="center"/>
          </w:tcPr>
          <w:p w14:paraId="6061CD44">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both"/>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方案内容完整、阐述详细全面、逻辑清晰，对工程总体概况及特点表述清晰、完整、符合实际，得4分；</w:t>
            </w:r>
          </w:p>
          <w:p w14:paraId="117982AD">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both"/>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提供了完整的方案，可行，对工程总体概况及特点表述基本清晰、完整、基本符合实际，得3分；</w:t>
            </w:r>
          </w:p>
          <w:p w14:paraId="2C5AD3C8">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both"/>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方案内容无缺失，提供了常规、通用的方案，对工程总体概况及特点表述、完整性有待补充，得2分；</w:t>
            </w:r>
          </w:p>
          <w:p w14:paraId="113EEFAC">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both"/>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方案进行了简单、笼统叙述，对工程总体概况及特点表述逻辑不够清晰、不够完整、与实际内容有偏差，得1分；</w:t>
            </w:r>
          </w:p>
          <w:p w14:paraId="2A1E65EA">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both"/>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未提供相关内容得0分。</w:t>
            </w:r>
          </w:p>
        </w:tc>
      </w:tr>
      <w:tr w14:paraId="61E3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8" w:hRule="atLeast"/>
          <w:jc w:val="center"/>
        </w:trPr>
        <w:tc>
          <w:tcPr>
            <w:tcW w:w="1345" w:type="dxa"/>
            <w:vMerge w:val="continue"/>
            <w:noWrap w:val="0"/>
            <w:vAlign w:val="center"/>
          </w:tcPr>
          <w:p w14:paraId="71F4258A">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p>
        </w:tc>
        <w:tc>
          <w:tcPr>
            <w:tcW w:w="1780" w:type="dxa"/>
            <w:shd w:val="clear" w:color="auto" w:fill="auto"/>
            <w:noWrap w:val="0"/>
            <w:vAlign w:val="center"/>
          </w:tcPr>
          <w:p w14:paraId="68DD25B2">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施工准备计划</w:t>
            </w:r>
          </w:p>
          <w:p w14:paraId="5FCA37AA">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（4分）</w:t>
            </w:r>
          </w:p>
          <w:p w14:paraId="2563BAC6">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p>
        </w:tc>
        <w:tc>
          <w:tcPr>
            <w:tcW w:w="6179" w:type="dxa"/>
            <w:shd w:val="clear" w:color="auto" w:fill="auto"/>
            <w:noWrap w:val="0"/>
            <w:vAlign w:val="center"/>
          </w:tcPr>
          <w:p w14:paraId="20215D71">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方案内容完整、阐述详细全面、逻辑清晰，施工技术、现场、物资与机械、队伍准备计划充分保证工程需要，得4分；</w:t>
            </w:r>
          </w:p>
          <w:p w14:paraId="28CDFCD8">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提供了完整的方案，可行，施工技术、现场、物资与机械、队伍准备计划基本保证工程需要，得3分；</w:t>
            </w:r>
          </w:p>
          <w:p w14:paraId="526058C0">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方案内容无缺失，施工技术、现场、物资与机械、队伍准备计划方案，对保证工程需求有待补充，得2分；</w:t>
            </w:r>
          </w:p>
          <w:p w14:paraId="53938832">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方案进行了简单、笼统叙述，施工技术、现场、物资与机械、队伍准备计划，逻辑不够清晰，难以保证工程需要，得1分；</w:t>
            </w:r>
          </w:p>
          <w:p w14:paraId="2D3BAE12">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未提供相关内容得0分。</w:t>
            </w:r>
          </w:p>
        </w:tc>
      </w:tr>
      <w:tr w14:paraId="7990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8" w:hRule="atLeast"/>
          <w:jc w:val="center"/>
        </w:trPr>
        <w:tc>
          <w:tcPr>
            <w:tcW w:w="1345" w:type="dxa"/>
            <w:vMerge w:val="continue"/>
            <w:noWrap w:val="0"/>
            <w:vAlign w:val="center"/>
          </w:tcPr>
          <w:p w14:paraId="5A946FEC">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p>
        </w:tc>
        <w:tc>
          <w:tcPr>
            <w:tcW w:w="1780" w:type="dxa"/>
            <w:shd w:val="clear" w:color="auto" w:fill="auto"/>
            <w:noWrap w:val="0"/>
            <w:vAlign w:val="center"/>
          </w:tcPr>
          <w:p w14:paraId="6F53B5A6">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施工方案</w:t>
            </w:r>
          </w:p>
          <w:p w14:paraId="2D88B8F4">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（10分）</w:t>
            </w:r>
          </w:p>
        </w:tc>
        <w:tc>
          <w:tcPr>
            <w:tcW w:w="6179" w:type="dxa"/>
            <w:shd w:val="clear" w:color="auto" w:fill="auto"/>
            <w:noWrap w:val="0"/>
            <w:vAlign w:val="center"/>
          </w:tcPr>
          <w:p w14:paraId="7D1E2155">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方案的工程情况内容完整、阐述详细全面、逻辑清晰，部署及措施先进、可靠，以提高生产率、缩短工期、提高质量、降低消耗为目标的，得10分；</w:t>
            </w:r>
          </w:p>
          <w:p w14:paraId="4B47BFC2">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提供的工程情况方案内容完整，可行，在提高生产率、缩短工期、提高质量、降低消耗为目标的方案中基本符合项目特点及要求得5分；</w:t>
            </w:r>
          </w:p>
          <w:p w14:paraId="6767CA39">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方案内容无缺失，工程情况内容基本完整，部署及措施基本可行，在提高生产率、缩短工期、提高质量、降低消耗为目标的方案中细节有待补充得3分；</w:t>
            </w:r>
          </w:p>
          <w:p w14:paraId="003F0508">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方案进行了简单、笼统叙述，在提高生产率、缩短工期、提高质量、降低消耗为目标的方案中逻辑不够清晰，难以保障项目实施得1分；</w:t>
            </w:r>
          </w:p>
          <w:p w14:paraId="5B585BF5">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未提供相关内容得 0 分。</w:t>
            </w:r>
          </w:p>
        </w:tc>
      </w:tr>
      <w:tr w14:paraId="4DD89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8" w:hRule="atLeast"/>
          <w:jc w:val="center"/>
        </w:trPr>
        <w:tc>
          <w:tcPr>
            <w:tcW w:w="1345" w:type="dxa"/>
            <w:vMerge w:val="continue"/>
            <w:noWrap w:val="0"/>
            <w:vAlign w:val="center"/>
          </w:tcPr>
          <w:p w14:paraId="3F7BE966">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p>
        </w:tc>
        <w:tc>
          <w:tcPr>
            <w:tcW w:w="1780" w:type="dxa"/>
            <w:shd w:val="clear" w:color="auto" w:fill="auto"/>
            <w:noWrap w:val="0"/>
            <w:vAlign w:val="center"/>
          </w:tcPr>
          <w:p w14:paraId="6ED731AD">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施工进度计划</w:t>
            </w:r>
          </w:p>
          <w:p w14:paraId="2845F98E">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（5分）</w:t>
            </w:r>
          </w:p>
        </w:tc>
        <w:tc>
          <w:tcPr>
            <w:tcW w:w="6179" w:type="dxa"/>
            <w:shd w:val="clear" w:color="auto" w:fill="auto"/>
            <w:noWrap w:val="0"/>
            <w:vAlign w:val="center"/>
          </w:tcPr>
          <w:p w14:paraId="2BBCD302">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方案内容完整、阐述详细全面、逻辑清晰、进度计划在空间和时间上做了合理的统筹安排且符合施工的科学规律，得5分；</w:t>
            </w:r>
          </w:p>
          <w:p w14:paraId="170C5789">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提供了完整的方案，可行，进度计划在空间和时间上做出了基本合理的统筹安排，基本符合施工的科学规律，得4分；</w:t>
            </w:r>
          </w:p>
          <w:p w14:paraId="1B3A8985">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方案内容无缺失，提供了常规、通用的方案，进度计划在空间和时间的统筹安排有欠缺，得3分；</w:t>
            </w:r>
          </w:p>
          <w:p w14:paraId="3B4EDBCF">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方案进行了简单、笼统叙述，逻辑不够清晰，进度计划在空间和时间的统筹安排难以符合施工的科学规律，得1分；</w:t>
            </w:r>
          </w:p>
          <w:p w14:paraId="636CE4A4">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未提供相关内容得 0 分。</w:t>
            </w:r>
          </w:p>
        </w:tc>
      </w:tr>
      <w:tr w14:paraId="2630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8" w:hRule="atLeast"/>
          <w:jc w:val="center"/>
        </w:trPr>
        <w:tc>
          <w:tcPr>
            <w:tcW w:w="1345" w:type="dxa"/>
            <w:vMerge w:val="continue"/>
            <w:noWrap w:val="0"/>
            <w:vAlign w:val="center"/>
          </w:tcPr>
          <w:p w14:paraId="2AE95443">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p>
        </w:tc>
        <w:tc>
          <w:tcPr>
            <w:tcW w:w="1780" w:type="dxa"/>
            <w:shd w:val="clear" w:color="auto" w:fill="auto"/>
            <w:noWrap w:val="0"/>
            <w:vAlign w:val="center"/>
          </w:tcPr>
          <w:p w14:paraId="2BA1DB5E">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施工平面布置</w:t>
            </w:r>
          </w:p>
          <w:p w14:paraId="7B31F15F">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center"/>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（5分）</w:t>
            </w:r>
          </w:p>
        </w:tc>
        <w:tc>
          <w:tcPr>
            <w:tcW w:w="6179" w:type="dxa"/>
            <w:shd w:val="clear" w:color="auto" w:fill="auto"/>
            <w:noWrap w:val="0"/>
            <w:vAlign w:val="center"/>
          </w:tcPr>
          <w:p w14:paraId="5493E976">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32" w:beforeAutospacing="0" w:after="0" w:afterAutospacing="0" w:line="0" w:lineRule="atLeast"/>
              <w:ind w:left="4" w:leftChars="0"/>
              <w:jc w:val="both"/>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施工平面布置符合工程实际，有针对性、布置合理，满足施工需要，便于施工和管理并符合安全、文明生产要求，得5分；</w:t>
            </w:r>
          </w:p>
          <w:p w14:paraId="13B26F27">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32" w:beforeAutospacing="0" w:after="0" w:afterAutospacing="0" w:line="0" w:lineRule="atLeast"/>
              <w:ind w:left="4" w:leftChars="0"/>
              <w:jc w:val="both"/>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施工平面布置基本符合工程实际，布置基本合理，基本满足施工需要，基本符合安全、文明生产要求，得4分；</w:t>
            </w:r>
          </w:p>
          <w:p w14:paraId="3C1B2A1D">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32" w:beforeAutospacing="0" w:after="0" w:afterAutospacing="0" w:line="0" w:lineRule="atLeast"/>
              <w:ind w:left="4" w:leftChars="0"/>
              <w:jc w:val="both"/>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施工平面布置基本符合工程实际，布置不合理，基本满足施工需要，基本符合安全、文明生产要求，得3分；</w:t>
            </w:r>
          </w:p>
          <w:p w14:paraId="25F4291A">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32" w:beforeAutospacing="0" w:after="0" w:afterAutospacing="0" w:line="0" w:lineRule="atLeast"/>
              <w:ind w:left="4" w:leftChars="0"/>
              <w:jc w:val="both"/>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未提供相关内容得 0 分。</w:t>
            </w:r>
          </w:p>
        </w:tc>
      </w:tr>
      <w:tr w14:paraId="1E38A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8" w:hRule="atLeast"/>
          <w:jc w:val="center"/>
        </w:trPr>
        <w:tc>
          <w:tcPr>
            <w:tcW w:w="1345" w:type="dxa"/>
            <w:vMerge w:val="continue"/>
            <w:noWrap w:val="0"/>
            <w:vAlign w:val="center"/>
          </w:tcPr>
          <w:p w14:paraId="576A664E">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p>
        </w:tc>
        <w:tc>
          <w:tcPr>
            <w:tcW w:w="1780" w:type="dxa"/>
            <w:shd w:val="clear" w:color="auto" w:fill="auto"/>
            <w:noWrap w:val="0"/>
            <w:vAlign w:val="center"/>
          </w:tcPr>
          <w:p w14:paraId="116B9803">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劳动力、材料、机械设备</w:t>
            </w:r>
          </w:p>
          <w:p w14:paraId="36D036B1">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需用量计划</w:t>
            </w:r>
          </w:p>
          <w:p w14:paraId="2232BA53">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（5分）</w:t>
            </w:r>
          </w:p>
        </w:tc>
        <w:tc>
          <w:tcPr>
            <w:tcW w:w="6179" w:type="dxa"/>
            <w:shd w:val="clear" w:color="auto" w:fill="auto"/>
            <w:noWrap w:val="0"/>
            <w:vAlign w:val="center"/>
          </w:tcPr>
          <w:p w14:paraId="5E970DEE">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32" w:beforeAutospacing="0" w:after="0" w:afterAutospacing="0" w:line="0" w:lineRule="atLeast"/>
              <w:ind w:left="4" w:leftChars="0"/>
              <w:jc w:val="both"/>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劳动力、材料、机械设备投入计划与施工部署、施工方法及进度计划能够相互呼应并较好满足施工需要，得5分；</w:t>
            </w:r>
          </w:p>
          <w:p w14:paraId="21E7BB66">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32" w:beforeAutospacing="0" w:after="0" w:afterAutospacing="0" w:line="0" w:lineRule="atLeast"/>
              <w:ind w:left="4" w:leftChars="0"/>
              <w:jc w:val="both"/>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劳动力、材料、机械设备投入计划与施工部署、施工方法及进度计划基本能够相互呼应，基本满足施工需要，得4分；</w:t>
            </w:r>
          </w:p>
          <w:p w14:paraId="134ED13C">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32" w:beforeAutospacing="0" w:after="0" w:afterAutospacing="0" w:line="0" w:lineRule="atLeast"/>
              <w:ind w:left="4" w:leftChars="0"/>
              <w:jc w:val="both"/>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劳动力、材料、机械设备投入计划与施工部署、施工方法及进度计划相互呼应情况欠缺，在施工需要方面有欠缺，得3分；</w:t>
            </w:r>
          </w:p>
          <w:p w14:paraId="7328F381">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32" w:beforeAutospacing="0" w:after="0" w:afterAutospacing="0" w:line="0" w:lineRule="atLeast"/>
              <w:ind w:left="4" w:leftChars="0"/>
              <w:jc w:val="both"/>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劳动力、材料、机械设备投入计划与施工部署、施工方法及进度计划难以相互呼应，难以满足施工需要，得1分；</w:t>
            </w:r>
          </w:p>
          <w:p w14:paraId="2E2BB099">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32" w:beforeAutospacing="0" w:after="0" w:afterAutospacing="0" w:line="0" w:lineRule="atLeast"/>
              <w:ind w:left="4" w:leftChars="0"/>
              <w:jc w:val="both"/>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未提供相关内容得 0 分。</w:t>
            </w:r>
          </w:p>
        </w:tc>
      </w:tr>
      <w:tr w14:paraId="20C8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7" w:hRule="atLeast"/>
          <w:jc w:val="center"/>
        </w:trPr>
        <w:tc>
          <w:tcPr>
            <w:tcW w:w="1345" w:type="dxa"/>
            <w:vMerge w:val="continue"/>
            <w:noWrap w:val="0"/>
            <w:vAlign w:val="center"/>
          </w:tcPr>
          <w:p w14:paraId="10412174">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p>
        </w:tc>
        <w:tc>
          <w:tcPr>
            <w:tcW w:w="1780" w:type="dxa"/>
            <w:shd w:val="clear" w:color="auto" w:fill="auto"/>
            <w:noWrap w:val="0"/>
            <w:vAlign w:val="center"/>
          </w:tcPr>
          <w:p w14:paraId="5B5A10D7">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质量保证</w:t>
            </w:r>
          </w:p>
          <w:p w14:paraId="683C59AE">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措施和体系</w:t>
            </w:r>
          </w:p>
          <w:p w14:paraId="5FDE7503">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（5分）</w:t>
            </w:r>
          </w:p>
        </w:tc>
        <w:tc>
          <w:tcPr>
            <w:tcW w:w="6179" w:type="dxa"/>
            <w:shd w:val="clear" w:color="auto" w:fill="auto"/>
            <w:noWrap w:val="0"/>
            <w:vAlign w:val="center"/>
          </w:tcPr>
          <w:p w14:paraId="573C2369">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32" w:beforeAutospacing="0" w:after="0" w:afterAutospacing="0" w:line="0" w:lineRule="atLeast"/>
              <w:ind w:left="4" w:leftChars="0"/>
              <w:jc w:val="both"/>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方案内容完整、阐述详细全面、逻辑清晰，保证措施符合科学的施工规律、国家规定的强制性标准并有针对性，同时符合实际情况，切实可行。质量目标明确，管理机构健全，职责分工明确；管理制度齐全；实施措施全面、有效，得5分；</w:t>
            </w:r>
          </w:p>
          <w:p w14:paraId="271236A2">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32" w:beforeAutospacing="0" w:after="0" w:afterAutospacing="0" w:line="0" w:lineRule="atLeast"/>
              <w:ind w:left="4" w:leftChars="0"/>
              <w:jc w:val="both"/>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提供了完整的方案，保证措施基本符合施工规律、国家规定的强制性标准，基本符合实际情况，基本切实可行。质量目标基本明确，管理机构基本健全，职责分工基本明确；管理制度基本齐全；实施措施基本全面、有效，得4分；</w:t>
            </w:r>
          </w:p>
          <w:p w14:paraId="1DB41228">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32" w:beforeAutospacing="0" w:after="0" w:afterAutospacing="0" w:line="0" w:lineRule="atLeast"/>
              <w:ind w:left="4" w:leftChars="0"/>
              <w:jc w:val="both"/>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提供了常规、通用的方案，保证措施内容细节有待补充。保证措施基本符合施工规律、国家规定的强制性标准，基本符合实际情况。质量目标、管理机构、职责分工，有待补充；管理制度基本齐全；实施措施有待补充，得3分；</w:t>
            </w:r>
          </w:p>
          <w:p w14:paraId="2025527D">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32" w:beforeAutospacing="0" w:after="0" w:afterAutospacing="0" w:line="0" w:lineRule="atLeast"/>
              <w:ind w:left="4" w:leftChars="0"/>
              <w:jc w:val="both"/>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方案进行了简单、笼统叙述，保证措施不符合科学的施工规律，符合国家规定的强制性标准，没有针对性，基本符合实际情况。质量目标不明确，管理机构不健全，职责分工不明确；管理制度基本齐全；实施措施不全面，得1分；</w:t>
            </w:r>
          </w:p>
          <w:p w14:paraId="2B6674BF">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32" w:beforeAutospacing="0" w:after="0" w:afterAutospacing="0" w:line="0" w:lineRule="atLeast"/>
              <w:ind w:left="4" w:leftChars="0"/>
              <w:jc w:val="both"/>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未提供相关内容得 0 分。</w:t>
            </w:r>
          </w:p>
        </w:tc>
      </w:tr>
      <w:tr w14:paraId="5474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7" w:hRule="atLeast"/>
          <w:jc w:val="center"/>
        </w:trPr>
        <w:tc>
          <w:tcPr>
            <w:tcW w:w="1345" w:type="dxa"/>
            <w:vMerge w:val="continue"/>
            <w:noWrap w:val="0"/>
            <w:vAlign w:val="center"/>
          </w:tcPr>
          <w:p w14:paraId="5A76405A">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p>
        </w:tc>
        <w:tc>
          <w:tcPr>
            <w:tcW w:w="1780" w:type="dxa"/>
            <w:shd w:val="clear" w:color="auto" w:fill="auto"/>
            <w:noWrap w:val="0"/>
            <w:vAlign w:val="center"/>
          </w:tcPr>
          <w:p w14:paraId="3ACD5B82">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工期保证</w:t>
            </w:r>
          </w:p>
          <w:p w14:paraId="40EE83A8">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措施和体系</w:t>
            </w:r>
          </w:p>
          <w:p w14:paraId="4B9B2E00">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（4分）</w:t>
            </w:r>
          </w:p>
        </w:tc>
        <w:tc>
          <w:tcPr>
            <w:tcW w:w="6179" w:type="dxa"/>
            <w:shd w:val="clear" w:color="auto" w:fill="auto"/>
            <w:noWrap w:val="0"/>
            <w:vAlign w:val="center"/>
          </w:tcPr>
          <w:p w14:paraId="2654BC56">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方案内容完整、阐述详细全面，总工期及节点工期满足竞争性磋商文件要求；施工进度计划内容全面，线路清晰、准确、完整，计划编制合理、可行；措施有力、合理、可行；得4分；</w:t>
            </w:r>
          </w:p>
          <w:p w14:paraId="231832F4">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提供了完整的方案，总工期及节点工期基本满足竞争性磋商文件要求；施工进度计划内容基本全面，线路清晰、基本准确、完整，计划编制基本合理、可行；措施基本合理、可行；得3分；</w:t>
            </w:r>
          </w:p>
          <w:p w14:paraId="7D6490AA">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方案内容无缺失，提供了常规、通用的方案，总工期及节点工期基本满足竞争性磋商文件要求；施工进度计划内容细节有待补充，线路基本清晰、准确、完整，计划编制基本合理、可行；措施基本合理、可行，得2分；</w:t>
            </w:r>
          </w:p>
          <w:p w14:paraId="541A7BB7">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方案进行了简单、笼统叙述，总工期及节点工期难以满足竞争性磋商文件要求；施工进度计划不全面，线路不清晰、不准确、不完整，计划编制不合理、不可行；措施基本合理、可行；得1分；</w:t>
            </w:r>
          </w:p>
          <w:p w14:paraId="3DE14F47">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未提供相关内容得 0 分。</w:t>
            </w:r>
          </w:p>
        </w:tc>
      </w:tr>
      <w:tr w14:paraId="0D66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7" w:hRule="atLeast"/>
          <w:jc w:val="center"/>
        </w:trPr>
        <w:tc>
          <w:tcPr>
            <w:tcW w:w="1345" w:type="dxa"/>
            <w:vMerge w:val="continue"/>
            <w:noWrap w:val="0"/>
            <w:vAlign w:val="center"/>
          </w:tcPr>
          <w:p w14:paraId="17F80D01">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p>
        </w:tc>
        <w:tc>
          <w:tcPr>
            <w:tcW w:w="1780" w:type="dxa"/>
            <w:shd w:val="clear" w:color="auto" w:fill="auto"/>
            <w:noWrap w:val="0"/>
            <w:vAlign w:val="center"/>
          </w:tcPr>
          <w:p w14:paraId="7A67BAEE">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安全保证</w:t>
            </w:r>
          </w:p>
          <w:p w14:paraId="008A7A55">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措施和体系</w:t>
            </w:r>
          </w:p>
          <w:p w14:paraId="1C8C47AA">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（5分）</w:t>
            </w:r>
          </w:p>
        </w:tc>
        <w:tc>
          <w:tcPr>
            <w:tcW w:w="6179" w:type="dxa"/>
            <w:shd w:val="clear" w:color="auto" w:fill="auto"/>
            <w:noWrap w:val="0"/>
            <w:vAlign w:val="center"/>
          </w:tcPr>
          <w:p w14:paraId="21EFA16A">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方案内容完整、阐述详细全面、逻辑清晰，保证措施符合国家及自治区规定的强制性标准并有针对性，同时符合实际情况，切实可行。安全目标明确，优于竞争性磋商文件要求；管理机构健全，职责分工明确；管理制度齐全；实施与监控措施全面、有效，得5分；</w:t>
            </w:r>
          </w:p>
          <w:p w14:paraId="694B65D1">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提供了完整的方案，保证措施符合国家及自治区规定的强制性标准有针对性，符合实际情况，切实可行。安全目标基本明确，基本满足竞争性磋商文件要求；管理机构基本健全，职责分工基本明确；管理制度基本齐全；实施与监控措施基本全面、有效，得4分；</w:t>
            </w:r>
          </w:p>
          <w:p w14:paraId="1996185C">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方案内容无缺失，保证措施基本符合国家及自治区规定的强制性标准，针对性一般，基本符合实际情况，安全目标基本明确，基本满足竞争性磋商文件要求；管理机构基本健全，职责分工基本明确；管理制度不齐全；实施与监控措施不全面，得3分；</w:t>
            </w:r>
          </w:p>
          <w:p w14:paraId="18F920FC">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内容无缺失，提供了常规、通用的方案，保证措施符合国家及自治区规定的强制性标准，实际情况不符。安全目标基本明确，基本竞争性磋商文件；管理机构有待健全，职责分工有待明确；管理制度有待完善；实施与监控措施有待完善，得2分；</w:t>
            </w:r>
          </w:p>
          <w:p w14:paraId="6EAB2FAC">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方案进行了简单、笼统叙述，保证措施基本符合国家及自治区规定的强制性标准，但无针对性，与实际情况不符。安全目标不明确，基本满足竞争性磋商文件要求；管理机构不健全，职责分工不明确；管理制度不齐全；实施与监控措施不全面，得1分；</w:t>
            </w:r>
          </w:p>
          <w:p w14:paraId="47F155C1">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未提供相关内容得 0 分。</w:t>
            </w:r>
          </w:p>
        </w:tc>
      </w:tr>
      <w:tr w14:paraId="2499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7" w:hRule="atLeast"/>
          <w:jc w:val="center"/>
        </w:trPr>
        <w:tc>
          <w:tcPr>
            <w:tcW w:w="1345" w:type="dxa"/>
            <w:vMerge w:val="continue"/>
            <w:noWrap w:val="0"/>
            <w:vAlign w:val="center"/>
          </w:tcPr>
          <w:p w14:paraId="517536AC">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p>
        </w:tc>
        <w:tc>
          <w:tcPr>
            <w:tcW w:w="1780" w:type="dxa"/>
            <w:shd w:val="clear" w:color="auto" w:fill="auto"/>
            <w:noWrap w:val="0"/>
            <w:vAlign w:val="center"/>
          </w:tcPr>
          <w:p w14:paraId="1B8AF5E2">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现场文明</w:t>
            </w:r>
          </w:p>
          <w:p w14:paraId="1C1A1390">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施工措施</w:t>
            </w:r>
          </w:p>
          <w:p w14:paraId="4D7E6BC2">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（5分）</w:t>
            </w:r>
          </w:p>
        </w:tc>
        <w:tc>
          <w:tcPr>
            <w:tcW w:w="6179" w:type="dxa"/>
            <w:shd w:val="clear" w:color="auto" w:fill="auto"/>
            <w:noWrap w:val="0"/>
            <w:vAlign w:val="center"/>
          </w:tcPr>
          <w:p w14:paraId="5F1A30E6">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方案内容完整、阐述详细全面，管理措施目标明确，符合工程实际情况，切实可行；管理机构健全，职责分工明确；管理制度齐全，得5分；</w:t>
            </w:r>
          </w:p>
          <w:p w14:paraId="6B9D184F">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提供了完整的方案，管理措施目标基本明确，基本符合工程实际情况，可行；管理机构基本健全，职责分工进明确；管理制度基本齐全，得4分；</w:t>
            </w:r>
          </w:p>
          <w:p w14:paraId="17D38E6D">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方案内容无缺失，管理措施目标基本明确，不符合工程实际情况；管理机构基本健全，职责分工基本明确；管理制度待完善，得3分；</w:t>
            </w:r>
          </w:p>
          <w:p w14:paraId="11CCC5D2">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方案进行了简单、笼统叙述，管理措施目标基本明确，基本符合工程实际情况；管理机构不健全，职责分工不明确；管理制度待完善，得2分；</w:t>
            </w:r>
          </w:p>
          <w:p w14:paraId="4DBEE21F">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未提供相关内容得 0 分。</w:t>
            </w:r>
          </w:p>
        </w:tc>
      </w:tr>
      <w:tr w14:paraId="698F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7" w:hRule="atLeast"/>
          <w:jc w:val="center"/>
        </w:trPr>
        <w:tc>
          <w:tcPr>
            <w:tcW w:w="1345" w:type="dxa"/>
            <w:vMerge w:val="continue"/>
            <w:noWrap w:val="0"/>
            <w:vAlign w:val="center"/>
          </w:tcPr>
          <w:p w14:paraId="353C3C87">
            <w:pPr>
              <w:pStyle w:val="35"/>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p>
        </w:tc>
        <w:tc>
          <w:tcPr>
            <w:tcW w:w="1780" w:type="dxa"/>
            <w:shd w:val="clear" w:color="auto" w:fill="auto"/>
            <w:noWrap w:val="0"/>
            <w:vAlign w:val="center"/>
          </w:tcPr>
          <w:p w14:paraId="26612742">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智慧工地</w:t>
            </w:r>
          </w:p>
          <w:p w14:paraId="54206F69">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及防疫措施</w:t>
            </w:r>
          </w:p>
          <w:p w14:paraId="03004CEC">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sz w:val="24"/>
                <w:szCs w:val="24"/>
                <w:highlight w:val="none"/>
                <w:lang w:val="en-US" w:eastAsia="zh-CN" w:bidi="ar-SA"/>
                <w14:textFill>
                  <w14:solidFill>
                    <w14:schemeClr w14:val="tx1"/>
                  </w14:solidFill>
                </w14:textFill>
              </w:rPr>
              <w:t>（3分）</w:t>
            </w:r>
          </w:p>
        </w:tc>
        <w:tc>
          <w:tcPr>
            <w:tcW w:w="6179" w:type="dxa"/>
            <w:shd w:val="clear" w:color="auto" w:fill="auto"/>
            <w:noWrap w:val="0"/>
            <w:vAlign w:val="center"/>
          </w:tcPr>
          <w:p w14:paraId="26D0E66C">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智慧工地系统应用实施方案内容完整、阐述详细全面、逻辑清晰、防疫措施切实可行；得3分；</w:t>
            </w:r>
          </w:p>
          <w:p w14:paraId="608381BA">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智慧工地系统应用实施方案内容基本完整、防疫措施基本切实可行；得2分；</w:t>
            </w:r>
          </w:p>
          <w:p w14:paraId="0A541946">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智慧工地系统应用实施方案简单、笼统叙述、防疫措施有待完善，得1分；</w:t>
            </w:r>
          </w:p>
          <w:p w14:paraId="74205391">
            <w:pPr>
              <w:pStyle w:val="3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
                <w:sz w:val="24"/>
                <w:szCs w:val="24"/>
                <w:highlight w:val="none"/>
                <w:lang w:val="en-US" w:eastAsia="zh-CN" w:bidi="ar-SA"/>
                <w14:textFill>
                  <w14:solidFill>
                    <w14:schemeClr w14:val="tx1"/>
                  </w14:solidFill>
                </w14:textFill>
              </w:rPr>
              <w:t>未提供相关内容得 0 分。</w:t>
            </w:r>
          </w:p>
        </w:tc>
      </w:tr>
    </w:tbl>
    <w:p w14:paraId="11CF1873">
      <w:pPr>
        <w:spacing w:before="293" w:line="205" w:lineRule="auto"/>
        <w:jc w:val="center"/>
        <w:outlineLvl w:val="9"/>
        <w:rPr>
          <w:rFonts w:hint="eastAsia" w:ascii="仿宋" w:hAnsi="仿宋" w:eastAsia="仿宋" w:cs="仿宋"/>
          <w:b/>
          <w:bCs/>
          <w:color w:val="000000" w:themeColor="text1"/>
          <w:spacing w:val="8"/>
          <w:sz w:val="35"/>
          <w:szCs w:val="35"/>
          <w:highlight w:val="none"/>
          <w:lang w:eastAsia="zh-CN"/>
          <w14:textFill>
            <w14:solidFill>
              <w14:schemeClr w14:val="tx1"/>
            </w14:solidFill>
          </w14:textFill>
        </w:rPr>
      </w:pPr>
    </w:p>
    <w:p w14:paraId="6DEF971D">
      <w:pPr>
        <w:spacing w:before="293" w:line="205" w:lineRule="auto"/>
        <w:jc w:val="center"/>
        <w:outlineLvl w:val="9"/>
        <w:rPr>
          <w:rFonts w:hint="eastAsia" w:ascii="仿宋" w:hAnsi="仿宋" w:eastAsia="仿宋" w:cs="仿宋"/>
          <w:b/>
          <w:bCs/>
          <w:color w:val="000000" w:themeColor="text1"/>
          <w:spacing w:val="8"/>
          <w:sz w:val="35"/>
          <w:szCs w:val="35"/>
          <w:highlight w:val="none"/>
          <w:lang w:eastAsia="zh-CN"/>
          <w14:textFill>
            <w14:solidFill>
              <w14:schemeClr w14:val="tx1"/>
            </w14:solidFill>
          </w14:textFill>
        </w:rPr>
      </w:pPr>
    </w:p>
    <w:p w14:paraId="476034F9">
      <w:pPr>
        <w:spacing w:before="293" w:line="205" w:lineRule="auto"/>
        <w:jc w:val="center"/>
        <w:outlineLvl w:val="9"/>
        <w:rPr>
          <w:rFonts w:hint="eastAsia" w:ascii="仿宋" w:hAnsi="仿宋" w:eastAsia="仿宋" w:cs="仿宋"/>
          <w:b/>
          <w:bCs/>
          <w:color w:val="000000" w:themeColor="text1"/>
          <w:spacing w:val="8"/>
          <w:sz w:val="35"/>
          <w:szCs w:val="35"/>
          <w:highlight w:val="none"/>
          <w:lang w:eastAsia="zh-CN"/>
          <w14:textFill>
            <w14:solidFill>
              <w14:schemeClr w14:val="tx1"/>
            </w14:solidFill>
          </w14:textFill>
        </w:rPr>
      </w:pPr>
    </w:p>
    <w:p w14:paraId="21591D7F">
      <w:pPr>
        <w:spacing w:before="293" w:line="205" w:lineRule="auto"/>
        <w:jc w:val="center"/>
        <w:outlineLvl w:val="9"/>
        <w:rPr>
          <w:rFonts w:hint="eastAsia" w:ascii="仿宋" w:hAnsi="仿宋" w:eastAsia="仿宋" w:cs="仿宋"/>
          <w:b/>
          <w:bCs/>
          <w:color w:val="000000" w:themeColor="text1"/>
          <w:spacing w:val="8"/>
          <w:sz w:val="35"/>
          <w:szCs w:val="35"/>
          <w:highlight w:val="none"/>
          <w:lang w:eastAsia="zh-CN"/>
          <w14:textFill>
            <w14:solidFill>
              <w14:schemeClr w14:val="tx1"/>
            </w14:solidFill>
          </w14:textFill>
        </w:rPr>
      </w:pPr>
    </w:p>
    <w:p w14:paraId="71C3C9C7">
      <w:pPr>
        <w:spacing w:before="293" w:line="205" w:lineRule="auto"/>
        <w:jc w:val="center"/>
        <w:outlineLvl w:val="9"/>
        <w:rPr>
          <w:rFonts w:hint="eastAsia" w:ascii="仿宋" w:hAnsi="仿宋" w:eastAsia="仿宋" w:cs="仿宋"/>
          <w:b/>
          <w:bCs/>
          <w:color w:val="000000" w:themeColor="text1"/>
          <w:spacing w:val="8"/>
          <w:sz w:val="35"/>
          <w:szCs w:val="35"/>
          <w:highlight w:val="none"/>
          <w:lang w:eastAsia="zh-CN"/>
          <w14:textFill>
            <w14:solidFill>
              <w14:schemeClr w14:val="tx1"/>
            </w14:solidFill>
          </w14:textFill>
        </w:rPr>
      </w:pPr>
    </w:p>
    <w:p w14:paraId="508538BC">
      <w:pPr>
        <w:spacing w:before="293" w:line="205" w:lineRule="auto"/>
        <w:jc w:val="center"/>
        <w:outlineLvl w:val="9"/>
        <w:rPr>
          <w:rFonts w:hint="eastAsia" w:ascii="仿宋" w:hAnsi="仿宋" w:eastAsia="仿宋" w:cs="仿宋"/>
          <w:b/>
          <w:bCs/>
          <w:color w:val="000000" w:themeColor="text1"/>
          <w:spacing w:val="8"/>
          <w:sz w:val="35"/>
          <w:szCs w:val="35"/>
          <w:highlight w:val="none"/>
          <w:lang w:eastAsia="zh-CN"/>
          <w14:textFill>
            <w14:solidFill>
              <w14:schemeClr w14:val="tx1"/>
            </w14:solidFill>
          </w14:textFill>
        </w:rPr>
      </w:pPr>
    </w:p>
    <w:p w14:paraId="241AB0A9">
      <w:pPr>
        <w:spacing w:before="293" w:line="205" w:lineRule="auto"/>
        <w:jc w:val="center"/>
        <w:outlineLvl w:val="9"/>
        <w:rPr>
          <w:rFonts w:hint="eastAsia" w:ascii="仿宋" w:hAnsi="仿宋" w:eastAsia="仿宋" w:cs="仿宋"/>
          <w:b/>
          <w:bCs/>
          <w:color w:val="000000" w:themeColor="text1"/>
          <w:spacing w:val="8"/>
          <w:sz w:val="35"/>
          <w:szCs w:val="35"/>
          <w:highlight w:val="none"/>
          <w:lang w:eastAsia="zh-CN"/>
          <w14:textFill>
            <w14:solidFill>
              <w14:schemeClr w14:val="tx1"/>
            </w14:solidFill>
          </w14:textFill>
        </w:rPr>
      </w:pPr>
    </w:p>
    <w:p w14:paraId="797D91E1">
      <w:pPr>
        <w:spacing w:before="293" w:line="205" w:lineRule="auto"/>
        <w:jc w:val="center"/>
        <w:outlineLvl w:val="9"/>
        <w:rPr>
          <w:rFonts w:hint="eastAsia" w:ascii="仿宋" w:hAnsi="仿宋" w:eastAsia="仿宋" w:cs="仿宋"/>
          <w:b/>
          <w:bCs/>
          <w:color w:val="000000" w:themeColor="text1"/>
          <w:spacing w:val="8"/>
          <w:sz w:val="35"/>
          <w:szCs w:val="35"/>
          <w:highlight w:val="none"/>
          <w:lang w:eastAsia="zh-CN"/>
          <w14:textFill>
            <w14:solidFill>
              <w14:schemeClr w14:val="tx1"/>
            </w14:solidFill>
          </w14:textFill>
        </w:rPr>
      </w:pPr>
    </w:p>
    <w:p w14:paraId="7F6B9575">
      <w:pPr>
        <w:spacing w:before="293" w:line="205" w:lineRule="auto"/>
        <w:jc w:val="center"/>
        <w:outlineLvl w:val="9"/>
        <w:rPr>
          <w:rFonts w:hint="eastAsia" w:ascii="仿宋" w:hAnsi="仿宋" w:eastAsia="仿宋" w:cs="仿宋"/>
          <w:b/>
          <w:bCs/>
          <w:color w:val="000000" w:themeColor="text1"/>
          <w:spacing w:val="8"/>
          <w:sz w:val="35"/>
          <w:szCs w:val="35"/>
          <w:highlight w:val="none"/>
          <w:lang w:eastAsia="zh-CN"/>
          <w14:textFill>
            <w14:solidFill>
              <w14:schemeClr w14:val="tx1"/>
            </w14:solidFill>
          </w14:textFill>
        </w:rPr>
      </w:pPr>
    </w:p>
    <w:p w14:paraId="5F745883">
      <w:pPr>
        <w:spacing w:before="293" w:line="205" w:lineRule="auto"/>
        <w:jc w:val="center"/>
        <w:outlineLvl w:val="9"/>
        <w:rPr>
          <w:rFonts w:hint="eastAsia" w:ascii="仿宋" w:hAnsi="仿宋" w:eastAsia="仿宋" w:cs="仿宋"/>
          <w:b/>
          <w:bCs/>
          <w:color w:val="000000" w:themeColor="text1"/>
          <w:spacing w:val="8"/>
          <w:sz w:val="35"/>
          <w:szCs w:val="35"/>
          <w:highlight w:val="none"/>
          <w:lang w:eastAsia="zh-CN"/>
          <w14:textFill>
            <w14:solidFill>
              <w14:schemeClr w14:val="tx1"/>
            </w14:solidFill>
          </w14:textFill>
        </w:rPr>
      </w:pPr>
    </w:p>
    <w:p w14:paraId="131D5E96">
      <w:pPr>
        <w:spacing w:before="293" w:line="205" w:lineRule="auto"/>
        <w:jc w:val="center"/>
        <w:outlineLvl w:val="9"/>
        <w:rPr>
          <w:rFonts w:hint="eastAsia" w:ascii="仿宋" w:hAnsi="仿宋" w:eastAsia="仿宋" w:cs="仿宋"/>
          <w:b/>
          <w:bCs/>
          <w:color w:val="000000" w:themeColor="text1"/>
          <w:spacing w:val="8"/>
          <w:sz w:val="35"/>
          <w:szCs w:val="35"/>
          <w:highlight w:val="none"/>
          <w:lang w:eastAsia="zh-CN"/>
          <w14:textFill>
            <w14:solidFill>
              <w14:schemeClr w14:val="tx1"/>
            </w14:solidFill>
          </w14:textFill>
        </w:rPr>
      </w:pPr>
    </w:p>
    <w:p w14:paraId="690E5AAE">
      <w:pPr>
        <w:spacing w:before="293" w:line="205" w:lineRule="auto"/>
        <w:jc w:val="center"/>
        <w:outlineLvl w:val="0"/>
        <w:rPr>
          <w:rFonts w:hint="eastAsia" w:ascii="仿宋" w:hAnsi="仿宋" w:eastAsia="仿宋" w:cs="仿宋"/>
          <w:b/>
          <w:bCs/>
          <w:color w:val="000000" w:themeColor="text1"/>
          <w:spacing w:val="8"/>
          <w:sz w:val="35"/>
          <w:szCs w:val="35"/>
          <w:highlight w:val="none"/>
          <w:lang w:eastAsia="zh-CN"/>
          <w14:textFill>
            <w14:solidFill>
              <w14:schemeClr w14:val="tx1"/>
            </w14:solidFill>
          </w14:textFill>
        </w:rPr>
      </w:pPr>
      <w:r>
        <w:rPr>
          <w:rFonts w:hint="eastAsia" w:ascii="仿宋" w:hAnsi="仿宋" w:eastAsia="仿宋" w:cs="仿宋"/>
          <w:b/>
          <w:bCs/>
          <w:color w:val="000000" w:themeColor="text1"/>
          <w:spacing w:val="8"/>
          <w:sz w:val="35"/>
          <w:szCs w:val="35"/>
          <w:highlight w:val="none"/>
          <w:lang w:eastAsia="zh-CN"/>
          <w14:textFill>
            <w14:solidFill>
              <w14:schemeClr w14:val="tx1"/>
            </w14:solidFill>
          </w14:textFill>
        </w:rPr>
        <w:t>第四章   采购需求</w:t>
      </w:r>
      <w:bookmarkEnd w:id="45"/>
      <w:bookmarkEnd w:id="46"/>
    </w:p>
    <w:p w14:paraId="66B9A63E">
      <w:pPr>
        <w:spacing w:line="360" w:lineRule="auto"/>
        <w:ind w:left="2166" w:leftChars="228" w:hanging="1687" w:hangingChars="7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一、项目名称：国家环境保护准噶尔荒漠绿洲交错区科学观测研究站围栏建设工程</w:t>
      </w:r>
    </w:p>
    <w:p w14:paraId="7D908AB2">
      <w:pPr>
        <w:spacing w:line="360" w:lineRule="auto"/>
        <w:ind w:left="2166" w:leftChars="228" w:hanging="1687" w:hangingChars="700"/>
        <w:rPr>
          <w:rFonts w:hint="eastAsia"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二、工程概况</w:t>
      </w:r>
      <w:r>
        <w:rPr>
          <w:rFonts w:hint="eastAsia" w:ascii="仿宋" w:hAnsi="仿宋" w:eastAsia="仿宋" w:cs="仿宋"/>
          <w:b/>
          <w:bCs/>
          <w:color w:val="000000" w:themeColor="text1"/>
          <w:sz w:val="24"/>
          <w:highlight w:val="none"/>
          <w14:textFill>
            <w14:solidFill>
              <w14:schemeClr w14:val="tx1"/>
            </w14:solidFill>
          </w14:textFill>
        </w:rPr>
        <w:t>：</w:t>
      </w:r>
      <w:r>
        <w:rPr>
          <w:rFonts w:hint="eastAsia" w:ascii="仿宋" w:hAnsi="仿宋" w:eastAsia="仿宋" w:cs="仿宋"/>
          <w:b/>
          <w:bCs/>
          <w:color w:val="000000" w:themeColor="text1"/>
          <w:sz w:val="24"/>
          <w:highlight w:val="none"/>
          <w:lang w:val="zh-CN" w:eastAsia="zh-CN"/>
          <w14:textFill>
            <w14:solidFill>
              <w14:schemeClr w14:val="tx1"/>
            </w14:solidFill>
          </w14:textFill>
        </w:rPr>
        <w:t>新建铁艺围栏总长11.5公里，配套安装1座大门、10台监控设备</w:t>
      </w:r>
      <w:r>
        <w:rPr>
          <w:rFonts w:hint="eastAsia" w:ascii="仿宋" w:hAnsi="仿宋" w:eastAsia="仿宋" w:cs="仿宋"/>
          <w:b/>
          <w:bCs/>
          <w:color w:val="000000" w:themeColor="text1"/>
          <w:sz w:val="24"/>
          <w:highlight w:val="none"/>
          <w:lang w:val="en-US" w:eastAsia="zh-CN"/>
          <w14:textFill>
            <w14:solidFill>
              <w14:schemeClr w14:val="tx1"/>
            </w14:solidFill>
          </w14:textFill>
        </w:rPr>
        <w:t>等相关附属设施。</w:t>
      </w:r>
      <w:r>
        <w:rPr>
          <w:rFonts w:hint="eastAsia" w:ascii="仿宋" w:hAnsi="仿宋" w:eastAsia="仿宋" w:cs="仿宋"/>
          <w:b/>
          <w:bCs/>
          <w:color w:val="000000" w:themeColor="text1"/>
          <w:sz w:val="24"/>
          <w:highlight w:val="none"/>
          <w:lang w:eastAsia="zh-CN"/>
          <w14:textFill>
            <w14:solidFill>
              <w14:schemeClr w14:val="tx1"/>
            </w14:solidFill>
          </w14:textFill>
        </w:rPr>
        <w:t>（详见工程量清单）</w:t>
      </w:r>
    </w:p>
    <w:p w14:paraId="76A34C8B">
      <w:pPr>
        <w:spacing w:line="360" w:lineRule="auto"/>
        <w:ind w:firstLine="482" w:firstLineChars="200"/>
        <w:rPr>
          <w:rFonts w:hint="eastAsia"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三、</w:t>
      </w:r>
      <w:r>
        <w:rPr>
          <w:rFonts w:hint="eastAsia" w:ascii="仿宋" w:hAnsi="仿宋" w:eastAsia="仿宋" w:cs="仿宋"/>
          <w:b/>
          <w:bCs/>
          <w:color w:val="000000" w:themeColor="text1"/>
          <w:sz w:val="24"/>
          <w:highlight w:val="none"/>
          <w:lang w:eastAsia="zh-CN"/>
          <w14:textFill>
            <w14:solidFill>
              <w14:schemeClr w14:val="tx1"/>
            </w14:solidFill>
          </w14:textFill>
        </w:rPr>
        <w:t>施工范围：工程量清单及图纸范围内的全部施工内容。</w:t>
      </w:r>
    </w:p>
    <w:p w14:paraId="63496997">
      <w:pPr>
        <w:spacing w:line="360" w:lineRule="auto"/>
        <w:ind w:firstLine="482" w:firstLineChars="200"/>
        <w:rPr>
          <w:rFonts w:hint="eastAsia"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四、</w:t>
      </w:r>
      <w:r>
        <w:rPr>
          <w:rFonts w:hint="eastAsia" w:ascii="仿宋" w:hAnsi="仿宋" w:eastAsia="仿宋" w:cs="仿宋"/>
          <w:b/>
          <w:bCs/>
          <w:color w:val="000000" w:themeColor="text1"/>
          <w:sz w:val="24"/>
          <w:highlight w:val="none"/>
          <w14:textFill>
            <w14:solidFill>
              <w14:schemeClr w14:val="tx1"/>
            </w14:solidFill>
          </w14:textFill>
        </w:rPr>
        <w:t>项目建设地点</w:t>
      </w:r>
      <w:r>
        <w:rPr>
          <w:rFonts w:hint="eastAsia" w:ascii="仿宋" w:hAnsi="仿宋" w:eastAsia="仿宋" w:cs="仿宋"/>
          <w:b/>
          <w:bCs/>
          <w:color w:val="000000" w:themeColor="text1"/>
          <w:sz w:val="24"/>
          <w:highlight w:val="none"/>
          <w:lang w:eastAsia="zh-CN"/>
          <w14:textFill>
            <w14:solidFill>
              <w14:schemeClr w14:val="tx1"/>
            </w14:solidFill>
          </w14:textFill>
        </w:rPr>
        <w:t>：兵团第六师103团9连</w:t>
      </w:r>
    </w:p>
    <w:p w14:paraId="7F264DDA">
      <w:pPr>
        <w:spacing w:line="360" w:lineRule="auto"/>
        <w:ind w:firstLine="482" w:firstLineChars="200"/>
        <w:rPr>
          <w:rFonts w:hint="eastAsia"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五、</w:t>
      </w:r>
      <w:r>
        <w:rPr>
          <w:rFonts w:hint="eastAsia" w:ascii="仿宋" w:hAnsi="仿宋" w:eastAsia="仿宋" w:cs="仿宋"/>
          <w:b/>
          <w:bCs/>
          <w:color w:val="000000" w:themeColor="text1"/>
          <w:sz w:val="24"/>
          <w:highlight w:val="none"/>
          <w:lang w:eastAsia="zh-CN"/>
          <w14:textFill>
            <w14:solidFill>
              <w14:schemeClr w14:val="tx1"/>
            </w14:solidFill>
          </w14:textFill>
        </w:rPr>
        <w:t>合同履约期限：</w:t>
      </w:r>
      <w:r>
        <w:rPr>
          <w:rFonts w:hint="eastAsia" w:ascii="仿宋" w:hAnsi="仿宋" w:eastAsia="仿宋" w:cs="仿宋"/>
          <w:b/>
          <w:bCs/>
          <w:color w:val="000000" w:themeColor="text1"/>
          <w:sz w:val="24"/>
          <w:highlight w:val="none"/>
          <w:lang w:val="en-US" w:eastAsia="zh-CN"/>
          <w14:textFill>
            <w14:solidFill>
              <w14:schemeClr w14:val="tx1"/>
            </w14:solidFill>
          </w14:textFill>
        </w:rPr>
        <w:t>2026年06月29日开工、</w:t>
      </w:r>
      <w:r>
        <w:rPr>
          <w:rFonts w:hint="eastAsia" w:ascii="仿宋" w:hAnsi="仿宋" w:eastAsia="仿宋" w:cs="仿宋"/>
          <w:b/>
          <w:bCs/>
          <w:color w:val="000000" w:themeColor="text1"/>
          <w:sz w:val="24"/>
          <w:highlight w:val="none"/>
          <w:lang w:eastAsia="zh-CN"/>
          <w14:textFill>
            <w14:solidFill>
              <w14:schemeClr w14:val="tx1"/>
            </w14:solidFill>
          </w14:textFill>
        </w:rPr>
        <w:t>202</w:t>
      </w:r>
      <w:r>
        <w:rPr>
          <w:rFonts w:hint="eastAsia" w:ascii="仿宋" w:hAnsi="仿宋" w:eastAsia="仿宋" w:cs="仿宋"/>
          <w:b/>
          <w:bCs/>
          <w:color w:val="000000" w:themeColor="text1"/>
          <w:sz w:val="24"/>
          <w:highlight w:val="none"/>
          <w:lang w:val="en-US" w:eastAsia="zh-CN"/>
          <w14:textFill>
            <w14:solidFill>
              <w14:schemeClr w14:val="tx1"/>
            </w14:solidFill>
          </w14:textFill>
        </w:rPr>
        <w:t>6</w:t>
      </w:r>
      <w:r>
        <w:rPr>
          <w:rFonts w:hint="eastAsia" w:ascii="仿宋" w:hAnsi="仿宋" w:eastAsia="仿宋" w:cs="仿宋"/>
          <w:b/>
          <w:bCs/>
          <w:color w:val="000000" w:themeColor="text1"/>
          <w:sz w:val="24"/>
          <w:highlight w:val="none"/>
          <w:lang w:eastAsia="zh-CN"/>
          <w14:textFill>
            <w14:solidFill>
              <w14:schemeClr w14:val="tx1"/>
            </w14:solidFill>
          </w14:textFill>
        </w:rPr>
        <w:t>年</w:t>
      </w:r>
      <w:r>
        <w:rPr>
          <w:rFonts w:hint="eastAsia" w:ascii="仿宋" w:hAnsi="仿宋" w:eastAsia="仿宋" w:cs="仿宋"/>
          <w:b/>
          <w:bCs/>
          <w:color w:val="000000" w:themeColor="text1"/>
          <w:sz w:val="24"/>
          <w:highlight w:val="none"/>
          <w:lang w:val="en-US" w:eastAsia="zh-CN"/>
          <w14:textFill>
            <w14:solidFill>
              <w14:schemeClr w14:val="tx1"/>
            </w14:solidFill>
          </w14:textFill>
        </w:rPr>
        <w:t>11</w:t>
      </w:r>
      <w:r>
        <w:rPr>
          <w:rFonts w:hint="eastAsia" w:ascii="仿宋" w:hAnsi="仿宋" w:eastAsia="仿宋" w:cs="仿宋"/>
          <w:b/>
          <w:bCs/>
          <w:color w:val="000000" w:themeColor="text1"/>
          <w:sz w:val="24"/>
          <w:highlight w:val="none"/>
          <w:lang w:eastAsia="zh-CN"/>
          <w14:textFill>
            <w14:solidFill>
              <w14:schemeClr w14:val="tx1"/>
            </w14:solidFill>
          </w14:textFill>
        </w:rPr>
        <w:t>月</w:t>
      </w:r>
      <w:r>
        <w:rPr>
          <w:rFonts w:hint="eastAsia" w:ascii="仿宋" w:hAnsi="仿宋" w:eastAsia="仿宋" w:cs="仿宋"/>
          <w:b/>
          <w:bCs/>
          <w:color w:val="000000" w:themeColor="text1"/>
          <w:sz w:val="24"/>
          <w:highlight w:val="none"/>
          <w:lang w:val="en-US" w:eastAsia="zh-CN"/>
          <w14:textFill>
            <w14:solidFill>
              <w14:schemeClr w14:val="tx1"/>
            </w14:solidFill>
          </w14:textFill>
        </w:rPr>
        <w:t>15</w:t>
      </w:r>
      <w:r>
        <w:rPr>
          <w:rFonts w:hint="eastAsia" w:ascii="仿宋" w:hAnsi="仿宋" w:eastAsia="仿宋" w:cs="仿宋"/>
          <w:b/>
          <w:bCs/>
          <w:color w:val="000000" w:themeColor="text1"/>
          <w:sz w:val="24"/>
          <w:highlight w:val="none"/>
          <w:lang w:eastAsia="zh-CN"/>
          <w14:textFill>
            <w14:solidFill>
              <w14:schemeClr w14:val="tx1"/>
            </w14:solidFill>
          </w14:textFill>
        </w:rPr>
        <w:t>日</w:t>
      </w:r>
      <w:r>
        <w:rPr>
          <w:rFonts w:hint="eastAsia" w:ascii="仿宋" w:hAnsi="仿宋" w:eastAsia="仿宋" w:cs="仿宋"/>
          <w:b/>
          <w:bCs/>
          <w:color w:val="000000" w:themeColor="text1"/>
          <w:sz w:val="24"/>
          <w:highlight w:val="none"/>
          <w:lang w:val="en-US" w:eastAsia="zh-CN"/>
          <w14:textFill>
            <w14:solidFill>
              <w14:schemeClr w14:val="tx1"/>
            </w14:solidFill>
          </w14:textFill>
        </w:rPr>
        <w:t>竣工，总工期140天（日历日），具体以签订合同为准</w:t>
      </w:r>
      <w:r>
        <w:rPr>
          <w:rFonts w:hint="eastAsia" w:ascii="仿宋" w:hAnsi="仿宋" w:eastAsia="仿宋" w:cs="仿宋"/>
          <w:b/>
          <w:bCs/>
          <w:color w:val="000000" w:themeColor="text1"/>
          <w:sz w:val="24"/>
          <w:highlight w:val="none"/>
          <w:lang w:eastAsia="zh-CN"/>
          <w14:textFill>
            <w14:solidFill>
              <w14:schemeClr w14:val="tx1"/>
            </w14:solidFill>
          </w14:textFill>
        </w:rPr>
        <w:t>。</w:t>
      </w:r>
    </w:p>
    <w:p w14:paraId="185BC57B">
      <w:pPr>
        <w:spacing w:line="360" w:lineRule="auto"/>
        <w:ind w:firstLine="482" w:firstLineChars="2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 xml:space="preserve">六、技术要求 </w:t>
      </w:r>
    </w:p>
    <w:p w14:paraId="21DDD3E7">
      <w:pPr>
        <w:spacing w:line="360" w:lineRule="auto"/>
        <w:ind w:left="958" w:leftChars="456" w:firstLine="0" w:firstLineChars="0"/>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1.本项目标的质量需满足国家规范的相关要求。项目施工过程中施工单位（供应商）需严格按照国家法规及行业标准规范施工作业，确保项目安全、质量生产目标。</w:t>
      </w:r>
    </w:p>
    <w:p w14:paraId="348D1C7D">
      <w:pPr>
        <w:spacing w:line="360" w:lineRule="auto"/>
        <w:ind w:firstLine="964" w:firstLineChars="4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 xml:space="preserve">2.质量标准：合格 </w:t>
      </w:r>
    </w:p>
    <w:p w14:paraId="62204BDC">
      <w:pPr>
        <w:spacing w:line="360" w:lineRule="auto"/>
        <w:ind w:firstLine="964" w:firstLineChars="4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 xml:space="preserve">3.施工现场安全生产标准化管理等级：达标。 </w:t>
      </w:r>
    </w:p>
    <w:p w14:paraId="1AB8E328">
      <w:pPr>
        <w:spacing w:line="360" w:lineRule="auto"/>
        <w:ind w:firstLine="964" w:firstLineChars="4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 xml:space="preserve">4.缺陷责任期：24 个月。 </w:t>
      </w:r>
    </w:p>
    <w:p w14:paraId="0BB31ADB">
      <w:pPr>
        <w:spacing w:line="360" w:lineRule="auto"/>
        <w:ind w:firstLine="482" w:firstLineChars="2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七、图纸（另行提供）</w:t>
      </w:r>
    </w:p>
    <w:p w14:paraId="0D45FA1A">
      <w:pPr>
        <w:spacing w:line="360" w:lineRule="auto"/>
        <w:ind w:firstLine="482" w:firstLineChars="2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八、工程量清单（另行提供）</w:t>
      </w:r>
    </w:p>
    <w:p w14:paraId="42630563">
      <w:pPr>
        <w:spacing w:line="360" w:lineRule="auto"/>
        <w:ind w:firstLine="482" w:firstLineChars="200"/>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九、报价和结算要求</w:t>
      </w:r>
    </w:p>
    <w:p w14:paraId="114E6B2C">
      <w:pPr>
        <w:spacing w:line="360" w:lineRule="auto"/>
        <w:ind w:firstLine="964" w:firstLineChars="400"/>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1.合同形式：单价合同。</w:t>
      </w:r>
    </w:p>
    <w:p w14:paraId="1ECF6FE5">
      <w:pPr>
        <w:spacing w:line="360" w:lineRule="auto"/>
        <w:ind w:firstLine="964" w:firstLineChars="400"/>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2.施工期间所发生的水费、电费供应商应充分考虑到响应报价内。</w:t>
      </w:r>
    </w:p>
    <w:p w14:paraId="7FC99EF2">
      <w:pPr>
        <w:spacing w:line="360" w:lineRule="auto"/>
        <w:ind w:left="1440" w:leftChars="456" w:hanging="482" w:hangingChars="200"/>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3.供应商响应报价不得超过（不含等于）项目最高限价（控制价），否则其响应无效。</w:t>
      </w:r>
    </w:p>
    <w:p w14:paraId="20131BD7">
      <w:pPr>
        <w:spacing w:line="360" w:lineRule="auto"/>
        <w:ind w:firstLine="482" w:firstLineChars="200"/>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十、偏离</w:t>
      </w:r>
    </w:p>
    <w:p w14:paraId="43EB72FB">
      <w:pPr>
        <w:spacing w:line="360" w:lineRule="auto"/>
        <w:ind w:firstLine="964" w:firstLineChars="400"/>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1.除实质性内容以外，允许响应文件产生偏离，但应遵守竞争性磋商文件规定的偏离范围和幅度（如有），并应按照“响应文件格式”加以说明。</w:t>
      </w:r>
    </w:p>
    <w:p w14:paraId="0AEF1145">
      <w:pPr>
        <w:numPr>
          <w:ilvl w:val="0"/>
          <w:numId w:val="0"/>
        </w:numPr>
        <w:spacing w:line="360" w:lineRule="auto"/>
        <w:ind w:firstLine="482" w:firstLineChars="200"/>
        <w:rPr>
          <w:rFonts w:hint="eastAsia" w:ascii="仿宋" w:hAnsi="仿宋" w:eastAsia="仿宋" w:cs="仿宋"/>
          <w:snapToGrid w:val="0"/>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z w:val="24"/>
          <w:szCs w:val="24"/>
          <w:highlight w:val="none"/>
          <w:lang w:val="en-US" w:eastAsia="zh-CN" w:bidi="ar-SA"/>
          <w14:textFill>
            <w14:solidFill>
              <w14:schemeClr w14:val="tx1"/>
            </w14:solidFill>
          </w14:textFill>
        </w:rPr>
        <w:t>十一、付款方式：</w:t>
      </w:r>
      <w:r>
        <w:rPr>
          <w:rFonts w:hint="eastAsia" w:ascii="仿宋" w:hAnsi="仿宋" w:eastAsia="仿宋" w:cs="仿宋"/>
          <w:snapToGrid w:val="0"/>
          <w:color w:val="000000" w:themeColor="text1"/>
          <w:sz w:val="24"/>
          <w:szCs w:val="24"/>
          <w:highlight w:val="none"/>
          <w:lang w:val="en-US" w:eastAsia="zh-CN" w:bidi="ar-SA"/>
          <w14:textFill>
            <w14:solidFill>
              <w14:schemeClr w14:val="tx1"/>
            </w14:solidFill>
          </w14:textFill>
        </w:rPr>
        <w:t>签订合同后，付合同价款30%的预付款；项目完成50%的工作量后再付合同价款的30%；项目完成100%的工作量后再付合同价款的30%；审计工作结束后再付合同价款的7%；剩余3%为质保金，待质保期满后一次性付清。</w:t>
      </w:r>
    </w:p>
    <w:p w14:paraId="014A1AD9">
      <w:pPr>
        <w:numPr>
          <w:ilvl w:val="0"/>
          <w:numId w:val="0"/>
        </w:numPr>
        <w:spacing w:line="360" w:lineRule="auto"/>
        <w:ind w:firstLine="480" w:firstLineChars="2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bidi="ar-SA"/>
          <w14:textFill>
            <w14:solidFill>
              <w14:schemeClr w14:val="tx1"/>
            </w14:solidFill>
          </w14:textFill>
        </w:rPr>
        <w:t>十二、验收标准（详见合同条款）</w:t>
      </w:r>
      <w:r>
        <w:rPr>
          <w:rFonts w:hint="eastAsia" w:ascii="仿宋" w:hAnsi="仿宋" w:eastAsia="仿宋" w:cs="仿宋"/>
          <w:b/>
          <w:bCs/>
          <w:color w:val="000000" w:themeColor="text1"/>
          <w:spacing w:val="7"/>
          <w:sz w:val="35"/>
          <w:szCs w:val="35"/>
          <w:highlight w:val="none"/>
          <w:lang w:eastAsia="zh-CN"/>
          <w14:textFill>
            <w14:solidFill>
              <w14:schemeClr w14:val="tx1"/>
            </w14:solidFill>
          </w14:textFill>
        </w:rPr>
        <w:br w:type="page"/>
      </w:r>
    </w:p>
    <w:p w14:paraId="12F49E06">
      <w:pPr>
        <w:spacing w:before="293" w:line="205" w:lineRule="auto"/>
        <w:ind w:left="2644"/>
        <w:outlineLvl w:val="0"/>
        <w:rPr>
          <w:rFonts w:hint="eastAsia" w:ascii="仿宋" w:hAnsi="仿宋" w:eastAsia="仿宋" w:cs="仿宋"/>
          <w:color w:val="000000" w:themeColor="text1"/>
          <w:sz w:val="35"/>
          <w:szCs w:val="35"/>
          <w:highlight w:val="none"/>
          <w:lang w:eastAsia="zh-CN"/>
          <w14:textFill>
            <w14:solidFill>
              <w14:schemeClr w14:val="tx1"/>
            </w14:solidFill>
          </w14:textFill>
        </w:rPr>
      </w:pPr>
      <w:bookmarkStart w:id="48" w:name="_Toc27170"/>
      <w:bookmarkStart w:id="49" w:name="_Toc3354"/>
      <w:r>
        <w:rPr>
          <w:rFonts w:hint="eastAsia" w:ascii="仿宋" w:hAnsi="仿宋" w:eastAsia="仿宋" w:cs="仿宋"/>
          <w:b/>
          <w:bCs/>
          <w:color w:val="000000" w:themeColor="text1"/>
          <w:spacing w:val="8"/>
          <w:sz w:val="35"/>
          <w:szCs w:val="35"/>
          <w:highlight w:val="none"/>
          <w:lang w:eastAsia="zh-CN"/>
          <w14:textFill>
            <w14:solidFill>
              <w14:schemeClr w14:val="tx1"/>
            </w14:solidFill>
          </w14:textFill>
        </w:rPr>
        <w:t>第五章     合同草案条款</w:t>
      </w:r>
      <w:bookmarkEnd w:id="47"/>
      <w:bookmarkEnd w:id="48"/>
      <w:bookmarkEnd w:id="49"/>
    </w:p>
    <w:p w14:paraId="51F52213">
      <w:pPr>
        <w:spacing w:line="540" w:lineRule="exact"/>
        <w:ind w:firstLine="480" w:firstLineChars="200"/>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（★本合同文本仅供参考，最终签订文本以甲乙双方签订为准。） </w:t>
      </w:r>
    </w:p>
    <w:p w14:paraId="442917D5">
      <w:pPr>
        <w:spacing w:line="560" w:lineRule="exact"/>
        <w:rPr>
          <w:rFonts w:hint="eastAsia" w:ascii="仿宋" w:hAnsi="仿宋" w:eastAsia="仿宋" w:cs="仿宋"/>
          <w:color w:val="000000" w:themeColor="text1"/>
          <w:sz w:val="22"/>
          <w:szCs w:val="22"/>
          <w:highlight w:val="none"/>
          <w14:textFill>
            <w14:solidFill>
              <w14:schemeClr w14:val="tx1"/>
            </w14:solidFill>
          </w14:textFill>
        </w:rPr>
      </w:pPr>
    </w:p>
    <w:p w14:paraId="477C7D74">
      <w:pPr>
        <w:jc w:val="left"/>
        <w:rPr>
          <w:rFonts w:hint="eastAsia"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（GF—2017—0201）</w:t>
      </w:r>
    </w:p>
    <w:p w14:paraId="21BD8E09">
      <w:pPr>
        <w:jc w:val="center"/>
        <w:rPr>
          <w:rFonts w:hint="eastAsia" w:ascii="仿宋" w:hAnsi="仿宋" w:eastAsia="仿宋" w:cs="仿宋"/>
          <w:b/>
          <w:color w:val="000000" w:themeColor="text1"/>
          <w:sz w:val="52"/>
          <w:szCs w:val="52"/>
          <w:highlight w:val="none"/>
          <w14:textFill>
            <w14:solidFill>
              <w14:schemeClr w14:val="tx1"/>
            </w14:solidFill>
          </w14:textFill>
        </w:rPr>
      </w:pPr>
    </w:p>
    <w:p w14:paraId="457251A2">
      <w:pPr>
        <w:jc w:val="center"/>
        <w:rPr>
          <w:rFonts w:hint="eastAsia" w:ascii="仿宋" w:hAnsi="仿宋" w:eastAsia="仿宋" w:cs="仿宋"/>
          <w:b/>
          <w:color w:val="000000" w:themeColor="text1"/>
          <w:sz w:val="52"/>
          <w:szCs w:val="52"/>
          <w:highlight w:val="none"/>
          <w14:textFill>
            <w14:solidFill>
              <w14:schemeClr w14:val="tx1"/>
            </w14:solidFill>
          </w14:textFill>
        </w:rPr>
      </w:pPr>
    </w:p>
    <w:p w14:paraId="10F334AD">
      <w:pPr>
        <w:jc w:val="center"/>
        <w:rPr>
          <w:rFonts w:hint="eastAsia" w:ascii="仿宋" w:hAnsi="仿宋" w:eastAsia="仿宋" w:cs="仿宋"/>
          <w:b/>
          <w:color w:val="000000" w:themeColor="text1"/>
          <w:sz w:val="52"/>
          <w:szCs w:val="52"/>
          <w:highlight w:val="none"/>
          <w14:textFill>
            <w14:solidFill>
              <w14:schemeClr w14:val="tx1"/>
            </w14:solidFill>
          </w14:textFill>
        </w:rPr>
      </w:pPr>
    </w:p>
    <w:p w14:paraId="6D15F2C5">
      <w:pPr>
        <w:jc w:val="center"/>
        <w:rPr>
          <w:rFonts w:hint="eastAsia" w:ascii="仿宋" w:hAnsi="仿宋" w:eastAsia="仿宋" w:cs="仿宋"/>
          <w:b/>
          <w:color w:val="000000" w:themeColor="text1"/>
          <w:sz w:val="52"/>
          <w:szCs w:val="52"/>
          <w:highlight w:val="none"/>
          <w14:textFill>
            <w14:solidFill>
              <w14:schemeClr w14:val="tx1"/>
            </w14:solidFill>
          </w14:textFill>
        </w:rPr>
      </w:pPr>
    </w:p>
    <w:p w14:paraId="4B3719A8">
      <w:pPr>
        <w:jc w:val="center"/>
        <w:rPr>
          <w:rFonts w:hint="eastAsia" w:ascii="仿宋" w:hAnsi="仿宋" w:eastAsia="仿宋" w:cs="仿宋"/>
          <w:bCs/>
          <w:color w:val="000000" w:themeColor="text1"/>
          <w:sz w:val="72"/>
          <w:szCs w:val="52"/>
          <w:highlight w:val="none"/>
          <w:lang w:eastAsia="zh-CN"/>
          <w14:textFill>
            <w14:solidFill>
              <w14:schemeClr w14:val="tx1"/>
            </w14:solidFill>
          </w14:textFill>
        </w:rPr>
      </w:pPr>
      <w:r>
        <w:rPr>
          <w:rFonts w:hint="eastAsia" w:ascii="仿宋" w:hAnsi="仿宋" w:eastAsia="仿宋" w:cs="仿宋"/>
          <w:bCs/>
          <w:color w:val="000000" w:themeColor="text1"/>
          <w:sz w:val="72"/>
          <w:szCs w:val="52"/>
          <w:highlight w:val="none"/>
          <w14:textFill>
            <w14:solidFill>
              <w14:schemeClr w14:val="tx1"/>
            </w14:solidFill>
          </w14:textFill>
        </w:rPr>
        <w:t>建设工程施工合同</w:t>
      </w:r>
    </w:p>
    <w:p w14:paraId="3669BA3E">
      <w:pPr>
        <w:jc w:val="center"/>
        <w:rPr>
          <w:rFonts w:hint="eastAsia" w:ascii="仿宋" w:hAnsi="仿宋" w:eastAsia="仿宋" w:cs="仿宋"/>
          <w:bCs/>
          <w:color w:val="000000" w:themeColor="text1"/>
          <w:sz w:val="52"/>
          <w:szCs w:val="52"/>
          <w:highlight w:val="none"/>
          <w14:textFill>
            <w14:solidFill>
              <w14:schemeClr w14:val="tx1"/>
            </w14:solidFill>
          </w14:textFill>
        </w:rPr>
      </w:pPr>
      <w:r>
        <w:rPr>
          <w:rFonts w:hint="eastAsia" w:ascii="仿宋" w:hAnsi="仿宋" w:eastAsia="仿宋" w:cs="仿宋"/>
          <w:bCs/>
          <w:color w:val="000000" w:themeColor="text1"/>
          <w:sz w:val="52"/>
          <w:szCs w:val="52"/>
          <w:highlight w:val="none"/>
          <w14:textFill>
            <w14:solidFill>
              <w14:schemeClr w14:val="tx1"/>
            </w14:solidFill>
          </w14:textFill>
        </w:rPr>
        <w:t>（示范文本）</w:t>
      </w:r>
    </w:p>
    <w:p w14:paraId="4F19C702">
      <w:pPr>
        <w:jc w:val="center"/>
        <w:rPr>
          <w:rFonts w:hint="eastAsia" w:ascii="仿宋" w:hAnsi="仿宋" w:eastAsia="仿宋" w:cs="仿宋"/>
          <w:bCs/>
          <w:color w:val="000000" w:themeColor="text1"/>
          <w:sz w:val="52"/>
          <w:szCs w:val="52"/>
          <w:highlight w:val="none"/>
          <w14:textFill>
            <w14:solidFill>
              <w14:schemeClr w14:val="tx1"/>
            </w14:solidFill>
          </w14:textFill>
        </w:rPr>
      </w:pPr>
    </w:p>
    <w:p w14:paraId="63A7FB3E">
      <w:pPr>
        <w:rPr>
          <w:rFonts w:hint="eastAsia" w:ascii="仿宋" w:hAnsi="仿宋" w:eastAsia="仿宋" w:cs="仿宋"/>
          <w:bCs/>
          <w:color w:val="000000" w:themeColor="text1"/>
          <w:sz w:val="72"/>
          <w:szCs w:val="72"/>
          <w:highlight w:val="none"/>
          <w14:textFill>
            <w14:solidFill>
              <w14:schemeClr w14:val="tx1"/>
            </w14:solidFill>
          </w14:textFill>
        </w:rPr>
      </w:pPr>
    </w:p>
    <w:p w14:paraId="2F1EA9D3">
      <w:pPr>
        <w:jc w:val="center"/>
        <w:rPr>
          <w:rFonts w:hint="eastAsia" w:ascii="仿宋" w:hAnsi="仿宋" w:eastAsia="仿宋" w:cs="仿宋"/>
          <w:bCs/>
          <w:color w:val="000000" w:themeColor="text1"/>
          <w:sz w:val="52"/>
          <w:szCs w:val="52"/>
          <w:highlight w:val="none"/>
          <w14:textFill>
            <w14:solidFill>
              <w14:schemeClr w14:val="tx1"/>
            </w14:solidFill>
          </w14:textFill>
        </w:rPr>
      </w:pPr>
    </w:p>
    <w:p w14:paraId="08BD6754">
      <w:pPr>
        <w:rPr>
          <w:rFonts w:hint="eastAsia" w:ascii="仿宋" w:hAnsi="仿宋" w:eastAsia="仿宋" w:cs="仿宋"/>
          <w:bCs/>
          <w:color w:val="000000" w:themeColor="text1"/>
          <w:szCs w:val="28"/>
          <w:highlight w:val="none"/>
          <w14:textFill>
            <w14:solidFill>
              <w14:schemeClr w14:val="tx1"/>
            </w14:solidFill>
          </w14:textFill>
        </w:rPr>
      </w:pPr>
    </w:p>
    <w:p w14:paraId="06BFDE1B">
      <w:pPr>
        <w:rPr>
          <w:rFonts w:hint="eastAsia" w:ascii="仿宋" w:hAnsi="仿宋" w:eastAsia="仿宋" w:cs="仿宋"/>
          <w:bCs/>
          <w:color w:val="000000" w:themeColor="text1"/>
          <w:szCs w:val="28"/>
          <w:highlight w:val="none"/>
          <w14:textFill>
            <w14:solidFill>
              <w14:schemeClr w14:val="tx1"/>
            </w14:solidFill>
          </w14:textFill>
        </w:rPr>
      </w:pPr>
    </w:p>
    <w:p w14:paraId="59083C12">
      <w:pPr>
        <w:rPr>
          <w:rFonts w:hint="eastAsia" w:ascii="仿宋" w:hAnsi="仿宋" w:eastAsia="仿宋" w:cs="仿宋"/>
          <w:bCs/>
          <w:color w:val="000000" w:themeColor="text1"/>
          <w:szCs w:val="28"/>
          <w:highlight w:val="none"/>
          <w14:textFill>
            <w14:solidFill>
              <w14:schemeClr w14:val="tx1"/>
            </w14:solidFill>
          </w14:textFill>
        </w:rPr>
      </w:pPr>
    </w:p>
    <w:p w14:paraId="0546E016">
      <w:pPr>
        <w:rPr>
          <w:rFonts w:hint="eastAsia" w:ascii="仿宋" w:hAnsi="仿宋" w:eastAsia="仿宋" w:cs="仿宋"/>
          <w:bCs/>
          <w:color w:val="000000" w:themeColor="text1"/>
          <w:szCs w:val="28"/>
          <w:highlight w:val="none"/>
          <w14:textFill>
            <w14:solidFill>
              <w14:schemeClr w14:val="tx1"/>
            </w14:solidFill>
          </w14:textFill>
        </w:rPr>
      </w:pPr>
    </w:p>
    <w:p w14:paraId="0A883089">
      <w:pPr>
        <w:rPr>
          <w:rFonts w:hint="eastAsia" w:ascii="仿宋" w:hAnsi="仿宋" w:eastAsia="仿宋" w:cs="仿宋"/>
          <w:bCs/>
          <w:color w:val="000000" w:themeColor="text1"/>
          <w:szCs w:val="28"/>
          <w:highlight w:val="none"/>
          <w14:textFill>
            <w14:solidFill>
              <w14:schemeClr w14:val="tx1"/>
            </w14:solidFill>
          </w14:textFill>
        </w:rPr>
      </w:pPr>
    </w:p>
    <w:p w14:paraId="08A06A2B">
      <w:pPr>
        <w:ind w:right="2719" w:rightChars="1295"/>
        <w:jc w:val="distribute"/>
        <w:rPr>
          <w:rFonts w:hint="eastAsia" w:ascii="仿宋" w:hAnsi="仿宋" w:eastAsia="仿宋" w:cs="仿宋"/>
          <w:bCs/>
          <w:color w:val="000000" w:themeColor="text1"/>
          <w:sz w:val="32"/>
          <w:szCs w:val="28"/>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17" name="文本框 17"/>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6A4F47CD">
                            <w:pPr>
                              <w:rPr>
                                <w:rFonts w:hint="eastAsia"/>
                                <w:sz w:val="32"/>
                              </w:rPr>
                            </w:pPr>
                            <w:r>
                              <w:rPr>
                                <w:rFonts w:hint="eastAsia"/>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I/yoGwoCAAAcBAAADgAAAGRycy9lMm9Eb2MueG1srVNN&#10;rtMwEN4jcQfLe5q+QikvavokKGWDAOnBAVxnkljynzxuk14AbsCKDXvO1XMwdvrK+9l0QRbJZObz&#10;NzPfjJc3g9FsDwGVsxW/mkw5AytdrWxb8W9fNy/ecIZR2FpoZ6HiB0B+s3r+bNn7Emauc7qGwIjE&#10;Ytn7incx+rIoUHZgBE6cB0vBxgUjIv2GtqiD6Ind6GI2nb4uehdqH5wERPKuxyA/MYZLCF3TKAlr&#10;J3cGbBxZA2gRqSXslEe+ytU2Dcj4uWkQItMVp05jflMSsrfpXayWomyD8J2SpxLEJSU86skIZSnp&#10;mWotomC7oJ5QGSWDQ9fEiXSmGBvJilAXV9NH2tx2wkPuhaRGfxYd/x+t/LT/EpiqaRMWnFlhaOLH&#10;nz+Ov/4cf39n5COBeo8l4W49IePw1g0EvvMjOVPfQxNM+lJHjOIk7+EsLwyRSXIuZi+vpxSRFHo1&#10;X9AyJJbi32EfMH4AZ1gyKh5oellUsf+IcYTeQVIu6zZK6zxBbVlf8ev5bE70grayoW0g03jqDG2b&#10;adBpVacj6TCGdvtOB7YXtBmb/JyqeQBL+dYCuxGXQwkmSqMihGx1IOr3tmbx4Ek8S5eGp2IM1Jxp&#10;oDuWrIyMQulLkCSJtikJ5A0+NZ/GMMqdrDhsByJN5tbVBxrNzgfVdqRbHk6RIrQ0WeDTgqetvP9P&#10;9v1Lvfo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c0tcdgAAAAJAQAADwAAAAAAAAABACAAAAAi&#10;AAAAZHJzL2Rvd25yZXYueG1sUEsBAhQAFAAAAAgAh07iQCP8qBsKAgAAHAQAAA4AAAAAAAAAAQAg&#10;AAAAJwEAAGRycy9lMm9Eb2MueG1sUEsFBgAAAAAGAAYAWQEAAKMFAAAAAA==&#10;">
                <v:fill on="f" focussize="0,0"/>
                <v:stroke color="#FFFFFF" joinstyle="miter"/>
                <v:imagedata o:title=""/>
                <o:lock v:ext="edit" aspectratio="f"/>
                <v:textbox>
                  <w:txbxContent>
                    <w:p w14:paraId="6A4F47CD">
                      <w:pPr>
                        <w:rPr>
                          <w:rFonts w:hint="eastAsia"/>
                          <w:sz w:val="32"/>
                        </w:rPr>
                      </w:pPr>
                      <w:r>
                        <w:rPr>
                          <w:rFonts w:hint="eastAsia"/>
                          <w:sz w:val="32"/>
                        </w:rPr>
                        <w:t>制定</w:t>
                      </w:r>
                    </w:p>
                  </w:txbxContent>
                </v:textbox>
              </v:shape>
            </w:pict>
          </mc:Fallback>
        </mc:AlternateContent>
      </w:r>
      <w:r>
        <w:rPr>
          <w:rFonts w:hint="eastAsia" w:ascii="仿宋" w:hAnsi="仿宋" w:eastAsia="仿宋" w:cs="仿宋"/>
          <w:bCs/>
          <w:color w:val="000000" w:themeColor="text1"/>
          <w:sz w:val="32"/>
          <w:szCs w:val="28"/>
          <w:highlight w:val="none"/>
          <w14:textFill>
            <w14:solidFill>
              <w14:schemeClr w14:val="tx1"/>
            </w14:solidFill>
          </w14:textFill>
        </w:rPr>
        <w:t xml:space="preserve">            住房城乡建设部</w:t>
      </w:r>
    </w:p>
    <w:p w14:paraId="014117A6">
      <w:pPr>
        <w:ind w:right="2719" w:rightChars="1295"/>
        <w:jc w:val="distribute"/>
        <w:rPr>
          <w:rFonts w:hint="eastAsia" w:ascii="仿宋" w:hAnsi="仿宋" w:eastAsia="仿宋" w:cs="仿宋"/>
          <w:bCs/>
          <w:color w:val="000000" w:themeColor="text1"/>
          <w:sz w:val="32"/>
          <w:szCs w:val="28"/>
          <w:highlight w:val="none"/>
          <w14:textFill>
            <w14:solidFill>
              <w14:schemeClr w14:val="tx1"/>
            </w14:solidFill>
          </w14:textFill>
        </w:rPr>
      </w:pPr>
      <w:r>
        <w:rPr>
          <w:rFonts w:hint="eastAsia" w:ascii="仿宋" w:hAnsi="仿宋" w:eastAsia="仿宋" w:cs="仿宋"/>
          <w:bCs/>
          <w:color w:val="000000" w:themeColor="text1"/>
          <w:sz w:val="32"/>
          <w:szCs w:val="28"/>
          <w:highlight w:val="none"/>
          <w14:textFill>
            <w14:solidFill>
              <w14:schemeClr w14:val="tx1"/>
            </w14:solidFill>
          </w14:textFill>
        </w:rPr>
        <w:t xml:space="preserve">            国家工商行政管理总局</w:t>
      </w:r>
    </w:p>
    <w:p w14:paraId="65020AB2">
      <w:pPr>
        <w:rPr>
          <w:rFonts w:hint="eastAsia" w:ascii="仿宋" w:hAnsi="仿宋" w:eastAsia="仿宋" w:cs="仿宋"/>
          <w:bCs/>
          <w:color w:val="000000" w:themeColor="text1"/>
          <w:highlight w:val="none"/>
          <w14:textFill>
            <w14:solidFill>
              <w14:schemeClr w14:val="tx1"/>
            </w14:solidFill>
          </w14:textFill>
        </w:rPr>
      </w:pPr>
    </w:p>
    <w:p w14:paraId="7D2D9D5A">
      <w:pPr>
        <w:rPr>
          <w:rFonts w:hint="eastAsia" w:ascii="仿宋" w:hAnsi="仿宋" w:eastAsia="仿宋" w:cs="仿宋"/>
          <w:bCs/>
          <w:color w:val="000000" w:themeColor="text1"/>
          <w:highlight w:val="none"/>
          <w14:textFill>
            <w14:solidFill>
              <w14:schemeClr w14:val="tx1"/>
            </w14:solidFill>
          </w14:textFill>
        </w:rPr>
      </w:pPr>
    </w:p>
    <w:p w14:paraId="62C9F487">
      <w:pPr>
        <w:pStyle w:val="23"/>
        <w:rPr>
          <w:rFonts w:hint="eastAsia" w:ascii="仿宋" w:hAnsi="仿宋" w:eastAsia="仿宋" w:cs="仿宋"/>
          <w:color w:val="000000" w:themeColor="text1"/>
          <w:highlight w:val="none"/>
          <w14:textFill>
            <w14:solidFill>
              <w14:schemeClr w14:val="tx1"/>
            </w14:solidFill>
          </w14:textFill>
        </w:rPr>
      </w:pPr>
    </w:p>
    <w:p w14:paraId="60718D09">
      <w:pPr>
        <w:pStyle w:val="18"/>
        <w:rPr>
          <w:rFonts w:hint="eastAsia" w:ascii="仿宋" w:hAnsi="仿宋" w:eastAsia="仿宋" w:cs="仿宋"/>
          <w:color w:val="000000" w:themeColor="text1"/>
          <w:highlight w:val="none"/>
          <w14:textFill>
            <w14:solidFill>
              <w14:schemeClr w14:val="tx1"/>
            </w14:solidFill>
          </w14:textFill>
        </w:rPr>
      </w:pPr>
    </w:p>
    <w:p w14:paraId="051F090C">
      <w:pPr>
        <w:pStyle w:val="18"/>
        <w:rPr>
          <w:rFonts w:hint="eastAsia" w:ascii="仿宋" w:hAnsi="仿宋" w:eastAsia="仿宋" w:cs="仿宋"/>
          <w:color w:val="000000" w:themeColor="text1"/>
          <w:highlight w:val="none"/>
          <w14:textFill>
            <w14:solidFill>
              <w14:schemeClr w14:val="tx1"/>
            </w14:solidFill>
          </w14:textFill>
        </w:rPr>
      </w:pPr>
    </w:p>
    <w:p w14:paraId="6A70454D">
      <w:pPr>
        <w:pStyle w:val="18"/>
        <w:rPr>
          <w:rFonts w:hint="eastAsia" w:ascii="仿宋" w:hAnsi="仿宋" w:eastAsia="仿宋" w:cs="仿宋"/>
          <w:color w:val="000000" w:themeColor="text1"/>
          <w:highlight w:val="none"/>
          <w14:textFill>
            <w14:solidFill>
              <w14:schemeClr w14:val="tx1"/>
            </w14:solidFill>
          </w14:textFill>
        </w:rPr>
      </w:pPr>
    </w:p>
    <w:p w14:paraId="7D1FC505">
      <w:pPr>
        <w:widowControl w:val="0"/>
        <w:kinsoku/>
        <w:spacing w:line="500" w:lineRule="exact"/>
        <w:ind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50" w:name="_Toc351203632"/>
      <w:r>
        <w:rPr>
          <w:rFonts w:hint="eastAsia" w:ascii="仿宋" w:hAnsi="仿宋" w:eastAsia="仿宋" w:cs="仿宋"/>
          <w:color w:val="000000" w:themeColor="text1"/>
          <w:sz w:val="24"/>
          <w:szCs w:val="24"/>
          <w:highlight w:val="none"/>
          <w14:textFill>
            <w14:solidFill>
              <w14:schemeClr w14:val="tx1"/>
            </w14:solidFill>
          </w14:textFill>
        </w:rPr>
        <w:br w:type="page"/>
      </w:r>
      <w:bookmarkEnd w:id="50"/>
    </w:p>
    <w:p w14:paraId="0CA1CD0E">
      <w:pPr>
        <w:widowControl w:val="0"/>
        <w:kinsoku/>
        <w:spacing w:line="500" w:lineRule="exact"/>
        <w:ind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p w14:paraId="6BD5235A">
      <w:pPr>
        <w:keepNext w:val="0"/>
        <w:keepLines w:val="0"/>
        <w:pageBreakBefore w:val="0"/>
        <w:widowControl w:val="0"/>
        <w:kinsoku/>
        <w:wordWrap/>
        <w:overflowPunct/>
        <w:topLinePunct w:val="0"/>
        <w:autoSpaceDE/>
        <w:autoSpaceDN/>
        <w:bidi w:val="0"/>
        <w:snapToGrid/>
        <w:spacing w:line="360" w:lineRule="auto"/>
        <w:ind w:left="0" w:leftChars="0" w:right="0" w:rightChars="0"/>
        <w:jc w:val="center"/>
        <w:outlineLvl w:val="1"/>
        <w:rPr>
          <w:rFonts w:hint="eastAsia" w:ascii="仿宋" w:hAnsi="仿宋" w:eastAsia="仿宋" w:cs="仿宋"/>
          <w:color w:val="000000" w:themeColor="text1"/>
          <w:sz w:val="28"/>
          <w:szCs w:val="28"/>
          <w:highlight w:val="none"/>
          <w14:textFill>
            <w14:solidFill>
              <w14:schemeClr w14:val="tx1"/>
            </w14:solidFill>
          </w14:textFill>
        </w:rPr>
      </w:pPr>
      <w:bookmarkStart w:id="51" w:name="bookmark100"/>
      <w:bookmarkEnd w:id="51"/>
      <w:bookmarkStart w:id="52" w:name="_Toc14961"/>
      <w:r>
        <w:rPr>
          <w:rFonts w:hint="eastAsia" w:ascii="仿宋" w:hAnsi="仿宋" w:eastAsia="仿宋" w:cs="仿宋"/>
          <w:b/>
          <w:bCs/>
          <w:color w:val="000000" w:themeColor="text1"/>
          <w:spacing w:val="-3"/>
          <w:sz w:val="28"/>
          <w:szCs w:val="28"/>
          <w:highlight w:val="none"/>
          <w14:textFill>
            <w14:solidFill>
              <w14:schemeClr w14:val="tx1"/>
            </w14:solidFill>
          </w14:textFill>
        </w:rPr>
        <w:t>第一部分合同协议书</w:t>
      </w:r>
      <w:bookmarkEnd w:id="52"/>
    </w:p>
    <w:p w14:paraId="3D92E88A">
      <w:pPr>
        <w:keepNext w:val="0"/>
        <w:keepLines w:val="0"/>
        <w:pageBreakBefore w:val="0"/>
        <w:widowControl w:val="0"/>
        <w:kinsoku/>
        <w:wordWrap/>
        <w:overflowPunct/>
        <w:topLinePunct w:val="0"/>
        <w:autoSpaceDE/>
        <w:autoSpaceDN/>
        <w:bidi w:val="0"/>
        <w:snapToGrid/>
        <w:spacing w:line="360" w:lineRule="auto"/>
        <w:ind w:left="0" w:leftChars="0" w:right="0" w:rightChars="0" w:firstLine="4"/>
        <w:rPr>
          <w:rFonts w:hint="eastAsia" w:ascii="仿宋" w:hAnsi="仿宋" w:eastAsia="仿宋" w:cs="仿宋"/>
          <w:b/>
          <w:bCs/>
          <w:color w:val="000000" w:themeColor="text1"/>
          <w:spacing w:val="-8"/>
          <w:sz w:val="24"/>
          <w:szCs w:val="24"/>
          <w:highlight w:val="none"/>
          <w14:textFill>
            <w14:solidFill>
              <w14:schemeClr w14:val="tx1"/>
            </w14:solidFill>
          </w14:textFill>
        </w:rPr>
      </w:pPr>
    </w:p>
    <w:p w14:paraId="549C887E">
      <w:pPr>
        <w:keepNext w:val="0"/>
        <w:keepLines w:val="0"/>
        <w:pageBreakBefore w:val="0"/>
        <w:widowControl w:val="0"/>
        <w:kinsoku/>
        <w:wordWrap/>
        <w:overflowPunct/>
        <w:topLinePunct w:val="0"/>
        <w:autoSpaceDE/>
        <w:autoSpaceDN/>
        <w:bidi w:val="0"/>
        <w:snapToGrid/>
        <w:spacing w:line="360" w:lineRule="auto"/>
        <w:ind w:left="0" w:leftChars="0" w:right="0" w:rightChars="0" w:firstLine="4"/>
        <w:rPr>
          <w:rFonts w:hint="eastAsia" w:ascii="仿宋" w:hAnsi="仿宋" w:eastAsia="仿宋" w:cs="仿宋"/>
          <w:color w:val="000000" w:themeColor="text1"/>
          <w:spacing w:val="-1"/>
          <w:sz w:val="24"/>
          <w:szCs w:val="24"/>
          <w:highlight w:val="none"/>
          <w:u w:val="single"/>
          <w:lang w:eastAsia="zh-CN"/>
          <w14:textFill>
            <w14:solidFill>
              <w14:schemeClr w14:val="tx1"/>
            </w14:solidFill>
          </w14:textFill>
        </w:rPr>
      </w:pPr>
      <w:r>
        <w:rPr>
          <w:rFonts w:hint="eastAsia" w:ascii="仿宋" w:hAnsi="仿宋" w:eastAsia="仿宋" w:cs="仿宋"/>
          <w:b/>
          <w:bCs/>
          <w:color w:val="000000" w:themeColor="text1"/>
          <w:spacing w:val="-8"/>
          <w:sz w:val="24"/>
          <w:szCs w:val="24"/>
          <w:highlight w:val="none"/>
          <w14:textFill>
            <w14:solidFill>
              <w14:schemeClr w14:val="tx1"/>
            </w14:solidFill>
          </w14:textFill>
        </w:rPr>
        <w:t>发包人（全称</w:t>
      </w:r>
      <w:r>
        <w:rPr>
          <w:rFonts w:hint="eastAsia" w:ascii="仿宋" w:hAnsi="仿宋" w:eastAsia="仿宋" w:cs="仿宋"/>
          <w:b/>
          <w:bCs/>
          <w:color w:val="000000" w:themeColor="text1"/>
          <w:spacing w:val="-17"/>
          <w:sz w:val="24"/>
          <w:szCs w:val="24"/>
          <w:highlight w:val="none"/>
          <w14:textFill>
            <w14:solidFill>
              <w14:schemeClr w14:val="tx1"/>
            </w14:solidFill>
          </w14:textFill>
        </w:rPr>
        <w:t>）：</w:t>
      </w:r>
      <w:r>
        <w:rPr>
          <w:rFonts w:hint="eastAsia" w:ascii="仿宋" w:hAnsi="仿宋" w:eastAsia="仿宋" w:cs="仿宋"/>
          <w:color w:val="000000" w:themeColor="text1"/>
          <w:spacing w:val="-11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28"/>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lang w:eastAsia="zh-CN"/>
          <w14:textFill>
            <w14:solidFill>
              <w14:schemeClr w14:val="tx1"/>
            </w14:solidFill>
          </w14:textFill>
        </w:rPr>
        <w:t>新疆维吾尔自治区环境保护科学研究院</w:t>
      </w:r>
    </w:p>
    <w:p w14:paraId="7C610FAF">
      <w:pPr>
        <w:keepNext w:val="0"/>
        <w:keepLines w:val="0"/>
        <w:pageBreakBefore w:val="0"/>
        <w:widowControl w:val="0"/>
        <w:kinsoku/>
        <w:wordWrap/>
        <w:overflowPunct/>
        <w:topLinePunct w:val="0"/>
        <w:autoSpaceDE/>
        <w:autoSpaceDN/>
        <w:bidi w:val="0"/>
        <w:snapToGrid/>
        <w:spacing w:line="360" w:lineRule="auto"/>
        <w:ind w:left="0" w:leftChars="0" w:right="0" w:rightChars="0" w:firstLine="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pacing w:val="-24"/>
          <w:sz w:val="24"/>
          <w:szCs w:val="24"/>
          <w:highlight w:val="none"/>
          <w14:textFill>
            <w14:solidFill>
              <w14:schemeClr w14:val="tx1"/>
            </w14:solidFill>
          </w14:textFill>
        </w:rPr>
        <w:t>承包人（全称</w:t>
      </w:r>
      <w:r>
        <w:rPr>
          <w:rFonts w:hint="eastAsia" w:ascii="仿宋" w:hAnsi="仿宋" w:eastAsia="仿宋" w:cs="仿宋"/>
          <w:b/>
          <w:bCs/>
          <w:color w:val="000000" w:themeColor="text1"/>
          <w:spacing w:val="-22"/>
          <w:sz w:val="24"/>
          <w:szCs w:val="24"/>
          <w:highlight w:val="none"/>
          <w14:textFill>
            <w14:solidFill>
              <w14:schemeClr w14:val="tx1"/>
            </w14:solidFill>
          </w14:textFill>
        </w:rPr>
        <w:t>）：</w:t>
      </w:r>
      <w:r>
        <w:rPr>
          <w:rFonts w:hint="eastAsia" w:ascii="仿宋" w:hAnsi="仿宋" w:eastAsia="仿宋" w:cs="仿宋"/>
          <w:color w:val="000000" w:themeColor="text1"/>
          <w:spacing w:val="-118"/>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5CD86342">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6"/>
          <w:sz w:val="24"/>
          <w:szCs w:val="24"/>
          <w:highlight w:val="none"/>
          <w14:textFill>
            <w14:solidFill>
              <w14:schemeClr w14:val="tx1"/>
            </w14:solidFill>
          </w14:textFill>
        </w:rPr>
        <w:t>根据《中华人民共和国民法典》、《中华人民共和国建筑法》及有关法律规定，</w:t>
      </w:r>
      <w:r>
        <w:rPr>
          <w:rFonts w:hint="eastAsia" w:ascii="仿宋" w:hAnsi="仿宋" w:eastAsia="仿宋" w:cs="仿宋"/>
          <w:color w:val="000000" w:themeColor="text1"/>
          <w:spacing w:val="-2"/>
          <w:sz w:val="24"/>
          <w:szCs w:val="24"/>
          <w:highlight w:val="none"/>
          <w14:textFill>
            <w14:solidFill>
              <w14:schemeClr w14:val="tx1"/>
            </w14:solidFill>
          </w14:textFill>
        </w:rPr>
        <w:t>遵循平等、自愿、公平和诚实信用的原则，双方就</w:t>
      </w:r>
      <w:r>
        <w:rPr>
          <w:rFonts w:hint="eastAsia" w:ascii="仿宋" w:hAnsi="仿宋" w:eastAsia="仿宋" w:cs="仿宋"/>
          <w:color w:val="000000" w:themeColor="text1"/>
          <w:spacing w:val="-2"/>
          <w:sz w:val="24"/>
          <w:szCs w:val="24"/>
          <w:highlight w:val="none"/>
          <w:u w:val="single"/>
          <w:lang w:val="en-US" w:eastAsia="zh-CN"/>
          <w14:textFill>
            <w14:solidFill>
              <w14:schemeClr w14:val="tx1"/>
            </w14:solidFill>
          </w14:textFill>
        </w:rPr>
        <w:t>国家环境保护准噶尔荒漠绿洲交错区科学观测研究站围栏建设工程</w:t>
      </w:r>
      <w:r>
        <w:rPr>
          <w:rFonts w:hint="eastAsia" w:ascii="仿宋" w:hAnsi="仿宋" w:eastAsia="仿宋" w:cs="仿宋"/>
          <w:color w:val="000000" w:themeColor="text1"/>
          <w:spacing w:val="-2"/>
          <w:sz w:val="24"/>
          <w:szCs w:val="24"/>
          <w:highlight w:val="none"/>
          <w14:textFill>
            <w14:solidFill>
              <w14:schemeClr w14:val="tx1"/>
            </w14:solidFill>
          </w14:textFill>
        </w:rPr>
        <w:t>工程施工及有关事项协商一致，共同达成如</w:t>
      </w:r>
      <w:r>
        <w:rPr>
          <w:rFonts w:hint="eastAsia" w:ascii="仿宋" w:hAnsi="仿宋" w:eastAsia="仿宋" w:cs="仿宋"/>
          <w:color w:val="000000" w:themeColor="text1"/>
          <w:spacing w:val="-3"/>
          <w:sz w:val="24"/>
          <w:szCs w:val="24"/>
          <w:highlight w:val="none"/>
          <w14:textFill>
            <w14:solidFill>
              <w14:schemeClr w14:val="tx1"/>
            </w14:solidFill>
          </w14:textFill>
        </w:rPr>
        <w:t>下协议：</w:t>
      </w:r>
    </w:p>
    <w:p w14:paraId="38E9510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60" w:firstLineChars="200"/>
        <w:textAlignment w:val="auto"/>
        <w:outlineLvl w:val="2"/>
        <w:rPr>
          <w:rFonts w:hint="eastAsia" w:ascii="仿宋" w:hAnsi="仿宋" w:eastAsia="仿宋" w:cs="仿宋"/>
          <w:color w:val="000000" w:themeColor="text1"/>
          <w:sz w:val="24"/>
          <w:szCs w:val="24"/>
          <w:highlight w:val="none"/>
          <w14:textFill>
            <w14:solidFill>
              <w14:schemeClr w14:val="tx1"/>
            </w14:solidFill>
          </w14:textFill>
        </w:rPr>
      </w:pPr>
      <w:bookmarkStart w:id="53" w:name="bookmark101"/>
      <w:bookmarkEnd w:id="53"/>
      <w:bookmarkStart w:id="54" w:name="_Toc28385"/>
      <w:r>
        <w:rPr>
          <w:rFonts w:hint="eastAsia" w:ascii="仿宋" w:hAnsi="仿宋" w:eastAsia="仿宋" w:cs="仿宋"/>
          <w:color w:val="000000" w:themeColor="text1"/>
          <w:spacing w:val="-5"/>
          <w:sz w:val="24"/>
          <w:szCs w:val="24"/>
          <w:highlight w:val="none"/>
          <w14:textFill>
            <w14:solidFill>
              <w14:schemeClr w14:val="tx1"/>
            </w14:solidFill>
          </w14:textFill>
        </w:rPr>
        <w:t>一、工程概况</w:t>
      </w:r>
      <w:bookmarkEnd w:id="54"/>
    </w:p>
    <w:p w14:paraId="52A2A4D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72" w:firstLineChars="200"/>
        <w:textAlignment w:val="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1.工程名称：</w:t>
      </w:r>
      <w:r>
        <w:rPr>
          <w:rFonts w:hint="eastAsia" w:ascii="仿宋" w:hAnsi="仿宋" w:eastAsia="仿宋" w:cs="仿宋"/>
          <w:color w:val="000000" w:themeColor="text1"/>
          <w:spacing w:val="-2"/>
          <w:sz w:val="24"/>
          <w:szCs w:val="24"/>
          <w:highlight w:val="none"/>
          <w:u w:val="single"/>
          <w:lang w:val="en-US" w:eastAsia="zh-CN"/>
          <w14:textFill>
            <w14:solidFill>
              <w14:schemeClr w14:val="tx1"/>
            </w14:solidFill>
          </w14:textFill>
        </w:rPr>
        <w:t>国家环境保护准噶尔荒漠绿洲交错区科学观测研究站围栏建设工程</w:t>
      </w:r>
    </w:p>
    <w:p w14:paraId="1C6E67E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76"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2.工程地点：</w:t>
      </w:r>
      <w:r>
        <w:rPr>
          <w:rFonts w:hint="eastAsia" w:ascii="仿宋" w:hAnsi="仿宋" w:eastAsia="仿宋" w:cs="仿宋"/>
          <w:color w:val="000000" w:themeColor="text1"/>
          <w:spacing w:val="-1"/>
          <w:sz w:val="24"/>
          <w:szCs w:val="24"/>
          <w:highlight w:val="none"/>
          <w:u w:val="single"/>
          <w:lang w:eastAsia="zh-CN"/>
          <w14:textFill>
            <w14:solidFill>
              <w14:schemeClr w14:val="tx1"/>
            </w14:solidFill>
          </w14:textFill>
        </w:rPr>
        <w:t>兵团</w:t>
      </w:r>
      <w:r>
        <w:rPr>
          <w:rFonts w:hint="eastAsia" w:ascii="仿宋" w:hAnsi="仿宋" w:eastAsia="仿宋" w:cs="仿宋"/>
          <w:color w:val="000000" w:themeColor="text1"/>
          <w:spacing w:val="-1"/>
          <w:sz w:val="24"/>
          <w:szCs w:val="24"/>
          <w:highlight w:val="none"/>
          <w:u w:val="single"/>
          <w:lang w:val="en-US" w:eastAsia="zh-CN"/>
          <w14:textFill>
            <w14:solidFill>
              <w14:schemeClr w14:val="tx1"/>
            </w14:solidFill>
          </w14:textFill>
        </w:rPr>
        <w:t>第</w:t>
      </w:r>
      <w:r>
        <w:rPr>
          <w:rFonts w:hint="eastAsia" w:ascii="仿宋" w:hAnsi="仿宋" w:eastAsia="仿宋" w:cs="仿宋"/>
          <w:color w:val="000000" w:themeColor="text1"/>
          <w:spacing w:val="-1"/>
          <w:sz w:val="24"/>
          <w:szCs w:val="24"/>
          <w:highlight w:val="none"/>
          <w:u w:val="single"/>
          <w:lang w:eastAsia="zh-CN"/>
          <w14:textFill>
            <w14:solidFill>
              <w14:schemeClr w14:val="tx1"/>
            </w14:solidFill>
          </w14:textFill>
        </w:rPr>
        <w:t>六师103团9连</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17CBD1D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76"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3.工程立项批准文号：</w:t>
      </w:r>
      <w:r>
        <w:rPr>
          <w:rFonts w:hint="eastAsia" w:ascii="仿宋" w:hAnsi="仿宋" w:eastAsia="仿宋" w:cs="仿宋"/>
          <w:color w:val="000000" w:themeColor="text1"/>
          <w:spacing w:val="-1"/>
          <w:sz w:val="24"/>
          <w:szCs w:val="24"/>
          <w:highlight w:val="none"/>
          <w:u w:val="single"/>
          <w:lang w:val="en-US" w:eastAsia="zh-CN"/>
          <w14:textFill>
            <w14:solidFill>
              <w14:schemeClr w14:val="tx1"/>
            </w14:solidFill>
          </w14:textFill>
        </w:rPr>
        <w:t>新发改批复[2025]18号</w:t>
      </w:r>
      <w:r>
        <w:rPr>
          <w:rFonts w:hint="eastAsia" w:ascii="仿宋" w:hAnsi="仿宋" w:eastAsia="仿宋" w:cs="仿宋"/>
          <w:color w:val="000000" w:themeColor="text1"/>
          <w:spacing w:val="-2"/>
          <w:sz w:val="24"/>
          <w:szCs w:val="24"/>
          <w:highlight w:val="none"/>
          <w14:textFill>
            <w14:solidFill>
              <w14:schemeClr w14:val="tx1"/>
            </w14:solidFill>
          </w14:textFill>
        </w:rPr>
        <w:t>。</w:t>
      </w:r>
    </w:p>
    <w:p w14:paraId="12AD2A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76" w:firstLineChars="200"/>
        <w:textAlignment w:val="auto"/>
        <w:rPr>
          <w:rFonts w:hint="eastAsia" w:ascii="仿宋" w:hAnsi="仿宋" w:eastAsia="仿宋" w:cs="仿宋"/>
          <w:color w:val="000000" w:themeColor="text1"/>
          <w:spacing w:val="-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4.资金来源：</w:t>
      </w:r>
      <w:r>
        <w:rPr>
          <w:rFonts w:hint="eastAsia" w:ascii="仿宋" w:hAnsi="仿宋" w:eastAsia="仿宋" w:cs="仿宋"/>
          <w:color w:val="000000" w:themeColor="text1"/>
          <w:spacing w:val="-1"/>
          <w:sz w:val="24"/>
          <w:szCs w:val="24"/>
          <w:highlight w:val="none"/>
          <w:u w:val="single"/>
          <w:lang w:val="en-US" w:eastAsia="zh-CN"/>
          <w14:textFill>
            <w14:solidFill>
              <w14:schemeClr w14:val="tx1"/>
            </w14:solidFill>
          </w14:textFill>
        </w:rPr>
        <w:t>自治区财政专项资金</w:t>
      </w:r>
      <w:r>
        <w:rPr>
          <w:rFonts w:hint="eastAsia" w:ascii="仿宋" w:hAnsi="仿宋" w:eastAsia="仿宋" w:cs="仿宋"/>
          <w:color w:val="000000" w:themeColor="text1"/>
          <w:spacing w:val="-1"/>
          <w:sz w:val="24"/>
          <w:szCs w:val="24"/>
          <w:highlight w:val="none"/>
          <w:u w:val="single"/>
          <w14:textFill>
            <w14:solidFill>
              <w14:schemeClr w14:val="tx1"/>
            </w14:solidFill>
          </w14:textFill>
        </w:rPr>
        <w:t>。</w:t>
      </w:r>
    </w:p>
    <w:p w14:paraId="1D5FB46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8" w:firstLineChars="200"/>
        <w:textAlignment w:val="auto"/>
        <w:rPr>
          <w:rFonts w:hint="eastAsia" w:ascii="仿宋" w:hAnsi="仿宋" w:eastAsia="仿宋" w:cs="仿宋"/>
          <w:color w:val="000000" w:themeColor="text1"/>
          <w:spacing w:val="-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5.工程内容：</w:t>
      </w:r>
      <w:r>
        <w:rPr>
          <w:rFonts w:hint="eastAsia" w:ascii="仿宋" w:hAnsi="仿宋" w:eastAsia="仿宋" w:cs="仿宋"/>
          <w:color w:val="000000" w:themeColor="text1"/>
          <w:spacing w:val="-1"/>
          <w:sz w:val="24"/>
          <w:szCs w:val="24"/>
          <w:highlight w:val="none"/>
          <w:u w:val="single"/>
          <w:lang w:val="en-US" w:eastAsia="zh-CN"/>
          <w14:textFill>
            <w14:solidFill>
              <w14:schemeClr w14:val="tx1"/>
            </w14:solidFill>
          </w14:textFill>
        </w:rPr>
        <w:t>新建铁艺围栏总长11.5公里，配套安装1座大门、10台监控设备等相关附属设施。。</w:t>
      </w:r>
    </w:p>
    <w:p w14:paraId="2EB6A79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36"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1"/>
          <w:sz w:val="24"/>
          <w:szCs w:val="24"/>
          <w:highlight w:val="none"/>
          <w14:textFill>
            <w14:solidFill>
              <w14:schemeClr w14:val="tx1"/>
            </w14:solidFill>
          </w14:textFill>
        </w:rPr>
        <w:t>群体工程应附《承包人承揽工程项目一览表》（附件</w:t>
      </w:r>
      <w:r>
        <w:rPr>
          <w:rFonts w:hint="eastAsia" w:ascii="仿宋" w:hAnsi="仿宋" w:eastAsia="仿宋" w:cs="仿宋"/>
          <w:color w:val="000000" w:themeColor="text1"/>
          <w:spacing w:val="-2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1"/>
          <w:sz w:val="24"/>
          <w:szCs w:val="24"/>
          <w:highlight w:val="none"/>
          <w14:textFill>
            <w14:solidFill>
              <w14:schemeClr w14:val="tx1"/>
            </w14:solidFill>
          </w14:textFill>
        </w:rPr>
        <w:t>1）。</w:t>
      </w:r>
    </w:p>
    <w:p w14:paraId="7640594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72" w:firstLineChars="200"/>
        <w:textAlignment w:val="auto"/>
        <w:rPr>
          <w:rFonts w:hint="eastAsia" w:ascii="仿宋" w:hAnsi="仿宋" w:eastAsia="仿宋" w:cs="仿宋"/>
          <w:color w:val="000000" w:themeColor="text1"/>
          <w:spacing w:val="-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6.工程承包范围：</w:t>
      </w:r>
      <w:r>
        <w:rPr>
          <w:rFonts w:hint="eastAsia" w:ascii="仿宋" w:hAnsi="仿宋" w:eastAsia="仿宋" w:cs="仿宋"/>
          <w:color w:val="000000" w:themeColor="text1"/>
          <w:spacing w:val="-1"/>
          <w:sz w:val="24"/>
          <w:szCs w:val="24"/>
          <w:highlight w:val="none"/>
          <w:u w:val="single"/>
          <w:lang w:val="en-US" w:eastAsia="zh-CN"/>
          <w14:textFill>
            <w14:solidFill>
              <w14:schemeClr w14:val="tx1"/>
            </w14:solidFill>
          </w14:textFill>
        </w:rPr>
        <w:t>施工图纸全部内容及工程量清单中的所有内容（包括招标文件、设计变更、设计说明、澄清、答疑及招标文件补充等内容）。</w:t>
      </w:r>
    </w:p>
    <w:p w14:paraId="690FFF6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68" w:firstLineChars="200"/>
        <w:textAlignment w:val="auto"/>
        <w:outlineLvl w:val="2"/>
        <w:rPr>
          <w:rFonts w:hint="eastAsia" w:ascii="仿宋" w:hAnsi="仿宋" w:eastAsia="仿宋" w:cs="仿宋"/>
          <w:color w:val="000000" w:themeColor="text1"/>
          <w:sz w:val="24"/>
          <w:szCs w:val="24"/>
          <w:highlight w:val="none"/>
          <w14:textFill>
            <w14:solidFill>
              <w14:schemeClr w14:val="tx1"/>
            </w14:solidFill>
          </w14:textFill>
        </w:rPr>
      </w:pPr>
      <w:bookmarkStart w:id="55" w:name="bookmark102"/>
      <w:bookmarkEnd w:id="55"/>
      <w:bookmarkStart w:id="56" w:name="_Toc27653"/>
      <w:r>
        <w:rPr>
          <w:rFonts w:hint="eastAsia" w:ascii="仿宋" w:hAnsi="仿宋" w:eastAsia="仿宋" w:cs="仿宋"/>
          <w:color w:val="000000" w:themeColor="text1"/>
          <w:spacing w:val="-3"/>
          <w:sz w:val="24"/>
          <w:szCs w:val="24"/>
          <w:highlight w:val="none"/>
          <w14:textFill>
            <w14:solidFill>
              <w14:schemeClr w14:val="tx1"/>
            </w14:solidFill>
          </w14:textFill>
        </w:rPr>
        <w:t>二、合同工期</w:t>
      </w:r>
      <w:bookmarkEnd w:id="56"/>
    </w:p>
    <w:p w14:paraId="3F4356D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8"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8"/>
          <w:sz w:val="24"/>
          <w:szCs w:val="24"/>
          <w:highlight w:val="none"/>
          <w14:textFill>
            <w14:solidFill>
              <w14:schemeClr w14:val="tx1"/>
            </w14:solidFill>
          </w14:textFill>
        </w:rPr>
        <w:t>计划开工日期：</w:t>
      </w:r>
      <w:r>
        <w:rPr>
          <w:rFonts w:hint="eastAsia" w:ascii="仿宋" w:hAnsi="仿宋" w:eastAsia="仿宋" w:cs="仿宋"/>
          <w:color w:val="000000" w:themeColor="text1"/>
          <w:spacing w:val="-8"/>
          <w:sz w:val="24"/>
          <w:szCs w:val="24"/>
          <w:highlight w:val="none"/>
          <w:u w:val="single"/>
          <w14:textFill>
            <w14:solidFill>
              <w14:schemeClr w14:val="tx1"/>
            </w14:solidFill>
          </w14:textFill>
        </w:rPr>
        <w:t>202</w:t>
      </w:r>
      <w:r>
        <w:rPr>
          <w:rFonts w:hint="eastAsia" w:ascii="仿宋" w:hAnsi="仿宋" w:eastAsia="仿宋" w:cs="仿宋"/>
          <w:color w:val="000000" w:themeColor="text1"/>
          <w:spacing w:val="-8"/>
          <w:sz w:val="24"/>
          <w:szCs w:val="24"/>
          <w:highlight w:val="none"/>
          <w:u w:val="single"/>
          <w:lang w:val="en-US" w:eastAsia="zh-CN"/>
          <w14:textFill>
            <w14:solidFill>
              <w14:schemeClr w14:val="tx1"/>
            </w14:solidFill>
          </w14:textFill>
        </w:rPr>
        <w:t>6</w:t>
      </w:r>
      <w:r>
        <w:rPr>
          <w:rFonts w:hint="eastAsia" w:ascii="仿宋" w:hAnsi="仿宋" w:eastAsia="仿宋" w:cs="仿宋"/>
          <w:color w:val="000000" w:themeColor="text1"/>
          <w:spacing w:val="-4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14:textFill>
            <w14:solidFill>
              <w14:schemeClr w14:val="tx1"/>
            </w14:solidFill>
          </w14:textFill>
        </w:rPr>
        <w:t>年</w:t>
      </w:r>
      <w:r>
        <w:rPr>
          <w:rFonts w:hint="eastAsia" w:ascii="仿宋" w:hAnsi="仿宋" w:eastAsia="仿宋" w:cs="仿宋"/>
          <w:color w:val="000000" w:themeColor="text1"/>
          <w:spacing w:val="-6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14:textFill>
            <w14:solidFill>
              <w14:schemeClr w14:val="tx1"/>
            </w14:solidFill>
          </w14:textFill>
        </w:rPr>
        <w:t>月</w:t>
      </w:r>
      <w:r>
        <w:rPr>
          <w:rFonts w:hint="eastAsia" w:ascii="仿宋" w:hAnsi="仿宋" w:eastAsia="仿宋" w:cs="仿宋"/>
          <w:color w:val="000000" w:themeColor="text1"/>
          <w:spacing w:val="-8"/>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14:textFill>
            <w14:solidFill>
              <w14:schemeClr w14:val="tx1"/>
            </w14:solidFill>
          </w14:textFill>
        </w:rPr>
        <w:t>日。</w:t>
      </w:r>
    </w:p>
    <w:p w14:paraId="229F86A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8"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8"/>
          <w:sz w:val="24"/>
          <w:szCs w:val="24"/>
          <w:highlight w:val="none"/>
          <w14:textFill>
            <w14:solidFill>
              <w14:schemeClr w14:val="tx1"/>
            </w14:solidFill>
          </w14:textFill>
        </w:rPr>
        <w:t>计划竣工日期：</w:t>
      </w:r>
      <w:r>
        <w:rPr>
          <w:rFonts w:hint="eastAsia" w:ascii="仿宋" w:hAnsi="仿宋" w:eastAsia="仿宋" w:cs="仿宋"/>
          <w:color w:val="000000" w:themeColor="text1"/>
          <w:spacing w:val="-8"/>
          <w:sz w:val="24"/>
          <w:szCs w:val="24"/>
          <w:highlight w:val="none"/>
          <w:u w:val="single"/>
          <w14:textFill>
            <w14:solidFill>
              <w14:schemeClr w14:val="tx1"/>
            </w14:solidFill>
          </w14:textFill>
        </w:rPr>
        <w:t>202</w:t>
      </w:r>
      <w:r>
        <w:rPr>
          <w:rFonts w:hint="eastAsia" w:ascii="仿宋" w:hAnsi="仿宋" w:eastAsia="仿宋" w:cs="仿宋"/>
          <w:color w:val="000000" w:themeColor="text1"/>
          <w:spacing w:val="-8"/>
          <w:sz w:val="24"/>
          <w:szCs w:val="24"/>
          <w:highlight w:val="none"/>
          <w:u w:val="single"/>
          <w:lang w:val="en-US" w:eastAsia="zh-CN"/>
          <w14:textFill>
            <w14:solidFill>
              <w14:schemeClr w14:val="tx1"/>
            </w14:solidFill>
          </w14:textFill>
        </w:rPr>
        <w:t>6</w:t>
      </w:r>
      <w:r>
        <w:rPr>
          <w:rFonts w:hint="eastAsia" w:ascii="仿宋" w:hAnsi="仿宋" w:eastAsia="仿宋" w:cs="仿宋"/>
          <w:color w:val="000000" w:themeColor="text1"/>
          <w:spacing w:val="-8"/>
          <w:sz w:val="24"/>
          <w:szCs w:val="24"/>
          <w:highlight w:val="none"/>
          <w14:textFill>
            <w14:solidFill>
              <w14:schemeClr w14:val="tx1"/>
            </w14:solidFill>
          </w14:textFill>
        </w:rPr>
        <w:t>年</w:t>
      </w:r>
      <w:r>
        <w:rPr>
          <w:rFonts w:hint="eastAsia" w:ascii="仿宋" w:hAnsi="仿宋" w:eastAsia="仿宋" w:cs="仿宋"/>
          <w:color w:val="000000" w:themeColor="text1"/>
          <w:spacing w:val="-6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14:textFill>
            <w14:solidFill>
              <w14:schemeClr w14:val="tx1"/>
            </w14:solidFill>
          </w14:textFill>
        </w:rPr>
        <w:t>月</w:t>
      </w:r>
      <w:r>
        <w:rPr>
          <w:rFonts w:hint="eastAsia" w:ascii="仿宋" w:hAnsi="仿宋" w:eastAsia="仿宋" w:cs="仿宋"/>
          <w:color w:val="000000" w:themeColor="text1"/>
          <w:spacing w:val="-8"/>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14:textFill>
            <w14:solidFill>
              <w14:schemeClr w14:val="tx1"/>
            </w14:solidFill>
          </w14:textFill>
        </w:rPr>
        <w:t>日。</w:t>
      </w:r>
    </w:p>
    <w:p w14:paraId="0C4F578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4"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工期总日历天数：</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天。工期总日历天数与根据前述计划开竣工</w:t>
      </w:r>
      <w:r>
        <w:rPr>
          <w:rFonts w:hint="eastAsia" w:ascii="仿宋" w:hAnsi="仿宋" w:eastAsia="仿宋" w:cs="仿宋"/>
          <w:color w:val="000000" w:themeColor="text1"/>
          <w:sz w:val="24"/>
          <w:szCs w:val="24"/>
          <w:highlight w:val="none"/>
          <w14:textFill>
            <w14:solidFill>
              <w14:schemeClr w14:val="tx1"/>
            </w14:solidFill>
          </w14:textFill>
        </w:rPr>
        <w:t>日期计算</w:t>
      </w:r>
      <w:bookmarkStart w:id="57" w:name="bookmark103"/>
      <w:bookmarkEnd w:id="57"/>
      <w:r>
        <w:rPr>
          <w:rFonts w:hint="eastAsia" w:ascii="仿宋" w:hAnsi="仿宋" w:eastAsia="仿宋" w:cs="仿宋"/>
          <w:color w:val="000000" w:themeColor="text1"/>
          <w:spacing w:val="-2"/>
          <w:sz w:val="24"/>
          <w:szCs w:val="24"/>
          <w:highlight w:val="none"/>
          <w14:textFill>
            <w14:solidFill>
              <w14:schemeClr w14:val="tx1"/>
            </w14:solidFill>
          </w14:textFill>
        </w:rPr>
        <w:t>的工期天数不一致的，以工期总日历天数为准。</w:t>
      </w:r>
    </w:p>
    <w:p w14:paraId="193DDD14">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outlineLvl w:val="2"/>
        <w:rPr>
          <w:rFonts w:hint="eastAsia" w:ascii="仿宋" w:hAnsi="仿宋" w:eastAsia="仿宋" w:cs="仿宋"/>
          <w:color w:val="000000" w:themeColor="text1"/>
          <w:sz w:val="24"/>
          <w:szCs w:val="24"/>
          <w:highlight w:val="none"/>
          <w14:textFill>
            <w14:solidFill>
              <w14:schemeClr w14:val="tx1"/>
            </w14:solidFill>
          </w14:textFill>
        </w:rPr>
      </w:pPr>
      <w:bookmarkStart w:id="58" w:name="bookmark207"/>
      <w:bookmarkEnd w:id="58"/>
      <w:bookmarkStart w:id="59" w:name="_Toc15979"/>
      <w:r>
        <w:rPr>
          <w:rFonts w:hint="eastAsia" w:ascii="仿宋" w:hAnsi="仿宋" w:eastAsia="仿宋" w:cs="仿宋"/>
          <w:color w:val="000000" w:themeColor="text1"/>
          <w:spacing w:val="-2"/>
          <w:sz w:val="24"/>
          <w:szCs w:val="24"/>
          <w:highlight w:val="none"/>
          <w14:textFill>
            <w14:solidFill>
              <w14:schemeClr w14:val="tx1"/>
            </w14:solidFill>
          </w14:textFill>
        </w:rPr>
        <w:t>三、质量标准</w:t>
      </w:r>
      <w:bookmarkEnd w:id="59"/>
    </w:p>
    <w:p w14:paraId="55096DB6">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工程质量符合</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u w:val="single"/>
          <w14:textFill>
            <w14:solidFill>
              <w14:schemeClr w14:val="tx1"/>
            </w14:solidFill>
          </w14:textFill>
        </w:rPr>
        <w:t xml:space="preserve">合格              </w:t>
      </w:r>
      <w:r>
        <w:rPr>
          <w:rFonts w:hint="eastAsia" w:ascii="仿宋" w:hAnsi="仿宋" w:eastAsia="仿宋" w:cs="仿宋"/>
          <w:color w:val="000000" w:themeColor="text1"/>
          <w:spacing w:val="-11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标准。</w:t>
      </w:r>
    </w:p>
    <w:p w14:paraId="5E6D7A99">
      <w:pPr>
        <w:pStyle w:val="9"/>
        <w:keepNext w:val="0"/>
        <w:keepLines w:val="0"/>
        <w:pageBreakBefore w:val="0"/>
        <w:widowControl w:val="0"/>
        <w:kinsoku/>
        <w:wordWrap/>
        <w:overflowPunct/>
        <w:topLinePunct w:val="0"/>
        <w:autoSpaceDE/>
        <w:autoSpaceDN/>
        <w:bidi w:val="0"/>
        <w:snapToGrid/>
        <w:spacing w:after="0" w:line="360" w:lineRule="auto"/>
        <w:ind w:left="0" w:leftChars="0" w:right="0" w:rightChars="0"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0F245658">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outlineLvl w:val="2"/>
        <w:rPr>
          <w:rFonts w:hint="eastAsia" w:ascii="仿宋" w:hAnsi="仿宋" w:eastAsia="仿宋" w:cs="仿宋"/>
          <w:color w:val="000000" w:themeColor="text1"/>
          <w:sz w:val="24"/>
          <w:szCs w:val="24"/>
          <w:highlight w:val="none"/>
          <w14:textFill>
            <w14:solidFill>
              <w14:schemeClr w14:val="tx1"/>
            </w14:solidFill>
          </w14:textFill>
        </w:rPr>
      </w:pPr>
      <w:bookmarkStart w:id="60" w:name="bookmark104"/>
      <w:bookmarkEnd w:id="60"/>
      <w:bookmarkStart w:id="61" w:name="_Toc24115"/>
      <w:r>
        <w:rPr>
          <w:rFonts w:hint="eastAsia" w:ascii="仿宋" w:hAnsi="仿宋" w:eastAsia="仿宋" w:cs="仿宋"/>
          <w:color w:val="000000" w:themeColor="text1"/>
          <w:spacing w:val="-3"/>
          <w:sz w:val="24"/>
          <w:szCs w:val="24"/>
          <w:highlight w:val="none"/>
          <w14:textFill>
            <w14:solidFill>
              <w14:schemeClr w14:val="tx1"/>
            </w14:solidFill>
          </w14:textFill>
        </w:rPr>
        <w:t>四、签约合同价与合同价格形式</w:t>
      </w:r>
      <w:bookmarkEnd w:id="61"/>
    </w:p>
    <w:p w14:paraId="28BFF5B9">
      <w:pPr>
        <w:keepNext w:val="0"/>
        <w:keepLines w:val="0"/>
        <w:pageBreakBefore w:val="0"/>
        <w:widowControl w:val="0"/>
        <w:kinsoku/>
        <w:wordWrap/>
        <w:overflowPunct/>
        <w:topLinePunct w:val="0"/>
        <w:autoSpaceDE/>
        <w:autoSpaceDN/>
        <w:bidi w:val="0"/>
        <w:snapToGrid/>
        <w:spacing w:line="360" w:lineRule="auto"/>
        <w:ind w:left="0" w:leftChars="0" w:right="0" w:rightChars="0" w:firstLine="464"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1.签约合同价为：</w:t>
      </w:r>
    </w:p>
    <w:p w14:paraId="38412631">
      <w:pPr>
        <w:keepNext w:val="0"/>
        <w:keepLines w:val="0"/>
        <w:pageBreakBefore w:val="0"/>
        <w:widowControl w:val="0"/>
        <w:kinsoku/>
        <w:wordWrap/>
        <w:overflowPunct/>
        <w:topLinePunct w:val="0"/>
        <w:autoSpaceDE/>
        <w:autoSpaceDN/>
        <w:bidi w:val="0"/>
        <w:snapToGrid/>
        <w:spacing w:line="360" w:lineRule="auto"/>
        <w:ind w:left="0" w:leftChars="0" w:right="0" w:rightChars="0" w:firstLine="43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1"/>
          <w:sz w:val="24"/>
          <w:szCs w:val="24"/>
          <w:highlight w:val="none"/>
          <w14:textFill>
            <w14:solidFill>
              <w14:schemeClr w14:val="tx1"/>
            </w14:solidFill>
          </w14:textFill>
        </w:rPr>
        <w:t>人民币（大写）</w:t>
      </w:r>
      <w:r>
        <w:rPr>
          <w:rFonts w:hint="eastAsia" w:ascii="仿宋" w:hAnsi="仿宋" w:eastAsia="仿宋" w:cs="仿宋"/>
          <w:color w:val="000000" w:themeColor="text1"/>
          <w:spacing w:val="-95"/>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7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1"/>
          <w:sz w:val="24"/>
          <w:szCs w:val="24"/>
          <w:highlight w:val="none"/>
          <w14:textFill>
            <w14:solidFill>
              <w14:schemeClr w14:val="tx1"/>
            </w14:solidFill>
          </w14:textFill>
        </w:rPr>
        <w:t>(¥</w:t>
      </w:r>
      <w:r>
        <w:rPr>
          <w:rFonts w:hint="eastAsia" w:ascii="仿宋" w:hAnsi="仿宋" w:eastAsia="仿宋" w:cs="仿宋"/>
          <w:color w:val="000000" w:themeColor="text1"/>
          <w:spacing w:val="-138"/>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2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1"/>
          <w:sz w:val="24"/>
          <w:szCs w:val="24"/>
          <w:highlight w:val="none"/>
          <w14:textFill>
            <w14:solidFill>
              <w14:schemeClr w14:val="tx1"/>
            </w14:solidFill>
          </w14:textFill>
        </w:rPr>
        <w:t>元)；</w:t>
      </w:r>
    </w:p>
    <w:p w14:paraId="7EF8FE3F">
      <w:pPr>
        <w:keepNext w:val="0"/>
        <w:keepLines w:val="0"/>
        <w:pageBreakBefore w:val="0"/>
        <w:widowControl w:val="0"/>
        <w:kinsoku/>
        <w:wordWrap/>
        <w:overflowPunct/>
        <w:topLinePunct w:val="0"/>
        <w:autoSpaceDE/>
        <w:autoSpaceDN/>
        <w:bidi w:val="0"/>
        <w:snapToGrid/>
        <w:spacing w:line="360" w:lineRule="auto"/>
        <w:ind w:left="0" w:leftChars="0" w:right="0" w:rightChars="0" w:firstLine="41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7"/>
          <w:sz w:val="24"/>
          <w:szCs w:val="24"/>
          <w:highlight w:val="none"/>
          <w14:textFill>
            <w14:solidFill>
              <w14:schemeClr w14:val="tx1"/>
            </w14:solidFill>
          </w14:textFill>
        </w:rPr>
        <w:t>其中：</w:t>
      </w:r>
    </w:p>
    <w:p w14:paraId="160BBC8A">
      <w:pPr>
        <w:keepNext w:val="0"/>
        <w:keepLines w:val="0"/>
        <w:pageBreakBefore w:val="0"/>
        <w:widowControl w:val="0"/>
        <w:kinsoku/>
        <w:wordWrap/>
        <w:overflowPunct/>
        <w:topLinePunct w:val="0"/>
        <w:autoSpaceDE/>
        <w:autoSpaceDN/>
        <w:bidi w:val="0"/>
        <w:snapToGrid/>
        <w:spacing w:line="360" w:lineRule="auto"/>
        <w:ind w:left="0" w:leftChars="0" w:right="0" w:rightChars="0" w:firstLine="46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（1）安全文明施工费：</w:t>
      </w:r>
    </w:p>
    <w:p w14:paraId="65862D1E">
      <w:pPr>
        <w:keepNext w:val="0"/>
        <w:keepLines w:val="0"/>
        <w:pageBreakBefore w:val="0"/>
        <w:widowControl w:val="0"/>
        <w:kinsoku/>
        <w:wordWrap/>
        <w:overflowPunct/>
        <w:topLinePunct w:val="0"/>
        <w:autoSpaceDE/>
        <w:autoSpaceDN/>
        <w:bidi w:val="0"/>
        <w:snapToGrid/>
        <w:spacing w:line="360" w:lineRule="auto"/>
        <w:ind w:left="0" w:leftChars="0" w:right="0" w:rightChars="0" w:firstLine="43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1"/>
          <w:sz w:val="24"/>
          <w:szCs w:val="24"/>
          <w:highlight w:val="none"/>
          <w14:textFill>
            <w14:solidFill>
              <w14:schemeClr w14:val="tx1"/>
            </w14:solidFill>
          </w14:textFill>
        </w:rPr>
        <w:t>人民币（大写）</w:t>
      </w:r>
      <w:r>
        <w:rPr>
          <w:rFonts w:hint="eastAsia" w:ascii="仿宋" w:hAnsi="仿宋" w:eastAsia="仿宋" w:cs="仿宋"/>
          <w:color w:val="000000" w:themeColor="text1"/>
          <w:spacing w:val="-94"/>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6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2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1"/>
          <w:sz w:val="24"/>
          <w:szCs w:val="24"/>
          <w:highlight w:val="none"/>
          <w14:textFill>
            <w14:solidFill>
              <w14:schemeClr w14:val="tx1"/>
            </w14:solidFill>
          </w14:textFill>
        </w:rPr>
        <w:t>元)；</w:t>
      </w:r>
    </w:p>
    <w:p w14:paraId="3A1F2625">
      <w:pPr>
        <w:keepNext w:val="0"/>
        <w:keepLines w:val="0"/>
        <w:pageBreakBefore w:val="0"/>
        <w:widowControl w:val="0"/>
        <w:kinsoku/>
        <w:wordWrap/>
        <w:overflowPunct/>
        <w:topLinePunct w:val="0"/>
        <w:autoSpaceDE/>
        <w:autoSpaceDN/>
        <w:bidi w:val="0"/>
        <w:snapToGrid/>
        <w:spacing w:line="360" w:lineRule="auto"/>
        <w:ind w:left="0" w:leftChars="0" w:right="0" w:rightChars="0" w:firstLine="464"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（2）材料和工程设备暂估价金额：</w:t>
      </w:r>
    </w:p>
    <w:p w14:paraId="2467A04F">
      <w:pPr>
        <w:keepNext w:val="0"/>
        <w:keepLines w:val="0"/>
        <w:pageBreakBefore w:val="0"/>
        <w:widowControl w:val="0"/>
        <w:kinsoku/>
        <w:wordWrap/>
        <w:overflowPunct/>
        <w:topLinePunct w:val="0"/>
        <w:autoSpaceDE/>
        <w:autoSpaceDN/>
        <w:bidi w:val="0"/>
        <w:snapToGrid/>
        <w:spacing w:line="360" w:lineRule="auto"/>
        <w:ind w:left="0" w:leftChars="0" w:right="0" w:rightChars="0" w:firstLine="43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1"/>
          <w:sz w:val="24"/>
          <w:szCs w:val="24"/>
          <w:highlight w:val="none"/>
          <w14:textFill>
            <w14:solidFill>
              <w14:schemeClr w14:val="tx1"/>
            </w14:solidFill>
          </w14:textFill>
        </w:rPr>
        <w:t>人民币（大写）</w:t>
      </w:r>
      <w:r>
        <w:rPr>
          <w:rFonts w:hint="eastAsia" w:ascii="仿宋" w:hAnsi="仿宋" w:eastAsia="仿宋" w:cs="仿宋"/>
          <w:color w:val="000000" w:themeColor="text1"/>
          <w:spacing w:val="-94"/>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6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2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1"/>
          <w:sz w:val="24"/>
          <w:szCs w:val="24"/>
          <w:highlight w:val="none"/>
          <w14:textFill>
            <w14:solidFill>
              <w14:schemeClr w14:val="tx1"/>
            </w14:solidFill>
          </w14:textFill>
        </w:rPr>
        <w:t>元)；</w:t>
      </w:r>
    </w:p>
    <w:p w14:paraId="423B2535">
      <w:pPr>
        <w:keepNext w:val="0"/>
        <w:keepLines w:val="0"/>
        <w:pageBreakBefore w:val="0"/>
        <w:widowControl w:val="0"/>
        <w:kinsoku/>
        <w:wordWrap/>
        <w:overflowPunct/>
        <w:topLinePunct w:val="0"/>
        <w:autoSpaceDE/>
        <w:autoSpaceDN/>
        <w:bidi w:val="0"/>
        <w:snapToGrid/>
        <w:spacing w:line="360" w:lineRule="auto"/>
        <w:ind w:left="0" w:leftChars="0" w:right="0" w:rightChars="0" w:firstLine="46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（3）专业工程暂估价金额：</w:t>
      </w:r>
    </w:p>
    <w:p w14:paraId="16FAA143">
      <w:pPr>
        <w:keepNext w:val="0"/>
        <w:keepLines w:val="0"/>
        <w:pageBreakBefore w:val="0"/>
        <w:widowControl w:val="0"/>
        <w:kinsoku/>
        <w:wordWrap/>
        <w:overflowPunct/>
        <w:topLinePunct w:val="0"/>
        <w:autoSpaceDE/>
        <w:autoSpaceDN/>
        <w:bidi w:val="0"/>
        <w:snapToGrid/>
        <w:spacing w:line="360" w:lineRule="auto"/>
        <w:ind w:left="0" w:leftChars="0" w:right="0" w:rightChars="0" w:firstLine="43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1"/>
          <w:sz w:val="24"/>
          <w:szCs w:val="24"/>
          <w:highlight w:val="none"/>
          <w14:textFill>
            <w14:solidFill>
              <w14:schemeClr w14:val="tx1"/>
            </w14:solidFill>
          </w14:textFill>
        </w:rPr>
        <w:t>人民币（大写）</w:t>
      </w:r>
      <w:r>
        <w:rPr>
          <w:rFonts w:hint="eastAsia" w:ascii="仿宋" w:hAnsi="仿宋" w:eastAsia="仿宋" w:cs="仿宋"/>
          <w:color w:val="000000" w:themeColor="text1"/>
          <w:spacing w:val="-94"/>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6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2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1"/>
          <w:sz w:val="24"/>
          <w:szCs w:val="24"/>
          <w:highlight w:val="none"/>
          <w14:textFill>
            <w14:solidFill>
              <w14:schemeClr w14:val="tx1"/>
            </w14:solidFill>
          </w14:textFill>
        </w:rPr>
        <w:t>元)；</w:t>
      </w:r>
    </w:p>
    <w:p w14:paraId="52A06368">
      <w:pPr>
        <w:keepNext w:val="0"/>
        <w:keepLines w:val="0"/>
        <w:pageBreakBefore w:val="0"/>
        <w:widowControl w:val="0"/>
        <w:kinsoku/>
        <w:wordWrap/>
        <w:overflowPunct/>
        <w:topLinePunct w:val="0"/>
        <w:autoSpaceDE/>
        <w:autoSpaceDN/>
        <w:bidi w:val="0"/>
        <w:snapToGrid/>
        <w:spacing w:line="360" w:lineRule="auto"/>
        <w:ind w:left="0" w:leftChars="0" w:right="0" w:rightChars="0" w:firstLine="45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7"/>
          <w:sz w:val="24"/>
          <w:szCs w:val="24"/>
          <w:highlight w:val="none"/>
          <w14:textFill>
            <w14:solidFill>
              <w14:schemeClr w14:val="tx1"/>
            </w14:solidFill>
          </w14:textFill>
        </w:rPr>
        <w:t>（4）暂列金额：</w:t>
      </w:r>
    </w:p>
    <w:p w14:paraId="33F7C1CB">
      <w:pPr>
        <w:keepNext w:val="0"/>
        <w:keepLines w:val="0"/>
        <w:pageBreakBefore w:val="0"/>
        <w:widowControl w:val="0"/>
        <w:kinsoku/>
        <w:wordWrap/>
        <w:overflowPunct/>
        <w:topLinePunct w:val="0"/>
        <w:autoSpaceDE/>
        <w:autoSpaceDN/>
        <w:bidi w:val="0"/>
        <w:snapToGrid/>
        <w:spacing w:line="360" w:lineRule="auto"/>
        <w:ind w:left="0" w:leftChars="0" w:right="0" w:rightChars="0" w:firstLine="43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1"/>
          <w:sz w:val="24"/>
          <w:szCs w:val="24"/>
          <w:highlight w:val="none"/>
          <w14:textFill>
            <w14:solidFill>
              <w14:schemeClr w14:val="tx1"/>
            </w14:solidFill>
          </w14:textFill>
        </w:rPr>
        <w:t>人民币（大写）</w:t>
      </w:r>
      <w:r>
        <w:rPr>
          <w:rFonts w:hint="eastAsia" w:ascii="仿宋" w:hAnsi="仿宋" w:eastAsia="仿宋" w:cs="仿宋"/>
          <w:color w:val="000000" w:themeColor="text1"/>
          <w:spacing w:val="-94"/>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6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2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1"/>
          <w:sz w:val="24"/>
          <w:szCs w:val="24"/>
          <w:highlight w:val="none"/>
          <w14:textFill>
            <w14:solidFill>
              <w14:schemeClr w14:val="tx1"/>
            </w14:solidFill>
          </w14:textFill>
        </w:rPr>
        <w:t>元)。</w:t>
      </w:r>
    </w:p>
    <w:p w14:paraId="1CDA5ECB">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2.合同价格形式：</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0E700262">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outlineLvl w:val="2"/>
        <w:rPr>
          <w:rFonts w:hint="eastAsia" w:ascii="仿宋" w:hAnsi="仿宋" w:eastAsia="仿宋" w:cs="仿宋"/>
          <w:color w:val="000000" w:themeColor="text1"/>
          <w:sz w:val="24"/>
          <w:szCs w:val="24"/>
          <w:highlight w:val="none"/>
          <w14:textFill>
            <w14:solidFill>
              <w14:schemeClr w14:val="tx1"/>
            </w14:solidFill>
          </w14:textFill>
        </w:rPr>
      </w:pPr>
      <w:bookmarkStart w:id="62" w:name="bookmark105"/>
      <w:bookmarkEnd w:id="62"/>
      <w:bookmarkStart w:id="63" w:name="_Toc7329"/>
      <w:r>
        <w:rPr>
          <w:rFonts w:hint="eastAsia" w:ascii="仿宋" w:hAnsi="仿宋" w:eastAsia="仿宋" w:cs="仿宋"/>
          <w:color w:val="000000" w:themeColor="text1"/>
          <w:spacing w:val="-3"/>
          <w:sz w:val="24"/>
          <w:szCs w:val="24"/>
          <w:highlight w:val="none"/>
          <w14:textFill>
            <w14:solidFill>
              <w14:schemeClr w14:val="tx1"/>
            </w14:solidFill>
          </w14:textFill>
        </w:rPr>
        <w:t>五、项目经理</w:t>
      </w:r>
      <w:bookmarkEnd w:id="63"/>
    </w:p>
    <w:p w14:paraId="05E61355">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承包人项目经理：</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1C2B41BE">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outlineLvl w:val="2"/>
        <w:rPr>
          <w:rFonts w:hint="eastAsia" w:ascii="仿宋" w:hAnsi="仿宋" w:eastAsia="仿宋" w:cs="仿宋"/>
          <w:color w:val="000000" w:themeColor="text1"/>
          <w:sz w:val="24"/>
          <w:szCs w:val="24"/>
          <w:highlight w:val="none"/>
          <w14:textFill>
            <w14:solidFill>
              <w14:schemeClr w14:val="tx1"/>
            </w14:solidFill>
          </w14:textFill>
        </w:rPr>
      </w:pPr>
      <w:bookmarkStart w:id="64" w:name="bookmark106"/>
      <w:bookmarkEnd w:id="64"/>
      <w:bookmarkStart w:id="65" w:name="_Toc8184"/>
      <w:r>
        <w:rPr>
          <w:rFonts w:hint="eastAsia" w:ascii="仿宋" w:hAnsi="仿宋" w:eastAsia="仿宋" w:cs="仿宋"/>
          <w:color w:val="000000" w:themeColor="text1"/>
          <w:spacing w:val="-2"/>
          <w:sz w:val="24"/>
          <w:szCs w:val="24"/>
          <w:highlight w:val="none"/>
          <w14:textFill>
            <w14:solidFill>
              <w14:schemeClr w14:val="tx1"/>
            </w14:solidFill>
          </w14:textFill>
        </w:rPr>
        <w:t>六、合同文件构成</w:t>
      </w:r>
      <w:bookmarkEnd w:id="65"/>
    </w:p>
    <w:p w14:paraId="078421CE">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本协议书与下列文件一起构成合同文件：</w:t>
      </w:r>
    </w:p>
    <w:p w14:paraId="3691446E">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（1）中标通知书（如果有</w:t>
      </w:r>
      <w:r>
        <w:rPr>
          <w:rFonts w:hint="eastAsia" w:ascii="仿宋" w:hAnsi="仿宋" w:eastAsia="仿宋" w:cs="仿宋"/>
          <w:color w:val="000000" w:themeColor="text1"/>
          <w:spacing w:val="-74"/>
          <w:w w:val="98"/>
          <w:sz w:val="24"/>
          <w:szCs w:val="24"/>
          <w:highlight w:val="none"/>
          <w14:textFill>
            <w14:solidFill>
              <w14:schemeClr w14:val="tx1"/>
            </w14:solidFill>
          </w14:textFill>
        </w:rPr>
        <w:t>）；</w:t>
      </w:r>
    </w:p>
    <w:p w14:paraId="2399BDC7">
      <w:pPr>
        <w:keepNext w:val="0"/>
        <w:keepLines w:val="0"/>
        <w:pageBreakBefore w:val="0"/>
        <w:widowControl w:val="0"/>
        <w:kinsoku/>
        <w:wordWrap/>
        <w:overflowPunct/>
        <w:topLinePunct w:val="0"/>
        <w:autoSpaceDE/>
        <w:autoSpaceDN/>
        <w:bidi w:val="0"/>
        <w:snapToGrid/>
        <w:spacing w:line="360" w:lineRule="auto"/>
        <w:ind w:left="0" w:leftChars="0" w:right="0" w:rightChars="0" w:firstLine="45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7"/>
          <w:sz w:val="24"/>
          <w:szCs w:val="24"/>
          <w:highlight w:val="none"/>
          <w14:textFill>
            <w14:solidFill>
              <w14:schemeClr w14:val="tx1"/>
            </w14:solidFill>
          </w14:textFill>
        </w:rPr>
        <w:t>（2）投标函及其附录（如果有</w:t>
      </w:r>
      <w:r>
        <w:rPr>
          <w:rFonts w:hint="eastAsia" w:ascii="仿宋" w:hAnsi="仿宋" w:eastAsia="仿宋" w:cs="仿宋"/>
          <w:color w:val="000000" w:themeColor="text1"/>
          <w:spacing w:val="-40"/>
          <w:sz w:val="24"/>
          <w:szCs w:val="24"/>
          <w:highlight w:val="none"/>
          <w14:textFill>
            <w14:solidFill>
              <w14:schemeClr w14:val="tx1"/>
            </w14:solidFill>
          </w14:textFill>
        </w:rPr>
        <w:t>）；</w:t>
      </w:r>
    </w:p>
    <w:p w14:paraId="6FAD53F4">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（3）专用合同条款及其附件；</w:t>
      </w:r>
    </w:p>
    <w:p w14:paraId="7436053A">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（4）通用合同条款；</w:t>
      </w:r>
    </w:p>
    <w:p w14:paraId="0391A4C4">
      <w:pPr>
        <w:keepNext w:val="0"/>
        <w:keepLines w:val="0"/>
        <w:pageBreakBefore w:val="0"/>
        <w:widowControl w:val="0"/>
        <w:kinsoku/>
        <w:wordWrap/>
        <w:overflowPunct/>
        <w:topLinePunct w:val="0"/>
        <w:autoSpaceDE/>
        <w:autoSpaceDN/>
        <w:bidi w:val="0"/>
        <w:snapToGrid/>
        <w:spacing w:line="360" w:lineRule="auto"/>
        <w:ind w:left="0" w:leftChars="0" w:right="0" w:rightChars="0" w:firstLine="46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（5）技术标准和要求；</w:t>
      </w:r>
    </w:p>
    <w:p w14:paraId="6E09AB6C">
      <w:pPr>
        <w:keepNext w:val="0"/>
        <w:keepLines w:val="0"/>
        <w:pageBreakBefore w:val="0"/>
        <w:widowControl w:val="0"/>
        <w:kinsoku/>
        <w:wordWrap/>
        <w:overflowPunct/>
        <w:topLinePunct w:val="0"/>
        <w:autoSpaceDE/>
        <w:autoSpaceDN/>
        <w:bidi w:val="0"/>
        <w:snapToGrid/>
        <w:spacing w:line="360" w:lineRule="auto"/>
        <w:ind w:left="0" w:leftChars="0" w:right="0" w:rightChars="0" w:firstLine="44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8"/>
          <w:sz w:val="24"/>
          <w:szCs w:val="24"/>
          <w:highlight w:val="none"/>
          <w14:textFill>
            <w14:solidFill>
              <w14:schemeClr w14:val="tx1"/>
            </w14:solidFill>
          </w14:textFill>
        </w:rPr>
        <w:t>（6）图纸；</w:t>
      </w:r>
    </w:p>
    <w:p w14:paraId="5D10A42A">
      <w:pPr>
        <w:keepNext w:val="0"/>
        <w:keepLines w:val="0"/>
        <w:pageBreakBefore w:val="0"/>
        <w:widowControl w:val="0"/>
        <w:kinsoku/>
        <w:wordWrap/>
        <w:overflowPunct/>
        <w:topLinePunct w:val="0"/>
        <w:autoSpaceDE/>
        <w:autoSpaceDN/>
        <w:bidi w:val="0"/>
        <w:snapToGrid/>
        <w:spacing w:line="360" w:lineRule="auto"/>
        <w:ind w:left="0" w:leftChars="0" w:right="0" w:rightChars="0" w:firstLine="464"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（7）已标价工程量清单或预算书；</w:t>
      </w:r>
    </w:p>
    <w:p w14:paraId="549450EF">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（8）其他合同文件。</w:t>
      </w:r>
    </w:p>
    <w:p w14:paraId="185DC116">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在合同订立及履行过程中形成的与合同有关的文件均构成合同文件组成部</w:t>
      </w:r>
      <w:r>
        <w:rPr>
          <w:rFonts w:hint="eastAsia" w:ascii="仿宋" w:hAnsi="仿宋" w:eastAsia="仿宋" w:cs="仿宋"/>
          <w:color w:val="000000" w:themeColor="text1"/>
          <w:spacing w:val="-14"/>
          <w:sz w:val="24"/>
          <w:szCs w:val="24"/>
          <w:highlight w:val="none"/>
          <w14:textFill>
            <w14:solidFill>
              <w14:schemeClr w14:val="tx1"/>
            </w14:solidFill>
          </w14:textFill>
        </w:rPr>
        <w:t>分。</w:t>
      </w:r>
    </w:p>
    <w:p w14:paraId="29ADFB6F">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上述各项合同文件包括合同当事人就该项合同文件所作出的补充和修改</w:t>
      </w:r>
      <w:r>
        <w:rPr>
          <w:rFonts w:hint="eastAsia" w:ascii="仿宋" w:hAnsi="仿宋" w:eastAsia="仿宋" w:cs="仿宋"/>
          <w:color w:val="000000" w:themeColor="text1"/>
          <w:spacing w:val="-3"/>
          <w:sz w:val="24"/>
          <w:szCs w:val="24"/>
          <w:highlight w:val="none"/>
          <w14:textFill>
            <w14:solidFill>
              <w14:schemeClr w14:val="tx1"/>
            </w14:solidFill>
          </w14:textFill>
        </w:rPr>
        <w:t>，属</w:t>
      </w:r>
      <w:r>
        <w:rPr>
          <w:rFonts w:hint="eastAsia" w:ascii="仿宋" w:hAnsi="仿宋" w:eastAsia="仿宋" w:cs="仿宋"/>
          <w:color w:val="000000" w:themeColor="text1"/>
          <w:spacing w:val="-2"/>
          <w:sz w:val="24"/>
          <w:szCs w:val="24"/>
          <w:highlight w:val="none"/>
          <w14:textFill>
            <w14:solidFill>
              <w14:schemeClr w14:val="tx1"/>
            </w14:solidFill>
          </w14:textFill>
        </w:rPr>
        <w:t>于同一类内容的文件，应以最新签署的为准。专用合同条款及其附件须经合同当</w:t>
      </w:r>
      <w:bookmarkStart w:id="66" w:name="bookmark107"/>
      <w:bookmarkEnd w:id="66"/>
      <w:r>
        <w:rPr>
          <w:rFonts w:hint="eastAsia" w:ascii="仿宋" w:hAnsi="仿宋" w:eastAsia="仿宋" w:cs="仿宋"/>
          <w:color w:val="000000" w:themeColor="text1"/>
          <w:spacing w:val="-1"/>
          <w:sz w:val="24"/>
          <w:szCs w:val="24"/>
          <w:highlight w:val="none"/>
          <w14:textFill>
            <w14:solidFill>
              <w14:schemeClr w14:val="tx1"/>
            </w14:solidFill>
          </w14:textFill>
        </w:rPr>
        <w:t>事人签字或盖章。</w:t>
      </w:r>
    </w:p>
    <w:p w14:paraId="2DAB6909">
      <w:pPr>
        <w:keepNext w:val="0"/>
        <w:keepLines w:val="0"/>
        <w:pageBreakBefore w:val="0"/>
        <w:widowControl w:val="0"/>
        <w:kinsoku/>
        <w:wordWrap/>
        <w:overflowPunct/>
        <w:topLinePunct w:val="0"/>
        <w:autoSpaceDE/>
        <w:autoSpaceDN/>
        <w:bidi w:val="0"/>
        <w:snapToGrid/>
        <w:spacing w:line="360" w:lineRule="auto"/>
        <w:ind w:left="0" w:leftChars="0" w:right="0" w:rightChars="0" w:firstLine="460" w:firstLineChars="200"/>
        <w:outlineLvl w:val="2"/>
        <w:rPr>
          <w:rFonts w:hint="eastAsia" w:ascii="仿宋" w:hAnsi="仿宋" w:eastAsia="仿宋" w:cs="仿宋"/>
          <w:color w:val="000000" w:themeColor="text1"/>
          <w:sz w:val="24"/>
          <w:szCs w:val="24"/>
          <w:highlight w:val="none"/>
          <w14:textFill>
            <w14:solidFill>
              <w14:schemeClr w14:val="tx1"/>
            </w14:solidFill>
          </w14:textFill>
        </w:rPr>
      </w:pPr>
      <w:bookmarkStart w:id="67" w:name="bookmark208"/>
      <w:bookmarkEnd w:id="67"/>
      <w:bookmarkStart w:id="68" w:name="_Toc21057"/>
      <w:r>
        <w:rPr>
          <w:rFonts w:hint="eastAsia" w:ascii="仿宋" w:hAnsi="仿宋" w:eastAsia="仿宋" w:cs="仿宋"/>
          <w:color w:val="000000" w:themeColor="text1"/>
          <w:spacing w:val="-5"/>
          <w:sz w:val="24"/>
          <w:szCs w:val="24"/>
          <w:highlight w:val="none"/>
          <w14:textFill>
            <w14:solidFill>
              <w14:schemeClr w14:val="tx1"/>
            </w14:solidFill>
          </w14:textFill>
        </w:rPr>
        <w:t>七、承诺</w:t>
      </w:r>
      <w:bookmarkEnd w:id="68"/>
    </w:p>
    <w:p w14:paraId="7EFE8B01">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1.发包人承诺按照法律规定履行项目审批手续、筹集工程建设资金并按照合同约定的期限和方式支付合同价款。</w:t>
      </w:r>
    </w:p>
    <w:p w14:paraId="6DAB3E16">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2.承包人承诺按照法律规定及合同约定组织完成工程施工，确保</w:t>
      </w:r>
      <w:r>
        <w:rPr>
          <w:rFonts w:hint="eastAsia" w:ascii="仿宋" w:hAnsi="仿宋" w:eastAsia="仿宋" w:cs="仿宋"/>
          <w:color w:val="000000" w:themeColor="text1"/>
          <w:spacing w:val="-3"/>
          <w:sz w:val="24"/>
          <w:szCs w:val="24"/>
          <w:highlight w:val="none"/>
          <w14:textFill>
            <w14:solidFill>
              <w14:schemeClr w14:val="tx1"/>
            </w14:solidFill>
          </w14:textFill>
        </w:rPr>
        <w:t>工程质量和</w:t>
      </w:r>
      <w:r>
        <w:rPr>
          <w:rFonts w:hint="eastAsia" w:ascii="仿宋" w:hAnsi="仿宋" w:eastAsia="仿宋" w:cs="仿宋"/>
          <w:color w:val="000000" w:themeColor="text1"/>
          <w:spacing w:val="-2"/>
          <w:sz w:val="24"/>
          <w:szCs w:val="24"/>
          <w:highlight w:val="none"/>
          <w14:textFill>
            <w14:solidFill>
              <w14:schemeClr w14:val="tx1"/>
            </w14:solidFill>
          </w14:textFill>
        </w:rPr>
        <w:t>安全，不进行转包及违法分包，并在缺陷责任期及保修期内承担相应的工</w:t>
      </w:r>
      <w:r>
        <w:rPr>
          <w:rFonts w:hint="eastAsia" w:ascii="仿宋" w:hAnsi="仿宋" w:eastAsia="仿宋" w:cs="仿宋"/>
          <w:color w:val="000000" w:themeColor="text1"/>
          <w:spacing w:val="-3"/>
          <w:sz w:val="24"/>
          <w:szCs w:val="24"/>
          <w:highlight w:val="none"/>
          <w14:textFill>
            <w14:solidFill>
              <w14:schemeClr w14:val="tx1"/>
            </w14:solidFill>
          </w14:textFill>
        </w:rPr>
        <w:t>程维修</w:t>
      </w:r>
      <w:r>
        <w:rPr>
          <w:rFonts w:hint="eastAsia" w:ascii="仿宋" w:hAnsi="仿宋" w:eastAsia="仿宋" w:cs="仿宋"/>
          <w:color w:val="000000" w:themeColor="text1"/>
          <w:spacing w:val="-13"/>
          <w:sz w:val="24"/>
          <w:szCs w:val="24"/>
          <w:highlight w:val="none"/>
          <w14:textFill>
            <w14:solidFill>
              <w14:schemeClr w14:val="tx1"/>
            </w14:solidFill>
          </w14:textFill>
        </w:rPr>
        <w:t>责任。</w:t>
      </w:r>
    </w:p>
    <w:p w14:paraId="68FBC88B">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3.发包人和承包人通过招投标形式签订合同的，双方理解并</w:t>
      </w:r>
      <w:r>
        <w:rPr>
          <w:rFonts w:hint="eastAsia" w:ascii="仿宋" w:hAnsi="仿宋" w:eastAsia="仿宋" w:cs="仿宋"/>
          <w:color w:val="000000" w:themeColor="text1"/>
          <w:spacing w:val="-3"/>
          <w:sz w:val="24"/>
          <w:szCs w:val="24"/>
          <w:highlight w:val="none"/>
          <w14:textFill>
            <w14:solidFill>
              <w14:schemeClr w14:val="tx1"/>
            </w14:solidFill>
          </w14:textFill>
        </w:rPr>
        <w:t>承诺不再就同一</w:t>
      </w:r>
      <w:r>
        <w:rPr>
          <w:rFonts w:hint="eastAsia" w:ascii="仿宋" w:hAnsi="仿宋" w:eastAsia="仿宋" w:cs="仿宋"/>
          <w:color w:val="000000" w:themeColor="text1"/>
          <w:spacing w:val="-1"/>
          <w:sz w:val="24"/>
          <w:szCs w:val="24"/>
          <w:highlight w:val="none"/>
          <w14:textFill>
            <w14:solidFill>
              <w14:schemeClr w14:val="tx1"/>
            </w14:solidFill>
          </w14:textFill>
        </w:rPr>
        <w:t>工程另行签订与合同实质性内容相背离的协议。</w:t>
      </w:r>
    </w:p>
    <w:p w14:paraId="168875C5">
      <w:pPr>
        <w:keepNext w:val="0"/>
        <w:keepLines w:val="0"/>
        <w:pageBreakBefore w:val="0"/>
        <w:widowControl w:val="0"/>
        <w:kinsoku/>
        <w:wordWrap/>
        <w:overflowPunct/>
        <w:topLinePunct w:val="0"/>
        <w:autoSpaceDE/>
        <w:autoSpaceDN/>
        <w:bidi w:val="0"/>
        <w:snapToGrid/>
        <w:spacing w:line="360" w:lineRule="auto"/>
        <w:ind w:left="0" w:leftChars="0" w:right="0" w:rightChars="0" w:firstLine="460" w:firstLineChars="200"/>
        <w:outlineLvl w:val="2"/>
        <w:rPr>
          <w:rFonts w:hint="eastAsia" w:ascii="仿宋" w:hAnsi="仿宋" w:eastAsia="仿宋" w:cs="仿宋"/>
          <w:color w:val="000000" w:themeColor="text1"/>
          <w:sz w:val="24"/>
          <w:szCs w:val="24"/>
          <w:highlight w:val="none"/>
          <w14:textFill>
            <w14:solidFill>
              <w14:schemeClr w14:val="tx1"/>
            </w14:solidFill>
          </w14:textFill>
        </w:rPr>
      </w:pPr>
      <w:bookmarkStart w:id="69" w:name="bookmark108"/>
      <w:bookmarkEnd w:id="69"/>
      <w:bookmarkStart w:id="70" w:name="_Toc24040"/>
      <w:r>
        <w:rPr>
          <w:rFonts w:hint="eastAsia" w:ascii="仿宋" w:hAnsi="仿宋" w:eastAsia="仿宋" w:cs="仿宋"/>
          <w:color w:val="000000" w:themeColor="text1"/>
          <w:spacing w:val="-5"/>
          <w:sz w:val="24"/>
          <w:szCs w:val="24"/>
          <w:highlight w:val="none"/>
          <w14:textFill>
            <w14:solidFill>
              <w14:schemeClr w14:val="tx1"/>
            </w14:solidFill>
          </w14:textFill>
        </w:rPr>
        <w:t>八、词语含义</w:t>
      </w:r>
      <w:bookmarkEnd w:id="70"/>
    </w:p>
    <w:p w14:paraId="21BF3B83">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本协议书中词语含义与第二部分通用合同条款中赋予的含义相同。</w:t>
      </w:r>
    </w:p>
    <w:p w14:paraId="27F88F0C">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outlineLvl w:val="2"/>
        <w:rPr>
          <w:rFonts w:hint="eastAsia" w:ascii="仿宋" w:hAnsi="仿宋" w:eastAsia="仿宋" w:cs="仿宋"/>
          <w:color w:val="000000" w:themeColor="text1"/>
          <w:sz w:val="24"/>
          <w:szCs w:val="24"/>
          <w:highlight w:val="none"/>
          <w14:textFill>
            <w14:solidFill>
              <w14:schemeClr w14:val="tx1"/>
            </w14:solidFill>
          </w14:textFill>
        </w:rPr>
      </w:pPr>
      <w:bookmarkStart w:id="71" w:name="bookmark109"/>
      <w:bookmarkEnd w:id="71"/>
      <w:bookmarkStart w:id="72" w:name="_Toc3357"/>
      <w:r>
        <w:rPr>
          <w:rFonts w:hint="eastAsia" w:ascii="仿宋" w:hAnsi="仿宋" w:eastAsia="仿宋" w:cs="仿宋"/>
          <w:color w:val="000000" w:themeColor="text1"/>
          <w:spacing w:val="-3"/>
          <w:sz w:val="24"/>
          <w:szCs w:val="24"/>
          <w:highlight w:val="none"/>
          <w14:textFill>
            <w14:solidFill>
              <w14:schemeClr w14:val="tx1"/>
            </w14:solidFill>
          </w14:textFill>
        </w:rPr>
        <w:t>九、签订时间</w:t>
      </w:r>
      <w:bookmarkEnd w:id="72"/>
    </w:p>
    <w:p w14:paraId="214F5E1B">
      <w:pPr>
        <w:keepNext w:val="0"/>
        <w:keepLines w:val="0"/>
        <w:pageBreakBefore w:val="0"/>
        <w:widowControl w:val="0"/>
        <w:kinsoku/>
        <w:wordWrap/>
        <w:overflowPunct/>
        <w:topLinePunct w:val="0"/>
        <w:autoSpaceDE/>
        <w:autoSpaceDN/>
        <w:bidi w:val="0"/>
        <w:snapToGrid/>
        <w:spacing w:line="360" w:lineRule="auto"/>
        <w:ind w:left="0" w:leftChars="0" w:right="0" w:rightChars="0" w:firstLine="444"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9"/>
          <w:sz w:val="24"/>
          <w:szCs w:val="24"/>
          <w:highlight w:val="none"/>
          <w14:textFill>
            <w14:solidFill>
              <w14:schemeClr w14:val="tx1"/>
            </w14:solidFill>
          </w14:textFill>
        </w:rPr>
        <w:t>本合同于</w:t>
      </w:r>
      <w:r>
        <w:rPr>
          <w:rFonts w:hint="eastAsia" w:ascii="仿宋" w:hAnsi="仿宋" w:eastAsia="仿宋" w:cs="仿宋"/>
          <w:color w:val="000000" w:themeColor="text1"/>
          <w:spacing w:val="18"/>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2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9"/>
          <w:sz w:val="24"/>
          <w:szCs w:val="24"/>
          <w:highlight w:val="none"/>
          <w14:textFill>
            <w14:solidFill>
              <w14:schemeClr w14:val="tx1"/>
            </w14:solidFill>
          </w14:textFill>
        </w:rPr>
        <w:t>年</w:t>
      </w:r>
      <w:r>
        <w:rPr>
          <w:rFonts w:hint="eastAsia" w:ascii="仿宋" w:hAnsi="仿宋" w:eastAsia="仿宋" w:cs="仿宋"/>
          <w:color w:val="000000" w:themeColor="text1"/>
          <w:spacing w:val="-9"/>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2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9"/>
          <w:sz w:val="24"/>
          <w:szCs w:val="24"/>
          <w:highlight w:val="none"/>
          <w14:textFill>
            <w14:solidFill>
              <w14:schemeClr w14:val="tx1"/>
            </w14:solidFill>
          </w14:textFill>
        </w:rPr>
        <w:t>月</w:t>
      </w:r>
      <w:r>
        <w:rPr>
          <w:rFonts w:hint="eastAsia" w:ascii="仿宋" w:hAnsi="仿宋" w:eastAsia="仿宋" w:cs="仿宋"/>
          <w:color w:val="000000" w:themeColor="text1"/>
          <w:spacing w:val="46"/>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8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9"/>
          <w:sz w:val="24"/>
          <w:szCs w:val="24"/>
          <w:highlight w:val="none"/>
          <w14:textFill>
            <w14:solidFill>
              <w14:schemeClr w14:val="tx1"/>
            </w14:solidFill>
          </w14:textFill>
        </w:rPr>
        <w:t>日签订。</w:t>
      </w:r>
    </w:p>
    <w:p w14:paraId="073B017C">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outlineLvl w:val="2"/>
        <w:rPr>
          <w:rFonts w:hint="eastAsia" w:ascii="仿宋" w:hAnsi="仿宋" w:eastAsia="仿宋" w:cs="仿宋"/>
          <w:color w:val="000000" w:themeColor="text1"/>
          <w:sz w:val="24"/>
          <w:szCs w:val="24"/>
          <w:highlight w:val="none"/>
          <w14:textFill>
            <w14:solidFill>
              <w14:schemeClr w14:val="tx1"/>
            </w14:solidFill>
          </w14:textFill>
        </w:rPr>
      </w:pPr>
      <w:bookmarkStart w:id="73" w:name="bookmark110"/>
      <w:bookmarkEnd w:id="73"/>
      <w:bookmarkStart w:id="74" w:name="_Toc7156"/>
      <w:r>
        <w:rPr>
          <w:rFonts w:hint="eastAsia" w:ascii="仿宋" w:hAnsi="仿宋" w:eastAsia="仿宋" w:cs="仿宋"/>
          <w:color w:val="000000" w:themeColor="text1"/>
          <w:spacing w:val="-3"/>
          <w:sz w:val="24"/>
          <w:szCs w:val="24"/>
          <w:highlight w:val="none"/>
          <w14:textFill>
            <w14:solidFill>
              <w14:schemeClr w14:val="tx1"/>
            </w14:solidFill>
          </w14:textFill>
        </w:rPr>
        <w:t>十、签订地点</w:t>
      </w:r>
      <w:bookmarkEnd w:id="74"/>
    </w:p>
    <w:p w14:paraId="2BC07A99">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本合同在</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2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签订。</w:t>
      </w:r>
    </w:p>
    <w:p w14:paraId="652C8F92">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outlineLvl w:val="2"/>
        <w:rPr>
          <w:rFonts w:hint="eastAsia" w:ascii="仿宋" w:hAnsi="仿宋" w:eastAsia="仿宋" w:cs="仿宋"/>
          <w:color w:val="000000" w:themeColor="text1"/>
          <w:sz w:val="24"/>
          <w:szCs w:val="24"/>
          <w:highlight w:val="none"/>
          <w14:textFill>
            <w14:solidFill>
              <w14:schemeClr w14:val="tx1"/>
            </w14:solidFill>
          </w14:textFill>
        </w:rPr>
      </w:pPr>
      <w:bookmarkStart w:id="75" w:name="bookmark111"/>
      <w:bookmarkEnd w:id="75"/>
      <w:bookmarkStart w:id="76" w:name="_Toc8504"/>
      <w:r>
        <w:rPr>
          <w:rFonts w:hint="eastAsia" w:ascii="仿宋" w:hAnsi="仿宋" w:eastAsia="仿宋" w:cs="仿宋"/>
          <w:color w:val="000000" w:themeColor="text1"/>
          <w:spacing w:val="-2"/>
          <w:sz w:val="24"/>
          <w:szCs w:val="24"/>
          <w:highlight w:val="none"/>
          <w14:textFill>
            <w14:solidFill>
              <w14:schemeClr w14:val="tx1"/>
            </w14:solidFill>
          </w14:textFill>
        </w:rPr>
        <w:t>十一、补充协议</w:t>
      </w:r>
      <w:bookmarkEnd w:id="76"/>
    </w:p>
    <w:p w14:paraId="23275C96">
      <w:pPr>
        <w:keepNext w:val="0"/>
        <w:keepLines w:val="0"/>
        <w:pageBreakBefore w:val="0"/>
        <w:widowControl w:val="0"/>
        <w:kinsoku/>
        <w:wordWrap/>
        <w:overflowPunct/>
        <w:topLinePunct w:val="0"/>
        <w:autoSpaceDE/>
        <w:autoSpaceDN/>
        <w:bidi w:val="0"/>
        <w:snapToGrid/>
        <w:spacing w:line="360" w:lineRule="auto"/>
        <w:ind w:left="0" w:leftChars="0" w:right="0" w:rightChars="0" w:firstLine="452"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7"/>
          <w:sz w:val="24"/>
          <w:szCs w:val="24"/>
          <w:highlight w:val="none"/>
          <w14:textFill>
            <w14:solidFill>
              <w14:schemeClr w14:val="tx1"/>
            </w14:solidFill>
          </w14:textFill>
        </w:rPr>
        <w:t>合同未尽事宜，合同当事人另行签订补充协议，补充协议</w:t>
      </w:r>
      <w:r>
        <w:rPr>
          <w:rFonts w:hint="eastAsia" w:ascii="仿宋" w:hAnsi="仿宋" w:eastAsia="仿宋" w:cs="仿宋"/>
          <w:color w:val="000000" w:themeColor="text1"/>
          <w:spacing w:val="-8"/>
          <w:sz w:val="24"/>
          <w:szCs w:val="24"/>
          <w:highlight w:val="none"/>
          <w14:textFill>
            <w14:solidFill>
              <w14:schemeClr w14:val="tx1"/>
            </w14:solidFill>
          </w14:textFill>
        </w:rPr>
        <w:t>是合同的组成部分。</w:t>
      </w:r>
    </w:p>
    <w:p w14:paraId="5539C26D">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outlineLvl w:val="2"/>
        <w:rPr>
          <w:rFonts w:hint="eastAsia" w:ascii="仿宋" w:hAnsi="仿宋" w:eastAsia="仿宋" w:cs="仿宋"/>
          <w:color w:val="000000" w:themeColor="text1"/>
          <w:sz w:val="24"/>
          <w:szCs w:val="24"/>
          <w:highlight w:val="none"/>
          <w14:textFill>
            <w14:solidFill>
              <w14:schemeClr w14:val="tx1"/>
            </w14:solidFill>
          </w14:textFill>
        </w:rPr>
      </w:pPr>
      <w:bookmarkStart w:id="77" w:name="bookmark112"/>
      <w:bookmarkEnd w:id="77"/>
      <w:bookmarkStart w:id="78" w:name="_Toc9861"/>
      <w:r>
        <w:rPr>
          <w:rFonts w:hint="eastAsia" w:ascii="仿宋" w:hAnsi="仿宋" w:eastAsia="仿宋" w:cs="仿宋"/>
          <w:color w:val="000000" w:themeColor="text1"/>
          <w:spacing w:val="-2"/>
          <w:sz w:val="24"/>
          <w:szCs w:val="24"/>
          <w:highlight w:val="none"/>
          <w14:textFill>
            <w14:solidFill>
              <w14:schemeClr w14:val="tx1"/>
            </w14:solidFill>
          </w14:textFill>
        </w:rPr>
        <w:t>十二、合同生效</w:t>
      </w:r>
      <w:bookmarkEnd w:id="78"/>
    </w:p>
    <w:p w14:paraId="4A0EA584">
      <w:pPr>
        <w:keepNext w:val="0"/>
        <w:keepLines w:val="0"/>
        <w:pageBreakBefore w:val="0"/>
        <w:widowControl w:val="0"/>
        <w:kinsoku/>
        <w:wordWrap/>
        <w:overflowPunct/>
        <w:topLinePunct w:val="0"/>
        <w:autoSpaceDE/>
        <w:autoSpaceDN/>
        <w:bidi w:val="0"/>
        <w:snapToGrid/>
        <w:spacing w:line="360" w:lineRule="auto"/>
        <w:ind w:left="0" w:leftChars="0" w:right="0" w:rightChars="0" w:firstLine="45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7"/>
          <w:sz w:val="24"/>
          <w:szCs w:val="24"/>
          <w:highlight w:val="none"/>
          <w14:textFill>
            <w14:solidFill>
              <w14:schemeClr w14:val="tx1"/>
            </w14:solidFill>
          </w14:textFill>
        </w:rPr>
        <w:t>本合同自</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2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14:textFill>
            <w14:solidFill>
              <w14:schemeClr w14:val="tx1"/>
            </w14:solidFill>
          </w14:textFill>
        </w:rPr>
        <w:t>生效。</w:t>
      </w:r>
    </w:p>
    <w:p w14:paraId="50F717A2">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outlineLvl w:val="2"/>
        <w:rPr>
          <w:rFonts w:hint="eastAsia" w:ascii="仿宋" w:hAnsi="仿宋" w:eastAsia="仿宋" w:cs="仿宋"/>
          <w:color w:val="000000" w:themeColor="text1"/>
          <w:sz w:val="24"/>
          <w:szCs w:val="24"/>
          <w:highlight w:val="none"/>
          <w14:textFill>
            <w14:solidFill>
              <w14:schemeClr w14:val="tx1"/>
            </w14:solidFill>
          </w14:textFill>
        </w:rPr>
      </w:pPr>
      <w:bookmarkStart w:id="79" w:name="bookmark113"/>
      <w:bookmarkEnd w:id="79"/>
      <w:bookmarkStart w:id="80" w:name="_Toc6148"/>
      <w:r>
        <w:rPr>
          <w:rFonts w:hint="eastAsia" w:ascii="仿宋" w:hAnsi="仿宋" w:eastAsia="仿宋" w:cs="仿宋"/>
          <w:color w:val="000000" w:themeColor="text1"/>
          <w:spacing w:val="-2"/>
          <w:sz w:val="24"/>
          <w:szCs w:val="24"/>
          <w:highlight w:val="none"/>
          <w14:textFill>
            <w14:solidFill>
              <w14:schemeClr w14:val="tx1"/>
            </w14:solidFill>
          </w14:textFill>
        </w:rPr>
        <w:t>十三、合同份数</w:t>
      </w:r>
      <w:bookmarkEnd w:id="80"/>
    </w:p>
    <w:p w14:paraId="2A2AC4AB">
      <w:pPr>
        <w:pStyle w:val="9"/>
        <w:keepNext w:val="0"/>
        <w:keepLines w:val="0"/>
        <w:pageBreakBefore w:val="0"/>
        <w:widowControl w:val="0"/>
        <w:kinsoku/>
        <w:wordWrap/>
        <w:overflowPunct/>
        <w:topLinePunct w:val="0"/>
        <w:autoSpaceDE/>
        <w:autoSpaceDN/>
        <w:bidi w:val="0"/>
        <w:snapToGrid/>
        <w:spacing w:after="0" w:line="360" w:lineRule="auto"/>
        <w:ind w:left="0" w:leftChars="0" w:right="0" w:rightChars="0"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6F71838A">
      <w:pPr>
        <w:keepNext w:val="0"/>
        <w:keepLines w:val="0"/>
        <w:pageBreakBefore w:val="0"/>
        <w:widowControl w:val="0"/>
        <w:kinsoku/>
        <w:wordWrap/>
        <w:overflowPunct/>
        <w:topLinePunct w:val="0"/>
        <w:autoSpaceDE/>
        <w:autoSpaceDN/>
        <w:bidi w:val="0"/>
        <w:snapToGrid/>
        <w:spacing w:line="360" w:lineRule="auto"/>
        <w:ind w:left="0" w:leftChars="0" w:right="0" w:rightChars="0" w:firstLine="52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2"/>
          <w:sz w:val="24"/>
          <w:szCs w:val="24"/>
          <w:highlight w:val="none"/>
          <w14:textFill>
            <w14:solidFill>
              <w14:schemeClr w14:val="tx1"/>
            </w14:solidFill>
          </w14:textFill>
        </w:rPr>
        <w:t>本合同一式</w:t>
      </w:r>
      <w:r>
        <w:rPr>
          <w:rFonts w:hint="eastAsia" w:ascii="仿宋" w:hAnsi="仿宋" w:eastAsia="仿宋" w:cs="仿宋"/>
          <w:color w:val="000000" w:themeColor="text1"/>
          <w:spacing w:val="-12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4"/>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2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2"/>
          <w:sz w:val="24"/>
          <w:szCs w:val="24"/>
          <w:highlight w:val="none"/>
          <w14:textFill>
            <w14:solidFill>
              <w14:schemeClr w14:val="tx1"/>
            </w14:solidFill>
          </w14:textFill>
        </w:rPr>
        <w:t>份，均具有同等法律效力，发包人执</w:t>
      </w:r>
      <w:r>
        <w:rPr>
          <w:rFonts w:hint="eastAsia" w:ascii="仿宋" w:hAnsi="仿宋" w:eastAsia="仿宋" w:cs="仿宋"/>
          <w:color w:val="000000" w:themeColor="text1"/>
          <w:spacing w:val="-12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5"/>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2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2"/>
          <w:sz w:val="24"/>
          <w:szCs w:val="24"/>
          <w:highlight w:val="none"/>
          <w14:textFill>
            <w14:solidFill>
              <w14:schemeClr w14:val="tx1"/>
            </w14:solidFill>
          </w14:textFill>
        </w:rPr>
        <w:t>份</w:t>
      </w:r>
      <w:r>
        <w:rPr>
          <w:rFonts w:hint="eastAsia" w:ascii="仿宋" w:hAnsi="仿宋" w:eastAsia="仿宋" w:cs="仿宋"/>
          <w:color w:val="000000" w:themeColor="text1"/>
          <w:spacing w:val="11"/>
          <w:sz w:val="24"/>
          <w:szCs w:val="24"/>
          <w:highlight w:val="none"/>
          <w14:textFill>
            <w14:solidFill>
              <w14:schemeClr w14:val="tx1"/>
            </w14:solidFill>
          </w14:textFill>
        </w:rPr>
        <w:t>，承包人执</w:t>
      </w:r>
      <w:r>
        <w:rPr>
          <w:rFonts w:hint="eastAsia" w:ascii="仿宋" w:hAnsi="仿宋" w:eastAsia="仿宋" w:cs="仿宋"/>
          <w:color w:val="000000" w:themeColor="text1"/>
          <w:spacing w:val="-13"/>
          <w:sz w:val="24"/>
          <w:szCs w:val="24"/>
          <w:highlight w:val="none"/>
          <w14:textFill>
            <w14:solidFill>
              <w14:schemeClr w14:val="tx1"/>
            </w14:solidFill>
          </w14:textFill>
        </w:rPr>
        <w:t>份。</w:t>
      </w:r>
    </w:p>
    <w:p w14:paraId="24A16384">
      <w:pPr>
        <w:pStyle w:val="9"/>
        <w:keepNext w:val="0"/>
        <w:keepLines w:val="0"/>
        <w:pageBreakBefore w:val="0"/>
        <w:widowControl w:val="0"/>
        <w:kinsoku/>
        <w:wordWrap/>
        <w:overflowPunct/>
        <w:topLinePunct w:val="0"/>
        <w:autoSpaceDE/>
        <w:autoSpaceDN/>
        <w:bidi w:val="0"/>
        <w:snapToGrid/>
        <w:spacing w:after="0"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p>
    <w:p w14:paraId="0F3FA06A">
      <w:pPr>
        <w:pStyle w:val="9"/>
        <w:keepNext w:val="0"/>
        <w:keepLines w:val="0"/>
        <w:pageBreakBefore w:val="0"/>
        <w:widowControl w:val="0"/>
        <w:kinsoku/>
        <w:wordWrap/>
        <w:overflowPunct/>
        <w:topLinePunct w:val="0"/>
        <w:autoSpaceDE/>
        <w:autoSpaceDN/>
        <w:bidi w:val="0"/>
        <w:snapToGrid/>
        <w:spacing w:after="0"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p>
    <w:p w14:paraId="0B6EF340">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0"/>
          <w:sz w:val="24"/>
          <w:szCs w:val="24"/>
          <w:highlight w:val="none"/>
          <w14:textFill>
            <w14:solidFill>
              <w14:schemeClr w14:val="tx1"/>
            </w14:solidFill>
          </w14:textFill>
        </w:rPr>
        <w:t>发包人：</w:t>
      </w:r>
      <w:r>
        <w:rPr>
          <w:rFonts w:hint="eastAsia" w:ascii="仿宋" w:hAnsi="仿宋" w:eastAsia="仿宋" w:cs="仿宋"/>
          <w:color w:val="000000" w:themeColor="text1"/>
          <w:spacing w:val="3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0"/>
          <w:sz w:val="24"/>
          <w:szCs w:val="24"/>
          <w:highlight w:val="none"/>
          <w14:textFill>
            <w14:solidFill>
              <w14:schemeClr w14:val="tx1"/>
            </w14:solidFill>
          </w14:textFill>
        </w:rPr>
        <w:t>(公章)</w:t>
      </w:r>
      <w:r>
        <w:rPr>
          <w:rFonts w:hint="eastAsia" w:ascii="仿宋" w:hAnsi="仿宋" w:eastAsia="仿宋" w:cs="仿宋"/>
          <w:color w:val="000000" w:themeColor="text1"/>
          <w:spacing w:val="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0"/>
          <w:sz w:val="24"/>
          <w:szCs w:val="24"/>
          <w:highlight w:val="none"/>
          <w14:textFill>
            <w14:solidFill>
              <w14:schemeClr w14:val="tx1"/>
            </w14:solidFill>
          </w14:textFill>
        </w:rPr>
        <w:t>承包人：</w:t>
      </w:r>
      <w:r>
        <w:rPr>
          <w:rFonts w:hint="eastAsia" w:ascii="仿宋" w:hAnsi="仿宋" w:eastAsia="仿宋" w:cs="仿宋"/>
          <w:color w:val="000000" w:themeColor="text1"/>
          <w:spacing w:val="3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0"/>
          <w:sz w:val="24"/>
          <w:szCs w:val="24"/>
          <w:highlight w:val="none"/>
          <w14:textFill>
            <w14:solidFill>
              <w14:schemeClr w14:val="tx1"/>
            </w14:solidFill>
          </w14:textFill>
        </w:rPr>
        <w:t>(公章)</w:t>
      </w:r>
    </w:p>
    <w:p w14:paraId="226A27BB">
      <w:pPr>
        <w:pStyle w:val="9"/>
        <w:keepNext w:val="0"/>
        <w:keepLines w:val="0"/>
        <w:pageBreakBefore w:val="0"/>
        <w:widowControl w:val="0"/>
        <w:kinsoku/>
        <w:wordWrap/>
        <w:overflowPunct/>
        <w:topLinePunct w:val="0"/>
        <w:autoSpaceDE/>
        <w:autoSpaceDN/>
        <w:bidi w:val="0"/>
        <w:snapToGrid/>
        <w:spacing w:after="0"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p>
    <w:p w14:paraId="0A2B5260">
      <w:pPr>
        <w:pStyle w:val="9"/>
        <w:keepNext w:val="0"/>
        <w:keepLines w:val="0"/>
        <w:pageBreakBefore w:val="0"/>
        <w:widowControl w:val="0"/>
        <w:kinsoku/>
        <w:wordWrap/>
        <w:overflowPunct/>
        <w:topLinePunct w:val="0"/>
        <w:autoSpaceDE/>
        <w:autoSpaceDN/>
        <w:bidi w:val="0"/>
        <w:snapToGrid/>
        <w:spacing w:after="0"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p>
    <w:p w14:paraId="177995DF">
      <w:pPr>
        <w:pStyle w:val="9"/>
        <w:keepNext w:val="0"/>
        <w:keepLines w:val="0"/>
        <w:pageBreakBefore w:val="0"/>
        <w:widowControl w:val="0"/>
        <w:kinsoku/>
        <w:wordWrap/>
        <w:overflowPunct/>
        <w:topLinePunct w:val="0"/>
        <w:autoSpaceDE/>
        <w:autoSpaceDN/>
        <w:bidi w:val="0"/>
        <w:snapToGrid/>
        <w:spacing w:after="0"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p>
    <w:p w14:paraId="2EDA2221">
      <w:pPr>
        <w:pStyle w:val="9"/>
        <w:keepNext w:val="0"/>
        <w:keepLines w:val="0"/>
        <w:pageBreakBefore w:val="0"/>
        <w:widowControl w:val="0"/>
        <w:kinsoku/>
        <w:wordWrap/>
        <w:overflowPunct/>
        <w:topLinePunct w:val="0"/>
        <w:autoSpaceDE/>
        <w:autoSpaceDN/>
        <w:bidi w:val="0"/>
        <w:snapToGrid/>
        <w:spacing w:after="0"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p>
    <w:p w14:paraId="21BBD34F">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 xml:space="preserve">法定代表人或其委托代理人：  </w:t>
      </w: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法定代表人或其委托代理人：</w:t>
      </w:r>
    </w:p>
    <w:p w14:paraId="26A9F695">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（签字</w:t>
      </w:r>
      <w:r>
        <w:rPr>
          <w:rFonts w:hint="eastAsia" w:ascii="仿宋" w:hAnsi="仿宋" w:eastAsia="仿宋" w:cs="仿宋"/>
          <w:color w:val="000000" w:themeColor="text1"/>
          <w:spacing w:val="-3"/>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w:t>
      </w:r>
      <w:r>
        <w:rPr>
          <w:rFonts w:hint="eastAsia" w:ascii="仿宋" w:hAnsi="仿宋" w:eastAsia="仿宋" w:cs="仿宋"/>
          <w:color w:val="000000" w:themeColor="text1"/>
          <w:spacing w:val="-4"/>
          <w:sz w:val="24"/>
          <w:szCs w:val="24"/>
          <w:highlight w:val="none"/>
          <w14:textFill>
            <w14:solidFill>
              <w14:schemeClr w14:val="tx1"/>
            </w14:solidFill>
          </w14:textFill>
        </w:rPr>
        <w:t>签字）</w:t>
      </w:r>
    </w:p>
    <w:p w14:paraId="7A9019A5">
      <w:pPr>
        <w:pStyle w:val="9"/>
        <w:keepNext w:val="0"/>
        <w:keepLines w:val="0"/>
        <w:pageBreakBefore w:val="0"/>
        <w:widowControl w:val="0"/>
        <w:kinsoku/>
        <w:wordWrap/>
        <w:overflowPunct/>
        <w:topLinePunct w:val="0"/>
        <w:autoSpaceDE/>
        <w:autoSpaceDN/>
        <w:bidi w:val="0"/>
        <w:snapToGrid/>
        <w:spacing w:after="0"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p>
    <w:p w14:paraId="61308939">
      <w:pPr>
        <w:pStyle w:val="9"/>
        <w:keepNext w:val="0"/>
        <w:keepLines w:val="0"/>
        <w:pageBreakBefore w:val="0"/>
        <w:widowControl w:val="0"/>
        <w:kinsoku/>
        <w:wordWrap/>
        <w:overflowPunct/>
        <w:topLinePunct w:val="0"/>
        <w:autoSpaceDE/>
        <w:autoSpaceDN/>
        <w:bidi w:val="0"/>
        <w:snapToGrid/>
        <w:spacing w:after="0"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p>
    <w:p w14:paraId="06BDABE9">
      <w:pPr>
        <w:pStyle w:val="9"/>
        <w:keepNext w:val="0"/>
        <w:keepLines w:val="0"/>
        <w:pageBreakBefore w:val="0"/>
        <w:widowControl w:val="0"/>
        <w:kinsoku/>
        <w:wordWrap/>
        <w:overflowPunct/>
        <w:topLinePunct w:val="0"/>
        <w:autoSpaceDE/>
        <w:autoSpaceDN/>
        <w:bidi w:val="0"/>
        <w:snapToGrid/>
        <w:spacing w:after="0"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p>
    <w:p w14:paraId="6E2DD069">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组织机构代码：</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组织机构代码：</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w:t>
      </w:r>
    </w:p>
    <w:p w14:paraId="24056431">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地</w:t>
      </w:r>
      <w:r>
        <w:rPr>
          <w:rFonts w:hint="eastAsia" w:ascii="仿宋" w:hAnsi="仿宋" w:eastAsia="仿宋" w:cs="仿宋"/>
          <w:color w:val="000000" w:themeColor="text1"/>
          <w:spacing w:val="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地  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0644F5F6">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邮政编码：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邮政编码：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61468877">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法定代表人：</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法定代表人：</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w:t>
      </w:r>
    </w:p>
    <w:p w14:paraId="050E3134">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委托代理人：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委托代理人：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4A897184">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1"/>
          <w:sz w:val="24"/>
          <w:szCs w:val="24"/>
          <w:highlight w:val="none"/>
          <w14:textFill>
            <w14:solidFill>
              <w14:schemeClr w14:val="tx1"/>
            </w14:solidFill>
          </w14:textFill>
        </w:rPr>
        <w:t>电</w:t>
      </w:r>
      <w:r>
        <w:rPr>
          <w:rFonts w:hint="eastAsia" w:ascii="仿宋" w:hAnsi="仿宋" w:eastAsia="仿宋" w:cs="仿宋"/>
          <w:color w:val="000000" w:themeColor="text1"/>
          <w:spacing w:val="1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1"/>
          <w:sz w:val="24"/>
          <w:szCs w:val="24"/>
          <w:highlight w:val="none"/>
          <w14:textFill>
            <w14:solidFill>
              <w14:schemeClr w14:val="tx1"/>
            </w14:solidFill>
          </w14:textFill>
        </w:rPr>
        <w:t>话：</w:t>
      </w:r>
      <w:r>
        <w:rPr>
          <w:rFonts w:hint="eastAsia" w:ascii="仿宋" w:hAnsi="仿宋" w:eastAsia="仿宋" w:cs="仿宋"/>
          <w:color w:val="000000" w:themeColor="text1"/>
          <w:spacing w:val="-1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2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3"/>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11"/>
          <w:sz w:val="24"/>
          <w:szCs w:val="24"/>
          <w:highlight w:val="none"/>
          <w14:textFill>
            <w14:solidFill>
              <w14:schemeClr w14:val="tx1"/>
            </w14:solidFill>
          </w14:textFill>
        </w:rPr>
        <w:t>电</w:t>
      </w:r>
      <w:r>
        <w:rPr>
          <w:rFonts w:hint="eastAsia" w:ascii="仿宋" w:hAnsi="仿宋" w:eastAsia="仿宋" w:cs="仿宋"/>
          <w:color w:val="000000" w:themeColor="text1"/>
          <w:spacing w:val="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1"/>
          <w:sz w:val="24"/>
          <w:szCs w:val="24"/>
          <w:highlight w:val="none"/>
          <w14:textFill>
            <w14:solidFill>
              <w14:schemeClr w14:val="tx1"/>
            </w14:solidFill>
          </w14:textFill>
        </w:rPr>
        <w:t>话：</w:t>
      </w:r>
      <w:r>
        <w:rPr>
          <w:rFonts w:hint="eastAsia" w:ascii="仿宋" w:hAnsi="仿宋" w:eastAsia="仿宋" w:cs="仿宋"/>
          <w:color w:val="000000" w:themeColor="text1"/>
          <w:spacing w:val="-11"/>
          <w:sz w:val="24"/>
          <w:szCs w:val="24"/>
          <w:highlight w:val="none"/>
          <w:u w:val="single"/>
          <w14:textFill>
            <w14:solidFill>
              <w14:schemeClr w14:val="tx1"/>
            </w14:solidFill>
          </w14:textFill>
        </w:rPr>
        <w:t xml:space="preserve">                       </w:t>
      </w:r>
    </w:p>
    <w:p w14:paraId="16475B75">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传</w:t>
      </w:r>
      <w:r>
        <w:rPr>
          <w:rFonts w:hint="eastAsia" w:ascii="仿宋" w:hAnsi="仿宋" w:eastAsia="仿宋" w:cs="仿宋"/>
          <w:color w:val="000000" w:themeColor="text1"/>
          <w:spacing w:val="1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真：</w:t>
      </w:r>
      <w:r>
        <w:rPr>
          <w:rFonts w:hint="eastAsia" w:ascii="仿宋" w:hAnsi="仿宋" w:eastAsia="仿宋" w:cs="仿宋"/>
          <w:color w:val="000000" w:themeColor="text1"/>
          <w:spacing w:val="7"/>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传</w:t>
      </w:r>
      <w:r>
        <w:rPr>
          <w:rFonts w:hint="eastAsia" w:ascii="仿宋" w:hAnsi="仿宋" w:eastAsia="仿宋" w:cs="仿宋"/>
          <w:color w:val="000000" w:themeColor="text1"/>
          <w:spacing w:val="1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31619457">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9"/>
          <w:sz w:val="24"/>
          <w:szCs w:val="24"/>
          <w:highlight w:val="none"/>
          <w14:textFill>
            <w14:solidFill>
              <w14:schemeClr w14:val="tx1"/>
            </w14:solidFill>
          </w14:textFill>
        </w:rPr>
        <w:t>电子信箱：</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2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4"/>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9"/>
          <w:sz w:val="24"/>
          <w:szCs w:val="24"/>
          <w:highlight w:val="none"/>
          <w14:textFill>
            <w14:solidFill>
              <w14:schemeClr w14:val="tx1"/>
            </w14:solidFill>
          </w14:textFill>
        </w:rPr>
        <w:t>电子信箱：</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33306B10">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开户银行：</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开户银行：</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3B7B795C">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8"/>
          <w:sz w:val="24"/>
          <w:szCs w:val="24"/>
          <w:highlight w:val="none"/>
          <w14:textFill>
            <w14:solidFill>
              <w14:schemeClr w14:val="tx1"/>
            </w14:solidFill>
          </w14:textFill>
        </w:rPr>
        <w:t>账</w:t>
      </w:r>
      <w:r>
        <w:rPr>
          <w:rFonts w:hint="eastAsia" w:ascii="仿宋" w:hAnsi="仿宋" w:eastAsia="仿宋" w:cs="仿宋"/>
          <w:color w:val="000000" w:themeColor="text1"/>
          <w:spacing w:val="1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14:textFill>
            <w14:solidFill>
              <w14:schemeClr w14:val="tx1"/>
            </w14:solidFill>
          </w14:textFill>
        </w:rPr>
        <w:t>号：</w:t>
      </w:r>
      <w:r>
        <w:rPr>
          <w:rFonts w:hint="eastAsia" w:ascii="仿宋" w:hAnsi="仿宋" w:eastAsia="仿宋" w:cs="仿宋"/>
          <w:color w:val="000000" w:themeColor="text1"/>
          <w:spacing w:val="7"/>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9"/>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14:textFill>
            <w14:solidFill>
              <w14:schemeClr w14:val="tx1"/>
            </w14:solidFill>
          </w14:textFill>
        </w:rPr>
        <w:t>账</w:t>
      </w:r>
      <w:r>
        <w:rPr>
          <w:rFonts w:hint="eastAsia" w:ascii="仿宋" w:hAnsi="仿宋" w:eastAsia="仿宋" w:cs="仿宋"/>
          <w:color w:val="000000" w:themeColor="text1"/>
          <w:spacing w:val="1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14:textFill>
            <w14:solidFill>
              <w14:schemeClr w14:val="tx1"/>
            </w14:solidFill>
          </w14:textFill>
        </w:rPr>
        <w:t>号：</w:t>
      </w:r>
      <w:r>
        <w:rPr>
          <w:rFonts w:hint="eastAsia" w:ascii="仿宋" w:hAnsi="仿宋" w:eastAsia="仿宋" w:cs="仿宋"/>
          <w:color w:val="000000" w:themeColor="text1"/>
          <w:spacing w:val="-8"/>
          <w:sz w:val="24"/>
          <w:szCs w:val="24"/>
          <w:highlight w:val="none"/>
          <w:u w:val="single"/>
          <w14:textFill>
            <w14:solidFill>
              <w14:schemeClr w14:val="tx1"/>
            </w14:solidFill>
          </w14:textFill>
        </w:rPr>
        <w:t xml:space="preserve">                      </w:t>
      </w:r>
    </w:p>
    <w:p w14:paraId="2F0D4BBB">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sectPr>
          <w:headerReference r:id="rId12" w:type="default"/>
          <w:footerReference r:id="rId13" w:type="default"/>
          <w:pgSz w:w="11907" w:h="16839"/>
          <w:pgMar w:top="1417" w:right="1417" w:bottom="1417" w:left="1417" w:header="1092" w:footer="946" w:gutter="0"/>
          <w:cols w:space="720" w:num="1"/>
          <w:rtlGutter w:val="0"/>
          <w:docGrid w:linePitch="0" w:charSpace="0"/>
        </w:sectPr>
      </w:pPr>
    </w:p>
    <w:p w14:paraId="2708675B">
      <w:pPr>
        <w:keepNext w:val="0"/>
        <w:keepLines w:val="0"/>
        <w:pageBreakBefore w:val="0"/>
        <w:widowControl w:val="0"/>
        <w:kinsoku/>
        <w:wordWrap/>
        <w:overflowPunct/>
        <w:topLinePunct w:val="0"/>
        <w:autoSpaceDE/>
        <w:autoSpaceDN/>
        <w:bidi w:val="0"/>
        <w:snapToGrid/>
        <w:spacing w:line="360" w:lineRule="auto"/>
        <w:ind w:left="0" w:leftChars="0" w:right="0" w:rightChars="0"/>
        <w:jc w:val="center"/>
        <w:outlineLvl w:val="1"/>
        <w:rPr>
          <w:rFonts w:hint="eastAsia" w:ascii="仿宋" w:hAnsi="仿宋" w:eastAsia="仿宋" w:cs="仿宋"/>
          <w:color w:val="000000" w:themeColor="text1"/>
          <w:sz w:val="24"/>
          <w:szCs w:val="24"/>
          <w:highlight w:val="none"/>
          <w14:textFill>
            <w14:solidFill>
              <w14:schemeClr w14:val="tx1"/>
            </w14:solidFill>
          </w14:textFill>
        </w:rPr>
      </w:pPr>
      <w:bookmarkStart w:id="81" w:name="bookmark115"/>
      <w:bookmarkEnd w:id="81"/>
      <w:bookmarkStart w:id="82" w:name="bookmark114"/>
      <w:bookmarkEnd w:id="82"/>
      <w:bookmarkStart w:id="83" w:name="_Toc15683"/>
      <w:r>
        <w:rPr>
          <w:rFonts w:hint="eastAsia" w:ascii="仿宋" w:hAnsi="仿宋" w:eastAsia="仿宋" w:cs="仿宋"/>
          <w:b/>
          <w:bCs/>
          <w:color w:val="000000" w:themeColor="text1"/>
          <w:spacing w:val="-3"/>
          <w:sz w:val="24"/>
          <w:szCs w:val="24"/>
          <w:highlight w:val="none"/>
          <w14:textFill>
            <w14:solidFill>
              <w14:schemeClr w14:val="tx1"/>
            </w14:solidFill>
          </w14:textFill>
        </w:rPr>
        <w:t>第二部分</w:t>
      </w:r>
      <w:r>
        <w:rPr>
          <w:rFonts w:hint="eastAsia" w:ascii="仿宋" w:hAnsi="仿宋" w:eastAsia="仿宋" w:cs="仿宋"/>
          <w:color w:val="000000" w:themeColor="text1"/>
          <w:spacing w:val="-3"/>
          <w:sz w:val="24"/>
          <w:szCs w:val="24"/>
          <w:highlight w:val="none"/>
          <w14:textFill>
            <w14:solidFill>
              <w14:schemeClr w14:val="tx1"/>
            </w14:solidFill>
          </w14:textFill>
        </w:rPr>
        <w:t xml:space="preserve"> </w:t>
      </w:r>
      <w:r>
        <w:rPr>
          <w:rFonts w:hint="eastAsia" w:ascii="仿宋" w:hAnsi="仿宋" w:eastAsia="仿宋" w:cs="仿宋"/>
          <w:b/>
          <w:bCs/>
          <w:color w:val="000000" w:themeColor="text1"/>
          <w:spacing w:val="-3"/>
          <w:sz w:val="24"/>
          <w:szCs w:val="24"/>
          <w:highlight w:val="none"/>
          <w14:textFill>
            <w14:solidFill>
              <w14:schemeClr w14:val="tx1"/>
            </w14:solidFill>
          </w14:textFill>
        </w:rPr>
        <w:t>通用合同条款</w:t>
      </w:r>
      <w:bookmarkEnd w:id="83"/>
    </w:p>
    <w:p w14:paraId="01AF5A14">
      <w:pPr>
        <w:pStyle w:val="9"/>
        <w:keepNext w:val="0"/>
        <w:keepLines w:val="0"/>
        <w:pageBreakBefore w:val="0"/>
        <w:widowControl w:val="0"/>
        <w:kinsoku/>
        <w:wordWrap/>
        <w:overflowPunct/>
        <w:topLinePunct w:val="0"/>
        <w:autoSpaceDE/>
        <w:autoSpaceDN/>
        <w:bidi w:val="0"/>
        <w:snapToGrid/>
        <w:spacing w:after="0"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p>
    <w:p w14:paraId="2F9D24EE">
      <w:pPr>
        <w:keepNext w:val="0"/>
        <w:keepLines w:val="0"/>
        <w:pageBreakBefore w:val="0"/>
        <w:widowControl w:val="0"/>
        <w:kinsoku/>
        <w:wordWrap/>
        <w:overflowPunct/>
        <w:topLinePunct w:val="0"/>
        <w:autoSpaceDE/>
        <w:autoSpaceDN/>
        <w:bidi w:val="0"/>
        <w:snapToGrid/>
        <w:spacing w:line="360" w:lineRule="auto"/>
        <w:ind w:left="0" w:leftChars="0" w:right="0" w:rightChars="0"/>
        <w:outlineLvl w:val="2"/>
        <w:rPr>
          <w:rFonts w:hint="eastAsia" w:ascii="仿宋" w:hAnsi="仿宋" w:eastAsia="仿宋" w:cs="仿宋"/>
          <w:color w:val="000000" w:themeColor="text1"/>
          <w:sz w:val="24"/>
          <w:szCs w:val="24"/>
          <w:highlight w:val="none"/>
          <w14:textFill>
            <w14:solidFill>
              <w14:schemeClr w14:val="tx1"/>
            </w14:solidFill>
          </w14:textFill>
        </w:rPr>
      </w:pPr>
      <w:bookmarkStart w:id="84" w:name="bookmark209"/>
      <w:bookmarkEnd w:id="84"/>
      <w:bookmarkStart w:id="85" w:name="_Toc9857"/>
      <w:r>
        <w:rPr>
          <w:rFonts w:hint="eastAsia" w:ascii="仿宋" w:hAnsi="仿宋" w:eastAsia="仿宋" w:cs="仿宋"/>
          <w:color w:val="000000" w:themeColor="text1"/>
          <w:spacing w:val="-8"/>
          <w:sz w:val="24"/>
          <w:szCs w:val="24"/>
          <w:highlight w:val="none"/>
          <w14:textFill>
            <w14:solidFill>
              <w14:schemeClr w14:val="tx1"/>
            </w14:solidFill>
          </w14:textFill>
        </w:rPr>
        <w:t>1.</w:t>
      </w:r>
      <w:r>
        <w:rPr>
          <w:rFonts w:hint="eastAsia" w:ascii="仿宋" w:hAnsi="仿宋" w:eastAsia="仿宋" w:cs="仿宋"/>
          <w:color w:val="000000" w:themeColor="text1"/>
          <w:spacing w:val="1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14:textFill>
            <w14:solidFill>
              <w14:schemeClr w14:val="tx1"/>
            </w14:solidFill>
          </w14:textFill>
        </w:rPr>
        <w:t>一般约定</w:t>
      </w:r>
      <w:bookmarkEnd w:id="85"/>
    </w:p>
    <w:p w14:paraId="125DA279">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1.1</w:t>
      </w:r>
      <w:r>
        <w:rPr>
          <w:rFonts w:hint="eastAsia" w:ascii="仿宋" w:hAnsi="仿宋" w:eastAsia="仿宋" w:cs="仿宋"/>
          <w:color w:val="000000" w:themeColor="text1"/>
          <w:spacing w:val="-5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词语定义与解释</w:t>
      </w:r>
    </w:p>
    <w:p w14:paraId="455549A8">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合同协议书、通用合同条款、专用合同条款中的下列词语具有本款</w:t>
      </w:r>
      <w:r>
        <w:rPr>
          <w:rFonts w:hint="eastAsia" w:ascii="仿宋" w:hAnsi="仿宋" w:eastAsia="仿宋" w:cs="仿宋"/>
          <w:color w:val="000000" w:themeColor="text1"/>
          <w:spacing w:val="-3"/>
          <w:sz w:val="24"/>
          <w:szCs w:val="24"/>
          <w:highlight w:val="none"/>
          <w14:textFill>
            <w14:solidFill>
              <w14:schemeClr w14:val="tx1"/>
            </w14:solidFill>
          </w14:textFill>
        </w:rPr>
        <w:t>所赋予的</w:t>
      </w:r>
      <w:r>
        <w:rPr>
          <w:rFonts w:hint="eastAsia" w:ascii="仿宋" w:hAnsi="仿宋" w:eastAsia="仿宋" w:cs="仿宋"/>
          <w:color w:val="000000" w:themeColor="text1"/>
          <w:spacing w:val="-17"/>
          <w:sz w:val="24"/>
          <w:szCs w:val="24"/>
          <w:highlight w:val="none"/>
          <w14:textFill>
            <w14:solidFill>
              <w14:schemeClr w14:val="tx1"/>
            </w14:solidFill>
          </w14:textFill>
        </w:rPr>
        <w:t>含义：</w:t>
      </w:r>
    </w:p>
    <w:p w14:paraId="65CF753D">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1.1.1</w:t>
      </w:r>
      <w:r>
        <w:rPr>
          <w:rFonts w:hint="eastAsia" w:ascii="仿宋" w:hAnsi="仿宋" w:eastAsia="仿宋" w:cs="仿宋"/>
          <w:color w:val="000000" w:themeColor="text1"/>
          <w:spacing w:val="1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合同</w:t>
      </w:r>
    </w:p>
    <w:p w14:paraId="58D2376D">
      <w:pPr>
        <w:keepNext w:val="0"/>
        <w:keepLines w:val="0"/>
        <w:pageBreakBefore w:val="0"/>
        <w:widowControl w:val="0"/>
        <w:kinsoku/>
        <w:wordWrap/>
        <w:overflowPunct/>
        <w:topLinePunct w:val="0"/>
        <w:autoSpaceDE/>
        <w:autoSpaceDN/>
        <w:bidi w:val="0"/>
        <w:snapToGrid/>
        <w:spacing w:line="360" w:lineRule="auto"/>
        <w:ind w:left="0" w:leftChars="0" w:right="0" w:rightChars="0" w:firstLine="57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1.1.1.1 合同：是指根据法律规定和合</w:t>
      </w:r>
      <w:r>
        <w:rPr>
          <w:rFonts w:hint="eastAsia" w:ascii="仿宋" w:hAnsi="仿宋" w:eastAsia="仿宋" w:cs="仿宋"/>
          <w:color w:val="000000" w:themeColor="text1"/>
          <w:spacing w:val="-3"/>
          <w:sz w:val="24"/>
          <w:szCs w:val="24"/>
          <w:highlight w:val="none"/>
          <w14:textFill>
            <w14:solidFill>
              <w14:schemeClr w14:val="tx1"/>
            </w14:solidFill>
          </w14:textFill>
        </w:rPr>
        <w:t>同当事人约定具有约束力的文件，构</w:t>
      </w:r>
      <w:r>
        <w:rPr>
          <w:rFonts w:hint="eastAsia" w:ascii="仿宋" w:hAnsi="仿宋" w:eastAsia="仿宋" w:cs="仿宋"/>
          <w:color w:val="000000" w:themeColor="text1"/>
          <w:spacing w:val="-2"/>
          <w:sz w:val="24"/>
          <w:szCs w:val="24"/>
          <w:highlight w:val="none"/>
          <w14:textFill>
            <w14:solidFill>
              <w14:schemeClr w14:val="tx1"/>
            </w14:solidFill>
          </w14:textFill>
        </w:rPr>
        <w:t>成合同的文件包括合同协议书、中标通知书（如果有</w:t>
      </w:r>
      <w:r>
        <w:rPr>
          <w:rFonts w:hint="eastAsia" w:ascii="仿宋" w:hAnsi="仿宋" w:eastAsia="仿宋" w:cs="仿宋"/>
          <w:color w:val="000000" w:themeColor="text1"/>
          <w:spacing w:val="-3"/>
          <w:sz w:val="24"/>
          <w:szCs w:val="24"/>
          <w:highlight w:val="none"/>
          <w14:textFill>
            <w14:solidFill>
              <w14:schemeClr w14:val="tx1"/>
            </w14:solidFill>
          </w14:textFill>
        </w:rPr>
        <w:t>）、投标函及其附录（如果</w:t>
      </w:r>
      <w:r>
        <w:rPr>
          <w:rFonts w:hint="eastAsia" w:ascii="仿宋" w:hAnsi="仿宋" w:eastAsia="仿宋" w:cs="仿宋"/>
          <w:color w:val="000000" w:themeColor="text1"/>
          <w:spacing w:val="-2"/>
          <w:sz w:val="24"/>
          <w:szCs w:val="24"/>
          <w:highlight w:val="none"/>
          <w14:textFill>
            <w14:solidFill>
              <w14:schemeClr w14:val="tx1"/>
            </w14:solidFill>
          </w14:textFill>
        </w:rPr>
        <w:t>有）、专用合同条款及其附件、通用合同条款、技术标准和要求、图纸、已标价工程量清单或预算书以及其他合同文件。</w:t>
      </w:r>
    </w:p>
    <w:p w14:paraId="2FF00AF2">
      <w:pPr>
        <w:keepNext w:val="0"/>
        <w:keepLines w:val="0"/>
        <w:pageBreakBefore w:val="0"/>
        <w:widowControl w:val="0"/>
        <w:kinsoku/>
        <w:wordWrap/>
        <w:overflowPunct/>
        <w:topLinePunct w:val="0"/>
        <w:autoSpaceDE/>
        <w:autoSpaceDN/>
        <w:bidi w:val="0"/>
        <w:snapToGrid/>
        <w:spacing w:line="360" w:lineRule="auto"/>
        <w:ind w:left="0" w:leftChars="0" w:right="0" w:rightChars="0" w:firstLine="59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1.1.1.2 合同协议书：是指构成合同的由发包人和承包人共同签署的称为</w:t>
      </w:r>
      <w:r>
        <w:rPr>
          <w:rFonts w:hint="eastAsia" w:ascii="仿宋" w:hAnsi="仿宋" w:eastAsia="仿宋" w:cs="仿宋"/>
          <w:color w:val="000000" w:themeColor="text1"/>
          <w:sz w:val="24"/>
          <w:szCs w:val="24"/>
          <w:highlight w:val="none"/>
          <w14:textFill>
            <w14:solidFill>
              <w14:schemeClr w14:val="tx1"/>
            </w14:solidFill>
          </w14:textFill>
        </w:rPr>
        <w:t>“合同协议书”的书面文件。</w:t>
      </w:r>
    </w:p>
    <w:p w14:paraId="26AB1E08">
      <w:pPr>
        <w:keepNext w:val="0"/>
        <w:keepLines w:val="0"/>
        <w:pageBreakBefore w:val="0"/>
        <w:widowControl w:val="0"/>
        <w:kinsoku/>
        <w:wordWrap/>
        <w:overflowPunct/>
        <w:topLinePunct w:val="0"/>
        <w:autoSpaceDE/>
        <w:autoSpaceDN/>
        <w:bidi w:val="0"/>
        <w:snapToGrid/>
        <w:spacing w:line="360" w:lineRule="auto"/>
        <w:ind w:left="0" w:leftChars="0" w:right="0" w:rightChars="0" w:firstLine="58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1.1.1.3</w:t>
      </w:r>
      <w:r>
        <w:rPr>
          <w:rFonts w:hint="eastAsia" w:ascii="仿宋" w:hAnsi="仿宋" w:eastAsia="仿宋" w:cs="仿宋"/>
          <w:color w:val="000000" w:themeColor="text1"/>
          <w:spacing w:val="3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中标通知书：是指构成合同的由发包人通知承包人中标的</w:t>
      </w:r>
      <w:r>
        <w:rPr>
          <w:rFonts w:hint="eastAsia" w:ascii="仿宋" w:hAnsi="仿宋" w:eastAsia="仿宋" w:cs="仿宋"/>
          <w:color w:val="000000" w:themeColor="text1"/>
          <w:spacing w:val="-3"/>
          <w:sz w:val="24"/>
          <w:szCs w:val="24"/>
          <w:highlight w:val="none"/>
          <w14:textFill>
            <w14:solidFill>
              <w14:schemeClr w14:val="tx1"/>
            </w14:solidFill>
          </w14:textFill>
        </w:rPr>
        <w:t>书面文</w:t>
      </w:r>
      <w:r>
        <w:rPr>
          <w:rFonts w:hint="eastAsia" w:ascii="仿宋" w:hAnsi="仿宋" w:eastAsia="仿宋" w:cs="仿宋"/>
          <w:color w:val="000000" w:themeColor="text1"/>
          <w:spacing w:val="-13"/>
          <w:sz w:val="24"/>
          <w:szCs w:val="24"/>
          <w:highlight w:val="none"/>
          <w14:textFill>
            <w14:solidFill>
              <w14:schemeClr w14:val="tx1"/>
            </w14:solidFill>
          </w14:textFill>
        </w:rPr>
        <w:t>件。</w:t>
      </w:r>
    </w:p>
    <w:p w14:paraId="0ADEF4CB">
      <w:pPr>
        <w:keepNext w:val="0"/>
        <w:keepLines w:val="0"/>
        <w:pageBreakBefore w:val="0"/>
        <w:widowControl w:val="0"/>
        <w:kinsoku/>
        <w:wordWrap/>
        <w:overflowPunct/>
        <w:topLinePunct w:val="0"/>
        <w:autoSpaceDE/>
        <w:autoSpaceDN/>
        <w:bidi w:val="0"/>
        <w:snapToGrid/>
        <w:spacing w:line="360" w:lineRule="auto"/>
        <w:ind w:left="0" w:leftChars="0" w:right="0" w:rightChars="0" w:firstLine="59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1.1.1.4 投标函：是指构成合同的由承包人填写并签署的用于投标的称为</w:t>
      </w:r>
      <w:r>
        <w:rPr>
          <w:rFonts w:hint="eastAsia" w:ascii="仿宋" w:hAnsi="仿宋" w:eastAsia="仿宋" w:cs="仿宋"/>
          <w:color w:val="000000" w:themeColor="text1"/>
          <w:spacing w:val="1"/>
          <w:sz w:val="24"/>
          <w:szCs w:val="24"/>
          <w:highlight w:val="none"/>
          <w14:textFill>
            <w14:solidFill>
              <w14:schemeClr w14:val="tx1"/>
            </w14:solidFill>
          </w14:textFill>
        </w:rPr>
        <w:t>“投标函”的文件。</w:t>
      </w:r>
    </w:p>
    <w:p w14:paraId="50316EBF">
      <w:pPr>
        <w:keepNext w:val="0"/>
        <w:keepLines w:val="0"/>
        <w:pageBreakBefore w:val="0"/>
        <w:widowControl w:val="0"/>
        <w:kinsoku/>
        <w:wordWrap/>
        <w:overflowPunct/>
        <w:topLinePunct w:val="0"/>
        <w:autoSpaceDE/>
        <w:autoSpaceDN/>
        <w:bidi w:val="0"/>
        <w:snapToGrid/>
        <w:spacing w:line="360" w:lineRule="auto"/>
        <w:ind w:left="0" w:leftChars="0" w:right="0" w:rightChars="0" w:firstLine="5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1.1.1.5 投标函附录：是指构成合同的附在投标函后的称为“</w:t>
      </w:r>
      <w:r>
        <w:rPr>
          <w:rFonts w:hint="eastAsia" w:ascii="仿宋" w:hAnsi="仿宋" w:eastAsia="仿宋" w:cs="仿宋"/>
          <w:color w:val="000000" w:themeColor="text1"/>
          <w:spacing w:val="2"/>
          <w:sz w:val="24"/>
          <w:szCs w:val="24"/>
          <w:highlight w:val="none"/>
          <w14:textFill>
            <w14:solidFill>
              <w14:schemeClr w14:val="tx1"/>
            </w14:solidFill>
          </w14:textFill>
        </w:rPr>
        <w:t>投标函附录”</w:t>
      </w:r>
      <w:r>
        <w:rPr>
          <w:rFonts w:hint="eastAsia" w:ascii="仿宋" w:hAnsi="仿宋" w:eastAsia="仿宋" w:cs="仿宋"/>
          <w:color w:val="000000" w:themeColor="text1"/>
          <w:spacing w:val="-14"/>
          <w:sz w:val="24"/>
          <w:szCs w:val="24"/>
          <w:highlight w:val="none"/>
          <w14:textFill>
            <w14:solidFill>
              <w14:schemeClr w14:val="tx1"/>
            </w14:solidFill>
          </w14:textFill>
        </w:rPr>
        <w:t>的文件。</w:t>
      </w:r>
    </w:p>
    <w:p w14:paraId="0503BA99">
      <w:pPr>
        <w:keepNext w:val="0"/>
        <w:keepLines w:val="0"/>
        <w:pageBreakBefore w:val="0"/>
        <w:widowControl w:val="0"/>
        <w:kinsoku/>
        <w:wordWrap/>
        <w:overflowPunct/>
        <w:topLinePunct w:val="0"/>
        <w:autoSpaceDE/>
        <w:autoSpaceDN/>
        <w:bidi w:val="0"/>
        <w:snapToGrid/>
        <w:spacing w:line="360" w:lineRule="auto"/>
        <w:ind w:left="0" w:leftChars="0" w:right="0" w:rightChars="0" w:firstLine="57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1.1.1.6 技术标准和要求：是指构成合</w:t>
      </w:r>
      <w:r>
        <w:rPr>
          <w:rFonts w:hint="eastAsia" w:ascii="仿宋" w:hAnsi="仿宋" w:eastAsia="仿宋" w:cs="仿宋"/>
          <w:color w:val="000000" w:themeColor="text1"/>
          <w:spacing w:val="-3"/>
          <w:sz w:val="24"/>
          <w:szCs w:val="24"/>
          <w:highlight w:val="none"/>
          <w14:textFill>
            <w14:solidFill>
              <w14:schemeClr w14:val="tx1"/>
            </w14:solidFill>
          </w14:textFill>
        </w:rPr>
        <w:t>同的施工应当遵守的或指导施工的国</w:t>
      </w:r>
      <w:r>
        <w:rPr>
          <w:rFonts w:hint="eastAsia" w:ascii="仿宋" w:hAnsi="仿宋" w:eastAsia="仿宋" w:cs="仿宋"/>
          <w:color w:val="000000" w:themeColor="text1"/>
          <w:spacing w:val="-1"/>
          <w:sz w:val="24"/>
          <w:szCs w:val="24"/>
          <w:highlight w:val="none"/>
          <w14:textFill>
            <w14:solidFill>
              <w14:schemeClr w14:val="tx1"/>
            </w14:solidFill>
          </w14:textFill>
        </w:rPr>
        <w:t>家、行业或地方的技术标准和要求，以及合</w:t>
      </w:r>
      <w:r>
        <w:rPr>
          <w:rFonts w:hint="eastAsia" w:ascii="仿宋" w:hAnsi="仿宋" w:eastAsia="仿宋" w:cs="仿宋"/>
          <w:color w:val="000000" w:themeColor="text1"/>
          <w:spacing w:val="-2"/>
          <w:sz w:val="24"/>
          <w:szCs w:val="24"/>
          <w:highlight w:val="none"/>
          <w14:textFill>
            <w14:solidFill>
              <w14:schemeClr w14:val="tx1"/>
            </w14:solidFill>
          </w14:textFill>
        </w:rPr>
        <w:t>同约定的技术标准和要求。</w:t>
      </w:r>
    </w:p>
    <w:p w14:paraId="7543C679">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1.1.1.7</w:t>
      </w:r>
      <w:r>
        <w:rPr>
          <w:rFonts w:hint="eastAsia" w:ascii="仿宋" w:hAnsi="仿宋" w:eastAsia="仿宋" w:cs="仿宋"/>
          <w:color w:val="000000" w:themeColor="text1"/>
          <w:spacing w:val="4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图纸：是指构成合同的图纸</w:t>
      </w:r>
      <w:r>
        <w:rPr>
          <w:rFonts w:hint="eastAsia" w:ascii="仿宋" w:hAnsi="仿宋" w:eastAsia="仿宋" w:cs="仿宋"/>
          <w:color w:val="000000" w:themeColor="text1"/>
          <w:spacing w:val="-4"/>
          <w:sz w:val="24"/>
          <w:szCs w:val="24"/>
          <w:highlight w:val="none"/>
          <w14:textFill>
            <w14:solidFill>
              <w14:schemeClr w14:val="tx1"/>
            </w14:solidFill>
          </w14:textFill>
        </w:rPr>
        <w:t>，包括由发包人按照合同约定提供或经</w:t>
      </w:r>
      <w:r>
        <w:rPr>
          <w:rFonts w:hint="eastAsia" w:ascii="仿宋" w:hAnsi="仿宋" w:eastAsia="仿宋" w:cs="仿宋"/>
          <w:color w:val="000000" w:themeColor="text1"/>
          <w:spacing w:val="-2"/>
          <w:sz w:val="24"/>
          <w:szCs w:val="24"/>
          <w:highlight w:val="none"/>
          <w14:textFill>
            <w14:solidFill>
              <w14:schemeClr w14:val="tx1"/>
            </w14:solidFill>
          </w14:textFill>
        </w:rPr>
        <w:t>发包人批准的设计文件、施工图、鸟瞰图及模型等，以及在合同履行过程中</w:t>
      </w:r>
      <w:r>
        <w:rPr>
          <w:rFonts w:hint="eastAsia" w:ascii="仿宋" w:hAnsi="仿宋" w:eastAsia="仿宋" w:cs="仿宋"/>
          <w:color w:val="000000" w:themeColor="text1"/>
          <w:spacing w:val="-3"/>
          <w:sz w:val="24"/>
          <w:szCs w:val="24"/>
          <w:highlight w:val="none"/>
          <w14:textFill>
            <w14:solidFill>
              <w14:schemeClr w14:val="tx1"/>
            </w14:solidFill>
          </w14:textFill>
        </w:rPr>
        <w:t>形成</w:t>
      </w:r>
      <w:r>
        <w:rPr>
          <w:rFonts w:hint="eastAsia" w:ascii="仿宋" w:hAnsi="仿宋" w:eastAsia="仿宋" w:cs="仿宋"/>
          <w:color w:val="000000" w:themeColor="text1"/>
          <w:spacing w:val="-2"/>
          <w:sz w:val="24"/>
          <w:szCs w:val="24"/>
          <w:highlight w:val="none"/>
          <w14:textFill>
            <w14:solidFill>
              <w14:schemeClr w14:val="tx1"/>
            </w14:solidFill>
          </w14:textFill>
        </w:rPr>
        <w:t>的图纸文件。图纸应当按照法律规定审查合格。</w:t>
      </w:r>
    </w:p>
    <w:p w14:paraId="76472B96">
      <w:pPr>
        <w:keepNext w:val="0"/>
        <w:keepLines w:val="0"/>
        <w:pageBreakBefore w:val="0"/>
        <w:widowControl w:val="0"/>
        <w:kinsoku/>
        <w:wordWrap/>
        <w:overflowPunct/>
        <w:topLinePunct w:val="0"/>
        <w:autoSpaceDE/>
        <w:autoSpaceDN/>
        <w:bidi w:val="0"/>
        <w:snapToGrid/>
        <w:spacing w:line="360" w:lineRule="auto"/>
        <w:ind w:left="0" w:leftChars="0" w:right="0" w:rightChars="0" w:firstLine="56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1.1.1.8</w:t>
      </w:r>
      <w:r>
        <w:rPr>
          <w:rFonts w:hint="eastAsia" w:ascii="仿宋" w:hAnsi="仿宋" w:eastAsia="仿宋" w:cs="仿宋"/>
          <w:color w:val="000000" w:themeColor="text1"/>
          <w:spacing w:val="4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已标价工程量清单：是指构成合同的由承包</w:t>
      </w:r>
      <w:r>
        <w:rPr>
          <w:rFonts w:hint="eastAsia" w:ascii="仿宋" w:hAnsi="仿宋" w:eastAsia="仿宋" w:cs="仿宋"/>
          <w:color w:val="000000" w:themeColor="text1"/>
          <w:spacing w:val="-4"/>
          <w:sz w:val="24"/>
          <w:szCs w:val="24"/>
          <w:highlight w:val="none"/>
          <w14:textFill>
            <w14:solidFill>
              <w14:schemeClr w14:val="tx1"/>
            </w14:solidFill>
          </w14:textFill>
        </w:rPr>
        <w:t>人按照规定的格式和要</w:t>
      </w:r>
      <w:r>
        <w:rPr>
          <w:rFonts w:hint="eastAsia" w:ascii="仿宋" w:hAnsi="仿宋" w:eastAsia="仿宋" w:cs="仿宋"/>
          <w:color w:val="000000" w:themeColor="text1"/>
          <w:spacing w:val="-2"/>
          <w:sz w:val="24"/>
          <w:szCs w:val="24"/>
          <w:highlight w:val="none"/>
          <w14:textFill>
            <w14:solidFill>
              <w14:schemeClr w14:val="tx1"/>
            </w14:solidFill>
          </w14:textFill>
        </w:rPr>
        <w:t>求填写并标明价格的工程量清单，包括说明和表格。</w:t>
      </w:r>
    </w:p>
    <w:p w14:paraId="2C350FEC">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1.1.1.9 预算书：是指构成合同的由承包人按照发包人规定的格式和要求编制的工程预算文件。</w:t>
      </w:r>
    </w:p>
    <w:p w14:paraId="513221D6">
      <w:pPr>
        <w:keepNext w:val="0"/>
        <w:keepLines w:val="0"/>
        <w:pageBreakBefore w:val="0"/>
        <w:widowControl w:val="0"/>
        <w:kinsoku/>
        <w:wordWrap/>
        <w:overflowPunct/>
        <w:topLinePunct w:val="0"/>
        <w:autoSpaceDE/>
        <w:autoSpaceDN/>
        <w:bidi w:val="0"/>
        <w:snapToGrid/>
        <w:spacing w:line="360" w:lineRule="auto"/>
        <w:ind w:left="0" w:leftChars="0" w:right="0" w:rightChars="0" w:firstLine="57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HYPERLINK "file:///E:\\路紫婷\\2025年\\高新区施工\\1.1.1.10"</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pacing w:val="-1"/>
          <w:sz w:val="24"/>
          <w:szCs w:val="24"/>
          <w:highlight w:val="none"/>
          <w14:textFill>
            <w14:solidFill>
              <w14:schemeClr w14:val="tx1"/>
            </w14:solidFill>
          </w14:textFill>
        </w:rPr>
        <w:t>1.1.1.10</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pacing w:val="-1"/>
          <w:sz w:val="24"/>
          <w:szCs w:val="24"/>
          <w:highlight w:val="none"/>
          <w14:textFill>
            <w14:solidFill>
              <w14:schemeClr w14:val="tx1"/>
            </w14:solidFill>
          </w14:textFill>
        </w:rPr>
        <w:t xml:space="preserve"> 其他合同文件：是指经合同当事人约定的与工程施工有关的具有合同约束力的文件或书面协议。合同当事人可以在专用合同条款中进行</w:t>
      </w:r>
      <w:r>
        <w:rPr>
          <w:rFonts w:hint="eastAsia" w:ascii="仿宋" w:hAnsi="仿宋" w:eastAsia="仿宋" w:cs="仿宋"/>
          <w:color w:val="000000" w:themeColor="text1"/>
          <w:spacing w:val="-2"/>
          <w:sz w:val="24"/>
          <w:szCs w:val="24"/>
          <w:highlight w:val="none"/>
          <w14:textFill>
            <w14:solidFill>
              <w14:schemeClr w14:val="tx1"/>
            </w14:solidFill>
          </w14:textFill>
        </w:rPr>
        <w:t>约定。</w:t>
      </w:r>
    </w:p>
    <w:p w14:paraId="0912CB74">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1.1.2 合同当事人及其他相关方</w:t>
      </w:r>
    </w:p>
    <w:p w14:paraId="1F911FFC">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1.1.2.1 合同当事人：是指发包人和（或）承包人。</w:t>
      </w:r>
    </w:p>
    <w:p w14:paraId="1D956800">
      <w:pPr>
        <w:keepNext w:val="0"/>
        <w:keepLines w:val="0"/>
        <w:pageBreakBefore w:val="0"/>
        <w:widowControl w:val="0"/>
        <w:kinsoku/>
        <w:wordWrap/>
        <w:overflowPunct/>
        <w:topLinePunct w:val="0"/>
        <w:autoSpaceDE/>
        <w:autoSpaceDN/>
        <w:bidi w:val="0"/>
        <w:snapToGrid/>
        <w:spacing w:line="360" w:lineRule="auto"/>
        <w:ind w:left="0" w:leftChars="0" w:right="0" w:rightChars="0" w:firstLine="5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1.1.2.2 发包人：是指与承包人签订合</w:t>
      </w:r>
      <w:r>
        <w:rPr>
          <w:rFonts w:hint="eastAsia" w:ascii="仿宋" w:hAnsi="仿宋" w:eastAsia="仿宋" w:cs="仿宋"/>
          <w:color w:val="000000" w:themeColor="text1"/>
          <w:spacing w:val="-3"/>
          <w:sz w:val="24"/>
          <w:szCs w:val="24"/>
          <w:highlight w:val="none"/>
          <w14:textFill>
            <w14:solidFill>
              <w14:schemeClr w14:val="tx1"/>
            </w14:solidFill>
          </w14:textFill>
        </w:rPr>
        <w:t>同协议书的当事人及取得该当事人资</w:t>
      </w:r>
      <w:r>
        <w:rPr>
          <w:rFonts w:hint="eastAsia" w:ascii="仿宋" w:hAnsi="仿宋" w:eastAsia="仿宋" w:cs="仿宋"/>
          <w:color w:val="000000" w:themeColor="text1"/>
          <w:spacing w:val="-1"/>
          <w:sz w:val="24"/>
          <w:szCs w:val="24"/>
          <w:highlight w:val="none"/>
          <w14:textFill>
            <w14:solidFill>
              <w14:schemeClr w14:val="tx1"/>
            </w14:solidFill>
          </w14:textFill>
        </w:rPr>
        <w:t>格的合法继承人。</w:t>
      </w:r>
    </w:p>
    <w:p w14:paraId="0C71D103">
      <w:pPr>
        <w:keepNext w:val="0"/>
        <w:keepLines w:val="0"/>
        <w:pageBreakBefore w:val="0"/>
        <w:widowControl w:val="0"/>
        <w:kinsoku/>
        <w:wordWrap/>
        <w:overflowPunct/>
        <w:topLinePunct w:val="0"/>
        <w:autoSpaceDE/>
        <w:autoSpaceDN/>
        <w:bidi w:val="0"/>
        <w:snapToGrid/>
        <w:spacing w:line="360" w:lineRule="auto"/>
        <w:ind w:left="0" w:leftChars="0" w:right="0" w:rightChars="0" w:firstLine="56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1.1.2.3 承包人：是指与发包人签订合</w:t>
      </w:r>
      <w:r>
        <w:rPr>
          <w:rFonts w:hint="eastAsia" w:ascii="仿宋" w:hAnsi="仿宋" w:eastAsia="仿宋" w:cs="仿宋"/>
          <w:color w:val="000000" w:themeColor="text1"/>
          <w:spacing w:val="-3"/>
          <w:sz w:val="24"/>
          <w:szCs w:val="24"/>
          <w:highlight w:val="none"/>
          <w14:textFill>
            <w14:solidFill>
              <w14:schemeClr w14:val="tx1"/>
            </w14:solidFill>
          </w14:textFill>
        </w:rPr>
        <w:t>同协议书的，具有相应工程施工承包</w:t>
      </w:r>
      <w:r>
        <w:rPr>
          <w:rFonts w:hint="eastAsia" w:ascii="仿宋" w:hAnsi="仿宋" w:eastAsia="仿宋" w:cs="仿宋"/>
          <w:color w:val="000000" w:themeColor="text1"/>
          <w:spacing w:val="-2"/>
          <w:sz w:val="24"/>
          <w:szCs w:val="24"/>
          <w:highlight w:val="none"/>
          <w14:textFill>
            <w14:solidFill>
              <w14:schemeClr w14:val="tx1"/>
            </w14:solidFill>
          </w14:textFill>
        </w:rPr>
        <w:t>资质的当事人及取得该当事人资格的合法继承人。</w:t>
      </w:r>
    </w:p>
    <w:p w14:paraId="4EC3A035">
      <w:pPr>
        <w:keepNext w:val="0"/>
        <w:keepLines w:val="0"/>
        <w:pageBreakBefore w:val="0"/>
        <w:widowControl w:val="0"/>
        <w:kinsoku/>
        <w:wordWrap/>
        <w:overflowPunct/>
        <w:topLinePunct w:val="0"/>
        <w:autoSpaceDE/>
        <w:autoSpaceDN/>
        <w:bidi w:val="0"/>
        <w:snapToGrid/>
        <w:spacing w:line="360" w:lineRule="auto"/>
        <w:ind w:left="0" w:leftChars="0" w:right="0" w:rightChars="0" w:firstLine="57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1.1.2.4 监理人：是指在专用合同条款</w:t>
      </w:r>
      <w:r>
        <w:rPr>
          <w:rFonts w:hint="eastAsia" w:ascii="仿宋" w:hAnsi="仿宋" w:eastAsia="仿宋" w:cs="仿宋"/>
          <w:color w:val="000000" w:themeColor="text1"/>
          <w:spacing w:val="-3"/>
          <w:sz w:val="24"/>
          <w:szCs w:val="24"/>
          <w:highlight w:val="none"/>
          <w14:textFill>
            <w14:solidFill>
              <w14:schemeClr w14:val="tx1"/>
            </w14:solidFill>
          </w14:textFill>
        </w:rPr>
        <w:t>中指明的，受发包人委托按照法律规定进行工程监督管理的法人或其他组织。</w:t>
      </w:r>
    </w:p>
    <w:p w14:paraId="531834B3">
      <w:pPr>
        <w:keepNext w:val="0"/>
        <w:keepLines w:val="0"/>
        <w:pageBreakBefore w:val="0"/>
        <w:widowControl w:val="0"/>
        <w:kinsoku/>
        <w:wordWrap/>
        <w:overflowPunct/>
        <w:topLinePunct w:val="0"/>
        <w:autoSpaceDE/>
        <w:autoSpaceDN/>
        <w:bidi w:val="0"/>
        <w:snapToGrid/>
        <w:spacing w:line="360" w:lineRule="auto"/>
        <w:ind w:left="0" w:leftChars="0" w:right="0" w:rightChars="0" w:firstLine="5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1.1.2.5 设计人：是指在专用合同条款</w:t>
      </w:r>
      <w:r>
        <w:rPr>
          <w:rFonts w:hint="eastAsia" w:ascii="仿宋" w:hAnsi="仿宋" w:eastAsia="仿宋" w:cs="仿宋"/>
          <w:color w:val="000000" w:themeColor="text1"/>
          <w:spacing w:val="-3"/>
          <w:sz w:val="24"/>
          <w:szCs w:val="24"/>
          <w:highlight w:val="none"/>
          <w14:textFill>
            <w14:solidFill>
              <w14:schemeClr w14:val="tx1"/>
            </w14:solidFill>
          </w14:textFill>
        </w:rPr>
        <w:t>中指明的，受发包人委托负责工程设</w:t>
      </w:r>
      <w:r>
        <w:rPr>
          <w:rFonts w:hint="eastAsia" w:ascii="仿宋" w:hAnsi="仿宋" w:eastAsia="仿宋" w:cs="仿宋"/>
          <w:color w:val="000000" w:themeColor="text1"/>
          <w:spacing w:val="-1"/>
          <w:sz w:val="24"/>
          <w:szCs w:val="24"/>
          <w:highlight w:val="none"/>
          <w14:textFill>
            <w14:solidFill>
              <w14:schemeClr w14:val="tx1"/>
            </w14:solidFill>
          </w14:textFill>
        </w:rPr>
        <w:t>计并具备相应工程设计资质的法人或其他组织。</w:t>
      </w:r>
    </w:p>
    <w:p w14:paraId="7F49800D">
      <w:pPr>
        <w:keepNext w:val="0"/>
        <w:keepLines w:val="0"/>
        <w:pageBreakBefore w:val="0"/>
        <w:widowControl w:val="0"/>
        <w:kinsoku/>
        <w:wordWrap/>
        <w:overflowPunct/>
        <w:topLinePunct w:val="0"/>
        <w:autoSpaceDE/>
        <w:autoSpaceDN/>
        <w:bidi w:val="0"/>
        <w:snapToGrid/>
        <w:spacing w:line="360" w:lineRule="auto"/>
        <w:ind w:left="0" w:leftChars="0" w:right="0" w:rightChars="0" w:firstLine="56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1.1.2.6 分包人：是指按照法律规定和合同约定，分包部分工程或工作，并</w:t>
      </w:r>
      <w:r>
        <w:rPr>
          <w:rFonts w:hint="eastAsia" w:ascii="仿宋" w:hAnsi="仿宋" w:eastAsia="仿宋" w:cs="仿宋"/>
          <w:color w:val="000000" w:themeColor="text1"/>
          <w:spacing w:val="-1"/>
          <w:sz w:val="24"/>
          <w:szCs w:val="24"/>
          <w:highlight w:val="none"/>
          <w14:textFill>
            <w14:solidFill>
              <w14:schemeClr w14:val="tx1"/>
            </w14:solidFill>
          </w14:textFill>
        </w:rPr>
        <w:t>与承包人签订分包合同的具有相应资质的法人。</w:t>
      </w:r>
    </w:p>
    <w:p w14:paraId="293F869C">
      <w:pPr>
        <w:keepNext w:val="0"/>
        <w:keepLines w:val="0"/>
        <w:pageBreakBefore w:val="0"/>
        <w:widowControl w:val="0"/>
        <w:kinsoku/>
        <w:wordWrap/>
        <w:overflowPunct/>
        <w:topLinePunct w:val="0"/>
        <w:autoSpaceDE/>
        <w:autoSpaceDN/>
        <w:bidi w:val="0"/>
        <w:snapToGrid/>
        <w:spacing w:line="360" w:lineRule="auto"/>
        <w:ind w:left="0" w:leftChars="0" w:right="0" w:rightChars="0" w:firstLine="54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1.1.2.7 发包人代表：是指由发包人任</w:t>
      </w:r>
      <w:r>
        <w:rPr>
          <w:rFonts w:hint="eastAsia" w:ascii="仿宋" w:hAnsi="仿宋" w:eastAsia="仿宋" w:cs="仿宋"/>
          <w:color w:val="000000" w:themeColor="text1"/>
          <w:spacing w:val="-3"/>
          <w:sz w:val="24"/>
          <w:szCs w:val="24"/>
          <w:highlight w:val="none"/>
          <w14:textFill>
            <w14:solidFill>
              <w14:schemeClr w14:val="tx1"/>
            </w14:solidFill>
          </w14:textFill>
        </w:rPr>
        <w:t>命并派驻施工现场在发包人授权范围</w:t>
      </w:r>
      <w:r>
        <w:rPr>
          <w:rFonts w:hint="eastAsia" w:ascii="仿宋" w:hAnsi="仿宋" w:eastAsia="仿宋" w:cs="仿宋"/>
          <w:color w:val="000000" w:themeColor="text1"/>
          <w:spacing w:val="-7"/>
          <w:sz w:val="24"/>
          <w:szCs w:val="24"/>
          <w:highlight w:val="none"/>
          <w14:textFill>
            <w14:solidFill>
              <w14:schemeClr w14:val="tx1"/>
            </w14:solidFill>
          </w14:textFill>
        </w:rPr>
        <w:t>内行使发包人权利的人。</w:t>
      </w:r>
    </w:p>
    <w:p w14:paraId="4D2A33C3">
      <w:pPr>
        <w:keepNext w:val="0"/>
        <w:keepLines w:val="0"/>
        <w:pageBreakBefore w:val="0"/>
        <w:widowControl w:val="0"/>
        <w:kinsoku/>
        <w:wordWrap/>
        <w:overflowPunct/>
        <w:topLinePunct w:val="0"/>
        <w:autoSpaceDE/>
        <w:autoSpaceDN/>
        <w:bidi w:val="0"/>
        <w:snapToGrid/>
        <w:spacing w:line="360" w:lineRule="auto"/>
        <w:ind w:left="0" w:leftChars="0" w:right="0" w:rightChars="0" w:firstLine="54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1.1.2.8 项目经理：是指由承包人任命</w:t>
      </w:r>
      <w:r>
        <w:rPr>
          <w:rFonts w:hint="eastAsia" w:ascii="仿宋" w:hAnsi="仿宋" w:eastAsia="仿宋" w:cs="仿宋"/>
          <w:color w:val="000000" w:themeColor="text1"/>
          <w:spacing w:val="-3"/>
          <w:sz w:val="24"/>
          <w:szCs w:val="24"/>
          <w:highlight w:val="none"/>
          <w14:textFill>
            <w14:solidFill>
              <w14:schemeClr w14:val="tx1"/>
            </w14:solidFill>
          </w14:textFill>
        </w:rPr>
        <w:t>并派驻施工现场，在承包人授权范围内负责合同履行，且按照法律规定具有相应资格的项目负责人。</w:t>
      </w:r>
    </w:p>
    <w:p w14:paraId="2B17A080">
      <w:pPr>
        <w:keepNext w:val="0"/>
        <w:keepLines w:val="0"/>
        <w:pageBreakBefore w:val="0"/>
        <w:widowControl w:val="0"/>
        <w:kinsoku/>
        <w:wordWrap/>
        <w:overflowPunct/>
        <w:topLinePunct w:val="0"/>
        <w:autoSpaceDE/>
        <w:autoSpaceDN/>
        <w:bidi w:val="0"/>
        <w:snapToGrid/>
        <w:spacing w:line="360" w:lineRule="auto"/>
        <w:ind w:left="0" w:leftChars="0" w:right="0" w:rightChars="0" w:firstLine="57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1.1.2.9 总监理工程师：是指由监理人</w:t>
      </w:r>
      <w:r>
        <w:rPr>
          <w:rFonts w:hint="eastAsia" w:ascii="仿宋" w:hAnsi="仿宋" w:eastAsia="仿宋" w:cs="仿宋"/>
          <w:color w:val="000000" w:themeColor="text1"/>
          <w:spacing w:val="-3"/>
          <w:sz w:val="24"/>
          <w:szCs w:val="24"/>
          <w:highlight w:val="none"/>
          <w14:textFill>
            <w14:solidFill>
              <w14:schemeClr w14:val="tx1"/>
            </w14:solidFill>
          </w14:textFill>
        </w:rPr>
        <w:t>任命并派驻施工现场进行工程监理的</w:t>
      </w:r>
      <w:r>
        <w:rPr>
          <w:rFonts w:hint="eastAsia" w:ascii="仿宋" w:hAnsi="仿宋" w:eastAsia="仿宋" w:cs="仿宋"/>
          <w:color w:val="000000" w:themeColor="text1"/>
          <w:spacing w:val="-4"/>
          <w:sz w:val="24"/>
          <w:szCs w:val="24"/>
          <w:highlight w:val="none"/>
          <w14:textFill>
            <w14:solidFill>
              <w14:schemeClr w14:val="tx1"/>
            </w14:solidFill>
          </w14:textFill>
        </w:rPr>
        <w:t>总负责人。</w:t>
      </w:r>
    </w:p>
    <w:p w14:paraId="5847CDED">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1.1.3 工程和设备</w:t>
      </w:r>
    </w:p>
    <w:p w14:paraId="0C8E9CDB">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1.1.3.1 工程：是指与合同协议书中工程</w:t>
      </w:r>
      <w:r>
        <w:rPr>
          <w:rFonts w:hint="eastAsia" w:ascii="仿宋" w:hAnsi="仿宋" w:eastAsia="仿宋" w:cs="仿宋"/>
          <w:color w:val="000000" w:themeColor="text1"/>
          <w:spacing w:val="-2"/>
          <w:sz w:val="24"/>
          <w:szCs w:val="24"/>
          <w:highlight w:val="none"/>
          <w14:textFill>
            <w14:solidFill>
              <w14:schemeClr w14:val="tx1"/>
            </w14:solidFill>
          </w14:textFill>
        </w:rPr>
        <w:t>承包范围对应的永久工程和（或）</w:t>
      </w:r>
      <w:r>
        <w:rPr>
          <w:rFonts w:hint="eastAsia" w:ascii="仿宋" w:hAnsi="仿宋" w:eastAsia="仿宋" w:cs="仿宋"/>
          <w:color w:val="000000" w:themeColor="text1"/>
          <w:spacing w:val="-5"/>
          <w:sz w:val="24"/>
          <w:szCs w:val="24"/>
          <w:highlight w:val="none"/>
          <w14:textFill>
            <w14:solidFill>
              <w14:schemeClr w14:val="tx1"/>
            </w14:solidFill>
          </w14:textFill>
        </w:rPr>
        <w:t>临时工程。</w:t>
      </w:r>
    </w:p>
    <w:p w14:paraId="535E7385">
      <w:pPr>
        <w:keepNext w:val="0"/>
        <w:keepLines w:val="0"/>
        <w:pageBreakBefore w:val="0"/>
        <w:widowControl w:val="0"/>
        <w:kinsoku/>
        <w:wordWrap/>
        <w:overflowPunct/>
        <w:topLinePunct w:val="0"/>
        <w:autoSpaceDE/>
        <w:autoSpaceDN/>
        <w:bidi w:val="0"/>
        <w:snapToGrid/>
        <w:spacing w:line="360" w:lineRule="auto"/>
        <w:ind w:left="0" w:leftChars="0" w:right="0" w:rightChars="0" w:firstLine="57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1.1.3.2 永久工程：是指按合同约定建</w:t>
      </w:r>
      <w:r>
        <w:rPr>
          <w:rFonts w:hint="eastAsia" w:ascii="仿宋" w:hAnsi="仿宋" w:eastAsia="仿宋" w:cs="仿宋"/>
          <w:color w:val="000000" w:themeColor="text1"/>
          <w:spacing w:val="-3"/>
          <w:sz w:val="24"/>
          <w:szCs w:val="24"/>
          <w:highlight w:val="none"/>
          <w14:textFill>
            <w14:solidFill>
              <w14:schemeClr w14:val="tx1"/>
            </w14:solidFill>
          </w14:textFill>
        </w:rPr>
        <w:t>造并移交给发包人的工程，包括工程</w:t>
      </w:r>
      <w:r>
        <w:rPr>
          <w:rFonts w:hint="eastAsia" w:ascii="仿宋" w:hAnsi="仿宋" w:eastAsia="仿宋" w:cs="仿宋"/>
          <w:color w:val="000000" w:themeColor="text1"/>
          <w:spacing w:val="-13"/>
          <w:sz w:val="24"/>
          <w:szCs w:val="24"/>
          <w:highlight w:val="none"/>
          <w14:textFill>
            <w14:solidFill>
              <w14:schemeClr w14:val="tx1"/>
            </w14:solidFill>
          </w14:textFill>
        </w:rPr>
        <w:t>设备。</w:t>
      </w:r>
    </w:p>
    <w:p w14:paraId="2942A211">
      <w:pPr>
        <w:keepNext w:val="0"/>
        <w:keepLines w:val="0"/>
        <w:pageBreakBefore w:val="0"/>
        <w:widowControl w:val="0"/>
        <w:kinsoku/>
        <w:wordWrap/>
        <w:overflowPunct/>
        <w:topLinePunct w:val="0"/>
        <w:autoSpaceDE/>
        <w:autoSpaceDN/>
        <w:bidi w:val="0"/>
        <w:snapToGrid/>
        <w:spacing w:line="360" w:lineRule="auto"/>
        <w:ind w:left="0" w:leftChars="0" w:right="0" w:rightChars="0" w:firstLine="58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1.1.3.3 临时工程：是指为完成合同约</w:t>
      </w:r>
      <w:r>
        <w:rPr>
          <w:rFonts w:hint="eastAsia" w:ascii="仿宋" w:hAnsi="仿宋" w:eastAsia="仿宋" w:cs="仿宋"/>
          <w:color w:val="000000" w:themeColor="text1"/>
          <w:spacing w:val="-3"/>
          <w:sz w:val="24"/>
          <w:szCs w:val="24"/>
          <w:highlight w:val="none"/>
          <w14:textFill>
            <w14:solidFill>
              <w14:schemeClr w14:val="tx1"/>
            </w14:solidFill>
          </w14:textFill>
        </w:rPr>
        <w:t>定的永久工程所修建的各类临时性工程，不包括施工设备。</w:t>
      </w:r>
    </w:p>
    <w:p w14:paraId="01D8ED6A">
      <w:pPr>
        <w:keepNext w:val="0"/>
        <w:keepLines w:val="0"/>
        <w:pageBreakBefore w:val="0"/>
        <w:widowControl w:val="0"/>
        <w:kinsoku/>
        <w:wordWrap/>
        <w:overflowPunct/>
        <w:topLinePunct w:val="0"/>
        <w:autoSpaceDE/>
        <w:autoSpaceDN/>
        <w:bidi w:val="0"/>
        <w:snapToGrid/>
        <w:spacing w:line="360" w:lineRule="auto"/>
        <w:ind w:left="0" w:leftChars="0" w:right="0" w:rightChars="0" w:firstLine="57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1.1.3.4 单位工程：是指在合同协议书</w:t>
      </w:r>
      <w:r>
        <w:rPr>
          <w:rFonts w:hint="eastAsia" w:ascii="仿宋" w:hAnsi="仿宋" w:eastAsia="仿宋" w:cs="仿宋"/>
          <w:color w:val="000000" w:themeColor="text1"/>
          <w:spacing w:val="-3"/>
          <w:sz w:val="24"/>
          <w:szCs w:val="24"/>
          <w:highlight w:val="none"/>
          <w14:textFill>
            <w14:solidFill>
              <w14:schemeClr w14:val="tx1"/>
            </w14:solidFill>
          </w14:textFill>
        </w:rPr>
        <w:t>中指明的，具备独立施工条件并能形</w:t>
      </w:r>
      <w:r>
        <w:rPr>
          <w:rFonts w:hint="eastAsia" w:ascii="仿宋" w:hAnsi="仿宋" w:eastAsia="仿宋" w:cs="仿宋"/>
          <w:color w:val="000000" w:themeColor="text1"/>
          <w:spacing w:val="-1"/>
          <w:sz w:val="24"/>
          <w:szCs w:val="24"/>
          <w:highlight w:val="none"/>
          <w14:textFill>
            <w14:solidFill>
              <w14:schemeClr w14:val="tx1"/>
            </w14:solidFill>
          </w14:textFill>
        </w:rPr>
        <w:t>成独立使用功能的永久工程。</w:t>
      </w:r>
    </w:p>
    <w:p w14:paraId="5465151F">
      <w:pPr>
        <w:keepNext w:val="0"/>
        <w:keepLines w:val="0"/>
        <w:pageBreakBefore w:val="0"/>
        <w:widowControl w:val="0"/>
        <w:kinsoku/>
        <w:wordWrap/>
        <w:overflowPunct/>
        <w:topLinePunct w:val="0"/>
        <w:autoSpaceDE/>
        <w:autoSpaceDN/>
        <w:bidi w:val="0"/>
        <w:snapToGrid/>
        <w:spacing w:line="360" w:lineRule="auto"/>
        <w:ind w:left="0" w:leftChars="0" w:right="0" w:rightChars="0" w:firstLine="57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1.1.3.5 工程设备：是指构成永久工程的机电</w:t>
      </w:r>
      <w:r>
        <w:rPr>
          <w:rFonts w:hint="eastAsia" w:ascii="仿宋" w:hAnsi="仿宋" w:eastAsia="仿宋" w:cs="仿宋"/>
          <w:color w:val="000000" w:themeColor="text1"/>
          <w:spacing w:val="-3"/>
          <w:sz w:val="24"/>
          <w:szCs w:val="24"/>
          <w:highlight w:val="none"/>
          <w14:textFill>
            <w14:solidFill>
              <w14:schemeClr w14:val="tx1"/>
            </w14:solidFill>
          </w14:textFill>
        </w:rPr>
        <w:t>设备、金属结构设备、仪器及</w:t>
      </w:r>
      <w:r>
        <w:rPr>
          <w:rFonts w:hint="eastAsia" w:ascii="仿宋" w:hAnsi="仿宋" w:eastAsia="仿宋" w:cs="仿宋"/>
          <w:color w:val="000000" w:themeColor="text1"/>
          <w:spacing w:val="-4"/>
          <w:sz w:val="24"/>
          <w:szCs w:val="24"/>
          <w:highlight w:val="none"/>
          <w14:textFill>
            <w14:solidFill>
              <w14:schemeClr w14:val="tx1"/>
            </w14:solidFill>
          </w14:textFill>
        </w:rPr>
        <w:t>其他类似的设备和装置。</w:t>
      </w:r>
    </w:p>
    <w:p w14:paraId="1D2AF004">
      <w:pPr>
        <w:keepNext w:val="0"/>
        <w:keepLines w:val="0"/>
        <w:pageBreakBefore w:val="0"/>
        <w:widowControl w:val="0"/>
        <w:kinsoku/>
        <w:wordWrap/>
        <w:overflowPunct/>
        <w:topLinePunct w:val="0"/>
        <w:autoSpaceDE/>
        <w:autoSpaceDN/>
        <w:bidi w:val="0"/>
        <w:snapToGrid/>
        <w:spacing w:line="360" w:lineRule="auto"/>
        <w:ind w:left="0" w:leftChars="0" w:right="0" w:rightChars="0" w:firstLine="5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1.1.3.6 施工设备：是指为完成合同约</w:t>
      </w:r>
      <w:r>
        <w:rPr>
          <w:rFonts w:hint="eastAsia" w:ascii="仿宋" w:hAnsi="仿宋" w:eastAsia="仿宋" w:cs="仿宋"/>
          <w:color w:val="000000" w:themeColor="text1"/>
          <w:spacing w:val="-3"/>
          <w:sz w:val="24"/>
          <w:szCs w:val="24"/>
          <w:highlight w:val="none"/>
          <w14:textFill>
            <w14:solidFill>
              <w14:schemeClr w14:val="tx1"/>
            </w14:solidFill>
          </w14:textFill>
        </w:rPr>
        <w:t>定的各项工作所需的设备、器具和其</w:t>
      </w:r>
      <w:r>
        <w:rPr>
          <w:rFonts w:hint="eastAsia" w:ascii="仿宋" w:hAnsi="仿宋" w:eastAsia="仿宋" w:cs="仿宋"/>
          <w:color w:val="000000" w:themeColor="text1"/>
          <w:spacing w:val="-1"/>
          <w:sz w:val="24"/>
          <w:szCs w:val="24"/>
          <w:highlight w:val="none"/>
          <w14:textFill>
            <w14:solidFill>
              <w14:schemeClr w14:val="tx1"/>
            </w14:solidFill>
          </w14:textFill>
        </w:rPr>
        <w:t>他物品，但不包括工程设备、临时工程和材料。</w:t>
      </w:r>
    </w:p>
    <w:p w14:paraId="6DD4A4E4">
      <w:pPr>
        <w:keepNext w:val="0"/>
        <w:keepLines w:val="0"/>
        <w:pageBreakBefore w:val="0"/>
        <w:widowControl w:val="0"/>
        <w:kinsoku/>
        <w:wordWrap/>
        <w:overflowPunct/>
        <w:topLinePunct w:val="0"/>
        <w:autoSpaceDE/>
        <w:autoSpaceDN/>
        <w:bidi w:val="0"/>
        <w:snapToGrid/>
        <w:spacing w:line="360" w:lineRule="auto"/>
        <w:ind w:left="0" w:leftChars="0" w:right="0" w:rightChars="0" w:firstLine="57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1.1.3.7 施工现场：是指用于工程施工</w:t>
      </w:r>
      <w:r>
        <w:rPr>
          <w:rFonts w:hint="eastAsia" w:ascii="仿宋" w:hAnsi="仿宋" w:eastAsia="仿宋" w:cs="仿宋"/>
          <w:color w:val="000000" w:themeColor="text1"/>
          <w:spacing w:val="-3"/>
          <w:sz w:val="24"/>
          <w:szCs w:val="24"/>
          <w:highlight w:val="none"/>
          <w14:textFill>
            <w14:solidFill>
              <w14:schemeClr w14:val="tx1"/>
            </w14:solidFill>
          </w14:textFill>
        </w:rPr>
        <w:t>的场所，以及在专用合同条款中指明</w:t>
      </w:r>
      <w:r>
        <w:rPr>
          <w:rFonts w:hint="eastAsia" w:ascii="仿宋" w:hAnsi="仿宋" w:eastAsia="仿宋" w:cs="仿宋"/>
          <w:color w:val="000000" w:themeColor="text1"/>
          <w:spacing w:val="-2"/>
          <w:sz w:val="24"/>
          <w:szCs w:val="24"/>
          <w:highlight w:val="none"/>
          <w14:textFill>
            <w14:solidFill>
              <w14:schemeClr w14:val="tx1"/>
            </w14:solidFill>
          </w14:textFill>
        </w:rPr>
        <w:t>作为施工场所组成部分的其他场所，包括永久占地和临时占地。</w:t>
      </w:r>
    </w:p>
    <w:p w14:paraId="60083E0F">
      <w:pPr>
        <w:keepNext w:val="0"/>
        <w:keepLines w:val="0"/>
        <w:pageBreakBefore w:val="0"/>
        <w:widowControl w:val="0"/>
        <w:kinsoku/>
        <w:wordWrap/>
        <w:overflowPunct/>
        <w:topLinePunct w:val="0"/>
        <w:autoSpaceDE/>
        <w:autoSpaceDN/>
        <w:bidi w:val="0"/>
        <w:snapToGrid/>
        <w:spacing w:line="360" w:lineRule="auto"/>
        <w:ind w:left="0" w:leftChars="0" w:right="0" w:rightChars="0" w:firstLine="57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1.1.3.8</w:t>
      </w:r>
      <w:r>
        <w:rPr>
          <w:rFonts w:hint="eastAsia" w:ascii="仿宋" w:hAnsi="仿宋" w:eastAsia="仿宋" w:cs="仿宋"/>
          <w:color w:val="000000" w:themeColor="text1"/>
          <w:spacing w:val="-3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临时设施：是指为完成合同约定的各项工作所服务的临时性生产和生活设施。</w:t>
      </w:r>
    </w:p>
    <w:p w14:paraId="50F77F36">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1.1.3.9 永久占地：是指专用合同条款中指明为实施工程需永久占用的土</w:t>
      </w:r>
      <w:r>
        <w:rPr>
          <w:rFonts w:hint="eastAsia" w:ascii="仿宋" w:hAnsi="仿宋" w:eastAsia="仿宋" w:cs="仿宋"/>
          <w:color w:val="000000" w:themeColor="text1"/>
          <w:spacing w:val="-13"/>
          <w:sz w:val="24"/>
          <w:szCs w:val="24"/>
          <w:highlight w:val="none"/>
          <w14:textFill>
            <w14:solidFill>
              <w14:schemeClr w14:val="tx1"/>
            </w14:solidFill>
          </w14:textFill>
        </w:rPr>
        <w:t>地。</w:t>
      </w:r>
    </w:p>
    <w:p w14:paraId="0E0F68EB">
      <w:pPr>
        <w:keepNext w:val="0"/>
        <w:keepLines w:val="0"/>
        <w:pageBreakBefore w:val="0"/>
        <w:widowControl w:val="0"/>
        <w:kinsoku/>
        <w:wordWrap/>
        <w:overflowPunct/>
        <w:topLinePunct w:val="0"/>
        <w:autoSpaceDE/>
        <w:autoSpaceDN/>
        <w:bidi w:val="0"/>
        <w:snapToGrid/>
        <w:spacing w:line="360" w:lineRule="auto"/>
        <w:ind w:left="0" w:leftChars="0" w:right="0" w:rightChars="0" w:firstLine="57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HYPERLINK "file:///E:\\路紫婷\\2025年\\高新区施工\\1.1.3.10"</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pacing w:val="-1"/>
          <w:sz w:val="24"/>
          <w:szCs w:val="24"/>
          <w:highlight w:val="none"/>
          <w14:textFill>
            <w14:solidFill>
              <w14:schemeClr w14:val="tx1"/>
            </w14:solidFill>
          </w14:textFill>
        </w:rPr>
        <w:t>1.1.3.10</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pacing w:val="-1"/>
          <w:sz w:val="24"/>
          <w:szCs w:val="24"/>
          <w:highlight w:val="none"/>
          <w14:textFill>
            <w14:solidFill>
              <w14:schemeClr w14:val="tx1"/>
            </w14:solidFill>
          </w14:textFill>
        </w:rPr>
        <w:t xml:space="preserve"> 临时占地：是指专用合同条款中指明为实施工程需要临时占用的</w:t>
      </w:r>
      <w:r>
        <w:rPr>
          <w:rFonts w:hint="eastAsia" w:ascii="仿宋" w:hAnsi="仿宋" w:eastAsia="仿宋" w:cs="仿宋"/>
          <w:color w:val="000000" w:themeColor="text1"/>
          <w:spacing w:val="-12"/>
          <w:sz w:val="24"/>
          <w:szCs w:val="24"/>
          <w:highlight w:val="none"/>
          <w14:textFill>
            <w14:solidFill>
              <w14:schemeClr w14:val="tx1"/>
            </w14:solidFill>
          </w14:textFill>
        </w:rPr>
        <w:t>土地。</w:t>
      </w:r>
    </w:p>
    <w:p w14:paraId="6E0C4890">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9"/>
          <w:sz w:val="24"/>
          <w:szCs w:val="24"/>
          <w:highlight w:val="none"/>
          <w14:textFill>
            <w14:solidFill>
              <w14:schemeClr w14:val="tx1"/>
            </w14:solidFill>
          </w14:textFill>
        </w:rPr>
        <w:t>1.1.4</w:t>
      </w:r>
      <w:r>
        <w:rPr>
          <w:rFonts w:hint="eastAsia" w:ascii="仿宋" w:hAnsi="仿宋" w:eastAsia="仿宋" w:cs="仿宋"/>
          <w:color w:val="000000" w:themeColor="text1"/>
          <w:spacing w:val="6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9"/>
          <w:sz w:val="24"/>
          <w:szCs w:val="24"/>
          <w:highlight w:val="none"/>
          <w14:textFill>
            <w14:solidFill>
              <w14:schemeClr w14:val="tx1"/>
            </w14:solidFill>
          </w14:textFill>
        </w:rPr>
        <w:t>日期和期限</w:t>
      </w:r>
    </w:p>
    <w:p w14:paraId="3A038F54">
      <w:pPr>
        <w:keepNext w:val="0"/>
        <w:keepLines w:val="0"/>
        <w:pageBreakBefore w:val="0"/>
        <w:widowControl w:val="0"/>
        <w:kinsoku/>
        <w:wordWrap/>
        <w:overflowPunct/>
        <w:topLinePunct w:val="0"/>
        <w:autoSpaceDE/>
        <w:autoSpaceDN/>
        <w:bidi w:val="0"/>
        <w:snapToGrid/>
        <w:spacing w:line="360" w:lineRule="auto"/>
        <w:ind w:left="0" w:leftChars="0" w:right="0" w:rightChars="0" w:firstLine="57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1.1.4.1 开工日期：包括计划开工日期</w:t>
      </w:r>
      <w:r>
        <w:rPr>
          <w:rFonts w:hint="eastAsia" w:ascii="仿宋" w:hAnsi="仿宋" w:eastAsia="仿宋" w:cs="仿宋"/>
          <w:color w:val="000000" w:themeColor="text1"/>
          <w:spacing w:val="-3"/>
          <w:sz w:val="24"/>
          <w:szCs w:val="24"/>
          <w:highlight w:val="none"/>
          <w14:textFill>
            <w14:solidFill>
              <w14:schemeClr w14:val="tx1"/>
            </w14:solidFill>
          </w14:textFill>
        </w:rPr>
        <w:t>和实际开工日期。计划开工日期是指合同协议书约定的开工日期；实际开工日期是指监理人按照第7.3.2项〔开工通</w:t>
      </w:r>
      <w:r>
        <w:rPr>
          <w:rFonts w:hint="eastAsia" w:ascii="仿宋" w:hAnsi="仿宋" w:eastAsia="仿宋" w:cs="仿宋"/>
          <w:color w:val="000000" w:themeColor="text1"/>
          <w:spacing w:val="-2"/>
          <w:sz w:val="24"/>
          <w:szCs w:val="24"/>
          <w:highlight w:val="none"/>
          <w14:textFill>
            <w14:solidFill>
              <w14:schemeClr w14:val="tx1"/>
            </w14:solidFill>
          </w14:textFill>
        </w:rPr>
        <w:t>知〕约定发出的符合法律规定的开工通知中载明的开工日期。</w:t>
      </w:r>
    </w:p>
    <w:p w14:paraId="70905BBC">
      <w:pPr>
        <w:keepNext w:val="0"/>
        <w:keepLines w:val="0"/>
        <w:pageBreakBefore w:val="0"/>
        <w:widowControl w:val="0"/>
        <w:kinsoku/>
        <w:wordWrap/>
        <w:overflowPunct/>
        <w:topLinePunct w:val="0"/>
        <w:autoSpaceDE/>
        <w:autoSpaceDN/>
        <w:bidi w:val="0"/>
        <w:snapToGrid/>
        <w:spacing w:line="360" w:lineRule="auto"/>
        <w:ind w:left="0" w:leftChars="0" w:right="0" w:rightChars="0" w:firstLine="57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1.1.4.2 竣工日期：包括计划竣工日期</w:t>
      </w:r>
      <w:r>
        <w:rPr>
          <w:rFonts w:hint="eastAsia" w:ascii="仿宋" w:hAnsi="仿宋" w:eastAsia="仿宋" w:cs="仿宋"/>
          <w:color w:val="000000" w:themeColor="text1"/>
          <w:spacing w:val="-3"/>
          <w:sz w:val="24"/>
          <w:szCs w:val="24"/>
          <w:highlight w:val="none"/>
          <w14:textFill>
            <w14:solidFill>
              <w14:schemeClr w14:val="tx1"/>
            </w14:solidFill>
          </w14:textFill>
        </w:rPr>
        <w:t>和实际竣工日期。计划竣工日期是指</w:t>
      </w:r>
      <w:r>
        <w:rPr>
          <w:rFonts w:hint="eastAsia" w:ascii="仿宋" w:hAnsi="仿宋" w:eastAsia="仿宋" w:cs="仿宋"/>
          <w:color w:val="000000" w:themeColor="text1"/>
          <w:spacing w:val="-2"/>
          <w:sz w:val="24"/>
          <w:szCs w:val="24"/>
          <w:highlight w:val="none"/>
          <w14:textFill>
            <w14:solidFill>
              <w14:schemeClr w14:val="tx1"/>
            </w14:solidFill>
          </w14:textFill>
        </w:rPr>
        <w:t>合同协议书约定的竣工日期；实际竣工日期按照第13.2.3项〔竣工日期〕的约</w:t>
      </w:r>
      <w:r>
        <w:rPr>
          <w:rFonts w:hint="eastAsia" w:ascii="仿宋" w:hAnsi="仿宋" w:eastAsia="仿宋" w:cs="仿宋"/>
          <w:color w:val="000000" w:themeColor="text1"/>
          <w:spacing w:val="-10"/>
          <w:sz w:val="24"/>
          <w:szCs w:val="24"/>
          <w:highlight w:val="none"/>
          <w14:textFill>
            <w14:solidFill>
              <w14:schemeClr w14:val="tx1"/>
            </w14:solidFill>
          </w14:textFill>
        </w:rPr>
        <w:t>定确定。</w:t>
      </w:r>
    </w:p>
    <w:p w14:paraId="270C7BE8">
      <w:pPr>
        <w:keepNext w:val="0"/>
        <w:keepLines w:val="0"/>
        <w:pageBreakBefore w:val="0"/>
        <w:widowControl w:val="0"/>
        <w:kinsoku/>
        <w:wordWrap/>
        <w:overflowPunct/>
        <w:topLinePunct w:val="0"/>
        <w:autoSpaceDE/>
        <w:autoSpaceDN/>
        <w:bidi w:val="0"/>
        <w:snapToGrid/>
        <w:spacing w:line="360" w:lineRule="auto"/>
        <w:ind w:left="0" w:leftChars="0" w:right="0" w:rightChars="0" w:firstLine="58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1.1.4.3 工期：是指在合同协议书约定的承包人完成工程所需的期限，包括按照合同约定所作的期限变更。</w:t>
      </w:r>
    </w:p>
    <w:p w14:paraId="0F800ABD">
      <w:pPr>
        <w:keepNext w:val="0"/>
        <w:keepLines w:val="0"/>
        <w:pageBreakBefore w:val="0"/>
        <w:widowControl w:val="0"/>
        <w:kinsoku/>
        <w:wordWrap/>
        <w:overflowPunct/>
        <w:topLinePunct w:val="0"/>
        <w:autoSpaceDE/>
        <w:autoSpaceDN/>
        <w:bidi w:val="0"/>
        <w:snapToGrid/>
        <w:spacing w:line="360" w:lineRule="auto"/>
        <w:ind w:left="0" w:leftChars="0" w:right="0" w:rightChars="0" w:firstLine="5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1.1.4.4 缺陷责任期：是指承包人按照</w:t>
      </w:r>
      <w:r>
        <w:rPr>
          <w:rFonts w:hint="eastAsia" w:ascii="仿宋" w:hAnsi="仿宋" w:eastAsia="仿宋" w:cs="仿宋"/>
          <w:color w:val="000000" w:themeColor="text1"/>
          <w:spacing w:val="-3"/>
          <w:sz w:val="24"/>
          <w:szCs w:val="24"/>
          <w:highlight w:val="none"/>
          <w14:textFill>
            <w14:solidFill>
              <w14:schemeClr w14:val="tx1"/>
            </w14:solidFill>
          </w14:textFill>
        </w:rPr>
        <w:t>合同约定承担缺陷修复义务，且发包</w:t>
      </w:r>
      <w:r>
        <w:rPr>
          <w:rFonts w:hint="eastAsia" w:ascii="仿宋" w:hAnsi="仿宋" w:eastAsia="仿宋" w:cs="仿宋"/>
          <w:color w:val="000000" w:themeColor="text1"/>
          <w:spacing w:val="-2"/>
          <w:sz w:val="24"/>
          <w:szCs w:val="24"/>
          <w:highlight w:val="none"/>
          <w14:textFill>
            <w14:solidFill>
              <w14:schemeClr w14:val="tx1"/>
            </w14:solidFill>
          </w14:textFill>
        </w:rPr>
        <w:t>人预留质量保证金（已缴纳履约保证金的除外）的期限，自工程实际竣工日期起</w:t>
      </w:r>
      <w:r>
        <w:rPr>
          <w:rFonts w:hint="eastAsia" w:ascii="仿宋" w:hAnsi="仿宋" w:eastAsia="仿宋" w:cs="仿宋"/>
          <w:color w:val="000000" w:themeColor="text1"/>
          <w:spacing w:val="-12"/>
          <w:sz w:val="24"/>
          <w:szCs w:val="24"/>
          <w:highlight w:val="none"/>
          <w14:textFill>
            <w14:solidFill>
              <w14:schemeClr w14:val="tx1"/>
            </w14:solidFill>
          </w14:textFill>
        </w:rPr>
        <w:t>计算。</w:t>
      </w:r>
    </w:p>
    <w:p w14:paraId="5B031777">
      <w:pPr>
        <w:keepNext w:val="0"/>
        <w:keepLines w:val="0"/>
        <w:pageBreakBefore w:val="0"/>
        <w:widowControl w:val="0"/>
        <w:kinsoku/>
        <w:wordWrap/>
        <w:overflowPunct/>
        <w:topLinePunct w:val="0"/>
        <w:autoSpaceDE/>
        <w:autoSpaceDN/>
        <w:bidi w:val="0"/>
        <w:snapToGrid/>
        <w:spacing w:line="360" w:lineRule="auto"/>
        <w:ind w:left="0" w:leftChars="0" w:right="0" w:rightChars="0" w:firstLine="57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1.1.4.5 保修期：是指承包人按照合同</w:t>
      </w:r>
      <w:r>
        <w:rPr>
          <w:rFonts w:hint="eastAsia" w:ascii="仿宋" w:hAnsi="仿宋" w:eastAsia="仿宋" w:cs="仿宋"/>
          <w:color w:val="000000" w:themeColor="text1"/>
          <w:spacing w:val="-3"/>
          <w:sz w:val="24"/>
          <w:szCs w:val="24"/>
          <w:highlight w:val="none"/>
          <w14:textFill>
            <w14:solidFill>
              <w14:schemeClr w14:val="tx1"/>
            </w14:solidFill>
          </w14:textFill>
        </w:rPr>
        <w:t>约定对工程承担保修责任的期限，从工程竣工验收合格之日起计算。</w:t>
      </w:r>
    </w:p>
    <w:p w14:paraId="42B5FD8B">
      <w:pPr>
        <w:keepNext w:val="0"/>
        <w:keepLines w:val="0"/>
        <w:pageBreakBefore w:val="0"/>
        <w:widowControl w:val="0"/>
        <w:kinsoku/>
        <w:wordWrap/>
        <w:overflowPunct/>
        <w:topLinePunct w:val="0"/>
        <w:autoSpaceDE/>
        <w:autoSpaceDN/>
        <w:bidi w:val="0"/>
        <w:snapToGrid/>
        <w:spacing w:line="360" w:lineRule="auto"/>
        <w:ind w:left="0" w:leftChars="0" w:right="0" w:rightChars="0" w:firstLine="57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1.1.4.6 基准日期：招标发包的工程以投标截止日前28天的日期为基准日期，直接发包的工程以合同签订日前28天的</w:t>
      </w:r>
      <w:r>
        <w:rPr>
          <w:rFonts w:hint="eastAsia" w:ascii="仿宋" w:hAnsi="仿宋" w:eastAsia="仿宋" w:cs="仿宋"/>
          <w:color w:val="000000" w:themeColor="text1"/>
          <w:spacing w:val="-3"/>
          <w:sz w:val="24"/>
          <w:szCs w:val="24"/>
          <w:highlight w:val="none"/>
          <w14:textFill>
            <w14:solidFill>
              <w14:schemeClr w14:val="tx1"/>
            </w14:solidFill>
          </w14:textFill>
        </w:rPr>
        <w:t>日期为基准日期。</w:t>
      </w:r>
    </w:p>
    <w:p w14:paraId="7097A46E">
      <w:pPr>
        <w:keepNext w:val="0"/>
        <w:keepLines w:val="0"/>
        <w:pageBreakBefore w:val="0"/>
        <w:widowControl w:val="0"/>
        <w:kinsoku/>
        <w:wordWrap/>
        <w:overflowPunct/>
        <w:topLinePunct w:val="0"/>
        <w:autoSpaceDE/>
        <w:autoSpaceDN/>
        <w:bidi w:val="0"/>
        <w:snapToGrid/>
        <w:spacing w:line="360" w:lineRule="auto"/>
        <w:ind w:left="0" w:leftChars="0" w:right="0" w:rightChars="0" w:firstLine="57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1.1.4.7 天：除特别指明外，均指日历天。合同中按</w:t>
      </w:r>
      <w:r>
        <w:rPr>
          <w:rFonts w:hint="eastAsia" w:ascii="仿宋" w:hAnsi="仿宋" w:eastAsia="仿宋" w:cs="仿宋"/>
          <w:color w:val="000000" w:themeColor="text1"/>
          <w:spacing w:val="-3"/>
          <w:sz w:val="24"/>
          <w:szCs w:val="24"/>
          <w:highlight w:val="none"/>
          <w14:textFill>
            <w14:solidFill>
              <w14:schemeClr w14:val="tx1"/>
            </w14:solidFill>
          </w14:textFill>
        </w:rPr>
        <w:t>天计算时间的，开始当</w:t>
      </w:r>
      <w:r>
        <w:rPr>
          <w:rFonts w:hint="eastAsia" w:ascii="仿宋" w:hAnsi="仿宋" w:eastAsia="仿宋" w:cs="仿宋"/>
          <w:color w:val="000000" w:themeColor="text1"/>
          <w:spacing w:val="-2"/>
          <w:sz w:val="24"/>
          <w:szCs w:val="24"/>
          <w:highlight w:val="none"/>
          <w14:textFill>
            <w14:solidFill>
              <w14:schemeClr w14:val="tx1"/>
            </w14:solidFill>
          </w14:textFill>
        </w:rPr>
        <w:t>天不计入，从次日开始计算，期限最后一天的截止时间为当天</w:t>
      </w:r>
      <w:r>
        <w:rPr>
          <w:rFonts w:hint="eastAsia" w:ascii="仿宋" w:hAnsi="仿宋" w:eastAsia="仿宋" w:cs="仿宋"/>
          <w:color w:val="000000" w:themeColor="text1"/>
          <w:spacing w:val="-5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24:00</w:t>
      </w:r>
      <w:r>
        <w:rPr>
          <w:rFonts w:hint="eastAsia" w:ascii="仿宋" w:hAnsi="仿宋" w:eastAsia="仿宋" w:cs="仿宋"/>
          <w:color w:val="000000" w:themeColor="text1"/>
          <w:spacing w:val="-4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时。</w:t>
      </w:r>
    </w:p>
    <w:p w14:paraId="5B3AE06B">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1.1.5 合同价格和费用</w:t>
      </w:r>
    </w:p>
    <w:p w14:paraId="53FF8D1A">
      <w:pPr>
        <w:keepNext w:val="0"/>
        <w:keepLines w:val="0"/>
        <w:pageBreakBefore w:val="0"/>
        <w:widowControl w:val="0"/>
        <w:kinsoku/>
        <w:wordWrap/>
        <w:overflowPunct/>
        <w:topLinePunct w:val="0"/>
        <w:autoSpaceDE/>
        <w:autoSpaceDN/>
        <w:bidi w:val="0"/>
        <w:snapToGrid/>
        <w:spacing w:line="360" w:lineRule="auto"/>
        <w:ind w:left="0" w:leftChars="0" w:right="0" w:rightChars="0" w:firstLine="5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1.1.5.1 签约合同价：是指发包人和承包人在合同协议书中确定的总金额，包括安全文明施工费、暂估价及暂列金额等。</w:t>
      </w:r>
    </w:p>
    <w:p w14:paraId="31A600F8">
      <w:pPr>
        <w:keepNext w:val="0"/>
        <w:keepLines w:val="0"/>
        <w:pageBreakBefore w:val="0"/>
        <w:widowControl w:val="0"/>
        <w:kinsoku/>
        <w:wordWrap/>
        <w:overflowPunct/>
        <w:topLinePunct w:val="0"/>
        <w:autoSpaceDE/>
        <w:autoSpaceDN/>
        <w:bidi w:val="0"/>
        <w:snapToGrid/>
        <w:spacing w:line="360" w:lineRule="auto"/>
        <w:ind w:left="0" w:leftChars="0" w:right="0" w:rightChars="0" w:firstLine="54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1.1.5.2 合同价格：是指发包人用于支</w:t>
      </w:r>
      <w:r>
        <w:rPr>
          <w:rFonts w:hint="eastAsia" w:ascii="仿宋" w:hAnsi="仿宋" w:eastAsia="仿宋" w:cs="仿宋"/>
          <w:color w:val="000000" w:themeColor="text1"/>
          <w:spacing w:val="-3"/>
          <w:sz w:val="24"/>
          <w:szCs w:val="24"/>
          <w:highlight w:val="none"/>
          <w14:textFill>
            <w14:solidFill>
              <w14:schemeClr w14:val="tx1"/>
            </w14:solidFill>
          </w14:textFill>
        </w:rPr>
        <w:t>付承包人按照合同约定完成承包范围</w:t>
      </w:r>
      <w:r>
        <w:rPr>
          <w:rFonts w:hint="eastAsia" w:ascii="仿宋" w:hAnsi="仿宋" w:eastAsia="仿宋" w:cs="仿宋"/>
          <w:color w:val="000000" w:themeColor="text1"/>
          <w:spacing w:val="-2"/>
          <w:sz w:val="24"/>
          <w:szCs w:val="24"/>
          <w:highlight w:val="none"/>
          <w14:textFill>
            <w14:solidFill>
              <w14:schemeClr w14:val="tx1"/>
            </w14:solidFill>
          </w14:textFill>
        </w:rPr>
        <w:t>内全部工作的金额，包括合同履行过程中按</w:t>
      </w:r>
      <w:r>
        <w:rPr>
          <w:rFonts w:hint="eastAsia" w:ascii="仿宋" w:hAnsi="仿宋" w:eastAsia="仿宋" w:cs="仿宋"/>
          <w:color w:val="000000" w:themeColor="text1"/>
          <w:spacing w:val="-3"/>
          <w:sz w:val="24"/>
          <w:szCs w:val="24"/>
          <w:highlight w:val="none"/>
          <w14:textFill>
            <w14:solidFill>
              <w14:schemeClr w14:val="tx1"/>
            </w14:solidFill>
          </w14:textFill>
        </w:rPr>
        <w:t>合同约定发生的价格变化。</w:t>
      </w:r>
    </w:p>
    <w:p w14:paraId="04911C64">
      <w:pPr>
        <w:keepNext w:val="0"/>
        <w:keepLines w:val="0"/>
        <w:pageBreakBefore w:val="0"/>
        <w:widowControl w:val="0"/>
        <w:kinsoku/>
        <w:wordWrap/>
        <w:overflowPunct/>
        <w:topLinePunct w:val="0"/>
        <w:autoSpaceDE/>
        <w:autoSpaceDN/>
        <w:bidi w:val="0"/>
        <w:snapToGrid/>
        <w:spacing w:line="360" w:lineRule="auto"/>
        <w:ind w:left="0" w:leftChars="0" w:right="0" w:rightChars="0" w:firstLine="5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1.1.5.3 费用：是指为履行合同所发生</w:t>
      </w:r>
      <w:r>
        <w:rPr>
          <w:rFonts w:hint="eastAsia" w:ascii="仿宋" w:hAnsi="仿宋" w:eastAsia="仿宋" w:cs="仿宋"/>
          <w:color w:val="000000" w:themeColor="text1"/>
          <w:spacing w:val="-3"/>
          <w:sz w:val="24"/>
          <w:szCs w:val="24"/>
          <w:highlight w:val="none"/>
          <w14:textFill>
            <w14:solidFill>
              <w14:schemeClr w14:val="tx1"/>
            </w14:solidFill>
          </w14:textFill>
        </w:rPr>
        <w:t>的或将要发生的所有必需的开支，包</w:t>
      </w:r>
      <w:r>
        <w:rPr>
          <w:rFonts w:hint="eastAsia" w:ascii="仿宋" w:hAnsi="仿宋" w:eastAsia="仿宋" w:cs="仿宋"/>
          <w:color w:val="000000" w:themeColor="text1"/>
          <w:spacing w:val="-1"/>
          <w:sz w:val="24"/>
          <w:szCs w:val="24"/>
          <w:highlight w:val="none"/>
          <w14:textFill>
            <w14:solidFill>
              <w14:schemeClr w14:val="tx1"/>
            </w14:solidFill>
          </w14:textFill>
        </w:rPr>
        <w:t>括管理费和应分摊的其他费用，但不包括利润。</w:t>
      </w:r>
    </w:p>
    <w:p w14:paraId="68A7B53A">
      <w:pPr>
        <w:keepNext w:val="0"/>
        <w:keepLines w:val="0"/>
        <w:pageBreakBefore w:val="0"/>
        <w:widowControl w:val="0"/>
        <w:kinsoku/>
        <w:wordWrap/>
        <w:overflowPunct/>
        <w:topLinePunct w:val="0"/>
        <w:autoSpaceDE/>
        <w:autoSpaceDN/>
        <w:bidi w:val="0"/>
        <w:snapToGrid/>
        <w:spacing w:line="360" w:lineRule="auto"/>
        <w:ind w:left="0" w:leftChars="0" w:right="0" w:rightChars="0" w:firstLine="5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1.1.5.4 暂估价：是指发包人在工程量</w:t>
      </w:r>
      <w:r>
        <w:rPr>
          <w:rFonts w:hint="eastAsia" w:ascii="仿宋" w:hAnsi="仿宋" w:eastAsia="仿宋" w:cs="仿宋"/>
          <w:color w:val="000000" w:themeColor="text1"/>
          <w:spacing w:val="-3"/>
          <w:sz w:val="24"/>
          <w:szCs w:val="24"/>
          <w:highlight w:val="none"/>
          <w14:textFill>
            <w14:solidFill>
              <w14:schemeClr w14:val="tx1"/>
            </w14:solidFill>
          </w14:textFill>
        </w:rPr>
        <w:t>清单或预算书中提供的用于支付必然</w:t>
      </w:r>
      <w:r>
        <w:rPr>
          <w:rFonts w:hint="eastAsia" w:ascii="仿宋" w:hAnsi="仿宋" w:eastAsia="仿宋" w:cs="仿宋"/>
          <w:color w:val="000000" w:themeColor="text1"/>
          <w:spacing w:val="-2"/>
          <w:sz w:val="24"/>
          <w:szCs w:val="24"/>
          <w:highlight w:val="none"/>
          <w14:textFill>
            <w14:solidFill>
              <w14:schemeClr w14:val="tx1"/>
            </w14:solidFill>
          </w14:textFill>
        </w:rPr>
        <w:t>发生但暂时不能确定价格的材料、工程设备的单价、专业工程以及服务工作的金</w:t>
      </w:r>
      <w:r>
        <w:rPr>
          <w:rFonts w:hint="eastAsia" w:ascii="仿宋" w:hAnsi="仿宋" w:eastAsia="仿宋" w:cs="仿宋"/>
          <w:color w:val="000000" w:themeColor="text1"/>
          <w:spacing w:val="-13"/>
          <w:sz w:val="24"/>
          <w:szCs w:val="24"/>
          <w:highlight w:val="none"/>
          <w14:textFill>
            <w14:solidFill>
              <w14:schemeClr w14:val="tx1"/>
            </w14:solidFill>
          </w14:textFill>
        </w:rPr>
        <w:t>额。</w:t>
      </w:r>
    </w:p>
    <w:p w14:paraId="2112FC25">
      <w:pPr>
        <w:keepNext w:val="0"/>
        <w:keepLines w:val="0"/>
        <w:pageBreakBefore w:val="0"/>
        <w:widowControl w:val="0"/>
        <w:kinsoku/>
        <w:wordWrap/>
        <w:overflowPunct/>
        <w:topLinePunct w:val="0"/>
        <w:autoSpaceDE/>
        <w:autoSpaceDN/>
        <w:bidi w:val="0"/>
        <w:snapToGrid/>
        <w:spacing w:line="360" w:lineRule="auto"/>
        <w:ind w:left="0" w:leftChars="0" w:right="0" w:rightChars="0" w:firstLine="58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1.1.5.5 暂列金额：是指发包人在工程</w:t>
      </w:r>
      <w:r>
        <w:rPr>
          <w:rFonts w:hint="eastAsia" w:ascii="仿宋" w:hAnsi="仿宋" w:eastAsia="仿宋" w:cs="仿宋"/>
          <w:color w:val="000000" w:themeColor="text1"/>
          <w:spacing w:val="-3"/>
          <w:sz w:val="24"/>
          <w:szCs w:val="24"/>
          <w:highlight w:val="none"/>
          <w14:textFill>
            <w14:solidFill>
              <w14:schemeClr w14:val="tx1"/>
            </w14:solidFill>
          </w14:textFill>
        </w:rPr>
        <w:t>量清单或预算书中暂定并包括在合同</w:t>
      </w:r>
      <w:r>
        <w:rPr>
          <w:rFonts w:hint="eastAsia" w:ascii="仿宋" w:hAnsi="仿宋" w:eastAsia="仿宋" w:cs="仿宋"/>
          <w:color w:val="000000" w:themeColor="text1"/>
          <w:spacing w:val="-2"/>
          <w:sz w:val="24"/>
          <w:szCs w:val="24"/>
          <w:highlight w:val="none"/>
          <w14:textFill>
            <w14:solidFill>
              <w14:schemeClr w14:val="tx1"/>
            </w14:solidFill>
          </w14:textFill>
        </w:rPr>
        <w:t>价格中的一笔款项，用于工程合同签订时尚未确定或者不可预见的所需材料、工程设备、服务的采购，施工中可能发生的工程变更、合同约定调整因素出现时的</w:t>
      </w:r>
      <w:r>
        <w:rPr>
          <w:rFonts w:hint="eastAsia" w:ascii="仿宋" w:hAnsi="仿宋" w:eastAsia="仿宋" w:cs="仿宋"/>
          <w:color w:val="000000" w:themeColor="text1"/>
          <w:spacing w:val="-1"/>
          <w:sz w:val="24"/>
          <w:szCs w:val="24"/>
          <w:highlight w:val="none"/>
          <w14:textFill>
            <w14:solidFill>
              <w14:schemeClr w14:val="tx1"/>
            </w14:solidFill>
          </w14:textFill>
        </w:rPr>
        <w:t>合同价格调整以及发生的索赔、现场签证确认等的费用。</w:t>
      </w:r>
    </w:p>
    <w:p w14:paraId="1200B532">
      <w:pPr>
        <w:keepNext w:val="0"/>
        <w:keepLines w:val="0"/>
        <w:pageBreakBefore w:val="0"/>
        <w:widowControl w:val="0"/>
        <w:kinsoku/>
        <w:wordWrap/>
        <w:overflowPunct/>
        <w:topLinePunct w:val="0"/>
        <w:autoSpaceDE/>
        <w:autoSpaceDN/>
        <w:bidi w:val="0"/>
        <w:snapToGrid/>
        <w:spacing w:line="360" w:lineRule="auto"/>
        <w:ind w:left="0" w:leftChars="0" w:right="0" w:rightChars="0" w:firstLine="57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1.1.5.6 计日工：是指合同履行过程中</w:t>
      </w:r>
      <w:r>
        <w:rPr>
          <w:rFonts w:hint="eastAsia" w:ascii="仿宋" w:hAnsi="仿宋" w:eastAsia="仿宋" w:cs="仿宋"/>
          <w:color w:val="000000" w:themeColor="text1"/>
          <w:spacing w:val="-3"/>
          <w:sz w:val="24"/>
          <w:szCs w:val="24"/>
          <w:highlight w:val="none"/>
          <w14:textFill>
            <w14:solidFill>
              <w14:schemeClr w14:val="tx1"/>
            </w14:solidFill>
          </w14:textFill>
        </w:rPr>
        <w:t>，承包人完成发包人提出的零星工作</w:t>
      </w:r>
      <w:r>
        <w:rPr>
          <w:rFonts w:hint="eastAsia" w:ascii="仿宋" w:hAnsi="仿宋" w:eastAsia="仿宋" w:cs="仿宋"/>
          <w:color w:val="000000" w:themeColor="text1"/>
          <w:spacing w:val="-1"/>
          <w:sz w:val="24"/>
          <w:szCs w:val="24"/>
          <w:highlight w:val="none"/>
          <w14:textFill>
            <w14:solidFill>
              <w14:schemeClr w14:val="tx1"/>
            </w14:solidFill>
          </w14:textFill>
        </w:rPr>
        <w:t>或需要采用计日工计价的变更工作时，按合同中约定的单价计价的</w:t>
      </w:r>
      <w:r>
        <w:rPr>
          <w:rFonts w:hint="eastAsia" w:ascii="仿宋" w:hAnsi="仿宋" w:eastAsia="仿宋" w:cs="仿宋"/>
          <w:color w:val="000000" w:themeColor="text1"/>
          <w:spacing w:val="-2"/>
          <w:sz w:val="24"/>
          <w:szCs w:val="24"/>
          <w:highlight w:val="none"/>
          <w14:textFill>
            <w14:solidFill>
              <w14:schemeClr w14:val="tx1"/>
            </w14:solidFill>
          </w14:textFill>
        </w:rPr>
        <w:t>一种方式。</w:t>
      </w:r>
    </w:p>
    <w:p w14:paraId="58683BF4">
      <w:pPr>
        <w:keepNext w:val="0"/>
        <w:keepLines w:val="0"/>
        <w:pageBreakBefore w:val="0"/>
        <w:widowControl w:val="0"/>
        <w:kinsoku/>
        <w:wordWrap/>
        <w:overflowPunct/>
        <w:topLinePunct w:val="0"/>
        <w:autoSpaceDE/>
        <w:autoSpaceDN/>
        <w:bidi w:val="0"/>
        <w:snapToGrid/>
        <w:spacing w:line="360" w:lineRule="auto"/>
        <w:ind w:left="0" w:leftChars="0" w:right="0" w:rightChars="0" w:firstLine="57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1.1.5.7 质量保证金：是指按照第</w:t>
      </w:r>
      <w:r>
        <w:rPr>
          <w:rFonts w:hint="eastAsia" w:ascii="仿宋" w:hAnsi="仿宋" w:eastAsia="仿宋" w:cs="仿宋"/>
          <w:color w:val="000000" w:themeColor="text1"/>
          <w:spacing w:val="-3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15.3</w:t>
      </w:r>
      <w:r>
        <w:rPr>
          <w:rFonts w:hint="eastAsia" w:ascii="仿宋" w:hAnsi="仿宋" w:eastAsia="仿宋" w:cs="仿宋"/>
          <w:color w:val="000000" w:themeColor="text1"/>
          <w:spacing w:val="-5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款〔质量保证金〕约定承包人用于</w:t>
      </w:r>
      <w:r>
        <w:rPr>
          <w:rFonts w:hint="eastAsia" w:ascii="仿宋" w:hAnsi="仿宋" w:eastAsia="仿宋" w:cs="仿宋"/>
          <w:color w:val="000000" w:themeColor="text1"/>
          <w:spacing w:val="-1"/>
          <w:sz w:val="24"/>
          <w:szCs w:val="24"/>
          <w:highlight w:val="none"/>
          <w14:textFill>
            <w14:solidFill>
              <w14:schemeClr w14:val="tx1"/>
            </w14:solidFill>
          </w14:textFill>
        </w:rPr>
        <w:t>保证其在缺陷责任期内履行缺陷修补义务的担保。</w:t>
      </w:r>
    </w:p>
    <w:p w14:paraId="23EA80FB">
      <w:pPr>
        <w:keepNext w:val="0"/>
        <w:keepLines w:val="0"/>
        <w:pageBreakBefore w:val="0"/>
        <w:widowControl w:val="0"/>
        <w:kinsoku/>
        <w:wordWrap/>
        <w:overflowPunct/>
        <w:topLinePunct w:val="0"/>
        <w:autoSpaceDE/>
        <w:autoSpaceDN/>
        <w:bidi w:val="0"/>
        <w:snapToGrid/>
        <w:spacing w:line="360" w:lineRule="auto"/>
        <w:ind w:left="0" w:leftChars="0" w:right="0" w:rightChars="0" w:firstLine="5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1.1.5.8 总价项目：是指在现行国家、行业以</w:t>
      </w:r>
      <w:r>
        <w:rPr>
          <w:rFonts w:hint="eastAsia" w:ascii="仿宋" w:hAnsi="仿宋" w:eastAsia="仿宋" w:cs="仿宋"/>
          <w:color w:val="000000" w:themeColor="text1"/>
          <w:spacing w:val="-3"/>
          <w:sz w:val="24"/>
          <w:szCs w:val="24"/>
          <w:highlight w:val="none"/>
          <w14:textFill>
            <w14:solidFill>
              <w14:schemeClr w14:val="tx1"/>
            </w14:solidFill>
          </w14:textFill>
        </w:rPr>
        <w:t>及地方的计量规则中无工程量</w:t>
      </w:r>
      <w:r>
        <w:rPr>
          <w:rFonts w:hint="eastAsia" w:ascii="仿宋" w:hAnsi="仿宋" w:eastAsia="仿宋" w:cs="仿宋"/>
          <w:color w:val="000000" w:themeColor="text1"/>
          <w:spacing w:val="-1"/>
          <w:sz w:val="24"/>
          <w:szCs w:val="24"/>
          <w:highlight w:val="none"/>
          <w14:textFill>
            <w14:solidFill>
              <w14:schemeClr w14:val="tx1"/>
            </w14:solidFill>
          </w14:textFill>
        </w:rPr>
        <w:t>计算规则，在已标价工程量清单或预算书中以总价或以费率形式计算的项</w:t>
      </w:r>
      <w:r>
        <w:rPr>
          <w:rFonts w:hint="eastAsia" w:ascii="仿宋" w:hAnsi="仿宋" w:eastAsia="仿宋" w:cs="仿宋"/>
          <w:color w:val="000000" w:themeColor="text1"/>
          <w:spacing w:val="-2"/>
          <w:sz w:val="24"/>
          <w:szCs w:val="24"/>
          <w:highlight w:val="none"/>
          <w14:textFill>
            <w14:solidFill>
              <w14:schemeClr w14:val="tx1"/>
            </w14:solidFill>
          </w14:textFill>
        </w:rPr>
        <w:t>目。</w:t>
      </w:r>
    </w:p>
    <w:p w14:paraId="31C47A3A">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1.1.6</w:t>
      </w:r>
      <w:r>
        <w:rPr>
          <w:rFonts w:hint="eastAsia" w:ascii="仿宋" w:hAnsi="仿宋" w:eastAsia="仿宋" w:cs="仿宋"/>
          <w:color w:val="000000" w:themeColor="text1"/>
          <w:spacing w:val="1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其他</w:t>
      </w:r>
    </w:p>
    <w:p w14:paraId="08CCCA90">
      <w:pPr>
        <w:keepNext w:val="0"/>
        <w:keepLines w:val="0"/>
        <w:pageBreakBefore w:val="0"/>
        <w:widowControl w:val="0"/>
        <w:kinsoku/>
        <w:wordWrap/>
        <w:overflowPunct/>
        <w:topLinePunct w:val="0"/>
        <w:autoSpaceDE/>
        <w:autoSpaceDN/>
        <w:bidi w:val="0"/>
        <w:snapToGrid/>
        <w:spacing w:line="360" w:lineRule="auto"/>
        <w:ind w:left="0" w:leftChars="0" w:right="0" w:rightChars="0" w:firstLine="579"/>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1.1.6.1 书面形式：是指合同文件、信函</w:t>
      </w:r>
      <w:r>
        <w:rPr>
          <w:rFonts w:hint="eastAsia" w:ascii="仿宋" w:hAnsi="仿宋" w:eastAsia="仿宋" w:cs="仿宋"/>
          <w:color w:val="000000" w:themeColor="text1"/>
          <w:spacing w:val="-3"/>
          <w:sz w:val="24"/>
          <w:szCs w:val="24"/>
          <w:highlight w:val="none"/>
          <w14:textFill>
            <w14:solidFill>
              <w14:schemeClr w14:val="tx1"/>
            </w14:solidFill>
          </w14:textFill>
        </w:rPr>
        <w:t>、电报、传真等可以有形地表现所</w:t>
      </w:r>
      <w:r>
        <w:rPr>
          <w:rFonts w:hint="eastAsia" w:ascii="仿宋" w:hAnsi="仿宋" w:eastAsia="仿宋" w:cs="仿宋"/>
          <w:color w:val="000000" w:themeColor="text1"/>
          <w:spacing w:val="-6"/>
          <w:sz w:val="24"/>
          <w:szCs w:val="24"/>
          <w:highlight w:val="none"/>
          <w14:textFill>
            <w14:solidFill>
              <w14:schemeClr w14:val="tx1"/>
            </w14:solidFill>
          </w14:textFill>
        </w:rPr>
        <w:t>载内容的形式。</w:t>
      </w:r>
    </w:p>
    <w:p w14:paraId="4C5DC9B2">
      <w:pPr>
        <w:keepNext w:val="0"/>
        <w:keepLines w:val="0"/>
        <w:pageBreakBefore w:val="0"/>
        <w:widowControl w:val="0"/>
        <w:kinsoku/>
        <w:wordWrap/>
        <w:overflowPunct/>
        <w:topLinePunct w:val="0"/>
        <w:autoSpaceDE/>
        <w:autoSpaceDN/>
        <w:bidi w:val="0"/>
        <w:snapToGrid/>
        <w:spacing w:line="360" w:lineRule="auto"/>
        <w:ind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1.2</w:t>
      </w:r>
      <w:r>
        <w:rPr>
          <w:rFonts w:hint="eastAsia" w:ascii="仿宋" w:hAnsi="仿宋" w:eastAsia="仿宋" w:cs="仿宋"/>
          <w:color w:val="000000" w:themeColor="text1"/>
          <w:spacing w:val="-5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语言文字</w:t>
      </w:r>
    </w:p>
    <w:p w14:paraId="10F7264C">
      <w:pPr>
        <w:keepNext w:val="0"/>
        <w:keepLines w:val="0"/>
        <w:pageBreakBefore w:val="0"/>
        <w:widowControl w:val="0"/>
        <w:kinsoku/>
        <w:wordWrap/>
        <w:overflowPunct/>
        <w:topLinePunct w:val="0"/>
        <w:autoSpaceDE/>
        <w:autoSpaceDN/>
        <w:bidi w:val="0"/>
        <w:snapToGrid/>
        <w:spacing w:line="360" w:lineRule="auto"/>
        <w:ind w:left="0" w:leftChars="0" w:right="0" w:rightChars="0" w:firstLine="53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合同以中国的汉语简体文字编写、解释和说明。合同当事人在专用</w:t>
      </w:r>
      <w:r>
        <w:rPr>
          <w:rFonts w:hint="eastAsia" w:ascii="仿宋" w:hAnsi="仿宋" w:eastAsia="仿宋" w:cs="仿宋"/>
          <w:color w:val="000000" w:themeColor="text1"/>
          <w:spacing w:val="-3"/>
          <w:sz w:val="24"/>
          <w:szCs w:val="24"/>
          <w:highlight w:val="none"/>
          <w14:textFill>
            <w14:solidFill>
              <w14:schemeClr w14:val="tx1"/>
            </w14:solidFill>
          </w14:textFill>
        </w:rPr>
        <w:t>合同条款</w:t>
      </w:r>
      <w:r>
        <w:rPr>
          <w:rFonts w:hint="eastAsia" w:ascii="仿宋" w:hAnsi="仿宋" w:eastAsia="仿宋" w:cs="仿宋"/>
          <w:color w:val="000000" w:themeColor="text1"/>
          <w:spacing w:val="-1"/>
          <w:sz w:val="24"/>
          <w:szCs w:val="24"/>
          <w:highlight w:val="none"/>
          <w14:textFill>
            <w14:solidFill>
              <w14:schemeClr w14:val="tx1"/>
            </w14:solidFill>
          </w14:textFill>
        </w:rPr>
        <w:t>中约定使用两种以上语言时，汉语为优先解</w:t>
      </w:r>
      <w:r>
        <w:rPr>
          <w:rFonts w:hint="eastAsia" w:ascii="仿宋" w:hAnsi="仿宋" w:eastAsia="仿宋" w:cs="仿宋"/>
          <w:color w:val="000000" w:themeColor="text1"/>
          <w:spacing w:val="-2"/>
          <w:sz w:val="24"/>
          <w:szCs w:val="24"/>
          <w:highlight w:val="none"/>
          <w14:textFill>
            <w14:solidFill>
              <w14:schemeClr w14:val="tx1"/>
            </w14:solidFill>
          </w14:textFill>
        </w:rPr>
        <w:t>释和说明合同的语言。</w:t>
      </w:r>
    </w:p>
    <w:p w14:paraId="0CB4E324">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8"/>
          <w:sz w:val="24"/>
          <w:szCs w:val="24"/>
          <w:highlight w:val="none"/>
          <w14:textFill>
            <w14:solidFill>
              <w14:schemeClr w14:val="tx1"/>
            </w14:solidFill>
          </w14:textFill>
        </w:rPr>
        <w:t>1.3</w:t>
      </w:r>
      <w:r>
        <w:rPr>
          <w:rFonts w:hint="eastAsia" w:ascii="仿宋" w:hAnsi="仿宋" w:eastAsia="仿宋" w:cs="仿宋"/>
          <w:color w:val="000000" w:themeColor="text1"/>
          <w:spacing w:val="-5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14:textFill>
            <w14:solidFill>
              <w14:schemeClr w14:val="tx1"/>
            </w14:solidFill>
          </w14:textFill>
        </w:rPr>
        <w:t>法律</w:t>
      </w:r>
    </w:p>
    <w:p w14:paraId="0809EBFB">
      <w:pPr>
        <w:keepNext w:val="0"/>
        <w:keepLines w:val="0"/>
        <w:pageBreakBefore w:val="0"/>
        <w:widowControl w:val="0"/>
        <w:kinsoku/>
        <w:wordWrap/>
        <w:overflowPunct/>
        <w:topLinePunct w:val="0"/>
        <w:autoSpaceDE/>
        <w:autoSpaceDN/>
        <w:bidi w:val="0"/>
        <w:snapToGrid/>
        <w:spacing w:line="360" w:lineRule="auto"/>
        <w:ind w:left="0" w:leftChars="0" w:right="0" w:rightChars="0" w:firstLine="56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合同所称法律是指中华人民共和国法律、行政法规、部门规章，以</w:t>
      </w:r>
      <w:r>
        <w:rPr>
          <w:rFonts w:hint="eastAsia" w:ascii="仿宋" w:hAnsi="仿宋" w:eastAsia="仿宋" w:cs="仿宋"/>
          <w:color w:val="000000" w:themeColor="text1"/>
          <w:spacing w:val="-3"/>
          <w:sz w:val="24"/>
          <w:szCs w:val="24"/>
          <w:highlight w:val="none"/>
          <w14:textFill>
            <w14:solidFill>
              <w14:schemeClr w14:val="tx1"/>
            </w14:solidFill>
          </w14:textFill>
        </w:rPr>
        <w:t>及工程所</w:t>
      </w:r>
      <w:r>
        <w:rPr>
          <w:rFonts w:hint="eastAsia" w:ascii="仿宋" w:hAnsi="仿宋" w:eastAsia="仿宋" w:cs="仿宋"/>
          <w:color w:val="000000" w:themeColor="text1"/>
          <w:spacing w:val="-2"/>
          <w:sz w:val="24"/>
          <w:szCs w:val="24"/>
          <w:highlight w:val="none"/>
          <w14:textFill>
            <w14:solidFill>
              <w14:schemeClr w14:val="tx1"/>
            </w14:solidFill>
          </w14:textFill>
        </w:rPr>
        <w:t>在地的地方性法规、自治条例、单行条例和地方政府规章等。</w:t>
      </w:r>
      <w:r>
        <w:rPr>
          <w:rFonts w:hint="eastAsia" w:ascii="仿宋" w:hAnsi="仿宋" w:eastAsia="仿宋" w:cs="仿宋"/>
          <w:color w:val="000000" w:themeColor="text1"/>
          <w:spacing w:val="-1"/>
          <w:sz w:val="24"/>
          <w:szCs w:val="24"/>
          <w:highlight w:val="none"/>
          <w14:textFill>
            <w14:solidFill>
              <w14:schemeClr w14:val="tx1"/>
            </w14:solidFill>
          </w14:textFill>
        </w:rPr>
        <w:t>合同当事人可以在专用合同条款中约定合同适用的其他规范性</w:t>
      </w:r>
      <w:r>
        <w:rPr>
          <w:rFonts w:hint="eastAsia" w:ascii="仿宋" w:hAnsi="仿宋" w:eastAsia="仿宋" w:cs="仿宋"/>
          <w:color w:val="000000" w:themeColor="text1"/>
          <w:spacing w:val="-2"/>
          <w:sz w:val="24"/>
          <w:szCs w:val="24"/>
          <w:highlight w:val="none"/>
          <w14:textFill>
            <w14:solidFill>
              <w14:schemeClr w14:val="tx1"/>
            </w14:solidFill>
          </w14:textFill>
        </w:rPr>
        <w:t>文件。</w:t>
      </w:r>
    </w:p>
    <w:p w14:paraId="4799AC2F">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1.4 标准和规范</w:t>
      </w:r>
    </w:p>
    <w:p w14:paraId="4F4C0C6B">
      <w:pPr>
        <w:keepNext w:val="0"/>
        <w:keepLines w:val="0"/>
        <w:pageBreakBefore w:val="0"/>
        <w:widowControl w:val="0"/>
        <w:kinsoku/>
        <w:wordWrap/>
        <w:overflowPunct/>
        <w:topLinePunct w:val="0"/>
        <w:autoSpaceDE/>
        <w:autoSpaceDN/>
        <w:bidi w:val="0"/>
        <w:snapToGrid/>
        <w:spacing w:line="360" w:lineRule="auto"/>
        <w:ind w:left="0" w:leftChars="0" w:right="0" w:rightChars="0" w:firstLine="66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1.4.1 适用于工程的国家标准、行业标准、工程所在地的地方性标准，以及</w:t>
      </w:r>
      <w:r>
        <w:rPr>
          <w:rFonts w:hint="eastAsia" w:ascii="仿宋" w:hAnsi="仿宋" w:eastAsia="仿宋" w:cs="仿宋"/>
          <w:color w:val="000000" w:themeColor="text1"/>
          <w:spacing w:val="-1"/>
          <w:sz w:val="24"/>
          <w:szCs w:val="24"/>
          <w:highlight w:val="none"/>
          <w14:textFill>
            <w14:solidFill>
              <w14:schemeClr w14:val="tx1"/>
            </w14:solidFill>
          </w14:textFill>
        </w:rPr>
        <w:t>相应的规范、规程等，合同当事人有特别要求的，应在专用合同条款中约</w:t>
      </w:r>
      <w:r>
        <w:rPr>
          <w:rFonts w:hint="eastAsia" w:ascii="仿宋" w:hAnsi="仿宋" w:eastAsia="仿宋" w:cs="仿宋"/>
          <w:color w:val="000000" w:themeColor="text1"/>
          <w:spacing w:val="-2"/>
          <w:sz w:val="24"/>
          <w:szCs w:val="24"/>
          <w:highlight w:val="none"/>
          <w14:textFill>
            <w14:solidFill>
              <w14:schemeClr w14:val="tx1"/>
            </w14:solidFill>
          </w14:textFill>
        </w:rPr>
        <w:t>定。</w:t>
      </w:r>
    </w:p>
    <w:p w14:paraId="34EBD5A4">
      <w:pPr>
        <w:keepNext w:val="0"/>
        <w:keepLines w:val="0"/>
        <w:pageBreakBefore w:val="0"/>
        <w:widowControl w:val="0"/>
        <w:kinsoku/>
        <w:wordWrap/>
        <w:overflowPunct/>
        <w:topLinePunct w:val="0"/>
        <w:autoSpaceDE/>
        <w:autoSpaceDN/>
        <w:bidi w:val="0"/>
        <w:snapToGrid/>
        <w:spacing w:line="360" w:lineRule="auto"/>
        <w:ind w:left="0" w:leftChars="0" w:right="0" w:rightChars="0" w:firstLine="6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1.4.2 发包人要求使用国外标准、规范的，发包人负责提供原文版本和中文</w:t>
      </w:r>
      <w:r>
        <w:rPr>
          <w:rFonts w:hint="eastAsia" w:ascii="仿宋" w:hAnsi="仿宋" w:eastAsia="仿宋" w:cs="仿宋"/>
          <w:color w:val="000000" w:themeColor="text1"/>
          <w:spacing w:val="-1"/>
          <w:sz w:val="24"/>
          <w:szCs w:val="24"/>
          <w:highlight w:val="none"/>
          <w14:textFill>
            <w14:solidFill>
              <w14:schemeClr w14:val="tx1"/>
            </w14:solidFill>
          </w14:textFill>
        </w:rPr>
        <w:t>译本，并在专用合同条款中约定提供标准规范的名称、份</w:t>
      </w:r>
      <w:r>
        <w:rPr>
          <w:rFonts w:hint="eastAsia" w:ascii="仿宋" w:hAnsi="仿宋" w:eastAsia="仿宋" w:cs="仿宋"/>
          <w:color w:val="000000" w:themeColor="text1"/>
          <w:spacing w:val="-2"/>
          <w:sz w:val="24"/>
          <w:szCs w:val="24"/>
          <w:highlight w:val="none"/>
          <w14:textFill>
            <w14:solidFill>
              <w14:schemeClr w14:val="tx1"/>
            </w14:solidFill>
          </w14:textFill>
        </w:rPr>
        <w:t>数和时间。</w:t>
      </w:r>
    </w:p>
    <w:p w14:paraId="7ABB2CE0">
      <w:pPr>
        <w:keepNext w:val="0"/>
        <w:keepLines w:val="0"/>
        <w:pageBreakBefore w:val="0"/>
        <w:widowControl w:val="0"/>
        <w:kinsoku/>
        <w:wordWrap/>
        <w:overflowPunct/>
        <w:topLinePunct w:val="0"/>
        <w:autoSpaceDE/>
        <w:autoSpaceDN/>
        <w:bidi w:val="0"/>
        <w:snapToGrid/>
        <w:spacing w:line="360" w:lineRule="auto"/>
        <w:ind w:left="0" w:leftChars="0" w:right="0" w:rightChars="0" w:firstLine="6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1.4.3 发包人对工程的技术标准、功能要求高于或严于现行国家、行业或地</w:t>
      </w:r>
      <w:r>
        <w:rPr>
          <w:rFonts w:hint="eastAsia" w:ascii="仿宋" w:hAnsi="仿宋" w:eastAsia="仿宋" w:cs="仿宋"/>
          <w:color w:val="000000" w:themeColor="text1"/>
          <w:spacing w:val="-2"/>
          <w:sz w:val="24"/>
          <w:szCs w:val="24"/>
          <w:highlight w:val="none"/>
          <w14:textFill>
            <w14:solidFill>
              <w14:schemeClr w14:val="tx1"/>
            </w14:solidFill>
          </w14:textFill>
        </w:rPr>
        <w:t>方标准的，应当在专用合同条款中予以明确。除专用合同条款另有约定外，应视为承包人在签订合同前已充分预见前述技术标准和功能要求的复杂程度，签约合</w:t>
      </w:r>
      <w:r>
        <w:rPr>
          <w:rFonts w:hint="eastAsia" w:ascii="仿宋" w:hAnsi="仿宋" w:eastAsia="仿宋" w:cs="仿宋"/>
          <w:color w:val="000000" w:themeColor="text1"/>
          <w:spacing w:val="-3"/>
          <w:sz w:val="24"/>
          <w:szCs w:val="24"/>
          <w:highlight w:val="none"/>
          <w14:textFill>
            <w14:solidFill>
              <w14:schemeClr w14:val="tx1"/>
            </w14:solidFill>
          </w14:textFill>
        </w:rPr>
        <w:t>同价中已包含由此产生的费用。</w:t>
      </w:r>
    </w:p>
    <w:p w14:paraId="09684658">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1.5 合同文件的优先顺序</w:t>
      </w:r>
    </w:p>
    <w:p w14:paraId="21B67B81">
      <w:pPr>
        <w:keepNext w:val="0"/>
        <w:keepLines w:val="0"/>
        <w:pageBreakBefore w:val="0"/>
        <w:widowControl w:val="0"/>
        <w:kinsoku/>
        <w:wordWrap/>
        <w:overflowPunct/>
        <w:topLinePunct w:val="0"/>
        <w:autoSpaceDE/>
        <w:autoSpaceDN/>
        <w:bidi w:val="0"/>
        <w:snapToGrid/>
        <w:spacing w:line="360" w:lineRule="auto"/>
        <w:ind w:left="0" w:leftChars="0" w:right="0" w:rightChars="0" w:firstLine="56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组成合同的各项文件应互相解释，互为说明</w:t>
      </w:r>
      <w:r>
        <w:rPr>
          <w:rFonts w:hint="eastAsia" w:ascii="仿宋" w:hAnsi="仿宋" w:eastAsia="仿宋" w:cs="仿宋"/>
          <w:color w:val="000000" w:themeColor="text1"/>
          <w:spacing w:val="-3"/>
          <w:sz w:val="24"/>
          <w:szCs w:val="24"/>
          <w:highlight w:val="none"/>
          <w14:textFill>
            <w14:solidFill>
              <w14:schemeClr w14:val="tx1"/>
            </w14:solidFill>
          </w14:textFill>
        </w:rPr>
        <w:t>。除专用合同条款另有约定外，解释合同文件的优先顺序如下：</w:t>
      </w:r>
    </w:p>
    <w:p w14:paraId="7DD97A33">
      <w:pPr>
        <w:keepNext w:val="0"/>
        <w:keepLines w:val="0"/>
        <w:pageBreakBefore w:val="0"/>
        <w:widowControl w:val="0"/>
        <w:kinsoku/>
        <w:wordWrap/>
        <w:overflowPunct/>
        <w:topLinePunct w:val="0"/>
        <w:autoSpaceDE/>
        <w:autoSpaceDN/>
        <w:bidi w:val="0"/>
        <w:snapToGrid/>
        <w:spacing w:line="360" w:lineRule="auto"/>
        <w:ind w:left="0" w:leftChars="0" w:right="0" w:rightChars="0" w:firstLine="45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7"/>
          <w:sz w:val="24"/>
          <w:szCs w:val="24"/>
          <w:highlight w:val="none"/>
          <w14:textFill>
            <w14:solidFill>
              <w14:schemeClr w14:val="tx1"/>
            </w14:solidFill>
          </w14:textFill>
        </w:rPr>
        <w:t>（1）合同协议书；</w:t>
      </w:r>
    </w:p>
    <w:p w14:paraId="1FCEC408">
      <w:pPr>
        <w:keepNext w:val="0"/>
        <w:keepLines w:val="0"/>
        <w:pageBreakBefore w:val="0"/>
        <w:widowControl w:val="0"/>
        <w:kinsoku/>
        <w:wordWrap/>
        <w:overflowPunct/>
        <w:topLinePunct w:val="0"/>
        <w:autoSpaceDE/>
        <w:autoSpaceDN/>
        <w:bidi w:val="0"/>
        <w:snapToGrid/>
        <w:spacing w:line="360" w:lineRule="auto"/>
        <w:ind w:left="0" w:leftChars="0" w:right="0" w:rightChars="0" w:firstLine="460" w:firstLineChars="200"/>
        <w:rPr>
          <w:rFonts w:hint="eastAsia" w:ascii="仿宋" w:hAnsi="仿宋" w:eastAsia="仿宋" w:cs="仿宋"/>
          <w:color w:val="000000" w:themeColor="text1"/>
          <w:spacing w:val="20"/>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（2）中标通知书（如果有</w:t>
      </w:r>
      <w:r>
        <w:rPr>
          <w:rFonts w:hint="eastAsia" w:ascii="仿宋" w:hAnsi="仿宋" w:eastAsia="仿宋" w:cs="仿宋"/>
          <w:color w:val="000000" w:themeColor="text1"/>
          <w:spacing w:val="20"/>
          <w:sz w:val="24"/>
          <w:szCs w:val="24"/>
          <w:highlight w:val="none"/>
          <w14:textFill>
            <w14:solidFill>
              <w14:schemeClr w14:val="tx1"/>
            </w14:solidFill>
          </w14:textFill>
        </w:rPr>
        <w:t>）；</w:t>
      </w:r>
    </w:p>
    <w:p w14:paraId="2A4811E3">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（3）投标函及其附录（如果有</w:t>
      </w:r>
      <w:r>
        <w:rPr>
          <w:rFonts w:hint="eastAsia" w:ascii="仿宋" w:hAnsi="仿宋" w:eastAsia="仿宋" w:cs="仿宋"/>
          <w:color w:val="000000" w:themeColor="text1"/>
          <w:spacing w:val="-10"/>
          <w:sz w:val="24"/>
          <w:szCs w:val="24"/>
          <w:highlight w:val="none"/>
          <w14:textFill>
            <w14:solidFill>
              <w14:schemeClr w14:val="tx1"/>
            </w14:solidFill>
          </w14:textFill>
        </w:rPr>
        <w:t>）；</w:t>
      </w:r>
    </w:p>
    <w:p w14:paraId="6EB9B247">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（4）专用合同条款及其附件；</w:t>
      </w:r>
    </w:p>
    <w:p w14:paraId="4558E9A5">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（5）通用合同条款；</w:t>
      </w:r>
    </w:p>
    <w:p w14:paraId="3477D0BA">
      <w:pPr>
        <w:keepNext w:val="0"/>
        <w:keepLines w:val="0"/>
        <w:pageBreakBefore w:val="0"/>
        <w:widowControl w:val="0"/>
        <w:kinsoku/>
        <w:wordWrap/>
        <w:overflowPunct/>
        <w:topLinePunct w:val="0"/>
        <w:autoSpaceDE/>
        <w:autoSpaceDN/>
        <w:bidi w:val="0"/>
        <w:snapToGrid/>
        <w:spacing w:line="360" w:lineRule="auto"/>
        <w:ind w:left="0" w:leftChars="0" w:right="0" w:rightChars="0" w:firstLine="46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（6）技术标准和要求；</w:t>
      </w:r>
    </w:p>
    <w:p w14:paraId="3E2B1614">
      <w:pPr>
        <w:keepNext w:val="0"/>
        <w:keepLines w:val="0"/>
        <w:pageBreakBefore w:val="0"/>
        <w:widowControl w:val="0"/>
        <w:kinsoku/>
        <w:wordWrap/>
        <w:overflowPunct/>
        <w:topLinePunct w:val="0"/>
        <w:autoSpaceDE/>
        <w:autoSpaceDN/>
        <w:bidi w:val="0"/>
        <w:snapToGrid/>
        <w:spacing w:line="360" w:lineRule="auto"/>
        <w:ind w:left="0" w:leftChars="0" w:right="0" w:rightChars="0" w:firstLine="44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8"/>
          <w:sz w:val="24"/>
          <w:szCs w:val="24"/>
          <w:highlight w:val="none"/>
          <w14:textFill>
            <w14:solidFill>
              <w14:schemeClr w14:val="tx1"/>
            </w14:solidFill>
          </w14:textFill>
        </w:rPr>
        <w:t>（7）图纸；</w:t>
      </w:r>
    </w:p>
    <w:p w14:paraId="1EEDE203">
      <w:pPr>
        <w:keepNext w:val="0"/>
        <w:keepLines w:val="0"/>
        <w:pageBreakBefore w:val="0"/>
        <w:widowControl w:val="0"/>
        <w:kinsoku/>
        <w:wordWrap/>
        <w:overflowPunct/>
        <w:topLinePunct w:val="0"/>
        <w:autoSpaceDE/>
        <w:autoSpaceDN/>
        <w:bidi w:val="0"/>
        <w:snapToGrid/>
        <w:spacing w:line="360" w:lineRule="auto"/>
        <w:ind w:left="0" w:leftChars="0" w:right="0" w:rightChars="0" w:firstLine="464"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（8）已标价工程量清单或预算书；</w:t>
      </w:r>
    </w:p>
    <w:p w14:paraId="7E45CEED">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（9）其他合同文件。</w:t>
      </w:r>
    </w:p>
    <w:p w14:paraId="2F6BB86A">
      <w:pPr>
        <w:keepNext w:val="0"/>
        <w:keepLines w:val="0"/>
        <w:pageBreakBefore w:val="0"/>
        <w:widowControl w:val="0"/>
        <w:kinsoku/>
        <w:wordWrap/>
        <w:overflowPunct/>
        <w:topLinePunct w:val="0"/>
        <w:autoSpaceDE/>
        <w:autoSpaceDN/>
        <w:bidi w:val="0"/>
        <w:snapToGrid/>
        <w:spacing w:line="360" w:lineRule="auto"/>
        <w:ind w:left="0" w:leftChars="0" w:right="0" w:rightChars="0" w:firstLine="59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上述各项合同文件包括合同当事人就该项合同文件所作出的补</w:t>
      </w:r>
      <w:r>
        <w:rPr>
          <w:rFonts w:hint="eastAsia" w:ascii="仿宋" w:hAnsi="仿宋" w:eastAsia="仿宋" w:cs="仿宋"/>
          <w:color w:val="000000" w:themeColor="text1"/>
          <w:spacing w:val="-4"/>
          <w:sz w:val="24"/>
          <w:szCs w:val="24"/>
          <w:highlight w:val="none"/>
          <w14:textFill>
            <w14:solidFill>
              <w14:schemeClr w14:val="tx1"/>
            </w14:solidFill>
          </w14:textFill>
        </w:rPr>
        <w:t>充和修改，属</w:t>
      </w:r>
      <w:r>
        <w:rPr>
          <w:rFonts w:hint="eastAsia" w:ascii="仿宋" w:hAnsi="仿宋" w:eastAsia="仿宋" w:cs="仿宋"/>
          <w:color w:val="000000" w:themeColor="text1"/>
          <w:spacing w:val="-3"/>
          <w:sz w:val="24"/>
          <w:szCs w:val="24"/>
          <w:highlight w:val="none"/>
          <w14:textFill>
            <w14:solidFill>
              <w14:schemeClr w14:val="tx1"/>
            </w14:solidFill>
          </w14:textFill>
        </w:rPr>
        <w:t>于同一类内容的文件，应以最新签署的为准。</w:t>
      </w:r>
    </w:p>
    <w:p w14:paraId="49612438">
      <w:pPr>
        <w:keepNext w:val="0"/>
        <w:keepLines w:val="0"/>
        <w:pageBreakBefore w:val="0"/>
        <w:widowControl w:val="0"/>
        <w:kinsoku/>
        <w:wordWrap/>
        <w:overflowPunct/>
        <w:topLinePunct w:val="0"/>
        <w:autoSpaceDE/>
        <w:autoSpaceDN/>
        <w:bidi w:val="0"/>
        <w:snapToGrid/>
        <w:spacing w:line="360" w:lineRule="auto"/>
        <w:ind w:right="0" w:rightChars="0" w:firstLine="50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在合同订立及履行过程中形成的与合同有关的文件均构成合同文件组成部</w:t>
      </w:r>
      <w:r>
        <w:rPr>
          <w:rFonts w:hint="eastAsia" w:ascii="仿宋" w:hAnsi="仿宋" w:eastAsia="仿宋" w:cs="仿宋"/>
          <w:color w:val="000000" w:themeColor="text1"/>
          <w:spacing w:val="-1"/>
          <w:sz w:val="24"/>
          <w:szCs w:val="24"/>
          <w:highlight w:val="none"/>
          <w14:textFill>
            <w14:solidFill>
              <w14:schemeClr w14:val="tx1"/>
            </w14:solidFill>
          </w14:textFill>
        </w:rPr>
        <w:t>分，并根据其性质确定优先解释顺序。</w:t>
      </w:r>
    </w:p>
    <w:p w14:paraId="090C2F9C">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7"/>
          <w:sz w:val="24"/>
          <w:szCs w:val="24"/>
          <w:highlight w:val="none"/>
          <w14:textFill>
            <w14:solidFill>
              <w14:schemeClr w14:val="tx1"/>
            </w14:solidFill>
          </w14:textFill>
        </w:rPr>
        <w:t>1.6</w:t>
      </w:r>
      <w:r>
        <w:rPr>
          <w:rFonts w:hint="eastAsia" w:ascii="仿宋" w:hAnsi="仿宋" w:eastAsia="仿宋" w:cs="仿宋"/>
          <w:color w:val="000000" w:themeColor="text1"/>
          <w:spacing w:val="-2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14:textFill>
            <w14:solidFill>
              <w14:schemeClr w14:val="tx1"/>
            </w14:solidFill>
          </w14:textFill>
        </w:rPr>
        <w:t>图纸和承包人文件</w:t>
      </w:r>
    </w:p>
    <w:p w14:paraId="501A1784">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1.6.1</w:t>
      </w:r>
      <w:r>
        <w:rPr>
          <w:rFonts w:hint="eastAsia" w:ascii="仿宋" w:hAnsi="仿宋" w:eastAsia="仿宋" w:cs="仿宋"/>
          <w:color w:val="000000" w:themeColor="text1"/>
          <w:spacing w:val="4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图纸的提供和交底</w:t>
      </w:r>
    </w:p>
    <w:p w14:paraId="184A1FD9">
      <w:pPr>
        <w:keepNext w:val="0"/>
        <w:keepLines w:val="0"/>
        <w:pageBreakBefore w:val="0"/>
        <w:widowControl w:val="0"/>
        <w:kinsoku/>
        <w:wordWrap/>
        <w:overflowPunct/>
        <w:topLinePunct w:val="0"/>
        <w:autoSpaceDE/>
        <w:autoSpaceDN/>
        <w:bidi w:val="0"/>
        <w:snapToGrid/>
        <w:spacing w:line="360" w:lineRule="auto"/>
        <w:ind w:left="0" w:leftChars="0" w:right="0" w:rightChars="0" w:firstLine="56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发包人应按照专用合同条款约定的期限、数量和内容向承包人免费提供图</w:t>
      </w:r>
      <w:r>
        <w:rPr>
          <w:rFonts w:hint="eastAsia" w:ascii="仿宋" w:hAnsi="仿宋" w:eastAsia="仿宋" w:cs="仿宋"/>
          <w:color w:val="000000" w:themeColor="text1"/>
          <w:spacing w:val="-2"/>
          <w:sz w:val="24"/>
          <w:szCs w:val="24"/>
          <w:highlight w:val="none"/>
          <w14:textFill>
            <w14:solidFill>
              <w14:schemeClr w14:val="tx1"/>
            </w14:solidFill>
          </w14:textFill>
        </w:rPr>
        <w:t>纸，并组织承包人、监理人和设计人进行图纸会审和设计交底。发包人至迟不得</w:t>
      </w:r>
      <w:r>
        <w:rPr>
          <w:rFonts w:hint="eastAsia" w:ascii="仿宋" w:hAnsi="仿宋" w:eastAsia="仿宋" w:cs="仿宋"/>
          <w:color w:val="000000" w:themeColor="text1"/>
          <w:spacing w:val="-3"/>
          <w:sz w:val="24"/>
          <w:szCs w:val="24"/>
          <w:highlight w:val="none"/>
          <w14:textFill>
            <w14:solidFill>
              <w14:schemeClr w14:val="tx1"/>
            </w14:solidFill>
          </w14:textFill>
        </w:rPr>
        <w:t>晚于第</w:t>
      </w:r>
      <w:r>
        <w:rPr>
          <w:rFonts w:hint="eastAsia" w:ascii="仿宋" w:hAnsi="仿宋" w:eastAsia="仿宋" w:cs="仿宋"/>
          <w:color w:val="000000" w:themeColor="text1"/>
          <w:spacing w:val="-4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7.3.2</w:t>
      </w:r>
      <w:r>
        <w:rPr>
          <w:rFonts w:hint="eastAsia" w:ascii="仿宋" w:hAnsi="仿宋" w:eastAsia="仿宋" w:cs="仿宋"/>
          <w:color w:val="000000" w:themeColor="text1"/>
          <w:spacing w:val="-5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项〔开工通知〕载明的开工日期前</w:t>
      </w:r>
      <w:r>
        <w:rPr>
          <w:rFonts w:hint="eastAsia" w:ascii="仿宋" w:hAnsi="仿宋" w:eastAsia="仿宋" w:cs="仿宋"/>
          <w:color w:val="000000" w:themeColor="text1"/>
          <w:spacing w:val="-4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14</w:t>
      </w:r>
      <w:r>
        <w:rPr>
          <w:rFonts w:hint="eastAsia" w:ascii="仿宋" w:hAnsi="仿宋" w:eastAsia="仿宋" w:cs="仿宋"/>
          <w:color w:val="000000" w:themeColor="text1"/>
          <w:spacing w:val="-5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天向承包人提供图纸。</w:t>
      </w:r>
    </w:p>
    <w:p w14:paraId="085C18CD">
      <w:pPr>
        <w:keepNext w:val="0"/>
        <w:keepLines w:val="0"/>
        <w:pageBreakBefore w:val="0"/>
        <w:widowControl w:val="0"/>
        <w:kinsoku/>
        <w:wordWrap/>
        <w:overflowPunct/>
        <w:topLinePunct w:val="0"/>
        <w:autoSpaceDE/>
        <w:autoSpaceDN/>
        <w:bidi w:val="0"/>
        <w:snapToGrid/>
        <w:spacing w:line="360" w:lineRule="auto"/>
        <w:ind w:left="0" w:leftChars="0" w:right="0" w:rightChars="0" w:firstLine="57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因发包人未按合同约定提供图纸导致承包人费用增加和（或）工期延误的，按照第</w:t>
      </w:r>
      <w:r>
        <w:rPr>
          <w:rFonts w:hint="eastAsia" w:ascii="仿宋" w:hAnsi="仿宋" w:eastAsia="仿宋" w:cs="仿宋"/>
          <w:color w:val="000000" w:themeColor="text1"/>
          <w:spacing w:val="-3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7.5.1</w:t>
      </w:r>
      <w:r>
        <w:rPr>
          <w:rFonts w:hint="eastAsia" w:ascii="仿宋" w:hAnsi="仿宋" w:eastAsia="仿宋" w:cs="仿宋"/>
          <w:color w:val="000000" w:themeColor="text1"/>
          <w:spacing w:val="-5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项〔因发包人原因导致工期延误〕约定办理。</w:t>
      </w:r>
    </w:p>
    <w:p w14:paraId="5573243D">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7"/>
          <w:sz w:val="24"/>
          <w:szCs w:val="24"/>
          <w:highlight w:val="none"/>
          <w14:textFill>
            <w14:solidFill>
              <w14:schemeClr w14:val="tx1"/>
            </w14:solidFill>
          </w14:textFill>
        </w:rPr>
        <w:t>1.6.2</w:t>
      </w:r>
      <w:r>
        <w:rPr>
          <w:rFonts w:hint="eastAsia" w:ascii="仿宋" w:hAnsi="仿宋" w:eastAsia="仿宋" w:cs="仿宋"/>
          <w:color w:val="000000" w:themeColor="text1"/>
          <w:spacing w:val="4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14:textFill>
            <w14:solidFill>
              <w14:schemeClr w14:val="tx1"/>
            </w14:solidFill>
          </w14:textFill>
        </w:rPr>
        <w:t>图纸的错误</w:t>
      </w:r>
    </w:p>
    <w:p w14:paraId="73DEA9A1">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承包人在收到发包人提供的图纸后，发现图纸存在差错、遗漏或缺陷</w:t>
      </w:r>
      <w:r>
        <w:rPr>
          <w:rFonts w:hint="eastAsia" w:ascii="仿宋" w:hAnsi="仿宋" w:eastAsia="仿宋" w:cs="仿宋"/>
          <w:color w:val="000000" w:themeColor="text1"/>
          <w:spacing w:val="-3"/>
          <w:sz w:val="24"/>
          <w:szCs w:val="24"/>
          <w:highlight w:val="none"/>
          <w14:textFill>
            <w14:solidFill>
              <w14:schemeClr w14:val="tx1"/>
            </w14:solidFill>
          </w14:textFill>
        </w:rPr>
        <w:t>的，应</w:t>
      </w:r>
      <w:r>
        <w:rPr>
          <w:rFonts w:hint="eastAsia" w:ascii="仿宋" w:hAnsi="仿宋" w:eastAsia="仿宋" w:cs="仿宋"/>
          <w:color w:val="000000" w:themeColor="text1"/>
          <w:spacing w:val="-2"/>
          <w:sz w:val="24"/>
          <w:szCs w:val="24"/>
          <w:highlight w:val="none"/>
          <w14:textFill>
            <w14:solidFill>
              <w14:schemeClr w14:val="tx1"/>
            </w14:solidFill>
          </w14:textFill>
        </w:rPr>
        <w:t>及时通知监理人。监理人接到该通知后，应附具相关意见并立即报送发包人，发包人应在收到监理人报送的通知后的合理时间内作出决定。合理时间是指发包人</w:t>
      </w:r>
      <w:r>
        <w:rPr>
          <w:rFonts w:hint="eastAsia" w:ascii="仿宋" w:hAnsi="仿宋" w:eastAsia="仿宋" w:cs="仿宋"/>
          <w:color w:val="000000" w:themeColor="text1"/>
          <w:sz w:val="24"/>
          <w:szCs w:val="24"/>
          <w:highlight w:val="none"/>
          <w14:textFill>
            <w14:solidFill>
              <w14:schemeClr w14:val="tx1"/>
            </w14:solidFill>
          </w14:textFill>
        </w:rPr>
        <w:t>在收到监理人的报送通知后，尽其努力且不懈</w:t>
      </w:r>
      <w:r>
        <w:rPr>
          <w:rFonts w:hint="eastAsia" w:ascii="仿宋" w:hAnsi="仿宋" w:eastAsia="仿宋" w:cs="仿宋"/>
          <w:color w:val="000000" w:themeColor="text1"/>
          <w:spacing w:val="-1"/>
          <w:sz w:val="24"/>
          <w:szCs w:val="24"/>
          <w:highlight w:val="none"/>
          <w14:textFill>
            <w14:solidFill>
              <w14:schemeClr w14:val="tx1"/>
            </w14:solidFill>
          </w14:textFill>
        </w:rPr>
        <w:t>怠地完成图纸修改补充所需的时</w:t>
      </w:r>
      <w:r>
        <w:rPr>
          <w:rFonts w:hint="eastAsia" w:ascii="仿宋" w:hAnsi="仿宋" w:eastAsia="仿宋" w:cs="仿宋"/>
          <w:color w:val="000000" w:themeColor="text1"/>
          <w:spacing w:val="-19"/>
          <w:sz w:val="24"/>
          <w:szCs w:val="24"/>
          <w:highlight w:val="none"/>
          <w14:textFill>
            <w14:solidFill>
              <w14:schemeClr w14:val="tx1"/>
            </w14:solidFill>
          </w14:textFill>
        </w:rPr>
        <w:t>间。</w:t>
      </w:r>
    </w:p>
    <w:p w14:paraId="3992D6A4">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1.6.3</w:t>
      </w:r>
      <w:r>
        <w:rPr>
          <w:rFonts w:hint="eastAsia" w:ascii="仿宋" w:hAnsi="仿宋" w:eastAsia="仿宋" w:cs="仿宋"/>
          <w:color w:val="000000" w:themeColor="text1"/>
          <w:spacing w:val="4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图纸的修改和补充</w:t>
      </w:r>
    </w:p>
    <w:p w14:paraId="69A29D17">
      <w:pPr>
        <w:keepNext w:val="0"/>
        <w:keepLines w:val="0"/>
        <w:pageBreakBefore w:val="0"/>
        <w:widowControl w:val="0"/>
        <w:kinsoku/>
        <w:wordWrap/>
        <w:overflowPunct/>
        <w:topLinePunct w:val="0"/>
        <w:autoSpaceDE/>
        <w:autoSpaceDN/>
        <w:bidi w:val="0"/>
        <w:snapToGrid/>
        <w:spacing w:line="360" w:lineRule="auto"/>
        <w:ind w:left="0" w:leftChars="0" w:right="0" w:rightChars="0" w:firstLine="58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图纸需要修改和补充的，应经图纸原设计人及审批部门同意，并由监理人在</w:t>
      </w:r>
      <w:r>
        <w:rPr>
          <w:rFonts w:hint="eastAsia" w:ascii="仿宋" w:hAnsi="仿宋" w:eastAsia="仿宋" w:cs="仿宋"/>
          <w:color w:val="000000" w:themeColor="text1"/>
          <w:spacing w:val="-2"/>
          <w:sz w:val="24"/>
          <w:szCs w:val="24"/>
          <w:highlight w:val="none"/>
          <w14:textFill>
            <w14:solidFill>
              <w14:schemeClr w14:val="tx1"/>
            </w14:solidFill>
          </w14:textFill>
        </w:rPr>
        <w:t>工程或工程相应部位施工前将修改后的图纸或补充图纸提交给承包人，承包人应</w:t>
      </w:r>
      <w:r>
        <w:rPr>
          <w:rFonts w:hint="eastAsia" w:ascii="仿宋" w:hAnsi="仿宋" w:eastAsia="仿宋" w:cs="仿宋"/>
          <w:color w:val="000000" w:themeColor="text1"/>
          <w:spacing w:val="-1"/>
          <w:sz w:val="24"/>
          <w:szCs w:val="24"/>
          <w:highlight w:val="none"/>
          <w14:textFill>
            <w14:solidFill>
              <w14:schemeClr w14:val="tx1"/>
            </w14:solidFill>
          </w14:textFill>
        </w:rPr>
        <w:t>按修改或补充后的图纸施工。</w:t>
      </w:r>
    </w:p>
    <w:p w14:paraId="2B15745C">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1.6.4 承包人文件</w:t>
      </w:r>
    </w:p>
    <w:p w14:paraId="1DC6B840">
      <w:pPr>
        <w:keepNext w:val="0"/>
        <w:keepLines w:val="0"/>
        <w:pageBreakBefore w:val="0"/>
        <w:widowControl w:val="0"/>
        <w:kinsoku/>
        <w:wordWrap/>
        <w:overflowPunct/>
        <w:topLinePunct w:val="0"/>
        <w:autoSpaceDE/>
        <w:autoSpaceDN/>
        <w:bidi w:val="0"/>
        <w:snapToGrid/>
        <w:spacing w:line="360" w:lineRule="auto"/>
        <w:ind w:left="0" w:leftChars="0" w:right="0" w:rightChars="0" w:firstLine="56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承包人应按照专用合同条款的约定提供应当由其编制的与工程施工有关的</w:t>
      </w:r>
      <w:r>
        <w:rPr>
          <w:rFonts w:hint="eastAsia" w:ascii="仿宋" w:hAnsi="仿宋" w:eastAsia="仿宋" w:cs="仿宋"/>
          <w:color w:val="000000" w:themeColor="text1"/>
          <w:spacing w:val="-2"/>
          <w:sz w:val="24"/>
          <w:szCs w:val="24"/>
          <w:highlight w:val="none"/>
          <w14:textFill>
            <w14:solidFill>
              <w14:schemeClr w14:val="tx1"/>
            </w14:solidFill>
          </w14:textFill>
        </w:rPr>
        <w:t>文件，并按照专用合同条款约定的期限、数量和形式提交监理人，并由监理人报送发包人。</w:t>
      </w:r>
    </w:p>
    <w:p w14:paraId="7CBDEFCA">
      <w:pPr>
        <w:keepNext w:val="0"/>
        <w:keepLines w:val="0"/>
        <w:pageBreakBefore w:val="0"/>
        <w:widowControl w:val="0"/>
        <w:kinsoku/>
        <w:wordWrap/>
        <w:overflowPunct/>
        <w:topLinePunct w:val="0"/>
        <w:autoSpaceDE/>
        <w:autoSpaceDN/>
        <w:bidi w:val="0"/>
        <w:snapToGrid/>
        <w:spacing w:line="360" w:lineRule="auto"/>
        <w:ind w:left="0" w:leftChars="0" w:right="0" w:rightChars="0" w:firstLine="57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8"/>
          <w:sz w:val="24"/>
          <w:szCs w:val="24"/>
          <w:highlight w:val="none"/>
          <w14:textFill>
            <w14:solidFill>
              <w14:schemeClr w14:val="tx1"/>
            </w14:solidFill>
          </w14:textFill>
        </w:rPr>
        <w:t>除专用合同条款另有约定外，监理人应在收到承包人文件后</w:t>
      </w:r>
      <w:r>
        <w:rPr>
          <w:rFonts w:hint="eastAsia" w:ascii="仿宋" w:hAnsi="仿宋" w:eastAsia="仿宋" w:cs="仿宋"/>
          <w:color w:val="000000" w:themeColor="text1"/>
          <w:spacing w:val="-7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14:textFill>
            <w14:solidFill>
              <w14:schemeClr w14:val="tx1"/>
            </w14:solidFill>
          </w14:textFill>
        </w:rPr>
        <w:t>7</w:t>
      </w:r>
      <w:r>
        <w:rPr>
          <w:rFonts w:hint="eastAsia" w:ascii="仿宋" w:hAnsi="仿宋" w:eastAsia="仿宋" w:cs="仿宋"/>
          <w:color w:val="000000" w:themeColor="text1"/>
          <w:spacing w:val="-7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14:textFill>
            <w14:solidFill>
              <w14:schemeClr w14:val="tx1"/>
            </w14:solidFill>
          </w14:textFill>
        </w:rPr>
        <w:t>天内审查完毕，</w:t>
      </w:r>
      <w:r>
        <w:rPr>
          <w:rFonts w:hint="eastAsia" w:ascii="仿宋" w:hAnsi="仿宋" w:eastAsia="仿宋" w:cs="仿宋"/>
          <w:color w:val="000000" w:themeColor="text1"/>
          <w:spacing w:val="-2"/>
          <w:sz w:val="24"/>
          <w:szCs w:val="24"/>
          <w:highlight w:val="none"/>
          <w14:textFill>
            <w14:solidFill>
              <w14:schemeClr w14:val="tx1"/>
            </w14:solidFill>
          </w14:textFill>
        </w:rPr>
        <w:t>监理人对承包人文件有异议的，承包人应予以修改，并重新报送监理人。监理人的审查并不减轻或免除承包人根据合同约定应当承担的责任。</w:t>
      </w:r>
    </w:p>
    <w:p w14:paraId="55DDCE75">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1.6.5</w:t>
      </w:r>
      <w:r>
        <w:rPr>
          <w:rFonts w:hint="eastAsia" w:ascii="仿宋" w:hAnsi="仿宋" w:eastAsia="仿宋" w:cs="仿宋"/>
          <w:color w:val="000000" w:themeColor="text1"/>
          <w:spacing w:val="4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图纸和承包人文件的保管</w:t>
      </w:r>
    </w:p>
    <w:p w14:paraId="65ABFDC4">
      <w:pPr>
        <w:keepNext w:val="0"/>
        <w:keepLines w:val="0"/>
        <w:pageBreakBefore w:val="0"/>
        <w:widowControl w:val="0"/>
        <w:kinsoku/>
        <w:wordWrap/>
        <w:overflowPunct/>
        <w:topLinePunct w:val="0"/>
        <w:autoSpaceDE/>
        <w:autoSpaceDN/>
        <w:bidi w:val="0"/>
        <w:snapToGrid/>
        <w:spacing w:line="360" w:lineRule="auto"/>
        <w:ind w:left="0" w:leftChars="0" w:right="0" w:rightChars="0" w:firstLine="57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除专用合同条款另有约定外，承包人应在施工现场另外保存一套完整的图纸</w:t>
      </w:r>
      <w:r>
        <w:rPr>
          <w:rFonts w:hint="eastAsia" w:ascii="仿宋" w:hAnsi="仿宋" w:eastAsia="仿宋" w:cs="仿宋"/>
          <w:color w:val="000000" w:themeColor="text1"/>
          <w:spacing w:val="-1"/>
          <w:sz w:val="24"/>
          <w:szCs w:val="24"/>
          <w:highlight w:val="none"/>
          <w14:textFill>
            <w14:solidFill>
              <w14:schemeClr w14:val="tx1"/>
            </w14:solidFill>
          </w14:textFill>
        </w:rPr>
        <w:t>和承包人文件，供发包人、监理人及有关人员进行工程检</w:t>
      </w:r>
      <w:r>
        <w:rPr>
          <w:rFonts w:hint="eastAsia" w:ascii="仿宋" w:hAnsi="仿宋" w:eastAsia="仿宋" w:cs="仿宋"/>
          <w:color w:val="000000" w:themeColor="text1"/>
          <w:spacing w:val="-2"/>
          <w:sz w:val="24"/>
          <w:szCs w:val="24"/>
          <w:highlight w:val="none"/>
          <w14:textFill>
            <w14:solidFill>
              <w14:schemeClr w14:val="tx1"/>
            </w14:solidFill>
          </w14:textFill>
        </w:rPr>
        <w:t>查时使用。</w:t>
      </w:r>
    </w:p>
    <w:p w14:paraId="13355CD6">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8"/>
          <w:sz w:val="24"/>
          <w:szCs w:val="24"/>
          <w:highlight w:val="none"/>
          <w14:textFill>
            <w14:solidFill>
              <w14:schemeClr w14:val="tx1"/>
            </w14:solidFill>
          </w14:textFill>
        </w:rPr>
        <w:t>1.7</w:t>
      </w:r>
      <w:r>
        <w:rPr>
          <w:rFonts w:hint="eastAsia" w:ascii="仿宋" w:hAnsi="仿宋" w:eastAsia="仿宋" w:cs="仿宋"/>
          <w:color w:val="000000" w:themeColor="text1"/>
          <w:spacing w:val="-5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14:textFill>
            <w14:solidFill>
              <w14:schemeClr w14:val="tx1"/>
            </w14:solidFill>
          </w14:textFill>
        </w:rPr>
        <w:t>联络</w:t>
      </w:r>
    </w:p>
    <w:p w14:paraId="69F18C50">
      <w:pPr>
        <w:keepNext w:val="0"/>
        <w:keepLines w:val="0"/>
        <w:pageBreakBefore w:val="0"/>
        <w:widowControl w:val="0"/>
        <w:kinsoku/>
        <w:wordWrap/>
        <w:overflowPunct/>
        <w:topLinePunct w:val="0"/>
        <w:autoSpaceDE/>
        <w:autoSpaceDN/>
        <w:bidi w:val="0"/>
        <w:snapToGrid/>
        <w:spacing w:line="360" w:lineRule="auto"/>
        <w:ind w:left="0" w:leftChars="0" w:right="0" w:rightChars="0" w:firstLine="58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1.7.1 与合同有关的通知、批准、证明、证书、指示、指令、要求、</w:t>
      </w:r>
      <w:r>
        <w:rPr>
          <w:rFonts w:hint="eastAsia" w:ascii="仿宋" w:hAnsi="仿宋" w:eastAsia="仿宋" w:cs="仿宋"/>
          <w:color w:val="000000" w:themeColor="text1"/>
          <w:spacing w:val="-3"/>
          <w:sz w:val="24"/>
          <w:szCs w:val="24"/>
          <w:highlight w:val="none"/>
          <w14:textFill>
            <w14:solidFill>
              <w14:schemeClr w14:val="tx1"/>
            </w14:solidFill>
          </w14:textFill>
        </w:rPr>
        <w:t>请求、</w:t>
      </w:r>
      <w:r>
        <w:rPr>
          <w:rFonts w:hint="eastAsia" w:ascii="仿宋" w:hAnsi="仿宋" w:eastAsia="仿宋" w:cs="仿宋"/>
          <w:color w:val="000000" w:themeColor="text1"/>
          <w:spacing w:val="-2"/>
          <w:sz w:val="24"/>
          <w:szCs w:val="24"/>
          <w:highlight w:val="none"/>
          <w14:textFill>
            <w14:solidFill>
              <w14:schemeClr w14:val="tx1"/>
            </w14:solidFill>
          </w14:textFill>
        </w:rPr>
        <w:t>同意、意见、确定和决定等，均应采用书面形式，并应在合同约定的期限内送达</w:t>
      </w:r>
      <w:r>
        <w:rPr>
          <w:rFonts w:hint="eastAsia" w:ascii="仿宋" w:hAnsi="仿宋" w:eastAsia="仿宋" w:cs="仿宋"/>
          <w:color w:val="000000" w:themeColor="text1"/>
          <w:spacing w:val="-1"/>
          <w:sz w:val="24"/>
          <w:szCs w:val="24"/>
          <w:highlight w:val="none"/>
          <w14:textFill>
            <w14:solidFill>
              <w14:schemeClr w14:val="tx1"/>
            </w14:solidFill>
          </w14:textFill>
        </w:rPr>
        <w:t>接收人和送达地点。</w:t>
      </w:r>
    </w:p>
    <w:p w14:paraId="4AB30012">
      <w:pPr>
        <w:keepNext w:val="0"/>
        <w:keepLines w:val="0"/>
        <w:pageBreakBefore w:val="0"/>
        <w:widowControl w:val="0"/>
        <w:kinsoku/>
        <w:wordWrap/>
        <w:overflowPunct/>
        <w:topLinePunct w:val="0"/>
        <w:autoSpaceDE/>
        <w:autoSpaceDN/>
        <w:bidi w:val="0"/>
        <w:snapToGrid/>
        <w:spacing w:line="360" w:lineRule="auto"/>
        <w:ind w:left="0" w:leftChars="0" w:right="0" w:rightChars="0" w:firstLine="5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1.7.2 发包人和承包人应在专用合同条款中约定各自的送达接收人和送达</w:t>
      </w:r>
      <w:r>
        <w:rPr>
          <w:rFonts w:hint="eastAsia" w:ascii="仿宋" w:hAnsi="仿宋" w:eastAsia="仿宋" w:cs="仿宋"/>
          <w:color w:val="000000" w:themeColor="text1"/>
          <w:sz w:val="24"/>
          <w:szCs w:val="24"/>
          <w:highlight w:val="none"/>
          <w14:textFill>
            <w14:solidFill>
              <w14:schemeClr w14:val="tx1"/>
            </w14:solidFill>
          </w14:textFill>
        </w:rPr>
        <w:t>地点。任何一方合同当事人指定的接收人或送达地点发生</w:t>
      </w:r>
      <w:r>
        <w:rPr>
          <w:rFonts w:hint="eastAsia" w:ascii="仿宋" w:hAnsi="仿宋" w:eastAsia="仿宋" w:cs="仿宋"/>
          <w:color w:val="000000" w:themeColor="text1"/>
          <w:spacing w:val="-1"/>
          <w:sz w:val="24"/>
          <w:szCs w:val="24"/>
          <w:highlight w:val="none"/>
          <w14:textFill>
            <w14:solidFill>
              <w14:schemeClr w14:val="tx1"/>
            </w14:solidFill>
          </w14:textFill>
        </w:rPr>
        <w:t>变动的，应提前3天以</w:t>
      </w:r>
      <w:r>
        <w:rPr>
          <w:rFonts w:hint="eastAsia" w:ascii="仿宋" w:hAnsi="仿宋" w:eastAsia="仿宋" w:cs="仿宋"/>
          <w:color w:val="000000" w:themeColor="text1"/>
          <w:spacing w:val="-2"/>
          <w:sz w:val="24"/>
          <w:szCs w:val="24"/>
          <w:highlight w:val="none"/>
          <w14:textFill>
            <w14:solidFill>
              <w14:schemeClr w14:val="tx1"/>
            </w14:solidFill>
          </w14:textFill>
        </w:rPr>
        <w:t>书面形式通知对方。</w:t>
      </w:r>
    </w:p>
    <w:p w14:paraId="484462C5">
      <w:pPr>
        <w:keepNext w:val="0"/>
        <w:keepLines w:val="0"/>
        <w:pageBreakBefore w:val="0"/>
        <w:widowControl w:val="0"/>
        <w:kinsoku/>
        <w:wordWrap/>
        <w:overflowPunct/>
        <w:topLinePunct w:val="0"/>
        <w:autoSpaceDE/>
        <w:autoSpaceDN/>
        <w:bidi w:val="0"/>
        <w:snapToGrid/>
        <w:spacing w:line="360" w:lineRule="auto"/>
        <w:ind w:left="0" w:leftChars="0" w:right="0" w:rightChars="0" w:firstLine="5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1.7.3 发包人和承包人应当及时签收另一方送达至送达地点和指定接收人</w:t>
      </w:r>
      <w:r>
        <w:rPr>
          <w:rFonts w:hint="eastAsia" w:ascii="仿宋" w:hAnsi="仿宋" w:eastAsia="仿宋" w:cs="仿宋"/>
          <w:color w:val="000000" w:themeColor="text1"/>
          <w:spacing w:val="-2"/>
          <w:sz w:val="24"/>
          <w:szCs w:val="24"/>
          <w:highlight w:val="none"/>
          <w14:textFill>
            <w14:solidFill>
              <w14:schemeClr w14:val="tx1"/>
            </w14:solidFill>
          </w14:textFill>
        </w:rPr>
        <w:t>的来往信函。拒不签收的，由此增加的费用和（或）延误的工期由拒绝接收一方</w:t>
      </w:r>
      <w:r>
        <w:rPr>
          <w:rFonts w:hint="eastAsia" w:ascii="仿宋" w:hAnsi="仿宋" w:eastAsia="仿宋" w:cs="仿宋"/>
          <w:color w:val="000000" w:themeColor="text1"/>
          <w:spacing w:val="-12"/>
          <w:sz w:val="24"/>
          <w:szCs w:val="24"/>
          <w:highlight w:val="none"/>
          <w14:textFill>
            <w14:solidFill>
              <w14:schemeClr w14:val="tx1"/>
            </w14:solidFill>
          </w14:textFill>
        </w:rPr>
        <w:t>承担。</w:t>
      </w:r>
    </w:p>
    <w:p w14:paraId="5EBA458B">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1.8</w:t>
      </w:r>
      <w:r>
        <w:rPr>
          <w:rFonts w:hint="eastAsia" w:ascii="仿宋" w:hAnsi="仿宋" w:eastAsia="仿宋" w:cs="仿宋"/>
          <w:color w:val="000000" w:themeColor="text1"/>
          <w:spacing w:val="-5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严禁贿赂</w:t>
      </w:r>
    </w:p>
    <w:p w14:paraId="40E95AC0">
      <w:pPr>
        <w:keepNext w:val="0"/>
        <w:keepLines w:val="0"/>
        <w:pageBreakBefore w:val="0"/>
        <w:widowControl w:val="0"/>
        <w:kinsoku/>
        <w:wordWrap/>
        <w:overflowPunct/>
        <w:topLinePunct w:val="0"/>
        <w:autoSpaceDE/>
        <w:autoSpaceDN/>
        <w:bidi w:val="0"/>
        <w:snapToGrid/>
        <w:spacing w:line="360" w:lineRule="auto"/>
        <w:ind w:left="0" w:leftChars="0" w:right="0" w:rightChars="0" w:firstLine="5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合同当事人不得以贿赂或变相贿赂的方式，谋取</w:t>
      </w:r>
      <w:r>
        <w:rPr>
          <w:rFonts w:hint="eastAsia" w:ascii="仿宋" w:hAnsi="仿宋" w:eastAsia="仿宋" w:cs="仿宋"/>
          <w:color w:val="000000" w:themeColor="text1"/>
          <w:spacing w:val="-1"/>
          <w:sz w:val="24"/>
          <w:szCs w:val="24"/>
          <w:highlight w:val="none"/>
          <w14:textFill>
            <w14:solidFill>
              <w14:schemeClr w14:val="tx1"/>
            </w14:solidFill>
          </w14:textFill>
        </w:rPr>
        <w:t>非法利益或损害对方权益。</w:t>
      </w:r>
      <w:r>
        <w:rPr>
          <w:rFonts w:hint="eastAsia" w:ascii="仿宋" w:hAnsi="仿宋" w:eastAsia="仿宋" w:cs="仿宋"/>
          <w:color w:val="000000" w:themeColor="text1"/>
          <w:spacing w:val="-8"/>
          <w:sz w:val="24"/>
          <w:szCs w:val="24"/>
          <w:highlight w:val="none"/>
          <w14:textFill>
            <w14:solidFill>
              <w14:schemeClr w14:val="tx1"/>
            </w14:solidFill>
          </w14:textFill>
        </w:rPr>
        <w:t>因一方合同当事人的贿赂造成对方损失的，应赔偿损失，并承担相应的法律责任。</w:t>
      </w:r>
    </w:p>
    <w:p w14:paraId="49BD62C4">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承包人不得与监理人或发包人聘请的第三方串通损害发包人利益。未</w:t>
      </w:r>
      <w:r>
        <w:rPr>
          <w:rFonts w:hint="eastAsia" w:ascii="仿宋" w:hAnsi="仿宋" w:eastAsia="仿宋" w:cs="仿宋"/>
          <w:color w:val="000000" w:themeColor="text1"/>
          <w:spacing w:val="-3"/>
          <w:sz w:val="24"/>
          <w:szCs w:val="24"/>
          <w:highlight w:val="none"/>
          <w14:textFill>
            <w14:solidFill>
              <w14:schemeClr w14:val="tx1"/>
            </w14:solidFill>
          </w14:textFill>
        </w:rPr>
        <w:t>经发包</w:t>
      </w:r>
      <w:r>
        <w:rPr>
          <w:rFonts w:hint="eastAsia" w:ascii="仿宋" w:hAnsi="仿宋" w:eastAsia="仿宋" w:cs="仿宋"/>
          <w:color w:val="000000" w:themeColor="text1"/>
          <w:spacing w:val="-2"/>
          <w:sz w:val="24"/>
          <w:szCs w:val="24"/>
          <w:highlight w:val="none"/>
          <w14:textFill>
            <w14:solidFill>
              <w14:schemeClr w14:val="tx1"/>
            </w14:solidFill>
          </w14:textFill>
        </w:rPr>
        <w:t>人书面同意，承包人不得为监理人提供合同约定以外的通讯设备、交通工具及其</w:t>
      </w:r>
      <w:r>
        <w:rPr>
          <w:rFonts w:hint="eastAsia" w:ascii="仿宋" w:hAnsi="仿宋" w:eastAsia="仿宋" w:cs="仿宋"/>
          <w:color w:val="000000" w:themeColor="text1"/>
          <w:spacing w:val="-3"/>
          <w:sz w:val="24"/>
          <w:szCs w:val="24"/>
          <w:highlight w:val="none"/>
          <w14:textFill>
            <w14:solidFill>
              <w14:schemeClr w14:val="tx1"/>
            </w14:solidFill>
          </w14:textFill>
        </w:rPr>
        <w:t>他任何形式的利益，不得向监理人支付报酬。</w:t>
      </w:r>
    </w:p>
    <w:p w14:paraId="42E1893D">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7"/>
          <w:sz w:val="24"/>
          <w:szCs w:val="24"/>
          <w:highlight w:val="none"/>
          <w14:textFill>
            <w14:solidFill>
              <w14:schemeClr w14:val="tx1"/>
            </w14:solidFill>
          </w14:textFill>
        </w:rPr>
        <w:t>1.9</w:t>
      </w:r>
      <w:r>
        <w:rPr>
          <w:rFonts w:hint="eastAsia" w:ascii="仿宋" w:hAnsi="仿宋" w:eastAsia="仿宋" w:cs="仿宋"/>
          <w:color w:val="000000" w:themeColor="text1"/>
          <w:spacing w:val="-5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14:textFill>
            <w14:solidFill>
              <w14:schemeClr w14:val="tx1"/>
            </w14:solidFill>
          </w14:textFill>
        </w:rPr>
        <w:t>化石、文物</w:t>
      </w:r>
    </w:p>
    <w:p w14:paraId="4319B548">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在施工现场发掘的所有文物、古迹以及具有地质研究或考古价值的其他遗</w:t>
      </w:r>
      <w:r>
        <w:rPr>
          <w:rFonts w:hint="eastAsia" w:ascii="仿宋" w:hAnsi="仿宋" w:eastAsia="仿宋" w:cs="仿宋"/>
          <w:color w:val="000000" w:themeColor="text1"/>
          <w:spacing w:val="-2"/>
          <w:sz w:val="24"/>
          <w:szCs w:val="24"/>
          <w:highlight w:val="none"/>
          <w14:textFill>
            <w14:solidFill>
              <w14:schemeClr w14:val="tx1"/>
            </w14:solidFill>
          </w14:textFill>
        </w:rPr>
        <w:t>迹、化石、钱币或物品属于国家所有。一旦发现上述文物，承包人应采取合理有效的保护措施，防止任何人员移动或损坏上述物品，并立即报告有关政府行政管</w:t>
      </w:r>
      <w:r>
        <w:rPr>
          <w:rFonts w:hint="eastAsia" w:ascii="仿宋" w:hAnsi="仿宋" w:eastAsia="仿宋" w:cs="仿宋"/>
          <w:color w:val="000000" w:themeColor="text1"/>
          <w:spacing w:val="-3"/>
          <w:sz w:val="24"/>
          <w:szCs w:val="24"/>
          <w:highlight w:val="none"/>
          <w14:textFill>
            <w14:solidFill>
              <w14:schemeClr w14:val="tx1"/>
            </w14:solidFill>
          </w14:textFill>
        </w:rPr>
        <w:t>理部门，同时通知监理人。</w:t>
      </w:r>
    </w:p>
    <w:p w14:paraId="26416959">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发包人、监理人和承包人应按有关政府行政管理部门要求</w:t>
      </w:r>
      <w:r>
        <w:rPr>
          <w:rFonts w:hint="eastAsia" w:ascii="仿宋" w:hAnsi="仿宋" w:eastAsia="仿宋" w:cs="仿宋"/>
          <w:color w:val="000000" w:themeColor="text1"/>
          <w:spacing w:val="-3"/>
          <w:sz w:val="24"/>
          <w:szCs w:val="24"/>
          <w:highlight w:val="none"/>
          <w14:textFill>
            <w14:solidFill>
              <w14:schemeClr w14:val="tx1"/>
            </w14:solidFill>
          </w14:textFill>
        </w:rPr>
        <w:t>采取妥善的保护措</w:t>
      </w:r>
      <w:r>
        <w:rPr>
          <w:rFonts w:hint="eastAsia" w:ascii="仿宋" w:hAnsi="仿宋" w:eastAsia="仿宋" w:cs="仿宋"/>
          <w:color w:val="000000" w:themeColor="text1"/>
          <w:spacing w:val="-1"/>
          <w:sz w:val="24"/>
          <w:szCs w:val="24"/>
          <w:highlight w:val="none"/>
          <w14:textFill>
            <w14:solidFill>
              <w14:schemeClr w14:val="tx1"/>
            </w14:solidFill>
          </w14:textFill>
        </w:rPr>
        <w:t>施，由此增加的费用和（或）延误的工期由发包人承担。</w:t>
      </w:r>
    </w:p>
    <w:p w14:paraId="7D83EC16">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承包人发现文物后不及时报告或隐瞒不报，致使文物丢失或损坏的，</w:t>
      </w:r>
      <w:r>
        <w:rPr>
          <w:rFonts w:hint="eastAsia" w:ascii="仿宋" w:hAnsi="仿宋" w:eastAsia="仿宋" w:cs="仿宋"/>
          <w:color w:val="000000" w:themeColor="text1"/>
          <w:spacing w:val="-3"/>
          <w:sz w:val="24"/>
          <w:szCs w:val="24"/>
          <w:highlight w:val="none"/>
          <w14:textFill>
            <w14:solidFill>
              <w14:schemeClr w14:val="tx1"/>
            </w14:solidFill>
          </w14:textFill>
        </w:rPr>
        <w:t>应赔偿损失，并承担相应的法律责任。</w:t>
      </w:r>
    </w:p>
    <w:p w14:paraId="4271916A">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1.10</w:t>
      </w:r>
      <w:r>
        <w:rPr>
          <w:rFonts w:hint="eastAsia" w:ascii="仿宋" w:hAnsi="仿宋" w:eastAsia="仿宋" w:cs="仿宋"/>
          <w:color w:val="000000" w:themeColor="text1"/>
          <w:spacing w:val="-5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交通运输</w:t>
      </w:r>
    </w:p>
    <w:p w14:paraId="6B49D51D">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1.10.1</w:t>
      </w:r>
      <w:r>
        <w:rPr>
          <w:rFonts w:hint="eastAsia" w:ascii="仿宋" w:hAnsi="仿宋" w:eastAsia="仿宋" w:cs="仿宋"/>
          <w:color w:val="000000" w:themeColor="text1"/>
          <w:spacing w:val="4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出入现场的权利</w:t>
      </w:r>
      <w:r>
        <w:rPr>
          <w:rFonts w:hint="eastAsia" w:ascii="仿宋" w:hAnsi="仿宋" w:eastAsia="仿宋" w:cs="仿宋"/>
          <w:color w:val="000000" w:themeColor="text1"/>
          <w:spacing w:val="-3"/>
          <w:sz w:val="24"/>
          <w:szCs w:val="24"/>
          <w:highlight w:val="none"/>
          <w14:textFill>
            <w14:solidFill>
              <w14:schemeClr w14:val="tx1"/>
            </w14:solidFill>
          </w14:textFill>
        </w:rPr>
        <w:t>除专用合同条款另有约定外，发包人应根据施工需要，负责取得出入</w:t>
      </w:r>
      <w:r>
        <w:rPr>
          <w:rFonts w:hint="eastAsia" w:ascii="仿宋" w:hAnsi="仿宋" w:eastAsia="仿宋" w:cs="仿宋"/>
          <w:color w:val="000000" w:themeColor="text1"/>
          <w:spacing w:val="-2"/>
          <w:sz w:val="24"/>
          <w:szCs w:val="24"/>
          <w:highlight w:val="none"/>
          <w14:textFill>
            <w14:solidFill>
              <w14:schemeClr w14:val="tx1"/>
            </w14:solidFill>
          </w14:textFill>
        </w:rPr>
        <w:t>施工</w:t>
      </w:r>
      <w:r>
        <w:rPr>
          <w:rFonts w:hint="eastAsia" w:ascii="仿宋" w:hAnsi="仿宋" w:eastAsia="仿宋" w:cs="仿宋"/>
          <w:color w:val="000000" w:themeColor="text1"/>
          <w:spacing w:val="-3"/>
          <w:sz w:val="24"/>
          <w:szCs w:val="24"/>
          <w:highlight w:val="none"/>
          <w14:textFill>
            <w14:solidFill>
              <w14:schemeClr w14:val="tx1"/>
            </w14:solidFill>
          </w14:textFill>
        </w:rPr>
        <w:t>现</w:t>
      </w:r>
      <w:r>
        <w:rPr>
          <w:rFonts w:hint="eastAsia" w:ascii="仿宋" w:hAnsi="仿宋" w:eastAsia="仿宋" w:cs="仿宋"/>
          <w:color w:val="000000" w:themeColor="text1"/>
          <w:spacing w:val="-2"/>
          <w:sz w:val="24"/>
          <w:szCs w:val="24"/>
          <w:highlight w:val="none"/>
          <w14:textFill>
            <w14:solidFill>
              <w14:schemeClr w14:val="tx1"/>
            </w14:solidFill>
          </w14:textFill>
        </w:rPr>
        <w:t>场所需的批准手续和全部权利，以及取得因施工所需修建道路、桥梁以及其他基础设施的权利，并承担相关手续费用和建设费用。承包人应协助发包人办理修建</w:t>
      </w:r>
      <w:r>
        <w:rPr>
          <w:rFonts w:hint="eastAsia" w:ascii="仿宋" w:hAnsi="仿宋" w:eastAsia="仿宋" w:cs="仿宋"/>
          <w:color w:val="000000" w:themeColor="text1"/>
          <w:spacing w:val="-1"/>
          <w:sz w:val="24"/>
          <w:szCs w:val="24"/>
          <w:highlight w:val="none"/>
          <w14:textFill>
            <w14:solidFill>
              <w14:schemeClr w14:val="tx1"/>
            </w14:solidFill>
          </w14:textFill>
        </w:rPr>
        <w:t>场内外道路、桥梁以及其他基础设施的手续。</w:t>
      </w:r>
    </w:p>
    <w:p w14:paraId="12F9E94B">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承包人应在订立合同前查勘施工现场，并根据工程规模及技术参数合</w:t>
      </w:r>
      <w:r>
        <w:rPr>
          <w:rFonts w:hint="eastAsia" w:ascii="仿宋" w:hAnsi="仿宋" w:eastAsia="仿宋" w:cs="仿宋"/>
          <w:color w:val="000000" w:themeColor="text1"/>
          <w:spacing w:val="-3"/>
          <w:sz w:val="24"/>
          <w:szCs w:val="24"/>
          <w:highlight w:val="none"/>
          <w14:textFill>
            <w14:solidFill>
              <w14:schemeClr w14:val="tx1"/>
            </w14:solidFill>
          </w14:textFill>
        </w:rPr>
        <w:t>理预见</w:t>
      </w:r>
      <w:r>
        <w:rPr>
          <w:rFonts w:hint="eastAsia" w:ascii="仿宋" w:hAnsi="仿宋" w:eastAsia="仿宋" w:cs="仿宋"/>
          <w:color w:val="000000" w:themeColor="text1"/>
          <w:spacing w:val="-2"/>
          <w:sz w:val="24"/>
          <w:szCs w:val="24"/>
          <w:highlight w:val="none"/>
          <w14:textFill>
            <w14:solidFill>
              <w14:schemeClr w14:val="tx1"/>
            </w14:solidFill>
          </w14:textFill>
        </w:rPr>
        <w:t>工程施工所需的进出施工现场的方式、手段、路径等。因承包人未合理预见所增</w:t>
      </w:r>
      <w:r>
        <w:rPr>
          <w:rFonts w:hint="eastAsia" w:ascii="仿宋" w:hAnsi="仿宋" w:eastAsia="仿宋" w:cs="仿宋"/>
          <w:color w:val="000000" w:themeColor="text1"/>
          <w:spacing w:val="-3"/>
          <w:sz w:val="24"/>
          <w:szCs w:val="24"/>
          <w:highlight w:val="none"/>
          <w14:textFill>
            <w14:solidFill>
              <w14:schemeClr w14:val="tx1"/>
            </w14:solidFill>
          </w14:textFill>
        </w:rPr>
        <w:t>加的费用和（或）延误的工期由承包人承担。</w:t>
      </w:r>
    </w:p>
    <w:p w14:paraId="30C0E85F">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1.10.2 场外交通</w:t>
      </w:r>
    </w:p>
    <w:p w14:paraId="392778C1">
      <w:pPr>
        <w:keepNext w:val="0"/>
        <w:keepLines w:val="0"/>
        <w:pageBreakBefore w:val="0"/>
        <w:widowControl w:val="0"/>
        <w:kinsoku/>
        <w:wordWrap/>
        <w:overflowPunct/>
        <w:topLinePunct w:val="0"/>
        <w:autoSpaceDE/>
        <w:autoSpaceDN/>
        <w:bidi w:val="0"/>
        <w:snapToGrid/>
        <w:spacing w:line="360" w:lineRule="auto"/>
        <w:ind w:left="0" w:leftChars="0" w:right="0" w:rightChars="0" w:firstLine="5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发包人应提供场外交通设施的技术参数和具体条件，承包</w:t>
      </w:r>
      <w:r>
        <w:rPr>
          <w:rFonts w:hint="eastAsia" w:ascii="仿宋" w:hAnsi="仿宋" w:eastAsia="仿宋" w:cs="仿宋"/>
          <w:color w:val="000000" w:themeColor="text1"/>
          <w:spacing w:val="-3"/>
          <w:sz w:val="24"/>
          <w:szCs w:val="24"/>
          <w:highlight w:val="none"/>
          <w14:textFill>
            <w14:solidFill>
              <w14:schemeClr w14:val="tx1"/>
            </w14:solidFill>
          </w14:textFill>
        </w:rPr>
        <w:t>人应遵守有关交通</w:t>
      </w:r>
      <w:r>
        <w:rPr>
          <w:rFonts w:hint="eastAsia" w:ascii="仿宋" w:hAnsi="仿宋" w:eastAsia="仿宋" w:cs="仿宋"/>
          <w:color w:val="000000" w:themeColor="text1"/>
          <w:spacing w:val="-2"/>
          <w:sz w:val="24"/>
          <w:szCs w:val="24"/>
          <w:highlight w:val="none"/>
          <w14:textFill>
            <w14:solidFill>
              <w14:schemeClr w14:val="tx1"/>
            </w14:solidFill>
          </w14:textFill>
        </w:rPr>
        <w:t>法规，严格按照道路和桥梁的限制荷载行驶，执行有关道路限速、限行、禁止超载的规定，并配合交通管理部门的监督和检查。场外交通设施无法满足工程施工</w:t>
      </w:r>
      <w:r>
        <w:rPr>
          <w:rFonts w:hint="eastAsia" w:ascii="仿宋" w:hAnsi="仿宋" w:eastAsia="仿宋" w:cs="仿宋"/>
          <w:color w:val="000000" w:themeColor="text1"/>
          <w:spacing w:val="-3"/>
          <w:sz w:val="24"/>
          <w:szCs w:val="24"/>
          <w:highlight w:val="none"/>
          <w14:textFill>
            <w14:solidFill>
              <w14:schemeClr w14:val="tx1"/>
            </w14:solidFill>
          </w14:textFill>
        </w:rPr>
        <w:t>需要的，由发包人负责完善并承担相关费用。</w:t>
      </w:r>
    </w:p>
    <w:p w14:paraId="32CD7429">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1.10.3</w:t>
      </w:r>
      <w:r>
        <w:rPr>
          <w:rFonts w:hint="eastAsia" w:ascii="仿宋" w:hAnsi="仿宋" w:eastAsia="仿宋" w:cs="仿宋"/>
          <w:color w:val="000000" w:themeColor="text1"/>
          <w:spacing w:val="-5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场内交通</w:t>
      </w:r>
    </w:p>
    <w:p w14:paraId="372519DA">
      <w:pPr>
        <w:keepNext w:val="0"/>
        <w:keepLines w:val="0"/>
        <w:pageBreakBefore w:val="0"/>
        <w:widowControl w:val="0"/>
        <w:kinsoku/>
        <w:wordWrap/>
        <w:overflowPunct/>
        <w:topLinePunct w:val="0"/>
        <w:autoSpaceDE/>
        <w:autoSpaceDN/>
        <w:bidi w:val="0"/>
        <w:snapToGrid/>
        <w:spacing w:line="360" w:lineRule="auto"/>
        <w:ind w:left="0" w:leftChars="0" w:right="0" w:rightChars="0" w:firstLine="5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发包人应提供场内交通设施的技术参数和具体条件，并应按照</w:t>
      </w:r>
      <w:r>
        <w:rPr>
          <w:rFonts w:hint="eastAsia" w:ascii="仿宋" w:hAnsi="仿宋" w:eastAsia="仿宋" w:cs="仿宋"/>
          <w:color w:val="000000" w:themeColor="text1"/>
          <w:spacing w:val="-3"/>
          <w:sz w:val="24"/>
          <w:szCs w:val="24"/>
          <w:highlight w:val="none"/>
          <w14:textFill>
            <w14:solidFill>
              <w14:schemeClr w14:val="tx1"/>
            </w14:solidFill>
          </w14:textFill>
        </w:rPr>
        <w:t>专用合同条款的约定向承包人免费提供满足工程施工所需的场内道路和交通设施。因承包人原</w:t>
      </w:r>
      <w:r>
        <w:rPr>
          <w:rFonts w:hint="eastAsia" w:ascii="仿宋" w:hAnsi="仿宋" w:eastAsia="仿宋" w:cs="仿宋"/>
          <w:color w:val="000000" w:themeColor="text1"/>
          <w:spacing w:val="-2"/>
          <w:sz w:val="24"/>
          <w:szCs w:val="24"/>
          <w:highlight w:val="none"/>
          <w14:textFill>
            <w14:solidFill>
              <w14:schemeClr w14:val="tx1"/>
            </w14:solidFill>
          </w14:textFill>
        </w:rPr>
        <w:t>因造成上述道路或交通设施损坏的，承包人负责修复并承担由此增加的费用。</w:t>
      </w:r>
    </w:p>
    <w:p w14:paraId="187FFD08">
      <w:pPr>
        <w:keepNext w:val="0"/>
        <w:keepLines w:val="0"/>
        <w:pageBreakBefore w:val="0"/>
        <w:widowControl w:val="0"/>
        <w:kinsoku/>
        <w:wordWrap/>
        <w:overflowPunct/>
        <w:topLinePunct w:val="0"/>
        <w:autoSpaceDE/>
        <w:autoSpaceDN/>
        <w:bidi w:val="0"/>
        <w:snapToGrid/>
        <w:spacing w:line="360" w:lineRule="auto"/>
        <w:ind w:left="0" w:leftChars="0" w:right="0" w:rightChars="0" w:firstLine="576"/>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除发包人按照合同约定提供的场内道路和交通设施外，承包人负责修建、维</w:t>
      </w:r>
      <w:r>
        <w:rPr>
          <w:rFonts w:hint="eastAsia" w:ascii="仿宋" w:hAnsi="仿宋" w:eastAsia="仿宋" w:cs="仿宋"/>
          <w:color w:val="000000" w:themeColor="text1"/>
          <w:spacing w:val="-2"/>
          <w:sz w:val="24"/>
          <w:szCs w:val="24"/>
          <w:highlight w:val="none"/>
          <w14:textFill>
            <w14:solidFill>
              <w14:schemeClr w14:val="tx1"/>
            </w14:solidFill>
          </w14:textFill>
        </w:rPr>
        <w:t>修、养护和管理施工所需的其他场内临时道路和交通设施。发包人和监理人可以为实现合同目的使用承包人修建的场内临时道路和交通设施。</w:t>
      </w:r>
    </w:p>
    <w:p w14:paraId="40454276">
      <w:pPr>
        <w:keepNext w:val="0"/>
        <w:keepLines w:val="0"/>
        <w:pageBreakBefore w:val="0"/>
        <w:widowControl w:val="0"/>
        <w:kinsoku/>
        <w:wordWrap/>
        <w:overflowPunct/>
        <w:topLinePunct w:val="0"/>
        <w:autoSpaceDE/>
        <w:autoSpaceDN/>
        <w:bidi w:val="0"/>
        <w:snapToGrid/>
        <w:spacing w:line="360" w:lineRule="auto"/>
        <w:ind w:left="0" w:leftChars="0" w:right="0" w:rightChars="0" w:firstLine="57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场外交通和场内交通的边界由合同当事人在专用合同条款中约定。</w:t>
      </w:r>
    </w:p>
    <w:p w14:paraId="7F5A2F6B">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1.10.4 超大件和超重件的运输</w:t>
      </w:r>
    </w:p>
    <w:p w14:paraId="0192C6EE">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由承包人负责运输的超大件或超重件，应由承包人负责向交通管理部门办理申请手续，发包人给予协助。运输超大件或超重件所需的道路和桥梁临时加固改</w:t>
      </w:r>
      <w:r>
        <w:rPr>
          <w:rFonts w:hint="eastAsia" w:ascii="仿宋" w:hAnsi="仿宋" w:eastAsia="仿宋" w:cs="仿宋"/>
          <w:color w:val="000000" w:themeColor="text1"/>
          <w:sz w:val="24"/>
          <w:szCs w:val="24"/>
          <w:highlight w:val="none"/>
          <w14:textFill>
            <w14:solidFill>
              <w14:schemeClr w14:val="tx1"/>
            </w14:solidFill>
          </w14:textFill>
        </w:rPr>
        <w:t>造费用和其他有关费用，由承包人承担，但专</w:t>
      </w:r>
      <w:r>
        <w:rPr>
          <w:rFonts w:hint="eastAsia" w:ascii="仿宋" w:hAnsi="仿宋" w:eastAsia="仿宋" w:cs="仿宋"/>
          <w:color w:val="000000" w:themeColor="text1"/>
          <w:spacing w:val="-1"/>
          <w:sz w:val="24"/>
          <w:szCs w:val="24"/>
          <w:highlight w:val="none"/>
          <w14:textFill>
            <w14:solidFill>
              <w14:schemeClr w14:val="tx1"/>
            </w14:solidFill>
          </w14:textFill>
        </w:rPr>
        <w:t>用合同条款另有约定除外。</w:t>
      </w:r>
    </w:p>
    <w:p w14:paraId="5EA33D97">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1.10.5 道路和桥梁的损坏责任</w:t>
      </w:r>
    </w:p>
    <w:p w14:paraId="02E4B616">
      <w:pPr>
        <w:keepNext w:val="0"/>
        <w:keepLines w:val="0"/>
        <w:pageBreakBefore w:val="0"/>
        <w:widowControl w:val="0"/>
        <w:kinsoku/>
        <w:wordWrap/>
        <w:overflowPunct/>
        <w:topLinePunct w:val="0"/>
        <w:autoSpaceDE/>
        <w:autoSpaceDN/>
        <w:bidi w:val="0"/>
        <w:snapToGrid/>
        <w:spacing w:line="360" w:lineRule="auto"/>
        <w:ind w:left="0" w:leftChars="0" w:right="0" w:rightChars="0" w:firstLine="58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因承包人运输造成施工场地内外公共道路和桥梁损坏的，由承包人承担修复</w:t>
      </w:r>
      <w:r>
        <w:rPr>
          <w:rFonts w:hint="eastAsia" w:ascii="仿宋" w:hAnsi="仿宋" w:eastAsia="仿宋" w:cs="仿宋"/>
          <w:color w:val="000000" w:themeColor="text1"/>
          <w:spacing w:val="-1"/>
          <w:sz w:val="24"/>
          <w:szCs w:val="24"/>
          <w:highlight w:val="none"/>
          <w14:textFill>
            <w14:solidFill>
              <w14:schemeClr w14:val="tx1"/>
            </w14:solidFill>
          </w14:textFill>
        </w:rPr>
        <w:t>损坏的全部费用和可能引起的赔偿。</w:t>
      </w:r>
    </w:p>
    <w:p w14:paraId="6414BCD5">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1.10.6 水路和航空运输</w:t>
      </w:r>
    </w:p>
    <w:p w14:paraId="6C3E08C2">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本款前述各项的内容适用于水路运输和航空运输，其中“道路”一</w:t>
      </w:r>
      <w:r>
        <w:rPr>
          <w:rFonts w:hint="eastAsia" w:ascii="仿宋" w:hAnsi="仿宋" w:eastAsia="仿宋" w:cs="仿宋"/>
          <w:color w:val="000000" w:themeColor="text1"/>
          <w:spacing w:val="-3"/>
          <w:sz w:val="24"/>
          <w:szCs w:val="24"/>
          <w:highlight w:val="none"/>
          <w14:textFill>
            <w14:solidFill>
              <w14:schemeClr w14:val="tx1"/>
            </w14:solidFill>
          </w14:textFill>
        </w:rPr>
        <w:t>词的涵义</w:t>
      </w:r>
      <w:r>
        <w:rPr>
          <w:rFonts w:hint="eastAsia" w:ascii="仿宋" w:hAnsi="仿宋" w:eastAsia="仿宋" w:cs="仿宋"/>
          <w:color w:val="000000" w:themeColor="text1"/>
          <w:spacing w:val="-2"/>
          <w:sz w:val="24"/>
          <w:szCs w:val="24"/>
          <w:highlight w:val="none"/>
          <w14:textFill>
            <w14:solidFill>
              <w14:schemeClr w14:val="tx1"/>
            </w14:solidFill>
          </w14:textFill>
        </w:rPr>
        <w:t>包括河道、航线、船闸、机场、码头、堤防以及水路或航空运输中其他相似结构</w:t>
      </w:r>
      <w:r>
        <w:rPr>
          <w:rFonts w:hint="eastAsia" w:ascii="仿宋" w:hAnsi="仿宋" w:eastAsia="仿宋" w:cs="仿宋"/>
          <w:color w:val="000000" w:themeColor="text1"/>
          <w:spacing w:val="-3"/>
          <w:sz w:val="24"/>
          <w:szCs w:val="24"/>
          <w:highlight w:val="none"/>
          <w14:textFill>
            <w14:solidFill>
              <w14:schemeClr w14:val="tx1"/>
            </w14:solidFill>
          </w14:textFill>
        </w:rPr>
        <w:t>物；“车辆”一词的涵义包括船舶和飞机等。</w:t>
      </w:r>
    </w:p>
    <w:p w14:paraId="44F7422D">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1.11</w:t>
      </w:r>
      <w:r>
        <w:rPr>
          <w:rFonts w:hint="eastAsia" w:ascii="仿宋" w:hAnsi="仿宋" w:eastAsia="仿宋" w:cs="仿宋"/>
          <w:color w:val="000000" w:themeColor="text1"/>
          <w:spacing w:val="-5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知识产权</w:t>
      </w:r>
    </w:p>
    <w:p w14:paraId="0F0A7107">
      <w:pPr>
        <w:keepNext w:val="0"/>
        <w:keepLines w:val="0"/>
        <w:pageBreakBefore w:val="0"/>
        <w:widowControl w:val="0"/>
        <w:kinsoku/>
        <w:wordWrap/>
        <w:overflowPunct/>
        <w:topLinePunct w:val="0"/>
        <w:autoSpaceDE/>
        <w:autoSpaceDN/>
        <w:bidi w:val="0"/>
        <w:snapToGrid/>
        <w:spacing w:line="360" w:lineRule="auto"/>
        <w:ind w:left="0" w:leftChars="0" w:right="0" w:rightChars="0" w:firstLine="57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1.11.1 除专用合同条款另有约定外，发包人提供给承包人的图纸、发包人为实施工程自行编制或委托编制的技术规范以及反映发包人要求的或其他类似</w:t>
      </w:r>
      <w:r>
        <w:rPr>
          <w:rFonts w:hint="eastAsia" w:ascii="仿宋" w:hAnsi="仿宋" w:eastAsia="仿宋" w:cs="仿宋"/>
          <w:color w:val="000000" w:themeColor="text1"/>
          <w:spacing w:val="-2"/>
          <w:sz w:val="24"/>
          <w:szCs w:val="24"/>
          <w:highlight w:val="none"/>
          <w14:textFill>
            <w14:solidFill>
              <w14:schemeClr w14:val="tx1"/>
            </w14:solidFill>
          </w14:textFill>
        </w:rPr>
        <w:t>性质的文件的著作权属于发包人，承包人可以为实现合同目的而复制、使用此类文件，但不能用于与合同无关的其他事项。未经发包人书面同意，承包人不得为</w:t>
      </w:r>
      <w:r>
        <w:rPr>
          <w:rFonts w:hint="eastAsia" w:ascii="仿宋" w:hAnsi="仿宋" w:eastAsia="仿宋" w:cs="仿宋"/>
          <w:color w:val="000000" w:themeColor="text1"/>
          <w:spacing w:val="-1"/>
          <w:sz w:val="24"/>
          <w:szCs w:val="24"/>
          <w:highlight w:val="none"/>
          <w14:textFill>
            <w14:solidFill>
              <w14:schemeClr w14:val="tx1"/>
            </w14:solidFill>
          </w14:textFill>
        </w:rPr>
        <w:t>了合同以外的目的而复制、使用上述文件或将之提供给</w:t>
      </w:r>
      <w:r>
        <w:rPr>
          <w:rFonts w:hint="eastAsia" w:ascii="仿宋" w:hAnsi="仿宋" w:eastAsia="仿宋" w:cs="仿宋"/>
          <w:color w:val="000000" w:themeColor="text1"/>
          <w:spacing w:val="-2"/>
          <w:sz w:val="24"/>
          <w:szCs w:val="24"/>
          <w:highlight w:val="none"/>
          <w14:textFill>
            <w14:solidFill>
              <w14:schemeClr w14:val="tx1"/>
            </w14:solidFill>
          </w14:textFill>
        </w:rPr>
        <w:t>任何第三方。</w:t>
      </w:r>
    </w:p>
    <w:p w14:paraId="4CBBBEB1">
      <w:pPr>
        <w:keepNext w:val="0"/>
        <w:keepLines w:val="0"/>
        <w:pageBreakBefore w:val="0"/>
        <w:widowControl w:val="0"/>
        <w:kinsoku/>
        <w:wordWrap/>
        <w:overflowPunct/>
        <w:topLinePunct w:val="0"/>
        <w:autoSpaceDE/>
        <w:autoSpaceDN/>
        <w:bidi w:val="0"/>
        <w:snapToGrid/>
        <w:spacing w:line="360" w:lineRule="auto"/>
        <w:ind w:left="0" w:leftChars="0" w:right="0" w:rightChars="0" w:firstLine="58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1.11.2 除专用合同条款另有约定外，承包人为实施工程所编制的文件，除</w:t>
      </w:r>
      <w:r>
        <w:rPr>
          <w:rFonts w:hint="eastAsia" w:ascii="仿宋" w:hAnsi="仿宋" w:eastAsia="仿宋" w:cs="仿宋"/>
          <w:color w:val="000000" w:themeColor="text1"/>
          <w:spacing w:val="-2"/>
          <w:sz w:val="24"/>
          <w:szCs w:val="24"/>
          <w:highlight w:val="none"/>
          <w14:textFill>
            <w14:solidFill>
              <w14:schemeClr w14:val="tx1"/>
            </w14:solidFill>
          </w14:textFill>
        </w:rPr>
        <w:t>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w:t>
      </w:r>
      <w:r>
        <w:rPr>
          <w:rFonts w:hint="eastAsia" w:ascii="仿宋" w:hAnsi="仿宋" w:eastAsia="仿宋" w:cs="仿宋"/>
          <w:color w:val="000000" w:themeColor="text1"/>
          <w:spacing w:val="-5"/>
          <w:sz w:val="24"/>
          <w:szCs w:val="24"/>
          <w:highlight w:val="none"/>
          <w14:textFill>
            <w14:solidFill>
              <w14:schemeClr w14:val="tx1"/>
            </w14:solidFill>
          </w14:textFill>
        </w:rPr>
        <w:t>给任何第三方。</w:t>
      </w:r>
    </w:p>
    <w:p w14:paraId="3C686A62">
      <w:pPr>
        <w:keepNext w:val="0"/>
        <w:keepLines w:val="0"/>
        <w:pageBreakBefore w:val="0"/>
        <w:widowControl w:val="0"/>
        <w:kinsoku/>
        <w:wordWrap/>
        <w:overflowPunct/>
        <w:topLinePunct w:val="0"/>
        <w:autoSpaceDE/>
        <w:autoSpaceDN/>
        <w:bidi w:val="0"/>
        <w:snapToGrid/>
        <w:spacing w:line="360" w:lineRule="auto"/>
        <w:ind w:left="0" w:leftChars="0" w:right="0" w:rightChars="0" w:firstLine="58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1.11.3 合同当事人保证在</w:t>
      </w:r>
      <w:r>
        <w:rPr>
          <w:rFonts w:hint="eastAsia" w:ascii="仿宋" w:hAnsi="仿宋" w:eastAsia="仿宋" w:cs="仿宋"/>
          <w:color w:val="000000" w:themeColor="text1"/>
          <w:spacing w:val="-2"/>
          <w:sz w:val="24"/>
          <w:szCs w:val="24"/>
          <w:highlight w:val="none"/>
          <w14:textFill>
            <w14:solidFill>
              <w14:schemeClr w14:val="tx1"/>
            </w14:solidFill>
          </w14:textFill>
        </w:rPr>
        <w:t>履行</w:t>
      </w:r>
      <w:r>
        <w:rPr>
          <w:rFonts w:hint="eastAsia" w:ascii="仿宋" w:hAnsi="仿宋" w:eastAsia="仿宋" w:cs="仿宋"/>
          <w:color w:val="000000" w:themeColor="text1"/>
          <w:spacing w:val="-1"/>
          <w:sz w:val="24"/>
          <w:szCs w:val="24"/>
          <w:highlight w:val="none"/>
          <w14:textFill>
            <w14:solidFill>
              <w14:schemeClr w14:val="tx1"/>
            </w14:solidFill>
          </w14:textFill>
        </w:rPr>
        <w:t>合同过程中不侵犯对方及第三方的知识产</w:t>
      </w:r>
      <w:r>
        <w:rPr>
          <w:rFonts w:hint="eastAsia" w:ascii="仿宋" w:hAnsi="仿宋" w:eastAsia="仿宋" w:cs="仿宋"/>
          <w:color w:val="000000" w:themeColor="text1"/>
          <w:spacing w:val="-2"/>
          <w:sz w:val="24"/>
          <w:szCs w:val="24"/>
          <w:highlight w:val="none"/>
          <w14:textFill>
            <w14:solidFill>
              <w14:schemeClr w14:val="tx1"/>
            </w14:solidFill>
          </w14:textFill>
        </w:rPr>
        <w:t>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0397FBD6">
      <w:pPr>
        <w:keepNext w:val="0"/>
        <w:keepLines w:val="0"/>
        <w:pageBreakBefore w:val="0"/>
        <w:widowControl w:val="0"/>
        <w:kinsoku/>
        <w:wordWrap/>
        <w:overflowPunct/>
        <w:topLinePunct w:val="0"/>
        <w:autoSpaceDE/>
        <w:autoSpaceDN/>
        <w:bidi w:val="0"/>
        <w:snapToGrid/>
        <w:spacing w:line="360" w:lineRule="auto"/>
        <w:ind w:left="0" w:leftChars="0" w:right="0" w:rightChars="0" w:firstLine="58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1.11.4 除专用合同条款另有约定外，承包人在合同签订前和签订时已确定</w:t>
      </w:r>
      <w:r>
        <w:rPr>
          <w:rFonts w:hint="eastAsia" w:ascii="仿宋" w:hAnsi="仿宋" w:eastAsia="仿宋" w:cs="仿宋"/>
          <w:color w:val="000000" w:themeColor="text1"/>
          <w:spacing w:val="-1"/>
          <w:sz w:val="24"/>
          <w:szCs w:val="24"/>
          <w:highlight w:val="none"/>
          <w14:textFill>
            <w14:solidFill>
              <w14:schemeClr w14:val="tx1"/>
            </w14:solidFill>
          </w14:textFill>
        </w:rPr>
        <w:t>采用的专利、专有技术、技术秘密的使用费已包含在签约合同价中。</w:t>
      </w:r>
    </w:p>
    <w:p w14:paraId="3E0DEC6A">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1.12</w:t>
      </w:r>
      <w:r>
        <w:rPr>
          <w:rFonts w:hint="eastAsia" w:ascii="仿宋" w:hAnsi="仿宋" w:eastAsia="仿宋" w:cs="仿宋"/>
          <w:color w:val="000000" w:themeColor="text1"/>
          <w:spacing w:val="-5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保密</w:t>
      </w:r>
    </w:p>
    <w:p w14:paraId="6CF773E7">
      <w:pPr>
        <w:keepNext w:val="0"/>
        <w:keepLines w:val="0"/>
        <w:pageBreakBefore w:val="0"/>
        <w:widowControl w:val="0"/>
        <w:kinsoku/>
        <w:wordWrap/>
        <w:overflowPunct/>
        <w:topLinePunct w:val="0"/>
        <w:autoSpaceDE/>
        <w:autoSpaceDN/>
        <w:bidi w:val="0"/>
        <w:snapToGrid/>
        <w:spacing w:line="360" w:lineRule="auto"/>
        <w:ind w:left="0" w:leftChars="0" w:right="0" w:rightChars="0" w:firstLine="55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除法律规定或合同另有约定外，未经发包人同意，承包人不得将发包人提供</w:t>
      </w:r>
      <w:r>
        <w:rPr>
          <w:rFonts w:hint="eastAsia" w:ascii="仿宋" w:hAnsi="仿宋" w:eastAsia="仿宋" w:cs="仿宋"/>
          <w:color w:val="000000" w:themeColor="text1"/>
          <w:spacing w:val="-2"/>
          <w:sz w:val="24"/>
          <w:szCs w:val="24"/>
          <w:highlight w:val="none"/>
          <w14:textFill>
            <w14:solidFill>
              <w14:schemeClr w14:val="tx1"/>
            </w14:solidFill>
          </w14:textFill>
        </w:rPr>
        <w:t>的图纸、文件以及声明需要保密的资料信息等商业秘密泄露给第三方。</w:t>
      </w:r>
    </w:p>
    <w:p w14:paraId="73CFA0C7">
      <w:pPr>
        <w:keepNext w:val="0"/>
        <w:keepLines w:val="0"/>
        <w:pageBreakBefore w:val="0"/>
        <w:widowControl w:val="0"/>
        <w:kinsoku/>
        <w:wordWrap/>
        <w:overflowPunct/>
        <w:topLinePunct w:val="0"/>
        <w:autoSpaceDE/>
        <w:autoSpaceDN/>
        <w:bidi w:val="0"/>
        <w:snapToGrid/>
        <w:spacing w:line="360" w:lineRule="auto"/>
        <w:ind w:left="0" w:leftChars="0" w:right="0" w:rightChars="0" w:firstLine="55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除法律规定或合同另有约定外，未经承包人同意，发包人不得将承包人提供</w:t>
      </w:r>
      <w:r>
        <w:rPr>
          <w:rFonts w:hint="eastAsia" w:ascii="仿宋" w:hAnsi="仿宋" w:eastAsia="仿宋" w:cs="仿宋"/>
          <w:color w:val="000000" w:themeColor="text1"/>
          <w:spacing w:val="-1"/>
          <w:sz w:val="24"/>
          <w:szCs w:val="24"/>
          <w:highlight w:val="none"/>
          <w14:textFill>
            <w14:solidFill>
              <w14:schemeClr w14:val="tx1"/>
            </w14:solidFill>
          </w14:textFill>
        </w:rPr>
        <w:t>的技术秘密及声明需要保密的资料信息等商业秘密</w:t>
      </w:r>
      <w:r>
        <w:rPr>
          <w:rFonts w:hint="eastAsia" w:ascii="仿宋" w:hAnsi="仿宋" w:eastAsia="仿宋" w:cs="仿宋"/>
          <w:color w:val="000000" w:themeColor="text1"/>
          <w:spacing w:val="-2"/>
          <w:sz w:val="24"/>
          <w:szCs w:val="24"/>
          <w:highlight w:val="none"/>
          <w14:textFill>
            <w14:solidFill>
              <w14:schemeClr w14:val="tx1"/>
            </w14:solidFill>
          </w14:textFill>
        </w:rPr>
        <w:t>泄露给第三方。</w:t>
      </w:r>
    </w:p>
    <w:p w14:paraId="2AA64385">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1.13</w:t>
      </w:r>
      <w:r>
        <w:rPr>
          <w:rFonts w:hint="eastAsia" w:ascii="仿宋" w:hAnsi="仿宋" w:eastAsia="仿宋" w:cs="仿宋"/>
          <w:color w:val="000000" w:themeColor="text1"/>
          <w:spacing w:val="-5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工程量清单错误的修正</w:t>
      </w:r>
    </w:p>
    <w:p w14:paraId="40A38823">
      <w:pPr>
        <w:keepNext w:val="0"/>
        <w:keepLines w:val="0"/>
        <w:pageBreakBefore w:val="0"/>
        <w:widowControl w:val="0"/>
        <w:kinsoku/>
        <w:wordWrap/>
        <w:overflowPunct/>
        <w:topLinePunct w:val="0"/>
        <w:autoSpaceDE/>
        <w:autoSpaceDN/>
        <w:bidi w:val="0"/>
        <w:snapToGrid/>
        <w:spacing w:line="360" w:lineRule="auto"/>
        <w:ind w:left="0" w:leftChars="0" w:right="0" w:rightChars="0" w:firstLine="57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除专用合同条款另有约定外，发包人提供的工程量清单，应被认为是准确的</w:t>
      </w:r>
      <w:r>
        <w:rPr>
          <w:rFonts w:hint="eastAsia" w:ascii="仿宋" w:hAnsi="仿宋" w:eastAsia="仿宋" w:cs="仿宋"/>
          <w:color w:val="000000" w:themeColor="text1"/>
          <w:spacing w:val="-1"/>
          <w:sz w:val="24"/>
          <w:szCs w:val="24"/>
          <w:highlight w:val="none"/>
          <w14:textFill>
            <w14:solidFill>
              <w14:schemeClr w14:val="tx1"/>
            </w14:solidFill>
          </w14:textFill>
        </w:rPr>
        <w:t>和完整的。出现下列情形之一时，发包人应</w:t>
      </w:r>
      <w:r>
        <w:rPr>
          <w:rFonts w:hint="eastAsia" w:ascii="仿宋" w:hAnsi="仿宋" w:eastAsia="仿宋" w:cs="仿宋"/>
          <w:color w:val="000000" w:themeColor="text1"/>
          <w:spacing w:val="-2"/>
          <w:sz w:val="24"/>
          <w:szCs w:val="24"/>
          <w:highlight w:val="none"/>
          <w14:textFill>
            <w14:solidFill>
              <w14:schemeClr w14:val="tx1"/>
            </w14:solidFill>
          </w14:textFill>
        </w:rPr>
        <w:t>予以修正，并相应调整合同价格：</w:t>
      </w:r>
    </w:p>
    <w:p w14:paraId="560EFDC6">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（1）工程量清单存在缺项、漏项的；</w:t>
      </w:r>
    </w:p>
    <w:p w14:paraId="439EECFF">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（2）工程量清单偏差超出专用合同条款约定的工程量偏差范围的；</w:t>
      </w:r>
    </w:p>
    <w:p w14:paraId="347C6744">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（3）未按照国家现行计量规范强制性规定计量的。</w:t>
      </w:r>
    </w:p>
    <w:p w14:paraId="44AD21DD">
      <w:pPr>
        <w:keepNext w:val="0"/>
        <w:keepLines w:val="0"/>
        <w:pageBreakBefore w:val="0"/>
        <w:widowControl w:val="0"/>
        <w:kinsoku/>
        <w:wordWrap/>
        <w:overflowPunct/>
        <w:topLinePunct w:val="0"/>
        <w:autoSpaceDE/>
        <w:autoSpaceDN/>
        <w:bidi w:val="0"/>
        <w:snapToGrid/>
        <w:spacing w:line="360" w:lineRule="auto"/>
        <w:ind w:left="0" w:leftChars="0" w:right="0" w:rightChars="0"/>
        <w:outlineLvl w:val="2"/>
        <w:rPr>
          <w:rFonts w:hint="eastAsia" w:ascii="仿宋" w:hAnsi="仿宋" w:eastAsia="仿宋" w:cs="仿宋"/>
          <w:color w:val="000000" w:themeColor="text1"/>
          <w:sz w:val="24"/>
          <w:szCs w:val="24"/>
          <w:highlight w:val="none"/>
          <w14:textFill>
            <w14:solidFill>
              <w14:schemeClr w14:val="tx1"/>
            </w14:solidFill>
          </w14:textFill>
        </w:rPr>
      </w:pPr>
      <w:bookmarkStart w:id="86" w:name="bookmark116"/>
      <w:bookmarkEnd w:id="86"/>
      <w:bookmarkStart w:id="87" w:name="_Toc19777"/>
      <w:r>
        <w:rPr>
          <w:rFonts w:hint="eastAsia" w:ascii="仿宋" w:hAnsi="仿宋" w:eastAsia="仿宋" w:cs="仿宋"/>
          <w:color w:val="000000" w:themeColor="text1"/>
          <w:spacing w:val="-6"/>
          <w:sz w:val="24"/>
          <w:szCs w:val="24"/>
          <w:highlight w:val="none"/>
          <w14:textFill>
            <w14:solidFill>
              <w14:schemeClr w14:val="tx1"/>
            </w14:solidFill>
          </w14:textFill>
        </w:rPr>
        <w:t>2.</w:t>
      </w:r>
      <w:r>
        <w:rPr>
          <w:rFonts w:hint="eastAsia" w:ascii="仿宋" w:hAnsi="仿宋" w:eastAsia="仿宋" w:cs="仿宋"/>
          <w:color w:val="000000" w:themeColor="text1"/>
          <w:spacing w:val="1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发包人</w:t>
      </w:r>
      <w:bookmarkEnd w:id="87"/>
    </w:p>
    <w:p w14:paraId="56E20D1F">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2.1 许可或批准</w:t>
      </w:r>
    </w:p>
    <w:p w14:paraId="7009D568">
      <w:pPr>
        <w:keepNext w:val="0"/>
        <w:keepLines w:val="0"/>
        <w:pageBreakBefore w:val="0"/>
        <w:widowControl w:val="0"/>
        <w:kinsoku/>
        <w:wordWrap/>
        <w:overflowPunct/>
        <w:topLinePunct w:val="0"/>
        <w:autoSpaceDE/>
        <w:autoSpaceDN/>
        <w:bidi w:val="0"/>
        <w:snapToGrid/>
        <w:spacing w:line="360" w:lineRule="auto"/>
        <w:ind w:left="0" w:leftChars="0" w:right="0" w:rightChars="0" w:firstLine="564"/>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发包人应遵守法律，并办理法律规定由其办理的许可、批准或备</w:t>
      </w:r>
      <w:r>
        <w:rPr>
          <w:rFonts w:hint="eastAsia" w:ascii="仿宋" w:hAnsi="仿宋" w:eastAsia="仿宋" w:cs="仿宋"/>
          <w:color w:val="000000" w:themeColor="text1"/>
          <w:spacing w:val="-3"/>
          <w:sz w:val="24"/>
          <w:szCs w:val="24"/>
          <w:highlight w:val="none"/>
          <w14:textFill>
            <w14:solidFill>
              <w14:schemeClr w14:val="tx1"/>
            </w14:solidFill>
          </w14:textFill>
        </w:rPr>
        <w:t>案，包括但</w:t>
      </w:r>
      <w:r>
        <w:rPr>
          <w:rFonts w:hint="eastAsia" w:ascii="仿宋" w:hAnsi="仿宋" w:eastAsia="仿宋" w:cs="仿宋"/>
          <w:color w:val="000000" w:themeColor="text1"/>
          <w:spacing w:val="-2"/>
          <w:sz w:val="24"/>
          <w:szCs w:val="24"/>
          <w:highlight w:val="none"/>
          <w14:textFill>
            <w14:solidFill>
              <w14:schemeClr w14:val="tx1"/>
            </w14:solidFill>
          </w14:textFill>
        </w:rPr>
        <w:t>不限于建设用地规划许可证、建设工程规划许可证、建设工程施工许可证、施工所需临时用水、临时用电、中断道路交通、临时占用土地等许可和批准。发包人应协助承包人办理法律规定的有关施工证件和批件。</w:t>
      </w:r>
    </w:p>
    <w:p w14:paraId="7AA89D01">
      <w:pPr>
        <w:keepNext w:val="0"/>
        <w:keepLines w:val="0"/>
        <w:pageBreakBefore w:val="0"/>
        <w:widowControl w:val="0"/>
        <w:kinsoku/>
        <w:wordWrap/>
        <w:overflowPunct/>
        <w:topLinePunct w:val="0"/>
        <w:autoSpaceDE/>
        <w:autoSpaceDN/>
        <w:bidi w:val="0"/>
        <w:snapToGrid/>
        <w:spacing w:line="360" w:lineRule="auto"/>
        <w:ind w:left="0" w:leftChars="0" w:right="0" w:rightChars="0" w:firstLine="56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因发包人原因未能及时办理完毕前述许可、批准或备案，由发包人承担由此</w:t>
      </w:r>
      <w:r>
        <w:rPr>
          <w:rFonts w:hint="eastAsia" w:ascii="仿宋" w:hAnsi="仿宋" w:eastAsia="仿宋" w:cs="仿宋"/>
          <w:color w:val="000000" w:themeColor="text1"/>
          <w:spacing w:val="-2"/>
          <w:sz w:val="24"/>
          <w:szCs w:val="24"/>
          <w:highlight w:val="none"/>
          <w14:textFill>
            <w14:solidFill>
              <w14:schemeClr w14:val="tx1"/>
            </w14:solidFill>
          </w14:textFill>
        </w:rPr>
        <w:t>增加的费用和（或）延误的工期，并支付承包人合理的利润。</w:t>
      </w:r>
    </w:p>
    <w:p w14:paraId="4F19424A">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2.2</w:t>
      </w:r>
      <w:r>
        <w:rPr>
          <w:rFonts w:hint="eastAsia" w:ascii="仿宋" w:hAnsi="仿宋" w:eastAsia="仿宋" w:cs="仿宋"/>
          <w:color w:val="000000" w:themeColor="text1"/>
          <w:spacing w:val="1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发包人代表</w:t>
      </w:r>
    </w:p>
    <w:p w14:paraId="428EA5A8">
      <w:pPr>
        <w:keepNext w:val="0"/>
        <w:keepLines w:val="0"/>
        <w:pageBreakBefore w:val="0"/>
        <w:widowControl w:val="0"/>
        <w:kinsoku/>
        <w:wordWrap/>
        <w:overflowPunct/>
        <w:topLinePunct w:val="0"/>
        <w:autoSpaceDE/>
        <w:autoSpaceDN/>
        <w:bidi w:val="0"/>
        <w:snapToGrid/>
        <w:spacing w:line="360" w:lineRule="auto"/>
        <w:ind w:left="0" w:leftChars="0" w:right="0" w:rightChars="0" w:firstLine="56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发包人应在专用合同条款中明确其派驻施工现场的发包人代表的姓名、职</w:t>
      </w:r>
      <w:r>
        <w:rPr>
          <w:rFonts w:hint="eastAsia" w:ascii="仿宋" w:hAnsi="仿宋" w:eastAsia="仿宋" w:cs="仿宋"/>
          <w:color w:val="000000" w:themeColor="text1"/>
          <w:spacing w:val="-2"/>
          <w:sz w:val="24"/>
          <w:szCs w:val="24"/>
          <w:highlight w:val="none"/>
          <w14:textFill>
            <w14:solidFill>
              <w14:schemeClr w14:val="tx1"/>
            </w14:solidFill>
          </w14:textFill>
        </w:rPr>
        <w:t>务、联系方式及授权范围等事项。发包人代表在发包人的授权范围内，负责处理合同履行过程中与发包人有关的具体事宜。发包人代表在授权范围内的行为由发</w:t>
      </w:r>
      <w:r>
        <w:rPr>
          <w:rFonts w:hint="eastAsia" w:ascii="仿宋" w:hAnsi="仿宋" w:eastAsia="仿宋" w:cs="仿宋"/>
          <w:color w:val="000000" w:themeColor="text1"/>
          <w:sz w:val="24"/>
          <w:szCs w:val="24"/>
          <w:highlight w:val="none"/>
          <w14:textFill>
            <w14:solidFill>
              <w14:schemeClr w14:val="tx1"/>
            </w14:solidFill>
          </w14:textFill>
        </w:rPr>
        <w:t>包人承担法律责任。发包人更换发包人代表的，应提</w:t>
      </w:r>
      <w:r>
        <w:rPr>
          <w:rFonts w:hint="eastAsia" w:ascii="仿宋" w:hAnsi="仿宋" w:eastAsia="仿宋" w:cs="仿宋"/>
          <w:color w:val="000000" w:themeColor="text1"/>
          <w:spacing w:val="-1"/>
          <w:sz w:val="24"/>
          <w:szCs w:val="24"/>
          <w:highlight w:val="none"/>
          <w14:textFill>
            <w14:solidFill>
              <w14:schemeClr w14:val="tx1"/>
            </w14:solidFill>
          </w14:textFill>
        </w:rPr>
        <w:t>前7天书面通知承包人。</w:t>
      </w:r>
    </w:p>
    <w:p w14:paraId="16787C03">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发包人代表不能按照合同约定履行其职责及义务，并导致</w:t>
      </w:r>
      <w:r>
        <w:rPr>
          <w:rFonts w:hint="eastAsia" w:ascii="仿宋" w:hAnsi="仿宋" w:eastAsia="仿宋" w:cs="仿宋"/>
          <w:color w:val="000000" w:themeColor="text1"/>
          <w:spacing w:val="-3"/>
          <w:sz w:val="24"/>
          <w:szCs w:val="24"/>
          <w:highlight w:val="none"/>
          <w14:textFill>
            <w14:solidFill>
              <w14:schemeClr w14:val="tx1"/>
            </w14:solidFill>
          </w14:textFill>
        </w:rPr>
        <w:t>合同无法继续正常</w:t>
      </w:r>
      <w:r>
        <w:rPr>
          <w:rFonts w:hint="eastAsia" w:ascii="仿宋" w:hAnsi="仿宋" w:eastAsia="仿宋" w:cs="仿宋"/>
          <w:color w:val="000000" w:themeColor="text1"/>
          <w:spacing w:val="-2"/>
          <w:sz w:val="24"/>
          <w:szCs w:val="24"/>
          <w:highlight w:val="none"/>
          <w14:textFill>
            <w14:solidFill>
              <w14:schemeClr w14:val="tx1"/>
            </w14:solidFill>
          </w14:textFill>
        </w:rPr>
        <w:t>履行的，承包人可以要求发包人撤换发包人代表。</w:t>
      </w:r>
    </w:p>
    <w:p w14:paraId="61EA7687">
      <w:pPr>
        <w:keepNext w:val="0"/>
        <w:keepLines w:val="0"/>
        <w:pageBreakBefore w:val="0"/>
        <w:widowControl w:val="0"/>
        <w:kinsoku/>
        <w:wordWrap/>
        <w:overflowPunct/>
        <w:topLinePunct w:val="0"/>
        <w:autoSpaceDE/>
        <w:autoSpaceDN/>
        <w:bidi w:val="0"/>
        <w:snapToGrid/>
        <w:spacing w:line="360" w:lineRule="auto"/>
        <w:ind w:left="0" w:leftChars="0" w:right="0" w:rightChars="0" w:firstLine="54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不属于法定必须监理的工程，监理人的职权可以由发包人</w:t>
      </w:r>
      <w:r>
        <w:rPr>
          <w:rFonts w:hint="eastAsia" w:ascii="仿宋" w:hAnsi="仿宋" w:eastAsia="仿宋" w:cs="仿宋"/>
          <w:color w:val="000000" w:themeColor="text1"/>
          <w:spacing w:val="-3"/>
          <w:sz w:val="24"/>
          <w:szCs w:val="24"/>
          <w:highlight w:val="none"/>
          <w14:textFill>
            <w14:solidFill>
              <w14:schemeClr w14:val="tx1"/>
            </w14:solidFill>
          </w14:textFill>
        </w:rPr>
        <w:t>代表或发包人指定</w:t>
      </w:r>
      <w:r>
        <w:rPr>
          <w:rFonts w:hint="eastAsia" w:ascii="仿宋" w:hAnsi="仿宋" w:eastAsia="仿宋" w:cs="仿宋"/>
          <w:color w:val="000000" w:themeColor="text1"/>
          <w:spacing w:val="-4"/>
          <w:sz w:val="24"/>
          <w:szCs w:val="24"/>
          <w:highlight w:val="none"/>
          <w14:textFill>
            <w14:solidFill>
              <w14:schemeClr w14:val="tx1"/>
            </w14:solidFill>
          </w14:textFill>
        </w:rPr>
        <w:t>的其他人员行使。</w:t>
      </w:r>
    </w:p>
    <w:p w14:paraId="55239A6B">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2.3</w:t>
      </w:r>
      <w:r>
        <w:rPr>
          <w:rFonts w:hint="eastAsia" w:ascii="仿宋" w:hAnsi="仿宋" w:eastAsia="仿宋" w:cs="仿宋"/>
          <w:color w:val="000000" w:themeColor="text1"/>
          <w:spacing w:val="1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发包人人员</w:t>
      </w:r>
    </w:p>
    <w:p w14:paraId="6CFF8AE1">
      <w:pPr>
        <w:keepNext w:val="0"/>
        <w:keepLines w:val="0"/>
        <w:pageBreakBefore w:val="0"/>
        <w:widowControl w:val="0"/>
        <w:kinsoku/>
        <w:wordWrap/>
        <w:overflowPunct/>
        <w:topLinePunct w:val="0"/>
        <w:autoSpaceDE/>
        <w:autoSpaceDN/>
        <w:bidi w:val="0"/>
        <w:snapToGrid/>
        <w:spacing w:line="360" w:lineRule="auto"/>
        <w:ind w:left="0" w:leftChars="0" w:right="0" w:rightChars="0" w:firstLine="56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发包人应要求在施工现场的发包人人员遵守法律及有关安</w:t>
      </w:r>
      <w:r>
        <w:rPr>
          <w:rFonts w:hint="eastAsia" w:ascii="仿宋" w:hAnsi="仿宋" w:eastAsia="仿宋" w:cs="仿宋"/>
          <w:color w:val="000000" w:themeColor="text1"/>
          <w:spacing w:val="-3"/>
          <w:sz w:val="24"/>
          <w:szCs w:val="24"/>
          <w:highlight w:val="none"/>
          <w14:textFill>
            <w14:solidFill>
              <w14:schemeClr w14:val="tx1"/>
            </w14:solidFill>
          </w14:textFill>
        </w:rPr>
        <w:t>全、质量、环境保</w:t>
      </w:r>
      <w:r>
        <w:rPr>
          <w:rFonts w:hint="eastAsia" w:ascii="仿宋" w:hAnsi="仿宋" w:eastAsia="仿宋" w:cs="仿宋"/>
          <w:color w:val="000000" w:themeColor="text1"/>
          <w:spacing w:val="-2"/>
          <w:sz w:val="24"/>
          <w:szCs w:val="24"/>
          <w:highlight w:val="none"/>
          <w14:textFill>
            <w14:solidFill>
              <w14:schemeClr w14:val="tx1"/>
            </w14:solidFill>
          </w14:textFill>
        </w:rPr>
        <w:t>护、文明施工等规定，并保障承包人免于承受因发包人人员未遵守上述要求给承</w:t>
      </w:r>
      <w:r>
        <w:rPr>
          <w:rFonts w:hint="eastAsia" w:ascii="仿宋" w:hAnsi="仿宋" w:eastAsia="仿宋" w:cs="仿宋"/>
          <w:color w:val="000000" w:themeColor="text1"/>
          <w:spacing w:val="-4"/>
          <w:sz w:val="24"/>
          <w:szCs w:val="24"/>
          <w:highlight w:val="none"/>
          <w14:textFill>
            <w14:solidFill>
              <w14:schemeClr w14:val="tx1"/>
            </w14:solidFill>
          </w14:textFill>
        </w:rPr>
        <w:t>包人造成的损失和责任。</w:t>
      </w:r>
    </w:p>
    <w:p w14:paraId="3E9246A2">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发包人人员包括发包人代表及其他由发包人派驻施工现场的人员。</w:t>
      </w:r>
    </w:p>
    <w:p w14:paraId="1862ACA2">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2.4 施工现场、施工条件和基础资料的提供</w:t>
      </w:r>
    </w:p>
    <w:p w14:paraId="376AA374">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2.4.1 提供施工现场</w:t>
      </w:r>
    </w:p>
    <w:p w14:paraId="622449D6">
      <w:pPr>
        <w:keepNext w:val="0"/>
        <w:keepLines w:val="0"/>
        <w:pageBreakBefore w:val="0"/>
        <w:widowControl w:val="0"/>
        <w:kinsoku/>
        <w:wordWrap/>
        <w:overflowPunct/>
        <w:topLinePunct w:val="0"/>
        <w:autoSpaceDE/>
        <w:autoSpaceDN/>
        <w:bidi w:val="0"/>
        <w:snapToGrid/>
        <w:spacing w:line="360" w:lineRule="auto"/>
        <w:ind w:left="0" w:leftChars="0" w:right="0" w:rightChars="0" w:firstLine="57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除专用合同条款另有约定外，发包人应最迟于开工日期7天前向承包人移交</w:t>
      </w:r>
      <w:r>
        <w:rPr>
          <w:rFonts w:hint="eastAsia" w:ascii="仿宋" w:hAnsi="仿宋" w:eastAsia="仿宋" w:cs="仿宋"/>
          <w:color w:val="000000" w:themeColor="text1"/>
          <w:spacing w:val="-2"/>
          <w:sz w:val="24"/>
          <w:szCs w:val="24"/>
          <w:highlight w:val="none"/>
          <w14:textFill>
            <w14:solidFill>
              <w14:schemeClr w14:val="tx1"/>
            </w14:solidFill>
          </w14:textFill>
        </w:rPr>
        <w:t>施工现场。</w:t>
      </w:r>
    </w:p>
    <w:p w14:paraId="554E192F">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2.4.2 提供施工条件除专用合同条款另有约定外，发包人应负责提供施工所需要的条件，包括：</w:t>
      </w:r>
    </w:p>
    <w:p w14:paraId="72B3E1C6">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（1）将施工用水、电力、通讯线路等施工所必需的条件接至施工现场内；</w:t>
      </w:r>
    </w:p>
    <w:p w14:paraId="66AE36F7">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（2）保证向承包人提供正常施工所需要的进入施工现场的交通条件；</w:t>
      </w:r>
    </w:p>
    <w:p w14:paraId="17D5868A">
      <w:pPr>
        <w:keepNext w:val="0"/>
        <w:keepLines w:val="0"/>
        <w:pageBreakBefore w:val="0"/>
        <w:widowControl w:val="0"/>
        <w:kinsoku/>
        <w:wordWrap/>
        <w:overflowPunct/>
        <w:topLinePunct w:val="0"/>
        <w:autoSpaceDE/>
        <w:autoSpaceDN/>
        <w:bidi w:val="0"/>
        <w:snapToGrid/>
        <w:spacing w:line="360" w:lineRule="auto"/>
        <w:ind w:left="0" w:leftChars="0" w:right="0" w:rightChars="0" w:firstLine="56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（3）协调处理施工现场周围地下管线和邻近建筑物</w:t>
      </w:r>
      <w:r>
        <w:rPr>
          <w:rFonts w:hint="eastAsia" w:ascii="仿宋" w:hAnsi="仿宋" w:eastAsia="仿宋" w:cs="仿宋"/>
          <w:color w:val="000000" w:themeColor="text1"/>
          <w:spacing w:val="-2"/>
          <w:sz w:val="24"/>
          <w:szCs w:val="24"/>
          <w:highlight w:val="none"/>
          <w14:textFill>
            <w14:solidFill>
              <w14:schemeClr w14:val="tx1"/>
            </w14:solidFill>
          </w14:textFill>
        </w:rPr>
        <w:t>、构筑物、古树名木的</w:t>
      </w:r>
      <w:r>
        <w:rPr>
          <w:rFonts w:hint="eastAsia" w:ascii="仿宋" w:hAnsi="仿宋" w:eastAsia="仿宋" w:cs="仿宋"/>
          <w:color w:val="000000" w:themeColor="text1"/>
          <w:spacing w:val="-1"/>
          <w:sz w:val="24"/>
          <w:szCs w:val="24"/>
          <w:highlight w:val="none"/>
          <w14:textFill>
            <w14:solidFill>
              <w14:schemeClr w14:val="tx1"/>
            </w14:solidFill>
          </w14:textFill>
        </w:rPr>
        <w:t>保护工作，并承担相关费用；</w:t>
      </w:r>
    </w:p>
    <w:p w14:paraId="0CF7609E">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（4）按照专用合同条款约定应提供的其他设施和条件。</w:t>
      </w:r>
    </w:p>
    <w:p w14:paraId="41DEF9C6">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2.4.3 提供基础资料</w:t>
      </w:r>
    </w:p>
    <w:p w14:paraId="6356025C">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发包人应当在移交施工现场前向承包人提供施工现场及工程施工所必需的</w:t>
      </w:r>
      <w:r>
        <w:rPr>
          <w:rFonts w:hint="eastAsia" w:ascii="仿宋" w:hAnsi="仿宋" w:eastAsia="仿宋" w:cs="仿宋"/>
          <w:color w:val="000000" w:themeColor="text1"/>
          <w:spacing w:val="-2"/>
          <w:sz w:val="24"/>
          <w:szCs w:val="24"/>
          <w:highlight w:val="none"/>
          <w14:textFill>
            <w14:solidFill>
              <w14:schemeClr w14:val="tx1"/>
            </w14:solidFill>
          </w14:textFill>
        </w:rPr>
        <w:t>毗邻区域内供水、排水、供电、供气、供热、通信、广播电视等地下管线资料，气象和水文观测资料，地质勘察资料，相邻建筑物、构筑物和地下工程等有关基</w:t>
      </w:r>
      <w:r>
        <w:rPr>
          <w:rFonts w:hint="eastAsia" w:ascii="仿宋" w:hAnsi="仿宋" w:eastAsia="仿宋" w:cs="仿宋"/>
          <w:color w:val="000000" w:themeColor="text1"/>
          <w:spacing w:val="-1"/>
          <w:sz w:val="24"/>
          <w:szCs w:val="24"/>
          <w:highlight w:val="none"/>
          <w14:textFill>
            <w14:solidFill>
              <w14:schemeClr w14:val="tx1"/>
            </w14:solidFill>
          </w14:textFill>
        </w:rPr>
        <w:t>础资料，并对所提供资料的真实性、准确性</w:t>
      </w:r>
      <w:r>
        <w:rPr>
          <w:rFonts w:hint="eastAsia" w:ascii="仿宋" w:hAnsi="仿宋" w:eastAsia="仿宋" w:cs="仿宋"/>
          <w:color w:val="000000" w:themeColor="text1"/>
          <w:spacing w:val="-2"/>
          <w:sz w:val="24"/>
          <w:szCs w:val="24"/>
          <w:highlight w:val="none"/>
          <w14:textFill>
            <w14:solidFill>
              <w14:schemeClr w14:val="tx1"/>
            </w14:solidFill>
          </w14:textFill>
        </w:rPr>
        <w:t>和完整性负责。</w:t>
      </w:r>
    </w:p>
    <w:p w14:paraId="74F504C2">
      <w:pPr>
        <w:keepNext w:val="0"/>
        <w:keepLines w:val="0"/>
        <w:pageBreakBefore w:val="0"/>
        <w:widowControl w:val="0"/>
        <w:kinsoku/>
        <w:wordWrap/>
        <w:overflowPunct/>
        <w:topLinePunct w:val="0"/>
        <w:autoSpaceDE/>
        <w:autoSpaceDN/>
        <w:bidi w:val="0"/>
        <w:snapToGrid/>
        <w:spacing w:line="360" w:lineRule="auto"/>
        <w:ind w:left="0" w:leftChars="0" w:right="0" w:rightChars="0" w:firstLine="5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按照法律规定确需在开工后方能提供的基础资料，发包人应尽其</w:t>
      </w:r>
      <w:r>
        <w:rPr>
          <w:rFonts w:hint="eastAsia" w:ascii="仿宋" w:hAnsi="仿宋" w:eastAsia="仿宋" w:cs="仿宋"/>
          <w:color w:val="000000" w:themeColor="text1"/>
          <w:spacing w:val="-3"/>
          <w:sz w:val="24"/>
          <w:szCs w:val="24"/>
          <w:highlight w:val="none"/>
          <w14:textFill>
            <w14:solidFill>
              <w14:schemeClr w14:val="tx1"/>
            </w14:solidFill>
          </w14:textFill>
        </w:rPr>
        <w:t>努力及时地</w:t>
      </w:r>
      <w:r>
        <w:rPr>
          <w:rFonts w:hint="eastAsia" w:ascii="仿宋" w:hAnsi="仿宋" w:eastAsia="仿宋" w:cs="仿宋"/>
          <w:color w:val="000000" w:themeColor="text1"/>
          <w:spacing w:val="-2"/>
          <w:sz w:val="24"/>
          <w:szCs w:val="24"/>
          <w:highlight w:val="none"/>
          <w14:textFill>
            <w14:solidFill>
              <w14:schemeClr w14:val="tx1"/>
            </w14:solidFill>
          </w14:textFill>
        </w:rPr>
        <w:t>在相应工程施工前的合理期限内提供，合理期限应以不影响承包人的正常施工为</w:t>
      </w:r>
      <w:r>
        <w:rPr>
          <w:rFonts w:hint="eastAsia" w:ascii="仿宋" w:hAnsi="仿宋" w:eastAsia="仿宋" w:cs="仿宋"/>
          <w:color w:val="000000" w:themeColor="text1"/>
          <w:spacing w:val="-13"/>
          <w:sz w:val="24"/>
          <w:szCs w:val="24"/>
          <w:highlight w:val="none"/>
          <w14:textFill>
            <w14:solidFill>
              <w14:schemeClr w14:val="tx1"/>
            </w14:solidFill>
          </w14:textFill>
        </w:rPr>
        <w:t>限。</w:t>
      </w:r>
    </w:p>
    <w:p w14:paraId="115A5612">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2.4.4 逾期提供的责任</w:t>
      </w:r>
    </w:p>
    <w:p w14:paraId="2597477E">
      <w:pPr>
        <w:keepNext w:val="0"/>
        <w:keepLines w:val="0"/>
        <w:pageBreakBefore w:val="0"/>
        <w:widowControl w:val="0"/>
        <w:kinsoku/>
        <w:wordWrap/>
        <w:overflowPunct/>
        <w:topLinePunct w:val="0"/>
        <w:autoSpaceDE/>
        <w:autoSpaceDN/>
        <w:bidi w:val="0"/>
        <w:snapToGrid/>
        <w:spacing w:line="360" w:lineRule="auto"/>
        <w:ind w:left="0" w:leftChars="0" w:right="0" w:rightChars="0" w:firstLine="56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因发包人原因未能按合同约定及时向承包人提供施工现场、施工条件、基础</w:t>
      </w:r>
      <w:r>
        <w:rPr>
          <w:rFonts w:hint="eastAsia" w:ascii="仿宋" w:hAnsi="仿宋" w:eastAsia="仿宋" w:cs="仿宋"/>
          <w:color w:val="000000" w:themeColor="text1"/>
          <w:spacing w:val="-2"/>
          <w:sz w:val="24"/>
          <w:szCs w:val="24"/>
          <w:highlight w:val="none"/>
          <w14:textFill>
            <w14:solidFill>
              <w14:schemeClr w14:val="tx1"/>
            </w14:solidFill>
          </w14:textFill>
        </w:rPr>
        <w:t>资料的，由发包人承担由此增加的费用和（或）延误的工期。</w:t>
      </w:r>
    </w:p>
    <w:p w14:paraId="2A402FCC">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2.5 资金来源证明及支付担保</w:t>
      </w:r>
    </w:p>
    <w:p w14:paraId="2F98ECC9">
      <w:pPr>
        <w:pStyle w:val="9"/>
        <w:keepNext w:val="0"/>
        <w:keepLines w:val="0"/>
        <w:pageBreakBefore w:val="0"/>
        <w:widowControl w:val="0"/>
        <w:kinsoku/>
        <w:wordWrap/>
        <w:overflowPunct/>
        <w:topLinePunct w:val="0"/>
        <w:autoSpaceDE/>
        <w:autoSpaceDN/>
        <w:bidi w:val="0"/>
        <w:snapToGrid/>
        <w:spacing w:after="0"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p>
    <w:p w14:paraId="685175AE">
      <w:pPr>
        <w:keepNext w:val="0"/>
        <w:keepLines w:val="0"/>
        <w:pageBreakBefore w:val="0"/>
        <w:widowControl w:val="0"/>
        <w:kinsoku/>
        <w:wordWrap/>
        <w:overflowPunct/>
        <w:topLinePunct w:val="0"/>
        <w:autoSpaceDE/>
        <w:autoSpaceDN/>
        <w:bidi w:val="0"/>
        <w:snapToGrid/>
        <w:spacing w:line="360" w:lineRule="auto"/>
        <w:ind w:left="0" w:leftChars="0" w:right="0" w:rightChars="0" w:firstLine="57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除专用合同条款另有约定外，发包人应在收到承包人要求提供资金来源证明</w:t>
      </w:r>
      <w:r>
        <w:rPr>
          <w:rFonts w:hint="eastAsia" w:ascii="仿宋" w:hAnsi="仿宋" w:eastAsia="仿宋" w:cs="仿宋"/>
          <w:color w:val="000000" w:themeColor="text1"/>
          <w:spacing w:val="-1"/>
          <w:sz w:val="24"/>
          <w:szCs w:val="24"/>
          <w:highlight w:val="none"/>
          <w14:textFill>
            <w14:solidFill>
              <w14:schemeClr w14:val="tx1"/>
            </w14:solidFill>
          </w14:textFill>
        </w:rPr>
        <w:t>的书面通知后</w:t>
      </w:r>
      <w:r>
        <w:rPr>
          <w:rFonts w:hint="eastAsia" w:ascii="仿宋" w:hAnsi="仿宋" w:eastAsia="仿宋" w:cs="仿宋"/>
          <w:color w:val="000000" w:themeColor="text1"/>
          <w:spacing w:val="-5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28</w:t>
      </w:r>
      <w:r>
        <w:rPr>
          <w:rFonts w:hint="eastAsia" w:ascii="仿宋" w:hAnsi="仿宋" w:eastAsia="仿宋" w:cs="仿宋"/>
          <w:color w:val="000000" w:themeColor="text1"/>
          <w:spacing w:val="-5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天内，向承包人提供能够按照合同</w:t>
      </w:r>
      <w:r>
        <w:rPr>
          <w:rFonts w:hint="eastAsia" w:ascii="仿宋" w:hAnsi="仿宋" w:eastAsia="仿宋" w:cs="仿宋"/>
          <w:color w:val="000000" w:themeColor="text1"/>
          <w:spacing w:val="-2"/>
          <w:sz w:val="24"/>
          <w:szCs w:val="24"/>
          <w:highlight w:val="none"/>
          <w14:textFill>
            <w14:solidFill>
              <w14:schemeClr w14:val="tx1"/>
            </w14:solidFill>
          </w14:textFill>
        </w:rPr>
        <w:t>约定支付合同价款的相应资</w:t>
      </w:r>
      <w:r>
        <w:rPr>
          <w:rFonts w:hint="eastAsia" w:ascii="仿宋" w:hAnsi="仿宋" w:eastAsia="仿宋" w:cs="仿宋"/>
          <w:color w:val="000000" w:themeColor="text1"/>
          <w:spacing w:val="-6"/>
          <w:sz w:val="24"/>
          <w:szCs w:val="24"/>
          <w:highlight w:val="none"/>
          <w14:textFill>
            <w14:solidFill>
              <w14:schemeClr w14:val="tx1"/>
            </w14:solidFill>
          </w14:textFill>
        </w:rPr>
        <w:t>金来源证明。</w:t>
      </w:r>
    </w:p>
    <w:p w14:paraId="44EE8894">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除专用合同条款另有约定外，发包人要求承包人提供履约担保的，发包人应当向承包人提供支付担保。支付担保可以采用银行保函或担保公司担保等形式，具体由合同当事人在专用合同条款中约定。</w:t>
      </w:r>
    </w:p>
    <w:p w14:paraId="6B47FC76">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2.6 支付合同价款</w:t>
      </w:r>
    </w:p>
    <w:p w14:paraId="70E3F1B4">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发包人应按合同约定向承包人及时支付合同价款。</w:t>
      </w:r>
    </w:p>
    <w:p w14:paraId="29ECA47A">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2.7 组织竣工验收</w:t>
      </w:r>
    </w:p>
    <w:p w14:paraId="20DC94E7">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发包人应按合同约定及时组织竣工验收。</w:t>
      </w:r>
    </w:p>
    <w:p w14:paraId="638C0504">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2.8 现场统一管理协议</w:t>
      </w:r>
    </w:p>
    <w:p w14:paraId="66A90339">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发包人应与承包人、由发包人直接发包的专业工程的承包</w:t>
      </w:r>
      <w:r>
        <w:rPr>
          <w:rFonts w:hint="eastAsia" w:ascii="仿宋" w:hAnsi="仿宋" w:eastAsia="仿宋" w:cs="仿宋"/>
          <w:color w:val="000000" w:themeColor="text1"/>
          <w:spacing w:val="-3"/>
          <w:sz w:val="24"/>
          <w:szCs w:val="24"/>
          <w:highlight w:val="none"/>
          <w14:textFill>
            <w14:solidFill>
              <w14:schemeClr w14:val="tx1"/>
            </w14:solidFill>
          </w14:textFill>
        </w:rPr>
        <w:t>人签订施工现场统</w:t>
      </w:r>
      <w:r>
        <w:rPr>
          <w:rFonts w:hint="eastAsia" w:ascii="仿宋" w:hAnsi="仿宋" w:eastAsia="仿宋" w:cs="仿宋"/>
          <w:color w:val="000000" w:themeColor="text1"/>
          <w:spacing w:val="-2"/>
          <w:sz w:val="24"/>
          <w:szCs w:val="24"/>
          <w:highlight w:val="none"/>
          <w14:textFill>
            <w14:solidFill>
              <w14:schemeClr w14:val="tx1"/>
            </w14:solidFill>
          </w14:textFill>
        </w:rPr>
        <w:t>一管理协议，明确各方的权利义务。施工现场统一管理协议作为专用合同条</w:t>
      </w:r>
      <w:r>
        <w:rPr>
          <w:rFonts w:hint="eastAsia" w:ascii="仿宋" w:hAnsi="仿宋" w:eastAsia="仿宋" w:cs="仿宋"/>
          <w:color w:val="000000" w:themeColor="text1"/>
          <w:spacing w:val="-3"/>
          <w:sz w:val="24"/>
          <w:szCs w:val="24"/>
          <w:highlight w:val="none"/>
          <w14:textFill>
            <w14:solidFill>
              <w14:schemeClr w14:val="tx1"/>
            </w14:solidFill>
          </w14:textFill>
        </w:rPr>
        <w:t>款的</w:t>
      </w:r>
      <w:bookmarkStart w:id="88" w:name="bookmark117"/>
      <w:bookmarkEnd w:id="88"/>
      <w:r>
        <w:rPr>
          <w:rFonts w:hint="eastAsia" w:ascii="仿宋" w:hAnsi="仿宋" w:eastAsia="仿宋" w:cs="仿宋"/>
          <w:color w:val="000000" w:themeColor="text1"/>
          <w:spacing w:val="-13"/>
          <w:sz w:val="24"/>
          <w:szCs w:val="24"/>
          <w:highlight w:val="none"/>
          <w14:textFill>
            <w14:solidFill>
              <w14:schemeClr w14:val="tx1"/>
            </w14:solidFill>
          </w14:textFill>
        </w:rPr>
        <w:t>附件。</w:t>
      </w:r>
    </w:p>
    <w:p w14:paraId="4AA41F52">
      <w:pPr>
        <w:keepNext w:val="0"/>
        <w:keepLines w:val="0"/>
        <w:pageBreakBefore w:val="0"/>
        <w:widowControl w:val="0"/>
        <w:kinsoku/>
        <w:wordWrap/>
        <w:overflowPunct/>
        <w:topLinePunct w:val="0"/>
        <w:autoSpaceDE/>
        <w:autoSpaceDN/>
        <w:bidi w:val="0"/>
        <w:snapToGrid/>
        <w:spacing w:line="360" w:lineRule="auto"/>
        <w:ind w:left="0" w:leftChars="0" w:right="0" w:rightChars="0"/>
        <w:outlineLvl w:val="2"/>
        <w:rPr>
          <w:rFonts w:hint="eastAsia" w:ascii="仿宋" w:hAnsi="仿宋" w:eastAsia="仿宋" w:cs="仿宋"/>
          <w:color w:val="000000" w:themeColor="text1"/>
          <w:sz w:val="24"/>
          <w:szCs w:val="24"/>
          <w:highlight w:val="none"/>
          <w14:textFill>
            <w14:solidFill>
              <w14:schemeClr w14:val="tx1"/>
            </w14:solidFill>
          </w14:textFill>
        </w:rPr>
      </w:pPr>
      <w:bookmarkStart w:id="89" w:name="bookmark210"/>
      <w:bookmarkEnd w:id="89"/>
      <w:bookmarkStart w:id="90" w:name="_Toc10563"/>
      <w:r>
        <w:rPr>
          <w:rFonts w:hint="eastAsia" w:ascii="仿宋" w:hAnsi="仿宋" w:eastAsia="仿宋" w:cs="仿宋"/>
          <w:color w:val="000000" w:themeColor="text1"/>
          <w:spacing w:val="-6"/>
          <w:sz w:val="24"/>
          <w:szCs w:val="24"/>
          <w:highlight w:val="none"/>
          <w14:textFill>
            <w14:solidFill>
              <w14:schemeClr w14:val="tx1"/>
            </w14:solidFill>
          </w14:textFill>
        </w:rPr>
        <w:t>3.</w:t>
      </w:r>
      <w:r>
        <w:rPr>
          <w:rFonts w:hint="eastAsia" w:ascii="仿宋" w:hAnsi="仿宋" w:eastAsia="仿宋" w:cs="仿宋"/>
          <w:color w:val="000000" w:themeColor="text1"/>
          <w:spacing w:val="1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承包人</w:t>
      </w:r>
      <w:bookmarkEnd w:id="90"/>
    </w:p>
    <w:p w14:paraId="11CFD72D">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3.1 承包人的一般义务</w:t>
      </w:r>
    </w:p>
    <w:p w14:paraId="097F4CAA">
      <w:pPr>
        <w:keepNext w:val="0"/>
        <w:keepLines w:val="0"/>
        <w:pageBreakBefore w:val="0"/>
        <w:widowControl w:val="0"/>
        <w:kinsoku/>
        <w:wordWrap/>
        <w:overflowPunct/>
        <w:topLinePunct w:val="0"/>
        <w:autoSpaceDE/>
        <w:autoSpaceDN/>
        <w:bidi w:val="0"/>
        <w:snapToGrid/>
        <w:spacing w:line="360" w:lineRule="auto"/>
        <w:ind w:left="0" w:leftChars="0" w:right="0" w:rightChars="0" w:firstLine="5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承包人在履行合同过程中应遵守法律和工程</w:t>
      </w:r>
      <w:r>
        <w:rPr>
          <w:rFonts w:hint="eastAsia" w:ascii="仿宋" w:hAnsi="仿宋" w:eastAsia="仿宋" w:cs="仿宋"/>
          <w:color w:val="000000" w:themeColor="text1"/>
          <w:spacing w:val="-1"/>
          <w:sz w:val="24"/>
          <w:szCs w:val="24"/>
          <w:highlight w:val="none"/>
          <w14:textFill>
            <w14:solidFill>
              <w14:schemeClr w14:val="tx1"/>
            </w14:solidFill>
          </w14:textFill>
        </w:rPr>
        <w:t>建设标准规范，并履行以下义</w:t>
      </w:r>
      <w:r>
        <w:rPr>
          <w:rFonts w:hint="eastAsia" w:ascii="仿宋" w:hAnsi="仿宋" w:eastAsia="仿宋" w:cs="仿宋"/>
          <w:color w:val="000000" w:themeColor="text1"/>
          <w:spacing w:val="-20"/>
          <w:sz w:val="24"/>
          <w:szCs w:val="24"/>
          <w:highlight w:val="none"/>
          <w14:textFill>
            <w14:solidFill>
              <w14:schemeClr w14:val="tx1"/>
            </w14:solidFill>
          </w14:textFill>
        </w:rPr>
        <w:t>务：</w:t>
      </w:r>
    </w:p>
    <w:p w14:paraId="303607C6">
      <w:pPr>
        <w:keepNext w:val="0"/>
        <w:keepLines w:val="0"/>
        <w:pageBreakBefore w:val="0"/>
        <w:widowControl w:val="0"/>
        <w:kinsoku/>
        <w:wordWrap/>
        <w:overflowPunct/>
        <w:topLinePunct w:val="0"/>
        <w:autoSpaceDE/>
        <w:autoSpaceDN/>
        <w:bidi w:val="0"/>
        <w:snapToGrid/>
        <w:spacing w:line="360" w:lineRule="auto"/>
        <w:ind w:left="0" w:leftChars="0" w:right="0" w:rightChars="0" w:firstLine="5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（1）办理法律规定应由承包人办理的许可和批准，并将办理结果书面报送</w:t>
      </w:r>
      <w:r>
        <w:rPr>
          <w:rFonts w:hint="eastAsia" w:ascii="仿宋" w:hAnsi="仿宋" w:eastAsia="仿宋" w:cs="仿宋"/>
          <w:color w:val="000000" w:themeColor="text1"/>
          <w:spacing w:val="-8"/>
          <w:sz w:val="24"/>
          <w:szCs w:val="24"/>
          <w:highlight w:val="none"/>
          <w14:textFill>
            <w14:solidFill>
              <w14:schemeClr w14:val="tx1"/>
            </w14:solidFill>
          </w14:textFill>
        </w:rPr>
        <w:t>发包人留存；</w:t>
      </w:r>
    </w:p>
    <w:p w14:paraId="7AA3703A">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（2）按法律规定和合同约定完成工程，并在保修期内承担保修义务；</w:t>
      </w:r>
    </w:p>
    <w:p w14:paraId="2DF911D6">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（3）按法律规定和合同约定采取施工安全和环境保护措施，办理工伤</w:t>
      </w:r>
      <w:r>
        <w:rPr>
          <w:rFonts w:hint="eastAsia" w:ascii="仿宋" w:hAnsi="仿宋" w:eastAsia="仿宋" w:cs="仿宋"/>
          <w:color w:val="000000" w:themeColor="text1"/>
          <w:spacing w:val="-5"/>
          <w:sz w:val="24"/>
          <w:szCs w:val="24"/>
          <w:highlight w:val="none"/>
          <w14:textFill>
            <w14:solidFill>
              <w14:schemeClr w14:val="tx1"/>
            </w14:solidFill>
          </w14:textFill>
        </w:rPr>
        <w:t>保险，</w:t>
      </w:r>
      <w:r>
        <w:rPr>
          <w:rFonts w:hint="eastAsia" w:ascii="仿宋" w:hAnsi="仿宋" w:eastAsia="仿宋" w:cs="仿宋"/>
          <w:color w:val="000000" w:themeColor="text1"/>
          <w:spacing w:val="-3"/>
          <w:sz w:val="24"/>
          <w:szCs w:val="24"/>
          <w:highlight w:val="none"/>
          <w14:textFill>
            <w14:solidFill>
              <w14:schemeClr w14:val="tx1"/>
            </w14:solidFill>
          </w14:textFill>
        </w:rPr>
        <w:t>确保工程及人员、材料、设备和设施的安全；</w:t>
      </w:r>
    </w:p>
    <w:p w14:paraId="1BE77DD3">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pacing w:val="-4"/>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（4）按合同约定的工作内容和施工进度要求，编制施工组织设计和施工措施计划，并对所有施工作业和施工方法的完备性和安全可靠性负责；</w:t>
      </w:r>
    </w:p>
    <w:p w14:paraId="509370F8">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（5）在进行合同约定的各项工作时，不得</w:t>
      </w:r>
      <w:r>
        <w:rPr>
          <w:rFonts w:hint="eastAsia" w:ascii="仿宋" w:hAnsi="仿宋" w:eastAsia="仿宋" w:cs="仿宋"/>
          <w:color w:val="000000" w:themeColor="text1"/>
          <w:spacing w:val="-4"/>
          <w:sz w:val="24"/>
          <w:szCs w:val="24"/>
          <w:highlight w:val="none"/>
          <w14:textFill>
            <w14:solidFill>
              <w14:schemeClr w14:val="tx1"/>
            </w14:solidFill>
          </w14:textFill>
        </w:rPr>
        <w:t>侵害发包人与他人使用公用道路、</w:t>
      </w:r>
      <w:r>
        <w:rPr>
          <w:rFonts w:hint="eastAsia" w:ascii="仿宋" w:hAnsi="仿宋" w:eastAsia="仿宋" w:cs="仿宋"/>
          <w:color w:val="000000" w:themeColor="text1"/>
          <w:spacing w:val="-2"/>
          <w:sz w:val="24"/>
          <w:szCs w:val="24"/>
          <w:highlight w:val="none"/>
          <w14:textFill>
            <w14:solidFill>
              <w14:schemeClr w14:val="tx1"/>
            </w14:solidFill>
          </w14:textFill>
        </w:rPr>
        <w:t>水源、市政管网等公共设施的权利，避免对邻近的公共设施产生干扰。承包人占用或使用他人的施工场地，影响他人作业或生活的，应承担相应责任；</w:t>
      </w:r>
    </w:p>
    <w:p w14:paraId="044059E3">
      <w:pPr>
        <w:keepNext w:val="0"/>
        <w:keepLines w:val="0"/>
        <w:pageBreakBefore w:val="0"/>
        <w:widowControl w:val="0"/>
        <w:kinsoku/>
        <w:wordWrap/>
        <w:overflowPunct/>
        <w:topLinePunct w:val="0"/>
        <w:autoSpaceDE/>
        <w:autoSpaceDN/>
        <w:bidi w:val="0"/>
        <w:snapToGrid/>
        <w:spacing w:line="360" w:lineRule="auto"/>
        <w:ind w:left="0" w:leftChars="0" w:right="0" w:rightChars="0" w:firstLine="56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（6）按照第6.3款〔环境保护〕约定负责施工场地及其周边</w:t>
      </w:r>
      <w:r>
        <w:rPr>
          <w:rFonts w:hint="eastAsia" w:ascii="仿宋" w:hAnsi="仿宋" w:eastAsia="仿宋" w:cs="仿宋"/>
          <w:color w:val="000000" w:themeColor="text1"/>
          <w:spacing w:val="-3"/>
          <w:sz w:val="24"/>
          <w:szCs w:val="24"/>
          <w:highlight w:val="none"/>
          <w14:textFill>
            <w14:solidFill>
              <w14:schemeClr w14:val="tx1"/>
            </w14:solidFill>
          </w14:textFill>
        </w:rPr>
        <w:t>环境与生态的保</w:t>
      </w:r>
      <w:r>
        <w:rPr>
          <w:rFonts w:hint="eastAsia" w:ascii="仿宋" w:hAnsi="仿宋" w:eastAsia="仿宋" w:cs="仿宋"/>
          <w:color w:val="000000" w:themeColor="text1"/>
          <w:spacing w:val="-15"/>
          <w:sz w:val="24"/>
          <w:szCs w:val="24"/>
          <w:highlight w:val="none"/>
          <w14:textFill>
            <w14:solidFill>
              <w14:schemeClr w14:val="tx1"/>
            </w14:solidFill>
          </w14:textFill>
        </w:rPr>
        <w:t>护工作；</w:t>
      </w:r>
    </w:p>
    <w:p w14:paraId="12164BD4">
      <w:pPr>
        <w:keepNext w:val="0"/>
        <w:keepLines w:val="0"/>
        <w:pageBreakBefore w:val="0"/>
        <w:widowControl w:val="0"/>
        <w:kinsoku/>
        <w:wordWrap/>
        <w:overflowPunct/>
        <w:topLinePunct w:val="0"/>
        <w:autoSpaceDE/>
        <w:autoSpaceDN/>
        <w:bidi w:val="0"/>
        <w:snapToGrid/>
        <w:spacing w:line="360" w:lineRule="auto"/>
        <w:ind w:left="0" w:leftChars="0" w:right="0" w:rightChars="0" w:firstLine="55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（7）按第6.1款〔安全文明施工〕约定采取施工安全措施，确保工</w:t>
      </w:r>
      <w:r>
        <w:rPr>
          <w:rFonts w:hint="eastAsia" w:ascii="仿宋" w:hAnsi="仿宋" w:eastAsia="仿宋" w:cs="仿宋"/>
          <w:color w:val="000000" w:themeColor="text1"/>
          <w:spacing w:val="-3"/>
          <w:sz w:val="24"/>
          <w:szCs w:val="24"/>
          <w:highlight w:val="none"/>
          <w14:textFill>
            <w14:solidFill>
              <w14:schemeClr w14:val="tx1"/>
            </w14:solidFill>
          </w14:textFill>
        </w:rPr>
        <w:t>程及其人</w:t>
      </w:r>
      <w:r>
        <w:rPr>
          <w:rFonts w:hint="eastAsia" w:ascii="仿宋" w:hAnsi="仿宋" w:eastAsia="仿宋" w:cs="仿宋"/>
          <w:color w:val="000000" w:themeColor="text1"/>
          <w:spacing w:val="-2"/>
          <w:sz w:val="24"/>
          <w:szCs w:val="24"/>
          <w:highlight w:val="none"/>
          <w14:textFill>
            <w14:solidFill>
              <w14:schemeClr w14:val="tx1"/>
            </w14:solidFill>
          </w14:textFill>
        </w:rPr>
        <w:t>员、材料、设备和设施的安全，防止因工程施工造成的人身伤害和财产损失；</w:t>
      </w:r>
    </w:p>
    <w:p w14:paraId="33BB76D1">
      <w:pPr>
        <w:keepNext w:val="0"/>
        <w:keepLines w:val="0"/>
        <w:pageBreakBefore w:val="0"/>
        <w:widowControl w:val="0"/>
        <w:kinsoku/>
        <w:wordWrap/>
        <w:overflowPunct/>
        <w:topLinePunct w:val="0"/>
        <w:autoSpaceDE/>
        <w:autoSpaceDN/>
        <w:bidi w:val="0"/>
        <w:snapToGrid/>
        <w:spacing w:line="360" w:lineRule="auto"/>
        <w:ind w:left="0" w:leftChars="0" w:right="0" w:rightChars="0" w:firstLine="55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（8）将发包人按合同约定支付的各项价款专用于合同工程，且应及时支付</w:t>
      </w:r>
      <w:r>
        <w:rPr>
          <w:rFonts w:hint="eastAsia" w:ascii="仿宋" w:hAnsi="仿宋" w:eastAsia="仿宋" w:cs="仿宋"/>
          <w:color w:val="000000" w:themeColor="text1"/>
          <w:spacing w:val="-2"/>
          <w:sz w:val="24"/>
          <w:szCs w:val="24"/>
          <w:highlight w:val="none"/>
          <w14:textFill>
            <w14:solidFill>
              <w14:schemeClr w14:val="tx1"/>
            </w14:solidFill>
          </w14:textFill>
        </w:rPr>
        <w:t>其雇用人员工资，并及时向分包人支付合同价</w:t>
      </w:r>
      <w:r>
        <w:rPr>
          <w:rFonts w:hint="eastAsia" w:ascii="仿宋" w:hAnsi="仿宋" w:eastAsia="仿宋" w:cs="仿宋"/>
          <w:color w:val="000000" w:themeColor="text1"/>
          <w:spacing w:val="-3"/>
          <w:sz w:val="24"/>
          <w:szCs w:val="24"/>
          <w:highlight w:val="none"/>
          <w14:textFill>
            <w14:solidFill>
              <w14:schemeClr w14:val="tx1"/>
            </w14:solidFill>
          </w14:textFill>
        </w:rPr>
        <w:t>款；</w:t>
      </w:r>
    </w:p>
    <w:p w14:paraId="749D68EE">
      <w:pPr>
        <w:keepNext w:val="0"/>
        <w:keepLines w:val="0"/>
        <w:pageBreakBefore w:val="0"/>
        <w:widowControl w:val="0"/>
        <w:kinsoku/>
        <w:wordWrap/>
        <w:overflowPunct/>
        <w:topLinePunct w:val="0"/>
        <w:autoSpaceDE/>
        <w:autoSpaceDN/>
        <w:bidi w:val="0"/>
        <w:snapToGrid/>
        <w:spacing w:line="360" w:lineRule="auto"/>
        <w:ind w:left="0" w:leftChars="0" w:right="0" w:rightChars="0" w:firstLine="55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（9）按照法律规定和合同约定编制竣工资料，完成竣工资料立卷及归档，</w:t>
      </w:r>
      <w:r>
        <w:rPr>
          <w:rFonts w:hint="eastAsia" w:ascii="仿宋" w:hAnsi="仿宋" w:eastAsia="仿宋" w:cs="仿宋"/>
          <w:color w:val="000000" w:themeColor="text1"/>
          <w:spacing w:val="-1"/>
          <w:sz w:val="24"/>
          <w:szCs w:val="24"/>
          <w:highlight w:val="none"/>
          <w14:textFill>
            <w14:solidFill>
              <w14:schemeClr w14:val="tx1"/>
            </w14:solidFill>
          </w14:textFill>
        </w:rPr>
        <w:t>并按专用合同条款约定的竣工资料的套数、内容、时间等要求移交发包人；</w:t>
      </w:r>
    </w:p>
    <w:p w14:paraId="0176DC1B">
      <w:pPr>
        <w:keepNext w:val="0"/>
        <w:keepLines w:val="0"/>
        <w:pageBreakBefore w:val="0"/>
        <w:widowControl w:val="0"/>
        <w:kinsoku/>
        <w:wordWrap/>
        <w:overflowPunct/>
        <w:topLinePunct w:val="0"/>
        <w:autoSpaceDE/>
        <w:autoSpaceDN/>
        <w:bidi w:val="0"/>
        <w:snapToGrid/>
        <w:spacing w:line="360" w:lineRule="auto"/>
        <w:ind w:left="0" w:leftChars="0" w:right="0" w:rightChars="0" w:firstLine="464"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（10）应履行的其他义务。</w:t>
      </w:r>
    </w:p>
    <w:p w14:paraId="751AC858">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3.2</w:t>
      </w:r>
      <w:r>
        <w:rPr>
          <w:rFonts w:hint="eastAsia" w:ascii="仿宋" w:hAnsi="仿宋" w:eastAsia="仿宋" w:cs="仿宋"/>
          <w:color w:val="000000" w:themeColor="text1"/>
          <w:spacing w:val="2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项目经理</w:t>
      </w:r>
    </w:p>
    <w:p w14:paraId="14E79586">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3.2.1 项目经理应为合同当事人所确认的人选，并在专用合同条款中</w:t>
      </w:r>
      <w:r>
        <w:rPr>
          <w:rFonts w:hint="eastAsia" w:ascii="仿宋" w:hAnsi="仿宋" w:eastAsia="仿宋" w:cs="仿宋"/>
          <w:color w:val="000000" w:themeColor="text1"/>
          <w:spacing w:val="-3"/>
          <w:sz w:val="24"/>
          <w:szCs w:val="24"/>
          <w:highlight w:val="none"/>
          <w14:textFill>
            <w14:solidFill>
              <w14:schemeClr w14:val="tx1"/>
            </w14:solidFill>
          </w14:textFill>
        </w:rPr>
        <w:t>明确项</w:t>
      </w:r>
      <w:r>
        <w:rPr>
          <w:rFonts w:hint="eastAsia" w:ascii="仿宋" w:hAnsi="仿宋" w:eastAsia="仿宋" w:cs="仿宋"/>
          <w:color w:val="000000" w:themeColor="text1"/>
          <w:spacing w:val="-2"/>
          <w:sz w:val="24"/>
          <w:szCs w:val="24"/>
          <w:highlight w:val="none"/>
          <w14:textFill>
            <w14:solidFill>
              <w14:schemeClr w14:val="tx1"/>
            </w14:solidFill>
          </w14:textFill>
        </w:rPr>
        <w:t>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46667066">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项目经理应常驻施工现场，且每月在施工现场时间不得少于专</w:t>
      </w:r>
      <w:r>
        <w:rPr>
          <w:rFonts w:hint="eastAsia" w:ascii="仿宋" w:hAnsi="仿宋" w:eastAsia="仿宋" w:cs="仿宋"/>
          <w:color w:val="000000" w:themeColor="text1"/>
          <w:spacing w:val="-3"/>
          <w:sz w:val="24"/>
          <w:szCs w:val="24"/>
          <w:highlight w:val="none"/>
          <w14:textFill>
            <w14:solidFill>
              <w14:schemeClr w14:val="tx1"/>
            </w14:solidFill>
          </w14:textFill>
        </w:rPr>
        <w:t>用合同条款约</w:t>
      </w:r>
      <w:r>
        <w:rPr>
          <w:rFonts w:hint="eastAsia" w:ascii="仿宋" w:hAnsi="仿宋" w:eastAsia="仿宋" w:cs="仿宋"/>
          <w:color w:val="000000" w:themeColor="text1"/>
          <w:spacing w:val="-2"/>
          <w:sz w:val="24"/>
          <w:szCs w:val="24"/>
          <w:highlight w:val="none"/>
          <w14:textFill>
            <w14:solidFill>
              <w14:schemeClr w14:val="tx1"/>
            </w14:solidFill>
          </w14:textFill>
        </w:rPr>
        <w:t>定的天数。项目经理不得同时担任其他项目的项目经理。项目经理确需</w:t>
      </w:r>
      <w:r>
        <w:rPr>
          <w:rFonts w:hint="eastAsia" w:ascii="仿宋" w:hAnsi="仿宋" w:eastAsia="仿宋" w:cs="仿宋"/>
          <w:color w:val="000000" w:themeColor="text1"/>
          <w:spacing w:val="-3"/>
          <w:sz w:val="24"/>
          <w:szCs w:val="24"/>
          <w:highlight w:val="none"/>
          <w14:textFill>
            <w14:solidFill>
              <w14:schemeClr w14:val="tx1"/>
            </w14:solidFill>
          </w14:textFill>
        </w:rPr>
        <w:t>离开施工</w:t>
      </w:r>
      <w:r>
        <w:rPr>
          <w:rFonts w:hint="eastAsia" w:ascii="仿宋" w:hAnsi="仿宋" w:eastAsia="仿宋" w:cs="仿宋"/>
          <w:color w:val="000000" w:themeColor="text1"/>
          <w:spacing w:val="-2"/>
          <w:sz w:val="24"/>
          <w:szCs w:val="24"/>
          <w:highlight w:val="none"/>
          <w14:textFill>
            <w14:solidFill>
              <w14:schemeClr w14:val="tx1"/>
            </w14:solidFill>
          </w14:textFill>
        </w:rPr>
        <w:t>现场时，应事先通知监理人，并取得发包人的书面同意。项目经理的通知中应当载明临时代行其职责的人员的注册执业资格、管理经验等资料，该人员应具备履行相应职责的能力。</w:t>
      </w:r>
      <w:r>
        <w:rPr>
          <w:rFonts w:hint="eastAsia" w:ascii="仿宋" w:hAnsi="仿宋" w:eastAsia="仿宋" w:cs="仿宋"/>
          <w:color w:val="000000" w:themeColor="text1"/>
          <w:spacing w:val="-1"/>
          <w:sz w:val="24"/>
          <w:szCs w:val="24"/>
          <w:highlight w:val="none"/>
          <w14:textFill>
            <w14:solidFill>
              <w14:schemeClr w14:val="tx1"/>
            </w14:solidFill>
          </w14:textFill>
        </w:rPr>
        <w:t>承包人违反上述约定的，应按照专用合同条款的约</w:t>
      </w:r>
      <w:r>
        <w:rPr>
          <w:rFonts w:hint="eastAsia" w:ascii="仿宋" w:hAnsi="仿宋" w:eastAsia="仿宋" w:cs="仿宋"/>
          <w:color w:val="000000" w:themeColor="text1"/>
          <w:spacing w:val="-2"/>
          <w:sz w:val="24"/>
          <w:szCs w:val="24"/>
          <w:highlight w:val="none"/>
          <w14:textFill>
            <w14:solidFill>
              <w14:schemeClr w14:val="tx1"/>
            </w14:solidFill>
          </w14:textFill>
        </w:rPr>
        <w:t>定，承担违约责任。</w:t>
      </w:r>
    </w:p>
    <w:p w14:paraId="418ED043">
      <w:pPr>
        <w:keepNext w:val="0"/>
        <w:keepLines w:val="0"/>
        <w:pageBreakBefore w:val="0"/>
        <w:widowControl w:val="0"/>
        <w:kinsoku/>
        <w:wordWrap/>
        <w:overflowPunct/>
        <w:topLinePunct w:val="0"/>
        <w:autoSpaceDE/>
        <w:autoSpaceDN/>
        <w:bidi w:val="0"/>
        <w:snapToGrid/>
        <w:spacing w:line="360" w:lineRule="auto"/>
        <w:ind w:left="0" w:leftChars="0" w:right="0" w:rightChars="0" w:firstLine="56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3.2.2 项目经理按合同约定组织工程实施。在紧急情况下为确保施工</w:t>
      </w:r>
      <w:r>
        <w:rPr>
          <w:rFonts w:hint="eastAsia" w:ascii="仿宋" w:hAnsi="仿宋" w:eastAsia="仿宋" w:cs="仿宋"/>
          <w:color w:val="000000" w:themeColor="text1"/>
          <w:spacing w:val="-3"/>
          <w:sz w:val="24"/>
          <w:szCs w:val="24"/>
          <w:highlight w:val="none"/>
          <w14:textFill>
            <w14:solidFill>
              <w14:schemeClr w14:val="tx1"/>
            </w14:solidFill>
          </w14:textFill>
        </w:rPr>
        <w:t>安全和</w:t>
      </w:r>
      <w:r>
        <w:rPr>
          <w:rFonts w:hint="eastAsia" w:ascii="仿宋" w:hAnsi="仿宋" w:eastAsia="仿宋" w:cs="仿宋"/>
          <w:color w:val="000000" w:themeColor="text1"/>
          <w:spacing w:val="-2"/>
          <w:sz w:val="24"/>
          <w:szCs w:val="24"/>
          <w:highlight w:val="none"/>
          <w14:textFill>
            <w14:solidFill>
              <w14:schemeClr w14:val="tx1"/>
            </w14:solidFill>
          </w14:textFill>
        </w:rPr>
        <w:t>人员安全，在无法与发包人代表和总监理工程师及时取得联系时，项目经理有权采取必要的措施保证与工程有关的人身、财产和工程的安全，但应在48小时内向发包人代表和总监理工程师提交书面报告。</w:t>
      </w:r>
    </w:p>
    <w:p w14:paraId="331B0844">
      <w:pPr>
        <w:keepNext w:val="0"/>
        <w:keepLines w:val="0"/>
        <w:pageBreakBefore w:val="0"/>
        <w:widowControl w:val="0"/>
        <w:kinsoku/>
        <w:wordWrap/>
        <w:overflowPunct/>
        <w:topLinePunct w:val="0"/>
        <w:autoSpaceDE/>
        <w:autoSpaceDN/>
        <w:bidi w:val="0"/>
        <w:snapToGrid/>
        <w:spacing w:line="360" w:lineRule="auto"/>
        <w:ind w:left="0" w:leftChars="0" w:right="0" w:rightChars="0" w:firstLine="56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3.2.3 承包人需要更换项目经理的，应</w:t>
      </w:r>
      <w:r>
        <w:rPr>
          <w:rFonts w:hint="eastAsia" w:ascii="仿宋" w:hAnsi="仿宋" w:eastAsia="仿宋" w:cs="仿宋"/>
          <w:color w:val="000000" w:themeColor="text1"/>
          <w:spacing w:val="-1"/>
          <w:sz w:val="24"/>
          <w:szCs w:val="24"/>
          <w:highlight w:val="none"/>
          <w14:textFill>
            <w14:solidFill>
              <w14:schemeClr w14:val="tx1"/>
            </w14:solidFill>
          </w14:textFill>
        </w:rPr>
        <w:t>提前14天书面通知发包人和监理人，</w:t>
      </w:r>
      <w:r>
        <w:rPr>
          <w:rFonts w:hint="eastAsia" w:ascii="仿宋" w:hAnsi="仿宋" w:eastAsia="仿宋" w:cs="仿宋"/>
          <w:color w:val="000000" w:themeColor="text1"/>
          <w:spacing w:val="-2"/>
          <w:sz w:val="24"/>
          <w:szCs w:val="24"/>
          <w:highlight w:val="none"/>
          <w14:textFill>
            <w14:solidFill>
              <w14:schemeClr w14:val="tx1"/>
            </w14:solidFill>
          </w14:textFill>
        </w:rPr>
        <w:t>并征得发包人书面同意。通知中应当载明继任项目经理的注册执业资格、管理经</w:t>
      </w:r>
      <w:r>
        <w:rPr>
          <w:rFonts w:hint="eastAsia" w:ascii="仿宋" w:hAnsi="仿宋" w:eastAsia="仿宋" w:cs="仿宋"/>
          <w:color w:val="000000" w:themeColor="text1"/>
          <w:spacing w:val="-3"/>
          <w:sz w:val="24"/>
          <w:szCs w:val="24"/>
          <w:highlight w:val="none"/>
          <w14:textFill>
            <w14:solidFill>
              <w14:schemeClr w14:val="tx1"/>
            </w14:solidFill>
          </w14:textFill>
        </w:rPr>
        <w:t>验等资料，继任项目经理继续履行第3.2.1项约定的职</w:t>
      </w:r>
      <w:r>
        <w:rPr>
          <w:rFonts w:hint="eastAsia" w:ascii="仿宋" w:hAnsi="仿宋" w:eastAsia="仿宋" w:cs="仿宋"/>
          <w:color w:val="000000" w:themeColor="text1"/>
          <w:spacing w:val="-4"/>
          <w:sz w:val="24"/>
          <w:szCs w:val="24"/>
          <w:highlight w:val="none"/>
          <w14:textFill>
            <w14:solidFill>
              <w14:schemeClr w14:val="tx1"/>
            </w14:solidFill>
          </w14:textFill>
        </w:rPr>
        <w:t>责。未经发包人书面同意，</w:t>
      </w:r>
      <w:r>
        <w:rPr>
          <w:rFonts w:hint="eastAsia" w:ascii="仿宋" w:hAnsi="仿宋" w:eastAsia="仿宋" w:cs="仿宋"/>
          <w:color w:val="000000" w:themeColor="text1"/>
          <w:spacing w:val="-2"/>
          <w:sz w:val="24"/>
          <w:szCs w:val="24"/>
          <w:highlight w:val="none"/>
          <w14:textFill>
            <w14:solidFill>
              <w14:schemeClr w14:val="tx1"/>
            </w14:solidFill>
          </w14:textFill>
        </w:rPr>
        <w:t>承包人不得擅自更换项目经理。承包人擅自更换项目经理的，应按照专用合同条</w:t>
      </w:r>
      <w:r>
        <w:rPr>
          <w:rFonts w:hint="eastAsia" w:ascii="仿宋" w:hAnsi="仿宋" w:eastAsia="仿宋" w:cs="仿宋"/>
          <w:color w:val="000000" w:themeColor="text1"/>
          <w:spacing w:val="-4"/>
          <w:sz w:val="24"/>
          <w:szCs w:val="24"/>
          <w:highlight w:val="none"/>
          <w14:textFill>
            <w14:solidFill>
              <w14:schemeClr w14:val="tx1"/>
            </w14:solidFill>
          </w14:textFill>
        </w:rPr>
        <w:t>款的约定承担违约责任。</w:t>
      </w:r>
    </w:p>
    <w:p w14:paraId="0D8ED761">
      <w:pPr>
        <w:keepNext w:val="0"/>
        <w:keepLines w:val="0"/>
        <w:pageBreakBefore w:val="0"/>
        <w:widowControl w:val="0"/>
        <w:kinsoku/>
        <w:wordWrap/>
        <w:overflowPunct/>
        <w:topLinePunct w:val="0"/>
        <w:autoSpaceDE/>
        <w:autoSpaceDN/>
        <w:bidi w:val="0"/>
        <w:snapToGrid/>
        <w:spacing w:line="360" w:lineRule="auto"/>
        <w:ind w:left="0" w:leftChars="0" w:right="0" w:rightChars="0" w:firstLine="56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3.2.4 发包人有权书面通知承包人更换其认为不称职的项目经理，通</w:t>
      </w:r>
      <w:r>
        <w:rPr>
          <w:rFonts w:hint="eastAsia" w:ascii="仿宋" w:hAnsi="仿宋" w:eastAsia="仿宋" w:cs="仿宋"/>
          <w:color w:val="000000" w:themeColor="text1"/>
          <w:spacing w:val="-3"/>
          <w:sz w:val="24"/>
          <w:szCs w:val="24"/>
          <w:highlight w:val="none"/>
          <w14:textFill>
            <w14:solidFill>
              <w14:schemeClr w14:val="tx1"/>
            </w14:solidFill>
          </w14:textFill>
        </w:rPr>
        <w:t>知中应</w:t>
      </w:r>
      <w:r>
        <w:rPr>
          <w:rFonts w:hint="eastAsia" w:ascii="仿宋" w:hAnsi="仿宋" w:eastAsia="仿宋" w:cs="仿宋"/>
          <w:color w:val="000000" w:themeColor="text1"/>
          <w:spacing w:val="-2"/>
          <w:sz w:val="24"/>
          <w:szCs w:val="24"/>
          <w:highlight w:val="none"/>
          <w14:textFill>
            <w14:solidFill>
              <w14:schemeClr w14:val="tx1"/>
            </w14:solidFill>
          </w14:textFill>
        </w:rPr>
        <w:t>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w:t>
      </w:r>
      <w:r>
        <w:rPr>
          <w:rFonts w:hint="eastAsia" w:ascii="仿宋" w:hAnsi="仿宋" w:eastAsia="仿宋" w:cs="仿宋"/>
          <w:color w:val="000000" w:themeColor="text1"/>
          <w:sz w:val="24"/>
          <w:szCs w:val="24"/>
          <w:highlight w:val="none"/>
          <w14:textFill>
            <w14:solidFill>
              <w14:schemeClr w14:val="tx1"/>
            </w14:solidFill>
          </w14:textFill>
        </w:rPr>
        <w:t>书面通知发包人。继任项目经理继续履行第3.2</w:t>
      </w:r>
      <w:r>
        <w:rPr>
          <w:rFonts w:hint="eastAsia" w:ascii="仿宋" w:hAnsi="仿宋" w:eastAsia="仿宋" w:cs="仿宋"/>
          <w:color w:val="000000" w:themeColor="text1"/>
          <w:spacing w:val="-1"/>
          <w:sz w:val="24"/>
          <w:szCs w:val="24"/>
          <w:highlight w:val="none"/>
          <w14:textFill>
            <w14:solidFill>
              <w14:schemeClr w14:val="tx1"/>
            </w14:solidFill>
          </w14:textFill>
        </w:rPr>
        <w:t>.1项约定的职责。承包人无正当</w:t>
      </w:r>
      <w:r>
        <w:rPr>
          <w:rFonts w:hint="eastAsia" w:ascii="仿宋" w:hAnsi="仿宋" w:eastAsia="仿宋" w:cs="仿宋"/>
          <w:color w:val="000000" w:themeColor="text1"/>
          <w:spacing w:val="-2"/>
          <w:sz w:val="24"/>
          <w:szCs w:val="24"/>
          <w:highlight w:val="none"/>
          <w14:textFill>
            <w14:solidFill>
              <w14:schemeClr w14:val="tx1"/>
            </w14:solidFill>
          </w14:textFill>
        </w:rPr>
        <w:t>理由拒绝更换项目经理的，应按照专用合同条款的约定承担违约责任。</w:t>
      </w:r>
    </w:p>
    <w:p w14:paraId="3E290403">
      <w:pPr>
        <w:keepNext w:val="0"/>
        <w:keepLines w:val="0"/>
        <w:pageBreakBefore w:val="0"/>
        <w:widowControl w:val="0"/>
        <w:kinsoku/>
        <w:wordWrap/>
        <w:overflowPunct/>
        <w:topLinePunct w:val="0"/>
        <w:autoSpaceDE/>
        <w:autoSpaceDN/>
        <w:bidi w:val="0"/>
        <w:snapToGrid/>
        <w:spacing w:line="360" w:lineRule="auto"/>
        <w:ind w:left="0" w:leftChars="0" w:right="0" w:rightChars="0" w:firstLine="56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3.2.5 项目经理因特殊情况授权其下属人员履行其某项工作职责的，该下属人应具备履行相应职责的能力，并应提前7天将上述人员的姓名和授权范围书</w:t>
      </w:r>
      <w:r>
        <w:rPr>
          <w:rFonts w:hint="eastAsia" w:ascii="仿宋" w:hAnsi="仿宋" w:eastAsia="仿宋" w:cs="仿宋"/>
          <w:color w:val="000000" w:themeColor="text1"/>
          <w:spacing w:val="-2"/>
          <w:sz w:val="24"/>
          <w:szCs w:val="24"/>
          <w:highlight w:val="none"/>
          <w14:textFill>
            <w14:solidFill>
              <w14:schemeClr w14:val="tx1"/>
            </w14:solidFill>
          </w14:textFill>
        </w:rPr>
        <w:t>面通知监理人，并征得发包人书面同意。</w:t>
      </w:r>
    </w:p>
    <w:p w14:paraId="522A678C">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3.3 承包人人员</w:t>
      </w:r>
    </w:p>
    <w:p w14:paraId="3C560711">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3.3.1 除专用合同条款另有约定外，承</w:t>
      </w:r>
      <w:r>
        <w:rPr>
          <w:rFonts w:hint="eastAsia" w:ascii="仿宋" w:hAnsi="仿宋" w:eastAsia="仿宋" w:cs="仿宋"/>
          <w:color w:val="000000" w:themeColor="text1"/>
          <w:spacing w:val="-1"/>
          <w:sz w:val="24"/>
          <w:szCs w:val="24"/>
          <w:highlight w:val="none"/>
          <w14:textFill>
            <w14:solidFill>
              <w14:schemeClr w14:val="tx1"/>
            </w14:solidFill>
          </w14:textFill>
        </w:rPr>
        <w:t>包人应在接到开工通知后7天内，向</w:t>
      </w:r>
      <w:r>
        <w:rPr>
          <w:rFonts w:hint="eastAsia" w:ascii="仿宋" w:hAnsi="仿宋" w:eastAsia="仿宋" w:cs="仿宋"/>
          <w:color w:val="000000" w:themeColor="text1"/>
          <w:spacing w:val="-2"/>
          <w:sz w:val="24"/>
          <w:szCs w:val="24"/>
          <w:highlight w:val="none"/>
          <w14:textFill>
            <w14:solidFill>
              <w14:schemeClr w14:val="tx1"/>
            </w14:solidFill>
          </w14:textFill>
        </w:rPr>
        <w:t>监理人提交承包人项目管理机构及施工现场人员安排的报告，其内容应包括合同</w:t>
      </w:r>
      <w:r>
        <w:rPr>
          <w:rFonts w:hint="eastAsia" w:ascii="仿宋" w:hAnsi="仿宋" w:eastAsia="仿宋" w:cs="仿宋"/>
          <w:color w:val="000000" w:themeColor="text1"/>
          <w:spacing w:val="-7"/>
          <w:sz w:val="24"/>
          <w:szCs w:val="24"/>
          <w:highlight w:val="none"/>
          <w14:textFill>
            <w14:solidFill>
              <w14:schemeClr w14:val="tx1"/>
            </w14:solidFill>
          </w14:textFill>
        </w:rPr>
        <w:t>管理、施工、技术、材料、质量、安全、财务等主要施工管理人员名单及其岗位、</w:t>
      </w:r>
      <w:r>
        <w:rPr>
          <w:rFonts w:hint="eastAsia" w:ascii="仿宋" w:hAnsi="仿宋" w:eastAsia="仿宋" w:cs="仿宋"/>
          <w:color w:val="000000" w:themeColor="text1"/>
          <w:spacing w:val="-2"/>
          <w:sz w:val="24"/>
          <w:szCs w:val="24"/>
          <w:highlight w:val="none"/>
          <w14:textFill>
            <w14:solidFill>
              <w14:schemeClr w14:val="tx1"/>
            </w14:solidFill>
          </w14:textFill>
        </w:rPr>
        <w:t>注册执业资格等，以及各工种技术工人的安排情况，并同时提交主要施工管理人员与承包人之间的劳动关系证明和缴纳社会保险的有效证明。</w:t>
      </w:r>
    </w:p>
    <w:p w14:paraId="22203C9A">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3.3.2 承包人派驻到施工现场的主要施工管理人员应相对稳定。施工</w:t>
      </w:r>
      <w:r>
        <w:rPr>
          <w:rFonts w:hint="eastAsia" w:ascii="仿宋" w:hAnsi="仿宋" w:eastAsia="仿宋" w:cs="仿宋"/>
          <w:color w:val="000000" w:themeColor="text1"/>
          <w:spacing w:val="-3"/>
          <w:sz w:val="24"/>
          <w:szCs w:val="24"/>
          <w:highlight w:val="none"/>
          <w14:textFill>
            <w14:solidFill>
              <w14:schemeClr w14:val="tx1"/>
            </w14:solidFill>
          </w14:textFill>
        </w:rPr>
        <w:t>过程中</w:t>
      </w:r>
      <w:r>
        <w:rPr>
          <w:rFonts w:hint="eastAsia" w:ascii="仿宋" w:hAnsi="仿宋" w:eastAsia="仿宋" w:cs="仿宋"/>
          <w:color w:val="000000" w:themeColor="text1"/>
          <w:spacing w:val="-2"/>
          <w:sz w:val="24"/>
          <w:szCs w:val="24"/>
          <w:highlight w:val="none"/>
          <w14:textFill>
            <w14:solidFill>
              <w14:schemeClr w14:val="tx1"/>
            </w14:solidFill>
          </w14:textFill>
        </w:rPr>
        <w:t>如有变动，承包人应及时向监理人提交施工现场人员变动情况的报告。承包人更</w:t>
      </w:r>
      <w:r>
        <w:rPr>
          <w:rFonts w:hint="eastAsia" w:ascii="仿宋" w:hAnsi="仿宋" w:eastAsia="仿宋" w:cs="仿宋"/>
          <w:color w:val="000000" w:themeColor="text1"/>
          <w:spacing w:val="-1"/>
          <w:sz w:val="24"/>
          <w:szCs w:val="24"/>
          <w:highlight w:val="none"/>
          <w14:textFill>
            <w14:solidFill>
              <w14:schemeClr w14:val="tx1"/>
            </w14:solidFill>
          </w14:textFill>
        </w:rPr>
        <w:t>换主要施工管理人员时，应提前7天书面通知监理人，并征得发包人书面同意。</w:t>
      </w:r>
    </w:p>
    <w:p w14:paraId="30775376">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通知中应当载明继任人员的注册执业资格、管理经验等资料。</w:t>
      </w:r>
    </w:p>
    <w:p w14:paraId="51A299A3">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特殊工种作业人员均应持有相应的资格证明，监理人可以随</w:t>
      </w:r>
      <w:r>
        <w:rPr>
          <w:rFonts w:hint="eastAsia" w:ascii="仿宋" w:hAnsi="仿宋" w:eastAsia="仿宋" w:cs="仿宋"/>
          <w:color w:val="000000" w:themeColor="text1"/>
          <w:spacing w:val="-2"/>
          <w:sz w:val="24"/>
          <w:szCs w:val="24"/>
          <w:highlight w:val="none"/>
          <w14:textFill>
            <w14:solidFill>
              <w14:schemeClr w14:val="tx1"/>
            </w14:solidFill>
          </w14:textFill>
        </w:rPr>
        <w:t>时检查。</w:t>
      </w:r>
    </w:p>
    <w:p w14:paraId="1E3EFE69">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3.3.3 发包人对于承包人主要施工管理人员的资格或能力有异议的，</w:t>
      </w:r>
      <w:r>
        <w:rPr>
          <w:rFonts w:hint="eastAsia" w:ascii="仿宋" w:hAnsi="仿宋" w:eastAsia="仿宋" w:cs="仿宋"/>
          <w:color w:val="000000" w:themeColor="text1"/>
          <w:spacing w:val="-3"/>
          <w:sz w:val="24"/>
          <w:szCs w:val="24"/>
          <w:highlight w:val="none"/>
          <w14:textFill>
            <w14:solidFill>
              <w14:schemeClr w14:val="tx1"/>
            </w14:solidFill>
          </w14:textFill>
        </w:rPr>
        <w:t>承包人</w:t>
      </w:r>
      <w:r>
        <w:rPr>
          <w:rFonts w:hint="eastAsia" w:ascii="仿宋" w:hAnsi="仿宋" w:eastAsia="仿宋" w:cs="仿宋"/>
          <w:color w:val="000000" w:themeColor="text1"/>
          <w:spacing w:val="-1"/>
          <w:sz w:val="24"/>
          <w:szCs w:val="24"/>
          <w:highlight w:val="none"/>
          <w14:textFill>
            <w14:solidFill>
              <w14:schemeClr w14:val="tx1"/>
            </w14:solidFill>
          </w14:textFill>
        </w:rPr>
        <w:t>应提供资料证明被质疑人员有能力完成其岗位工作或不存在发包人所质疑的情</w:t>
      </w:r>
      <w:r>
        <w:rPr>
          <w:rFonts w:hint="eastAsia" w:ascii="仿宋" w:hAnsi="仿宋" w:eastAsia="仿宋" w:cs="仿宋"/>
          <w:color w:val="000000" w:themeColor="text1"/>
          <w:spacing w:val="-2"/>
          <w:sz w:val="24"/>
          <w:szCs w:val="24"/>
          <w:highlight w:val="none"/>
          <w14:textFill>
            <w14:solidFill>
              <w14:schemeClr w14:val="tx1"/>
            </w14:solidFill>
          </w14:textFill>
        </w:rPr>
        <w:t>形。发包人要求撤换不能按照合同约定履行职责及义务的主要施工管理人员的，承包人应当撤换。承包人无正当理由拒绝撤换的，应按照专用合同条款的约定承</w:t>
      </w:r>
      <w:r>
        <w:rPr>
          <w:rFonts w:hint="eastAsia" w:ascii="仿宋" w:hAnsi="仿宋" w:eastAsia="仿宋" w:cs="仿宋"/>
          <w:color w:val="000000" w:themeColor="text1"/>
          <w:spacing w:val="-5"/>
          <w:sz w:val="24"/>
          <w:szCs w:val="24"/>
          <w:highlight w:val="none"/>
          <w14:textFill>
            <w14:solidFill>
              <w14:schemeClr w14:val="tx1"/>
            </w14:solidFill>
          </w14:textFill>
        </w:rPr>
        <w:t>担违约责任。</w:t>
      </w:r>
    </w:p>
    <w:p w14:paraId="008C48BD">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147991A6">
      <w:pPr>
        <w:keepNext w:val="0"/>
        <w:keepLines w:val="0"/>
        <w:pageBreakBefore w:val="0"/>
        <w:widowControl w:val="0"/>
        <w:kinsoku/>
        <w:wordWrap/>
        <w:overflowPunct/>
        <w:topLinePunct w:val="0"/>
        <w:autoSpaceDE/>
        <w:autoSpaceDN/>
        <w:bidi w:val="0"/>
        <w:snapToGrid/>
        <w:spacing w:line="360" w:lineRule="auto"/>
        <w:ind w:left="0" w:leftChars="0" w:right="0" w:rightChars="0" w:firstLine="53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3.3.5 承包人擅自更换主要施工管理人员，或前述人员未经监理人或</w:t>
      </w:r>
      <w:r>
        <w:rPr>
          <w:rFonts w:hint="eastAsia" w:ascii="仿宋" w:hAnsi="仿宋" w:eastAsia="仿宋" w:cs="仿宋"/>
          <w:color w:val="000000" w:themeColor="text1"/>
          <w:spacing w:val="-3"/>
          <w:sz w:val="24"/>
          <w:szCs w:val="24"/>
          <w:highlight w:val="none"/>
          <w14:textFill>
            <w14:solidFill>
              <w14:schemeClr w14:val="tx1"/>
            </w14:solidFill>
          </w14:textFill>
        </w:rPr>
        <w:t>发包人</w:t>
      </w:r>
      <w:r>
        <w:rPr>
          <w:rFonts w:hint="eastAsia" w:ascii="仿宋" w:hAnsi="仿宋" w:eastAsia="仿宋" w:cs="仿宋"/>
          <w:color w:val="000000" w:themeColor="text1"/>
          <w:spacing w:val="-2"/>
          <w:sz w:val="24"/>
          <w:szCs w:val="24"/>
          <w:highlight w:val="none"/>
          <w14:textFill>
            <w14:solidFill>
              <w14:schemeClr w14:val="tx1"/>
            </w14:solidFill>
          </w14:textFill>
        </w:rPr>
        <w:t>同意擅自离开施工现场的，应按照专用合同条款约定承担违约责任。</w:t>
      </w:r>
    </w:p>
    <w:p w14:paraId="2EF48F9A">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3.4 承包人现场查勘</w:t>
      </w:r>
    </w:p>
    <w:p w14:paraId="6ECF34E8">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承包人应对基于发包人按照第2.4.3项〔提供基础资</w:t>
      </w:r>
      <w:r>
        <w:rPr>
          <w:rFonts w:hint="eastAsia" w:ascii="仿宋" w:hAnsi="仿宋" w:eastAsia="仿宋" w:cs="仿宋"/>
          <w:color w:val="000000" w:themeColor="text1"/>
          <w:spacing w:val="-1"/>
          <w:sz w:val="24"/>
          <w:szCs w:val="24"/>
          <w:highlight w:val="none"/>
          <w14:textFill>
            <w14:solidFill>
              <w14:schemeClr w14:val="tx1"/>
            </w14:solidFill>
          </w14:textFill>
        </w:rPr>
        <w:t>料〕提交的基础资料所</w:t>
      </w:r>
      <w:r>
        <w:rPr>
          <w:rFonts w:hint="eastAsia" w:ascii="仿宋" w:hAnsi="仿宋" w:eastAsia="仿宋" w:cs="仿宋"/>
          <w:color w:val="000000" w:themeColor="text1"/>
          <w:spacing w:val="-2"/>
          <w:sz w:val="24"/>
          <w:szCs w:val="24"/>
          <w:highlight w:val="none"/>
          <w14:textFill>
            <w14:solidFill>
              <w14:schemeClr w14:val="tx1"/>
            </w14:solidFill>
          </w14:textFill>
        </w:rPr>
        <w:t>做出的解释和推断负责，但因基础资料存在错误、遗漏导致承包人解释或推断失</w:t>
      </w:r>
      <w:r>
        <w:rPr>
          <w:rFonts w:hint="eastAsia" w:ascii="仿宋" w:hAnsi="仿宋" w:eastAsia="仿宋" w:cs="仿宋"/>
          <w:color w:val="000000" w:themeColor="text1"/>
          <w:spacing w:val="-4"/>
          <w:sz w:val="24"/>
          <w:szCs w:val="24"/>
          <w:highlight w:val="none"/>
          <w14:textFill>
            <w14:solidFill>
              <w14:schemeClr w14:val="tx1"/>
            </w14:solidFill>
          </w14:textFill>
        </w:rPr>
        <w:t>实的，由发包人承担责任。</w:t>
      </w:r>
    </w:p>
    <w:p w14:paraId="782B5D36">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承包人应对施工现场和施工条件进行查勘，并充分了解工程所在地的</w:t>
      </w:r>
      <w:r>
        <w:rPr>
          <w:rFonts w:hint="eastAsia" w:ascii="仿宋" w:hAnsi="仿宋" w:eastAsia="仿宋" w:cs="仿宋"/>
          <w:color w:val="000000" w:themeColor="text1"/>
          <w:spacing w:val="-3"/>
          <w:sz w:val="24"/>
          <w:szCs w:val="24"/>
          <w:highlight w:val="none"/>
          <w14:textFill>
            <w14:solidFill>
              <w14:schemeClr w14:val="tx1"/>
            </w14:solidFill>
          </w14:textFill>
        </w:rPr>
        <w:t>气象条</w:t>
      </w:r>
      <w:r>
        <w:rPr>
          <w:rFonts w:hint="eastAsia" w:ascii="仿宋" w:hAnsi="仿宋" w:eastAsia="仿宋" w:cs="仿宋"/>
          <w:color w:val="000000" w:themeColor="text1"/>
          <w:spacing w:val="-2"/>
          <w:sz w:val="24"/>
          <w:szCs w:val="24"/>
          <w:highlight w:val="none"/>
          <w14:textFill>
            <w14:solidFill>
              <w14:schemeClr w14:val="tx1"/>
            </w14:solidFill>
          </w14:textFill>
        </w:rPr>
        <w:t>件、交通条件、风俗习惯以及其他与完成合同工作有关的其他资料。因承包人未能充分查勘、了解前述情况或未能充分估计前述情况所可能产生后果的，承包人承担由此增加的费用和（或）延误的工期。</w:t>
      </w:r>
    </w:p>
    <w:p w14:paraId="585F157E">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3.5</w:t>
      </w:r>
      <w:r>
        <w:rPr>
          <w:rFonts w:hint="eastAsia" w:ascii="仿宋" w:hAnsi="仿宋" w:eastAsia="仿宋" w:cs="仿宋"/>
          <w:color w:val="000000" w:themeColor="text1"/>
          <w:spacing w:val="1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分包</w:t>
      </w:r>
    </w:p>
    <w:p w14:paraId="48787EFA">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3.5.1 分包的一般约定</w:t>
      </w:r>
    </w:p>
    <w:p w14:paraId="4757CFE1">
      <w:pPr>
        <w:keepNext w:val="0"/>
        <w:keepLines w:val="0"/>
        <w:pageBreakBefore w:val="0"/>
        <w:widowControl w:val="0"/>
        <w:kinsoku/>
        <w:wordWrap/>
        <w:overflowPunct/>
        <w:topLinePunct w:val="0"/>
        <w:autoSpaceDE/>
        <w:autoSpaceDN/>
        <w:bidi w:val="0"/>
        <w:snapToGrid/>
        <w:spacing w:line="360" w:lineRule="auto"/>
        <w:ind w:left="0" w:leftChars="0" w:right="0" w:rightChars="0" w:firstLine="55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承包人不得将其承包的全部工程转包给第三人，或将其承包的全部工</w:t>
      </w:r>
      <w:r>
        <w:rPr>
          <w:rFonts w:hint="eastAsia" w:ascii="仿宋" w:hAnsi="仿宋" w:eastAsia="仿宋" w:cs="仿宋"/>
          <w:color w:val="000000" w:themeColor="text1"/>
          <w:spacing w:val="-3"/>
          <w:sz w:val="24"/>
          <w:szCs w:val="24"/>
          <w:highlight w:val="none"/>
          <w14:textFill>
            <w14:solidFill>
              <w14:schemeClr w14:val="tx1"/>
            </w14:solidFill>
          </w14:textFill>
        </w:rPr>
        <w:t>程肢解</w:t>
      </w:r>
      <w:r>
        <w:rPr>
          <w:rFonts w:hint="eastAsia" w:ascii="仿宋" w:hAnsi="仿宋" w:eastAsia="仿宋" w:cs="仿宋"/>
          <w:color w:val="000000" w:themeColor="text1"/>
          <w:spacing w:val="-2"/>
          <w:sz w:val="24"/>
          <w:szCs w:val="24"/>
          <w:highlight w:val="none"/>
          <w14:textFill>
            <w14:solidFill>
              <w14:schemeClr w14:val="tx1"/>
            </w14:solidFill>
          </w14:textFill>
        </w:rPr>
        <w:t>后以分包的名义转包给第三人。承包人不得将工程主体结构、关键性工作及专用合同条款中禁止分包的专业工程分包给第三人，主体结构、关键性工作的范围由</w:t>
      </w:r>
      <w:r>
        <w:rPr>
          <w:rFonts w:hint="eastAsia" w:ascii="仿宋" w:hAnsi="仿宋" w:eastAsia="仿宋" w:cs="仿宋"/>
          <w:color w:val="000000" w:themeColor="text1"/>
          <w:spacing w:val="-1"/>
          <w:sz w:val="24"/>
          <w:szCs w:val="24"/>
          <w:highlight w:val="none"/>
          <w14:textFill>
            <w14:solidFill>
              <w14:schemeClr w14:val="tx1"/>
            </w14:solidFill>
          </w14:textFill>
        </w:rPr>
        <w:t>合同当事人按照法律规定在专用合同条款中予以明确。</w:t>
      </w:r>
    </w:p>
    <w:p w14:paraId="55874504">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承包人不得以劳务分包的名义转包或违法分包工程。</w:t>
      </w:r>
    </w:p>
    <w:p w14:paraId="138FDC05">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3.5.2 分包的确定</w:t>
      </w:r>
    </w:p>
    <w:p w14:paraId="5615629C">
      <w:pPr>
        <w:keepNext w:val="0"/>
        <w:keepLines w:val="0"/>
        <w:pageBreakBefore w:val="0"/>
        <w:widowControl w:val="0"/>
        <w:kinsoku/>
        <w:wordWrap/>
        <w:overflowPunct/>
        <w:topLinePunct w:val="0"/>
        <w:autoSpaceDE/>
        <w:autoSpaceDN/>
        <w:bidi w:val="0"/>
        <w:snapToGrid/>
        <w:spacing w:line="360" w:lineRule="auto"/>
        <w:ind w:left="0" w:leftChars="0" w:right="0" w:rightChars="0" w:firstLine="55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承包人应按专用合同条款的约定进行分包，确定分包人。已标价工程</w:t>
      </w:r>
      <w:r>
        <w:rPr>
          <w:rFonts w:hint="eastAsia" w:ascii="仿宋" w:hAnsi="仿宋" w:eastAsia="仿宋" w:cs="仿宋"/>
          <w:color w:val="000000" w:themeColor="text1"/>
          <w:spacing w:val="-3"/>
          <w:sz w:val="24"/>
          <w:szCs w:val="24"/>
          <w:highlight w:val="none"/>
          <w14:textFill>
            <w14:solidFill>
              <w14:schemeClr w14:val="tx1"/>
            </w14:solidFill>
          </w14:textFill>
        </w:rPr>
        <w:t>量清单</w:t>
      </w:r>
      <w:r>
        <w:rPr>
          <w:rFonts w:hint="eastAsia" w:ascii="仿宋" w:hAnsi="仿宋" w:eastAsia="仿宋" w:cs="仿宋"/>
          <w:color w:val="000000" w:themeColor="text1"/>
          <w:spacing w:val="-2"/>
          <w:sz w:val="24"/>
          <w:szCs w:val="24"/>
          <w:highlight w:val="none"/>
          <w14:textFill>
            <w14:solidFill>
              <w14:schemeClr w14:val="tx1"/>
            </w14:solidFill>
          </w14:textFill>
        </w:rPr>
        <w:t>或预算书中给定暂估价的专业工程，按照第</w:t>
      </w:r>
      <w:r>
        <w:rPr>
          <w:rFonts w:hint="eastAsia" w:ascii="仿宋" w:hAnsi="仿宋" w:eastAsia="仿宋" w:cs="仿宋"/>
          <w:color w:val="000000" w:themeColor="text1"/>
          <w:spacing w:val="-3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10.7</w:t>
      </w:r>
      <w:r>
        <w:rPr>
          <w:rFonts w:hint="eastAsia" w:ascii="仿宋" w:hAnsi="仿宋" w:eastAsia="仿宋" w:cs="仿宋"/>
          <w:color w:val="000000" w:themeColor="text1"/>
          <w:spacing w:val="-5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款〔暂估价〕确定分包</w:t>
      </w:r>
      <w:r>
        <w:rPr>
          <w:rFonts w:hint="eastAsia" w:ascii="仿宋" w:hAnsi="仿宋" w:eastAsia="仿宋" w:cs="仿宋"/>
          <w:color w:val="000000" w:themeColor="text1"/>
          <w:spacing w:val="-3"/>
          <w:sz w:val="24"/>
          <w:szCs w:val="24"/>
          <w:highlight w:val="none"/>
          <w14:textFill>
            <w14:solidFill>
              <w14:schemeClr w14:val="tx1"/>
            </w14:solidFill>
          </w14:textFill>
        </w:rPr>
        <w:t>人。按</w:t>
      </w:r>
      <w:r>
        <w:rPr>
          <w:rFonts w:hint="eastAsia" w:ascii="仿宋" w:hAnsi="仿宋" w:eastAsia="仿宋" w:cs="仿宋"/>
          <w:color w:val="000000" w:themeColor="text1"/>
          <w:spacing w:val="-2"/>
          <w:sz w:val="24"/>
          <w:szCs w:val="24"/>
          <w:highlight w:val="none"/>
          <w14:textFill>
            <w14:solidFill>
              <w14:schemeClr w14:val="tx1"/>
            </w14:solidFill>
          </w14:textFill>
        </w:rPr>
        <w:t>照合同约定进行分包的，承包人应确保分包人具有相应的资质和能力。工程分包不减轻或免除承包人的责任和义务，承包人和分包人就分包工程向发包人承</w:t>
      </w:r>
      <w:r>
        <w:rPr>
          <w:rFonts w:hint="eastAsia" w:ascii="仿宋" w:hAnsi="仿宋" w:eastAsia="仿宋" w:cs="仿宋"/>
          <w:color w:val="000000" w:themeColor="text1"/>
          <w:spacing w:val="-3"/>
          <w:sz w:val="24"/>
          <w:szCs w:val="24"/>
          <w:highlight w:val="none"/>
          <w14:textFill>
            <w14:solidFill>
              <w14:schemeClr w14:val="tx1"/>
            </w14:solidFill>
          </w14:textFill>
        </w:rPr>
        <w:t>担连带责任。除合同另有约定外，承包人应在分包合同签订后</w:t>
      </w:r>
      <w:r>
        <w:rPr>
          <w:rFonts w:hint="eastAsia" w:ascii="仿宋" w:hAnsi="仿宋" w:eastAsia="仿宋" w:cs="仿宋"/>
          <w:color w:val="000000" w:themeColor="text1"/>
          <w:spacing w:val="-5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7</w:t>
      </w:r>
      <w:r>
        <w:rPr>
          <w:rFonts w:hint="eastAsia" w:ascii="仿宋" w:hAnsi="仿宋" w:eastAsia="仿宋" w:cs="仿宋"/>
          <w:color w:val="000000" w:themeColor="text1"/>
          <w:spacing w:val="-5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天内向发包人和监理</w:t>
      </w:r>
      <w:r>
        <w:rPr>
          <w:rFonts w:hint="eastAsia" w:ascii="仿宋" w:hAnsi="仿宋" w:eastAsia="仿宋" w:cs="仿宋"/>
          <w:color w:val="000000" w:themeColor="text1"/>
          <w:spacing w:val="-4"/>
          <w:sz w:val="24"/>
          <w:szCs w:val="24"/>
          <w:highlight w:val="none"/>
          <w14:textFill>
            <w14:solidFill>
              <w14:schemeClr w14:val="tx1"/>
            </w14:solidFill>
          </w14:textFill>
        </w:rPr>
        <w:t>人提交分包合同副本。</w:t>
      </w:r>
    </w:p>
    <w:p w14:paraId="0E762C5B">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3.5.3 分包管理</w:t>
      </w:r>
    </w:p>
    <w:p w14:paraId="5D3EAE67">
      <w:pPr>
        <w:keepNext w:val="0"/>
        <w:keepLines w:val="0"/>
        <w:pageBreakBefore w:val="0"/>
        <w:widowControl w:val="0"/>
        <w:kinsoku/>
        <w:wordWrap/>
        <w:overflowPunct/>
        <w:topLinePunct w:val="0"/>
        <w:autoSpaceDE/>
        <w:autoSpaceDN/>
        <w:bidi w:val="0"/>
        <w:snapToGrid/>
        <w:spacing w:line="360" w:lineRule="auto"/>
        <w:ind w:left="0" w:leftChars="0" w:right="0" w:rightChars="0" w:firstLine="54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承包人应向监理人提交分包人的主要施工管理人员表，并对分包人的</w:t>
      </w:r>
      <w:r>
        <w:rPr>
          <w:rFonts w:hint="eastAsia" w:ascii="仿宋" w:hAnsi="仿宋" w:eastAsia="仿宋" w:cs="仿宋"/>
          <w:color w:val="000000" w:themeColor="text1"/>
          <w:spacing w:val="-3"/>
          <w:sz w:val="24"/>
          <w:szCs w:val="24"/>
          <w:highlight w:val="none"/>
          <w14:textFill>
            <w14:solidFill>
              <w14:schemeClr w14:val="tx1"/>
            </w14:solidFill>
          </w14:textFill>
        </w:rPr>
        <w:t>施工人</w:t>
      </w:r>
      <w:r>
        <w:rPr>
          <w:rFonts w:hint="eastAsia" w:ascii="仿宋" w:hAnsi="仿宋" w:eastAsia="仿宋" w:cs="仿宋"/>
          <w:color w:val="000000" w:themeColor="text1"/>
          <w:spacing w:val="-2"/>
          <w:sz w:val="24"/>
          <w:szCs w:val="24"/>
          <w:highlight w:val="none"/>
          <w14:textFill>
            <w14:solidFill>
              <w14:schemeClr w14:val="tx1"/>
            </w14:solidFill>
          </w14:textFill>
        </w:rPr>
        <w:t>员进行实名制管理，包括但不限于进出场管理、登记造册以及各种证照的办理。</w:t>
      </w:r>
    </w:p>
    <w:p w14:paraId="6599319E">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3.5.4 分包合同价款</w:t>
      </w:r>
    </w:p>
    <w:p w14:paraId="45C62694">
      <w:pPr>
        <w:keepNext w:val="0"/>
        <w:keepLines w:val="0"/>
        <w:pageBreakBefore w:val="0"/>
        <w:widowControl w:val="0"/>
        <w:kinsoku/>
        <w:wordWrap/>
        <w:overflowPunct/>
        <w:topLinePunct w:val="0"/>
        <w:autoSpaceDE/>
        <w:autoSpaceDN/>
        <w:bidi w:val="0"/>
        <w:snapToGrid/>
        <w:spacing w:line="360" w:lineRule="auto"/>
        <w:ind w:left="0" w:leftChars="0" w:right="0" w:rightChars="0" w:firstLine="56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（1）除本项第（2）目约定的情况或专用合同条款另有约定</w:t>
      </w:r>
      <w:r>
        <w:rPr>
          <w:rFonts w:hint="eastAsia" w:ascii="仿宋" w:hAnsi="仿宋" w:eastAsia="仿宋" w:cs="仿宋"/>
          <w:color w:val="000000" w:themeColor="text1"/>
          <w:spacing w:val="-3"/>
          <w:sz w:val="24"/>
          <w:szCs w:val="24"/>
          <w:highlight w:val="none"/>
          <w14:textFill>
            <w14:solidFill>
              <w14:schemeClr w14:val="tx1"/>
            </w14:solidFill>
          </w14:textFill>
        </w:rPr>
        <w:t>外，分包合同价</w:t>
      </w:r>
      <w:r>
        <w:rPr>
          <w:rFonts w:hint="eastAsia" w:ascii="仿宋" w:hAnsi="仿宋" w:eastAsia="仿宋" w:cs="仿宋"/>
          <w:color w:val="000000" w:themeColor="text1"/>
          <w:spacing w:val="-2"/>
          <w:sz w:val="24"/>
          <w:szCs w:val="24"/>
          <w:highlight w:val="none"/>
          <w14:textFill>
            <w14:solidFill>
              <w14:schemeClr w14:val="tx1"/>
            </w14:solidFill>
          </w14:textFill>
        </w:rPr>
        <w:t>款由承包人与分包人结算，未经承包人同意，发包人不得向分包人支付分包工程</w:t>
      </w:r>
      <w:r>
        <w:rPr>
          <w:rFonts w:hint="eastAsia" w:ascii="仿宋" w:hAnsi="仿宋" w:eastAsia="仿宋" w:cs="仿宋"/>
          <w:color w:val="000000" w:themeColor="text1"/>
          <w:spacing w:val="-17"/>
          <w:sz w:val="24"/>
          <w:szCs w:val="24"/>
          <w:highlight w:val="none"/>
          <w14:textFill>
            <w14:solidFill>
              <w14:schemeClr w14:val="tx1"/>
            </w14:solidFill>
          </w14:textFill>
        </w:rPr>
        <w:t>价款；</w:t>
      </w:r>
    </w:p>
    <w:p w14:paraId="0CFE8130">
      <w:pPr>
        <w:keepNext w:val="0"/>
        <w:keepLines w:val="0"/>
        <w:pageBreakBefore w:val="0"/>
        <w:widowControl w:val="0"/>
        <w:kinsoku/>
        <w:wordWrap/>
        <w:overflowPunct/>
        <w:topLinePunct w:val="0"/>
        <w:autoSpaceDE/>
        <w:autoSpaceDN/>
        <w:bidi w:val="0"/>
        <w:snapToGrid/>
        <w:spacing w:line="360" w:lineRule="auto"/>
        <w:ind w:left="0" w:leftChars="0" w:right="0" w:rightChars="0" w:firstLine="56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（2）生效法律文书要求发包人向分包人支付分包合同价款的，发包人有权</w:t>
      </w:r>
      <w:r>
        <w:rPr>
          <w:rFonts w:hint="eastAsia" w:ascii="仿宋" w:hAnsi="仿宋" w:eastAsia="仿宋" w:cs="仿宋"/>
          <w:color w:val="000000" w:themeColor="text1"/>
          <w:spacing w:val="-2"/>
          <w:sz w:val="24"/>
          <w:szCs w:val="24"/>
          <w:highlight w:val="none"/>
          <w14:textFill>
            <w14:solidFill>
              <w14:schemeClr w14:val="tx1"/>
            </w14:solidFill>
          </w14:textFill>
        </w:rPr>
        <w:t>从应付承包人工程款中扣除该部分款项。</w:t>
      </w:r>
    </w:p>
    <w:p w14:paraId="0F063794">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3.5.5 分包合同权益的转让</w:t>
      </w:r>
    </w:p>
    <w:p w14:paraId="5AA0F5BB">
      <w:pPr>
        <w:keepNext w:val="0"/>
        <w:keepLines w:val="0"/>
        <w:pageBreakBefore w:val="0"/>
        <w:widowControl w:val="0"/>
        <w:kinsoku/>
        <w:wordWrap/>
        <w:overflowPunct/>
        <w:topLinePunct w:val="0"/>
        <w:autoSpaceDE/>
        <w:autoSpaceDN/>
        <w:bidi w:val="0"/>
        <w:snapToGrid/>
        <w:spacing w:line="360" w:lineRule="auto"/>
        <w:ind w:left="0" w:leftChars="0" w:right="0" w:rightChars="0" w:firstLine="5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分包人在分包合同项下的义务持续到缺陷责任期届满以后的</w:t>
      </w:r>
      <w:r>
        <w:rPr>
          <w:rFonts w:hint="eastAsia" w:ascii="仿宋" w:hAnsi="仿宋" w:eastAsia="仿宋" w:cs="仿宋"/>
          <w:color w:val="000000" w:themeColor="text1"/>
          <w:spacing w:val="-3"/>
          <w:sz w:val="24"/>
          <w:szCs w:val="24"/>
          <w:highlight w:val="none"/>
          <w14:textFill>
            <w14:solidFill>
              <w14:schemeClr w14:val="tx1"/>
            </w14:solidFill>
          </w14:textFill>
        </w:rPr>
        <w:t>，发包人有权在</w:t>
      </w:r>
      <w:r>
        <w:rPr>
          <w:rFonts w:hint="eastAsia" w:ascii="仿宋" w:hAnsi="仿宋" w:eastAsia="仿宋" w:cs="仿宋"/>
          <w:color w:val="000000" w:themeColor="text1"/>
          <w:spacing w:val="-2"/>
          <w:sz w:val="24"/>
          <w:szCs w:val="24"/>
          <w:highlight w:val="none"/>
          <w14:textFill>
            <w14:solidFill>
              <w14:schemeClr w14:val="tx1"/>
            </w14:solidFill>
          </w14:textFill>
        </w:rPr>
        <w:t>缺陷责任期届满前，要求承包人将其在分包合同项下的权益转让给发包人，承包人应当转让。除转让合同另有约定外，转让合同生效后，由分包人向发包人履行</w:t>
      </w:r>
      <w:r>
        <w:rPr>
          <w:rFonts w:hint="eastAsia" w:ascii="仿宋" w:hAnsi="仿宋" w:eastAsia="仿宋" w:cs="仿宋"/>
          <w:color w:val="000000" w:themeColor="text1"/>
          <w:spacing w:val="-12"/>
          <w:sz w:val="24"/>
          <w:szCs w:val="24"/>
          <w:highlight w:val="none"/>
          <w14:textFill>
            <w14:solidFill>
              <w14:schemeClr w14:val="tx1"/>
            </w14:solidFill>
          </w14:textFill>
        </w:rPr>
        <w:t>义务。</w:t>
      </w:r>
    </w:p>
    <w:p w14:paraId="451C2FF8">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3.6 工程照管与成品、半成品保护</w:t>
      </w:r>
    </w:p>
    <w:p w14:paraId="3BC3D33F">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（1）除专用合同条款另有约定外，自发包人向承包人移交施工现场之</w:t>
      </w:r>
      <w:r>
        <w:rPr>
          <w:rFonts w:hint="eastAsia" w:ascii="仿宋" w:hAnsi="仿宋" w:eastAsia="仿宋" w:cs="仿宋"/>
          <w:color w:val="000000" w:themeColor="text1"/>
          <w:spacing w:val="-5"/>
          <w:sz w:val="24"/>
          <w:szCs w:val="24"/>
          <w:highlight w:val="none"/>
          <w14:textFill>
            <w14:solidFill>
              <w14:schemeClr w14:val="tx1"/>
            </w14:solidFill>
          </w14:textFill>
        </w:rPr>
        <w:t>日起，</w:t>
      </w:r>
      <w:r>
        <w:rPr>
          <w:rFonts w:hint="eastAsia" w:ascii="仿宋" w:hAnsi="仿宋" w:eastAsia="仿宋" w:cs="仿宋"/>
          <w:color w:val="000000" w:themeColor="text1"/>
          <w:spacing w:val="-2"/>
          <w:sz w:val="24"/>
          <w:szCs w:val="24"/>
          <w:highlight w:val="none"/>
          <w14:textFill>
            <w14:solidFill>
              <w14:schemeClr w14:val="tx1"/>
            </w14:solidFill>
          </w14:textFill>
        </w:rPr>
        <w:t>承包人应负责照管工程及工程相关的材料、工程设备，直到颁发工程接收证书之</w:t>
      </w:r>
      <w:r>
        <w:rPr>
          <w:rFonts w:hint="eastAsia" w:ascii="仿宋" w:hAnsi="仿宋" w:eastAsia="仿宋" w:cs="仿宋"/>
          <w:color w:val="000000" w:themeColor="text1"/>
          <w:spacing w:val="-12"/>
          <w:sz w:val="24"/>
          <w:szCs w:val="24"/>
          <w:highlight w:val="none"/>
          <w14:textFill>
            <w14:solidFill>
              <w14:schemeClr w14:val="tx1"/>
            </w14:solidFill>
          </w14:textFill>
        </w:rPr>
        <w:t>日止。</w:t>
      </w:r>
    </w:p>
    <w:p w14:paraId="7E288013">
      <w:pPr>
        <w:pStyle w:val="9"/>
        <w:keepNext w:val="0"/>
        <w:keepLines w:val="0"/>
        <w:pageBreakBefore w:val="0"/>
        <w:widowControl w:val="0"/>
        <w:kinsoku/>
        <w:wordWrap/>
        <w:overflowPunct/>
        <w:topLinePunct w:val="0"/>
        <w:autoSpaceDE/>
        <w:autoSpaceDN/>
        <w:bidi w:val="0"/>
        <w:snapToGrid/>
        <w:spacing w:after="0" w:line="360" w:lineRule="auto"/>
        <w:ind w:left="0" w:leftChars="0" w:right="0" w:rightChars="0" w:firstLine="464"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（2）在承包人负责照管期间，因承包人原因造成工程、材料、工程设备损</w:t>
      </w:r>
      <w:r>
        <w:rPr>
          <w:rFonts w:hint="eastAsia" w:ascii="仿宋" w:hAnsi="仿宋" w:eastAsia="仿宋" w:cs="仿宋"/>
          <w:color w:val="000000" w:themeColor="text1"/>
          <w:spacing w:val="-1"/>
          <w:sz w:val="24"/>
          <w:szCs w:val="24"/>
          <w:highlight w:val="none"/>
          <w14:textFill>
            <w14:solidFill>
              <w14:schemeClr w14:val="tx1"/>
            </w14:solidFill>
          </w14:textFill>
        </w:rPr>
        <w:t>坏的，由承包人负责修复或更换，并承担由此增加的费用和（或）</w:t>
      </w:r>
      <w:r>
        <w:rPr>
          <w:rFonts w:hint="eastAsia" w:ascii="仿宋" w:hAnsi="仿宋" w:eastAsia="仿宋" w:cs="仿宋"/>
          <w:color w:val="000000" w:themeColor="text1"/>
          <w:spacing w:val="-2"/>
          <w:sz w:val="24"/>
          <w:szCs w:val="24"/>
          <w:highlight w:val="none"/>
          <w14:textFill>
            <w14:solidFill>
              <w14:schemeClr w14:val="tx1"/>
            </w14:solidFill>
          </w14:textFill>
        </w:rPr>
        <w:t>延误的工期。</w:t>
      </w:r>
    </w:p>
    <w:p w14:paraId="704F504A">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（3）对合同内分期完成的成品和半成品，在工程接收证书颁发前，由承包</w:t>
      </w:r>
      <w:r>
        <w:rPr>
          <w:rFonts w:hint="eastAsia" w:ascii="仿宋" w:hAnsi="仿宋" w:eastAsia="仿宋" w:cs="仿宋"/>
          <w:color w:val="000000" w:themeColor="text1"/>
          <w:spacing w:val="-2"/>
          <w:sz w:val="24"/>
          <w:szCs w:val="24"/>
          <w:highlight w:val="none"/>
          <w14:textFill>
            <w14:solidFill>
              <w14:schemeClr w14:val="tx1"/>
            </w14:solidFill>
          </w14:textFill>
        </w:rPr>
        <w:t>人承担保护责任。因承包人原因造成成品或半成品损坏的，由承包人负责修复或更换，并承担由此增加的费用和（或）延误的</w:t>
      </w:r>
      <w:r>
        <w:rPr>
          <w:rFonts w:hint="eastAsia" w:ascii="仿宋" w:hAnsi="仿宋" w:eastAsia="仿宋" w:cs="仿宋"/>
          <w:color w:val="000000" w:themeColor="text1"/>
          <w:spacing w:val="-3"/>
          <w:sz w:val="24"/>
          <w:szCs w:val="24"/>
          <w:highlight w:val="none"/>
          <w14:textFill>
            <w14:solidFill>
              <w14:schemeClr w14:val="tx1"/>
            </w14:solidFill>
          </w14:textFill>
        </w:rPr>
        <w:t>工期。</w:t>
      </w:r>
    </w:p>
    <w:p w14:paraId="6A6DB340">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3.7</w:t>
      </w:r>
      <w:r>
        <w:rPr>
          <w:rFonts w:hint="eastAsia" w:ascii="仿宋" w:hAnsi="仿宋" w:eastAsia="仿宋" w:cs="仿宋"/>
          <w:color w:val="000000" w:themeColor="text1"/>
          <w:spacing w:val="2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履约担保</w:t>
      </w:r>
    </w:p>
    <w:p w14:paraId="23C018B7">
      <w:pPr>
        <w:keepNext w:val="0"/>
        <w:keepLines w:val="0"/>
        <w:pageBreakBefore w:val="0"/>
        <w:widowControl w:val="0"/>
        <w:kinsoku/>
        <w:wordWrap/>
        <w:overflowPunct/>
        <w:topLinePunct w:val="0"/>
        <w:autoSpaceDE/>
        <w:autoSpaceDN/>
        <w:bidi w:val="0"/>
        <w:snapToGrid/>
        <w:spacing w:line="360" w:lineRule="auto"/>
        <w:ind w:left="0" w:leftChars="0" w:right="0" w:rightChars="0" w:firstLine="55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发包人需要承包人提供履约担保的，由合同当事人在专用合</w:t>
      </w:r>
      <w:r>
        <w:rPr>
          <w:rFonts w:hint="eastAsia" w:ascii="仿宋" w:hAnsi="仿宋" w:eastAsia="仿宋" w:cs="仿宋"/>
          <w:color w:val="000000" w:themeColor="text1"/>
          <w:spacing w:val="-3"/>
          <w:sz w:val="24"/>
          <w:szCs w:val="24"/>
          <w:highlight w:val="none"/>
          <w14:textFill>
            <w14:solidFill>
              <w14:schemeClr w14:val="tx1"/>
            </w14:solidFill>
          </w14:textFill>
        </w:rPr>
        <w:t>同条款中约定履</w:t>
      </w:r>
      <w:r>
        <w:rPr>
          <w:rFonts w:hint="eastAsia" w:ascii="仿宋" w:hAnsi="仿宋" w:eastAsia="仿宋" w:cs="仿宋"/>
          <w:color w:val="000000" w:themeColor="text1"/>
          <w:spacing w:val="-2"/>
          <w:sz w:val="24"/>
          <w:szCs w:val="24"/>
          <w:highlight w:val="none"/>
          <w14:textFill>
            <w14:solidFill>
              <w14:schemeClr w14:val="tx1"/>
            </w14:solidFill>
          </w14:textFill>
        </w:rPr>
        <w:t>约担保的方式、金额及期限等。履约担保可以采用银行保函或担保公司担</w:t>
      </w:r>
      <w:r>
        <w:rPr>
          <w:rFonts w:hint="eastAsia" w:ascii="仿宋" w:hAnsi="仿宋" w:eastAsia="仿宋" w:cs="仿宋"/>
          <w:color w:val="000000" w:themeColor="text1"/>
          <w:spacing w:val="-3"/>
          <w:sz w:val="24"/>
          <w:szCs w:val="24"/>
          <w:highlight w:val="none"/>
          <w14:textFill>
            <w14:solidFill>
              <w14:schemeClr w14:val="tx1"/>
            </w14:solidFill>
          </w14:textFill>
        </w:rPr>
        <w:t>保等形</w:t>
      </w:r>
      <w:r>
        <w:rPr>
          <w:rFonts w:hint="eastAsia" w:ascii="仿宋" w:hAnsi="仿宋" w:eastAsia="仿宋" w:cs="仿宋"/>
          <w:color w:val="000000" w:themeColor="text1"/>
          <w:spacing w:val="-1"/>
          <w:sz w:val="24"/>
          <w:szCs w:val="24"/>
          <w:highlight w:val="none"/>
          <w14:textFill>
            <w14:solidFill>
              <w14:schemeClr w14:val="tx1"/>
            </w14:solidFill>
          </w14:textFill>
        </w:rPr>
        <w:t>式，具体由合同当事人在专用合同条款中约定。</w:t>
      </w:r>
    </w:p>
    <w:p w14:paraId="1575C417">
      <w:pPr>
        <w:keepNext w:val="0"/>
        <w:keepLines w:val="0"/>
        <w:pageBreakBefore w:val="0"/>
        <w:widowControl w:val="0"/>
        <w:kinsoku/>
        <w:wordWrap/>
        <w:overflowPunct/>
        <w:topLinePunct w:val="0"/>
        <w:autoSpaceDE/>
        <w:autoSpaceDN/>
        <w:bidi w:val="0"/>
        <w:snapToGrid/>
        <w:spacing w:line="360" w:lineRule="auto"/>
        <w:ind w:left="0" w:leftChars="0" w:right="0" w:rightChars="0" w:firstLine="58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因承包人原因导致工期延长的，继续提供履约担保所增加的费用由承包人承</w:t>
      </w:r>
      <w:r>
        <w:rPr>
          <w:rFonts w:hint="eastAsia" w:ascii="仿宋" w:hAnsi="仿宋" w:eastAsia="仿宋" w:cs="仿宋"/>
          <w:color w:val="000000" w:themeColor="text1"/>
          <w:spacing w:val="-2"/>
          <w:sz w:val="24"/>
          <w:szCs w:val="24"/>
          <w:highlight w:val="none"/>
          <w14:textFill>
            <w14:solidFill>
              <w14:schemeClr w14:val="tx1"/>
            </w14:solidFill>
          </w14:textFill>
        </w:rPr>
        <w:t>担；非因承包人原因导致工期延长的，继续提供履约担保所增加的费用由发包人</w:t>
      </w:r>
      <w:r>
        <w:rPr>
          <w:rFonts w:hint="eastAsia" w:ascii="仿宋" w:hAnsi="仿宋" w:eastAsia="仿宋" w:cs="仿宋"/>
          <w:color w:val="000000" w:themeColor="text1"/>
          <w:spacing w:val="-12"/>
          <w:sz w:val="24"/>
          <w:szCs w:val="24"/>
          <w:highlight w:val="none"/>
          <w14:textFill>
            <w14:solidFill>
              <w14:schemeClr w14:val="tx1"/>
            </w14:solidFill>
          </w14:textFill>
        </w:rPr>
        <w:t>承担。</w:t>
      </w:r>
    </w:p>
    <w:p w14:paraId="5450A511">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3.8</w:t>
      </w:r>
      <w:r>
        <w:rPr>
          <w:rFonts w:hint="eastAsia" w:ascii="仿宋" w:hAnsi="仿宋" w:eastAsia="仿宋" w:cs="仿宋"/>
          <w:color w:val="000000" w:themeColor="text1"/>
          <w:spacing w:val="1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联合体</w:t>
      </w:r>
    </w:p>
    <w:p w14:paraId="31254170">
      <w:pPr>
        <w:keepNext w:val="0"/>
        <w:keepLines w:val="0"/>
        <w:pageBreakBefore w:val="0"/>
        <w:widowControl w:val="0"/>
        <w:kinsoku/>
        <w:wordWrap/>
        <w:overflowPunct/>
        <w:topLinePunct w:val="0"/>
        <w:autoSpaceDE/>
        <w:autoSpaceDN/>
        <w:bidi w:val="0"/>
        <w:snapToGrid/>
        <w:spacing w:line="360" w:lineRule="auto"/>
        <w:ind w:left="0" w:leftChars="0" w:right="0" w:rightChars="0" w:firstLine="53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3.8.1 联合体各方应共同与发包人签订合同协议书。联合体各方应为</w:t>
      </w:r>
      <w:r>
        <w:rPr>
          <w:rFonts w:hint="eastAsia" w:ascii="仿宋" w:hAnsi="仿宋" w:eastAsia="仿宋" w:cs="仿宋"/>
          <w:color w:val="000000" w:themeColor="text1"/>
          <w:spacing w:val="-3"/>
          <w:sz w:val="24"/>
          <w:szCs w:val="24"/>
          <w:highlight w:val="none"/>
          <w14:textFill>
            <w14:solidFill>
              <w14:schemeClr w14:val="tx1"/>
            </w14:solidFill>
          </w14:textFill>
        </w:rPr>
        <w:t>履行合</w:t>
      </w:r>
      <w:r>
        <w:rPr>
          <w:rFonts w:hint="eastAsia" w:ascii="仿宋" w:hAnsi="仿宋" w:eastAsia="仿宋" w:cs="仿宋"/>
          <w:color w:val="000000" w:themeColor="text1"/>
          <w:spacing w:val="-6"/>
          <w:sz w:val="24"/>
          <w:szCs w:val="24"/>
          <w:highlight w:val="none"/>
          <w14:textFill>
            <w14:solidFill>
              <w14:schemeClr w14:val="tx1"/>
            </w14:solidFill>
          </w14:textFill>
        </w:rPr>
        <w:t>同向发包人承担连带责任。</w:t>
      </w:r>
    </w:p>
    <w:p w14:paraId="1E3A08DE">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3.8.2 联合体协议经发包人确认后作为合同附件。在履行合同过程中</w:t>
      </w:r>
      <w:r>
        <w:rPr>
          <w:rFonts w:hint="eastAsia" w:ascii="仿宋" w:hAnsi="仿宋" w:eastAsia="仿宋" w:cs="仿宋"/>
          <w:color w:val="000000" w:themeColor="text1"/>
          <w:spacing w:val="-3"/>
          <w:sz w:val="24"/>
          <w:szCs w:val="24"/>
          <w:highlight w:val="none"/>
          <w14:textFill>
            <w14:solidFill>
              <w14:schemeClr w14:val="tx1"/>
            </w14:solidFill>
          </w14:textFill>
        </w:rPr>
        <w:t>，未经</w:t>
      </w:r>
      <w:r>
        <w:rPr>
          <w:rFonts w:hint="eastAsia" w:ascii="仿宋" w:hAnsi="仿宋" w:eastAsia="仿宋" w:cs="仿宋"/>
          <w:color w:val="000000" w:themeColor="text1"/>
          <w:spacing w:val="-1"/>
          <w:sz w:val="24"/>
          <w:szCs w:val="24"/>
          <w:highlight w:val="none"/>
          <w14:textFill>
            <w14:solidFill>
              <w14:schemeClr w14:val="tx1"/>
            </w14:solidFill>
          </w14:textFill>
        </w:rPr>
        <w:t>发包人同意，不得修改联合体协议。</w:t>
      </w:r>
    </w:p>
    <w:p w14:paraId="6B8302AC">
      <w:pPr>
        <w:keepNext w:val="0"/>
        <w:keepLines w:val="0"/>
        <w:pageBreakBefore w:val="0"/>
        <w:widowControl w:val="0"/>
        <w:kinsoku/>
        <w:wordWrap/>
        <w:overflowPunct/>
        <w:topLinePunct w:val="0"/>
        <w:autoSpaceDE/>
        <w:autoSpaceDN/>
        <w:bidi w:val="0"/>
        <w:snapToGrid/>
        <w:spacing w:line="360" w:lineRule="auto"/>
        <w:ind w:left="0" w:leftChars="0" w:right="0" w:rightChars="0" w:firstLine="56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3.8.3 联合体牵头人负责与发包人和监理人联系，并接受指示，负责</w:t>
      </w:r>
      <w:r>
        <w:rPr>
          <w:rFonts w:hint="eastAsia" w:ascii="仿宋" w:hAnsi="仿宋" w:eastAsia="仿宋" w:cs="仿宋"/>
          <w:color w:val="000000" w:themeColor="text1"/>
          <w:spacing w:val="-3"/>
          <w:sz w:val="24"/>
          <w:szCs w:val="24"/>
          <w:highlight w:val="none"/>
          <w14:textFill>
            <w14:solidFill>
              <w14:schemeClr w14:val="tx1"/>
            </w14:solidFill>
          </w14:textFill>
        </w:rPr>
        <w:t>组织联</w:t>
      </w:r>
      <w:r>
        <w:rPr>
          <w:rFonts w:hint="eastAsia" w:ascii="仿宋" w:hAnsi="仿宋" w:eastAsia="仿宋" w:cs="仿宋"/>
          <w:color w:val="000000" w:themeColor="text1"/>
          <w:spacing w:val="-4"/>
          <w:sz w:val="24"/>
          <w:szCs w:val="24"/>
          <w:highlight w:val="none"/>
          <w14:textFill>
            <w14:solidFill>
              <w14:schemeClr w14:val="tx1"/>
            </w14:solidFill>
          </w14:textFill>
        </w:rPr>
        <w:t>合体各成员全面履行合同。</w:t>
      </w:r>
    </w:p>
    <w:p w14:paraId="33043959">
      <w:pPr>
        <w:keepNext w:val="0"/>
        <w:keepLines w:val="0"/>
        <w:pageBreakBefore w:val="0"/>
        <w:widowControl w:val="0"/>
        <w:kinsoku/>
        <w:wordWrap/>
        <w:overflowPunct/>
        <w:topLinePunct w:val="0"/>
        <w:autoSpaceDE/>
        <w:autoSpaceDN/>
        <w:bidi w:val="0"/>
        <w:snapToGrid/>
        <w:spacing w:line="360" w:lineRule="auto"/>
        <w:ind w:left="0" w:leftChars="0" w:right="0" w:rightChars="0"/>
        <w:outlineLvl w:val="2"/>
        <w:rPr>
          <w:rFonts w:hint="eastAsia" w:ascii="仿宋" w:hAnsi="仿宋" w:eastAsia="仿宋" w:cs="仿宋"/>
          <w:color w:val="000000" w:themeColor="text1"/>
          <w:sz w:val="24"/>
          <w:szCs w:val="24"/>
          <w:highlight w:val="none"/>
          <w14:textFill>
            <w14:solidFill>
              <w14:schemeClr w14:val="tx1"/>
            </w14:solidFill>
          </w14:textFill>
        </w:rPr>
      </w:pPr>
      <w:bookmarkStart w:id="91" w:name="bookmark118"/>
      <w:bookmarkEnd w:id="91"/>
      <w:bookmarkStart w:id="92" w:name="_Toc32105"/>
      <w:r>
        <w:rPr>
          <w:rFonts w:hint="eastAsia" w:ascii="仿宋" w:hAnsi="仿宋" w:eastAsia="仿宋" w:cs="仿宋"/>
          <w:color w:val="000000" w:themeColor="text1"/>
          <w:spacing w:val="-4"/>
          <w:sz w:val="24"/>
          <w:szCs w:val="24"/>
          <w:highlight w:val="none"/>
          <w14:textFill>
            <w14:solidFill>
              <w14:schemeClr w14:val="tx1"/>
            </w14:solidFill>
          </w14:textFill>
        </w:rPr>
        <w:t>4.</w:t>
      </w:r>
      <w:r>
        <w:rPr>
          <w:rFonts w:hint="eastAsia" w:ascii="仿宋" w:hAnsi="仿宋" w:eastAsia="仿宋" w:cs="仿宋"/>
          <w:color w:val="000000" w:themeColor="text1"/>
          <w:spacing w:val="1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监理人</w:t>
      </w:r>
      <w:bookmarkEnd w:id="92"/>
    </w:p>
    <w:p w14:paraId="72DE45F7">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4.1</w:t>
      </w:r>
      <w:r>
        <w:rPr>
          <w:rFonts w:hint="eastAsia" w:ascii="仿宋" w:hAnsi="仿宋" w:eastAsia="仿宋" w:cs="仿宋"/>
          <w:color w:val="000000" w:themeColor="text1"/>
          <w:spacing w:val="-5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监理人的一般规定</w:t>
      </w:r>
    </w:p>
    <w:p w14:paraId="6560AC35">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工程实行监理的，发包人和承包人应在专用合同条款中明确监理人的监理内容及监理权限等事项。监理人</w:t>
      </w:r>
      <w:r>
        <w:rPr>
          <w:rFonts w:hint="eastAsia" w:ascii="仿宋" w:hAnsi="仿宋" w:eastAsia="仿宋" w:cs="仿宋"/>
          <w:color w:val="000000" w:themeColor="text1"/>
          <w:spacing w:val="-1"/>
          <w:sz w:val="24"/>
          <w:szCs w:val="24"/>
          <w:highlight w:val="none"/>
          <w14:textFill>
            <w14:solidFill>
              <w14:schemeClr w14:val="tx1"/>
            </w14:solidFill>
          </w14:textFill>
        </w:rPr>
        <w:t>应当</w:t>
      </w:r>
      <w:r>
        <w:rPr>
          <w:rFonts w:hint="eastAsia" w:ascii="仿宋" w:hAnsi="仿宋" w:eastAsia="仿宋" w:cs="仿宋"/>
          <w:color w:val="000000" w:themeColor="text1"/>
          <w:spacing w:val="-2"/>
          <w:sz w:val="24"/>
          <w:szCs w:val="24"/>
          <w:highlight w:val="none"/>
          <w14:textFill>
            <w14:solidFill>
              <w14:schemeClr w14:val="tx1"/>
            </w14:solidFill>
          </w14:textFill>
        </w:rPr>
        <w:t>根据发包人授权及法律规定，代表发包人对工程施工相关事项进行检查、查验、审核、验收，并签发相关指示，但监理人无权修改合同，且无权减轻或免除合同约定的承包人的任何责任与义务。</w:t>
      </w:r>
    </w:p>
    <w:p w14:paraId="4166A15B">
      <w:pPr>
        <w:keepNext w:val="0"/>
        <w:keepLines w:val="0"/>
        <w:pageBreakBefore w:val="0"/>
        <w:widowControl w:val="0"/>
        <w:kinsoku/>
        <w:wordWrap/>
        <w:overflowPunct/>
        <w:topLinePunct w:val="0"/>
        <w:autoSpaceDE/>
        <w:autoSpaceDN/>
        <w:bidi w:val="0"/>
        <w:snapToGrid/>
        <w:spacing w:line="360" w:lineRule="auto"/>
        <w:ind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除专用合同条款另有约定外，监理人在施工现场的办公场所、生活场所由承</w:t>
      </w:r>
      <w:r>
        <w:rPr>
          <w:rFonts w:hint="eastAsia" w:ascii="仿宋" w:hAnsi="仿宋" w:eastAsia="仿宋" w:cs="仿宋"/>
          <w:color w:val="000000" w:themeColor="text1"/>
          <w:spacing w:val="-2"/>
          <w:sz w:val="24"/>
          <w:szCs w:val="24"/>
          <w:highlight w:val="none"/>
          <w14:textFill>
            <w14:solidFill>
              <w14:schemeClr w14:val="tx1"/>
            </w14:solidFill>
          </w14:textFill>
        </w:rPr>
        <w:t>包人提供，所发生的费用由发包人承担。</w:t>
      </w:r>
    </w:p>
    <w:p w14:paraId="510D5F8C">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4.2</w:t>
      </w:r>
      <w:r>
        <w:rPr>
          <w:rFonts w:hint="eastAsia" w:ascii="仿宋" w:hAnsi="仿宋" w:eastAsia="仿宋" w:cs="仿宋"/>
          <w:color w:val="000000" w:themeColor="text1"/>
          <w:spacing w:val="-5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监理人员</w:t>
      </w:r>
    </w:p>
    <w:p w14:paraId="71ABB99C">
      <w:pPr>
        <w:keepNext w:val="0"/>
        <w:keepLines w:val="0"/>
        <w:pageBreakBefore w:val="0"/>
        <w:widowControl w:val="0"/>
        <w:kinsoku/>
        <w:wordWrap/>
        <w:overflowPunct/>
        <w:topLinePunct w:val="0"/>
        <w:autoSpaceDE/>
        <w:autoSpaceDN/>
        <w:bidi w:val="0"/>
        <w:snapToGrid/>
        <w:spacing w:line="360" w:lineRule="auto"/>
        <w:ind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发包人授予监理人对工程实施监理的权利由监理人派驻施工现场的监理人</w:t>
      </w:r>
      <w:r>
        <w:rPr>
          <w:rFonts w:hint="eastAsia" w:ascii="仿宋" w:hAnsi="仿宋" w:eastAsia="仿宋" w:cs="仿宋"/>
          <w:color w:val="000000" w:themeColor="text1"/>
          <w:spacing w:val="-2"/>
          <w:sz w:val="24"/>
          <w:szCs w:val="24"/>
          <w:highlight w:val="none"/>
          <w14:textFill>
            <w14:solidFill>
              <w14:schemeClr w14:val="tx1"/>
            </w14:solidFill>
          </w14:textFill>
        </w:rPr>
        <w:t>员行使，监理人员包括总监理工程师及监理工程师。监理人应将授权的总监理工程师和监理工程师的姓名及授权范围以书面形式提前通知承包人。更换总监理工</w:t>
      </w:r>
      <w:r>
        <w:rPr>
          <w:rFonts w:hint="eastAsia" w:ascii="仿宋" w:hAnsi="仿宋" w:eastAsia="仿宋" w:cs="仿宋"/>
          <w:color w:val="000000" w:themeColor="text1"/>
          <w:sz w:val="24"/>
          <w:szCs w:val="24"/>
          <w:highlight w:val="none"/>
          <w14:textFill>
            <w14:solidFill>
              <w14:schemeClr w14:val="tx1"/>
            </w14:solidFill>
          </w14:textFill>
        </w:rPr>
        <w:t>程师的，监理人应提前7天书面通知承包人；更换其他</w:t>
      </w:r>
      <w:r>
        <w:rPr>
          <w:rFonts w:hint="eastAsia" w:ascii="仿宋" w:hAnsi="仿宋" w:eastAsia="仿宋" w:cs="仿宋"/>
          <w:color w:val="000000" w:themeColor="text1"/>
          <w:spacing w:val="-1"/>
          <w:sz w:val="24"/>
          <w:szCs w:val="24"/>
          <w:highlight w:val="none"/>
          <w14:textFill>
            <w14:solidFill>
              <w14:schemeClr w14:val="tx1"/>
            </w14:solidFill>
          </w14:textFill>
        </w:rPr>
        <w:t>监理人员，监理人应提前</w:t>
      </w:r>
      <w:r>
        <w:rPr>
          <w:rFonts w:hint="eastAsia" w:ascii="仿宋" w:hAnsi="仿宋" w:eastAsia="仿宋" w:cs="仿宋"/>
          <w:color w:val="000000" w:themeColor="text1"/>
          <w:spacing w:val="-3"/>
          <w:sz w:val="24"/>
          <w:szCs w:val="24"/>
          <w:highlight w:val="none"/>
          <w14:textFill>
            <w14:solidFill>
              <w14:schemeClr w14:val="tx1"/>
            </w14:solidFill>
          </w14:textFill>
        </w:rPr>
        <w:t>48小时书面通知承包人。</w:t>
      </w:r>
    </w:p>
    <w:p w14:paraId="2C6BB249">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4.3</w:t>
      </w:r>
      <w:r>
        <w:rPr>
          <w:rFonts w:hint="eastAsia" w:ascii="仿宋" w:hAnsi="仿宋" w:eastAsia="仿宋" w:cs="仿宋"/>
          <w:color w:val="000000" w:themeColor="text1"/>
          <w:spacing w:val="-5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监理人的指示</w:t>
      </w:r>
    </w:p>
    <w:p w14:paraId="1FDA365B">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w:t>
      </w:r>
      <w:r>
        <w:rPr>
          <w:rFonts w:hint="eastAsia" w:ascii="仿宋" w:hAnsi="仿宋" w:eastAsia="仿宋" w:cs="仿宋"/>
          <w:color w:val="000000" w:themeColor="text1"/>
          <w:spacing w:val="-4"/>
          <w:sz w:val="24"/>
          <w:szCs w:val="24"/>
          <w:highlight w:val="none"/>
          <w14:textFill>
            <w14:solidFill>
              <w14:schemeClr w14:val="tx1"/>
            </w14:solidFill>
          </w14:textFill>
        </w:rPr>
        <w:t>示应与口头指示一致。</w:t>
      </w:r>
    </w:p>
    <w:p w14:paraId="415A18DF">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249B1E59">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承包人对监理人发出的指示有疑问的，应向监理人提出书面异议，监</w:t>
      </w:r>
      <w:r>
        <w:rPr>
          <w:rFonts w:hint="eastAsia" w:ascii="仿宋" w:hAnsi="仿宋" w:eastAsia="仿宋" w:cs="仿宋"/>
          <w:color w:val="000000" w:themeColor="text1"/>
          <w:spacing w:val="-3"/>
          <w:sz w:val="24"/>
          <w:szCs w:val="24"/>
          <w:highlight w:val="none"/>
          <w14:textFill>
            <w14:solidFill>
              <w14:schemeClr w14:val="tx1"/>
            </w14:solidFill>
          </w14:textFill>
        </w:rPr>
        <w:t>理人应</w:t>
      </w:r>
      <w:r>
        <w:rPr>
          <w:rFonts w:hint="eastAsia" w:ascii="仿宋" w:hAnsi="仿宋" w:eastAsia="仿宋" w:cs="仿宋"/>
          <w:color w:val="000000" w:themeColor="text1"/>
          <w:spacing w:val="-2"/>
          <w:sz w:val="24"/>
          <w:szCs w:val="24"/>
          <w:highlight w:val="none"/>
          <w14:textFill>
            <w14:solidFill>
              <w14:schemeClr w14:val="tx1"/>
            </w14:solidFill>
          </w14:textFill>
        </w:rPr>
        <w:t>在48小时内对该指示予以确认、更改或撤销，监理人逾期未回复的，承包人有权</w:t>
      </w:r>
      <w:r>
        <w:rPr>
          <w:rFonts w:hint="eastAsia" w:ascii="仿宋" w:hAnsi="仿宋" w:eastAsia="仿宋" w:cs="仿宋"/>
          <w:color w:val="000000" w:themeColor="text1"/>
          <w:spacing w:val="-1"/>
          <w:sz w:val="24"/>
          <w:szCs w:val="24"/>
          <w:highlight w:val="none"/>
          <w14:textFill>
            <w14:solidFill>
              <w14:schemeClr w14:val="tx1"/>
            </w14:solidFill>
          </w14:textFill>
        </w:rPr>
        <w:t>拒绝执行上述指示。</w:t>
      </w:r>
    </w:p>
    <w:p w14:paraId="04579698">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监理人对承包人的任何工作、工程或其采用的材料和工程设备未在</w:t>
      </w:r>
      <w:r>
        <w:rPr>
          <w:rFonts w:hint="eastAsia" w:ascii="仿宋" w:hAnsi="仿宋" w:eastAsia="仿宋" w:cs="仿宋"/>
          <w:color w:val="000000" w:themeColor="text1"/>
          <w:spacing w:val="-3"/>
          <w:sz w:val="24"/>
          <w:szCs w:val="24"/>
          <w:highlight w:val="none"/>
          <w14:textFill>
            <w14:solidFill>
              <w14:schemeClr w14:val="tx1"/>
            </w14:solidFill>
          </w14:textFill>
        </w:rPr>
        <w:t>约定的或</w:t>
      </w:r>
      <w:r>
        <w:rPr>
          <w:rFonts w:hint="eastAsia" w:ascii="仿宋" w:hAnsi="仿宋" w:eastAsia="仿宋" w:cs="仿宋"/>
          <w:color w:val="000000" w:themeColor="text1"/>
          <w:spacing w:val="-2"/>
          <w:sz w:val="24"/>
          <w:szCs w:val="24"/>
          <w:highlight w:val="none"/>
          <w14:textFill>
            <w14:solidFill>
              <w14:schemeClr w14:val="tx1"/>
            </w14:solidFill>
          </w14:textFill>
        </w:rPr>
        <w:t>合理期限内提出意见的，视为批准，但不免除或减轻承包人对该工作、工程、材</w:t>
      </w:r>
      <w:r>
        <w:rPr>
          <w:rFonts w:hint="eastAsia" w:ascii="仿宋" w:hAnsi="仿宋" w:eastAsia="仿宋" w:cs="仿宋"/>
          <w:color w:val="000000" w:themeColor="text1"/>
          <w:spacing w:val="-1"/>
          <w:sz w:val="24"/>
          <w:szCs w:val="24"/>
          <w:highlight w:val="none"/>
          <w14:textFill>
            <w14:solidFill>
              <w14:schemeClr w14:val="tx1"/>
            </w14:solidFill>
          </w14:textFill>
        </w:rPr>
        <w:t>料、工程设备等应承担的责任和义务。</w:t>
      </w:r>
    </w:p>
    <w:p w14:paraId="0D354904">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4.4</w:t>
      </w:r>
      <w:r>
        <w:rPr>
          <w:rFonts w:hint="eastAsia" w:ascii="仿宋" w:hAnsi="仿宋" w:eastAsia="仿宋" w:cs="仿宋"/>
          <w:color w:val="000000" w:themeColor="text1"/>
          <w:spacing w:val="1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商定或确定</w:t>
      </w:r>
    </w:p>
    <w:p w14:paraId="70CB0F5F">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合同当事人进行商定或确定时，总监理工程师应当会同合同当事人</w:t>
      </w:r>
      <w:r>
        <w:rPr>
          <w:rFonts w:hint="eastAsia" w:ascii="仿宋" w:hAnsi="仿宋" w:eastAsia="仿宋" w:cs="仿宋"/>
          <w:color w:val="000000" w:themeColor="text1"/>
          <w:spacing w:val="-3"/>
          <w:sz w:val="24"/>
          <w:szCs w:val="24"/>
          <w:highlight w:val="none"/>
          <w14:textFill>
            <w14:solidFill>
              <w14:schemeClr w14:val="tx1"/>
            </w14:solidFill>
          </w14:textFill>
        </w:rPr>
        <w:t>尽量通过</w:t>
      </w:r>
      <w:r>
        <w:rPr>
          <w:rFonts w:hint="eastAsia" w:ascii="仿宋" w:hAnsi="仿宋" w:eastAsia="仿宋" w:cs="仿宋"/>
          <w:color w:val="000000" w:themeColor="text1"/>
          <w:spacing w:val="-2"/>
          <w:sz w:val="24"/>
          <w:szCs w:val="24"/>
          <w:highlight w:val="none"/>
          <w14:textFill>
            <w14:solidFill>
              <w14:schemeClr w14:val="tx1"/>
            </w14:solidFill>
          </w14:textFill>
        </w:rPr>
        <w:t>协商达成一致，不能达成一致的，由总监理工程师按照合同约定审慎做出公正的</w:t>
      </w:r>
      <w:r>
        <w:rPr>
          <w:rFonts w:hint="eastAsia" w:ascii="仿宋" w:hAnsi="仿宋" w:eastAsia="仿宋" w:cs="仿宋"/>
          <w:color w:val="000000" w:themeColor="text1"/>
          <w:spacing w:val="-12"/>
          <w:sz w:val="24"/>
          <w:szCs w:val="24"/>
          <w:highlight w:val="none"/>
          <w14:textFill>
            <w14:solidFill>
              <w14:schemeClr w14:val="tx1"/>
            </w14:solidFill>
          </w14:textFill>
        </w:rPr>
        <w:t>确定。</w:t>
      </w:r>
    </w:p>
    <w:p w14:paraId="3D756EF9">
      <w:pPr>
        <w:keepNext w:val="0"/>
        <w:keepLines w:val="0"/>
        <w:pageBreakBefore w:val="0"/>
        <w:widowControl w:val="0"/>
        <w:kinsoku/>
        <w:wordWrap/>
        <w:overflowPunct/>
        <w:topLinePunct w:val="0"/>
        <w:autoSpaceDE/>
        <w:autoSpaceDN/>
        <w:bidi w:val="0"/>
        <w:snapToGrid/>
        <w:spacing w:line="360" w:lineRule="auto"/>
        <w:ind w:left="0" w:leftChars="0" w:right="0" w:rightChars="0" w:firstLine="56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总监理工程师应将确定以书面形式通知发包人和承</w:t>
      </w:r>
      <w:r>
        <w:rPr>
          <w:rFonts w:hint="eastAsia" w:ascii="仿宋" w:hAnsi="仿宋" w:eastAsia="仿宋" w:cs="仿宋"/>
          <w:color w:val="000000" w:themeColor="text1"/>
          <w:spacing w:val="-3"/>
          <w:sz w:val="24"/>
          <w:szCs w:val="24"/>
          <w:highlight w:val="none"/>
          <w14:textFill>
            <w14:solidFill>
              <w14:schemeClr w14:val="tx1"/>
            </w14:solidFill>
          </w14:textFill>
        </w:rPr>
        <w:t>包人，并附详细依据。合</w:t>
      </w:r>
      <w:r>
        <w:rPr>
          <w:rFonts w:hint="eastAsia" w:ascii="仿宋" w:hAnsi="仿宋" w:eastAsia="仿宋" w:cs="仿宋"/>
          <w:color w:val="000000" w:themeColor="text1"/>
          <w:spacing w:val="-2"/>
          <w:sz w:val="24"/>
          <w:szCs w:val="24"/>
          <w:highlight w:val="none"/>
          <w14:textFill>
            <w14:solidFill>
              <w14:schemeClr w14:val="tx1"/>
            </w14:solidFill>
          </w14:textFill>
        </w:rPr>
        <w:t>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w:t>
      </w:r>
      <w:bookmarkStart w:id="93" w:name="bookmark119"/>
      <w:bookmarkEnd w:id="93"/>
      <w:r>
        <w:rPr>
          <w:rFonts w:hint="eastAsia" w:ascii="仿宋" w:hAnsi="仿宋" w:eastAsia="仿宋" w:cs="仿宋"/>
          <w:color w:val="000000" w:themeColor="text1"/>
          <w:spacing w:val="-13"/>
          <w:sz w:val="24"/>
          <w:szCs w:val="24"/>
          <w:highlight w:val="none"/>
          <w14:textFill>
            <w14:solidFill>
              <w14:schemeClr w14:val="tx1"/>
            </w14:solidFill>
          </w14:textFill>
        </w:rPr>
        <w:t>担。</w:t>
      </w:r>
    </w:p>
    <w:p w14:paraId="02279C96">
      <w:pPr>
        <w:keepNext w:val="0"/>
        <w:keepLines w:val="0"/>
        <w:pageBreakBefore w:val="0"/>
        <w:widowControl w:val="0"/>
        <w:kinsoku/>
        <w:wordWrap/>
        <w:overflowPunct/>
        <w:topLinePunct w:val="0"/>
        <w:autoSpaceDE/>
        <w:autoSpaceDN/>
        <w:bidi w:val="0"/>
        <w:snapToGrid/>
        <w:spacing w:line="360" w:lineRule="auto"/>
        <w:ind w:left="0" w:leftChars="0" w:right="0" w:rightChars="0"/>
        <w:outlineLvl w:val="2"/>
        <w:rPr>
          <w:rFonts w:hint="eastAsia" w:ascii="仿宋" w:hAnsi="仿宋" w:eastAsia="仿宋" w:cs="仿宋"/>
          <w:color w:val="000000" w:themeColor="text1"/>
          <w:sz w:val="24"/>
          <w:szCs w:val="24"/>
          <w:highlight w:val="none"/>
          <w14:textFill>
            <w14:solidFill>
              <w14:schemeClr w14:val="tx1"/>
            </w14:solidFill>
          </w14:textFill>
        </w:rPr>
      </w:pPr>
      <w:bookmarkStart w:id="94" w:name="bookmark211"/>
      <w:bookmarkEnd w:id="94"/>
      <w:bookmarkStart w:id="95" w:name="_Toc32166"/>
      <w:r>
        <w:rPr>
          <w:rFonts w:hint="eastAsia" w:ascii="仿宋" w:hAnsi="仿宋" w:eastAsia="仿宋" w:cs="仿宋"/>
          <w:color w:val="000000" w:themeColor="text1"/>
          <w:spacing w:val="-5"/>
          <w:sz w:val="24"/>
          <w:szCs w:val="24"/>
          <w:highlight w:val="none"/>
          <w14:textFill>
            <w14:solidFill>
              <w14:schemeClr w14:val="tx1"/>
            </w14:solidFill>
          </w14:textFill>
        </w:rPr>
        <w:t>5.</w:t>
      </w:r>
      <w:r>
        <w:rPr>
          <w:rFonts w:hint="eastAsia" w:ascii="仿宋" w:hAnsi="仿宋" w:eastAsia="仿宋" w:cs="仿宋"/>
          <w:color w:val="000000" w:themeColor="text1"/>
          <w:spacing w:val="1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工程质量</w:t>
      </w:r>
      <w:bookmarkEnd w:id="95"/>
    </w:p>
    <w:p w14:paraId="1372801F">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5.1</w:t>
      </w:r>
      <w:r>
        <w:rPr>
          <w:rFonts w:hint="eastAsia" w:ascii="仿宋" w:hAnsi="仿宋" w:eastAsia="仿宋" w:cs="仿宋"/>
          <w:color w:val="000000" w:themeColor="text1"/>
          <w:spacing w:val="-5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质量要求</w:t>
      </w:r>
    </w:p>
    <w:p w14:paraId="6F44F804">
      <w:pPr>
        <w:keepNext w:val="0"/>
        <w:keepLines w:val="0"/>
        <w:pageBreakBefore w:val="0"/>
        <w:widowControl w:val="0"/>
        <w:kinsoku/>
        <w:wordWrap/>
        <w:overflowPunct/>
        <w:topLinePunct w:val="0"/>
        <w:autoSpaceDE/>
        <w:autoSpaceDN/>
        <w:bidi w:val="0"/>
        <w:snapToGrid/>
        <w:spacing w:line="360" w:lineRule="auto"/>
        <w:ind w:left="0" w:leftChars="0" w:right="0" w:rightChars="0" w:firstLine="56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5.</w:t>
      </w:r>
      <w:r>
        <w:rPr>
          <w:rFonts w:hint="eastAsia" w:ascii="仿宋" w:hAnsi="仿宋" w:eastAsia="仿宋" w:cs="仿宋"/>
          <w:color w:val="000000" w:themeColor="text1"/>
          <w:spacing w:val="-2"/>
          <w:sz w:val="24"/>
          <w:szCs w:val="24"/>
          <w:highlight w:val="none"/>
          <w14:textFill>
            <w14:solidFill>
              <w14:schemeClr w14:val="tx1"/>
            </w14:solidFill>
          </w14:textFill>
        </w:rPr>
        <w:t>1.1 工程质量标准必须符合</w:t>
      </w:r>
      <w:r>
        <w:rPr>
          <w:rFonts w:hint="eastAsia" w:ascii="仿宋" w:hAnsi="仿宋" w:eastAsia="仿宋" w:cs="仿宋"/>
          <w:color w:val="000000" w:themeColor="text1"/>
          <w:spacing w:val="-3"/>
          <w:sz w:val="24"/>
          <w:szCs w:val="24"/>
          <w:highlight w:val="none"/>
          <w14:textFill>
            <w14:solidFill>
              <w14:schemeClr w14:val="tx1"/>
            </w14:solidFill>
          </w14:textFill>
        </w:rPr>
        <w:t>现行</w:t>
      </w:r>
      <w:r>
        <w:rPr>
          <w:rFonts w:hint="eastAsia" w:ascii="仿宋" w:hAnsi="仿宋" w:eastAsia="仿宋" w:cs="仿宋"/>
          <w:color w:val="000000" w:themeColor="text1"/>
          <w:spacing w:val="-2"/>
          <w:sz w:val="24"/>
          <w:szCs w:val="24"/>
          <w:highlight w:val="none"/>
          <w14:textFill>
            <w14:solidFill>
              <w14:schemeClr w14:val="tx1"/>
            </w14:solidFill>
          </w14:textFill>
        </w:rPr>
        <w:t>国家有关工程施工质量验收规范和标准的要求。有关工程质量的特殊标准或要求由合同当事人在专用合同条款中约定。</w:t>
      </w:r>
    </w:p>
    <w:p w14:paraId="0F34997F">
      <w:pPr>
        <w:keepNext w:val="0"/>
        <w:keepLines w:val="0"/>
        <w:pageBreakBefore w:val="0"/>
        <w:widowControl w:val="0"/>
        <w:kinsoku/>
        <w:wordWrap/>
        <w:overflowPunct/>
        <w:topLinePunct w:val="0"/>
        <w:autoSpaceDE/>
        <w:autoSpaceDN/>
        <w:bidi w:val="0"/>
        <w:snapToGrid/>
        <w:spacing w:line="360" w:lineRule="auto"/>
        <w:ind w:left="0" w:leftChars="0" w:right="0" w:rightChars="0" w:firstLine="56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5.1.2</w:t>
      </w:r>
      <w:r>
        <w:rPr>
          <w:rFonts w:hint="eastAsia" w:ascii="仿宋" w:hAnsi="仿宋" w:eastAsia="仿宋" w:cs="仿宋"/>
          <w:color w:val="000000" w:themeColor="text1"/>
          <w:spacing w:val="3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因发包人原因造成工程质量未达到合同约定标准的，由发包</w:t>
      </w:r>
      <w:r>
        <w:rPr>
          <w:rFonts w:hint="eastAsia" w:ascii="仿宋" w:hAnsi="仿宋" w:eastAsia="仿宋" w:cs="仿宋"/>
          <w:color w:val="000000" w:themeColor="text1"/>
          <w:spacing w:val="-4"/>
          <w:sz w:val="24"/>
          <w:szCs w:val="24"/>
          <w:highlight w:val="none"/>
          <w14:textFill>
            <w14:solidFill>
              <w14:schemeClr w14:val="tx1"/>
            </w14:solidFill>
          </w14:textFill>
        </w:rPr>
        <w:t>人承担由</w:t>
      </w:r>
      <w:r>
        <w:rPr>
          <w:rFonts w:hint="eastAsia" w:ascii="仿宋" w:hAnsi="仿宋" w:eastAsia="仿宋" w:cs="仿宋"/>
          <w:color w:val="000000" w:themeColor="text1"/>
          <w:spacing w:val="-2"/>
          <w:sz w:val="24"/>
          <w:szCs w:val="24"/>
          <w:highlight w:val="none"/>
          <w14:textFill>
            <w14:solidFill>
              <w14:schemeClr w14:val="tx1"/>
            </w14:solidFill>
          </w14:textFill>
        </w:rPr>
        <w:t>此增加的费用和（或）延误的工期，并支付承包人合理的利润。</w:t>
      </w:r>
    </w:p>
    <w:p w14:paraId="60BD5D20">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5.1.3</w:t>
      </w:r>
      <w:r>
        <w:rPr>
          <w:rFonts w:hint="eastAsia" w:ascii="仿宋" w:hAnsi="仿宋" w:eastAsia="仿宋" w:cs="仿宋"/>
          <w:color w:val="000000" w:themeColor="text1"/>
          <w:spacing w:val="3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因承包人原因造成工程质量未达到合同约定标准的，发包人</w:t>
      </w:r>
      <w:r>
        <w:rPr>
          <w:rFonts w:hint="eastAsia" w:ascii="仿宋" w:hAnsi="仿宋" w:eastAsia="仿宋" w:cs="仿宋"/>
          <w:color w:val="000000" w:themeColor="text1"/>
          <w:spacing w:val="-4"/>
          <w:sz w:val="24"/>
          <w:szCs w:val="24"/>
          <w:highlight w:val="none"/>
          <w14:textFill>
            <w14:solidFill>
              <w14:schemeClr w14:val="tx1"/>
            </w14:solidFill>
          </w14:textFill>
        </w:rPr>
        <w:t>有权要求</w:t>
      </w:r>
      <w:r>
        <w:rPr>
          <w:rFonts w:hint="eastAsia" w:ascii="仿宋" w:hAnsi="仿宋" w:eastAsia="仿宋" w:cs="仿宋"/>
          <w:color w:val="000000" w:themeColor="text1"/>
          <w:spacing w:val="-2"/>
          <w:sz w:val="24"/>
          <w:szCs w:val="24"/>
          <w:highlight w:val="none"/>
          <w14:textFill>
            <w14:solidFill>
              <w14:schemeClr w14:val="tx1"/>
            </w14:solidFill>
          </w14:textFill>
        </w:rPr>
        <w:t>承包人返工直至工程质量达到合同约定的标准为止，并由承包人承担由此增加的</w:t>
      </w:r>
      <w:r>
        <w:rPr>
          <w:rFonts w:hint="eastAsia" w:ascii="仿宋" w:hAnsi="仿宋" w:eastAsia="仿宋" w:cs="仿宋"/>
          <w:color w:val="000000" w:themeColor="text1"/>
          <w:spacing w:val="-4"/>
          <w:sz w:val="24"/>
          <w:szCs w:val="24"/>
          <w:highlight w:val="none"/>
          <w14:textFill>
            <w14:solidFill>
              <w14:schemeClr w14:val="tx1"/>
            </w14:solidFill>
          </w14:textFill>
        </w:rPr>
        <w:t>费用和（或）延误的工期。</w:t>
      </w:r>
    </w:p>
    <w:p w14:paraId="192F686A">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5.2</w:t>
      </w:r>
      <w:r>
        <w:rPr>
          <w:rFonts w:hint="eastAsia" w:ascii="仿宋" w:hAnsi="仿宋" w:eastAsia="仿宋" w:cs="仿宋"/>
          <w:color w:val="000000" w:themeColor="text1"/>
          <w:spacing w:val="-5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质量保证措施</w:t>
      </w:r>
    </w:p>
    <w:p w14:paraId="12486AF6">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5.2.1 发包人的质量管理</w:t>
      </w:r>
      <w:r>
        <w:rPr>
          <w:rFonts w:hint="eastAsia" w:ascii="仿宋" w:hAnsi="仿宋" w:eastAsia="仿宋" w:cs="仿宋"/>
          <w:color w:val="000000" w:themeColor="text1"/>
          <w:spacing w:val="-1"/>
          <w:sz w:val="24"/>
          <w:szCs w:val="24"/>
          <w:highlight w:val="none"/>
          <w14:textFill>
            <w14:solidFill>
              <w14:schemeClr w14:val="tx1"/>
            </w14:solidFill>
          </w14:textFill>
        </w:rPr>
        <w:t>发包人应按照法律规定及合同约定完成与工程质量</w:t>
      </w:r>
      <w:r>
        <w:rPr>
          <w:rFonts w:hint="eastAsia" w:ascii="仿宋" w:hAnsi="仿宋" w:eastAsia="仿宋" w:cs="仿宋"/>
          <w:color w:val="000000" w:themeColor="text1"/>
          <w:spacing w:val="-2"/>
          <w:sz w:val="24"/>
          <w:szCs w:val="24"/>
          <w:highlight w:val="none"/>
          <w14:textFill>
            <w14:solidFill>
              <w14:schemeClr w14:val="tx1"/>
            </w14:solidFill>
          </w14:textFill>
        </w:rPr>
        <w:t>有关的各项工作。</w:t>
      </w:r>
    </w:p>
    <w:p w14:paraId="2919BC9B">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5.2.2 承包人的质量管理</w:t>
      </w:r>
    </w:p>
    <w:p w14:paraId="1C18AED8">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承包人按照第7.1款〔施工组织设计〕约定向</w:t>
      </w:r>
      <w:r>
        <w:rPr>
          <w:rFonts w:hint="eastAsia" w:ascii="仿宋" w:hAnsi="仿宋" w:eastAsia="仿宋" w:cs="仿宋"/>
          <w:color w:val="000000" w:themeColor="text1"/>
          <w:spacing w:val="-1"/>
          <w:sz w:val="24"/>
          <w:szCs w:val="24"/>
          <w:highlight w:val="none"/>
          <w14:textFill>
            <w14:solidFill>
              <w14:schemeClr w14:val="tx1"/>
            </w14:solidFill>
          </w14:textFill>
        </w:rPr>
        <w:t>发包人和监理人提交工程质量</w:t>
      </w:r>
      <w:r>
        <w:rPr>
          <w:rFonts w:hint="eastAsia" w:ascii="仿宋" w:hAnsi="仿宋" w:eastAsia="仿宋" w:cs="仿宋"/>
          <w:color w:val="000000" w:themeColor="text1"/>
          <w:spacing w:val="-2"/>
          <w:sz w:val="24"/>
          <w:szCs w:val="24"/>
          <w:highlight w:val="none"/>
          <w14:textFill>
            <w14:solidFill>
              <w14:schemeClr w14:val="tx1"/>
            </w14:solidFill>
          </w14:textFill>
        </w:rPr>
        <w:t>保证体系及措施文件，建立完善的质量检查制度，并提交相应的工程质量文件。</w:t>
      </w:r>
      <w:r>
        <w:rPr>
          <w:rFonts w:hint="eastAsia" w:ascii="仿宋" w:hAnsi="仿宋" w:eastAsia="仿宋" w:cs="仿宋"/>
          <w:color w:val="000000" w:themeColor="text1"/>
          <w:sz w:val="24"/>
          <w:szCs w:val="24"/>
          <w:highlight w:val="none"/>
          <w14:textFill>
            <w14:solidFill>
              <w14:schemeClr w14:val="tx1"/>
            </w14:solidFill>
          </w14:textFill>
        </w:rPr>
        <w:t>对于发包人和监理人违反法律规定和合同约定</w:t>
      </w:r>
      <w:r>
        <w:rPr>
          <w:rFonts w:hint="eastAsia" w:ascii="仿宋" w:hAnsi="仿宋" w:eastAsia="仿宋" w:cs="仿宋"/>
          <w:color w:val="000000" w:themeColor="text1"/>
          <w:spacing w:val="-1"/>
          <w:sz w:val="24"/>
          <w:szCs w:val="24"/>
          <w:highlight w:val="none"/>
          <w14:textFill>
            <w14:solidFill>
              <w14:schemeClr w14:val="tx1"/>
            </w14:solidFill>
          </w14:textFill>
        </w:rPr>
        <w:t>的错误指示，承包人有权拒绝实</w:t>
      </w:r>
      <w:r>
        <w:rPr>
          <w:rFonts w:hint="eastAsia" w:ascii="仿宋" w:hAnsi="仿宋" w:eastAsia="仿宋" w:cs="仿宋"/>
          <w:color w:val="000000" w:themeColor="text1"/>
          <w:spacing w:val="-13"/>
          <w:sz w:val="24"/>
          <w:szCs w:val="24"/>
          <w:highlight w:val="none"/>
          <w14:textFill>
            <w14:solidFill>
              <w14:schemeClr w14:val="tx1"/>
            </w14:solidFill>
          </w14:textFill>
        </w:rPr>
        <w:t>施。</w:t>
      </w:r>
    </w:p>
    <w:p w14:paraId="4AC05127">
      <w:pPr>
        <w:keepNext w:val="0"/>
        <w:keepLines w:val="0"/>
        <w:pageBreakBefore w:val="0"/>
        <w:widowControl w:val="0"/>
        <w:kinsoku/>
        <w:wordWrap/>
        <w:overflowPunct/>
        <w:topLinePunct w:val="0"/>
        <w:autoSpaceDE/>
        <w:autoSpaceDN/>
        <w:bidi w:val="0"/>
        <w:snapToGrid/>
        <w:spacing w:line="360" w:lineRule="auto"/>
        <w:ind w:left="0" w:leftChars="0" w:right="0" w:rightChars="0" w:firstLine="54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承包人应对施工人员进行质量教育和技术培训，定期考核施工人员的</w:t>
      </w:r>
      <w:r>
        <w:rPr>
          <w:rFonts w:hint="eastAsia" w:ascii="仿宋" w:hAnsi="仿宋" w:eastAsia="仿宋" w:cs="仿宋"/>
          <w:color w:val="000000" w:themeColor="text1"/>
          <w:spacing w:val="-3"/>
          <w:sz w:val="24"/>
          <w:szCs w:val="24"/>
          <w:highlight w:val="none"/>
          <w14:textFill>
            <w14:solidFill>
              <w14:schemeClr w14:val="tx1"/>
            </w14:solidFill>
          </w14:textFill>
        </w:rPr>
        <w:t>劳动技</w:t>
      </w:r>
      <w:r>
        <w:rPr>
          <w:rFonts w:hint="eastAsia" w:ascii="仿宋" w:hAnsi="仿宋" w:eastAsia="仿宋" w:cs="仿宋"/>
          <w:color w:val="000000" w:themeColor="text1"/>
          <w:spacing w:val="-2"/>
          <w:sz w:val="24"/>
          <w:szCs w:val="24"/>
          <w:highlight w:val="none"/>
          <w14:textFill>
            <w14:solidFill>
              <w14:schemeClr w14:val="tx1"/>
            </w14:solidFill>
          </w14:textFill>
        </w:rPr>
        <w:t>能，严格执行施工规范和操作规程。</w:t>
      </w:r>
    </w:p>
    <w:p w14:paraId="61549572">
      <w:pPr>
        <w:keepNext w:val="0"/>
        <w:keepLines w:val="0"/>
        <w:pageBreakBefore w:val="0"/>
        <w:widowControl w:val="0"/>
        <w:kinsoku/>
        <w:wordWrap/>
        <w:overflowPunct/>
        <w:topLinePunct w:val="0"/>
        <w:autoSpaceDE/>
        <w:autoSpaceDN/>
        <w:bidi w:val="0"/>
        <w:snapToGrid/>
        <w:spacing w:line="360" w:lineRule="auto"/>
        <w:ind w:left="0" w:leftChars="0" w:right="0" w:rightChars="0" w:firstLine="56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承包人应按照法律规定和发包人的要求，对材料、工程设备以及工程</w:t>
      </w:r>
      <w:r>
        <w:rPr>
          <w:rFonts w:hint="eastAsia" w:ascii="仿宋" w:hAnsi="仿宋" w:eastAsia="仿宋" w:cs="仿宋"/>
          <w:color w:val="000000" w:themeColor="text1"/>
          <w:spacing w:val="-3"/>
          <w:sz w:val="24"/>
          <w:szCs w:val="24"/>
          <w:highlight w:val="none"/>
          <w14:textFill>
            <w14:solidFill>
              <w14:schemeClr w14:val="tx1"/>
            </w14:solidFill>
          </w14:textFill>
        </w:rPr>
        <w:t>的所有</w:t>
      </w:r>
      <w:r>
        <w:rPr>
          <w:rFonts w:hint="eastAsia" w:ascii="仿宋" w:hAnsi="仿宋" w:eastAsia="仿宋" w:cs="仿宋"/>
          <w:color w:val="000000" w:themeColor="text1"/>
          <w:spacing w:val="-2"/>
          <w:sz w:val="24"/>
          <w:szCs w:val="24"/>
          <w:highlight w:val="none"/>
          <w14:textFill>
            <w14:solidFill>
              <w14:schemeClr w14:val="tx1"/>
            </w14:solidFill>
          </w14:textFill>
        </w:rPr>
        <w:t>部位及其施工工艺进行全过程的质量检查和检验，并作详细记录，编制工程质量</w:t>
      </w:r>
      <w:r>
        <w:rPr>
          <w:rFonts w:hint="eastAsia" w:ascii="仿宋" w:hAnsi="仿宋" w:eastAsia="仿宋" w:cs="仿宋"/>
          <w:color w:val="000000" w:themeColor="text1"/>
          <w:spacing w:val="-8"/>
          <w:sz w:val="24"/>
          <w:szCs w:val="24"/>
          <w:highlight w:val="none"/>
          <w14:textFill>
            <w14:solidFill>
              <w14:schemeClr w14:val="tx1"/>
            </w14:solidFill>
          </w14:textFill>
        </w:rPr>
        <w:t>报表，报送监理人审查。此外，承包人还应按照法律规定和发包人的要求，进行</w:t>
      </w:r>
      <w:r>
        <w:rPr>
          <w:rFonts w:hint="eastAsia" w:ascii="仿宋" w:hAnsi="仿宋" w:eastAsia="仿宋" w:cs="仿宋"/>
          <w:color w:val="000000" w:themeColor="text1"/>
          <w:spacing w:val="-2"/>
          <w:sz w:val="24"/>
          <w:szCs w:val="24"/>
          <w:highlight w:val="none"/>
          <w14:textFill>
            <w14:solidFill>
              <w14:schemeClr w14:val="tx1"/>
            </w14:solidFill>
          </w14:textFill>
        </w:rPr>
        <w:t>施工现场取样试验、工程复核测量和设备性能检测，提供试验样品、提交试验报</w:t>
      </w:r>
      <w:r>
        <w:rPr>
          <w:rFonts w:hint="eastAsia" w:ascii="仿宋" w:hAnsi="仿宋" w:eastAsia="仿宋" w:cs="仿宋"/>
          <w:color w:val="000000" w:themeColor="text1"/>
          <w:spacing w:val="-1"/>
          <w:sz w:val="24"/>
          <w:szCs w:val="24"/>
          <w:highlight w:val="none"/>
          <w14:textFill>
            <w14:solidFill>
              <w14:schemeClr w14:val="tx1"/>
            </w14:solidFill>
          </w14:textFill>
        </w:rPr>
        <w:t>告和测量成果以及其他工作。</w:t>
      </w:r>
    </w:p>
    <w:p w14:paraId="198DCA22">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5.2.3 监理人的质量检查和检验</w:t>
      </w:r>
    </w:p>
    <w:p w14:paraId="5506E560">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pacing w:val="-8"/>
          <w:sz w:val="24"/>
          <w:szCs w:val="24"/>
          <w:highlight w:val="none"/>
          <w14:textFill>
            <w14:solidFill>
              <w14:schemeClr w14:val="tx1"/>
            </w14:solidFill>
          </w14:textFill>
        </w:rPr>
      </w:pPr>
      <w:r>
        <w:rPr>
          <w:rFonts w:hint="eastAsia" w:ascii="仿宋" w:hAnsi="仿宋" w:eastAsia="仿宋" w:cs="仿宋"/>
          <w:color w:val="000000" w:themeColor="text1"/>
          <w:spacing w:val="-8"/>
          <w:sz w:val="24"/>
          <w:szCs w:val="24"/>
          <w:highlight w:val="none"/>
          <w14:textFill>
            <w14:solidFill>
              <w14:schemeClr w14:val="tx1"/>
            </w14:solidFill>
          </w14:textFill>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3E6A6312">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监理人的检查和检验不应影响施工正常进行。监理人的检查和检验</w:t>
      </w:r>
      <w:r>
        <w:rPr>
          <w:rFonts w:hint="eastAsia" w:ascii="仿宋" w:hAnsi="仿宋" w:eastAsia="仿宋" w:cs="仿宋"/>
          <w:color w:val="000000" w:themeColor="text1"/>
          <w:spacing w:val="-3"/>
          <w:sz w:val="24"/>
          <w:szCs w:val="24"/>
          <w:highlight w:val="none"/>
          <w14:textFill>
            <w14:solidFill>
              <w14:schemeClr w14:val="tx1"/>
            </w14:solidFill>
          </w14:textFill>
        </w:rPr>
        <w:t>影响施工</w:t>
      </w:r>
      <w:r>
        <w:rPr>
          <w:rFonts w:hint="eastAsia" w:ascii="仿宋" w:hAnsi="仿宋" w:eastAsia="仿宋" w:cs="仿宋"/>
          <w:color w:val="000000" w:themeColor="text1"/>
          <w:spacing w:val="-2"/>
          <w:sz w:val="24"/>
          <w:szCs w:val="24"/>
          <w:highlight w:val="none"/>
          <w14:textFill>
            <w14:solidFill>
              <w14:schemeClr w14:val="tx1"/>
            </w14:solidFill>
          </w14:textFill>
        </w:rPr>
        <w:t>正常进行的，且经检查检验不合格的，影响正常施工的费用由承包人承担，工期不予顺延；经检查检验合格的，由此增加的费用和（或）延误的工期由发包人承</w:t>
      </w:r>
      <w:r>
        <w:rPr>
          <w:rFonts w:hint="eastAsia" w:ascii="仿宋" w:hAnsi="仿宋" w:eastAsia="仿宋" w:cs="仿宋"/>
          <w:color w:val="000000" w:themeColor="text1"/>
          <w:spacing w:val="-13"/>
          <w:sz w:val="24"/>
          <w:szCs w:val="24"/>
          <w:highlight w:val="none"/>
          <w14:textFill>
            <w14:solidFill>
              <w14:schemeClr w14:val="tx1"/>
            </w14:solidFill>
          </w14:textFill>
        </w:rPr>
        <w:t>担。</w:t>
      </w:r>
    </w:p>
    <w:p w14:paraId="250F50A1">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5.3</w:t>
      </w:r>
      <w:r>
        <w:rPr>
          <w:rFonts w:hint="eastAsia" w:ascii="仿宋" w:hAnsi="仿宋" w:eastAsia="仿宋" w:cs="仿宋"/>
          <w:color w:val="000000" w:themeColor="text1"/>
          <w:spacing w:val="3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隐蔽工程检查</w:t>
      </w:r>
    </w:p>
    <w:p w14:paraId="57440519">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5.3.1</w:t>
      </w:r>
      <w:r>
        <w:rPr>
          <w:rFonts w:hint="eastAsia" w:ascii="仿宋" w:hAnsi="仿宋" w:eastAsia="仿宋" w:cs="仿宋"/>
          <w:color w:val="000000" w:themeColor="text1"/>
          <w:spacing w:val="-5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承包人自检</w:t>
      </w:r>
    </w:p>
    <w:p w14:paraId="54244165">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承包人应当对工程隐蔽部位进行自检，并经</w:t>
      </w:r>
      <w:r>
        <w:rPr>
          <w:rFonts w:hint="eastAsia" w:ascii="仿宋" w:hAnsi="仿宋" w:eastAsia="仿宋" w:cs="仿宋"/>
          <w:color w:val="000000" w:themeColor="text1"/>
          <w:spacing w:val="-1"/>
          <w:sz w:val="24"/>
          <w:szCs w:val="24"/>
          <w:highlight w:val="none"/>
          <w14:textFill>
            <w14:solidFill>
              <w14:schemeClr w14:val="tx1"/>
            </w14:solidFill>
          </w14:textFill>
        </w:rPr>
        <w:t>自检确认是否具备覆盖条件。</w:t>
      </w:r>
    </w:p>
    <w:p w14:paraId="35172C92">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5.3.2</w:t>
      </w:r>
      <w:r>
        <w:rPr>
          <w:rFonts w:hint="eastAsia" w:ascii="仿宋" w:hAnsi="仿宋" w:eastAsia="仿宋" w:cs="仿宋"/>
          <w:color w:val="000000" w:themeColor="text1"/>
          <w:spacing w:val="-5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检查程序</w:t>
      </w:r>
    </w:p>
    <w:p w14:paraId="65FC0CFE">
      <w:pPr>
        <w:keepNext w:val="0"/>
        <w:keepLines w:val="0"/>
        <w:pageBreakBefore w:val="0"/>
        <w:widowControl w:val="0"/>
        <w:kinsoku/>
        <w:wordWrap/>
        <w:overflowPunct/>
        <w:topLinePunct w:val="0"/>
        <w:autoSpaceDE/>
        <w:autoSpaceDN/>
        <w:bidi w:val="0"/>
        <w:snapToGrid/>
        <w:spacing w:line="360" w:lineRule="auto"/>
        <w:ind w:left="0" w:leftChars="0" w:right="0" w:rightChars="0" w:firstLine="57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除专用合同条款另有约定外，工程隐蔽部位经承包人自检确认具备覆盖条件</w:t>
      </w:r>
      <w:r>
        <w:rPr>
          <w:rFonts w:hint="eastAsia" w:ascii="仿宋" w:hAnsi="仿宋" w:eastAsia="仿宋" w:cs="仿宋"/>
          <w:color w:val="000000" w:themeColor="text1"/>
          <w:spacing w:val="-1"/>
          <w:sz w:val="24"/>
          <w:szCs w:val="24"/>
          <w:highlight w:val="none"/>
          <w14:textFill>
            <w14:solidFill>
              <w14:schemeClr w14:val="tx1"/>
            </w14:solidFill>
          </w14:textFill>
        </w:rPr>
        <w:t>的，承包人应在共同检查前</w:t>
      </w:r>
      <w:r>
        <w:rPr>
          <w:rFonts w:hint="eastAsia" w:ascii="仿宋" w:hAnsi="仿宋" w:eastAsia="仿宋" w:cs="仿宋"/>
          <w:color w:val="000000" w:themeColor="text1"/>
          <w:spacing w:val="-6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48</w:t>
      </w:r>
      <w:r>
        <w:rPr>
          <w:rFonts w:hint="eastAsia" w:ascii="仿宋" w:hAnsi="仿宋" w:eastAsia="仿宋" w:cs="仿宋"/>
          <w:color w:val="000000" w:themeColor="text1"/>
          <w:spacing w:val="-5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小时书面通知监理人检查，通知中应载</w:t>
      </w:r>
      <w:r>
        <w:rPr>
          <w:rFonts w:hint="eastAsia" w:ascii="仿宋" w:hAnsi="仿宋" w:eastAsia="仿宋" w:cs="仿宋"/>
          <w:color w:val="000000" w:themeColor="text1"/>
          <w:spacing w:val="-2"/>
          <w:sz w:val="24"/>
          <w:szCs w:val="24"/>
          <w:highlight w:val="none"/>
          <w14:textFill>
            <w14:solidFill>
              <w14:schemeClr w14:val="tx1"/>
            </w14:solidFill>
          </w14:textFill>
        </w:rPr>
        <w:t>明隐蔽检查的内容、时间和地点，并应附有自检记录和必要的检查资料。</w:t>
      </w:r>
    </w:p>
    <w:p w14:paraId="50A01127">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w:t>
      </w:r>
      <w:r>
        <w:rPr>
          <w:rFonts w:hint="eastAsia" w:ascii="仿宋" w:hAnsi="仿宋" w:eastAsia="仿宋" w:cs="仿宋"/>
          <w:color w:val="000000" w:themeColor="text1"/>
          <w:spacing w:val="-1"/>
          <w:sz w:val="24"/>
          <w:szCs w:val="24"/>
          <w:highlight w:val="none"/>
          <w14:textFill>
            <w14:solidFill>
              <w14:schemeClr w14:val="tx1"/>
            </w14:solidFill>
          </w14:textFill>
        </w:rPr>
        <w:t>并由监理人重新检查，由此增加的费用和（或）延误的工期由承包人承担。</w:t>
      </w:r>
    </w:p>
    <w:p w14:paraId="63107694">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 5.3.3 项〔重新检查〕的约定重新检查。</w:t>
      </w:r>
    </w:p>
    <w:p w14:paraId="57B3B62F">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5.3.3 重新检查</w:t>
      </w:r>
    </w:p>
    <w:p w14:paraId="50C257FB">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承包人覆盖工程隐蔽部位后，发包人或监理人对质量有疑问的，可要</w:t>
      </w:r>
      <w:r>
        <w:rPr>
          <w:rFonts w:hint="eastAsia" w:ascii="仿宋" w:hAnsi="仿宋" w:eastAsia="仿宋" w:cs="仿宋"/>
          <w:color w:val="000000" w:themeColor="text1"/>
          <w:spacing w:val="-3"/>
          <w:sz w:val="24"/>
          <w:szCs w:val="24"/>
          <w:highlight w:val="none"/>
          <w14:textFill>
            <w14:solidFill>
              <w14:schemeClr w14:val="tx1"/>
            </w14:solidFill>
          </w14:textFill>
        </w:rPr>
        <w:t>求承包</w:t>
      </w:r>
      <w:r>
        <w:rPr>
          <w:rFonts w:hint="eastAsia" w:ascii="仿宋" w:hAnsi="仿宋" w:eastAsia="仿宋" w:cs="仿宋"/>
          <w:color w:val="000000" w:themeColor="text1"/>
          <w:spacing w:val="-2"/>
          <w:sz w:val="24"/>
          <w:szCs w:val="24"/>
          <w:highlight w:val="none"/>
          <w14:textFill>
            <w14:solidFill>
              <w14:schemeClr w14:val="tx1"/>
            </w14:solidFill>
          </w14:textFill>
        </w:rPr>
        <w:t>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w:t>
      </w:r>
      <w:r>
        <w:rPr>
          <w:rFonts w:hint="eastAsia" w:ascii="仿宋" w:hAnsi="仿宋" w:eastAsia="仿宋" w:cs="仿宋"/>
          <w:color w:val="000000" w:themeColor="text1"/>
          <w:sz w:val="24"/>
          <w:szCs w:val="24"/>
          <w:highlight w:val="none"/>
          <w14:textFill>
            <w14:solidFill>
              <w14:schemeClr w14:val="tx1"/>
            </w14:solidFill>
          </w14:textFill>
        </w:rPr>
        <w:t>量不符合合同要求的，由此增加的费用和（</w:t>
      </w:r>
      <w:r>
        <w:rPr>
          <w:rFonts w:hint="eastAsia" w:ascii="仿宋" w:hAnsi="仿宋" w:eastAsia="仿宋" w:cs="仿宋"/>
          <w:color w:val="000000" w:themeColor="text1"/>
          <w:spacing w:val="-1"/>
          <w:sz w:val="24"/>
          <w:szCs w:val="24"/>
          <w:highlight w:val="none"/>
          <w14:textFill>
            <w14:solidFill>
              <w14:schemeClr w14:val="tx1"/>
            </w14:solidFill>
          </w14:textFill>
        </w:rPr>
        <w:t>或）延误的工期由承包人承担。</w:t>
      </w:r>
    </w:p>
    <w:p w14:paraId="7079A0C7">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5.3.4 承包人私自覆盖</w:t>
      </w:r>
    </w:p>
    <w:p w14:paraId="093E6335">
      <w:pPr>
        <w:keepNext w:val="0"/>
        <w:keepLines w:val="0"/>
        <w:pageBreakBefore w:val="0"/>
        <w:widowControl w:val="0"/>
        <w:kinsoku/>
        <w:wordWrap/>
        <w:overflowPunct/>
        <w:topLinePunct w:val="0"/>
        <w:autoSpaceDE/>
        <w:autoSpaceDN/>
        <w:bidi w:val="0"/>
        <w:snapToGrid/>
        <w:spacing w:line="360" w:lineRule="auto"/>
        <w:ind w:left="0" w:leftChars="0" w:right="0" w:rightChars="0" w:firstLine="55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承包人未通知监理人到场检查，私自将工程隐蔽部位覆盖的，监理人</w:t>
      </w:r>
      <w:r>
        <w:rPr>
          <w:rFonts w:hint="eastAsia" w:ascii="仿宋" w:hAnsi="仿宋" w:eastAsia="仿宋" w:cs="仿宋"/>
          <w:color w:val="000000" w:themeColor="text1"/>
          <w:spacing w:val="-3"/>
          <w:sz w:val="24"/>
          <w:szCs w:val="24"/>
          <w:highlight w:val="none"/>
          <w14:textFill>
            <w14:solidFill>
              <w14:schemeClr w14:val="tx1"/>
            </w14:solidFill>
          </w14:textFill>
        </w:rPr>
        <w:t>有权指</w:t>
      </w:r>
      <w:r>
        <w:rPr>
          <w:rFonts w:hint="eastAsia" w:ascii="仿宋" w:hAnsi="仿宋" w:eastAsia="仿宋" w:cs="仿宋"/>
          <w:color w:val="000000" w:themeColor="text1"/>
          <w:spacing w:val="-2"/>
          <w:sz w:val="24"/>
          <w:szCs w:val="24"/>
          <w:highlight w:val="none"/>
          <w14:textFill>
            <w14:solidFill>
              <w14:schemeClr w14:val="tx1"/>
            </w14:solidFill>
          </w14:textFill>
        </w:rPr>
        <w:t>示承包人钻孔探测或揭开检查，无论工程隐蔽部位质量是否合格，由此增加的费用和（或）延误的工期均由承包人承担。</w:t>
      </w:r>
    </w:p>
    <w:p w14:paraId="5E92D3E7">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5.4</w:t>
      </w:r>
      <w:r>
        <w:rPr>
          <w:rFonts w:hint="eastAsia" w:ascii="仿宋" w:hAnsi="仿宋" w:eastAsia="仿宋" w:cs="仿宋"/>
          <w:color w:val="000000" w:themeColor="text1"/>
          <w:spacing w:val="-5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不合格工程的处理</w:t>
      </w:r>
    </w:p>
    <w:p w14:paraId="3DBAE4F2">
      <w:pPr>
        <w:keepNext w:val="0"/>
        <w:keepLines w:val="0"/>
        <w:pageBreakBefore w:val="0"/>
        <w:widowControl w:val="0"/>
        <w:kinsoku/>
        <w:wordWrap/>
        <w:overflowPunct/>
        <w:topLinePunct w:val="0"/>
        <w:autoSpaceDE/>
        <w:autoSpaceDN/>
        <w:bidi w:val="0"/>
        <w:snapToGrid/>
        <w:spacing w:line="360" w:lineRule="auto"/>
        <w:ind w:left="0" w:leftChars="0" w:right="0" w:rightChars="0" w:firstLine="55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5.4.1</w:t>
      </w:r>
      <w:r>
        <w:rPr>
          <w:rFonts w:hint="eastAsia" w:ascii="仿宋" w:hAnsi="仿宋" w:eastAsia="仿宋" w:cs="仿宋"/>
          <w:color w:val="000000" w:themeColor="text1"/>
          <w:spacing w:val="3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因承包人</w:t>
      </w:r>
      <w:r>
        <w:rPr>
          <w:rFonts w:hint="eastAsia" w:ascii="仿宋" w:hAnsi="仿宋" w:eastAsia="仿宋" w:cs="仿宋"/>
          <w:color w:val="000000" w:themeColor="text1"/>
          <w:spacing w:val="-2"/>
          <w:sz w:val="24"/>
          <w:szCs w:val="24"/>
          <w:highlight w:val="none"/>
          <w14:textFill>
            <w14:solidFill>
              <w14:schemeClr w14:val="tx1"/>
            </w14:solidFill>
          </w14:textFill>
        </w:rPr>
        <w:t>原因</w:t>
      </w:r>
      <w:r>
        <w:rPr>
          <w:rFonts w:hint="eastAsia" w:ascii="仿宋" w:hAnsi="仿宋" w:eastAsia="仿宋" w:cs="仿宋"/>
          <w:color w:val="000000" w:themeColor="text1"/>
          <w:spacing w:val="-3"/>
          <w:sz w:val="24"/>
          <w:szCs w:val="24"/>
          <w:highlight w:val="none"/>
          <w14:textFill>
            <w14:solidFill>
              <w14:schemeClr w14:val="tx1"/>
            </w14:solidFill>
          </w14:textFill>
        </w:rPr>
        <w:t>造成工程不合格的，发包人有权随时要求承包</w:t>
      </w:r>
      <w:r>
        <w:rPr>
          <w:rFonts w:hint="eastAsia" w:ascii="仿宋" w:hAnsi="仿宋" w:eastAsia="仿宋" w:cs="仿宋"/>
          <w:color w:val="000000" w:themeColor="text1"/>
          <w:spacing w:val="-4"/>
          <w:sz w:val="24"/>
          <w:szCs w:val="24"/>
          <w:highlight w:val="none"/>
          <w14:textFill>
            <w14:solidFill>
              <w14:schemeClr w14:val="tx1"/>
            </w14:solidFill>
          </w14:textFill>
        </w:rPr>
        <w:t>人采取补</w:t>
      </w:r>
      <w:r>
        <w:rPr>
          <w:rFonts w:hint="eastAsia" w:ascii="仿宋" w:hAnsi="仿宋" w:eastAsia="仿宋" w:cs="仿宋"/>
          <w:color w:val="000000" w:themeColor="text1"/>
          <w:spacing w:val="-2"/>
          <w:sz w:val="24"/>
          <w:szCs w:val="24"/>
          <w:highlight w:val="none"/>
          <w14:textFill>
            <w14:solidFill>
              <w14:schemeClr w14:val="tx1"/>
            </w14:solidFill>
          </w14:textFill>
        </w:rPr>
        <w:t>救措施，直至达到合同要求的质量标准，由此增加的费用和（或）延误的工期由承包人承担。无法补救的，按照第</w:t>
      </w:r>
      <w:r>
        <w:rPr>
          <w:rFonts w:hint="eastAsia" w:ascii="仿宋" w:hAnsi="仿宋" w:eastAsia="仿宋" w:cs="仿宋"/>
          <w:color w:val="000000" w:themeColor="text1"/>
          <w:spacing w:val="-2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13.2.4</w:t>
      </w:r>
      <w:r>
        <w:rPr>
          <w:rFonts w:hint="eastAsia" w:ascii="仿宋" w:hAnsi="仿宋" w:eastAsia="仿宋" w:cs="仿宋"/>
          <w:color w:val="000000" w:themeColor="text1"/>
          <w:spacing w:val="-5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项〔拒绝接收全部或部分工程〕约定</w:t>
      </w:r>
      <w:r>
        <w:rPr>
          <w:rFonts w:hint="eastAsia" w:ascii="仿宋" w:hAnsi="仿宋" w:eastAsia="仿宋" w:cs="仿宋"/>
          <w:color w:val="000000" w:themeColor="text1"/>
          <w:spacing w:val="-12"/>
          <w:sz w:val="24"/>
          <w:szCs w:val="24"/>
          <w:highlight w:val="none"/>
          <w14:textFill>
            <w14:solidFill>
              <w14:schemeClr w14:val="tx1"/>
            </w14:solidFill>
          </w14:textFill>
        </w:rPr>
        <w:t>执行。</w:t>
      </w:r>
    </w:p>
    <w:p w14:paraId="51FB64D3">
      <w:pPr>
        <w:keepNext w:val="0"/>
        <w:keepLines w:val="0"/>
        <w:pageBreakBefore w:val="0"/>
        <w:widowControl w:val="0"/>
        <w:kinsoku/>
        <w:wordWrap/>
        <w:overflowPunct/>
        <w:topLinePunct w:val="0"/>
        <w:autoSpaceDE/>
        <w:autoSpaceDN/>
        <w:bidi w:val="0"/>
        <w:snapToGrid/>
        <w:spacing w:line="360" w:lineRule="auto"/>
        <w:ind w:left="0" w:leftChars="0" w:right="0" w:rightChars="0" w:firstLine="558"/>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5.4.2 因发包人原因造成工程不合格的，由此增加的费用和（或）延误的工期由发包人承担，并支付承包人合理的利润。</w:t>
      </w:r>
    </w:p>
    <w:p w14:paraId="5A7D3441">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5.5 质量争议检测</w:t>
      </w:r>
    </w:p>
    <w:p w14:paraId="6B2AEFC4">
      <w:pPr>
        <w:keepNext w:val="0"/>
        <w:keepLines w:val="0"/>
        <w:pageBreakBefore w:val="0"/>
        <w:widowControl w:val="0"/>
        <w:kinsoku/>
        <w:wordWrap/>
        <w:overflowPunct/>
        <w:topLinePunct w:val="0"/>
        <w:autoSpaceDE/>
        <w:autoSpaceDN/>
        <w:bidi w:val="0"/>
        <w:snapToGrid/>
        <w:spacing w:line="360" w:lineRule="auto"/>
        <w:ind w:left="0" w:leftChars="0" w:right="0" w:rightChars="0" w:firstLine="55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合同当事人对工程质量有争议的，由双方协商确定的工程质量检测机构鉴定，由此产生的费用及因此造成的损失，由责任方承担。</w:t>
      </w:r>
    </w:p>
    <w:p w14:paraId="4FE86FBF">
      <w:pPr>
        <w:keepNext w:val="0"/>
        <w:keepLines w:val="0"/>
        <w:pageBreakBefore w:val="0"/>
        <w:widowControl w:val="0"/>
        <w:kinsoku/>
        <w:wordWrap/>
        <w:overflowPunct/>
        <w:topLinePunct w:val="0"/>
        <w:autoSpaceDE/>
        <w:autoSpaceDN/>
        <w:bidi w:val="0"/>
        <w:snapToGrid/>
        <w:spacing w:line="360" w:lineRule="auto"/>
        <w:ind w:left="0" w:leftChars="0" w:right="0" w:rightChars="0" w:firstLine="55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合同当事人均有责任的，由双方根据其</w:t>
      </w:r>
      <w:r>
        <w:rPr>
          <w:rFonts w:hint="eastAsia" w:ascii="仿宋" w:hAnsi="仿宋" w:eastAsia="仿宋" w:cs="仿宋"/>
          <w:color w:val="000000" w:themeColor="text1"/>
          <w:spacing w:val="-1"/>
          <w:sz w:val="24"/>
          <w:szCs w:val="24"/>
          <w:highlight w:val="none"/>
          <w14:textFill>
            <w14:solidFill>
              <w14:schemeClr w14:val="tx1"/>
            </w14:solidFill>
          </w14:textFill>
        </w:rPr>
        <w:t>责任</w:t>
      </w:r>
      <w:r>
        <w:rPr>
          <w:rFonts w:hint="eastAsia" w:ascii="仿宋" w:hAnsi="仿宋" w:eastAsia="仿宋" w:cs="仿宋"/>
          <w:color w:val="000000" w:themeColor="text1"/>
          <w:spacing w:val="-2"/>
          <w:sz w:val="24"/>
          <w:szCs w:val="24"/>
          <w:highlight w:val="none"/>
          <w14:textFill>
            <w14:solidFill>
              <w14:schemeClr w14:val="tx1"/>
            </w14:solidFill>
          </w14:textFill>
        </w:rPr>
        <w:t>分别承担。合同当事人无法达成一致</w:t>
      </w:r>
      <w:bookmarkStart w:id="96" w:name="bookmark120"/>
      <w:bookmarkEnd w:id="96"/>
      <w:r>
        <w:rPr>
          <w:rFonts w:hint="eastAsia" w:ascii="仿宋" w:hAnsi="仿宋" w:eastAsia="仿宋" w:cs="仿宋"/>
          <w:color w:val="000000" w:themeColor="text1"/>
          <w:spacing w:val="-2"/>
          <w:sz w:val="24"/>
          <w:szCs w:val="24"/>
          <w:highlight w:val="none"/>
          <w14:textFill>
            <w14:solidFill>
              <w14:schemeClr w14:val="tx1"/>
            </w14:solidFill>
          </w14:textFill>
        </w:rPr>
        <w:t>的，按照第4.4款〔商定或确定〕执行。</w:t>
      </w:r>
    </w:p>
    <w:p w14:paraId="39BC04DC">
      <w:pPr>
        <w:keepNext w:val="0"/>
        <w:keepLines w:val="0"/>
        <w:pageBreakBefore w:val="0"/>
        <w:widowControl w:val="0"/>
        <w:kinsoku/>
        <w:wordWrap/>
        <w:overflowPunct/>
        <w:topLinePunct w:val="0"/>
        <w:autoSpaceDE/>
        <w:autoSpaceDN/>
        <w:bidi w:val="0"/>
        <w:snapToGrid/>
        <w:spacing w:line="360" w:lineRule="auto"/>
        <w:ind w:left="0" w:leftChars="0" w:right="0" w:rightChars="0"/>
        <w:outlineLvl w:val="2"/>
        <w:rPr>
          <w:rFonts w:hint="eastAsia" w:ascii="仿宋" w:hAnsi="仿宋" w:eastAsia="仿宋" w:cs="仿宋"/>
          <w:color w:val="000000" w:themeColor="text1"/>
          <w:sz w:val="24"/>
          <w:szCs w:val="24"/>
          <w:highlight w:val="none"/>
          <w14:textFill>
            <w14:solidFill>
              <w14:schemeClr w14:val="tx1"/>
            </w14:solidFill>
          </w14:textFill>
        </w:rPr>
      </w:pPr>
      <w:bookmarkStart w:id="97" w:name="bookmark212"/>
      <w:bookmarkEnd w:id="97"/>
      <w:bookmarkStart w:id="98" w:name="_Toc10069"/>
      <w:r>
        <w:rPr>
          <w:rFonts w:hint="eastAsia" w:ascii="仿宋" w:hAnsi="仿宋" w:eastAsia="仿宋" w:cs="仿宋"/>
          <w:color w:val="000000" w:themeColor="text1"/>
          <w:spacing w:val="-1"/>
          <w:sz w:val="24"/>
          <w:szCs w:val="24"/>
          <w:highlight w:val="none"/>
          <w14:textFill>
            <w14:solidFill>
              <w14:schemeClr w14:val="tx1"/>
            </w14:solidFill>
          </w14:textFill>
        </w:rPr>
        <w:t>6. 安全文明施工与环境保护</w:t>
      </w:r>
      <w:bookmarkEnd w:id="98"/>
    </w:p>
    <w:p w14:paraId="76486AAB">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6.1</w:t>
      </w:r>
      <w:r>
        <w:rPr>
          <w:rFonts w:hint="eastAsia" w:ascii="仿宋" w:hAnsi="仿宋" w:eastAsia="仿宋" w:cs="仿宋"/>
          <w:color w:val="000000" w:themeColor="text1"/>
          <w:spacing w:val="-4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安全文明施工</w:t>
      </w:r>
    </w:p>
    <w:p w14:paraId="484FF29B">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6.1.1</w:t>
      </w:r>
      <w:r>
        <w:rPr>
          <w:rFonts w:hint="eastAsia" w:ascii="仿宋" w:hAnsi="仿宋" w:eastAsia="仿宋" w:cs="仿宋"/>
          <w:color w:val="000000" w:themeColor="text1"/>
          <w:spacing w:val="-4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安全生产要求</w:t>
      </w:r>
    </w:p>
    <w:p w14:paraId="569B7E2D">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合同履行期间，合同当事人均应当遵守国家和工程所在地有关安全</w:t>
      </w:r>
      <w:r>
        <w:rPr>
          <w:rFonts w:hint="eastAsia" w:ascii="仿宋" w:hAnsi="仿宋" w:eastAsia="仿宋" w:cs="仿宋"/>
          <w:color w:val="000000" w:themeColor="text1"/>
          <w:spacing w:val="-3"/>
          <w:sz w:val="24"/>
          <w:szCs w:val="24"/>
          <w:highlight w:val="none"/>
          <w14:textFill>
            <w14:solidFill>
              <w14:schemeClr w14:val="tx1"/>
            </w14:solidFill>
          </w14:textFill>
        </w:rPr>
        <w:t>生产的要</w:t>
      </w:r>
      <w:r>
        <w:rPr>
          <w:rFonts w:hint="eastAsia" w:ascii="仿宋" w:hAnsi="仿宋" w:eastAsia="仿宋" w:cs="仿宋"/>
          <w:color w:val="000000" w:themeColor="text1"/>
          <w:spacing w:val="-2"/>
          <w:sz w:val="24"/>
          <w:szCs w:val="24"/>
          <w:highlight w:val="none"/>
          <w14:textFill>
            <w14:solidFill>
              <w14:schemeClr w14:val="tx1"/>
            </w14:solidFill>
          </w14:textFill>
        </w:rPr>
        <w:t>求，合同当事人有特别要求的，应在专用合同条款中明确施工项目安全生产标准化达标目标及相应事项。承包人有权拒绝发包人及监理人强令承包人违章作业、</w:t>
      </w:r>
      <w:r>
        <w:rPr>
          <w:rFonts w:hint="eastAsia" w:ascii="仿宋" w:hAnsi="仿宋" w:eastAsia="仿宋" w:cs="仿宋"/>
          <w:color w:val="000000" w:themeColor="text1"/>
          <w:spacing w:val="-4"/>
          <w:sz w:val="24"/>
          <w:szCs w:val="24"/>
          <w:highlight w:val="none"/>
          <w14:textFill>
            <w14:solidFill>
              <w14:schemeClr w14:val="tx1"/>
            </w14:solidFill>
          </w14:textFill>
        </w:rPr>
        <w:t>冒险施工的任何指示。</w:t>
      </w:r>
    </w:p>
    <w:p w14:paraId="7DB58626">
      <w:pPr>
        <w:keepNext w:val="0"/>
        <w:keepLines w:val="0"/>
        <w:pageBreakBefore w:val="0"/>
        <w:widowControl w:val="0"/>
        <w:kinsoku/>
        <w:wordWrap/>
        <w:overflowPunct/>
        <w:topLinePunct w:val="0"/>
        <w:autoSpaceDE/>
        <w:autoSpaceDN/>
        <w:bidi w:val="0"/>
        <w:snapToGrid/>
        <w:spacing w:line="360" w:lineRule="auto"/>
        <w:ind w:left="0" w:leftChars="0" w:right="0" w:rightChars="0" w:firstLine="55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在施工过程中，如遇到突发的地质变动、事先未知的地下施工障碍等影</w:t>
      </w:r>
      <w:r>
        <w:rPr>
          <w:rFonts w:hint="eastAsia" w:ascii="仿宋" w:hAnsi="仿宋" w:eastAsia="仿宋" w:cs="仿宋"/>
          <w:color w:val="000000" w:themeColor="text1"/>
          <w:spacing w:val="-3"/>
          <w:sz w:val="24"/>
          <w:szCs w:val="24"/>
          <w:highlight w:val="none"/>
          <w14:textFill>
            <w14:solidFill>
              <w14:schemeClr w14:val="tx1"/>
            </w14:solidFill>
          </w14:textFill>
        </w:rPr>
        <w:t>响施</w:t>
      </w:r>
      <w:r>
        <w:rPr>
          <w:rFonts w:hint="eastAsia" w:ascii="仿宋" w:hAnsi="仿宋" w:eastAsia="仿宋" w:cs="仿宋"/>
          <w:color w:val="000000" w:themeColor="text1"/>
          <w:spacing w:val="-2"/>
          <w:sz w:val="24"/>
          <w:szCs w:val="24"/>
          <w:highlight w:val="none"/>
          <w14:textFill>
            <w14:solidFill>
              <w14:schemeClr w14:val="tx1"/>
            </w14:solidFill>
          </w14:textFill>
        </w:rPr>
        <w:t>工安全的紧急情况，承包人应及时报告监理人和发包人，发包人应当及时下令停</w:t>
      </w:r>
      <w:r>
        <w:rPr>
          <w:rFonts w:hint="eastAsia" w:ascii="仿宋" w:hAnsi="仿宋" w:eastAsia="仿宋" w:cs="仿宋"/>
          <w:color w:val="000000" w:themeColor="text1"/>
          <w:spacing w:val="-3"/>
          <w:sz w:val="24"/>
          <w:szCs w:val="24"/>
          <w:highlight w:val="none"/>
          <w14:textFill>
            <w14:solidFill>
              <w14:schemeClr w14:val="tx1"/>
            </w14:solidFill>
          </w14:textFill>
        </w:rPr>
        <w:t>工并报政府有关行政管理部门采取应急措施。</w:t>
      </w:r>
    </w:p>
    <w:p w14:paraId="0C7FAB81">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因安全生产需要暂停施工的，按照第</w:t>
      </w:r>
      <w:r>
        <w:rPr>
          <w:rFonts w:hint="eastAsia" w:ascii="仿宋" w:hAnsi="仿宋" w:eastAsia="仿宋" w:cs="仿宋"/>
          <w:color w:val="000000" w:themeColor="text1"/>
          <w:spacing w:val="-3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7.8</w:t>
      </w:r>
      <w:r>
        <w:rPr>
          <w:rFonts w:hint="eastAsia" w:ascii="仿宋" w:hAnsi="仿宋" w:eastAsia="仿宋" w:cs="仿宋"/>
          <w:color w:val="000000" w:themeColor="text1"/>
          <w:spacing w:val="-5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款〔暂停施工〕的约定</w:t>
      </w:r>
      <w:r>
        <w:rPr>
          <w:rFonts w:hint="eastAsia" w:ascii="仿宋" w:hAnsi="仿宋" w:eastAsia="仿宋" w:cs="仿宋"/>
          <w:color w:val="000000" w:themeColor="text1"/>
          <w:spacing w:val="-4"/>
          <w:sz w:val="24"/>
          <w:szCs w:val="24"/>
          <w:highlight w:val="none"/>
          <w14:textFill>
            <w14:solidFill>
              <w14:schemeClr w14:val="tx1"/>
            </w14:solidFill>
          </w14:textFill>
        </w:rPr>
        <w:t>执行。</w:t>
      </w:r>
    </w:p>
    <w:p w14:paraId="0070042E">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6.1.2 安全生产保证措施</w:t>
      </w:r>
    </w:p>
    <w:p w14:paraId="5657295B">
      <w:pPr>
        <w:keepNext w:val="0"/>
        <w:keepLines w:val="0"/>
        <w:pageBreakBefore w:val="0"/>
        <w:widowControl w:val="0"/>
        <w:kinsoku/>
        <w:wordWrap/>
        <w:overflowPunct/>
        <w:topLinePunct w:val="0"/>
        <w:autoSpaceDE/>
        <w:autoSpaceDN/>
        <w:bidi w:val="0"/>
        <w:snapToGrid/>
        <w:spacing w:line="360" w:lineRule="auto"/>
        <w:ind w:left="0" w:leftChars="0" w:right="0" w:rightChars="0" w:firstLine="555"/>
        <w:rPr>
          <w:rFonts w:hint="eastAsia" w:ascii="仿宋" w:hAnsi="仿宋" w:eastAsia="仿宋" w:cs="仿宋"/>
          <w:color w:val="000000" w:themeColor="text1"/>
          <w:spacing w:val="-3"/>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45B00680">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6.1.3</w:t>
      </w:r>
      <w:r>
        <w:rPr>
          <w:rFonts w:hint="eastAsia" w:ascii="仿宋" w:hAnsi="仿宋" w:eastAsia="仿宋" w:cs="仿宋"/>
          <w:color w:val="000000" w:themeColor="text1"/>
          <w:spacing w:val="-5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特别安全生产事项</w:t>
      </w:r>
    </w:p>
    <w:p w14:paraId="6558DFE0">
      <w:pPr>
        <w:keepNext w:val="0"/>
        <w:keepLines w:val="0"/>
        <w:pageBreakBefore w:val="0"/>
        <w:widowControl w:val="0"/>
        <w:kinsoku/>
        <w:wordWrap/>
        <w:overflowPunct/>
        <w:topLinePunct w:val="0"/>
        <w:autoSpaceDE/>
        <w:autoSpaceDN/>
        <w:bidi w:val="0"/>
        <w:snapToGrid/>
        <w:spacing w:line="360" w:lineRule="auto"/>
        <w:ind w:left="0" w:leftChars="0" w:right="0" w:rightChars="0" w:firstLine="53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承包人应按照法律规定进行施工，开工前做好安全技术交底工作，施</w:t>
      </w:r>
      <w:r>
        <w:rPr>
          <w:rFonts w:hint="eastAsia" w:ascii="仿宋" w:hAnsi="仿宋" w:eastAsia="仿宋" w:cs="仿宋"/>
          <w:color w:val="000000" w:themeColor="text1"/>
          <w:spacing w:val="-3"/>
          <w:sz w:val="24"/>
          <w:szCs w:val="24"/>
          <w:highlight w:val="none"/>
          <w14:textFill>
            <w14:solidFill>
              <w14:schemeClr w14:val="tx1"/>
            </w14:solidFill>
          </w14:textFill>
        </w:rPr>
        <w:t>工过程中做好各项安全防护措施。承包人为实施合同而雇用的特殊工种的人员应受过专</w:t>
      </w:r>
      <w:r>
        <w:rPr>
          <w:rFonts w:hint="eastAsia" w:ascii="仿宋" w:hAnsi="仿宋" w:eastAsia="仿宋" w:cs="仿宋"/>
          <w:color w:val="000000" w:themeColor="text1"/>
          <w:spacing w:val="-2"/>
          <w:sz w:val="24"/>
          <w:szCs w:val="24"/>
          <w:highlight w:val="none"/>
          <w14:textFill>
            <w14:solidFill>
              <w14:schemeClr w14:val="tx1"/>
            </w14:solidFill>
          </w14:textFill>
        </w:rPr>
        <w:t>门的培训并已取得政府有关管理机构颁发的上岗证书。</w:t>
      </w:r>
    </w:p>
    <w:p w14:paraId="7A241540">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承包人在动力设备、输电线路、地下管道、密封防震车间、易燃易爆地段以</w:t>
      </w:r>
      <w:r>
        <w:rPr>
          <w:rFonts w:hint="eastAsia" w:ascii="仿宋" w:hAnsi="仿宋" w:eastAsia="仿宋" w:cs="仿宋"/>
          <w:color w:val="000000" w:themeColor="text1"/>
          <w:spacing w:val="6"/>
          <w:sz w:val="24"/>
          <w:szCs w:val="24"/>
          <w:highlight w:val="none"/>
          <w14:textFill>
            <w14:solidFill>
              <w14:schemeClr w14:val="tx1"/>
            </w14:solidFill>
          </w14:textFill>
        </w:rPr>
        <w:t>及临街交通要道附近施工时，施工开始前应向发包人和监理人提出安全防护措</w:t>
      </w:r>
      <w:r>
        <w:rPr>
          <w:rFonts w:hint="eastAsia" w:ascii="仿宋" w:hAnsi="仿宋" w:eastAsia="仿宋" w:cs="仿宋"/>
          <w:color w:val="000000" w:themeColor="text1"/>
          <w:spacing w:val="-3"/>
          <w:sz w:val="24"/>
          <w:szCs w:val="24"/>
          <w:highlight w:val="none"/>
          <w14:textFill>
            <w14:solidFill>
              <w14:schemeClr w14:val="tx1"/>
            </w14:solidFill>
          </w14:textFill>
        </w:rPr>
        <w:t>施，经发包人认可后实施。</w:t>
      </w:r>
    </w:p>
    <w:p w14:paraId="16BB837A">
      <w:pPr>
        <w:keepNext w:val="0"/>
        <w:keepLines w:val="0"/>
        <w:pageBreakBefore w:val="0"/>
        <w:widowControl w:val="0"/>
        <w:kinsoku/>
        <w:wordWrap/>
        <w:overflowPunct/>
        <w:topLinePunct w:val="0"/>
        <w:autoSpaceDE/>
        <w:autoSpaceDN/>
        <w:bidi w:val="0"/>
        <w:snapToGrid/>
        <w:spacing w:line="360" w:lineRule="auto"/>
        <w:ind w:left="0" w:leftChars="0" w:right="0" w:rightChars="0" w:firstLine="56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实施爆破作业，在放射、毒害性环境中施工（含储存、运输、使</w:t>
      </w:r>
      <w:r>
        <w:rPr>
          <w:rFonts w:hint="eastAsia" w:ascii="仿宋" w:hAnsi="仿宋" w:eastAsia="仿宋" w:cs="仿宋"/>
          <w:color w:val="000000" w:themeColor="text1"/>
          <w:spacing w:val="-7"/>
          <w:sz w:val="24"/>
          <w:szCs w:val="24"/>
          <w:highlight w:val="none"/>
          <w14:textFill>
            <w14:solidFill>
              <w14:schemeClr w14:val="tx1"/>
            </w14:solidFill>
          </w14:textFill>
        </w:rPr>
        <w:t>用）及使用</w:t>
      </w:r>
      <w:r>
        <w:rPr>
          <w:rFonts w:hint="eastAsia" w:ascii="仿宋" w:hAnsi="仿宋" w:eastAsia="仿宋" w:cs="仿宋"/>
          <w:color w:val="000000" w:themeColor="text1"/>
          <w:spacing w:val="-8"/>
          <w:sz w:val="24"/>
          <w:szCs w:val="24"/>
          <w:highlight w:val="none"/>
          <w14:textFill>
            <w14:solidFill>
              <w14:schemeClr w14:val="tx1"/>
            </w14:solidFill>
          </w14:textFill>
        </w:rPr>
        <w:t>毒害性、腐蚀性物品施工时，承包人应在施工前</w:t>
      </w:r>
      <w:r>
        <w:rPr>
          <w:rFonts w:hint="eastAsia" w:ascii="仿宋" w:hAnsi="仿宋" w:eastAsia="仿宋" w:cs="仿宋"/>
          <w:color w:val="000000" w:themeColor="text1"/>
          <w:spacing w:val="-5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9"/>
          <w:sz w:val="24"/>
          <w:szCs w:val="24"/>
          <w:highlight w:val="none"/>
          <w14:textFill>
            <w14:solidFill>
              <w14:schemeClr w14:val="tx1"/>
            </w14:solidFill>
          </w14:textFill>
        </w:rPr>
        <w:t>7</w:t>
      </w:r>
      <w:r>
        <w:rPr>
          <w:rFonts w:hint="eastAsia" w:ascii="仿宋" w:hAnsi="仿宋" w:eastAsia="仿宋" w:cs="仿宋"/>
          <w:color w:val="000000" w:themeColor="text1"/>
          <w:spacing w:val="-5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9"/>
          <w:sz w:val="24"/>
          <w:szCs w:val="24"/>
          <w:highlight w:val="none"/>
          <w14:textFill>
            <w14:solidFill>
              <w14:schemeClr w14:val="tx1"/>
            </w14:solidFill>
          </w14:textFill>
        </w:rPr>
        <w:t>天以书面通知发包人和监理人，</w:t>
      </w:r>
      <w:r>
        <w:rPr>
          <w:rFonts w:hint="eastAsia" w:ascii="仿宋" w:hAnsi="仿宋" w:eastAsia="仿宋" w:cs="仿宋"/>
          <w:color w:val="000000" w:themeColor="text1"/>
          <w:spacing w:val="-2"/>
          <w:sz w:val="24"/>
          <w:szCs w:val="24"/>
          <w:highlight w:val="none"/>
          <w14:textFill>
            <w14:solidFill>
              <w14:schemeClr w14:val="tx1"/>
            </w14:solidFill>
          </w14:textFill>
        </w:rPr>
        <w:t>并报送相应的安全防护措施，经发包人认可后实施。</w:t>
      </w:r>
    </w:p>
    <w:p w14:paraId="2E289247">
      <w:pPr>
        <w:keepNext w:val="0"/>
        <w:keepLines w:val="0"/>
        <w:pageBreakBefore w:val="0"/>
        <w:widowControl w:val="0"/>
        <w:kinsoku/>
        <w:wordWrap/>
        <w:overflowPunct/>
        <w:topLinePunct w:val="0"/>
        <w:autoSpaceDE/>
        <w:autoSpaceDN/>
        <w:bidi w:val="0"/>
        <w:snapToGrid/>
        <w:spacing w:line="360" w:lineRule="auto"/>
        <w:ind w:left="0" w:leftChars="0" w:right="0" w:rightChars="0" w:firstLine="55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需单独编制危险性较大分部分项专项工程施工方案的，及要求进行专家论证</w:t>
      </w:r>
      <w:r>
        <w:rPr>
          <w:rFonts w:hint="eastAsia" w:ascii="仿宋" w:hAnsi="仿宋" w:eastAsia="仿宋" w:cs="仿宋"/>
          <w:color w:val="000000" w:themeColor="text1"/>
          <w:spacing w:val="-2"/>
          <w:sz w:val="24"/>
          <w:szCs w:val="24"/>
          <w:highlight w:val="none"/>
          <w14:textFill>
            <w14:solidFill>
              <w14:schemeClr w14:val="tx1"/>
            </w14:solidFill>
          </w14:textFill>
        </w:rPr>
        <w:t>的超过一定规模的危险性较大的分部分项工程，承包人应及</w:t>
      </w:r>
      <w:r>
        <w:rPr>
          <w:rFonts w:hint="eastAsia" w:ascii="仿宋" w:hAnsi="仿宋" w:eastAsia="仿宋" w:cs="仿宋"/>
          <w:color w:val="000000" w:themeColor="text1"/>
          <w:spacing w:val="-3"/>
          <w:sz w:val="24"/>
          <w:szCs w:val="24"/>
          <w:highlight w:val="none"/>
          <w14:textFill>
            <w14:solidFill>
              <w14:schemeClr w14:val="tx1"/>
            </w14:solidFill>
          </w14:textFill>
        </w:rPr>
        <w:t>时编制和组织论证。</w:t>
      </w:r>
    </w:p>
    <w:p w14:paraId="7FF0BBD2">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6.1.4</w:t>
      </w:r>
      <w:r>
        <w:rPr>
          <w:rFonts w:hint="eastAsia" w:ascii="仿宋" w:hAnsi="仿宋" w:eastAsia="仿宋" w:cs="仿宋"/>
          <w:color w:val="000000" w:themeColor="text1"/>
          <w:spacing w:val="2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治安保卫</w:t>
      </w:r>
    </w:p>
    <w:p w14:paraId="0EE1FAF0">
      <w:pPr>
        <w:keepNext w:val="0"/>
        <w:keepLines w:val="0"/>
        <w:pageBreakBefore w:val="0"/>
        <w:widowControl w:val="0"/>
        <w:kinsoku/>
        <w:wordWrap/>
        <w:overflowPunct/>
        <w:topLinePunct w:val="0"/>
        <w:autoSpaceDE/>
        <w:autoSpaceDN/>
        <w:bidi w:val="0"/>
        <w:snapToGrid/>
        <w:spacing w:line="360" w:lineRule="auto"/>
        <w:ind w:left="0" w:leftChars="0" w:right="0" w:rightChars="0" w:firstLine="57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除专用合同条款另有约定外，发包人应与当地公安部门协商，在现场建立治</w:t>
      </w:r>
      <w:r>
        <w:rPr>
          <w:rFonts w:hint="eastAsia" w:ascii="仿宋" w:hAnsi="仿宋" w:eastAsia="仿宋" w:cs="仿宋"/>
          <w:color w:val="000000" w:themeColor="text1"/>
          <w:spacing w:val="-2"/>
          <w:sz w:val="24"/>
          <w:szCs w:val="24"/>
          <w:highlight w:val="none"/>
          <w14:textFill>
            <w14:solidFill>
              <w14:schemeClr w14:val="tx1"/>
            </w14:solidFill>
          </w14:textFill>
        </w:rPr>
        <w:t>安管理机构或联防组织，统一管理施工场地的治安保卫事项，履行合同工</w:t>
      </w:r>
      <w:r>
        <w:rPr>
          <w:rFonts w:hint="eastAsia" w:ascii="仿宋" w:hAnsi="仿宋" w:eastAsia="仿宋" w:cs="仿宋"/>
          <w:color w:val="000000" w:themeColor="text1"/>
          <w:spacing w:val="-3"/>
          <w:sz w:val="24"/>
          <w:szCs w:val="24"/>
          <w:highlight w:val="none"/>
          <w14:textFill>
            <w14:solidFill>
              <w14:schemeClr w14:val="tx1"/>
            </w14:solidFill>
          </w14:textFill>
        </w:rPr>
        <w:t>程的治</w:t>
      </w:r>
      <w:r>
        <w:rPr>
          <w:rFonts w:hint="eastAsia" w:ascii="仿宋" w:hAnsi="仿宋" w:eastAsia="仿宋" w:cs="仿宋"/>
          <w:color w:val="000000" w:themeColor="text1"/>
          <w:spacing w:val="-6"/>
          <w:sz w:val="24"/>
          <w:szCs w:val="24"/>
          <w:highlight w:val="none"/>
          <w14:textFill>
            <w14:solidFill>
              <w14:schemeClr w14:val="tx1"/>
            </w14:solidFill>
          </w14:textFill>
        </w:rPr>
        <w:t>安保卫职责。</w:t>
      </w:r>
    </w:p>
    <w:p w14:paraId="69ADA4E2">
      <w:pPr>
        <w:keepNext w:val="0"/>
        <w:keepLines w:val="0"/>
        <w:pageBreakBefore w:val="0"/>
        <w:widowControl w:val="0"/>
        <w:kinsoku/>
        <w:wordWrap/>
        <w:overflowPunct/>
        <w:topLinePunct w:val="0"/>
        <w:autoSpaceDE/>
        <w:autoSpaceDN/>
        <w:bidi w:val="0"/>
        <w:snapToGrid/>
        <w:spacing w:line="360" w:lineRule="auto"/>
        <w:ind w:left="0" w:leftChars="0" w:right="0" w:rightChars="0" w:firstLine="565"/>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发包人和承包人除应协助现场治安管理机构或联防组织维护施工场地的社</w:t>
      </w:r>
      <w:r>
        <w:rPr>
          <w:rFonts w:hint="eastAsia" w:ascii="仿宋" w:hAnsi="仿宋" w:eastAsia="仿宋" w:cs="仿宋"/>
          <w:color w:val="000000" w:themeColor="text1"/>
          <w:spacing w:val="-1"/>
          <w:sz w:val="24"/>
          <w:szCs w:val="24"/>
          <w:highlight w:val="none"/>
          <w14:textFill>
            <w14:solidFill>
              <w14:schemeClr w14:val="tx1"/>
            </w14:solidFill>
          </w14:textFill>
        </w:rPr>
        <w:t>会治安外，还应做好包括生活区在内的各自管辖区的治安保卫</w:t>
      </w:r>
      <w:r>
        <w:rPr>
          <w:rFonts w:hint="eastAsia" w:ascii="仿宋" w:hAnsi="仿宋" w:eastAsia="仿宋" w:cs="仿宋"/>
          <w:color w:val="000000" w:themeColor="text1"/>
          <w:spacing w:val="-2"/>
          <w:sz w:val="24"/>
          <w:szCs w:val="24"/>
          <w:highlight w:val="none"/>
          <w14:textFill>
            <w14:solidFill>
              <w14:schemeClr w14:val="tx1"/>
            </w14:solidFill>
          </w14:textFill>
        </w:rPr>
        <w:t>工作。</w:t>
      </w:r>
    </w:p>
    <w:p w14:paraId="0EA1D906">
      <w:pPr>
        <w:keepNext w:val="0"/>
        <w:keepLines w:val="0"/>
        <w:pageBreakBefore w:val="0"/>
        <w:widowControl w:val="0"/>
        <w:kinsoku/>
        <w:wordWrap/>
        <w:overflowPunct/>
        <w:topLinePunct w:val="0"/>
        <w:autoSpaceDE/>
        <w:autoSpaceDN/>
        <w:bidi w:val="0"/>
        <w:snapToGrid/>
        <w:spacing w:line="360" w:lineRule="auto"/>
        <w:ind w:left="0" w:leftChars="0" w:right="0" w:rightChars="0" w:firstLine="565"/>
        <w:jc w:val="left"/>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73CF644">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6.1.5 文明施工</w:t>
      </w:r>
    </w:p>
    <w:p w14:paraId="1FDED119">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承包人在工程施工期间，应当采取措施保持施工现场平整，物料堆放整齐。工程所在地有关政府行政管理部门有特殊要求的，按照其要求执行。合同当事人</w:t>
      </w:r>
      <w:r>
        <w:rPr>
          <w:rFonts w:hint="eastAsia" w:ascii="仿宋" w:hAnsi="仿宋" w:eastAsia="仿宋" w:cs="仿宋"/>
          <w:color w:val="000000" w:themeColor="text1"/>
          <w:spacing w:val="-1"/>
          <w:sz w:val="24"/>
          <w:szCs w:val="24"/>
          <w:highlight w:val="none"/>
          <w14:textFill>
            <w14:solidFill>
              <w14:schemeClr w14:val="tx1"/>
            </w14:solidFill>
          </w14:textFill>
        </w:rPr>
        <w:t>对文明施工有其他要求的，可以在专用合同条款中明确。</w:t>
      </w:r>
    </w:p>
    <w:p w14:paraId="30D7D977">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在工程移交之前，承包人应当从施工现场清除承包人的全部工程设备、</w:t>
      </w:r>
      <w:r>
        <w:rPr>
          <w:rFonts w:hint="eastAsia" w:ascii="仿宋" w:hAnsi="仿宋" w:eastAsia="仿宋" w:cs="仿宋"/>
          <w:color w:val="000000" w:themeColor="text1"/>
          <w:spacing w:val="-3"/>
          <w:sz w:val="24"/>
          <w:szCs w:val="24"/>
          <w:highlight w:val="none"/>
          <w14:textFill>
            <w14:solidFill>
              <w14:schemeClr w14:val="tx1"/>
            </w14:solidFill>
          </w14:textFill>
        </w:rPr>
        <w:t>多余</w:t>
      </w:r>
      <w:r>
        <w:rPr>
          <w:rFonts w:hint="eastAsia" w:ascii="仿宋" w:hAnsi="仿宋" w:eastAsia="仿宋" w:cs="仿宋"/>
          <w:color w:val="000000" w:themeColor="text1"/>
          <w:spacing w:val="-2"/>
          <w:sz w:val="24"/>
          <w:szCs w:val="24"/>
          <w:highlight w:val="none"/>
          <w14:textFill>
            <w14:solidFill>
              <w14:schemeClr w14:val="tx1"/>
            </w14:solidFill>
          </w14:textFill>
        </w:rPr>
        <w:t>材料、垃圾和各种临时工程，并保持施工现场清洁整齐。经发包人书面同意，承包人可在发包人指定的地点保留承包人履行保修期内的各项义务所需要的材料、</w:t>
      </w:r>
      <w:r>
        <w:rPr>
          <w:rFonts w:hint="eastAsia" w:ascii="仿宋" w:hAnsi="仿宋" w:eastAsia="仿宋" w:cs="仿宋"/>
          <w:color w:val="000000" w:themeColor="text1"/>
          <w:spacing w:val="-3"/>
          <w:sz w:val="24"/>
          <w:szCs w:val="24"/>
          <w:highlight w:val="none"/>
          <w14:textFill>
            <w14:solidFill>
              <w14:schemeClr w14:val="tx1"/>
            </w14:solidFill>
          </w14:textFill>
        </w:rPr>
        <w:t>施工设备和临时工程。</w:t>
      </w:r>
    </w:p>
    <w:p w14:paraId="5D4EB876">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6.1.6 安全文明施工费</w:t>
      </w:r>
    </w:p>
    <w:p w14:paraId="69BA442D">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安全文明施工费由发包人承担，发包人不得以任何形式</w:t>
      </w:r>
      <w:r>
        <w:rPr>
          <w:rFonts w:hint="eastAsia" w:ascii="仿宋" w:hAnsi="仿宋" w:eastAsia="仿宋" w:cs="仿宋"/>
          <w:color w:val="000000" w:themeColor="text1"/>
          <w:spacing w:val="-3"/>
          <w:sz w:val="24"/>
          <w:szCs w:val="24"/>
          <w:highlight w:val="none"/>
          <w14:textFill>
            <w14:solidFill>
              <w14:schemeClr w14:val="tx1"/>
            </w14:solidFill>
          </w14:textFill>
        </w:rPr>
        <w:t>扣减该部分费用。因</w:t>
      </w:r>
      <w:r>
        <w:rPr>
          <w:rFonts w:hint="eastAsia" w:ascii="仿宋" w:hAnsi="仿宋" w:eastAsia="仿宋" w:cs="仿宋"/>
          <w:color w:val="000000" w:themeColor="text1"/>
          <w:spacing w:val="-2"/>
          <w:sz w:val="24"/>
          <w:szCs w:val="24"/>
          <w:highlight w:val="none"/>
          <w14:textFill>
            <w14:solidFill>
              <w14:schemeClr w14:val="tx1"/>
            </w14:solidFill>
          </w14:textFill>
        </w:rPr>
        <w:t>基准日期后合同所适用的法律或政府有关规定发生变化，增加的安全文明施工费</w:t>
      </w:r>
      <w:r>
        <w:rPr>
          <w:rFonts w:hint="eastAsia" w:ascii="仿宋" w:hAnsi="仿宋" w:eastAsia="仿宋" w:cs="仿宋"/>
          <w:color w:val="000000" w:themeColor="text1"/>
          <w:spacing w:val="-6"/>
          <w:sz w:val="24"/>
          <w:szCs w:val="24"/>
          <w:highlight w:val="none"/>
          <w14:textFill>
            <w14:solidFill>
              <w14:schemeClr w14:val="tx1"/>
            </w14:solidFill>
          </w14:textFill>
        </w:rPr>
        <w:t>由发包人承担。</w:t>
      </w:r>
    </w:p>
    <w:p w14:paraId="0459F4D4">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承包人经发包人同意采取合同约定以外的安全措施所产生的费用，由</w:t>
      </w:r>
      <w:r>
        <w:rPr>
          <w:rFonts w:hint="eastAsia" w:ascii="仿宋" w:hAnsi="仿宋" w:eastAsia="仿宋" w:cs="仿宋"/>
          <w:color w:val="000000" w:themeColor="text1"/>
          <w:spacing w:val="-3"/>
          <w:sz w:val="24"/>
          <w:szCs w:val="24"/>
          <w:highlight w:val="none"/>
          <w14:textFill>
            <w14:solidFill>
              <w14:schemeClr w14:val="tx1"/>
            </w14:solidFill>
          </w14:textFill>
        </w:rPr>
        <w:t>发包人</w:t>
      </w:r>
      <w:r>
        <w:rPr>
          <w:rFonts w:hint="eastAsia" w:ascii="仿宋" w:hAnsi="仿宋" w:eastAsia="仿宋" w:cs="仿宋"/>
          <w:color w:val="000000" w:themeColor="text1"/>
          <w:spacing w:val="-2"/>
          <w:sz w:val="24"/>
          <w:szCs w:val="24"/>
          <w:highlight w:val="none"/>
          <w14:textFill>
            <w14:solidFill>
              <w14:schemeClr w14:val="tx1"/>
            </w14:solidFill>
          </w14:textFill>
        </w:rPr>
        <w:t>承担。未经发包人同意的，如果该措施避免了发包人的损失，则发包人在避免损失的额度内承担该措施费。如果该措施避免了承包人的损失，由承包人承担该措</w:t>
      </w:r>
      <w:r>
        <w:rPr>
          <w:rFonts w:hint="eastAsia" w:ascii="仿宋" w:hAnsi="仿宋" w:eastAsia="仿宋" w:cs="仿宋"/>
          <w:color w:val="000000" w:themeColor="text1"/>
          <w:spacing w:val="-11"/>
          <w:sz w:val="24"/>
          <w:szCs w:val="24"/>
          <w:highlight w:val="none"/>
          <w14:textFill>
            <w14:solidFill>
              <w14:schemeClr w14:val="tx1"/>
            </w14:solidFill>
          </w14:textFill>
        </w:rPr>
        <w:t>施费。</w:t>
      </w:r>
    </w:p>
    <w:p w14:paraId="1A736DE0">
      <w:pPr>
        <w:keepNext w:val="0"/>
        <w:keepLines w:val="0"/>
        <w:pageBreakBefore w:val="0"/>
        <w:widowControl w:val="0"/>
        <w:kinsoku/>
        <w:wordWrap/>
        <w:overflowPunct/>
        <w:topLinePunct w:val="0"/>
        <w:autoSpaceDE/>
        <w:autoSpaceDN/>
        <w:bidi w:val="0"/>
        <w:snapToGrid/>
        <w:spacing w:line="360" w:lineRule="auto"/>
        <w:ind w:left="0" w:leftChars="0" w:right="0" w:rightChars="0" w:firstLine="572"/>
        <w:rPr>
          <w:rFonts w:hint="eastAsia" w:ascii="仿宋" w:hAnsi="仿宋" w:eastAsia="仿宋" w:cs="仿宋"/>
          <w:color w:val="000000" w:themeColor="text1"/>
          <w:spacing w:val="-7"/>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除专用合同条款另有约定外，发包人应在开工后28天内预付安全文明施工费</w:t>
      </w:r>
      <w:r>
        <w:rPr>
          <w:rFonts w:hint="eastAsia" w:ascii="仿宋" w:hAnsi="仿宋" w:eastAsia="仿宋" w:cs="仿宋"/>
          <w:color w:val="000000" w:themeColor="text1"/>
          <w:spacing w:val="-2"/>
          <w:sz w:val="24"/>
          <w:szCs w:val="24"/>
          <w:highlight w:val="none"/>
          <w14:textFill>
            <w14:solidFill>
              <w14:schemeClr w14:val="tx1"/>
            </w14:solidFill>
          </w14:textFill>
        </w:rPr>
        <w:t>总额的50%，其余部分与进度款同期支付。发包人逾期支付安全文明施工费超过7</w:t>
      </w:r>
      <w:r>
        <w:rPr>
          <w:rFonts w:hint="eastAsia" w:ascii="仿宋" w:hAnsi="仿宋" w:eastAsia="仿宋" w:cs="仿宋"/>
          <w:color w:val="000000" w:themeColor="text1"/>
          <w:sz w:val="24"/>
          <w:szCs w:val="24"/>
          <w:highlight w:val="none"/>
          <w14:textFill>
            <w14:solidFill>
              <w14:schemeClr w14:val="tx1"/>
            </w14:solidFill>
          </w14:textFill>
        </w:rPr>
        <w:t>天的，承包人有权向发包人发出要求预付的催告</w:t>
      </w:r>
      <w:r>
        <w:rPr>
          <w:rFonts w:hint="eastAsia" w:ascii="仿宋" w:hAnsi="仿宋" w:eastAsia="仿宋" w:cs="仿宋"/>
          <w:color w:val="000000" w:themeColor="text1"/>
          <w:spacing w:val="-1"/>
          <w:sz w:val="24"/>
          <w:szCs w:val="24"/>
          <w:highlight w:val="none"/>
          <w14:textFill>
            <w14:solidFill>
              <w14:schemeClr w14:val="tx1"/>
            </w14:solidFill>
          </w14:textFill>
        </w:rPr>
        <w:t>通知，发包人收到通知后7天内</w:t>
      </w:r>
      <w:r>
        <w:rPr>
          <w:rFonts w:hint="eastAsia" w:ascii="仿宋" w:hAnsi="仿宋" w:eastAsia="仿宋" w:cs="仿宋"/>
          <w:color w:val="000000" w:themeColor="text1"/>
          <w:spacing w:val="-7"/>
          <w:sz w:val="24"/>
          <w:szCs w:val="24"/>
          <w:highlight w:val="none"/>
          <w14:textFill>
            <w14:solidFill>
              <w14:schemeClr w14:val="tx1"/>
            </w14:solidFill>
          </w14:textFill>
        </w:rPr>
        <w:t>仍未支付的，承包人有权暂停施工，并按第16.1.1项〔发包人违约的情形〕执行。</w:t>
      </w:r>
    </w:p>
    <w:p w14:paraId="33E17BF6">
      <w:pPr>
        <w:keepNext w:val="0"/>
        <w:keepLines w:val="0"/>
        <w:pageBreakBefore w:val="0"/>
        <w:widowControl w:val="0"/>
        <w:kinsoku/>
        <w:wordWrap/>
        <w:overflowPunct/>
        <w:topLinePunct w:val="0"/>
        <w:autoSpaceDE/>
        <w:autoSpaceDN/>
        <w:bidi w:val="0"/>
        <w:snapToGrid/>
        <w:spacing w:line="360" w:lineRule="auto"/>
        <w:ind w:left="0" w:leftChars="0" w:right="0" w:rightChars="0" w:firstLine="572"/>
        <w:rPr>
          <w:rFonts w:hint="eastAsia" w:ascii="仿宋" w:hAnsi="仿宋" w:eastAsia="仿宋" w:cs="仿宋"/>
          <w:color w:val="000000" w:themeColor="text1"/>
          <w:spacing w:val="-7"/>
          <w:sz w:val="24"/>
          <w:szCs w:val="24"/>
          <w:highlight w:val="none"/>
          <w14:textFill>
            <w14:solidFill>
              <w14:schemeClr w14:val="tx1"/>
            </w14:solidFill>
          </w14:textFill>
        </w:rPr>
      </w:pPr>
      <w:r>
        <w:rPr>
          <w:rFonts w:hint="eastAsia" w:ascii="仿宋" w:hAnsi="仿宋" w:eastAsia="仿宋" w:cs="仿宋"/>
          <w:color w:val="000000" w:themeColor="text1"/>
          <w:spacing w:val="-7"/>
          <w:sz w:val="24"/>
          <w:szCs w:val="24"/>
          <w:highlight w:val="none"/>
          <w14:textFill>
            <w14:solidFill>
              <w14:schemeClr w14:val="tx1"/>
            </w14:solidFill>
          </w14:textFill>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18AFF749">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6.1.7 紧急情况处理</w:t>
      </w:r>
    </w:p>
    <w:p w14:paraId="5882FD3B">
      <w:pPr>
        <w:keepNext w:val="0"/>
        <w:keepLines w:val="0"/>
        <w:pageBreakBefore w:val="0"/>
        <w:widowControl w:val="0"/>
        <w:kinsoku/>
        <w:wordWrap/>
        <w:overflowPunct/>
        <w:topLinePunct w:val="0"/>
        <w:autoSpaceDE/>
        <w:autoSpaceDN/>
        <w:bidi w:val="0"/>
        <w:snapToGrid/>
        <w:spacing w:line="360" w:lineRule="auto"/>
        <w:ind w:left="0" w:leftChars="0" w:right="0" w:rightChars="0" w:firstLine="55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在工程实施期间或缺陷责任期内发生危及工程安全的事件，监理人通知</w:t>
      </w:r>
      <w:r>
        <w:rPr>
          <w:rFonts w:hint="eastAsia" w:ascii="仿宋" w:hAnsi="仿宋" w:eastAsia="仿宋" w:cs="仿宋"/>
          <w:color w:val="000000" w:themeColor="text1"/>
          <w:spacing w:val="-3"/>
          <w:sz w:val="24"/>
          <w:szCs w:val="24"/>
          <w:highlight w:val="none"/>
          <w14:textFill>
            <w14:solidFill>
              <w14:schemeClr w14:val="tx1"/>
            </w14:solidFill>
          </w14:textFill>
        </w:rPr>
        <w:t>承包</w:t>
      </w:r>
      <w:r>
        <w:rPr>
          <w:rFonts w:hint="eastAsia" w:ascii="仿宋" w:hAnsi="仿宋" w:eastAsia="仿宋" w:cs="仿宋"/>
          <w:color w:val="000000" w:themeColor="text1"/>
          <w:spacing w:val="-2"/>
          <w:sz w:val="24"/>
          <w:szCs w:val="24"/>
          <w:highlight w:val="none"/>
          <w14:textFill>
            <w14:solidFill>
              <w14:schemeClr w14:val="tx1"/>
            </w14:solidFill>
          </w14:textFill>
        </w:rPr>
        <w:t>人进行抢救，承包人声明无能力或不愿立即执行的，发包人有权雇佣其他人员进行抢救。此类抢救按合同约定属于承包人义务的，由此增加的费用和（或）延误</w:t>
      </w:r>
      <w:r>
        <w:rPr>
          <w:rFonts w:hint="eastAsia" w:ascii="仿宋" w:hAnsi="仿宋" w:eastAsia="仿宋" w:cs="仿宋"/>
          <w:color w:val="000000" w:themeColor="text1"/>
          <w:spacing w:val="-4"/>
          <w:sz w:val="24"/>
          <w:szCs w:val="24"/>
          <w:highlight w:val="none"/>
          <w14:textFill>
            <w14:solidFill>
              <w14:schemeClr w14:val="tx1"/>
            </w14:solidFill>
          </w14:textFill>
        </w:rPr>
        <w:t>的工期由承包人承担。</w:t>
      </w:r>
    </w:p>
    <w:p w14:paraId="1707B66A">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6.1.8 事故处理</w:t>
      </w:r>
    </w:p>
    <w:p w14:paraId="51617805">
      <w:pPr>
        <w:keepNext w:val="0"/>
        <w:keepLines w:val="0"/>
        <w:pageBreakBefore w:val="0"/>
        <w:widowControl w:val="0"/>
        <w:kinsoku/>
        <w:wordWrap/>
        <w:overflowPunct/>
        <w:topLinePunct w:val="0"/>
        <w:autoSpaceDE/>
        <w:autoSpaceDN/>
        <w:bidi w:val="0"/>
        <w:snapToGrid/>
        <w:spacing w:line="360" w:lineRule="auto"/>
        <w:ind w:left="0" w:leftChars="0" w:right="0" w:rightChars="0" w:firstLine="5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工程施工过程中发生事故的，承包人应立即通知监理人，监</w:t>
      </w:r>
      <w:r>
        <w:rPr>
          <w:rFonts w:hint="eastAsia" w:ascii="仿宋" w:hAnsi="仿宋" w:eastAsia="仿宋" w:cs="仿宋"/>
          <w:color w:val="000000" w:themeColor="text1"/>
          <w:spacing w:val="-3"/>
          <w:sz w:val="24"/>
          <w:szCs w:val="24"/>
          <w:highlight w:val="none"/>
          <w14:textFill>
            <w14:solidFill>
              <w14:schemeClr w14:val="tx1"/>
            </w14:solidFill>
          </w14:textFill>
        </w:rPr>
        <w:t>理人应立即通知</w:t>
      </w:r>
      <w:r>
        <w:rPr>
          <w:rFonts w:hint="eastAsia" w:ascii="仿宋" w:hAnsi="仿宋" w:eastAsia="仿宋" w:cs="仿宋"/>
          <w:color w:val="000000" w:themeColor="text1"/>
          <w:spacing w:val="-2"/>
          <w:sz w:val="24"/>
          <w:szCs w:val="24"/>
          <w:highlight w:val="none"/>
          <w14:textFill>
            <w14:solidFill>
              <w14:schemeClr w14:val="tx1"/>
            </w14:solidFill>
          </w14:textFill>
        </w:rPr>
        <w:t>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w:t>
      </w:r>
      <w:r>
        <w:rPr>
          <w:rFonts w:hint="eastAsia" w:ascii="仿宋" w:hAnsi="仿宋" w:eastAsia="仿宋" w:cs="仿宋"/>
          <w:color w:val="000000" w:themeColor="text1"/>
          <w:sz w:val="24"/>
          <w:szCs w:val="24"/>
          <w:highlight w:val="none"/>
          <w14:textFill>
            <w14:solidFill>
              <w14:schemeClr w14:val="tx1"/>
            </w14:solidFill>
          </w14:textFill>
        </w:rPr>
        <w:t>时如实地向有关部门报告事故发生的情况，</w:t>
      </w:r>
      <w:r>
        <w:rPr>
          <w:rFonts w:hint="eastAsia" w:ascii="仿宋" w:hAnsi="仿宋" w:eastAsia="仿宋" w:cs="仿宋"/>
          <w:color w:val="000000" w:themeColor="text1"/>
          <w:spacing w:val="-1"/>
          <w:sz w:val="24"/>
          <w:szCs w:val="24"/>
          <w:highlight w:val="none"/>
          <w14:textFill>
            <w14:solidFill>
              <w14:schemeClr w14:val="tx1"/>
            </w14:solidFill>
          </w14:textFill>
        </w:rPr>
        <w:t>以及正在采取的紧急措施等。</w:t>
      </w:r>
    </w:p>
    <w:p w14:paraId="607E327B">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6.1.9 安全生产责任</w:t>
      </w:r>
    </w:p>
    <w:p w14:paraId="0B4EC12D">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6.1.9.1 发包人的安全责任</w:t>
      </w:r>
    </w:p>
    <w:p w14:paraId="38283D6A">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发包人应负责赔偿以下各种情况造成的损失：</w:t>
      </w:r>
    </w:p>
    <w:p w14:paraId="46DA5611">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（1）工程或工程的任何部分对土地的占用所造成的第三者财产损失；</w:t>
      </w:r>
    </w:p>
    <w:p w14:paraId="3A612923">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（2）由于发包人原因在施工场地及其毗邻</w:t>
      </w:r>
      <w:r>
        <w:rPr>
          <w:rFonts w:hint="eastAsia" w:ascii="仿宋" w:hAnsi="仿宋" w:eastAsia="仿宋" w:cs="仿宋"/>
          <w:color w:val="000000" w:themeColor="text1"/>
          <w:spacing w:val="1"/>
          <w:sz w:val="24"/>
          <w:szCs w:val="24"/>
          <w:highlight w:val="none"/>
          <w14:textFill>
            <w14:solidFill>
              <w14:schemeClr w14:val="tx1"/>
            </w14:solidFill>
          </w14:textFill>
        </w:rPr>
        <w:t>地带造成的第三者人身伤亡和财</w:t>
      </w:r>
      <w:r>
        <w:rPr>
          <w:rFonts w:hint="eastAsia" w:ascii="仿宋" w:hAnsi="仿宋" w:eastAsia="仿宋" w:cs="仿宋"/>
          <w:color w:val="000000" w:themeColor="text1"/>
          <w:spacing w:val="-14"/>
          <w:sz w:val="24"/>
          <w:szCs w:val="24"/>
          <w:highlight w:val="none"/>
          <w14:textFill>
            <w14:solidFill>
              <w14:schemeClr w14:val="tx1"/>
            </w14:solidFill>
          </w14:textFill>
        </w:rPr>
        <w:t>产损失；</w:t>
      </w:r>
    </w:p>
    <w:p w14:paraId="258E27F0">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（3）由于发包人原因对承包人、监理人造成的人员人身伤亡和财产损失；</w:t>
      </w:r>
    </w:p>
    <w:p w14:paraId="00200436">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（4）由于发包人原因造成的发包人自身人员的人身伤害以及财产损失。</w:t>
      </w:r>
    </w:p>
    <w:p w14:paraId="5D58C451">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6.1.9.2 承包人的安全责任</w:t>
      </w:r>
    </w:p>
    <w:p w14:paraId="19D75515">
      <w:pPr>
        <w:keepNext w:val="0"/>
        <w:keepLines w:val="0"/>
        <w:pageBreakBefore w:val="0"/>
        <w:widowControl w:val="0"/>
        <w:kinsoku/>
        <w:wordWrap/>
        <w:overflowPunct/>
        <w:topLinePunct w:val="0"/>
        <w:autoSpaceDE/>
        <w:autoSpaceDN/>
        <w:bidi w:val="0"/>
        <w:snapToGrid/>
        <w:spacing w:line="360" w:lineRule="auto"/>
        <w:ind w:left="0" w:leftChars="0" w:right="0" w:rightChars="0" w:firstLine="59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由于承包人原因在施工场地内及其毗邻地带造成的发包人、监理人</w:t>
      </w:r>
      <w:r>
        <w:rPr>
          <w:rFonts w:hint="eastAsia" w:ascii="仿宋" w:hAnsi="仿宋" w:eastAsia="仿宋" w:cs="仿宋"/>
          <w:color w:val="000000" w:themeColor="text1"/>
          <w:spacing w:val="-4"/>
          <w:sz w:val="24"/>
          <w:szCs w:val="24"/>
          <w:highlight w:val="none"/>
          <w14:textFill>
            <w14:solidFill>
              <w14:schemeClr w14:val="tx1"/>
            </w14:solidFill>
          </w14:textFill>
        </w:rPr>
        <w:t>以及第三</w:t>
      </w:r>
      <w:r>
        <w:rPr>
          <w:rFonts w:hint="eastAsia" w:ascii="仿宋" w:hAnsi="仿宋" w:eastAsia="仿宋" w:cs="仿宋"/>
          <w:color w:val="000000" w:themeColor="text1"/>
          <w:spacing w:val="-3"/>
          <w:sz w:val="24"/>
          <w:szCs w:val="24"/>
          <w:highlight w:val="none"/>
          <w14:textFill>
            <w14:solidFill>
              <w14:schemeClr w14:val="tx1"/>
            </w14:solidFill>
          </w14:textFill>
        </w:rPr>
        <w:t>者人员伤亡和财产损失，由承包人负责赔偿。</w:t>
      </w:r>
    </w:p>
    <w:p w14:paraId="18AE397E">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6.2 职业健康</w:t>
      </w:r>
    </w:p>
    <w:p w14:paraId="7C5F8792">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6.2.1</w:t>
      </w:r>
      <w:r>
        <w:rPr>
          <w:rFonts w:hint="eastAsia" w:ascii="仿宋" w:hAnsi="仿宋" w:eastAsia="仿宋" w:cs="仿宋"/>
          <w:color w:val="000000" w:themeColor="text1"/>
          <w:spacing w:val="2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劳动保护</w:t>
      </w:r>
    </w:p>
    <w:p w14:paraId="42EE9B54">
      <w:pPr>
        <w:keepNext w:val="0"/>
        <w:keepLines w:val="0"/>
        <w:pageBreakBefore w:val="0"/>
        <w:widowControl w:val="0"/>
        <w:kinsoku/>
        <w:wordWrap/>
        <w:overflowPunct/>
        <w:topLinePunct w:val="0"/>
        <w:autoSpaceDE/>
        <w:autoSpaceDN/>
        <w:bidi w:val="0"/>
        <w:snapToGrid/>
        <w:spacing w:line="360" w:lineRule="auto"/>
        <w:ind w:left="0" w:leftChars="0" w:right="0" w:rightChars="0" w:firstLine="56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承包人应按照法律规定安排现场施工人员的劳动和休息时间，保障劳</w:t>
      </w:r>
      <w:r>
        <w:rPr>
          <w:rFonts w:hint="eastAsia" w:ascii="仿宋" w:hAnsi="仿宋" w:eastAsia="仿宋" w:cs="仿宋"/>
          <w:color w:val="000000" w:themeColor="text1"/>
          <w:spacing w:val="-3"/>
          <w:sz w:val="24"/>
          <w:szCs w:val="24"/>
          <w:highlight w:val="none"/>
          <w14:textFill>
            <w14:solidFill>
              <w14:schemeClr w14:val="tx1"/>
            </w14:solidFill>
          </w14:textFill>
        </w:rPr>
        <w:t>动者的</w:t>
      </w:r>
      <w:r>
        <w:rPr>
          <w:rFonts w:hint="eastAsia" w:ascii="仿宋" w:hAnsi="仿宋" w:eastAsia="仿宋" w:cs="仿宋"/>
          <w:color w:val="000000" w:themeColor="text1"/>
          <w:spacing w:val="-2"/>
          <w:sz w:val="24"/>
          <w:szCs w:val="24"/>
          <w:highlight w:val="none"/>
          <w14:textFill>
            <w14:solidFill>
              <w14:schemeClr w14:val="tx1"/>
            </w14:solidFill>
          </w14:textFill>
        </w:rPr>
        <w:t>休息时间，并支付合理的报酬和费用。承包人应依法为其履行合同所雇用的人员办理必要的证件、许可、保险和注册等，承包人应督促其分包人为分包人所雇用</w:t>
      </w:r>
      <w:r>
        <w:rPr>
          <w:rFonts w:hint="eastAsia" w:ascii="仿宋" w:hAnsi="仿宋" w:eastAsia="仿宋" w:cs="仿宋"/>
          <w:color w:val="000000" w:themeColor="text1"/>
          <w:spacing w:val="-1"/>
          <w:sz w:val="24"/>
          <w:szCs w:val="24"/>
          <w:highlight w:val="none"/>
          <w14:textFill>
            <w14:solidFill>
              <w14:schemeClr w14:val="tx1"/>
            </w14:solidFill>
          </w14:textFill>
        </w:rPr>
        <w:t>的人员办理必要的证件、许可、保险和注册等。</w:t>
      </w:r>
    </w:p>
    <w:p w14:paraId="7E93F263">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承包人应按照法律规定保障现场施工人员的劳动安全</w:t>
      </w:r>
      <w:r>
        <w:rPr>
          <w:rFonts w:hint="eastAsia" w:ascii="仿宋" w:hAnsi="仿宋" w:eastAsia="仿宋" w:cs="仿宋"/>
          <w:color w:val="000000" w:themeColor="text1"/>
          <w:spacing w:val="-1"/>
          <w:sz w:val="24"/>
          <w:szCs w:val="24"/>
          <w:highlight w:val="none"/>
          <w14:textFill>
            <w14:solidFill>
              <w14:schemeClr w14:val="tx1"/>
            </w14:solidFill>
          </w14:textFill>
        </w:rPr>
        <w:t>，并提供劳动保护,并</w:t>
      </w:r>
      <w:r>
        <w:rPr>
          <w:rFonts w:hint="eastAsia" w:ascii="仿宋" w:hAnsi="仿宋" w:eastAsia="仿宋" w:cs="仿宋"/>
          <w:color w:val="000000" w:themeColor="text1"/>
          <w:spacing w:val="-2"/>
          <w:sz w:val="24"/>
          <w:szCs w:val="24"/>
          <w:highlight w:val="none"/>
          <w14:textFill>
            <w14:solidFill>
              <w14:schemeClr w14:val="tx1"/>
            </w14:solidFill>
          </w14:textFill>
        </w:rPr>
        <w:t>应按国家有关劳动保护的规定，采取有效的防止粉尘、降低噪声、控制有害气体和保障高温、高寒、高空作业安全等劳动保护措施。承包人雇佣人员在施工中受</w:t>
      </w:r>
      <w:r>
        <w:rPr>
          <w:rFonts w:hint="eastAsia" w:ascii="仿宋" w:hAnsi="仿宋" w:eastAsia="仿宋" w:cs="仿宋"/>
          <w:color w:val="000000" w:themeColor="text1"/>
          <w:spacing w:val="-1"/>
          <w:sz w:val="24"/>
          <w:szCs w:val="24"/>
          <w:highlight w:val="none"/>
          <w14:textFill>
            <w14:solidFill>
              <w14:schemeClr w14:val="tx1"/>
            </w14:solidFill>
          </w14:textFill>
        </w:rPr>
        <w:t>到伤害的，承包人应立即采取有效措施进行抢救和治疗。</w:t>
      </w:r>
    </w:p>
    <w:p w14:paraId="0D02D755">
      <w:pPr>
        <w:keepNext w:val="0"/>
        <w:keepLines w:val="0"/>
        <w:pageBreakBefore w:val="0"/>
        <w:widowControl w:val="0"/>
        <w:kinsoku/>
        <w:wordWrap/>
        <w:overflowPunct/>
        <w:topLinePunct w:val="0"/>
        <w:autoSpaceDE/>
        <w:autoSpaceDN/>
        <w:bidi w:val="0"/>
        <w:snapToGrid/>
        <w:spacing w:line="360" w:lineRule="auto"/>
        <w:ind w:left="0" w:leftChars="0" w:right="0" w:rightChars="0" w:firstLine="55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承包人应按法律规定安排工作时间，保证其雇佣人员享有休息和休假的权</w:t>
      </w:r>
      <w:r>
        <w:rPr>
          <w:rFonts w:hint="eastAsia" w:ascii="仿宋" w:hAnsi="仿宋" w:eastAsia="仿宋" w:cs="仿宋"/>
          <w:color w:val="000000" w:themeColor="text1"/>
          <w:spacing w:val="-2"/>
          <w:sz w:val="24"/>
          <w:szCs w:val="24"/>
          <w:highlight w:val="none"/>
          <w14:textFill>
            <w14:solidFill>
              <w14:schemeClr w14:val="tx1"/>
            </w14:solidFill>
          </w14:textFill>
        </w:rPr>
        <w:t>利。因工程施工的特殊需要占用休假日或延长工作时间的，应不超过法律规定的</w:t>
      </w:r>
      <w:r>
        <w:rPr>
          <w:rFonts w:hint="eastAsia" w:ascii="仿宋" w:hAnsi="仿宋" w:eastAsia="仿宋" w:cs="仿宋"/>
          <w:color w:val="000000" w:themeColor="text1"/>
          <w:spacing w:val="-1"/>
          <w:sz w:val="24"/>
          <w:szCs w:val="24"/>
          <w:highlight w:val="none"/>
          <w14:textFill>
            <w14:solidFill>
              <w14:schemeClr w14:val="tx1"/>
            </w14:solidFill>
          </w14:textFill>
        </w:rPr>
        <w:t>限度，并按法律规定给予补休或付酬。</w:t>
      </w:r>
    </w:p>
    <w:p w14:paraId="5EC55935">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6.2.2 生活条件</w:t>
      </w:r>
    </w:p>
    <w:p w14:paraId="0B804697">
      <w:pPr>
        <w:keepNext w:val="0"/>
        <w:keepLines w:val="0"/>
        <w:pageBreakBefore w:val="0"/>
        <w:widowControl w:val="0"/>
        <w:kinsoku/>
        <w:wordWrap/>
        <w:overflowPunct/>
        <w:topLinePunct w:val="0"/>
        <w:autoSpaceDE/>
        <w:autoSpaceDN/>
        <w:bidi w:val="0"/>
        <w:snapToGrid/>
        <w:spacing w:line="360" w:lineRule="auto"/>
        <w:ind w:left="0" w:leftChars="0" w:right="0" w:rightChars="0" w:firstLine="558"/>
        <w:rPr>
          <w:rFonts w:hint="eastAsia" w:ascii="仿宋" w:hAnsi="仿宋" w:eastAsia="仿宋" w:cs="仿宋"/>
          <w:color w:val="000000" w:themeColor="text1"/>
          <w:spacing w:val="-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承包人应为其履行合同所雇用的人员提供必要的膳宿条件和生活环境；承包人应采取有效措施预防传染病，保证施工人员的健康，并定期对施工现场、施工人员生活基地和工程进行防疫和卫生的专业检查和处理,在远离城镇的施工场地，还应配备必要的伤病防治和急救的医务人员与医疗设施。</w:t>
      </w:r>
    </w:p>
    <w:p w14:paraId="63F06BC2">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6.3 环境保护</w:t>
      </w:r>
    </w:p>
    <w:p w14:paraId="6A433CB4">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承包人应在施工组织设计中列明环境保护的具体措施。在合同履行期</w:t>
      </w:r>
      <w:r>
        <w:rPr>
          <w:rFonts w:hint="eastAsia" w:ascii="仿宋" w:hAnsi="仿宋" w:eastAsia="仿宋" w:cs="仿宋"/>
          <w:color w:val="000000" w:themeColor="text1"/>
          <w:spacing w:val="-3"/>
          <w:sz w:val="24"/>
          <w:szCs w:val="24"/>
          <w:highlight w:val="none"/>
          <w14:textFill>
            <w14:solidFill>
              <w14:schemeClr w14:val="tx1"/>
            </w14:solidFill>
          </w14:textFill>
        </w:rPr>
        <w:t>间，承</w:t>
      </w:r>
      <w:r>
        <w:rPr>
          <w:rFonts w:hint="eastAsia" w:ascii="仿宋" w:hAnsi="仿宋" w:eastAsia="仿宋" w:cs="仿宋"/>
          <w:color w:val="000000" w:themeColor="text1"/>
          <w:spacing w:val="-7"/>
          <w:sz w:val="24"/>
          <w:szCs w:val="24"/>
          <w:highlight w:val="none"/>
          <w14:textFill>
            <w14:solidFill>
              <w14:schemeClr w14:val="tx1"/>
            </w14:solidFill>
          </w14:textFill>
        </w:rPr>
        <w:t>包人应采取合理措施保护施工现场环境。对施工作业过程中可能引起的大气、水、</w:t>
      </w:r>
      <w:r>
        <w:rPr>
          <w:rFonts w:hint="eastAsia" w:ascii="仿宋" w:hAnsi="仿宋" w:eastAsia="仿宋" w:cs="仿宋"/>
          <w:color w:val="000000" w:themeColor="text1"/>
          <w:spacing w:val="-2"/>
          <w:sz w:val="24"/>
          <w:szCs w:val="24"/>
          <w:highlight w:val="none"/>
          <w14:textFill>
            <w14:solidFill>
              <w14:schemeClr w14:val="tx1"/>
            </w14:solidFill>
          </w14:textFill>
        </w:rPr>
        <w:t>噪音以及固体废物污染采取具体可行的防范措施。</w:t>
      </w:r>
    </w:p>
    <w:p w14:paraId="4CFA779B">
      <w:pPr>
        <w:keepNext w:val="0"/>
        <w:keepLines w:val="0"/>
        <w:pageBreakBefore w:val="0"/>
        <w:widowControl w:val="0"/>
        <w:kinsoku/>
        <w:wordWrap/>
        <w:overflowPunct/>
        <w:topLinePunct w:val="0"/>
        <w:autoSpaceDE/>
        <w:autoSpaceDN/>
        <w:bidi w:val="0"/>
        <w:snapToGrid/>
        <w:spacing w:line="360" w:lineRule="auto"/>
        <w:ind w:left="0" w:leftChars="0" w:right="0" w:rightChars="0" w:firstLine="55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承包人应当承担因其原因引起的环境污染侵权损害赔偿责任，因上述</w:t>
      </w:r>
      <w:r>
        <w:rPr>
          <w:rFonts w:hint="eastAsia" w:ascii="仿宋" w:hAnsi="仿宋" w:eastAsia="仿宋" w:cs="仿宋"/>
          <w:color w:val="000000" w:themeColor="text1"/>
          <w:spacing w:val="-3"/>
          <w:sz w:val="24"/>
          <w:szCs w:val="24"/>
          <w:highlight w:val="none"/>
          <w14:textFill>
            <w14:solidFill>
              <w14:schemeClr w14:val="tx1"/>
            </w14:solidFill>
          </w14:textFill>
        </w:rPr>
        <w:t>环境污</w:t>
      </w:r>
      <w:r>
        <w:rPr>
          <w:rFonts w:hint="eastAsia" w:ascii="仿宋" w:hAnsi="仿宋" w:eastAsia="仿宋" w:cs="仿宋"/>
          <w:color w:val="000000" w:themeColor="text1"/>
          <w:spacing w:val="-2"/>
          <w:sz w:val="24"/>
          <w:szCs w:val="24"/>
          <w:highlight w:val="none"/>
          <w14:textFill>
            <w14:solidFill>
              <w14:schemeClr w14:val="tx1"/>
            </w14:solidFill>
          </w14:textFill>
        </w:rPr>
        <w:t>染引起纠纷而导致暂停施工的，由此增加的费用和（或）延误的工期由承包人承</w:t>
      </w:r>
      <w:bookmarkStart w:id="99" w:name="bookmark121"/>
      <w:bookmarkEnd w:id="99"/>
      <w:r>
        <w:rPr>
          <w:rFonts w:hint="eastAsia" w:ascii="仿宋" w:hAnsi="仿宋" w:eastAsia="仿宋" w:cs="仿宋"/>
          <w:color w:val="000000" w:themeColor="text1"/>
          <w:spacing w:val="-13"/>
          <w:sz w:val="24"/>
          <w:szCs w:val="24"/>
          <w:highlight w:val="none"/>
          <w14:textFill>
            <w14:solidFill>
              <w14:schemeClr w14:val="tx1"/>
            </w14:solidFill>
          </w14:textFill>
        </w:rPr>
        <w:t>担。</w:t>
      </w:r>
    </w:p>
    <w:p w14:paraId="7895B0FF">
      <w:pPr>
        <w:keepNext w:val="0"/>
        <w:keepLines w:val="0"/>
        <w:pageBreakBefore w:val="0"/>
        <w:widowControl w:val="0"/>
        <w:kinsoku/>
        <w:wordWrap/>
        <w:overflowPunct/>
        <w:topLinePunct w:val="0"/>
        <w:autoSpaceDE/>
        <w:autoSpaceDN/>
        <w:bidi w:val="0"/>
        <w:snapToGrid/>
        <w:spacing w:line="360" w:lineRule="auto"/>
        <w:ind w:left="0" w:leftChars="0" w:right="0" w:rightChars="0"/>
        <w:outlineLvl w:val="2"/>
        <w:rPr>
          <w:rFonts w:hint="eastAsia" w:ascii="仿宋" w:hAnsi="仿宋" w:eastAsia="仿宋" w:cs="仿宋"/>
          <w:color w:val="000000" w:themeColor="text1"/>
          <w:sz w:val="24"/>
          <w:szCs w:val="24"/>
          <w:highlight w:val="none"/>
          <w14:textFill>
            <w14:solidFill>
              <w14:schemeClr w14:val="tx1"/>
            </w14:solidFill>
          </w14:textFill>
        </w:rPr>
      </w:pPr>
      <w:bookmarkStart w:id="100" w:name="bookmark213"/>
      <w:bookmarkEnd w:id="100"/>
      <w:bookmarkStart w:id="101" w:name="_Toc2497"/>
      <w:r>
        <w:rPr>
          <w:rFonts w:hint="eastAsia" w:ascii="仿宋" w:hAnsi="仿宋" w:eastAsia="仿宋" w:cs="仿宋"/>
          <w:color w:val="000000" w:themeColor="text1"/>
          <w:spacing w:val="-5"/>
          <w:sz w:val="24"/>
          <w:szCs w:val="24"/>
          <w:highlight w:val="none"/>
          <w14:textFill>
            <w14:solidFill>
              <w14:schemeClr w14:val="tx1"/>
            </w14:solidFill>
          </w14:textFill>
        </w:rPr>
        <w:t>7.</w:t>
      </w:r>
      <w:r>
        <w:rPr>
          <w:rFonts w:hint="eastAsia" w:ascii="仿宋" w:hAnsi="仿宋" w:eastAsia="仿宋" w:cs="仿宋"/>
          <w:color w:val="000000" w:themeColor="text1"/>
          <w:spacing w:val="1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工期和进度</w:t>
      </w:r>
      <w:bookmarkEnd w:id="101"/>
    </w:p>
    <w:p w14:paraId="0D455445">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7.1</w:t>
      </w:r>
      <w:r>
        <w:rPr>
          <w:rFonts w:hint="eastAsia" w:ascii="仿宋" w:hAnsi="仿宋" w:eastAsia="仿宋" w:cs="仿宋"/>
          <w:color w:val="000000" w:themeColor="text1"/>
          <w:spacing w:val="-5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施工组织设计</w:t>
      </w:r>
    </w:p>
    <w:p w14:paraId="2CFD89B9">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7.1.1 施工组织设计的内容</w:t>
      </w:r>
    </w:p>
    <w:p w14:paraId="23A38425">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施工组织设计应包含以下内容：</w:t>
      </w:r>
    </w:p>
    <w:p w14:paraId="54015B4D">
      <w:pPr>
        <w:keepNext w:val="0"/>
        <w:keepLines w:val="0"/>
        <w:pageBreakBefore w:val="0"/>
        <w:widowControl w:val="0"/>
        <w:kinsoku/>
        <w:wordWrap/>
        <w:overflowPunct/>
        <w:topLinePunct w:val="0"/>
        <w:autoSpaceDE/>
        <w:autoSpaceDN/>
        <w:bidi w:val="0"/>
        <w:snapToGrid/>
        <w:spacing w:line="360" w:lineRule="auto"/>
        <w:ind w:left="0" w:leftChars="0" w:right="0" w:rightChars="0" w:firstLine="45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7"/>
          <w:sz w:val="24"/>
          <w:szCs w:val="24"/>
          <w:highlight w:val="none"/>
          <w14:textFill>
            <w14:solidFill>
              <w14:schemeClr w14:val="tx1"/>
            </w14:solidFill>
          </w14:textFill>
        </w:rPr>
        <w:t>（1）施工方案；</w:t>
      </w:r>
    </w:p>
    <w:p w14:paraId="45E2E280">
      <w:pPr>
        <w:keepNext w:val="0"/>
        <w:keepLines w:val="0"/>
        <w:pageBreakBefore w:val="0"/>
        <w:widowControl w:val="0"/>
        <w:kinsoku/>
        <w:wordWrap/>
        <w:overflowPunct/>
        <w:topLinePunct w:val="0"/>
        <w:autoSpaceDE/>
        <w:autoSpaceDN/>
        <w:bidi w:val="0"/>
        <w:snapToGrid/>
        <w:spacing w:line="360" w:lineRule="auto"/>
        <w:ind w:left="0" w:leftChars="0" w:right="0" w:rightChars="0" w:firstLine="45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（2）施工现场平面布置图；</w:t>
      </w:r>
    </w:p>
    <w:p w14:paraId="551D8D91">
      <w:pPr>
        <w:keepNext w:val="0"/>
        <w:keepLines w:val="0"/>
        <w:pageBreakBefore w:val="0"/>
        <w:widowControl w:val="0"/>
        <w:kinsoku/>
        <w:wordWrap/>
        <w:overflowPunct/>
        <w:topLinePunct w:val="0"/>
        <w:autoSpaceDE/>
        <w:autoSpaceDN/>
        <w:bidi w:val="0"/>
        <w:snapToGrid/>
        <w:spacing w:line="360" w:lineRule="auto"/>
        <w:ind w:left="0" w:leftChars="0" w:right="0" w:rightChars="0" w:firstLine="464"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（3）施工进度计划和保证措施；</w:t>
      </w:r>
    </w:p>
    <w:p w14:paraId="78E2B8D3">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（4）劳动力及材料供应计划；</w:t>
      </w:r>
    </w:p>
    <w:p w14:paraId="19448194">
      <w:pPr>
        <w:keepNext w:val="0"/>
        <w:keepLines w:val="0"/>
        <w:pageBreakBefore w:val="0"/>
        <w:widowControl w:val="0"/>
        <w:kinsoku/>
        <w:wordWrap/>
        <w:overflowPunct/>
        <w:topLinePunct w:val="0"/>
        <w:autoSpaceDE/>
        <w:autoSpaceDN/>
        <w:bidi w:val="0"/>
        <w:snapToGrid/>
        <w:spacing w:line="360" w:lineRule="auto"/>
        <w:ind w:left="0" w:leftChars="0" w:right="0" w:rightChars="0" w:firstLine="45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（5）施工机械设备的选用；</w:t>
      </w:r>
    </w:p>
    <w:p w14:paraId="27D278C0">
      <w:pPr>
        <w:keepNext w:val="0"/>
        <w:keepLines w:val="0"/>
        <w:pageBreakBefore w:val="0"/>
        <w:widowControl w:val="0"/>
        <w:kinsoku/>
        <w:wordWrap/>
        <w:overflowPunct/>
        <w:topLinePunct w:val="0"/>
        <w:autoSpaceDE/>
        <w:autoSpaceDN/>
        <w:bidi w:val="0"/>
        <w:snapToGrid/>
        <w:spacing w:line="360" w:lineRule="auto"/>
        <w:ind w:left="0" w:leftChars="0" w:right="0" w:rightChars="0" w:firstLine="45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（6）质量保证体系及措施；</w:t>
      </w:r>
    </w:p>
    <w:p w14:paraId="4D451EB6">
      <w:pPr>
        <w:keepNext w:val="0"/>
        <w:keepLines w:val="0"/>
        <w:pageBreakBefore w:val="0"/>
        <w:widowControl w:val="0"/>
        <w:kinsoku/>
        <w:wordWrap/>
        <w:overflowPunct/>
        <w:topLinePunct w:val="0"/>
        <w:autoSpaceDE/>
        <w:autoSpaceDN/>
        <w:bidi w:val="0"/>
        <w:snapToGrid/>
        <w:spacing w:line="360" w:lineRule="auto"/>
        <w:ind w:left="0" w:leftChars="0" w:right="0" w:rightChars="0" w:firstLine="464"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（7）安全生产、文明施工措施；</w:t>
      </w:r>
    </w:p>
    <w:p w14:paraId="41558B8F">
      <w:pPr>
        <w:keepNext w:val="0"/>
        <w:keepLines w:val="0"/>
        <w:pageBreakBefore w:val="0"/>
        <w:widowControl w:val="0"/>
        <w:kinsoku/>
        <w:wordWrap/>
        <w:overflowPunct/>
        <w:topLinePunct w:val="0"/>
        <w:autoSpaceDE/>
        <w:autoSpaceDN/>
        <w:bidi w:val="0"/>
        <w:snapToGrid/>
        <w:spacing w:line="360" w:lineRule="auto"/>
        <w:ind w:left="0" w:leftChars="0" w:right="0" w:rightChars="0" w:firstLine="464"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（8）环境保护、成本控制措施；</w:t>
      </w:r>
    </w:p>
    <w:p w14:paraId="583C635E">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（9）合同当事人约定的其他内容。</w:t>
      </w:r>
    </w:p>
    <w:p w14:paraId="1F55C0D1">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7.1.2 施工组织设计的提交和修改</w:t>
      </w:r>
    </w:p>
    <w:p w14:paraId="3E46913C">
      <w:pPr>
        <w:keepNext w:val="0"/>
        <w:keepLines w:val="0"/>
        <w:pageBreakBefore w:val="0"/>
        <w:widowControl w:val="0"/>
        <w:kinsoku/>
        <w:wordWrap/>
        <w:overflowPunct/>
        <w:topLinePunct w:val="0"/>
        <w:autoSpaceDE/>
        <w:autoSpaceDN/>
        <w:bidi w:val="0"/>
        <w:snapToGrid/>
        <w:spacing w:line="360" w:lineRule="auto"/>
        <w:ind w:left="0" w:leftChars="0" w:right="0" w:rightChars="0" w:firstLine="57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除专用合同条款另有约定外，承包人应在合同签订后14天内，但至迟不得晚</w:t>
      </w:r>
      <w:r>
        <w:rPr>
          <w:rFonts w:hint="eastAsia" w:ascii="仿宋" w:hAnsi="仿宋" w:eastAsia="仿宋" w:cs="仿宋"/>
          <w:color w:val="000000" w:themeColor="text1"/>
          <w:spacing w:val="-2"/>
          <w:sz w:val="24"/>
          <w:szCs w:val="24"/>
          <w:highlight w:val="none"/>
          <w14:textFill>
            <w14:solidFill>
              <w14:schemeClr w14:val="tx1"/>
            </w14:solidFill>
          </w14:textFill>
        </w:rPr>
        <w:t>于第7.3.2项〔开工通知〕载明的开工日期前7天，向监理人提交详细的施工组织设计，并由监理人报送发包人。除专用合同条款另有约定外，发包人和监理人应</w:t>
      </w:r>
      <w:r>
        <w:rPr>
          <w:rFonts w:hint="eastAsia" w:ascii="仿宋" w:hAnsi="仿宋" w:eastAsia="仿宋" w:cs="仿宋"/>
          <w:color w:val="000000" w:themeColor="text1"/>
          <w:sz w:val="24"/>
          <w:szCs w:val="24"/>
          <w:highlight w:val="none"/>
          <w14:textFill>
            <w14:solidFill>
              <w14:schemeClr w14:val="tx1"/>
            </w14:solidFill>
          </w14:textFill>
        </w:rPr>
        <w:t>在监理人收到施工组织设计后7天内确认或提出修改意</w:t>
      </w:r>
      <w:r>
        <w:rPr>
          <w:rFonts w:hint="eastAsia" w:ascii="仿宋" w:hAnsi="仿宋" w:eastAsia="仿宋" w:cs="仿宋"/>
          <w:color w:val="000000" w:themeColor="text1"/>
          <w:spacing w:val="-1"/>
          <w:sz w:val="24"/>
          <w:szCs w:val="24"/>
          <w:highlight w:val="none"/>
          <w14:textFill>
            <w14:solidFill>
              <w14:schemeClr w14:val="tx1"/>
            </w14:solidFill>
          </w14:textFill>
        </w:rPr>
        <w:t>见。对发包人和监理人提</w:t>
      </w:r>
      <w:r>
        <w:rPr>
          <w:rFonts w:hint="eastAsia" w:ascii="仿宋" w:hAnsi="仿宋" w:eastAsia="仿宋" w:cs="仿宋"/>
          <w:color w:val="000000" w:themeColor="text1"/>
          <w:spacing w:val="-2"/>
          <w:sz w:val="24"/>
          <w:szCs w:val="24"/>
          <w:highlight w:val="none"/>
          <w14:textFill>
            <w14:solidFill>
              <w14:schemeClr w14:val="tx1"/>
            </w14:solidFill>
          </w14:textFill>
        </w:rPr>
        <w:t>出的合理意见和要求，承包人应自费修改完善。根据工程实际情况需要修改施工</w:t>
      </w:r>
      <w:r>
        <w:rPr>
          <w:rFonts w:hint="eastAsia" w:ascii="仿宋" w:hAnsi="仿宋" w:eastAsia="仿宋" w:cs="仿宋"/>
          <w:color w:val="000000" w:themeColor="text1"/>
          <w:spacing w:val="-1"/>
          <w:sz w:val="24"/>
          <w:szCs w:val="24"/>
          <w:highlight w:val="none"/>
          <w14:textFill>
            <w14:solidFill>
              <w14:schemeClr w14:val="tx1"/>
            </w14:solidFill>
          </w14:textFill>
        </w:rPr>
        <w:t>组织设计的，承包人应向发包人和监理人提交修改后</w:t>
      </w:r>
      <w:r>
        <w:rPr>
          <w:rFonts w:hint="eastAsia" w:ascii="仿宋" w:hAnsi="仿宋" w:eastAsia="仿宋" w:cs="仿宋"/>
          <w:color w:val="000000" w:themeColor="text1"/>
          <w:spacing w:val="-2"/>
          <w:sz w:val="24"/>
          <w:szCs w:val="24"/>
          <w:highlight w:val="none"/>
          <w14:textFill>
            <w14:solidFill>
              <w14:schemeClr w14:val="tx1"/>
            </w14:solidFill>
          </w14:textFill>
        </w:rPr>
        <w:t>的施工组织设计。</w:t>
      </w:r>
    </w:p>
    <w:p w14:paraId="16C39565">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施工进度计划的编制和修改按照第7.2款〔施</w:t>
      </w:r>
      <w:r>
        <w:rPr>
          <w:rFonts w:hint="eastAsia" w:ascii="仿宋" w:hAnsi="仿宋" w:eastAsia="仿宋" w:cs="仿宋"/>
          <w:color w:val="000000" w:themeColor="text1"/>
          <w:spacing w:val="-2"/>
          <w:sz w:val="24"/>
          <w:szCs w:val="24"/>
          <w:highlight w:val="none"/>
          <w14:textFill>
            <w14:solidFill>
              <w14:schemeClr w14:val="tx1"/>
            </w14:solidFill>
          </w14:textFill>
        </w:rPr>
        <w:t>工进度计划〕执行。</w:t>
      </w:r>
    </w:p>
    <w:p w14:paraId="295FE61C">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7.2 施工进度计划</w:t>
      </w:r>
    </w:p>
    <w:p w14:paraId="27F76B7F">
      <w:pPr>
        <w:pStyle w:val="9"/>
        <w:keepNext w:val="0"/>
        <w:keepLines w:val="0"/>
        <w:pageBreakBefore w:val="0"/>
        <w:widowControl w:val="0"/>
        <w:kinsoku/>
        <w:wordWrap/>
        <w:overflowPunct/>
        <w:topLinePunct w:val="0"/>
        <w:autoSpaceDE/>
        <w:autoSpaceDN/>
        <w:bidi w:val="0"/>
        <w:snapToGrid/>
        <w:spacing w:after="0"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p>
    <w:p w14:paraId="6459CA3D">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7.2.1 施工进度计划的编制</w:t>
      </w:r>
    </w:p>
    <w:p w14:paraId="3AE6E2FC">
      <w:pPr>
        <w:keepNext w:val="0"/>
        <w:keepLines w:val="0"/>
        <w:pageBreakBefore w:val="0"/>
        <w:widowControl w:val="0"/>
        <w:kinsoku/>
        <w:wordWrap/>
        <w:overflowPunct/>
        <w:topLinePunct w:val="0"/>
        <w:autoSpaceDE/>
        <w:autoSpaceDN/>
        <w:bidi w:val="0"/>
        <w:snapToGrid/>
        <w:spacing w:line="360" w:lineRule="auto"/>
        <w:ind w:left="0" w:leftChars="0" w:right="0" w:rightChars="0" w:firstLine="5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承包人应按照第7.1款〔施工组织设计〕约定提</w:t>
      </w:r>
      <w:r>
        <w:rPr>
          <w:rFonts w:hint="eastAsia" w:ascii="仿宋" w:hAnsi="仿宋" w:eastAsia="仿宋" w:cs="仿宋"/>
          <w:color w:val="000000" w:themeColor="text1"/>
          <w:spacing w:val="-1"/>
          <w:sz w:val="24"/>
          <w:szCs w:val="24"/>
          <w:highlight w:val="none"/>
          <w14:textFill>
            <w14:solidFill>
              <w14:schemeClr w14:val="tx1"/>
            </w14:solidFill>
          </w14:textFill>
        </w:rPr>
        <w:t>交详细的施工进度计划，施</w:t>
      </w:r>
      <w:r>
        <w:rPr>
          <w:rFonts w:hint="eastAsia" w:ascii="仿宋" w:hAnsi="仿宋" w:eastAsia="仿宋" w:cs="仿宋"/>
          <w:color w:val="000000" w:themeColor="text1"/>
          <w:spacing w:val="-2"/>
          <w:sz w:val="24"/>
          <w:szCs w:val="24"/>
          <w:highlight w:val="none"/>
          <w14:textFill>
            <w14:solidFill>
              <w14:schemeClr w14:val="tx1"/>
            </w14:solidFill>
          </w14:textFill>
        </w:rPr>
        <w:t>工进度计划的编制应当符合国家法律规定和一般工程实践惯例，施工进度计划经发包人批准后实施。施工进度计划是控制工程进度的依据，发包人和监理人有权</w:t>
      </w:r>
      <w:r>
        <w:rPr>
          <w:rFonts w:hint="eastAsia" w:ascii="仿宋" w:hAnsi="仿宋" w:eastAsia="仿宋" w:cs="仿宋"/>
          <w:color w:val="000000" w:themeColor="text1"/>
          <w:spacing w:val="-1"/>
          <w:sz w:val="24"/>
          <w:szCs w:val="24"/>
          <w:highlight w:val="none"/>
          <w14:textFill>
            <w14:solidFill>
              <w14:schemeClr w14:val="tx1"/>
            </w14:solidFill>
          </w14:textFill>
        </w:rPr>
        <w:t>按照施工进度计划检查工程进度情况。</w:t>
      </w:r>
    </w:p>
    <w:p w14:paraId="22A64A0D">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7.2.2 施工进度计划的修订</w:t>
      </w:r>
    </w:p>
    <w:p w14:paraId="28A9463D">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施工进度计划不符合合同要求或与工程的实际进度不一致的，承包人应</w:t>
      </w:r>
      <w:r>
        <w:rPr>
          <w:rFonts w:hint="eastAsia" w:ascii="仿宋" w:hAnsi="仿宋" w:eastAsia="仿宋" w:cs="仿宋"/>
          <w:color w:val="000000" w:themeColor="text1"/>
          <w:spacing w:val="-3"/>
          <w:sz w:val="24"/>
          <w:szCs w:val="24"/>
          <w:highlight w:val="none"/>
          <w14:textFill>
            <w14:solidFill>
              <w14:schemeClr w14:val="tx1"/>
            </w14:solidFill>
          </w14:textFill>
        </w:rPr>
        <w:t>向监</w:t>
      </w:r>
      <w:r>
        <w:rPr>
          <w:rFonts w:hint="eastAsia" w:ascii="仿宋" w:hAnsi="仿宋" w:eastAsia="仿宋" w:cs="仿宋"/>
          <w:color w:val="000000" w:themeColor="text1"/>
          <w:spacing w:val="-2"/>
          <w:sz w:val="24"/>
          <w:szCs w:val="24"/>
          <w:highlight w:val="none"/>
          <w14:textFill>
            <w14:solidFill>
              <w14:schemeClr w14:val="tx1"/>
            </w14:solidFill>
          </w14:textFill>
        </w:rPr>
        <w:t>理人提交修订的施工进度计划，并附具有关措施和相关资料，由监理人报送发包人。除专用合同条款另有约定外，发包人和监理人应在收到修订的施工进度计划</w:t>
      </w:r>
      <w:r>
        <w:rPr>
          <w:rFonts w:hint="eastAsia" w:ascii="仿宋" w:hAnsi="仿宋" w:eastAsia="仿宋" w:cs="仿宋"/>
          <w:color w:val="000000" w:themeColor="text1"/>
          <w:sz w:val="24"/>
          <w:szCs w:val="24"/>
          <w:highlight w:val="none"/>
          <w14:textFill>
            <w14:solidFill>
              <w14:schemeClr w14:val="tx1"/>
            </w14:solidFill>
          </w14:textFill>
        </w:rPr>
        <w:t>后7天内完成审核和批准或提出修改意见。发包人和监</w:t>
      </w:r>
      <w:r>
        <w:rPr>
          <w:rFonts w:hint="eastAsia" w:ascii="仿宋" w:hAnsi="仿宋" w:eastAsia="仿宋" w:cs="仿宋"/>
          <w:color w:val="000000" w:themeColor="text1"/>
          <w:spacing w:val="-1"/>
          <w:sz w:val="24"/>
          <w:szCs w:val="24"/>
          <w:highlight w:val="none"/>
          <w14:textFill>
            <w14:solidFill>
              <w14:schemeClr w14:val="tx1"/>
            </w14:solidFill>
          </w14:textFill>
        </w:rPr>
        <w:t>理人对承包人提交的施工</w:t>
      </w:r>
      <w:r>
        <w:rPr>
          <w:rFonts w:hint="eastAsia" w:ascii="仿宋" w:hAnsi="仿宋" w:eastAsia="仿宋" w:cs="仿宋"/>
          <w:color w:val="000000" w:themeColor="text1"/>
          <w:spacing w:val="-2"/>
          <w:sz w:val="24"/>
          <w:szCs w:val="24"/>
          <w:highlight w:val="none"/>
          <w14:textFill>
            <w14:solidFill>
              <w14:schemeClr w14:val="tx1"/>
            </w14:solidFill>
          </w14:textFill>
        </w:rPr>
        <w:t>进度计划的确认，不能减轻或免除承包人根据法律规定和合同约定应承担的任何</w:t>
      </w:r>
      <w:r>
        <w:rPr>
          <w:rFonts w:hint="eastAsia" w:ascii="仿宋" w:hAnsi="仿宋" w:eastAsia="仿宋" w:cs="仿宋"/>
          <w:color w:val="000000" w:themeColor="text1"/>
          <w:spacing w:val="-5"/>
          <w:sz w:val="24"/>
          <w:szCs w:val="24"/>
          <w:highlight w:val="none"/>
          <w14:textFill>
            <w14:solidFill>
              <w14:schemeClr w14:val="tx1"/>
            </w14:solidFill>
          </w14:textFill>
        </w:rPr>
        <w:t>责任或义务。</w:t>
      </w:r>
    </w:p>
    <w:p w14:paraId="350A9F19">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7.3</w:t>
      </w:r>
      <w:r>
        <w:rPr>
          <w:rFonts w:hint="eastAsia" w:ascii="仿宋" w:hAnsi="仿宋" w:eastAsia="仿宋" w:cs="仿宋"/>
          <w:color w:val="000000" w:themeColor="text1"/>
          <w:spacing w:val="1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开工</w:t>
      </w:r>
    </w:p>
    <w:p w14:paraId="49E807E9">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7.3.1 开工准备</w:t>
      </w:r>
    </w:p>
    <w:p w14:paraId="2B1CEE55">
      <w:pPr>
        <w:keepNext w:val="0"/>
        <w:keepLines w:val="0"/>
        <w:pageBreakBefore w:val="0"/>
        <w:widowControl w:val="0"/>
        <w:kinsoku/>
        <w:wordWrap/>
        <w:overflowPunct/>
        <w:topLinePunct w:val="0"/>
        <w:autoSpaceDE/>
        <w:autoSpaceDN/>
        <w:bidi w:val="0"/>
        <w:snapToGrid/>
        <w:spacing w:line="360" w:lineRule="auto"/>
        <w:ind w:left="0" w:leftChars="0" w:right="0" w:rightChars="0" w:firstLine="57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除专用合同条款另有约定外，承包人应按照第</w:t>
      </w:r>
      <w:r>
        <w:rPr>
          <w:rFonts w:hint="eastAsia" w:ascii="仿宋" w:hAnsi="仿宋" w:eastAsia="仿宋" w:cs="仿宋"/>
          <w:color w:val="000000" w:themeColor="text1"/>
          <w:spacing w:val="-5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7.1</w:t>
      </w:r>
      <w:r>
        <w:rPr>
          <w:rFonts w:hint="eastAsia" w:ascii="仿宋" w:hAnsi="仿宋" w:eastAsia="仿宋" w:cs="仿宋"/>
          <w:color w:val="000000" w:themeColor="text1"/>
          <w:spacing w:val="-5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款〔</w:t>
      </w:r>
      <w:r>
        <w:rPr>
          <w:rFonts w:hint="eastAsia" w:ascii="仿宋" w:hAnsi="仿宋" w:eastAsia="仿宋" w:cs="仿宋"/>
          <w:color w:val="000000" w:themeColor="text1"/>
          <w:spacing w:val="-4"/>
          <w:sz w:val="24"/>
          <w:szCs w:val="24"/>
          <w:highlight w:val="none"/>
          <w14:textFill>
            <w14:solidFill>
              <w14:schemeClr w14:val="tx1"/>
            </w14:solidFill>
          </w14:textFill>
        </w:rPr>
        <w:t>施工组织设计〕约定</w:t>
      </w:r>
      <w:r>
        <w:rPr>
          <w:rFonts w:hint="eastAsia" w:ascii="仿宋" w:hAnsi="仿宋" w:eastAsia="仿宋" w:cs="仿宋"/>
          <w:color w:val="000000" w:themeColor="text1"/>
          <w:spacing w:val="-2"/>
          <w:sz w:val="24"/>
          <w:szCs w:val="24"/>
          <w:highlight w:val="none"/>
          <w14:textFill>
            <w14:solidFill>
              <w14:schemeClr w14:val="tx1"/>
            </w14:solidFill>
          </w14:textFill>
        </w:rPr>
        <w:t>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1A7A401D">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除专用合同条款另有约定外，合同当事人应按约定完成开工准备工作。</w:t>
      </w:r>
    </w:p>
    <w:p w14:paraId="75D5A39D">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7.3.2 开工通知</w:t>
      </w:r>
    </w:p>
    <w:p w14:paraId="45C9525D">
      <w:pPr>
        <w:keepNext w:val="0"/>
        <w:keepLines w:val="0"/>
        <w:pageBreakBefore w:val="0"/>
        <w:widowControl w:val="0"/>
        <w:kinsoku/>
        <w:wordWrap/>
        <w:overflowPunct/>
        <w:topLinePunct w:val="0"/>
        <w:autoSpaceDE/>
        <w:autoSpaceDN/>
        <w:bidi w:val="0"/>
        <w:snapToGrid/>
        <w:spacing w:line="360" w:lineRule="auto"/>
        <w:ind w:left="0" w:leftChars="0" w:right="0" w:rightChars="0" w:firstLine="5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发包人应按照法律规定获得工程施工所需的许可。经发包</w:t>
      </w:r>
      <w:r>
        <w:rPr>
          <w:rFonts w:hint="eastAsia" w:ascii="仿宋" w:hAnsi="仿宋" w:eastAsia="仿宋" w:cs="仿宋"/>
          <w:color w:val="000000" w:themeColor="text1"/>
          <w:spacing w:val="-3"/>
          <w:sz w:val="24"/>
          <w:szCs w:val="24"/>
          <w:highlight w:val="none"/>
          <w14:textFill>
            <w14:solidFill>
              <w14:schemeClr w14:val="tx1"/>
            </w14:solidFill>
          </w14:textFill>
        </w:rPr>
        <w:t>人同意后，监理人</w:t>
      </w:r>
      <w:r>
        <w:rPr>
          <w:rFonts w:hint="eastAsia" w:ascii="仿宋" w:hAnsi="仿宋" w:eastAsia="仿宋" w:cs="仿宋"/>
          <w:color w:val="000000" w:themeColor="text1"/>
          <w:sz w:val="24"/>
          <w:szCs w:val="24"/>
          <w:highlight w:val="none"/>
          <w14:textFill>
            <w14:solidFill>
              <w14:schemeClr w14:val="tx1"/>
            </w14:solidFill>
          </w14:textFill>
        </w:rPr>
        <w:t>发出的开工通知应符合法律规定。监理人应在计划开</w:t>
      </w:r>
      <w:r>
        <w:rPr>
          <w:rFonts w:hint="eastAsia" w:ascii="仿宋" w:hAnsi="仿宋" w:eastAsia="仿宋" w:cs="仿宋"/>
          <w:color w:val="000000" w:themeColor="text1"/>
          <w:spacing w:val="-1"/>
          <w:sz w:val="24"/>
          <w:szCs w:val="24"/>
          <w:highlight w:val="none"/>
          <w14:textFill>
            <w14:solidFill>
              <w14:schemeClr w14:val="tx1"/>
            </w14:solidFill>
          </w14:textFill>
        </w:rPr>
        <w:t>工日期7天前向承包人发出</w:t>
      </w:r>
      <w:r>
        <w:rPr>
          <w:rFonts w:hint="eastAsia" w:ascii="仿宋" w:hAnsi="仿宋" w:eastAsia="仿宋" w:cs="仿宋"/>
          <w:color w:val="000000" w:themeColor="text1"/>
          <w:spacing w:val="-2"/>
          <w:sz w:val="24"/>
          <w:szCs w:val="24"/>
          <w:highlight w:val="none"/>
          <w14:textFill>
            <w14:solidFill>
              <w14:schemeClr w14:val="tx1"/>
            </w14:solidFill>
          </w14:textFill>
        </w:rPr>
        <w:t>开工通知，工期自开工通知中载明的开工日期起算。</w:t>
      </w:r>
    </w:p>
    <w:p w14:paraId="038779B8">
      <w:pPr>
        <w:keepNext w:val="0"/>
        <w:keepLines w:val="0"/>
        <w:pageBreakBefore w:val="0"/>
        <w:widowControl w:val="0"/>
        <w:kinsoku/>
        <w:wordWrap/>
        <w:overflowPunct/>
        <w:topLinePunct w:val="0"/>
        <w:autoSpaceDE/>
        <w:autoSpaceDN/>
        <w:bidi w:val="0"/>
        <w:snapToGrid/>
        <w:spacing w:line="360" w:lineRule="auto"/>
        <w:ind w:left="0" w:leftChars="0" w:right="0" w:rightChars="0" w:firstLine="57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除专用合同条款另有约定外，因发包人原因造成监理人未能在计划开工日期</w:t>
      </w:r>
      <w:r>
        <w:rPr>
          <w:rFonts w:hint="eastAsia" w:ascii="仿宋" w:hAnsi="仿宋" w:eastAsia="仿宋" w:cs="仿宋"/>
          <w:color w:val="000000" w:themeColor="text1"/>
          <w:spacing w:val="-4"/>
          <w:sz w:val="24"/>
          <w:szCs w:val="24"/>
          <w:highlight w:val="none"/>
          <w14:textFill>
            <w14:solidFill>
              <w14:schemeClr w14:val="tx1"/>
            </w14:solidFill>
          </w14:textFill>
        </w:rPr>
        <w:t>之日起</w:t>
      </w:r>
      <w:r>
        <w:rPr>
          <w:rFonts w:hint="eastAsia" w:ascii="仿宋" w:hAnsi="仿宋" w:eastAsia="仿宋" w:cs="仿宋"/>
          <w:color w:val="000000" w:themeColor="text1"/>
          <w:spacing w:val="-5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90</w:t>
      </w:r>
      <w:r>
        <w:rPr>
          <w:rFonts w:hint="eastAsia" w:ascii="仿宋" w:hAnsi="仿宋" w:eastAsia="仿宋" w:cs="仿宋"/>
          <w:color w:val="000000" w:themeColor="text1"/>
          <w:spacing w:val="-5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天内发出开工通知的，承包人有权提出价格调整要求，或者解除合同。</w:t>
      </w:r>
      <w:r>
        <w:rPr>
          <w:rFonts w:hint="eastAsia" w:ascii="仿宋" w:hAnsi="仿宋" w:eastAsia="仿宋" w:cs="仿宋"/>
          <w:color w:val="000000" w:themeColor="text1"/>
          <w:spacing w:val="-7"/>
          <w:sz w:val="24"/>
          <w:szCs w:val="24"/>
          <w:highlight w:val="none"/>
          <w14:textFill>
            <w14:solidFill>
              <w14:schemeClr w14:val="tx1"/>
            </w14:solidFill>
          </w14:textFill>
        </w:rPr>
        <w:t>发包人应当承担由此增加的费用和（或）延误的工期，并向承包人支付合理利润。</w:t>
      </w:r>
    </w:p>
    <w:p w14:paraId="75F7E691">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7.4</w:t>
      </w:r>
      <w:r>
        <w:rPr>
          <w:rFonts w:hint="eastAsia" w:ascii="仿宋" w:hAnsi="仿宋" w:eastAsia="仿宋" w:cs="仿宋"/>
          <w:color w:val="000000" w:themeColor="text1"/>
          <w:spacing w:val="-5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测量放线</w:t>
      </w:r>
    </w:p>
    <w:p w14:paraId="54AEB489">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7.4.1 除专用合同条款另有约定外，发包人应</w:t>
      </w:r>
      <w:r>
        <w:rPr>
          <w:rFonts w:hint="eastAsia" w:ascii="仿宋" w:hAnsi="仿宋" w:eastAsia="仿宋" w:cs="仿宋"/>
          <w:color w:val="000000" w:themeColor="text1"/>
          <w:spacing w:val="-6"/>
          <w:sz w:val="24"/>
          <w:szCs w:val="24"/>
          <w:highlight w:val="none"/>
          <w14:textFill>
            <w14:solidFill>
              <w14:schemeClr w14:val="tx1"/>
            </w14:solidFill>
          </w14:textFill>
        </w:rPr>
        <w:t>在至迟不得晚于第7.3.2项〔开</w:t>
      </w:r>
      <w:r>
        <w:rPr>
          <w:rFonts w:hint="eastAsia" w:ascii="仿宋" w:hAnsi="仿宋" w:eastAsia="仿宋" w:cs="仿宋"/>
          <w:color w:val="000000" w:themeColor="text1"/>
          <w:sz w:val="24"/>
          <w:szCs w:val="24"/>
          <w:highlight w:val="none"/>
          <w14:textFill>
            <w14:solidFill>
              <w14:schemeClr w14:val="tx1"/>
            </w14:solidFill>
          </w14:textFill>
        </w:rPr>
        <w:t>工通知〕载明的开工日期前7天通过监理人向承包人提供测量基准点、基准线和水准点及其书面资料。发包人应对其提供的测量基准点、基准线和水准点及其书面资料的真实性、准确性和完整性负责。</w:t>
      </w:r>
    </w:p>
    <w:p w14:paraId="393189EC">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43E1DDBB">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2B77E9C0">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施工过程中对施工现场内水准点等测量标志物</w:t>
      </w:r>
      <w:r>
        <w:rPr>
          <w:rFonts w:hint="eastAsia" w:ascii="仿宋" w:hAnsi="仿宋" w:eastAsia="仿宋" w:cs="仿宋"/>
          <w:color w:val="000000" w:themeColor="text1"/>
          <w:spacing w:val="-1"/>
          <w:sz w:val="24"/>
          <w:szCs w:val="24"/>
          <w:highlight w:val="none"/>
          <w14:textFill>
            <w14:solidFill>
              <w14:schemeClr w14:val="tx1"/>
            </w14:solidFill>
          </w14:textFill>
        </w:rPr>
        <w:t>的保护工作由承包人负责。</w:t>
      </w:r>
    </w:p>
    <w:p w14:paraId="08F3D850">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7.5</w:t>
      </w:r>
      <w:r>
        <w:rPr>
          <w:rFonts w:hint="eastAsia" w:ascii="仿宋" w:hAnsi="仿宋" w:eastAsia="仿宋" w:cs="仿宋"/>
          <w:color w:val="000000" w:themeColor="text1"/>
          <w:spacing w:val="1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工期延误</w:t>
      </w:r>
    </w:p>
    <w:p w14:paraId="1365C6CA">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7.5.1 因发包人原因导致工期延误</w:t>
      </w:r>
    </w:p>
    <w:p w14:paraId="190333FC">
      <w:pPr>
        <w:keepNext w:val="0"/>
        <w:keepLines w:val="0"/>
        <w:pageBreakBefore w:val="0"/>
        <w:widowControl w:val="0"/>
        <w:kinsoku/>
        <w:wordWrap/>
        <w:overflowPunct/>
        <w:topLinePunct w:val="0"/>
        <w:autoSpaceDE/>
        <w:autoSpaceDN/>
        <w:bidi w:val="0"/>
        <w:snapToGrid/>
        <w:spacing w:line="360" w:lineRule="auto"/>
        <w:ind w:left="0" w:leftChars="0" w:right="0" w:rightChars="0" w:firstLine="55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在合同履行过程中，因下列情况导致工期延误和（或）费用增加的，由发包</w:t>
      </w:r>
      <w:r>
        <w:rPr>
          <w:rFonts w:hint="eastAsia" w:ascii="仿宋" w:hAnsi="仿宋" w:eastAsia="仿宋" w:cs="仿宋"/>
          <w:color w:val="000000" w:themeColor="text1"/>
          <w:spacing w:val="-8"/>
          <w:sz w:val="24"/>
          <w:szCs w:val="24"/>
          <w:highlight w:val="none"/>
          <w14:textFill>
            <w14:solidFill>
              <w14:schemeClr w14:val="tx1"/>
            </w14:solidFill>
          </w14:textFill>
        </w:rPr>
        <w:t>人承担由此延误的工期和（或）增加的费用，且发包人应支付承包人合理的利润：</w:t>
      </w:r>
    </w:p>
    <w:p w14:paraId="4AE1813C">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（1）发包人未能按合同约定提供图纸或所提供图纸不符合合同约定的；</w:t>
      </w:r>
    </w:p>
    <w:p w14:paraId="21135B36">
      <w:pPr>
        <w:keepNext w:val="0"/>
        <w:keepLines w:val="0"/>
        <w:pageBreakBefore w:val="0"/>
        <w:widowControl w:val="0"/>
        <w:kinsoku/>
        <w:wordWrap/>
        <w:overflowPunct/>
        <w:topLinePunct w:val="0"/>
        <w:autoSpaceDE/>
        <w:autoSpaceDN/>
        <w:bidi w:val="0"/>
        <w:snapToGrid/>
        <w:spacing w:line="360" w:lineRule="auto"/>
        <w:ind w:left="0" w:leftChars="0" w:right="0" w:rightChars="0" w:firstLine="56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（2）发包人未能按合同约定提供施工现场、施工条件、基础资料、许可、</w:t>
      </w:r>
      <w:r>
        <w:rPr>
          <w:rFonts w:hint="eastAsia" w:ascii="仿宋" w:hAnsi="仿宋" w:eastAsia="仿宋" w:cs="仿宋"/>
          <w:color w:val="000000" w:themeColor="text1"/>
          <w:spacing w:val="-1"/>
          <w:sz w:val="24"/>
          <w:szCs w:val="24"/>
          <w:highlight w:val="none"/>
          <w14:textFill>
            <w14:solidFill>
              <w14:schemeClr w14:val="tx1"/>
            </w14:solidFill>
          </w14:textFill>
        </w:rPr>
        <w:t>批准等开工条件的；</w:t>
      </w:r>
    </w:p>
    <w:p w14:paraId="41DCC702">
      <w:pPr>
        <w:keepNext w:val="0"/>
        <w:keepLines w:val="0"/>
        <w:pageBreakBefore w:val="0"/>
        <w:widowControl w:val="0"/>
        <w:kinsoku/>
        <w:wordWrap/>
        <w:overflowPunct/>
        <w:topLinePunct w:val="0"/>
        <w:autoSpaceDE/>
        <w:autoSpaceDN/>
        <w:bidi w:val="0"/>
        <w:snapToGrid/>
        <w:spacing w:line="360" w:lineRule="auto"/>
        <w:ind w:left="0" w:leftChars="0" w:right="0" w:rightChars="0" w:firstLine="56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（3）发包人提供的测量基准点、基准线和水准点及其书面资料存在错误或</w:t>
      </w:r>
      <w:r>
        <w:rPr>
          <w:rFonts w:hint="eastAsia" w:ascii="仿宋" w:hAnsi="仿宋" w:eastAsia="仿宋" w:cs="仿宋"/>
          <w:color w:val="000000" w:themeColor="text1"/>
          <w:spacing w:val="-15"/>
          <w:sz w:val="24"/>
          <w:szCs w:val="24"/>
          <w:highlight w:val="none"/>
          <w14:textFill>
            <w14:solidFill>
              <w14:schemeClr w14:val="tx1"/>
            </w14:solidFill>
          </w14:textFill>
        </w:rPr>
        <w:t>疏漏的；</w:t>
      </w:r>
    </w:p>
    <w:p w14:paraId="152027DC">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（4）发包人未能在计划开工日期之日起</w:t>
      </w:r>
      <w:r>
        <w:rPr>
          <w:rFonts w:hint="eastAsia" w:ascii="仿宋" w:hAnsi="仿宋" w:eastAsia="仿宋" w:cs="仿宋"/>
          <w:color w:val="000000" w:themeColor="text1"/>
          <w:spacing w:val="-4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7</w:t>
      </w:r>
      <w:r>
        <w:rPr>
          <w:rFonts w:hint="eastAsia" w:ascii="仿宋" w:hAnsi="仿宋" w:eastAsia="仿宋" w:cs="仿宋"/>
          <w:color w:val="000000" w:themeColor="text1"/>
          <w:spacing w:val="-5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天内同意下达开工通知的；</w:t>
      </w:r>
    </w:p>
    <w:p w14:paraId="70B92971">
      <w:pPr>
        <w:keepNext w:val="0"/>
        <w:keepLines w:val="0"/>
        <w:pageBreakBefore w:val="0"/>
        <w:widowControl w:val="0"/>
        <w:kinsoku/>
        <w:wordWrap/>
        <w:overflowPunct/>
        <w:topLinePunct w:val="0"/>
        <w:autoSpaceDE/>
        <w:autoSpaceDN/>
        <w:bidi w:val="0"/>
        <w:snapToGrid/>
        <w:spacing w:line="360" w:lineRule="auto"/>
        <w:ind w:left="0" w:leftChars="0" w:right="0" w:rightChars="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（5）发包人未能按合同约定日期支付工程预付款、进度款或竣</w:t>
      </w:r>
      <w:r>
        <w:rPr>
          <w:rFonts w:hint="eastAsia" w:ascii="仿宋" w:hAnsi="仿宋" w:eastAsia="仿宋" w:cs="仿宋"/>
          <w:color w:val="000000" w:themeColor="text1"/>
          <w:spacing w:val="-5"/>
          <w:sz w:val="24"/>
          <w:szCs w:val="24"/>
          <w:highlight w:val="none"/>
          <w14:textFill>
            <w14:solidFill>
              <w14:schemeClr w14:val="tx1"/>
            </w14:solidFill>
          </w14:textFill>
        </w:rPr>
        <w:t>工结算款的；</w:t>
      </w:r>
    </w:p>
    <w:p w14:paraId="1E139738">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（6）监理人未按合同约定发出指示、批准等文件的；</w:t>
      </w:r>
    </w:p>
    <w:p w14:paraId="6A4492E6">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（7）专用合同条款中约定的其他情形。</w:t>
      </w:r>
    </w:p>
    <w:p w14:paraId="5A323151">
      <w:pPr>
        <w:keepNext w:val="0"/>
        <w:keepLines w:val="0"/>
        <w:pageBreakBefore w:val="0"/>
        <w:widowControl w:val="0"/>
        <w:kinsoku/>
        <w:wordWrap/>
        <w:overflowPunct/>
        <w:topLinePunct w:val="0"/>
        <w:autoSpaceDE/>
        <w:autoSpaceDN/>
        <w:bidi w:val="0"/>
        <w:snapToGrid/>
        <w:spacing w:line="360" w:lineRule="auto"/>
        <w:ind w:left="0" w:leftChars="0" w:right="0" w:rightChars="0" w:firstLine="5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因发包人原因未按计划开工日期开工的，发包人应按实际开工日期顺延竣工</w:t>
      </w:r>
      <w:r>
        <w:rPr>
          <w:rFonts w:hint="eastAsia" w:ascii="仿宋" w:hAnsi="仿宋" w:eastAsia="仿宋" w:cs="仿宋"/>
          <w:color w:val="000000" w:themeColor="text1"/>
          <w:spacing w:val="-2"/>
          <w:sz w:val="24"/>
          <w:szCs w:val="24"/>
          <w:highlight w:val="none"/>
          <w14:textFill>
            <w14:solidFill>
              <w14:schemeClr w14:val="tx1"/>
            </w14:solidFill>
          </w14:textFill>
        </w:rPr>
        <w:t>日期，确保实际工期不低于合同约定的工期总日历天数。因发包人原因导致工期</w:t>
      </w:r>
      <w:r>
        <w:rPr>
          <w:rFonts w:hint="eastAsia" w:ascii="仿宋" w:hAnsi="仿宋" w:eastAsia="仿宋" w:cs="仿宋"/>
          <w:color w:val="000000" w:themeColor="text1"/>
          <w:sz w:val="24"/>
          <w:szCs w:val="24"/>
          <w:highlight w:val="none"/>
          <w14:textFill>
            <w14:solidFill>
              <w14:schemeClr w14:val="tx1"/>
            </w14:solidFill>
          </w14:textFill>
        </w:rPr>
        <w:t>延误需要修订施工进度计划的，按照第</w:t>
      </w:r>
      <w:r>
        <w:rPr>
          <w:rFonts w:hint="eastAsia" w:ascii="仿宋" w:hAnsi="仿宋" w:eastAsia="仿宋" w:cs="仿宋"/>
          <w:color w:val="000000" w:themeColor="text1"/>
          <w:spacing w:val="-5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7.2.2项〔施工进度计划的修订</w:t>
      </w:r>
      <w:r>
        <w:rPr>
          <w:rFonts w:hint="eastAsia" w:ascii="仿宋" w:hAnsi="仿宋" w:eastAsia="仿宋" w:cs="仿宋"/>
          <w:color w:val="000000" w:themeColor="text1"/>
          <w:spacing w:val="-1"/>
          <w:sz w:val="24"/>
          <w:szCs w:val="24"/>
          <w:highlight w:val="none"/>
          <w14:textFill>
            <w14:solidFill>
              <w14:schemeClr w14:val="tx1"/>
            </w14:solidFill>
          </w14:textFill>
        </w:rPr>
        <w:t>〕执行。</w:t>
      </w:r>
    </w:p>
    <w:p w14:paraId="6C762A5C">
      <w:pPr>
        <w:pStyle w:val="9"/>
        <w:keepNext w:val="0"/>
        <w:keepLines w:val="0"/>
        <w:pageBreakBefore w:val="0"/>
        <w:widowControl w:val="0"/>
        <w:kinsoku/>
        <w:wordWrap/>
        <w:overflowPunct/>
        <w:topLinePunct w:val="0"/>
        <w:autoSpaceDE/>
        <w:autoSpaceDN/>
        <w:bidi w:val="0"/>
        <w:snapToGrid/>
        <w:spacing w:after="0" w:line="360" w:lineRule="auto"/>
        <w:ind w:left="0" w:leftChars="0" w:right="0" w:rightChars="0" w:firstLine="472" w:firstLineChars="200"/>
        <w:jc w:val="both"/>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7.5.2 因承包人原因导致工期延误</w:t>
      </w:r>
    </w:p>
    <w:p w14:paraId="179C6F32">
      <w:pPr>
        <w:keepNext w:val="0"/>
        <w:keepLines w:val="0"/>
        <w:pageBreakBefore w:val="0"/>
        <w:widowControl w:val="0"/>
        <w:kinsoku/>
        <w:wordWrap/>
        <w:overflowPunct/>
        <w:topLinePunct w:val="0"/>
        <w:autoSpaceDE/>
        <w:autoSpaceDN/>
        <w:bidi w:val="0"/>
        <w:snapToGrid/>
        <w:spacing w:line="360" w:lineRule="auto"/>
        <w:ind w:left="0" w:leftChars="0" w:right="0" w:rightChars="0" w:firstLine="58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因承包人原因造成工期延误的，可以在专用合同条款中约定逾期竣工违约金</w:t>
      </w:r>
      <w:r>
        <w:rPr>
          <w:rFonts w:hint="eastAsia" w:ascii="仿宋" w:hAnsi="仿宋" w:eastAsia="仿宋" w:cs="仿宋"/>
          <w:color w:val="000000" w:themeColor="text1"/>
          <w:spacing w:val="-2"/>
          <w:sz w:val="24"/>
          <w:szCs w:val="24"/>
          <w:highlight w:val="none"/>
          <w14:textFill>
            <w14:solidFill>
              <w14:schemeClr w14:val="tx1"/>
            </w14:solidFill>
          </w14:textFill>
        </w:rPr>
        <w:t>的计算方法和逾期竣工违约金的上限。承包人支付逾期竣工违约金后，不免除承</w:t>
      </w:r>
      <w:r>
        <w:rPr>
          <w:rFonts w:hint="eastAsia" w:ascii="仿宋" w:hAnsi="仿宋" w:eastAsia="仿宋" w:cs="仿宋"/>
          <w:color w:val="000000" w:themeColor="text1"/>
          <w:spacing w:val="-1"/>
          <w:sz w:val="24"/>
          <w:szCs w:val="24"/>
          <w:highlight w:val="none"/>
          <w14:textFill>
            <w14:solidFill>
              <w14:schemeClr w14:val="tx1"/>
            </w14:solidFill>
          </w14:textFill>
        </w:rPr>
        <w:t>包人继续完成工程及修补缺陷的义务。</w:t>
      </w:r>
    </w:p>
    <w:p w14:paraId="5D48B5F3">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7.6 不利物质条件</w:t>
      </w:r>
    </w:p>
    <w:p w14:paraId="55D45CE2">
      <w:pPr>
        <w:keepNext w:val="0"/>
        <w:keepLines w:val="0"/>
        <w:pageBreakBefore w:val="0"/>
        <w:widowControl w:val="0"/>
        <w:kinsoku/>
        <w:wordWrap/>
        <w:overflowPunct/>
        <w:topLinePunct w:val="0"/>
        <w:autoSpaceDE/>
        <w:autoSpaceDN/>
        <w:bidi w:val="0"/>
        <w:snapToGrid/>
        <w:spacing w:line="360" w:lineRule="auto"/>
        <w:ind w:left="0" w:leftChars="0" w:right="0" w:rightChars="0" w:firstLine="5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不利物质条件是指有经验的承包人在施工现场遇到的不可预见的自然物质</w:t>
      </w:r>
      <w:r>
        <w:rPr>
          <w:rFonts w:hint="eastAsia" w:ascii="仿宋" w:hAnsi="仿宋" w:eastAsia="仿宋" w:cs="仿宋"/>
          <w:color w:val="000000" w:themeColor="text1"/>
          <w:spacing w:val="-2"/>
          <w:sz w:val="24"/>
          <w:szCs w:val="24"/>
          <w:highlight w:val="none"/>
          <w14:textFill>
            <w14:solidFill>
              <w14:schemeClr w14:val="tx1"/>
            </w14:solidFill>
          </w14:textFill>
        </w:rPr>
        <w:t>条件、非自然的物质障碍和污染物，包括地表以下物质条件和水文条件以及专用</w:t>
      </w:r>
      <w:r>
        <w:rPr>
          <w:rFonts w:hint="eastAsia" w:ascii="仿宋" w:hAnsi="仿宋" w:eastAsia="仿宋" w:cs="仿宋"/>
          <w:color w:val="000000" w:themeColor="text1"/>
          <w:spacing w:val="-1"/>
          <w:sz w:val="24"/>
          <w:szCs w:val="24"/>
          <w:highlight w:val="none"/>
          <w14:textFill>
            <w14:solidFill>
              <w14:schemeClr w14:val="tx1"/>
            </w14:solidFill>
          </w14:textFill>
        </w:rPr>
        <w:t>合同条款约定的其他情形，但不包括气候条件。</w:t>
      </w:r>
    </w:p>
    <w:p w14:paraId="4831AA67">
      <w:pPr>
        <w:keepNext w:val="0"/>
        <w:keepLines w:val="0"/>
        <w:pageBreakBefore w:val="0"/>
        <w:widowControl w:val="0"/>
        <w:kinsoku/>
        <w:wordWrap/>
        <w:overflowPunct/>
        <w:topLinePunct w:val="0"/>
        <w:autoSpaceDE/>
        <w:autoSpaceDN/>
        <w:bidi w:val="0"/>
        <w:snapToGrid/>
        <w:spacing w:line="360" w:lineRule="auto"/>
        <w:ind w:left="0" w:leftChars="0" w:right="0" w:rightChars="0" w:firstLine="5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承包人遇到不利物质条件时，应采取克服不利物质条件的合理措施继续施</w:t>
      </w:r>
      <w:r>
        <w:rPr>
          <w:rFonts w:hint="eastAsia" w:ascii="仿宋" w:hAnsi="仿宋" w:eastAsia="仿宋" w:cs="仿宋"/>
          <w:color w:val="000000" w:themeColor="text1"/>
          <w:spacing w:val="-2"/>
          <w:sz w:val="24"/>
          <w:szCs w:val="24"/>
          <w:highlight w:val="none"/>
          <w14:textFill>
            <w14:solidFill>
              <w14:schemeClr w14:val="tx1"/>
            </w14:solidFill>
          </w14:textFill>
        </w:rPr>
        <w:t>工，并及时通知发包人和监理人。通知应载明不利物质条件的内容以及承包人认</w:t>
      </w:r>
      <w:r>
        <w:rPr>
          <w:rFonts w:hint="eastAsia" w:ascii="仿宋" w:hAnsi="仿宋" w:eastAsia="仿宋" w:cs="仿宋"/>
          <w:color w:val="000000" w:themeColor="text1"/>
          <w:spacing w:val="-8"/>
          <w:sz w:val="24"/>
          <w:szCs w:val="24"/>
          <w:highlight w:val="none"/>
          <w14:textFill>
            <w14:solidFill>
              <w14:schemeClr w14:val="tx1"/>
            </w14:solidFill>
          </w14:textFill>
        </w:rPr>
        <w:t>为不可预见的理由。监理人经发包人同意后应当及时发出指示，指示构成变更的，</w:t>
      </w:r>
      <w:r>
        <w:rPr>
          <w:rFonts w:hint="eastAsia" w:ascii="仿宋" w:hAnsi="仿宋" w:eastAsia="仿宋" w:cs="仿宋"/>
          <w:color w:val="000000" w:themeColor="text1"/>
          <w:spacing w:val="-2"/>
          <w:sz w:val="24"/>
          <w:szCs w:val="24"/>
          <w:highlight w:val="none"/>
          <w14:textFill>
            <w14:solidFill>
              <w14:schemeClr w14:val="tx1"/>
            </w14:solidFill>
          </w14:textFill>
        </w:rPr>
        <w:t>按第10条〔变更〕约定执行。承包人因采取合理措施而增加的费用和（或）延误</w:t>
      </w:r>
      <w:r>
        <w:rPr>
          <w:rFonts w:hint="eastAsia" w:ascii="仿宋" w:hAnsi="仿宋" w:eastAsia="仿宋" w:cs="仿宋"/>
          <w:color w:val="000000" w:themeColor="text1"/>
          <w:spacing w:val="-4"/>
          <w:sz w:val="24"/>
          <w:szCs w:val="24"/>
          <w:highlight w:val="none"/>
          <w14:textFill>
            <w14:solidFill>
              <w14:schemeClr w14:val="tx1"/>
            </w14:solidFill>
          </w14:textFill>
        </w:rPr>
        <w:t>的工期由发包人承担。</w:t>
      </w:r>
    </w:p>
    <w:p w14:paraId="6701A6F6">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7.7 异常恶劣的气候条件</w:t>
      </w:r>
    </w:p>
    <w:p w14:paraId="441C28D9">
      <w:pPr>
        <w:keepNext w:val="0"/>
        <w:keepLines w:val="0"/>
        <w:pageBreakBefore w:val="0"/>
        <w:widowControl w:val="0"/>
        <w:kinsoku/>
        <w:wordWrap/>
        <w:overflowPunct/>
        <w:topLinePunct w:val="0"/>
        <w:autoSpaceDE/>
        <w:autoSpaceDN/>
        <w:bidi w:val="0"/>
        <w:snapToGrid/>
        <w:spacing w:line="360" w:lineRule="auto"/>
        <w:ind w:left="0" w:leftChars="0" w:right="0" w:rightChars="0" w:firstLine="56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异常恶劣的气候条件是指在施工过程中遇到的，有经验的承</w:t>
      </w:r>
      <w:r>
        <w:rPr>
          <w:rFonts w:hint="eastAsia" w:ascii="仿宋" w:hAnsi="仿宋" w:eastAsia="仿宋" w:cs="仿宋"/>
          <w:color w:val="000000" w:themeColor="text1"/>
          <w:spacing w:val="-3"/>
          <w:sz w:val="24"/>
          <w:szCs w:val="24"/>
          <w:highlight w:val="none"/>
          <w14:textFill>
            <w14:solidFill>
              <w14:schemeClr w14:val="tx1"/>
            </w14:solidFill>
          </w14:textFill>
        </w:rPr>
        <w:t>包人在签订合同</w:t>
      </w:r>
      <w:r>
        <w:rPr>
          <w:rFonts w:hint="eastAsia" w:ascii="仿宋" w:hAnsi="仿宋" w:eastAsia="仿宋" w:cs="仿宋"/>
          <w:color w:val="000000" w:themeColor="text1"/>
          <w:spacing w:val="-2"/>
          <w:sz w:val="24"/>
          <w:szCs w:val="24"/>
          <w:highlight w:val="none"/>
          <w14:textFill>
            <w14:solidFill>
              <w14:schemeClr w14:val="tx1"/>
            </w14:solidFill>
          </w14:textFill>
        </w:rPr>
        <w:t>时不可预见的，对合同履行造成实质性影响的，但尚未构成不可抗力事件的恶劣气候条件。合同当事人可以在专用合同条款中约定异常恶劣的气候条件的具体情</w:t>
      </w:r>
      <w:r>
        <w:rPr>
          <w:rFonts w:hint="eastAsia" w:ascii="仿宋" w:hAnsi="仿宋" w:eastAsia="仿宋" w:cs="仿宋"/>
          <w:color w:val="000000" w:themeColor="text1"/>
          <w:spacing w:val="-13"/>
          <w:sz w:val="24"/>
          <w:szCs w:val="24"/>
          <w:highlight w:val="none"/>
          <w14:textFill>
            <w14:solidFill>
              <w14:schemeClr w14:val="tx1"/>
            </w14:solidFill>
          </w14:textFill>
        </w:rPr>
        <w:t>形。</w:t>
      </w:r>
    </w:p>
    <w:p w14:paraId="2410C57A">
      <w:pPr>
        <w:keepNext w:val="0"/>
        <w:keepLines w:val="0"/>
        <w:pageBreakBefore w:val="0"/>
        <w:widowControl w:val="0"/>
        <w:kinsoku/>
        <w:wordWrap/>
        <w:overflowPunct/>
        <w:topLinePunct w:val="0"/>
        <w:autoSpaceDE/>
        <w:autoSpaceDN/>
        <w:bidi w:val="0"/>
        <w:snapToGrid/>
        <w:spacing w:line="360" w:lineRule="auto"/>
        <w:ind w:left="0" w:leftChars="0" w:right="0" w:rightChars="0" w:firstLine="561"/>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26DFC70B">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7.8</w:t>
      </w:r>
      <w:r>
        <w:rPr>
          <w:rFonts w:hint="eastAsia" w:ascii="仿宋" w:hAnsi="仿宋" w:eastAsia="仿宋" w:cs="仿宋"/>
          <w:color w:val="000000" w:themeColor="text1"/>
          <w:spacing w:val="2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暂停施工</w:t>
      </w:r>
    </w:p>
    <w:p w14:paraId="33032734">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7.8.1</w:t>
      </w:r>
      <w:r>
        <w:rPr>
          <w:rFonts w:hint="eastAsia" w:ascii="仿宋" w:hAnsi="仿宋" w:eastAsia="仿宋" w:cs="仿宋"/>
          <w:color w:val="000000" w:themeColor="text1"/>
          <w:spacing w:val="-5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发包人原因引起的暂停施工</w:t>
      </w:r>
    </w:p>
    <w:p w14:paraId="52485561">
      <w:pPr>
        <w:keepNext w:val="0"/>
        <w:keepLines w:val="0"/>
        <w:pageBreakBefore w:val="0"/>
        <w:widowControl w:val="0"/>
        <w:kinsoku/>
        <w:wordWrap/>
        <w:overflowPunct/>
        <w:topLinePunct w:val="0"/>
        <w:autoSpaceDE/>
        <w:autoSpaceDN/>
        <w:bidi w:val="0"/>
        <w:snapToGrid/>
        <w:spacing w:line="360" w:lineRule="auto"/>
        <w:ind w:left="0" w:leftChars="0" w:right="0" w:rightChars="0" w:firstLine="5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因发包人原因引起暂停施工的，监理人经发包人同意后，应及时下达暂停施工指示。情况紧急且监理人未及时下达暂停施工指示的，按照第</w:t>
      </w:r>
      <w:r>
        <w:rPr>
          <w:rFonts w:hint="eastAsia" w:ascii="仿宋" w:hAnsi="仿宋" w:eastAsia="仿宋" w:cs="仿宋"/>
          <w:color w:val="000000" w:themeColor="text1"/>
          <w:spacing w:val="-5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7</w:t>
      </w:r>
      <w:r>
        <w:rPr>
          <w:rFonts w:hint="eastAsia" w:ascii="仿宋" w:hAnsi="仿宋" w:eastAsia="仿宋" w:cs="仿宋"/>
          <w:color w:val="000000" w:themeColor="text1"/>
          <w:spacing w:val="-4"/>
          <w:sz w:val="24"/>
          <w:szCs w:val="24"/>
          <w:highlight w:val="none"/>
          <w14:textFill>
            <w14:solidFill>
              <w14:schemeClr w14:val="tx1"/>
            </w14:solidFill>
          </w14:textFill>
        </w:rPr>
        <w:t>.8.4</w:t>
      </w:r>
      <w:r>
        <w:rPr>
          <w:rFonts w:hint="eastAsia" w:ascii="仿宋" w:hAnsi="仿宋" w:eastAsia="仿宋" w:cs="仿宋"/>
          <w:color w:val="000000" w:themeColor="text1"/>
          <w:spacing w:val="-5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项〔紧急情况下的暂停施工〕执行。</w:t>
      </w:r>
    </w:p>
    <w:p w14:paraId="04C86E98">
      <w:pPr>
        <w:keepNext w:val="0"/>
        <w:keepLines w:val="0"/>
        <w:pageBreakBefore w:val="0"/>
        <w:widowControl w:val="0"/>
        <w:kinsoku/>
        <w:wordWrap/>
        <w:overflowPunct/>
        <w:topLinePunct w:val="0"/>
        <w:autoSpaceDE/>
        <w:autoSpaceDN/>
        <w:bidi w:val="0"/>
        <w:snapToGrid/>
        <w:spacing w:line="360" w:lineRule="auto"/>
        <w:ind w:left="0" w:leftChars="0" w:right="0" w:rightChars="0" w:firstLine="55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因发包人原因引起的暂停施工，发包人应承担由此增加的费用和（或）延误</w:t>
      </w:r>
      <w:r>
        <w:rPr>
          <w:rFonts w:hint="eastAsia" w:ascii="仿宋" w:hAnsi="仿宋" w:eastAsia="仿宋" w:cs="仿宋"/>
          <w:color w:val="000000" w:themeColor="text1"/>
          <w:spacing w:val="-2"/>
          <w:sz w:val="24"/>
          <w:szCs w:val="24"/>
          <w:highlight w:val="none"/>
          <w14:textFill>
            <w14:solidFill>
              <w14:schemeClr w14:val="tx1"/>
            </w14:solidFill>
          </w14:textFill>
        </w:rPr>
        <w:t>的工期，并支付承包人合理的利润。</w:t>
      </w:r>
    </w:p>
    <w:p w14:paraId="0EA224B4">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7.8.2 承包人原因引起的暂停施工</w:t>
      </w:r>
    </w:p>
    <w:p w14:paraId="78099150">
      <w:pPr>
        <w:keepNext w:val="0"/>
        <w:keepLines w:val="0"/>
        <w:pageBreakBefore w:val="0"/>
        <w:widowControl w:val="0"/>
        <w:kinsoku/>
        <w:wordWrap/>
        <w:overflowPunct/>
        <w:topLinePunct w:val="0"/>
        <w:autoSpaceDE/>
        <w:autoSpaceDN/>
        <w:bidi w:val="0"/>
        <w:snapToGrid/>
        <w:spacing w:line="360" w:lineRule="auto"/>
        <w:ind w:left="0" w:leftChars="0" w:right="0" w:rightChars="0" w:firstLine="57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因承包人原因引起的暂停施工，承包人应承担由此增加的费用和（或）延误</w:t>
      </w:r>
      <w:r>
        <w:rPr>
          <w:rFonts w:hint="eastAsia" w:ascii="仿宋" w:hAnsi="仿宋" w:eastAsia="仿宋" w:cs="仿宋"/>
          <w:color w:val="000000" w:themeColor="text1"/>
          <w:spacing w:val="-2"/>
          <w:sz w:val="24"/>
          <w:szCs w:val="24"/>
          <w:highlight w:val="none"/>
          <w14:textFill>
            <w14:solidFill>
              <w14:schemeClr w14:val="tx1"/>
            </w14:solidFill>
          </w14:textFill>
        </w:rPr>
        <w:t>的工期，且承包人在收到监理人复工指示后</w:t>
      </w:r>
      <w:r>
        <w:rPr>
          <w:rFonts w:hint="eastAsia" w:ascii="仿宋" w:hAnsi="仿宋" w:eastAsia="仿宋" w:cs="仿宋"/>
          <w:color w:val="000000" w:themeColor="text1"/>
          <w:spacing w:val="-5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84</w:t>
      </w:r>
      <w:r>
        <w:rPr>
          <w:rFonts w:hint="eastAsia" w:ascii="仿宋" w:hAnsi="仿宋" w:eastAsia="仿宋" w:cs="仿宋"/>
          <w:color w:val="000000" w:themeColor="text1"/>
          <w:spacing w:val="-5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天内仍未复工的，视为第</w:t>
      </w:r>
      <w:r>
        <w:rPr>
          <w:rFonts w:hint="eastAsia" w:ascii="仿宋" w:hAnsi="仿宋" w:eastAsia="仿宋" w:cs="仿宋"/>
          <w:color w:val="000000" w:themeColor="text1"/>
          <w:spacing w:val="-4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16.2.1</w:t>
      </w:r>
      <w:r>
        <w:rPr>
          <w:rFonts w:hint="eastAsia" w:ascii="仿宋" w:hAnsi="仿宋" w:eastAsia="仿宋" w:cs="仿宋"/>
          <w:color w:val="000000" w:themeColor="text1"/>
          <w:spacing w:val="-1"/>
          <w:sz w:val="24"/>
          <w:szCs w:val="24"/>
          <w:highlight w:val="none"/>
          <w14:textFill>
            <w14:solidFill>
              <w14:schemeClr w14:val="tx1"/>
            </w14:solidFill>
          </w14:textFill>
        </w:rPr>
        <w:t>项〔承包人违约的情形〕第（7）目约定的承包人无法继续履行合同的情形。</w:t>
      </w:r>
    </w:p>
    <w:p w14:paraId="6CABFED9">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7.8.3 指示暂停施工</w:t>
      </w:r>
    </w:p>
    <w:p w14:paraId="09C57687">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8"/>
          <w:sz w:val="24"/>
          <w:szCs w:val="24"/>
          <w:highlight w:val="none"/>
          <w14:textFill>
            <w14:solidFill>
              <w14:schemeClr w14:val="tx1"/>
            </w14:solidFill>
          </w14:textFill>
        </w:rPr>
        <w:t>监理人认为有必要时，并经发包人批准后，可向承包人作出暂停施工的指示，</w:t>
      </w:r>
      <w:r>
        <w:rPr>
          <w:rFonts w:hint="eastAsia" w:ascii="仿宋" w:hAnsi="仿宋" w:eastAsia="仿宋" w:cs="仿宋"/>
          <w:color w:val="000000" w:themeColor="text1"/>
          <w:spacing w:val="-3"/>
          <w:sz w:val="24"/>
          <w:szCs w:val="24"/>
          <w:highlight w:val="none"/>
          <w14:textFill>
            <w14:solidFill>
              <w14:schemeClr w14:val="tx1"/>
            </w14:solidFill>
          </w14:textFill>
        </w:rPr>
        <w:t>承包人应按监理人指示暂停施工。</w:t>
      </w:r>
    </w:p>
    <w:p w14:paraId="08485E7B">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7.8.4 紧急情况下的暂停施工</w:t>
      </w:r>
    </w:p>
    <w:p w14:paraId="74D3157A">
      <w:pPr>
        <w:keepNext w:val="0"/>
        <w:keepLines w:val="0"/>
        <w:pageBreakBefore w:val="0"/>
        <w:widowControl w:val="0"/>
        <w:kinsoku/>
        <w:wordWrap/>
        <w:overflowPunct/>
        <w:topLinePunct w:val="0"/>
        <w:autoSpaceDE/>
        <w:autoSpaceDN/>
        <w:bidi w:val="0"/>
        <w:snapToGrid/>
        <w:spacing w:line="360" w:lineRule="auto"/>
        <w:ind w:left="0" w:leftChars="0" w:right="0" w:rightChars="0" w:firstLine="578"/>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因紧急情况需暂停施工，且监理人未及时下达暂停施工指示的，承包人可先</w:t>
      </w:r>
      <w:r>
        <w:rPr>
          <w:rFonts w:hint="eastAsia" w:ascii="仿宋" w:hAnsi="仿宋" w:eastAsia="仿宋" w:cs="仿宋"/>
          <w:color w:val="000000" w:themeColor="text1"/>
          <w:spacing w:val="1"/>
          <w:sz w:val="24"/>
          <w:szCs w:val="24"/>
          <w:highlight w:val="none"/>
          <w14:textFill>
            <w14:solidFill>
              <w14:schemeClr w14:val="tx1"/>
            </w14:solidFill>
          </w14:textFill>
        </w:rPr>
        <w:t>暂停施工，并及时通知监理人。监理人应在接到通知后24</w:t>
      </w:r>
      <w:r>
        <w:rPr>
          <w:rFonts w:hint="eastAsia" w:ascii="仿宋" w:hAnsi="仿宋" w:eastAsia="仿宋" w:cs="仿宋"/>
          <w:color w:val="000000" w:themeColor="text1"/>
          <w:spacing w:val="-5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小时内发出指示，逾</w:t>
      </w:r>
      <w:r>
        <w:rPr>
          <w:rFonts w:hint="eastAsia" w:ascii="仿宋" w:hAnsi="仿宋" w:eastAsia="仿宋" w:cs="仿宋"/>
          <w:color w:val="000000" w:themeColor="text1"/>
          <w:spacing w:val="-2"/>
          <w:sz w:val="24"/>
          <w:szCs w:val="24"/>
          <w:highlight w:val="none"/>
          <w14:textFill>
            <w14:solidFill>
              <w14:schemeClr w14:val="tx1"/>
            </w14:solidFill>
          </w14:textFill>
        </w:rPr>
        <w:t>期未发出指示，视为同意承包人暂停施工。监理人不同意承包人暂停施工的，应</w:t>
      </w:r>
      <w:r>
        <w:rPr>
          <w:rFonts w:hint="eastAsia" w:ascii="仿宋" w:hAnsi="仿宋" w:eastAsia="仿宋" w:cs="仿宋"/>
          <w:color w:val="000000" w:themeColor="text1"/>
          <w:spacing w:val="-4"/>
          <w:sz w:val="24"/>
          <w:szCs w:val="24"/>
          <w:highlight w:val="none"/>
          <w14:textFill>
            <w14:solidFill>
              <w14:schemeClr w14:val="tx1"/>
            </w14:solidFill>
          </w14:textFill>
        </w:rPr>
        <w:t>说明理</w:t>
      </w:r>
      <w:r>
        <w:rPr>
          <w:rFonts w:hint="eastAsia" w:ascii="仿宋" w:hAnsi="仿宋" w:eastAsia="仿宋" w:cs="仿宋"/>
          <w:color w:val="000000" w:themeColor="text1"/>
          <w:spacing w:val="-2"/>
          <w:sz w:val="24"/>
          <w:szCs w:val="24"/>
          <w:highlight w:val="none"/>
          <w14:textFill>
            <w14:solidFill>
              <w14:schemeClr w14:val="tx1"/>
            </w14:solidFill>
          </w14:textFill>
        </w:rPr>
        <w:t>由，承包人对监理人的答复有异议，按照第 20 条〔争议解决〕约定处理。</w:t>
      </w:r>
    </w:p>
    <w:p w14:paraId="7EC926DF">
      <w:pPr>
        <w:keepNext w:val="0"/>
        <w:keepLines w:val="0"/>
        <w:pageBreakBefore w:val="0"/>
        <w:widowControl w:val="0"/>
        <w:kinsoku/>
        <w:wordWrap/>
        <w:overflowPunct/>
        <w:topLinePunct w:val="0"/>
        <w:autoSpaceDE/>
        <w:autoSpaceDN/>
        <w:bidi w:val="0"/>
        <w:snapToGrid/>
        <w:spacing w:line="360" w:lineRule="auto"/>
        <w:ind w:left="0" w:leftChars="0" w:right="0" w:rightChars="0" w:firstLine="578"/>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7.8.5 暂停施工后的复工</w:t>
      </w:r>
    </w:p>
    <w:p w14:paraId="6C8E3A75">
      <w:pPr>
        <w:keepNext w:val="0"/>
        <w:keepLines w:val="0"/>
        <w:pageBreakBefore w:val="0"/>
        <w:widowControl w:val="0"/>
        <w:kinsoku/>
        <w:wordWrap/>
        <w:overflowPunct/>
        <w:topLinePunct w:val="0"/>
        <w:autoSpaceDE/>
        <w:autoSpaceDN/>
        <w:bidi w:val="0"/>
        <w:snapToGrid/>
        <w:spacing w:line="360" w:lineRule="auto"/>
        <w:ind w:left="0" w:leftChars="0" w:right="0" w:rightChars="0" w:firstLine="57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w:t>
      </w:r>
      <w:r>
        <w:rPr>
          <w:rFonts w:hint="eastAsia" w:ascii="仿宋" w:hAnsi="仿宋" w:eastAsia="仿宋" w:cs="仿宋"/>
          <w:color w:val="000000" w:themeColor="text1"/>
          <w:spacing w:val="-3"/>
          <w:sz w:val="24"/>
          <w:szCs w:val="24"/>
          <w:highlight w:val="none"/>
          <w14:textFill>
            <w14:solidFill>
              <w14:schemeClr w14:val="tx1"/>
            </w14:solidFill>
          </w14:textFill>
        </w:rPr>
        <w:t>工通知，承包人应按照复工通知要求复工。</w:t>
      </w:r>
    </w:p>
    <w:p w14:paraId="1AE416F7">
      <w:pPr>
        <w:keepNext w:val="0"/>
        <w:keepLines w:val="0"/>
        <w:pageBreakBefore w:val="0"/>
        <w:widowControl w:val="0"/>
        <w:kinsoku/>
        <w:wordWrap/>
        <w:overflowPunct/>
        <w:topLinePunct w:val="0"/>
        <w:autoSpaceDE/>
        <w:autoSpaceDN/>
        <w:bidi w:val="0"/>
        <w:snapToGrid/>
        <w:spacing w:line="360" w:lineRule="auto"/>
        <w:ind w:left="0" w:leftChars="0" w:right="0" w:rightChars="0" w:firstLine="55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承包人无故拖延和拒绝复工的，承包人承担由此增加的费用和（或）延误的</w:t>
      </w:r>
      <w:r>
        <w:rPr>
          <w:rFonts w:hint="eastAsia" w:ascii="仿宋" w:hAnsi="仿宋" w:eastAsia="仿宋" w:cs="仿宋"/>
          <w:color w:val="000000" w:themeColor="text1"/>
          <w:spacing w:val="-3"/>
          <w:sz w:val="24"/>
          <w:szCs w:val="24"/>
          <w:highlight w:val="none"/>
          <w14:textFill>
            <w14:solidFill>
              <w14:schemeClr w14:val="tx1"/>
            </w14:solidFill>
          </w14:textFill>
        </w:rPr>
        <w:t>工期；因发包人原因无法按时复工的，按照第</w:t>
      </w:r>
      <w:r>
        <w:rPr>
          <w:rFonts w:hint="eastAsia" w:ascii="仿宋" w:hAnsi="仿宋" w:eastAsia="仿宋" w:cs="仿宋"/>
          <w:color w:val="000000" w:themeColor="text1"/>
          <w:spacing w:val="-3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7.5.1</w:t>
      </w:r>
      <w:r>
        <w:rPr>
          <w:rFonts w:hint="eastAsia" w:ascii="仿宋" w:hAnsi="仿宋" w:eastAsia="仿宋" w:cs="仿宋"/>
          <w:color w:val="000000" w:themeColor="text1"/>
          <w:spacing w:val="-5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项〔因发包人原因导致工期</w:t>
      </w:r>
      <w:r>
        <w:rPr>
          <w:rFonts w:hint="eastAsia" w:ascii="仿宋" w:hAnsi="仿宋" w:eastAsia="仿宋" w:cs="仿宋"/>
          <w:color w:val="000000" w:themeColor="text1"/>
          <w:spacing w:val="-2"/>
          <w:sz w:val="24"/>
          <w:szCs w:val="24"/>
          <w:highlight w:val="none"/>
          <w14:textFill>
            <w14:solidFill>
              <w14:schemeClr w14:val="tx1"/>
            </w14:solidFill>
          </w14:textFill>
        </w:rPr>
        <w:t>延误〕约定办理。</w:t>
      </w:r>
    </w:p>
    <w:p w14:paraId="55D27109">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7.8.6 暂停施工持续</w:t>
      </w:r>
      <w:r>
        <w:rPr>
          <w:rFonts w:hint="eastAsia" w:ascii="仿宋" w:hAnsi="仿宋" w:eastAsia="仿宋" w:cs="仿宋"/>
          <w:color w:val="000000" w:themeColor="text1"/>
          <w:spacing w:val="-4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56</w:t>
      </w:r>
      <w:r>
        <w:rPr>
          <w:rFonts w:hint="eastAsia" w:ascii="仿宋" w:hAnsi="仿宋" w:eastAsia="仿宋" w:cs="仿宋"/>
          <w:color w:val="000000" w:themeColor="text1"/>
          <w:spacing w:val="-5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天以上</w:t>
      </w:r>
    </w:p>
    <w:p w14:paraId="6EA80ED6">
      <w:pPr>
        <w:keepNext w:val="0"/>
        <w:keepLines w:val="0"/>
        <w:pageBreakBefore w:val="0"/>
        <w:widowControl w:val="0"/>
        <w:kinsoku/>
        <w:wordWrap/>
        <w:overflowPunct/>
        <w:topLinePunct w:val="0"/>
        <w:autoSpaceDE/>
        <w:autoSpaceDN/>
        <w:bidi w:val="0"/>
        <w:snapToGrid/>
        <w:spacing w:line="360" w:lineRule="auto"/>
        <w:ind w:left="0" w:leftChars="0" w:right="0" w:rightChars="0" w:firstLine="54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监理人发出暂停施工指示后</w:t>
      </w:r>
      <w:r>
        <w:rPr>
          <w:rFonts w:hint="eastAsia" w:ascii="仿宋" w:hAnsi="仿宋" w:eastAsia="仿宋" w:cs="仿宋"/>
          <w:color w:val="000000" w:themeColor="text1"/>
          <w:spacing w:val="-5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56</w:t>
      </w:r>
      <w:r>
        <w:rPr>
          <w:rFonts w:hint="eastAsia" w:ascii="仿宋" w:hAnsi="仿宋" w:eastAsia="仿宋" w:cs="仿宋"/>
          <w:color w:val="000000" w:themeColor="text1"/>
          <w:spacing w:val="-5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天内未向承包人发出</w:t>
      </w:r>
      <w:r>
        <w:rPr>
          <w:rFonts w:hint="eastAsia" w:ascii="仿宋" w:hAnsi="仿宋" w:eastAsia="仿宋" w:cs="仿宋"/>
          <w:color w:val="000000" w:themeColor="text1"/>
          <w:spacing w:val="-2"/>
          <w:sz w:val="24"/>
          <w:szCs w:val="24"/>
          <w:highlight w:val="none"/>
          <w14:textFill>
            <w14:solidFill>
              <w14:schemeClr w14:val="tx1"/>
            </w14:solidFill>
          </w14:textFill>
        </w:rPr>
        <w:t>复工通知，除该项停工</w:t>
      </w:r>
      <w:r>
        <w:rPr>
          <w:rFonts w:hint="eastAsia" w:ascii="仿宋" w:hAnsi="仿宋" w:eastAsia="仿宋" w:cs="仿宋"/>
          <w:color w:val="000000" w:themeColor="text1"/>
          <w:spacing w:val="-3"/>
          <w:sz w:val="24"/>
          <w:szCs w:val="24"/>
          <w:highlight w:val="none"/>
          <w14:textFill>
            <w14:solidFill>
              <w14:schemeClr w14:val="tx1"/>
            </w14:solidFill>
          </w14:textFill>
        </w:rPr>
        <w:t>属于第</w:t>
      </w:r>
      <w:r>
        <w:rPr>
          <w:rFonts w:hint="eastAsia" w:ascii="仿宋" w:hAnsi="仿宋" w:eastAsia="仿宋" w:cs="仿宋"/>
          <w:color w:val="000000" w:themeColor="text1"/>
          <w:spacing w:val="-5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7.8.2</w:t>
      </w:r>
      <w:r>
        <w:rPr>
          <w:rFonts w:hint="eastAsia" w:ascii="仿宋" w:hAnsi="仿宋" w:eastAsia="仿宋" w:cs="仿宋"/>
          <w:color w:val="000000" w:themeColor="text1"/>
          <w:spacing w:val="-5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项〔承包人原因引起的暂停施工〕及</w:t>
      </w:r>
      <w:r>
        <w:rPr>
          <w:rFonts w:hint="eastAsia" w:ascii="仿宋" w:hAnsi="仿宋" w:eastAsia="仿宋" w:cs="仿宋"/>
          <w:color w:val="000000" w:themeColor="text1"/>
          <w:spacing w:val="-4"/>
          <w:sz w:val="24"/>
          <w:szCs w:val="24"/>
          <w:highlight w:val="none"/>
          <w14:textFill>
            <w14:solidFill>
              <w14:schemeClr w14:val="tx1"/>
            </w14:solidFill>
          </w14:textFill>
        </w:rPr>
        <w:t>第 17</w:t>
      </w:r>
      <w:r>
        <w:rPr>
          <w:rFonts w:hint="eastAsia" w:ascii="仿宋" w:hAnsi="仿宋" w:eastAsia="仿宋" w:cs="仿宋"/>
          <w:color w:val="000000" w:themeColor="text1"/>
          <w:spacing w:val="-5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条〔不可抗力〕约定的</w:t>
      </w:r>
      <w:r>
        <w:rPr>
          <w:rFonts w:hint="eastAsia" w:ascii="仿宋" w:hAnsi="仿宋" w:eastAsia="仿宋" w:cs="仿宋"/>
          <w:color w:val="000000" w:themeColor="text1"/>
          <w:spacing w:val="-1"/>
          <w:sz w:val="24"/>
          <w:szCs w:val="24"/>
          <w:highlight w:val="none"/>
          <w14:textFill>
            <w14:solidFill>
              <w14:schemeClr w14:val="tx1"/>
            </w14:solidFill>
          </w14:textFill>
        </w:rPr>
        <w:t>情形外，承包人可向发包人提交书面通知，要求发包人在收</w:t>
      </w:r>
      <w:r>
        <w:rPr>
          <w:rFonts w:hint="eastAsia" w:ascii="仿宋" w:hAnsi="仿宋" w:eastAsia="仿宋" w:cs="仿宋"/>
          <w:color w:val="000000" w:themeColor="text1"/>
          <w:spacing w:val="-2"/>
          <w:sz w:val="24"/>
          <w:szCs w:val="24"/>
          <w:highlight w:val="none"/>
          <w14:textFill>
            <w14:solidFill>
              <w14:schemeClr w14:val="tx1"/>
            </w14:solidFill>
          </w14:textFill>
        </w:rPr>
        <w:t>到书面通知后</w:t>
      </w:r>
      <w:r>
        <w:rPr>
          <w:rFonts w:hint="eastAsia" w:ascii="仿宋" w:hAnsi="仿宋" w:eastAsia="仿宋" w:cs="仿宋"/>
          <w:color w:val="000000" w:themeColor="text1"/>
          <w:spacing w:val="-5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28</w:t>
      </w:r>
      <w:r>
        <w:rPr>
          <w:rFonts w:hint="eastAsia" w:ascii="仿宋" w:hAnsi="仿宋" w:eastAsia="仿宋" w:cs="仿宋"/>
          <w:color w:val="000000" w:themeColor="text1"/>
          <w:spacing w:val="-5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天内准许已暂停施工的部分或全部工程继续施工。发包人逾期不予批准的，则承包</w:t>
      </w:r>
      <w:r>
        <w:rPr>
          <w:rFonts w:hint="eastAsia" w:ascii="仿宋" w:hAnsi="仿宋" w:eastAsia="仿宋" w:cs="仿宋"/>
          <w:color w:val="000000" w:themeColor="text1"/>
          <w:spacing w:val="-7"/>
          <w:sz w:val="24"/>
          <w:szCs w:val="24"/>
          <w:highlight w:val="none"/>
          <w14:textFill>
            <w14:solidFill>
              <w14:schemeClr w14:val="tx1"/>
            </w14:solidFill>
          </w14:textFill>
        </w:rPr>
        <w:t>人可以通知发包人，将工程受影响的部分视为按第</w:t>
      </w:r>
      <w:r>
        <w:rPr>
          <w:rFonts w:hint="eastAsia" w:ascii="仿宋" w:hAnsi="仿宋" w:eastAsia="仿宋" w:cs="仿宋"/>
          <w:color w:val="000000" w:themeColor="text1"/>
          <w:spacing w:val="-3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14:textFill>
            <w14:solidFill>
              <w14:schemeClr w14:val="tx1"/>
            </w14:solidFill>
          </w14:textFill>
        </w:rPr>
        <w:t>10.1</w:t>
      </w:r>
      <w:r>
        <w:rPr>
          <w:rFonts w:hint="eastAsia" w:ascii="仿宋" w:hAnsi="仿宋" w:eastAsia="仿宋" w:cs="仿宋"/>
          <w:color w:val="000000" w:themeColor="text1"/>
          <w:spacing w:val="-6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14:textFill>
            <w14:solidFill>
              <w14:schemeClr w14:val="tx1"/>
            </w14:solidFill>
          </w14:textFill>
        </w:rPr>
        <w:t>款〔变更的范围〕第（2）</w:t>
      </w:r>
      <w:r>
        <w:rPr>
          <w:rFonts w:hint="eastAsia" w:ascii="仿宋" w:hAnsi="仿宋" w:eastAsia="仿宋" w:cs="仿宋"/>
          <w:color w:val="000000" w:themeColor="text1"/>
          <w:spacing w:val="-2"/>
          <w:sz w:val="24"/>
          <w:szCs w:val="24"/>
          <w:highlight w:val="none"/>
          <w14:textFill>
            <w14:solidFill>
              <w14:schemeClr w14:val="tx1"/>
            </w14:solidFill>
          </w14:textFill>
        </w:rPr>
        <w:t>项的可取消工作。</w:t>
      </w:r>
    </w:p>
    <w:p w14:paraId="19AC5A12">
      <w:pPr>
        <w:keepNext w:val="0"/>
        <w:keepLines w:val="0"/>
        <w:pageBreakBefore w:val="0"/>
        <w:widowControl w:val="0"/>
        <w:kinsoku/>
        <w:wordWrap/>
        <w:overflowPunct/>
        <w:topLinePunct w:val="0"/>
        <w:autoSpaceDE/>
        <w:autoSpaceDN/>
        <w:bidi w:val="0"/>
        <w:snapToGrid/>
        <w:spacing w:line="360" w:lineRule="auto"/>
        <w:ind w:left="0" w:leftChars="0" w:right="0" w:rightChars="0" w:firstLine="55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暂停施工持续</w:t>
      </w:r>
      <w:r>
        <w:rPr>
          <w:rFonts w:hint="eastAsia" w:ascii="仿宋" w:hAnsi="仿宋" w:eastAsia="仿宋" w:cs="仿宋"/>
          <w:color w:val="000000" w:themeColor="text1"/>
          <w:spacing w:val="-5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84</w:t>
      </w:r>
      <w:r>
        <w:rPr>
          <w:rFonts w:hint="eastAsia" w:ascii="仿宋" w:hAnsi="仿宋" w:eastAsia="仿宋" w:cs="仿宋"/>
          <w:color w:val="000000" w:themeColor="text1"/>
          <w:spacing w:val="-5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天以上不复工的，且不属于第</w:t>
      </w:r>
      <w:r>
        <w:rPr>
          <w:rFonts w:hint="eastAsia" w:ascii="仿宋" w:hAnsi="仿宋" w:eastAsia="仿宋" w:cs="仿宋"/>
          <w:color w:val="000000" w:themeColor="text1"/>
          <w:spacing w:val="-5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7.8.</w:t>
      </w:r>
      <w:r>
        <w:rPr>
          <w:rFonts w:hint="eastAsia" w:ascii="仿宋" w:hAnsi="仿宋" w:eastAsia="仿宋" w:cs="仿宋"/>
          <w:color w:val="000000" w:themeColor="text1"/>
          <w:spacing w:val="-3"/>
          <w:sz w:val="24"/>
          <w:szCs w:val="24"/>
          <w:highlight w:val="none"/>
          <w14:textFill>
            <w14:solidFill>
              <w14:schemeClr w14:val="tx1"/>
            </w14:solidFill>
          </w14:textFill>
        </w:rPr>
        <w:t>2</w:t>
      </w:r>
      <w:r>
        <w:rPr>
          <w:rFonts w:hint="eastAsia" w:ascii="仿宋" w:hAnsi="仿宋" w:eastAsia="仿宋" w:cs="仿宋"/>
          <w:color w:val="000000" w:themeColor="text1"/>
          <w:spacing w:val="-5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项〔承包人原因引起</w:t>
      </w:r>
      <w:r>
        <w:rPr>
          <w:rFonts w:hint="eastAsia" w:ascii="仿宋" w:hAnsi="仿宋" w:eastAsia="仿宋" w:cs="仿宋"/>
          <w:color w:val="000000" w:themeColor="text1"/>
          <w:spacing w:val="-2"/>
          <w:sz w:val="24"/>
          <w:szCs w:val="24"/>
          <w:highlight w:val="none"/>
          <w14:textFill>
            <w14:solidFill>
              <w14:schemeClr w14:val="tx1"/>
            </w14:solidFill>
          </w14:textFill>
        </w:rPr>
        <w:t>的暂停施工〕及第</w:t>
      </w:r>
      <w:r>
        <w:rPr>
          <w:rFonts w:hint="eastAsia" w:ascii="仿宋" w:hAnsi="仿宋" w:eastAsia="仿宋" w:cs="仿宋"/>
          <w:color w:val="000000" w:themeColor="text1"/>
          <w:spacing w:val="-2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17</w:t>
      </w:r>
      <w:r>
        <w:rPr>
          <w:rFonts w:hint="eastAsia" w:ascii="仿宋" w:hAnsi="仿宋" w:eastAsia="仿宋" w:cs="仿宋"/>
          <w:color w:val="000000" w:themeColor="text1"/>
          <w:spacing w:val="-5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条〔不可抗力〕约定的情形，并影响到整个工程以及合同目的实现的，承包人有权提出价格调整要求，或者解除合同。解除合同的，按照</w:t>
      </w:r>
      <w:r>
        <w:rPr>
          <w:rFonts w:hint="eastAsia" w:ascii="仿宋" w:hAnsi="仿宋" w:eastAsia="仿宋" w:cs="仿宋"/>
          <w:color w:val="000000" w:themeColor="text1"/>
          <w:spacing w:val="-4"/>
          <w:sz w:val="24"/>
          <w:szCs w:val="24"/>
          <w:highlight w:val="none"/>
          <w14:textFill>
            <w14:solidFill>
              <w14:schemeClr w14:val="tx1"/>
            </w14:solidFill>
          </w14:textFill>
        </w:rPr>
        <w:t>第</w:t>
      </w:r>
      <w:r>
        <w:rPr>
          <w:rFonts w:hint="eastAsia" w:ascii="仿宋" w:hAnsi="仿宋" w:eastAsia="仿宋" w:cs="仿宋"/>
          <w:color w:val="000000" w:themeColor="text1"/>
          <w:spacing w:val="-3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16.1.3</w:t>
      </w:r>
      <w:r>
        <w:rPr>
          <w:rFonts w:hint="eastAsia" w:ascii="仿宋" w:hAnsi="仿宋" w:eastAsia="仿宋" w:cs="仿宋"/>
          <w:color w:val="000000" w:themeColor="text1"/>
          <w:spacing w:val="-5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项〔因发包人违约解除合同〕执行。</w:t>
      </w:r>
    </w:p>
    <w:p w14:paraId="103F883B">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7.8.7 暂停施工期间的工程照管</w:t>
      </w:r>
    </w:p>
    <w:p w14:paraId="1ED98C00">
      <w:pPr>
        <w:keepNext w:val="0"/>
        <w:keepLines w:val="0"/>
        <w:pageBreakBefore w:val="0"/>
        <w:widowControl w:val="0"/>
        <w:kinsoku/>
        <w:wordWrap/>
        <w:overflowPunct/>
        <w:topLinePunct w:val="0"/>
        <w:autoSpaceDE/>
        <w:autoSpaceDN/>
        <w:bidi w:val="0"/>
        <w:snapToGrid/>
        <w:spacing w:line="360" w:lineRule="auto"/>
        <w:ind w:left="0" w:leftChars="0" w:right="0" w:rightChars="0" w:firstLine="56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暂停施工期间，承包人应负责妥善照管工程并提</w:t>
      </w:r>
      <w:r>
        <w:rPr>
          <w:rFonts w:hint="eastAsia" w:ascii="仿宋" w:hAnsi="仿宋" w:eastAsia="仿宋" w:cs="仿宋"/>
          <w:color w:val="000000" w:themeColor="text1"/>
          <w:spacing w:val="-3"/>
          <w:sz w:val="24"/>
          <w:szCs w:val="24"/>
          <w:highlight w:val="none"/>
          <w14:textFill>
            <w14:solidFill>
              <w14:schemeClr w14:val="tx1"/>
            </w14:solidFill>
          </w14:textFill>
        </w:rPr>
        <w:t>供安全保障，由此增加的费</w:t>
      </w:r>
      <w:r>
        <w:rPr>
          <w:rFonts w:hint="eastAsia" w:ascii="仿宋" w:hAnsi="仿宋" w:eastAsia="仿宋" w:cs="仿宋"/>
          <w:color w:val="000000" w:themeColor="text1"/>
          <w:spacing w:val="-2"/>
          <w:sz w:val="24"/>
          <w:szCs w:val="24"/>
          <w:highlight w:val="none"/>
          <w14:textFill>
            <w14:solidFill>
              <w14:schemeClr w14:val="tx1"/>
            </w14:solidFill>
          </w14:textFill>
        </w:rPr>
        <w:t>用由责任方承担。</w:t>
      </w:r>
    </w:p>
    <w:p w14:paraId="28634CCA">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7.8.8 暂停施工的措施</w:t>
      </w:r>
    </w:p>
    <w:p w14:paraId="20D4D1E3">
      <w:pPr>
        <w:keepNext w:val="0"/>
        <w:keepLines w:val="0"/>
        <w:pageBreakBefore w:val="0"/>
        <w:widowControl w:val="0"/>
        <w:kinsoku/>
        <w:wordWrap/>
        <w:overflowPunct/>
        <w:topLinePunct w:val="0"/>
        <w:autoSpaceDE/>
        <w:autoSpaceDN/>
        <w:bidi w:val="0"/>
        <w:snapToGrid/>
        <w:spacing w:line="360" w:lineRule="auto"/>
        <w:ind w:left="0" w:leftChars="0" w:right="0" w:rightChars="0" w:firstLine="5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暂停施工期间，发包人和承包人均应采取必要的措施确保工程质量及安全，</w:t>
      </w:r>
      <w:r>
        <w:rPr>
          <w:rFonts w:hint="eastAsia" w:ascii="仿宋" w:hAnsi="仿宋" w:eastAsia="仿宋" w:cs="仿宋"/>
          <w:color w:val="000000" w:themeColor="text1"/>
          <w:spacing w:val="-5"/>
          <w:sz w:val="24"/>
          <w:szCs w:val="24"/>
          <w:highlight w:val="none"/>
          <w14:textFill>
            <w14:solidFill>
              <w14:schemeClr w14:val="tx1"/>
            </w14:solidFill>
          </w14:textFill>
        </w:rPr>
        <w:t>防止因暂停施工扩大损失。</w:t>
      </w:r>
    </w:p>
    <w:p w14:paraId="1E062C47">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7.9</w:t>
      </w:r>
      <w:r>
        <w:rPr>
          <w:rFonts w:hint="eastAsia" w:ascii="仿宋" w:hAnsi="仿宋" w:eastAsia="仿宋" w:cs="仿宋"/>
          <w:color w:val="000000" w:themeColor="text1"/>
          <w:spacing w:val="-5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提前竣工</w:t>
      </w:r>
    </w:p>
    <w:p w14:paraId="51716948">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7.9.1 发包人要求承包人提前竣工的，发包人应通过监理人向承包</w:t>
      </w:r>
      <w:r>
        <w:rPr>
          <w:rFonts w:hint="eastAsia" w:ascii="仿宋" w:hAnsi="仿宋" w:eastAsia="仿宋" w:cs="仿宋"/>
          <w:color w:val="000000" w:themeColor="text1"/>
          <w:spacing w:val="-3"/>
          <w:sz w:val="24"/>
          <w:szCs w:val="24"/>
          <w:highlight w:val="none"/>
          <w14:textFill>
            <w14:solidFill>
              <w14:schemeClr w14:val="tx1"/>
            </w14:solidFill>
          </w14:textFill>
        </w:rPr>
        <w:t>人下达提</w:t>
      </w:r>
      <w:r>
        <w:rPr>
          <w:rFonts w:hint="eastAsia" w:ascii="仿宋" w:hAnsi="仿宋" w:eastAsia="仿宋" w:cs="仿宋"/>
          <w:color w:val="000000" w:themeColor="text1"/>
          <w:spacing w:val="-2"/>
          <w:sz w:val="24"/>
          <w:szCs w:val="24"/>
          <w:highlight w:val="none"/>
          <w14:textFill>
            <w14:solidFill>
              <w14:schemeClr w14:val="tx1"/>
            </w14:solidFill>
          </w14:textFill>
        </w:rPr>
        <w:t>前竣工指示，承包人应向发包人和监理人提交提前竣工建议书，提前竣工建议书</w:t>
      </w:r>
      <w:r>
        <w:rPr>
          <w:rFonts w:hint="eastAsia" w:ascii="仿宋" w:hAnsi="仿宋" w:eastAsia="仿宋" w:cs="仿宋"/>
          <w:color w:val="000000" w:themeColor="text1"/>
          <w:spacing w:val="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w:t>
      </w:r>
      <w:r>
        <w:rPr>
          <w:rFonts w:hint="eastAsia" w:ascii="仿宋" w:hAnsi="仿宋" w:eastAsia="仿宋" w:cs="仿宋"/>
          <w:color w:val="000000" w:themeColor="text1"/>
          <w:spacing w:val="-3"/>
          <w:sz w:val="24"/>
          <w:szCs w:val="24"/>
          <w:highlight w:val="none"/>
          <w14:textFill>
            <w14:solidFill>
              <w14:schemeClr w14:val="tx1"/>
            </w14:solidFill>
          </w14:textFill>
        </w:rPr>
        <w:t>行的，应向监理人和发包人提出书面异议，发包人和监理人应在收到异议后</w:t>
      </w:r>
      <w:r>
        <w:rPr>
          <w:rFonts w:hint="eastAsia" w:ascii="仿宋" w:hAnsi="仿宋" w:eastAsia="仿宋" w:cs="仿宋"/>
          <w:color w:val="000000" w:themeColor="text1"/>
          <w:spacing w:val="-4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7</w:t>
      </w:r>
      <w:r>
        <w:rPr>
          <w:rFonts w:hint="eastAsia" w:ascii="仿宋" w:hAnsi="仿宋" w:eastAsia="仿宋" w:cs="仿宋"/>
          <w:color w:val="000000" w:themeColor="text1"/>
          <w:spacing w:val="-5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天</w:t>
      </w:r>
      <w:r>
        <w:rPr>
          <w:rFonts w:hint="eastAsia" w:ascii="仿宋" w:hAnsi="仿宋" w:eastAsia="仿宋" w:cs="仿宋"/>
          <w:color w:val="000000" w:themeColor="text1"/>
          <w:spacing w:val="-1"/>
          <w:sz w:val="24"/>
          <w:szCs w:val="24"/>
          <w:highlight w:val="none"/>
          <w14:textFill>
            <w14:solidFill>
              <w14:schemeClr w14:val="tx1"/>
            </w14:solidFill>
          </w14:textFill>
        </w:rPr>
        <w:t>内予以答复。任何情况下，发包人不得压缩合理工期。</w:t>
      </w:r>
    </w:p>
    <w:p w14:paraId="200C2EC6">
      <w:pPr>
        <w:keepNext w:val="0"/>
        <w:keepLines w:val="0"/>
        <w:pageBreakBefore w:val="0"/>
        <w:widowControl w:val="0"/>
        <w:kinsoku/>
        <w:wordWrap/>
        <w:overflowPunct/>
        <w:topLinePunct w:val="0"/>
        <w:autoSpaceDE/>
        <w:autoSpaceDN/>
        <w:bidi w:val="0"/>
        <w:snapToGrid/>
        <w:spacing w:line="360" w:lineRule="auto"/>
        <w:ind w:left="0" w:leftChars="0" w:right="0" w:rightChars="0" w:firstLine="56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7.9.2 发包人要求承包人提前竣工，或承包人提出提前竣工的建议能够</w:t>
      </w:r>
      <w:r>
        <w:rPr>
          <w:rFonts w:hint="eastAsia" w:ascii="仿宋" w:hAnsi="仿宋" w:eastAsia="仿宋" w:cs="仿宋"/>
          <w:color w:val="000000" w:themeColor="text1"/>
          <w:spacing w:val="-3"/>
          <w:sz w:val="24"/>
          <w:szCs w:val="24"/>
          <w:highlight w:val="none"/>
          <w14:textFill>
            <w14:solidFill>
              <w14:schemeClr w14:val="tx1"/>
            </w14:solidFill>
          </w14:textFill>
        </w:rPr>
        <w:t>给发</w:t>
      </w:r>
      <w:r>
        <w:rPr>
          <w:rFonts w:hint="eastAsia" w:ascii="仿宋" w:hAnsi="仿宋" w:eastAsia="仿宋" w:cs="仿宋"/>
          <w:color w:val="000000" w:themeColor="text1"/>
          <w:spacing w:val="-1"/>
          <w:sz w:val="24"/>
          <w:szCs w:val="24"/>
          <w:highlight w:val="none"/>
          <w14:textFill>
            <w14:solidFill>
              <w14:schemeClr w14:val="tx1"/>
            </w14:solidFill>
          </w14:textFill>
        </w:rPr>
        <w:t>包人带来效益的，合同当事人可以在专用合同条款中约定提前竣工的奖励。</w:t>
      </w:r>
    </w:p>
    <w:p w14:paraId="600A833E">
      <w:pPr>
        <w:keepNext w:val="0"/>
        <w:keepLines w:val="0"/>
        <w:pageBreakBefore w:val="0"/>
        <w:widowControl w:val="0"/>
        <w:kinsoku/>
        <w:wordWrap/>
        <w:overflowPunct/>
        <w:topLinePunct w:val="0"/>
        <w:autoSpaceDE/>
        <w:autoSpaceDN/>
        <w:bidi w:val="0"/>
        <w:snapToGrid/>
        <w:spacing w:line="360" w:lineRule="auto"/>
        <w:ind w:left="0" w:leftChars="0" w:right="0" w:rightChars="0"/>
        <w:outlineLvl w:val="2"/>
        <w:rPr>
          <w:rFonts w:hint="eastAsia" w:ascii="仿宋" w:hAnsi="仿宋" w:eastAsia="仿宋" w:cs="仿宋"/>
          <w:color w:val="000000" w:themeColor="text1"/>
          <w:sz w:val="24"/>
          <w:szCs w:val="24"/>
          <w:highlight w:val="none"/>
          <w14:textFill>
            <w14:solidFill>
              <w14:schemeClr w14:val="tx1"/>
            </w14:solidFill>
          </w14:textFill>
        </w:rPr>
      </w:pPr>
      <w:bookmarkStart w:id="102" w:name="bookmark122"/>
      <w:bookmarkEnd w:id="102"/>
      <w:bookmarkStart w:id="103" w:name="_Toc26628"/>
      <w:r>
        <w:rPr>
          <w:rFonts w:hint="eastAsia" w:ascii="仿宋" w:hAnsi="仿宋" w:eastAsia="仿宋" w:cs="仿宋"/>
          <w:color w:val="000000" w:themeColor="text1"/>
          <w:spacing w:val="-2"/>
          <w:sz w:val="24"/>
          <w:szCs w:val="24"/>
          <w:highlight w:val="none"/>
          <w14:textFill>
            <w14:solidFill>
              <w14:schemeClr w14:val="tx1"/>
            </w14:solidFill>
          </w14:textFill>
        </w:rPr>
        <w:t>8. 材料与设备</w:t>
      </w:r>
      <w:bookmarkEnd w:id="103"/>
    </w:p>
    <w:p w14:paraId="7A1AB173">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8.1</w:t>
      </w:r>
      <w:r>
        <w:rPr>
          <w:rFonts w:hint="eastAsia" w:ascii="仿宋" w:hAnsi="仿宋" w:eastAsia="仿宋" w:cs="仿宋"/>
          <w:color w:val="000000" w:themeColor="text1"/>
          <w:spacing w:val="-5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发包人供应材料与工程设备</w:t>
      </w:r>
    </w:p>
    <w:p w14:paraId="08223F7A">
      <w:pPr>
        <w:keepNext w:val="0"/>
        <w:keepLines w:val="0"/>
        <w:pageBreakBefore w:val="0"/>
        <w:widowControl w:val="0"/>
        <w:kinsoku/>
        <w:wordWrap/>
        <w:overflowPunct/>
        <w:topLinePunct w:val="0"/>
        <w:autoSpaceDE/>
        <w:autoSpaceDN/>
        <w:bidi w:val="0"/>
        <w:snapToGrid/>
        <w:spacing w:line="360" w:lineRule="auto"/>
        <w:ind w:left="0" w:leftChars="0" w:right="0" w:rightChars="0" w:firstLine="56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发包人自行供应材料、工程设备的，应在签订合同时在专</w:t>
      </w:r>
      <w:r>
        <w:rPr>
          <w:rFonts w:hint="eastAsia" w:ascii="仿宋" w:hAnsi="仿宋" w:eastAsia="仿宋" w:cs="仿宋"/>
          <w:color w:val="000000" w:themeColor="text1"/>
          <w:spacing w:val="-3"/>
          <w:sz w:val="24"/>
          <w:szCs w:val="24"/>
          <w:highlight w:val="none"/>
          <w14:textFill>
            <w14:solidFill>
              <w14:schemeClr w14:val="tx1"/>
            </w14:solidFill>
          </w14:textFill>
        </w:rPr>
        <w:t>用合同条款的附件</w:t>
      </w:r>
      <w:r>
        <w:rPr>
          <w:rFonts w:hint="eastAsia" w:ascii="仿宋" w:hAnsi="仿宋" w:eastAsia="仿宋" w:cs="仿宋"/>
          <w:color w:val="000000" w:themeColor="text1"/>
          <w:spacing w:val="-2"/>
          <w:sz w:val="24"/>
          <w:szCs w:val="24"/>
          <w:highlight w:val="none"/>
          <w14:textFill>
            <w14:solidFill>
              <w14:schemeClr w14:val="tx1"/>
            </w14:solidFill>
          </w14:textFill>
        </w:rPr>
        <w:t>《发包人供应材料设备一览表》中明确材料、工程设备的品种、规格、型号、数</w:t>
      </w:r>
      <w:r>
        <w:rPr>
          <w:rFonts w:hint="eastAsia" w:ascii="仿宋" w:hAnsi="仿宋" w:eastAsia="仿宋" w:cs="仿宋"/>
          <w:color w:val="000000" w:themeColor="text1"/>
          <w:spacing w:val="-3"/>
          <w:sz w:val="24"/>
          <w:szCs w:val="24"/>
          <w:highlight w:val="none"/>
          <w14:textFill>
            <w14:solidFill>
              <w14:schemeClr w14:val="tx1"/>
            </w14:solidFill>
          </w14:textFill>
        </w:rPr>
        <w:t>量、单价、质量等级和送达地点。</w:t>
      </w:r>
    </w:p>
    <w:p w14:paraId="488131F8">
      <w:pPr>
        <w:keepNext w:val="0"/>
        <w:keepLines w:val="0"/>
        <w:pageBreakBefore w:val="0"/>
        <w:widowControl w:val="0"/>
        <w:kinsoku/>
        <w:wordWrap/>
        <w:overflowPunct/>
        <w:topLinePunct w:val="0"/>
        <w:autoSpaceDE/>
        <w:autoSpaceDN/>
        <w:bidi w:val="0"/>
        <w:snapToGrid/>
        <w:spacing w:line="360" w:lineRule="auto"/>
        <w:ind w:left="0" w:leftChars="0" w:right="0" w:rightChars="0" w:firstLine="56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承包人应提前30天通过监理人以书面形式</w:t>
      </w:r>
      <w:r>
        <w:rPr>
          <w:rFonts w:hint="eastAsia" w:ascii="仿宋" w:hAnsi="仿宋" w:eastAsia="仿宋" w:cs="仿宋"/>
          <w:color w:val="000000" w:themeColor="text1"/>
          <w:spacing w:val="-1"/>
          <w:sz w:val="24"/>
          <w:szCs w:val="24"/>
          <w:highlight w:val="none"/>
          <w14:textFill>
            <w14:solidFill>
              <w14:schemeClr w14:val="tx1"/>
            </w14:solidFill>
          </w14:textFill>
        </w:rPr>
        <w:t>通知发包人供应材料与工程设备</w:t>
      </w:r>
      <w:r>
        <w:rPr>
          <w:rFonts w:hint="eastAsia" w:ascii="仿宋" w:hAnsi="仿宋" w:eastAsia="仿宋" w:cs="仿宋"/>
          <w:color w:val="000000" w:themeColor="text1"/>
          <w:spacing w:val="-3"/>
          <w:sz w:val="24"/>
          <w:szCs w:val="24"/>
          <w:highlight w:val="none"/>
          <w14:textFill>
            <w14:solidFill>
              <w14:schemeClr w14:val="tx1"/>
            </w14:solidFill>
          </w14:textFill>
        </w:rPr>
        <w:t>进场。承包人按照第7.2.2项〔施工进度计划的修订〕约</w:t>
      </w:r>
      <w:r>
        <w:rPr>
          <w:rFonts w:hint="eastAsia" w:ascii="仿宋" w:hAnsi="仿宋" w:eastAsia="仿宋" w:cs="仿宋"/>
          <w:color w:val="000000" w:themeColor="text1"/>
          <w:spacing w:val="-4"/>
          <w:sz w:val="24"/>
          <w:szCs w:val="24"/>
          <w:highlight w:val="none"/>
          <w14:textFill>
            <w14:solidFill>
              <w14:schemeClr w14:val="tx1"/>
            </w14:solidFill>
          </w14:textFill>
        </w:rPr>
        <w:t>定修订施工进度计划时，</w:t>
      </w:r>
      <w:r>
        <w:rPr>
          <w:rFonts w:hint="eastAsia" w:ascii="仿宋" w:hAnsi="仿宋" w:eastAsia="仿宋" w:cs="仿宋"/>
          <w:color w:val="000000" w:themeColor="text1"/>
          <w:spacing w:val="-1"/>
          <w:sz w:val="24"/>
          <w:szCs w:val="24"/>
          <w:highlight w:val="none"/>
          <w14:textFill>
            <w14:solidFill>
              <w14:schemeClr w14:val="tx1"/>
            </w14:solidFill>
          </w14:textFill>
        </w:rPr>
        <w:t>需同时提交经修订后的发包人供应材料与工程设备的进场计划。</w:t>
      </w:r>
    </w:p>
    <w:p w14:paraId="557309A3">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8.2</w:t>
      </w:r>
      <w:r>
        <w:rPr>
          <w:rFonts w:hint="eastAsia" w:ascii="仿宋" w:hAnsi="仿宋" w:eastAsia="仿宋" w:cs="仿宋"/>
          <w:color w:val="000000" w:themeColor="text1"/>
          <w:spacing w:val="-5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承包人采购材料与工程设备</w:t>
      </w:r>
    </w:p>
    <w:p w14:paraId="45EFE3E6">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承包人负责采购材料、工程设备的，应按照设计和有关标准要求采购</w:t>
      </w:r>
      <w:r>
        <w:rPr>
          <w:rFonts w:hint="eastAsia" w:ascii="仿宋" w:hAnsi="仿宋" w:eastAsia="仿宋" w:cs="仿宋"/>
          <w:color w:val="000000" w:themeColor="text1"/>
          <w:spacing w:val="-3"/>
          <w:sz w:val="24"/>
          <w:szCs w:val="24"/>
          <w:highlight w:val="none"/>
          <w14:textFill>
            <w14:solidFill>
              <w14:schemeClr w14:val="tx1"/>
            </w14:solidFill>
          </w14:textFill>
        </w:rPr>
        <w:t>，并提</w:t>
      </w:r>
      <w:r>
        <w:rPr>
          <w:rFonts w:hint="eastAsia" w:ascii="仿宋" w:hAnsi="仿宋" w:eastAsia="仿宋" w:cs="仿宋"/>
          <w:color w:val="000000" w:themeColor="text1"/>
          <w:spacing w:val="-2"/>
          <w:sz w:val="24"/>
          <w:szCs w:val="24"/>
          <w:highlight w:val="none"/>
          <w14:textFill>
            <w14:solidFill>
              <w14:schemeClr w14:val="tx1"/>
            </w14:solidFill>
          </w14:textFill>
        </w:rPr>
        <w:t>供产品合格证明及出厂证明，对材料、工程设备质量负责。合同约定由承包人采购的材料、工程设备，发包人不得指定生产厂家或供应商，发包人违反本款约定</w:t>
      </w:r>
      <w:r>
        <w:rPr>
          <w:rFonts w:hint="eastAsia" w:ascii="仿宋" w:hAnsi="仿宋" w:eastAsia="仿宋" w:cs="仿宋"/>
          <w:color w:val="000000" w:themeColor="text1"/>
          <w:spacing w:val="-1"/>
          <w:sz w:val="24"/>
          <w:szCs w:val="24"/>
          <w:highlight w:val="none"/>
          <w14:textFill>
            <w14:solidFill>
              <w14:schemeClr w14:val="tx1"/>
            </w14:solidFill>
          </w14:textFill>
        </w:rPr>
        <w:t>指定生产厂家或供应商的，承包人有权拒绝，并由发包人承担相应责任。</w:t>
      </w:r>
    </w:p>
    <w:p w14:paraId="0D3FEF47">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8.3</w:t>
      </w:r>
      <w:r>
        <w:rPr>
          <w:rFonts w:hint="eastAsia" w:ascii="仿宋" w:hAnsi="仿宋" w:eastAsia="仿宋" w:cs="仿宋"/>
          <w:color w:val="000000" w:themeColor="text1"/>
          <w:spacing w:val="-4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材料与工程设备的接收与拒收</w:t>
      </w:r>
    </w:p>
    <w:p w14:paraId="5E240A7D">
      <w:pPr>
        <w:keepNext w:val="0"/>
        <w:keepLines w:val="0"/>
        <w:pageBreakBefore w:val="0"/>
        <w:widowControl w:val="0"/>
        <w:kinsoku/>
        <w:wordWrap/>
        <w:overflowPunct/>
        <w:topLinePunct w:val="0"/>
        <w:autoSpaceDE/>
        <w:autoSpaceDN/>
        <w:bidi w:val="0"/>
        <w:snapToGrid/>
        <w:spacing w:line="360" w:lineRule="auto"/>
        <w:ind w:left="0" w:leftChars="0" w:right="0" w:rightChars="0" w:firstLine="56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w:t>
      </w:r>
      <w:r>
        <w:rPr>
          <w:rFonts w:hint="eastAsia" w:ascii="仿宋" w:hAnsi="仿宋" w:eastAsia="仿宋" w:cs="仿宋"/>
          <w:color w:val="000000" w:themeColor="text1"/>
          <w:spacing w:val="-1"/>
          <w:sz w:val="24"/>
          <w:szCs w:val="24"/>
          <w:highlight w:val="none"/>
          <w14:textFill>
            <w14:solidFill>
              <w14:schemeClr w14:val="tx1"/>
            </w14:solidFill>
          </w14:textFill>
        </w:rPr>
        <w:t>材料和工程设备的清点、检验和接收。</w:t>
      </w:r>
    </w:p>
    <w:p w14:paraId="4DC582EB">
      <w:pPr>
        <w:keepNext w:val="0"/>
        <w:keepLines w:val="0"/>
        <w:pageBreakBefore w:val="0"/>
        <w:widowControl w:val="0"/>
        <w:kinsoku/>
        <w:wordWrap/>
        <w:overflowPunct/>
        <w:topLinePunct w:val="0"/>
        <w:autoSpaceDE/>
        <w:autoSpaceDN/>
        <w:bidi w:val="0"/>
        <w:snapToGrid/>
        <w:spacing w:line="360" w:lineRule="auto"/>
        <w:ind w:left="0" w:leftChars="0" w:right="0" w:rightChars="0" w:firstLine="56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发包人提供的材料和工程设备的规格、数量或质量不符合</w:t>
      </w:r>
      <w:r>
        <w:rPr>
          <w:rFonts w:hint="eastAsia" w:ascii="仿宋" w:hAnsi="仿宋" w:eastAsia="仿宋" w:cs="仿宋"/>
          <w:color w:val="000000" w:themeColor="text1"/>
          <w:spacing w:val="-3"/>
          <w:sz w:val="24"/>
          <w:szCs w:val="24"/>
          <w:highlight w:val="none"/>
          <w14:textFill>
            <w14:solidFill>
              <w14:schemeClr w14:val="tx1"/>
            </w14:solidFill>
          </w14:textFill>
        </w:rPr>
        <w:t>合同约定的，或因</w:t>
      </w:r>
      <w:r>
        <w:rPr>
          <w:rFonts w:hint="eastAsia" w:ascii="仿宋" w:hAnsi="仿宋" w:eastAsia="仿宋" w:cs="仿宋"/>
          <w:color w:val="000000" w:themeColor="text1"/>
          <w:spacing w:val="-2"/>
          <w:sz w:val="24"/>
          <w:szCs w:val="24"/>
          <w:highlight w:val="none"/>
          <w14:textFill>
            <w14:solidFill>
              <w14:schemeClr w14:val="tx1"/>
            </w14:solidFill>
          </w14:textFill>
        </w:rPr>
        <w:t>发包人原因导致交货日期延误或交货地点变更等情况的，按照第16.1款〔发包人</w:t>
      </w:r>
      <w:r>
        <w:rPr>
          <w:rFonts w:hint="eastAsia" w:ascii="仿宋" w:hAnsi="仿宋" w:eastAsia="仿宋" w:cs="仿宋"/>
          <w:color w:val="000000" w:themeColor="text1"/>
          <w:spacing w:val="-1"/>
          <w:sz w:val="24"/>
          <w:szCs w:val="24"/>
          <w:highlight w:val="none"/>
          <w14:textFill>
            <w14:solidFill>
              <w14:schemeClr w14:val="tx1"/>
            </w14:solidFill>
          </w14:textFill>
        </w:rPr>
        <w:t>违约〕约定办理。</w:t>
      </w:r>
    </w:p>
    <w:p w14:paraId="3982B7F6">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64940E9E">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承包人采购的材料和工程设备不符合设计或有关标准要求时，承包人</w:t>
      </w:r>
      <w:r>
        <w:rPr>
          <w:rFonts w:hint="eastAsia" w:ascii="仿宋" w:hAnsi="仿宋" w:eastAsia="仿宋" w:cs="仿宋"/>
          <w:color w:val="000000" w:themeColor="text1"/>
          <w:spacing w:val="-3"/>
          <w:sz w:val="24"/>
          <w:szCs w:val="24"/>
          <w:highlight w:val="none"/>
          <w14:textFill>
            <w14:solidFill>
              <w14:schemeClr w14:val="tx1"/>
            </w14:solidFill>
          </w14:textFill>
        </w:rPr>
        <w:t>应在监</w:t>
      </w:r>
      <w:r>
        <w:rPr>
          <w:rFonts w:hint="eastAsia" w:ascii="仿宋" w:hAnsi="仿宋" w:eastAsia="仿宋" w:cs="仿宋"/>
          <w:color w:val="000000" w:themeColor="text1"/>
          <w:spacing w:val="-2"/>
          <w:sz w:val="24"/>
          <w:szCs w:val="24"/>
          <w:highlight w:val="none"/>
          <w14:textFill>
            <w14:solidFill>
              <w14:schemeClr w14:val="tx1"/>
            </w14:solidFill>
          </w14:textFill>
        </w:rPr>
        <w:t>理人要求的合理期限内将不符合设计或有关标准要求的材料、工程设备运出施工</w:t>
      </w:r>
      <w:r>
        <w:rPr>
          <w:rFonts w:hint="eastAsia" w:ascii="仿宋" w:hAnsi="仿宋" w:eastAsia="仿宋" w:cs="仿宋"/>
          <w:color w:val="000000" w:themeColor="text1"/>
          <w:spacing w:val="-9"/>
          <w:sz w:val="24"/>
          <w:szCs w:val="24"/>
          <w:highlight w:val="none"/>
          <w14:textFill>
            <w14:solidFill>
              <w14:schemeClr w14:val="tx1"/>
            </w14:solidFill>
          </w14:textFill>
        </w:rPr>
        <w:t>现场，并重新采购符合要求的材料、工程设备，由此增加的费用和（或）延误的</w:t>
      </w:r>
      <w:r>
        <w:rPr>
          <w:rFonts w:hint="eastAsia" w:ascii="仿宋" w:hAnsi="仿宋" w:eastAsia="仿宋" w:cs="仿宋"/>
          <w:color w:val="000000" w:themeColor="text1"/>
          <w:spacing w:val="-4"/>
          <w:sz w:val="24"/>
          <w:szCs w:val="24"/>
          <w:highlight w:val="none"/>
          <w14:textFill>
            <w14:solidFill>
              <w14:schemeClr w14:val="tx1"/>
            </w14:solidFill>
          </w14:textFill>
        </w:rPr>
        <w:t>工期，由承包人承担。</w:t>
      </w:r>
    </w:p>
    <w:p w14:paraId="45483A78">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8.4</w:t>
      </w:r>
      <w:r>
        <w:rPr>
          <w:rFonts w:hint="eastAsia" w:ascii="仿宋" w:hAnsi="仿宋" w:eastAsia="仿宋" w:cs="仿宋"/>
          <w:color w:val="000000" w:themeColor="text1"/>
          <w:spacing w:val="-4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材料与工程设备的保管与使用</w:t>
      </w:r>
    </w:p>
    <w:p w14:paraId="2EEBC62A">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9"/>
          <w:sz w:val="24"/>
          <w:szCs w:val="24"/>
          <w:highlight w:val="none"/>
          <w14:textFill>
            <w14:solidFill>
              <w14:schemeClr w14:val="tx1"/>
            </w14:solidFill>
          </w14:textFill>
        </w:rPr>
        <w:t>8.4.1 发包人供应材料与工程设备的保管与使用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40E68357">
      <w:pPr>
        <w:keepNext w:val="0"/>
        <w:keepLines w:val="0"/>
        <w:pageBreakBefore w:val="0"/>
        <w:widowControl w:val="0"/>
        <w:kinsoku/>
        <w:wordWrap/>
        <w:overflowPunct/>
        <w:topLinePunct w:val="0"/>
        <w:autoSpaceDE/>
        <w:autoSpaceDN/>
        <w:bidi w:val="0"/>
        <w:snapToGrid/>
        <w:spacing w:line="360" w:lineRule="auto"/>
        <w:ind w:left="0" w:leftChars="0" w:right="0" w:rightChars="0" w:firstLine="56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发包人供应的材料和工程设备使用前，由承包人负责检验</w:t>
      </w:r>
      <w:r>
        <w:rPr>
          <w:rFonts w:hint="eastAsia" w:ascii="仿宋" w:hAnsi="仿宋" w:eastAsia="仿宋" w:cs="仿宋"/>
          <w:color w:val="000000" w:themeColor="text1"/>
          <w:spacing w:val="-3"/>
          <w:sz w:val="24"/>
          <w:szCs w:val="24"/>
          <w:highlight w:val="none"/>
          <w14:textFill>
            <w14:solidFill>
              <w14:schemeClr w14:val="tx1"/>
            </w14:solidFill>
          </w14:textFill>
        </w:rPr>
        <w:t>，检验费用由发包</w:t>
      </w:r>
      <w:r>
        <w:rPr>
          <w:rFonts w:hint="eastAsia" w:ascii="仿宋" w:hAnsi="仿宋" w:eastAsia="仿宋" w:cs="仿宋"/>
          <w:color w:val="000000" w:themeColor="text1"/>
          <w:spacing w:val="-1"/>
          <w:sz w:val="24"/>
          <w:szCs w:val="24"/>
          <w:highlight w:val="none"/>
          <w14:textFill>
            <w14:solidFill>
              <w14:schemeClr w14:val="tx1"/>
            </w14:solidFill>
          </w14:textFill>
        </w:rPr>
        <w:t>人承担，不合格的不得使用。</w:t>
      </w:r>
    </w:p>
    <w:p w14:paraId="3E0591D3">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8.4.2 承包人采购材料与工程设备的保管与使用</w:t>
      </w:r>
    </w:p>
    <w:p w14:paraId="5C859B53">
      <w:pPr>
        <w:keepNext w:val="0"/>
        <w:keepLines w:val="0"/>
        <w:pageBreakBefore w:val="0"/>
        <w:widowControl w:val="0"/>
        <w:kinsoku/>
        <w:wordWrap/>
        <w:overflowPunct/>
        <w:topLinePunct w:val="0"/>
        <w:autoSpaceDE/>
        <w:autoSpaceDN/>
        <w:bidi w:val="0"/>
        <w:snapToGrid/>
        <w:spacing w:line="360" w:lineRule="auto"/>
        <w:ind w:left="0" w:leftChars="0" w:right="0" w:rightChars="0" w:firstLine="55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承包人采购的材料和工程设备由承包人妥善保管，保管费用由承包人承担。法律规定材料和工程设备使用前必须进行检验或试验的，承包人应按监理人的要</w:t>
      </w:r>
      <w:r>
        <w:rPr>
          <w:rFonts w:hint="eastAsia" w:ascii="仿宋" w:hAnsi="仿宋" w:eastAsia="仿宋" w:cs="仿宋"/>
          <w:color w:val="000000" w:themeColor="text1"/>
          <w:spacing w:val="-1"/>
          <w:sz w:val="24"/>
          <w:szCs w:val="24"/>
          <w:highlight w:val="none"/>
          <w14:textFill>
            <w14:solidFill>
              <w14:schemeClr w14:val="tx1"/>
            </w14:solidFill>
          </w14:textFill>
        </w:rPr>
        <w:t>求进行检验或试验，检验或试验费用由承包人承担，不合格的不得使用。</w:t>
      </w:r>
    </w:p>
    <w:p w14:paraId="01CBD99E">
      <w:pPr>
        <w:keepNext w:val="0"/>
        <w:keepLines w:val="0"/>
        <w:pageBreakBefore w:val="0"/>
        <w:widowControl w:val="0"/>
        <w:kinsoku/>
        <w:wordWrap/>
        <w:overflowPunct/>
        <w:topLinePunct w:val="0"/>
        <w:autoSpaceDE/>
        <w:autoSpaceDN/>
        <w:bidi w:val="0"/>
        <w:snapToGrid/>
        <w:spacing w:line="360" w:lineRule="auto"/>
        <w:ind w:left="0" w:leftChars="0" w:right="0" w:rightChars="0" w:firstLine="5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发包人或监理人发现承包人使用不符合设计或有关标准要求的材料和工程设备时，有权要求承包人进行修复、拆除或重新采购，由此增加的费用和（或）延误的工期，由承包人承担。</w:t>
      </w:r>
    </w:p>
    <w:p w14:paraId="76F576C8">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8.5</w:t>
      </w:r>
      <w:r>
        <w:rPr>
          <w:rFonts w:hint="eastAsia" w:ascii="仿宋" w:hAnsi="仿宋" w:eastAsia="仿宋" w:cs="仿宋"/>
          <w:color w:val="000000" w:themeColor="text1"/>
          <w:spacing w:val="-4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禁止使用不合格的材料和工程设备</w:t>
      </w:r>
    </w:p>
    <w:p w14:paraId="5B477940">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8.5.1 监理人有权拒绝承包人提供的不合格材料或工程设备，并要求承包人</w:t>
      </w:r>
      <w:r>
        <w:rPr>
          <w:rFonts w:hint="eastAsia" w:ascii="仿宋" w:hAnsi="仿宋" w:eastAsia="仿宋" w:cs="仿宋"/>
          <w:color w:val="000000" w:themeColor="text1"/>
          <w:spacing w:val="-6"/>
          <w:sz w:val="24"/>
          <w:szCs w:val="24"/>
          <w:highlight w:val="none"/>
          <w14:textFill>
            <w14:solidFill>
              <w14:schemeClr w14:val="tx1"/>
            </w14:solidFill>
          </w14:textFill>
        </w:rPr>
        <w:t>立即进行更换。监理人应在更换后再次进行检查和检验，</w:t>
      </w:r>
      <w:r>
        <w:rPr>
          <w:rFonts w:hint="eastAsia" w:ascii="仿宋" w:hAnsi="仿宋" w:eastAsia="仿宋" w:cs="仿宋"/>
          <w:color w:val="000000" w:themeColor="text1"/>
          <w:spacing w:val="-7"/>
          <w:sz w:val="24"/>
          <w:szCs w:val="24"/>
          <w:highlight w:val="none"/>
          <w14:textFill>
            <w14:solidFill>
              <w14:schemeClr w14:val="tx1"/>
            </w14:solidFill>
          </w14:textFill>
        </w:rPr>
        <w:t>由此增加的费用和（或）</w:t>
      </w:r>
      <w:r>
        <w:rPr>
          <w:rFonts w:hint="eastAsia" w:ascii="仿宋" w:hAnsi="仿宋" w:eastAsia="仿宋" w:cs="仿宋"/>
          <w:color w:val="000000" w:themeColor="text1"/>
          <w:spacing w:val="-4"/>
          <w:sz w:val="24"/>
          <w:szCs w:val="24"/>
          <w:highlight w:val="none"/>
          <w14:textFill>
            <w14:solidFill>
              <w14:schemeClr w14:val="tx1"/>
            </w14:solidFill>
          </w14:textFill>
        </w:rPr>
        <w:t>延误的工期由承包人承担。</w:t>
      </w:r>
    </w:p>
    <w:p w14:paraId="3C66D6B0">
      <w:pPr>
        <w:keepNext w:val="0"/>
        <w:keepLines w:val="0"/>
        <w:pageBreakBefore w:val="0"/>
        <w:widowControl w:val="0"/>
        <w:kinsoku/>
        <w:wordWrap/>
        <w:overflowPunct/>
        <w:topLinePunct w:val="0"/>
        <w:autoSpaceDE/>
        <w:autoSpaceDN/>
        <w:bidi w:val="0"/>
        <w:snapToGrid/>
        <w:spacing w:line="360" w:lineRule="auto"/>
        <w:ind w:left="0" w:leftChars="0" w:right="0" w:rightChars="0" w:firstLine="5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8.5.2 监理人发现承包人使用了不合格的材料和工程设备，承包人应按照监</w:t>
      </w:r>
      <w:r>
        <w:rPr>
          <w:rFonts w:hint="eastAsia" w:ascii="仿宋" w:hAnsi="仿宋" w:eastAsia="仿宋" w:cs="仿宋"/>
          <w:color w:val="000000" w:themeColor="text1"/>
          <w:spacing w:val="-1"/>
          <w:sz w:val="24"/>
          <w:szCs w:val="24"/>
          <w:highlight w:val="none"/>
          <w14:textFill>
            <w14:solidFill>
              <w14:schemeClr w14:val="tx1"/>
            </w14:solidFill>
          </w14:textFill>
        </w:rPr>
        <w:t>理人的指示立即改正，并禁止在工程中继续使用不合格的材料和工程设备。</w:t>
      </w:r>
    </w:p>
    <w:p w14:paraId="58623174">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8.5.3 发包人提供的材料或工程设备不符合合同要求的，承包人有权拒绝，并可要求发包人更换，由此增加的费用和（或）延误的工期由发包人承担，并支</w:t>
      </w:r>
      <w:r>
        <w:rPr>
          <w:rFonts w:hint="eastAsia" w:ascii="仿宋" w:hAnsi="仿宋" w:eastAsia="仿宋" w:cs="仿宋"/>
          <w:color w:val="000000" w:themeColor="text1"/>
          <w:spacing w:val="-4"/>
          <w:sz w:val="24"/>
          <w:szCs w:val="24"/>
          <w:highlight w:val="none"/>
          <w14:textFill>
            <w14:solidFill>
              <w14:schemeClr w14:val="tx1"/>
            </w14:solidFill>
          </w14:textFill>
        </w:rPr>
        <w:t>付承包人合理的利润。</w:t>
      </w:r>
    </w:p>
    <w:p w14:paraId="2550CEB0">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8.6</w:t>
      </w:r>
      <w:r>
        <w:rPr>
          <w:rFonts w:hint="eastAsia" w:ascii="仿宋" w:hAnsi="仿宋" w:eastAsia="仿宋" w:cs="仿宋"/>
          <w:color w:val="000000" w:themeColor="text1"/>
          <w:spacing w:val="1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样品</w:t>
      </w:r>
    </w:p>
    <w:p w14:paraId="74D4BCB0">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8.6.1 样品的报送与封存</w:t>
      </w:r>
    </w:p>
    <w:p w14:paraId="210EF6AC">
      <w:pPr>
        <w:keepNext w:val="0"/>
        <w:keepLines w:val="0"/>
        <w:pageBreakBefore w:val="0"/>
        <w:widowControl w:val="0"/>
        <w:kinsoku/>
        <w:wordWrap/>
        <w:overflowPunct/>
        <w:topLinePunct w:val="0"/>
        <w:autoSpaceDE/>
        <w:autoSpaceDN/>
        <w:bidi w:val="0"/>
        <w:snapToGrid/>
        <w:spacing w:line="360" w:lineRule="auto"/>
        <w:ind w:left="0" w:leftChars="0" w:right="0" w:rightChars="0" w:firstLine="57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需要承包人报送样品的材料或工程设备，样品的种类、名称、规格、数量等</w:t>
      </w:r>
      <w:r>
        <w:rPr>
          <w:rFonts w:hint="eastAsia" w:ascii="仿宋" w:hAnsi="仿宋" w:eastAsia="仿宋" w:cs="仿宋"/>
          <w:color w:val="000000" w:themeColor="text1"/>
          <w:spacing w:val="-1"/>
          <w:sz w:val="24"/>
          <w:szCs w:val="24"/>
          <w:highlight w:val="none"/>
          <w14:textFill>
            <w14:solidFill>
              <w14:schemeClr w14:val="tx1"/>
            </w14:solidFill>
          </w14:textFill>
        </w:rPr>
        <w:t>要求均应在专用合同条款中约定。样品的报送程序如下：</w:t>
      </w:r>
    </w:p>
    <w:p w14:paraId="6200A7D2">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（1）承包人应在计划采购前28天向监理人报送样品。承包人报送的样品均</w:t>
      </w:r>
      <w:r>
        <w:rPr>
          <w:rFonts w:hint="eastAsia" w:ascii="仿宋" w:hAnsi="仿宋" w:eastAsia="仿宋" w:cs="仿宋"/>
          <w:color w:val="000000" w:themeColor="text1"/>
          <w:spacing w:val="-2"/>
          <w:sz w:val="24"/>
          <w:szCs w:val="24"/>
          <w:highlight w:val="none"/>
          <w14:textFill>
            <w14:solidFill>
              <w14:schemeClr w14:val="tx1"/>
            </w14:solidFill>
          </w14:textFill>
        </w:rPr>
        <w:t>应来自供应材料的实际生产地，且提供的样品的规格、数量足以表明材料或工程</w:t>
      </w:r>
      <w:r>
        <w:rPr>
          <w:rFonts w:hint="eastAsia" w:ascii="仿宋" w:hAnsi="仿宋" w:eastAsia="仿宋" w:cs="仿宋"/>
          <w:color w:val="000000" w:themeColor="text1"/>
          <w:spacing w:val="-1"/>
          <w:sz w:val="24"/>
          <w:szCs w:val="24"/>
          <w:highlight w:val="none"/>
          <w14:textFill>
            <w14:solidFill>
              <w14:schemeClr w14:val="tx1"/>
            </w14:solidFill>
          </w14:textFill>
        </w:rPr>
        <w:t>设备的质量、型号、颜色、表面处理、质地、误差</w:t>
      </w:r>
      <w:r>
        <w:rPr>
          <w:rFonts w:hint="eastAsia" w:ascii="仿宋" w:hAnsi="仿宋" w:eastAsia="仿宋" w:cs="仿宋"/>
          <w:color w:val="000000" w:themeColor="text1"/>
          <w:spacing w:val="-2"/>
          <w:sz w:val="24"/>
          <w:szCs w:val="24"/>
          <w:highlight w:val="none"/>
          <w14:textFill>
            <w14:solidFill>
              <w14:schemeClr w14:val="tx1"/>
            </w14:solidFill>
          </w14:textFill>
        </w:rPr>
        <w:t>和其他要求的特征。</w:t>
      </w:r>
    </w:p>
    <w:p w14:paraId="7C68973B">
      <w:pPr>
        <w:keepNext w:val="0"/>
        <w:keepLines w:val="0"/>
        <w:pageBreakBefore w:val="0"/>
        <w:widowControl w:val="0"/>
        <w:kinsoku/>
        <w:wordWrap/>
        <w:overflowPunct/>
        <w:topLinePunct w:val="0"/>
        <w:autoSpaceDE/>
        <w:autoSpaceDN/>
        <w:bidi w:val="0"/>
        <w:snapToGrid/>
        <w:spacing w:line="360" w:lineRule="auto"/>
        <w:ind w:left="0" w:leftChars="0" w:right="0" w:rightChars="0" w:firstLine="56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（2）承包人每次报送样品时应随附申报单，申报单应载明报送样品的相关</w:t>
      </w:r>
      <w:r>
        <w:rPr>
          <w:rFonts w:hint="eastAsia" w:ascii="仿宋" w:hAnsi="仿宋" w:eastAsia="仿宋" w:cs="仿宋"/>
          <w:color w:val="000000" w:themeColor="text1"/>
          <w:spacing w:val="-2"/>
          <w:sz w:val="24"/>
          <w:szCs w:val="24"/>
          <w:highlight w:val="none"/>
          <w14:textFill>
            <w14:solidFill>
              <w14:schemeClr w14:val="tx1"/>
            </w14:solidFill>
          </w14:textFill>
        </w:rPr>
        <w:t>数据和资料，并标明每件样品对应的图纸号，预留监理人批复意见栏。监理人应</w:t>
      </w:r>
      <w:r>
        <w:rPr>
          <w:rFonts w:hint="eastAsia" w:ascii="仿宋" w:hAnsi="仿宋" w:eastAsia="仿宋" w:cs="仿宋"/>
          <w:color w:val="000000" w:themeColor="text1"/>
          <w:sz w:val="24"/>
          <w:szCs w:val="24"/>
          <w:highlight w:val="none"/>
          <w14:textFill>
            <w14:solidFill>
              <w14:schemeClr w14:val="tx1"/>
            </w14:solidFill>
          </w14:textFill>
        </w:rPr>
        <w:t>在收到承包人报送的样品后7天向承包人回复经发包人</w:t>
      </w:r>
      <w:r>
        <w:rPr>
          <w:rFonts w:hint="eastAsia" w:ascii="仿宋" w:hAnsi="仿宋" w:eastAsia="仿宋" w:cs="仿宋"/>
          <w:color w:val="000000" w:themeColor="text1"/>
          <w:spacing w:val="-1"/>
          <w:sz w:val="24"/>
          <w:szCs w:val="24"/>
          <w:highlight w:val="none"/>
          <w14:textFill>
            <w14:solidFill>
              <w14:schemeClr w14:val="tx1"/>
            </w14:solidFill>
          </w14:textFill>
        </w:rPr>
        <w:t>签认的样品审批意见。</w:t>
      </w:r>
    </w:p>
    <w:p w14:paraId="0807989E">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（3）经发包人和监理人审批确认的样品应按约定的方法封样，封存的样品</w:t>
      </w:r>
      <w:r>
        <w:rPr>
          <w:rFonts w:hint="eastAsia" w:ascii="仿宋" w:hAnsi="仿宋" w:eastAsia="仿宋" w:cs="仿宋"/>
          <w:color w:val="000000" w:themeColor="text1"/>
          <w:spacing w:val="-3"/>
          <w:sz w:val="24"/>
          <w:szCs w:val="24"/>
          <w:highlight w:val="none"/>
          <w14:textFill>
            <w14:solidFill>
              <w14:schemeClr w14:val="tx1"/>
            </w14:solidFill>
          </w14:textFill>
        </w:rPr>
        <w:t>作为检验工程相关部分的标准之一。承包人在施工过程中不得使用与样品不符的</w:t>
      </w:r>
      <w:r>
        <w:rPr>
          <w:rFonts w:hint="eastAsia" w:ascii="仿宋" w:hAnsi="仿宋" w:eastAsia="仿宋" w:cs="仿宋"/>
          <w:color w:val="000000" w:themeColor="text1"/>
          <w:spacing w:val="-1"/>
          <w:sz w:val="24"/>
          <w:szCs w:val="24"/>
          <w:highlight w:val="none"/>
          <w14:textFill>
            <w14:solidFill>
              <w14:schemeClr w14:val="tx1"/>
            </w14:solidFill>
          </w14:textFill>
        </w:rPr>
        <w:t>材料或工程设备。</w:t>
      </w:r>
    </w:p>
    <w:p w14:paraId="7501F564">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（4）发包人和监理人对样品的审批确认仅为确认相关材料或工程设备的特</w:t>
      </w:r>
      <w:r>
        <w:rPr>
          <w:rFonts w:hint="eastAsia" w:ascii="仿宋" w:hAnsi="仿宋" w:eastAsia="仿宋" w:cs="仿宋"/>
          <w:color w:val="000000" w:themeColor="text1"/>
          <w:spacing w:val="-2"/>
          <w:sz w:val="24"/>
          <w:szCs w:val="24"/>
          <w:highlight w:val="none"/>
          <w14:textFill>
            <w14:solidFill>
              <w14:schemeClr w14:val="tx1"/>
            </w14:solidFill>
          </w14:textFill>
        </w:rPr>
        <w:t>征或用途，不得被理解为对合同的修改或改变，也并不减轻或免除承包人任何的责任和义务。如果封存的样品修改或改变了合同约定，合同当事人应当以书面协</w:t>
      </w:r>
      <w:r>
        <w:rPr>
          <w:rFonts w:hint="eastAsia" w:ascii="仿宋" w:hAnsi="仿宋" w:eastAsia="仿宋" w:cs="仿宋"/>
          <w:color w:val="000000" w:themeColor="text1"/>
          <w:spacing w:val="-6"/>
          <w:sz w:val="24"/>
          <w:szCs w:val="24"/>
          <w:highlight w:val="none"/>
          <w14:textFill>
            <w14:solidFill>
              <w14:schemeClr w14:val="tx1"/>
            </w14:solidFill>
          </w14:textFill>
        </w:rPr>
        <w:t>议予以确认。</w:t>
      </w:r>
    </w:p>
    <w:p w14:paraId="3CB2C5AC">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8.6.2 样品的保管</w:t>
      </w:r>
    </w:p>
    <w:p w14:paraId="37747C60">
      <w:pPr>
        <w:keepNext w:val="0"/>
        <w:keepLines w:val="0"/>
        <w:pageBreakBefore w:val="0"/>
        <w:widowControl w:val="0"/>
        <w:kinsoku/>
        <w:wordWrap/>
        <w:overflowPunct/>
        <w:topLinePunct w:val="0"/>
        <w:autoSpaceDE/>
        <w:autoSpaceDN/>
        <w:bidi w:val="0"/>
        <w:snapToGrid/>
        <w:spacing w:line="360" w:lineRule="auto"/>
        <w:ind w:left="0" w:leftChars="0" w:right="0" w:rightChars="0" w:firstLine="56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经批准的样品应由监理人负责封存于现场，承包人应在现场为保</w:t>
      </w:r>
      <w:r>
        <w:rPr>
          <w:rFonts w:hint="eastAsia" w:ascii="仿宋" w:hAnsi="仿宋" w:eastAsia="仿宋" w:cs="仿宋"/>
          <w:color w:val="000000" w:themeColor="text1"/>
          <w:spacing w:val="-3"/>
          <w:sz w:val="24"/>
          <w:szCs w:val="24"/>
          <w:highlight w:val="none"/>
          <w14:textFill>
            <w14:solidFill>
              <w14:schemeClr w14:val="tx1"/>
            </w14:solidFill>
          </w14:textFill>
        </w:rPr>
        <w:t>存样品提供</w:t>
      </w:r>
      <w:r>
        <w:rPr>
          <w:rFonts w:hint="eastAsia" w:ascii="仿宋" w:hAnsi="仿宋" w:eastAsia="仿宋" w:cs="仿宋"/>
          <w:color w:val="000000" w:themeColor="text1"/>
          <w:spacing w:val="-1"/>
          <w:sz w:val="24"/>
          <w:szCs w:val="24"/>
          <w:highlight w:val="none"/>
          <w14:textFill>
            <w14:solidFill>
              <w14:schemeClr w14:val="tx1"/>
            </w14:solidFill>
          </w14:textFill>
        </w:rPr>
        <w:t>适当和固定的场所并保持适当和良好的存储环境条件。</w:t>
      </w:r>
    </w:p>
    <w:p w14:paraId="28CDAF33">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8.7</w:t>
      </w:r>
      <w:r>
        <w:rPr>
          <w:rFonts w:hint="eastAsia" w:ascii="仿宋" w:hAnsi="仿宋" w:eastAsia="仿宋" w:cs="仿宋"/>
          <w:color w:val="000000" w:themeColor="text1"/>
          <w:spacing w:val="-5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材料与工程设备的替代</w:t>
      </w:r>
    </w:p>
    <w:p w14:paraId="74148D6A">
      <w:pPr>
        <w:keepNext w:val="0"/>
        <w:keepLines w:val="0"/>
        <w:pageBreakBefore w:val="0"/>
        <w:widowControl w:val="0"/>
        <w:kinsoku/>
        <w:wordWrap/>
        <w:overflowPunct/>
        <w:topLinePunct w:val="0"/>
        <w:autoSpaceDE/>
        <w:autoSpaceDN/>
        <w:bidi w:val="0"/>
        <w:snapToGrid/>
        <w:spacing w:line="360" w:lineRule="auto"/>
        <w:ind w:left="0" w:leftChars="0" w:right="0" w:rightChars="0" w:firstLine="55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8.7.1</w:t>
      </w:r>
      <w:r>
        <w:rPr>
          <w:rFonts w:hint="eastAsia" w:ascii="仿宋" w:hAnsi="仿宋" w:eastAsia="仿宋" w:cs="仿宋"/>
          <w:color w:val="000000" w:themeColor="text1"/>
          <w:spacing w:val="5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出现下列情况需要使用替代材料和工程设备的，承包人应按照第</w:t>
      </w:r>
      <w:r>
        <w:rPr>
          <w:rFonts w:hint="eastAsia" w:ascii="仿宋" w:hAnsi="仿宋" w:eastAsia="仿宋" w:cs="仿宋"/>
          <w:color w:val="000000" w:themeColor="text1"/>
          <w:spacing w:val="-4"/>
          <w:sz w:val="24"/>
          <w:szCs w:val="24"/>
          <w:highlight w:val="none"/>
          <w14:textFill>
            <w14:solidFill>
              <w14:schemeClr w14:val="tx1"/>
            </w14:solidFill>
          </w14:textFill>
        </w:rPr>
        <w:t>8.7.2项约定的程序执行：</w:t>
      </w:r>
    </w:p>
    <w:p w14:paraId="54AD29CB">
      <w:pPr>
        <w:keepNext w:val="0"/>
        <w:keepLines w:val="0"/>
        <w:pageBreakBefore w:val="0"/>
        <w:widowControl w:val="0"/>
        <w:kinsoku/>
        <w:wordWrap/>
        <w:overflowPunct/>
        <w:topLinePunct w:val="0"/>
        <w:autoSpaceDE/>
        <w:autoSpaceDN/>
        <w:bidi w:val="0"/>
        <w:snapToGrid/>
        <w:spacing w:line="360" w:lineRule="auto"/>
        <w:ind w:left="0" w:leftChars="0" w:right="0" w:rightChars="0" w:firstLine="464"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（1）基准日期后生效的法律规定禁止使用的；</w:t>
      </w:r>
    </w:p>
    <w:p w14:paraId="771B8C48">
      <w:pPr>
        <w:keepNext w:val="0"/>
        <w:keepLines w:val="0"/>
        <w:pageBreakBefore w:val="0"/>
        <w:widowControl w:val="0"/>
        <w:kinsoku/>
        <w:wordWrap/>
        <w:overflowPunct/>
        <w:topLinePunct w:val="0"/>
        <w:autoSpaceDE/>
        <w:autoSpaceDN/>
        <w:bidi w:val="0"/>
        <w:snapToGrid/>
        <w:spacing w:line="360" w:lineRule="auto"/>
        <w:ind w:left="0" w:leftChars="0" w:right="0" w:rightChars="0" w:firstLine="464"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（2）发包人要求使用替代品的；</w:t>
      </w:r>
    </w:p>
    <w:p w14:paraId="5CA3282F">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（3）因其他原因必须使用替代品的。</w:t>
      </w:r>
    </w:p>
    <w:p w14:paraId="67499874">
      <w:pPr>
        <w:keepNext w:val="0"/>
        <w:keepLines w:val="0"/>
        <w:pageBreakBefore w:val="0"/>
        <w:widowControl w:val="0"/>
        <w:kinsoku/>
        <w:wordWrap/>
        <w:overflowPunct/>
        <w:topLinePunct w:val="0"/>
        <w:autoSpaceDE/>
        <w:autoSpaceDN/>
        <w:bidi w:val="0"/>
        <w:snapToGrid/>
        <w:spacing w:line="360" w:lineRule="auto"/>
        <w:ind w:left="0" w:leftChars="0" w:right="0" w:rightChars="0" w:firstLine="55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8.7.2 承包人应在使用替代材料和工程设备28天前书面通知监理人，并附下</w:t>
      </w:r>
      <w:r>
        <w:rPr>
          <w:rFonts w:hint="eastAsia" w:ascii="仿宋" w:hAnsi="仿宋" w:eastAsia="仿宋" w:cs="仿宋"/>
          <w:color w:val="000000" w:themeColor="text1"/>
          <w:spacing w:val="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5"/>
          <w:sz w:val="24"/>
          <w:szCs w:val="24"/>
          <w:highlight w:val="none"/>
          <w14:textFill>
            <w14:solidFill>
              <w14:schemeClr w14:val="tx1"/>
            </w14:solidFill>
          </w14:textFill>
        </w:rPr>
        <w:t>列文件：</w:t>
      </w:r>
    </w:p>
    <w:p w14:paraId="04A08329">
      <w:pPr>
        <w:keepNext w:val="0"/>
        <w:keepLines w:val="0"/>
        <w:pageBreakBefore w:val="0"/>
        <w:widowControl w:val="0"/>
        <w:kinsoku/>
        <w:wordWrap/>
        <w:overflowPunct/>
        <w:topLinePunct w:val="0"/>
        <w:autoSpaceDE/>
        <w:autoSpaceDN/>
        <w:bidi w:val="0"/>
        <w:snapToGrid/>
        <w:spacing w:line="360" w:lineRule="auto"/>
        <w:ind w:left="0" w:leftChars="0" w:right="0" w:rightChars="0" w:firstLine="56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（1）被替代的材料和工程设备的名称、数量、规格、型号、品牌、性能、</w:t>
      </w:r>
      <w:r>
        <w:rPr>
          <w:rFonts w:hint="eastAsia" w:ascii="仿宋" w:hAnsi="仿宋" w:eastAsia="仿宋" w:cs="仿宋"/>
          <w:color w:val="000000" w:themeColor="text1"/>
          <w:spacing w:val="-5"/>
          <w:sz w:val="24"/>
          <w:szCs w:val="24"/>
          <w:highlight w:val="none"/>
          <w14:textFill>
            <w14:solidFill>
              <w14:schemeClr w14:val="tx1"/>
            </w14:solidFill>
          </w14:textFill>
        </w:rPr>
        <w:t>价格及其他相关资料；</w:t>
      </w:r>
    </w:p>
    <w:p w14:paraId="651853F6">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（2）替代品的名称、数量、规格、型号、品牌、性能</w:t>
      </w:r>
      <w:r>
        <w:rPr>
          <w:rFonts w:hint="eastAsia" w:ascii="仿宋" w:hAnsi="仿宋" w:eastAsia="仿宋" w:cs="仿宋"/>
          <w:color w:val="000000" w:themeColor="text1"/>
          <w:spacing w:val="-2"/>
          <w:sz w:val="24"/>
          <w:szCs w:val="24"/>
          <w:highlight w:val="none"/>
          <w14:textFill>
            <w14:solidFill>
              <w14:schemeClr w14:val="tx1"/>
            </w14:solidFill>
          </w14:textFill>
        </w:rPr>
        <w:t>、价格及其他相关资</w:t>
      </w:r>
      <w:r>
        <w:rPr>
          <w:rFonts w:hint="eastAsia" w:ascii="仿宋" w:hAnsi="仿宋" w:eastAsia="仿宋" w:cs="仿宋"/>
          <w:color w:val="000000" w:themeColor="text1"/>
          <w:spacing w:val="-19"/>
          <w:sz w:val="24"/>
          <w:szCs w:val="24"/>
          <w:highlight w:val="none"/>
          <w14:textFill>
            <w14:solidFill>
              <w14:schemeClr w14:val="tx1"/>
            </w14:solidFill>
          </w14:textFill>
        </w:rPr>
        <w:t>料；</w:t>
      </w:r>
    </w:p>
    <w:p w14:paraId="09248C1B">
      <w:pPr>
        <w:keepNext w:val="0"/>
        <w:keepLines w:val="0"/>
        <w:pageBreakBefore w:val="0"/>
        <w:widowControl w:val="0"/>
        <w:kinsoku/>
        <w:wordWrap/>
        <w:overflowPunct/>
        <w:topLinePunct w:val="0"/>
        <w:autoSpaceDE/>
        <w:autoSpaceDN/>
        <w:bidi w:val="0"/>
        <w:snapToGrid/>
        <w:spacing w:line="360" w:lineRule="auto"/>
        <w:ind w:left="0" w:leftChars="0" w:right="0" w:rightChars="0" w:firstLine="55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（3）替代品与被替代产品之间的差异以及使用替代品可能对工程产生的影</w:t>
      </w:r>
      <w:r>
        <w:rPr>
          <w:rFonts w:hint="eastAsia" w:ascii="仿宋" w:hAnsi="仿宋" w:eastAsia="仿宋" w:cs="仿宋"/>
          <w:color w:val="000000" w:themeColor="text1"/>
          <w:spacing w:val="-23"/>
          <w:sz w:val="24"/>
          <w:szCs w:val="24"/>
          <w:highlight w:val="none"/>
          <w14:textFill>
            <w14:solidFill>
              <w14:schemeClr w14:val="tx1"/>
            </w14:solidFill>
          </w14:textFill>
        </w:rPr>
        <w:t>响；</w:t>
      </w:r>
    </w:p>
    <w:p w14:paraId="60D48B7F">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（4）替代品与被替代产品的价格差异；</w:t>
      </w:r>
    </w:p>
    <w:p w14:paraId="76C98D52">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（5）使用替代品的理由和原因说明；</w:t>
      </w:r>
    </w:p>
    <w:p w14:paraId="45857426">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（6）监理人要求的其他文件。</w:t>
      </w:r>
    </w:p>
    <w:p w14:paraId="49314104">
      <w:pPr>
        <w:keepNext w:val="0"/>
        <w:keepLines w:val="0"/>
        <w:pageBreakBefore w:val="0"/>
        <w:widowControl w:val="0"/>
        <w:kinsoku/>
        <w:wordWrap/>
        <w:overflowPunct/>
        <w:topLinePunct w:val="0"/>
        <w:autoSpaceDE/>
        <w:autoSpaceDN/>
        <w:bidi w:val="0"/>
        <w:snapToGrid/>
        <w:spacing w:line="360" w:lineRule="auto"/>
        <w:ind w:left="0" w:leftChars="0" w:right="0" w:rightChars="0" w:firstLine="558"/>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监理人应在收到通知后14天内向承包人发出经发包人签认的书面指示；监理人逾期发出书面指示的，视为发包人和监理人同意使用替代品。</w:t>
      </w:r>
    </w:p>
    <w:p w14:paraId="6C8E076F">
      <w:pPr>
        <w:keepNext w:val="0"/>
        <w:keepLines w:val="0"/>
        <w:pageBreakBefore w:val="0"/>
        <w:widowControl w:val="0"/>
        <w:kinsoku/>
        <w:wordWrap/>
        <w:overflowPunct/>
        <w:topLinePunct w:val="0"/>
        <w:autoSpaceDE/>
        <w:autoSpaceDN/>
        <w:bidi w:val="0"/>
        <w:snapToGrid/>
        <w:spacing w:line="360" w:lineRule="auto"/>
        <w:ind w:left="0" w:leftChars="0" w:right="0" w:rightChars="0" w:firstLine="558"/>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354D7EB1">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8.8</w:t>
      </w:r>
      <w:r>
        <w:rPr>
          <w:rFonts w:hint="eastAsia" w:ascii="仿宋" w:hAnsi="仿宋" w:eastAsia="仿宋" w:cs="仿宋"/>
          <w:color w:val="000000" w:themeColor="text1"/>
          <w:spacing w:val="-5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施工设备和临时设施</w:t>
      </w:r>
    </w:p>
    <w:p w14:paraId="76BE9C45">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8.8.1 承包人提供的施工设备和临时设施</w:t>
      </w:r>
    </w:p>
    <w:p w14:paraId="38F21798">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承包人应按合同进度计划的要求，及时配置施工设备和修建临时设施</w:t>
      </w:r>
      <w:r>
        <w:rPr>
          <w:rFonts w:hint="eastAsia" w:ascii="仿宋" w:hAnsi="仿宋" w:eastAsia="仿宋" w:cs="仿宋"/>
          <w:color w:val="000000" w:themeColor="text1"/>
          <w:spacing w:val="-3"/>
          <w:sz w:val="24"/>
          <w:szCs w:val="24"/>
          <w:highlight w:val="none"/>
          <w14:textFill>
            <w14:solidFill>
              <w14:schemeClr w14:val="tx1"/>
            </w14:solidFill>
          </w14:textFill>
        </w:rPr>
        <w:t>。进入</w:t>
      </w:r>
      <w:r>
        <w:rPr>
          <w:rFonts w:hint="eastAsia" w:ascii="仿宋" w:hAnsi="仿宋" w:eastAsia="仿宋" w:cs="仿宋"/>
          <w:color w:val="000000" w:themeColor="text1"/>
          <w:spacing w:val="-2"/>
          <w:sz w:val="24"/>
          <w:szCs w:val="24"/>
          <w:highlight w:val="none"/>
          <w14:textFill>
            <w14:solidFill>
              <w14:schemeClr w14:val="tx1"/>
            </w14:solidFill>
          </w14:textFill>
        </w:rPr>
        <w:t>施工场地的承包人设备需经监理人核查后才能投入使用。承包人更换合同约定的</w:t>
      </w:r>
      <w:r>
        <w:rPr>
          <w:rFonts w:hint="eastAsia" w:ascii="仿宋" w:hAnsi="仿宋" w:eastAsia="仿宋" w:cs="仿宋"/>
          <w:color w:val="000000" w:themeColor="text1"/>
          <w:spacing w:val="-3"/>
          <w:sz w:val="24"/>
          <w:szCs w:val="24"/>
          <w:highlight w:val="none"/>
          <w14:textFill>
            <w14:solidFill>
              <w14:schemeClr w14:val="tx1"/>
            </w14:solidFill>
          </w14:textFill>
        </w:rPr>
        <w:t>承包人设备的，应报监理人批准。</w:t>
      </w:r>
    </w:p>
    <w:p w14:paraId="62D8226A">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除专用合同条款另有约定外，承包人应自行承担修建临时设施的费用，需要</w:t>
      </w:r>
      <w:r>
        <w:rPr>
          <w:rFonts w:hint="eastAsia" w:ascii="仿宋" w:hAnsi="仿宋" w:eastAsia="仿宋" w:cs="仿宋"/>
          <w:color w:val="000000" w:themeColor="text1"/>
          <w:spacing w:val="-1"/>
          <w:sz w:val="24"/>
          <w:szCs w:val="24"/>
          <w:highlight w:val="none"/>
          <w14:textFill>
            <w14:solidFill>
              <w14:schemeClr w14:val="tx1"/>
            </w14:solidFill>
          </w14:textFill>
        </w:rPr>
        <w:t>临时占地的，应由发包人办理申请手续并承担相</w:t>
      </w:r>
      <w:r>
        <w:rPr>
          <w:rFonts w:hint="eastAsia" w:ascii="仿宋" w:hAnsi="仿宋" w:eastAsia="仿宋" w:cs="仿宋"/>
          <w:color w:val="000000" w:themeColor="text1"/>
          <w:spacing w:val="-2"/>
          <w:sz w:val="24"/>
          <w:szCs w:val="24"/>
          <w:highlight w:val="none"/>
          <w14:textFill>
            <w14:solidFill>
              <w14:schemeClr w14:val="tx1"/>
            </w14:solidFill>
          </w14:textFill>
        </w:rPr>
        <w:t>应费用。</w:t>
      </w:r>
    </w:p>
    <w:p w14:paraId="06BDA2A0">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8.8.2发包人提供的施工设备和临时设施</w:t>
      </w:r>
    </w:p>
    <w:p w14:paraId="33E15DB3">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发包人提供的施工设备或临时设施在专用合同条款中约定。</w:t>
      </w:r>
    </w:p>
    <w:p w14:paraId="35A85832">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8.8.3要求承包人增加或更换施工设备</w:t>
      </w:r>
    </w:p>
    <w:p w14:paraId="27B0C733">
      <w:pPr>
        <w:keepNext w:val="0"/>
        <w:keepLines w:val="0"/>
        <w:pageBreakBefore w:val="0"/>
        <w:widowControl w:val="0"/>
        <w:kinsoku/>
        <w:wordWrap/>
        <w:overflowPunct/>
        <w:topLinePunct w:val="0"/>
        <w:autoSpaceDE/>
        <w:autoSpaceDN/>
        <w:bidi w:val="0"/>
        <w:snapToGrid/>
        <w:spacing w:line="360" w:lineRule="auto"/>
        <w:ind w:left="0" w:leftChars="0" w:right="0" w:rightChars="0" w:firstLine="55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承包人使用的施工设备不能满足合同进度计划和（或）质量要求时，</w:t>
      </w:r>
      <w:r>
        <w:rPr>
          <w:rFonts w:hint="eastAsia" w:ascii="仿宋" w:hAnsi="仿宋" w:eastAsia="仿宋" w:cs="仿宋"/>
          <w:color w:val="000000" w:themeColor="text1"/>
          <w:spacing w:val="-3"/>
          <w:sz w:val="24"/>
          <w:szCs w:val="24"/>
          <w:highlight w:val="none"/>
          <w14:textFill>
            <w14:solidFill>
              <w14:schemeClr w14:val="tx1"/>
            </w14:solidFill>
          </w14:textFill>
        </w:rPr>
        <w:t>监理人</w:t>
      </w:r>
      <w:r>
        <w:rPr>
          <w:rFonts w:hint="eastAsia" w:ascii="仿宋" w:hAnsi="仿宋" w:eastAsia="仿宋" w:cs="仿宋"/>
          <w:color w:val="000000" w:themeColor="text1"/>
          <w:spacing w:val="-2"/>
          <w:sz w:val="24"/>
          <w:szCs w:val="24"/>
          <w:highlight w:val="none"/>
          <w14:textFill>
            <w14:solidFill>
              <w14:schemeClr w14:val="tx1"/>
            </w14:solidFill>
          </w14:textFill>
        </w:rPr>
        <w:t>有权要求承包人增加或更换施工设备，承包人应及时增加或更换，由此增加的费</w:t>
      </w:r>
      <w:r>
        <w:rPr>
          <w:rFonts w:hint="eastAsia" w:ascii="仿宋" w:hAnsi="仿宋" w:eastAsia="仿宋" w:cs="仿宋"/>
          <w:color w:val="000000" w:themeColor="text1"/>
          <w:spacing w:val="-1"/>
          <w:sz w:val="24"/>
          <w:szCs w:val="24"/>
          <w:highlight w:val="none"/>
          <w14:textFill>
            <w14:solidFill>
              <w14:schemeClr w14:val="tx1"/>
            </w14:solidFill>
          </w14:textFill>
        </w:rPr>
        <w:t>用和（或）延误的工期由承包人承担。</w:t>
      </w:r>
    </w:p>
    <w:p w14:paraId="140423E9">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8.9</w:t>
      </w:r>
      <w:r>
        <w:rPr>
          <w:rFonts w:hint="eastAsia" w:ascii="仿宋" w:hAnsi="仿宋" w:eastAsia="仿宋" w:cs="仿宋"/>
          <w:color w:val="000000" w:themeColor="text1"/>
          <w:spacing w:val="-5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材料与设备专用要求</w:t>
      </w:r>
    </w:p>
    <w:p w14:paraId="6255E9DA">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承包人运入施工现场的材料、工程设备、施工设备以及在施工场地建</w:t>
      </w:r>
      <w:r>
        <w:rPr>
          <w:rFonts w:hint="eastAsia" w:ascii="仿宋" w:hAnsi="仿宋" w:eastAsia="仿宋" w:cs="仿宋"/>
          <w:color w:val="000000" w:themeColor="text1"/>
          <w:spacing w:val="-3"/>
          <w:sz w:val="24"/>
          <w:szCs w:val="24"/>
          <w:highlight w:val="none"/>
          <w14:textFill>
            <w14:solidFill>
              <w14:schemeClr w14:val="tx1"/>
            </w14:solidFill>
          </w14:textFill>
        </w:rPr>
        <w:t>设的临</w:t>
      </w:r>
      <w:r>
        <w:rPr>
          <w:rFonts w:hint="eastAsia" w:ascii="仿宋" w:hAnsi="仿宋" w:eastAsia="仿宋" w:cs="仿宋"/>
          <w:color w:val="000000" w:themeColor="text1"/>
          <w:spacing w:val="-2"/>
          <w:sz w:val="24"/>
          <w:szCs w:val="24"/>
          <w:highlight w:val="none"/>
          <w14:textFill>
            <w14:solidFill>
              <w14:schemeClr w14:val="tx1"/>
            </w14:solidFill>
          </w14:textFill>
        </w:rPr>
        <w:t>时设施，包括备品备件、安装工具与资料，必须专用于工程。未经发包人批准，承包人不得运出施工现场或挪作他用；经发包人批准，承包人可以根据施工进度</w:t>
      </w:r>
      <w:r>
        <w:rPr>
          <w:rFonts w:hint="eastAsia" w:ascii="仿宋" w:hAnsi="仿宋" w:eastAsia="仿宋" w:cs="仿宋"/>
          <w:color w:val="000000" w:themeColor="text1"/>
          <w:spacing w:val="-1"/>
          <w:sz w:val="24"/>
          <w:szCs w:val="24"/>
          <w:highlight w:val="none"/>
          <w14:textFill>
            <w14:solidFill>
              <w14:schemeClr w14:val="tx1"/>
            </w14:solidFill>
          </w14:textFill>
        </w:rPr>
        <w:t>计划撤走闲置的施工设备和其他物品。</w:t>
      </w:r>
    </w:p>
    <w:p w14:paraId="380D812C">
      <w:pPr>
        <w:keepNext w:val="0"/>
        <w:keepLines w:val="0"/>
        <w:pageBreakBefore w:val="0"/>
        <w:widowControl w:val="0"/>
        <w:kinsoku/>
        <w:wordWrap/>
        <w:overflowPunct/>
        <w:topLinePunct w:val="0"/>
        <w:autoSpaceDE/>
        <w:autoSpaceDN/>
        <w:bidi w:val="0"/>
        <w:snapToGrid/>
        <w:spacing w:line="360" w:lineRule="auto"/>
        <w:ind w:left="0" w:leftChars="0" w:right="0" w:rightChars="0"/>
        <w:outlineLvl w:val="2"/>
        <w:rPr>
          <w:rFonts w:hint="eastAsia" w:ascii="仿宋" w:hAnsi="仿宋" w:eastAsia="仿宋" w:cs="仿宋"/>
          <w:color w:val="000000" w:themeColor="text1"/>
          <w:sz w:val="24"/>
          <w:szCs w:val="24"/>
          <w:highlight w:val="none"/>
          <w14:textFill>
            <w14:solidFill>
              <w14:schemeClr w14:val="tx1"/>
            </w14:solidFill>
          </w14:textFill>
        </w:rPr>
      </w:pPr>
      <w:bookmarkStart w:id="104" w:name="bookmark123"/>
      <w:bookmarkEnd w:id="104"/>
      <w:bookmarkStart w:id="105" w:name="_Toc4310"/>
      <w:r>
        <w:rPr>
          <w:rFonts w:hint="eastAsia" w:ascii="仿宋" w:hAnsi="仿宋" w:eastAsia="仿宋" w:cs="仿宋"/>
          <w:color w:val="000000" w:themeColor="text1"/>
          <w:spacing w:val="-2"/>
          <w:sz w:val="24"/>
          <w:szCs w:val="24"/>
          <w:highlight w:val="none"/>
          <w14:textFill>
            <w14:solidFill>
              <w14:schemeClr w14:val="tx1"/>
            </w14:solidFill>
          </w14:textFill>
        </w:rPr>
        <w:t>9. 试验与检验</w:t>
      </w:r>
      <w:bookmarkEnd w:id="105"/>
    </w:p>
    <w:p w14:paraId="654AC27A">
      <w:pPr>
        <w:pStyle w:val="9"/>
        <w:keepNext w:val="0"/>
        <w:keepLines w:val="0"/>
        <w:pageBreakBefore w:val="0"/>
        <w:widowControl w:val="0"/>
        <w:kinsoku/>
        <w:wordWrap/>
        <w:overflowPunct/>
        <w:topLinePunct w:val="0"/>
        <w:autoSpaceDE/>
        <w:autoSpaceDN/>
        <w:bidi w:val="0"/>
        <w:snapToGrid/>
        <w:spacing w:after="0"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p>
    <w:p w14:paraId="0501AD2A">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9.1</w:t>
      </w:r>
      <w:r>
        <w:rPr>
          <w:rFonts w:hint="eastAsia" w:ascii="仿宋" w:hAnsi="仿宋" w:eastAsia="仿宋" w:cs="仿宋"/>
          <w:color w:val="000000" w:themeColor="text1"/>
          <w:spacing w:val="-5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试验设备与试验人员</w:t>
      </w:r>
    </w:p>
    <w:p w14:paraId="16DF72A6">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2FC23362">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9.1.2 承包人应按专用合同条款的约定提供试验设备、取样装置、试验场所</w:t>
      </w:r>
      <w:r>
        <w:rPr>
          <w:rFonts w:hint="eastAsia" w:ascii="仿宋" w:hAnsi="仿宋" w:eastAsia="仿宋" w:cs="仿宋"/>
          <w:color w:val="000000" w:themeColor="text1"/>
          <w:spacing w:val="-1"/>
          <w:sz w:val="24"/>
          <w:szCs w:val="24"/>
          <w:highlight w:val="none"/>
          <w14:textFill>
            <w14:solidFill>
              <w14:schemeClr w14:val="tx1"/>
            </w14:solidFill>
          </w14:textFill>
        </w:rPr>
        <w:t>和试验条件，并向监理人提交相应进场计划表。</w:t>
      </w:r>
    </w:p>
    <w:p w14:paraId="2D65B2A1">
      <w:pPr>
        <w:keepNext w:val="0"/>
        <w:keepLines w:val="0"/>
        <w:pageBreakBefore w:val="0"/>
        <w:widowControl w:val="0"/>
        <w:kinsoku/>
        <w:wordWrap/>
        <w:overflowPunct/>
        <w:topLinePunct w:val="0"/>
        <w:autoSpaceDE/>
        <w:autoSpaceDN/>
        <w:bidi w:val="0"/>
        <w:snapToGrid/>
        <w:spacing w:line="360" w:lineRule="auto"/>
        <w:ind w:left="0" w:leftChars="0" w:right="0" w:rightChars="0" w:firstLine="5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承包人配置的试验设备要符合相应试验规程</w:t>
      </w:r>
      <w:r>
        <w:rPr>
          <w:rFonts w:hint="eastAsia" w:ascii="仿宋" w:hAnsi="仿宋" w:eastAsia="仿宋" w:cs="仿宋"/>
          <w:color w:val="000000" w:themeColor="text1"/>
          <w:spacing w:val="-1"/>
          <w:sz w:val="24"/>
          <w:szCs w:val="24"/>
          <w:highlight w:val="none"/>
          <w14:textFill>
            <w14:solidFill>
              <w14:schemeClr w14:val="tx1"/>
            </w14:solidFill>
          </w14:textFill>
        </w:rPr>
        <w:t>的要求并经过具有资质的检测单位检测，且在正式使用该试验设备前，需要经过监理人与承包人共</w:t>
      </w:r>
      <w:r>
        <w:rPr>
          <w:rFonts w:hint="eastAsia" w:ascii="仿宋" w:hAnsi="仿宋" w:eastAsia="仿宋" w:cs="仿宋"/>
          <w:color w:val="000000" w:themeColor="text1"/>
          <w:spacing w:val="-2"/>
          <w:sz w:val="24"/>
          <w:szCs w:val="24"/>
          <w:highlight w:val="none"/>
          <w14:textFill>
            <w14:solidFill>
              <w14:schemeClr w14:val="tx1"/>
            </w14:solidFill>
          </w14:textFill>
        </w:rPr>
        <w:t>同校定。</w:t>
      </w:r>
    </w:p>
    <w:p w14:paraId="52BF6B75">
      <w:pPr>
        <w:keepNext w:val="0"/>
        <w:keepLines w:val="0"/>
        <w:pageBreakBefore w:val="0"/>
        <w:widowControl w:val="0"/>
        <w:kinsoku/>
        <w:wordWrap/>
        <w:overflowPunct/>
        <w:topLinePunct w:val="0"/>
        <w:autoSpaceDE/>
        <w:autoSpaceDN/>
        <w:bidi w:val="0"/>
        <w:snapToGrid/>
        <w:spacing w:line="360" w:lineRule="auto"/>
        <w:ind w:left="0" w:leftChars="0" w:right="0" w:rightChars="0" w:firstLine="56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9.1.3 承包人应向监理人提交试验人员的名单及其岗位、资格等证明资料，试验人员必须能够熟练进行相应的检测试验，承包人对试验人员的试验程序和试</w:t>
      </w:r>
      <w:r>
        <w:rPr>
          <w:rFonts w:hint="eastAsia" w:ascii="仿宋" w:hAnsi="仿宋" w:eastAsia="仿宋" w:cs="仿宋"/>
          <w:color w:val="000000" w:themeColor="text1"/>
          <w:spacing w:val="-3"/>
          <w:sz w:val="24"/>
          <w:szCs w:val="24"/>
          <w:highlight w:val="none"/>
          <w14:textFill>
            <w14:solidFill>
              <w14:schemeClr w14:val="tx1"/>
            </w14:solidFill>
          </w14:textFill>
        </w:rPr>
        <w:t>验结果的正确性负责。</w:t>
      </w:r>
    </w:p>
    <w:p w14:paraId="50E88B79">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9.2</w:t>
      </w:r>
      <w:r>
        <w:rPr>
          <w:rFonts w:hint="eastAsia" w:ascii="仿宋" w:hAnsi="仿宋" w:eastAsia="仿宋" w:cs="仿宋"/>
          <w:color w:val="000000" w:themeColor="text1"/>
          <w:spacing w:val="-5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取样</w:t>
      </w:r>
    </w:p>
    <w:p w14:paraId="3288A8BC">
      <w:pPr>
        <w:keepNext w:val="0"/>
        <w:keepLines w:val="0"/>
        <w:pageBreakBefore w:val="0"/>
        <w:widowControl w:val="0"/>
        <w:kinsoku/>
        <w:wordWrap/>
        <w:overflowPunct/>
        <w:topLinePunct w:val="0"/>
        <w:autoSpaceDE/>
        <w:autoSpaceDN/>
        <w:bidi w:val="0"/>
        <w:snapToGrid/>
        <w:spacing w:line="360" w:lineRule="auto"/>
        <w:ind w:left="0" w:leftChars="0" w:right="0" w:rightChars="0" w:firstLine="5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试验属于自检性质的，承包人可以单独取样。试验</w:t>
      </w:r>
      <w:r>
        <w:rPr>
          <w:rFonts w:hint="eastAsia" w:ascii="仿宋" w:hAnsi="仿宋" w:eastAsia="仿宋" w:cs="仿宋"/>
          <w:color w:val="000000" w:themeColor="text1"/>
          <w:spacing w:val="-3"/>
          <w:sz w:val="24"/>
          <w:szCs w:val="24"/>
          <w:highlight w:val="none"/>
          <w14:textFill>
            <w14:solidFill>
              <w14:schemeClr w14:val="tx1"/>
            </w14:solidFill>
          </w14:textFill>
        </w:rPr>
        <w:t>属于监理人抽检性质的，</w:t>
      </w:r>
      <w:r>
        <w:rPr>
          <w:rFonts w:hint="eastAsia" w:ascii="仿宋" w:hAnsi="仿宋" w:eastAsia="仿宋" w:cs="仿宋"/>
          <w:color w:val="000000" w:themeColor="text1"/>
          <w:spacing w:val="-1"/>
          <w:sz w:val="24"/>
          <w:szCs w:val="24"/>
          <w:highlight w:val="none"/>
          <w14:textFill>
            <w14:solidFill>
              <w14:schemeClr w14:val="tx1"/>
            </w14:solidFill>
          </w14:textFill>
        </w:rPr>
        <w:t>可由监理人取样，也可由承包人的试验人员在监理人的</w:t>
      </w:r>
      <w:r>
        <w:rPr>
          <w:rFonts w:hint="eastAsia" w:ascii="仿宋" w:hAnsi="仿宋" w:eastAsia="仿宋" w:cs="仿宋"/>
          <w:color w:val="000000" w:themeColor="text1"/>
          <w:spacing w:val="-2"/>
          <w:sz w:val="24"/>
          <w:szCs w:val="24"/>
          <w:highlight w:val="none"/>
          <w14:textFill>
            <w14:solidFill>
              <w14:schemeClr w14:val="tx1"/>
            </w14:solidFill>
          </w14:textFill>
        </w:rPr>
        <w:t>监督下取样。</w:t>
      </w:r>
    </w:p>
    <w:p w14:paraId="21D9DF1D">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9.3</w:t>
      </w:r>
      <w:r>
        <w:rPr>
          <w:rFonts w:hint="eastAsia" w:ascii="仿宋" w:hAnsi="仿宋" w:eastAsia="仿宋" w:cs="仿宋"/>
          <w:color w:val="000000" w:themeColor="text1"/>
          <w:spacing w:val="-4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材料、工程设备和工程的试验和检验</w:t>
      </w:r>
    </w:p>
    <w:p w14:paraId="1B4FD008">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9.3.1</w:t>
      </w:r>
      <w:r>
        <w:rPr>
          <w:rFonts w:hint="eastAsia" w:ascii="仿宋" w:hAnsi="仿宋" w:eastAsia="仿宋" w:cs="仿宋"/>
          <w:color w:val="000000" w:themeColor="text1"/>
          <w:spacing w:val="-4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承包人应按合同约定进行材料、工程设备和工程的试验和检验，并为监理人对上述材料、工程设备和工程的质量检查提供必要的试验资料和原始记</w:t>
      </w:r>
      <w:r>
        <w:rPr>
          <w:rFonts w:hint="eastAsia" w:ascii="仿宋" w:hAnsi="仿宋" w:eastAsia="仿宋" w:cs="仿宋"/>
          <w:color w:val="000000" w:themeColor="text1"/>
          <w:spacing w:val="-2"/>
          <w:sz w:val="24"/>
          <w:szCs w:val="24"/>
          <w:highlight w:val="none"/>
          <w14:textFill>
            <w14:solidFill>
              <w14:schemeClr w14:val="tx1"/>
            </w14:solidFill>
          </w14:textFill>
        </w:rPr>
        <w:t>录。按合同约定应由监理人与承包人共同进行试验和检验的，由承包人负责提供</w:t>
      </w:r>
      <w:r>
        <w:rPr>
          <w:rFonts w:hint="eastAsia" w:ascii="仿宋" w:hAnsi="仿宋" w:eastAsia="仿宋" w:cs="仿宋"/>
          <w:color w:val="000000" w:themeColor="text1"/>
          <w:spacing w:val="-1"/>
          <w:sz w:val="24"/>
          <w:szCs w:val="24"/>
          <w:highlight w:val="none"/>
          <w14:textFill>
            <w14:solidFill>
              <w14:schemeClr w14:val="tx1"/>
            </w14:solidFill>
          </w14:textFill>
        </w:rPr>
        <w:t>必要的试验资料和原始记录。</w:t>
      </w:r>
    </w:p>
    <w:p w14:paraId="0BAC0164">
      <w:pPr>
        <w:keepNext w:val="0"/>
        <w:keepLines w:val="0"/>
        <w:pageBreakBefore w:val="0"/>
        <w:widowControl w:val="0"/>
        <w:kinsoku/>
        <w:wordWrap/>
        <w:overflowPunct/>
        <w:topLinePunct w:val="0"/>
        <w:autoSpaceDE/>
        <w:autoSpaceDN/>
        <w:bidi w:val="0"/>
        <w:snapToGrid/>
        <w:spacing w:line="360" w:lineRule="auto"/>
        <w:ind w:left="0" w:leftChars="0" w:right="0" w:rightChars="0" w:firstLine="56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9.3.2</w:t>
      </w:r>
      <w:r>
        <w:rPr>
          <w:rFonts w:hint="eastAsia" w:ascii="仿宋" w:hAnsi="仿宋" w:eastAsia="仿宋" w:cs="仿宋"/>
          <w:color w:val="000000" w:themeColor="text1"/>
          <w:spacing w:val="-5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试验属于自检性质的，承包人可以单独进行试验。试验属于监理人抽</w:t>
      </w:r>
      <w:r>
        <w:rPr>
          <w:rFonts w:hint="eastAsia" w:ascii="仿宋" w:hAnsi="仿宋" w:eastAsia="仿宋" w:cs="仿宋"/>
          <w:color w:val="000000" w:themeColor="text1"/>
          <w:spacing w:val="-2"/>
          <w:sz w:val="24"/>
          <w:szCs w:val="24"/>
          <w:highlight w:val="none"/>
          <w14:textFill>
            <w14:solidFill>
              <w14:schemeClr w14:val="tx1"/>
            </w14:solidFill>
          </w14:textFill>
        </w:rPr>
        <w:t>检性质的，监理人可以单独进行试验，也可由承包人与监理人共同进行。承包人对由监理人单独进行的试验结果有异议的，可以申请重新共同进行试验。约定共</w:t>
      </w:r>
      <w:r>
        <w:rPr>
          <w:rFonts w:hint="eastAsia" w:ascii="仿宋" w:hAnsi="仿宋" w:eastAsia="仿宋" w:cs="仿宋"/>
          <w:color w:val="000000" w:themeColor="text1"/>
          <w:spacing w:val="-3"/>
          <w:sz w:val="24"/>
          <w:szCs w:val="24"/>
          <w:highlight w:val="none"/>
          <w14:textFill>
            <w14:solidFill>
              <w14:schemeClr w14:val="tx1"/>
            </w14:solidFill>
          </w14:textFill>
        </w:rPr>
        <w:t>同进行试验的，监理人未按照约定参加试验的，承包人可自行试验，并将试验结果报送监理人，监理人应承认该试验结果。</w:t>
      </w:r>
    </w:p>
    <w:p w14:paraId="53313FD4">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9.3.3</w:t>
      </w:r>
      <w:r>
        <w:rPr>
          <w:rFonts w:hint="eastAsia" w:ascii="仿宋" w:hAnsi="仿宋" w:eastAsia="仿宋" w:cs="仿宋"/>
          <w:color w:val="000000" w:themeColor="text1"/>
          <w:spacing w:val="-4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监理人对承包人的试验和检验结果有异议的，或为查清承包人试验和检验成果的可靠性要求承包人重新试验和检验的，可由监理人与承包人共同进</w:t>
      </w:r>
      <w:r>
        <w:rPr>
          <w:rFonts w:hint="eastAsia" w:ascii="仿宋" w:hAnsi="仿宋" w:eastAsia="仿宋" w:cs="仿宋"/>
          <w:color w:val="000000" w:themeColor="text1"/>
          <w:spacing w:val="-2"/>
          <w:sz w:val="24"/>
          <w:szCs w:val="24"/>
          <w:highlight w:val="none"/>
          <w14:textFill>
            <w14:solidFill>
              <w14:schemeClr w14:val="tx1"/>
            </w14:solidFill>
          </w14:textFill>
        </w:rPr>
        <w:t>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w:t>
      </w:r>
      <w:r>
        <w:rPr>
          <w:rFonts w:hint="eastAsia" w:ascii="仿宋" w:hAnsi="仿宋" w:eastAsia="仿宋" w:cs="仿宋"/>
          <w:color w:val="000000" w:themeColor="text1"/>
          <w:spacing w:val="-4"/>
          <w:sz w:val="24"/>
          <w:szCs w:val="24"/>
          <w:highlight w:val="none"/>
          <w14:textFill>
            <w14:solidFill>
              <w14:schemeClr w14:val="tx1"/>
            </w14:solidFill>
          </w14:textFill>
        </w:rPr>
        <w:t>的工期由发包人承担。</w:t>
      </w:r>
    </w:p>
    <w:p w14:paraId="3EEF0F57">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9.4</w:t>
      </w:r>
      <w:r>
        <w:rPr>
          <w:rFonts w:hint="eastAsia" w:ascii="仿宋" w:hAnsi="仿宋" w:eastAsia="仿宋" w:cs="仿宋"/>
          <w:color w:val="000000" w:themeColor="text1"/>
          <w:spacing w:val="-5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现场工艺试验</w:t>
      </w:r>
    </w:p>
    <w:p w14:paraId="1526D0B1">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承包人应按合同约定或监理人指示进行现场工艺试验。对大型的现场</w:t>
      </w:r>
      <w:r>
        <w:rPr>
          <w:rFonts w:hint="eastAsia" w:ascii="仿宋" w:hAnsi="仿宋" w:eastAsia="仿宋" w:cs="仿宋"/>
          <w:color w:val="000000" w:themeColor="text1"/>
          <w:spacing w:val="-3"/>
          <w:sz w:val="24"/>
          <w:szCs w:val="24"/>
          <w:highlight w:val="none"/>
          <w14:textFill>
            <w14:solidFill>
              <w14:schemeClr w14:val="tx1"/>
            </w14:solidFill>
          </w14:textFill>
        </w:rPr>
        <w:t>工艺试</w:t>
      </w:r>
      <w:r>
        <w:rPr>
          <w:rFonts w:hint="eastAsia" w:ascii="仿宋" w:hAnsi="仿宋" w:eastAsia="仿宋" w:cs="仿宋"/>
          <w:color w:val="000000" w:themeColor="text1"/>
          <w:spacing w:val="-2"/>
          <w:sz w:val="24"/>
          <w:szCs w:val="24"/>
          <w:highlight w:val="none"/>
          <w14:textFill>
            <w14:solidFill>
              <w14:schemeClr w14:val="tx1"/>
            </w14:solidFill>
          </w14:textFill>
        </w:rPr>
        <w:t>验，监理人认为必要时，承包人应根据监理人提出的工艺试验要求，编制工艺试</w:t>
      </w:r>
      <w:r>
        <w:rPr>
          <w:rFonts w:hint="eastAsia" w:ascii="仿宋" w:hAnsi="仿宋" w:eastAsia="仿宋" w:cs="仿宋"/>
          <w:color w:val="000000" w:themeColor="text1"/>
          <w:spacing w:val="-3"/>
          <w:sz w:val="24"/>
          <w:szCs w:val="24"/>
          <w:highlight w:val="none"/>
          <w14:textFill>
            <w14:solidFill>
              <w14:schemeClr w14:val="tx1"/>
            </w14:solidFill>
          </w14:textFill>
        </w:rPr>
        <w:t>验措施计划，报送监理人审查。</w:t>
      </w:r>
    </w:p>
    <w:p w14:paraId="31B6101B">
      <w:pPr>
        <w:keepNext w:val="0"/>
        <w:keepLines w:val="0"/>
        <w:pageBreakBefore w:val="0"/>
        <w:widowControl w:val="0"/>
        <w:kinsoku/>
        <w:wordWrap/>
        <w:overflowPunct/>
        <w:topLinePunct w:val="0"/>
        <w:autoSpaceDE/>
        <w:autoSpaceDN/>
        <w:bidi w:val="0"/>
        <w:snapToGrid/>
        <w:spacing w:line="360" w:lineRule="auto"/>
        <w:ind w:left="0" w:leftChars="0" w:right="0" w:rightChars="0"/>
        <w:outlineLvl w:val="2"/>
        <w:rPr>
          <w:rFonts w:hint="eastAsia" w:ascii="仿宋" w:hAnsi="仿宋" w:eastAsia="仿宋" w:cs="仿宋"/>
          <w:color w:val="000000" w:themeColor="text1"/>
          <w:sz w:val="24"/>
          <w:szCs w:val="24"/>
          <w:highlight w:val="none"/>
          <w14:textFill>
            <w14:solidFill>
              <w14:schemeClr w14:val="tx1"/>
            </w14:solidFill>
          </w14:textFill>
        </w:rPr>
      </w:pPr>
      <w:bookmarkStart w:id="106" w:name="bookmark124"/>
      <w:bookmarkEnd w:id="106"/>
      <w:bookmarkStart w:id="107" w:name="_Toc3840"/>
      <w:r>
        <w:rPr>
          <w:rFonts w:hint="eastAsia" w:ascii="仿宋" w:hAnsi="仿宋" w:eastAsia="仿宋" w:cs="仿宋"/>
          <w:color w:val="000000" w:themeColor="text1"/>
          <w:spacing w:val="-8"/>
          <w:sz w:val="24"/>
          <w:szCs w:val="24"/>
          <w:highlight w:val="none"/>
          <w14:textFill>
            <w14:solidFill>
              <w14:schemeClr w14:val="tx1"/>
            </w14:solidFill>
          </w14:textFill>
        </w:rPr>
        <w:t>10.</w:t>
      </w:r>
      <w:r>
        <w:rPr>
          <w:rFonts w:hint="eastAsia" w:ascii="仿宋" w:hAnsi="仿宋" w:eastAsia="仿宋" w:cs="仿宋"/>
          <w:color w:val="000000" w:themeColor="text1"/>
          <w:spacing w:val="1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14:textFill>
            <w14:solidFill>
              <w14:schemeClr w14:val="tx1"/>
            </w14:solidFill>
          </w14:textFill>
        </w:rPr>
        <w:t>变更</w:t>
      </w:r>
      <w:bookmarkEnd w:id="107"/>
    </w:p>
    <w:p w14:paraId="55BDBFEB">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10.1</w:t>
      </w:r>
      <w:r>
        <w:rPr>
          <w:rFonts w:hint="eastAsia" w:ascii="仿宋" w:hAnsi="仿宋" w:eastAsia="仿宋" w:cs="仿宋"/>
          <w:color w:val="000000" w:themeColor="text1"/>
          <w:spacing w:val="-5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变更的范围</w:t>
      </w:r>
    </w:p>
    <w:p w14:paraId="26E88457">
      <w:pPr>
        <w:keepNext w:val="0"/>
        <w:keepLines w:val="0"/>
        <w:pageBreakBefore w:val="0"/>
        <w:widowControl w:val="0"/>
        <w:kinsoku/>
        <w:wordWrap/>
        <w:overflowPunct/>
        <w:topLinePunct w:val="0"/>
        <w:autoSpaceDE/>
        <w:autoSpaceDN/>
        <w:bidi w:val="0"/>
        <w:snapToGrid/>
        <w:spacing w:line="360" w:lineRule="auto"/>
        <w:ind w:left="0" w:leftChars="0" w:right="0" w:rightChars="0" w:firstLine="56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除专用合同条款另有约定外，合同履行过程中发生以下情形的，应按照本条</w:t>
      </w:r>
      <w:r>
        <w:rPr>
          <w:rFonts w:hint="eastAsia" w:ascii="仿宋" w:hAnsi="仿宋" w:eastAsia="仿宋" w:cs="仿宋"/>
          <w:color w:val="000000" w:themeColor="text1"/>
          <w:spacing w:val="-9"/>
          <w:sz w:val="24"/>
          <w:szCs w:val="24"/>
          <w:highlight w:val="none"/>
          <w14:textFill>
            <w14:solidFill>
              <w14:schemeClr w14:val="tx1"/>
            </w14:solidFill>
          </w14:textFill>
        </w:rPr>
        <w:t>约定进行变更：</w:t>
      </w:r>
    </w:p>
    <w:p w14:paraId="39AF3BC9">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（1）增加或减少合同中任何工作，或追加额外的工作；</w:t>
      </w:r>
    </w:p>
    <w:p w14:paraId="4CCAB3C6">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（2）取消合同中任何工作，但转由他人实施的工作除外；</w:t>
      </w:r>
    </w:p>
    <w:p w14:paraId="1203309D">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（3）改变合同中任何工作的质量标准或其他特性；</w:t>
      </w:r>
    </w:p>
    <w:p w14:paraId="09937D4D">
      <w:pPr>
        <w:keepNext w:val="0"/>
        <w:keepLines w:val="0"/>
        <w:pageBreakBefore w:val="0"/>
        <w:widowControl w:val="0"/>
        <w:kinsoku/>
        <w:wordWrap/>
        <w:overflowPunct/>
        <w:topLinePunct w:val="0"/>
        <w:autoSpaceDE/>
        <w:autoSpaceDN/>
        <w:bidi w:val="0"/>
        <w:snapToGrid/>
        <w:spacing w:line="360" w:lineRule="auto"/>
        <w:ind w:left="0" w:leftChars="0" w:right="0" w:rightChars="0" w:firstLine="464"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（4）改变工程的基线、标高、位置和尺寸；</w:t>
      </w:r>
    </w:p>
    <w:p w14:paraId="3849BAB4">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（5）改变工程的时间安排或实施顺序。</w:t>
      </w:r>
    </w:p>
    <w:p w14:paraId="4EA2ACF3">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10.2</w:t>
      </w:r>
      <w:r>
        <w:rPr>
          <w:rFonts w:hint="eastAsia" w:ascii="仿宋" w:hAnsi="仿宋" w:eastAsia="仿宋" w:cs="仿宋"/>
          <w:color w:val="000000" w:themeColor="text1"/>
          <w:spacing w:val="-5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变更权</w:t>
      </w:r>
    </w:p>
    <w:p w14:paraId="47C000B4">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发包人和监理人均可以提出变更。变更指示均通过监理人</w:t>
      </w:r>
      <w:r>
        <w:rPr>
          <w:rFonts w:hint="eastAsia" w:ascii="仿宋" w:hAnsi="仿宋" w:eastAsia="仿宋" w:cs="仿宋"/>
          <w:color w:val="000000" w:themeColor="text1"/>
          <w:spacing w:val="-3"/>
          <w:sz w:val="24"/>
          <w:szCs w:val="24"/>
          <w:highlight w:val="none"/>
          <w14:textFill>
            <w14:solidFill>
              <w14:schemeClr w14:val="tx1"/>
            </w14:solidFill>
          </w14:textFill>
        </w:rPr>
        <w:t>发出，监理人发出</w:t>
      </w:r>
      <w:r>
        <w:rPr>
          <w:rFonts w:hint="eastAsia" w:ascii="仿宋" w:hAnsi="仿宋" w:eastAsia="仿宋" w:cs="仿宋"/>
          <w:color w:val="000000" w:themeColor="text1"/>
          <w:spacing w:val="-2"/>
          <w:sz w:val="24"/>
          <w:szCs w:val="24"/>
          <w:highlight w:val="none"/>
          <w14:textFill>
            <w14:solidFill>
              <w14:schemeClr w14:val="tx1"/>
            </w14:solidFill>
          </w14:textFill>
        </w:rPr>
        <w:t>变更指示前应征得发包人同意。承包人收到经发包人签认的变更指示后，方可实</w:t>
      </w:r>
      <w:r>
        <w:rPr>
          <w:rFonts w:hint="eastAsia" w:ascii="仿宋" w:hAnsi="仿宋" w:eastAsia="仿宋" w:cs="仿宋"/>
          <w:color w:val="000000" w:themeColor="text1"/>
          <w:spacing w:val="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施变更。未经许可，承包人不得擅自对工程的任何部分进行变更。</w:t>
      </w:r>
    </w:p>
    <w:p w14:paraId="0FD0B78D">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涉及设计变更的，应由设计人提供变更后的图纸和说明。如变更</w:t>
      </w:r>
      <w:r>
        <w:rPr>
          <w:rFonts w:hint="eastAsia" w:ascii="仿宋" w:hAnsi="仿宋" w:eastAsia="仿宋" w:cs="仿宋"/>
          <w:color w:val="000000" w:themeColor="text1"/>
          <w:spacing w:val="-3"/>
          <w:sz w:val="24"/>
          <w:szCs w:val="24"/>
          <w:highlight w:val="none"/>
          <w14:textFill>
            <w14:solidFill>
              <w14:schemeClr w14:val="tx1"/>
            </w14:solidFill>
          </w14:textFill>
        </w:rPr>
        <w:t>超过原设计</w:t>
      </w:r>
      <w:r>
        <w:rPr>
          <w:rFonts w:hint="eastAsia" w:ascii="仿宋" w:hAnsi="仿宋" w:eastAsia="仿宋" w:cs="仿宋"/>
          <w:color w:val="000000" w:themeColor="text1"/>
          <w:spacing w:val="-1"/>
          <w:sz w:val="24"/>
          <w:szCs w:val="24"/>
          <w:highlight w:val="none"/>
          <w14:textFill>
            <w14:solidFill>
              <w14:schemeClr w14:val="tx1"/>
            </w14:solidFill>
          </w14:textFill>
        </w:rPr>
        <w:t>标准或批准的建设规模时，发包人应及时办理规划、设计变更等审批手续。</w:t>
      </w:r>
    </w:p>
    <w:p w14:paraId="58D76558">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10.3</w:t>
      </w:r>
      <w:r>
        <w:rPr>
          <w:rFonts w:hint="eastAsia" w:ascii="仿宋" w:hAnsi="仿宋" w:eastAsia="仿宋" w:cs="仿宋"/>
          <w:color w:val="000000" w:themeColor="text1"/>
          <w:spacing w:val="-6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变更程序</w:t>
      </w:r>
    </w:p>
    <w:p w14:paraId="24417E24">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10.3.1 发包人提出变更</w:t>
      </w:r>
    </w:p>
    <w:p w14:paraId="2145E196">
      <w:pPr>
        <w:keepNext w:val="0"/>
        <w:keepLines w:val="0"/>
        <w:pageBreakBefore w:val="0"/>
        <w:widowControl w:val="0"/>
        <w:kinsoku/>
        <w:wordWrap/>
        <w:overflowPunct/>
        <w:topLinePunct w:val="0"/>
        <w:autoSpaceDE/>
        <w:autoSpaceDN/>
        <w:bidi w:val="0"/>
        <w:snapToGrid/>
        <w:spacing w:line="360" w:lineRule="auto"/>
        <w:ind w:left="0" w:leftChars="0" w:right="0" w:rightChars="0" w:firstLine="56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发包人提出变更的，应通过监理人向承包人发出变更指示</w:t>
      </w:r>
      <w:r>
        <w:rPr>
          <w:rFonts w:hint="eastAsia" w:ascii="仿宋" w:hAnsi="仿宋" w:eastAsia="仿宋" w:cs="仿宋"/>
          <w:color w:val="000000" w:themeColor="text1"/>
          <w:spacing w:val="-3"/>
          <w:sz w:val="24"/>
          <w:szCs w:val="24"/>
          <w:highlight w:val="none"/>
          <w14:textFill>
            <w14:solidFill>
              <w14:schemeClr w14:val="tx1"/>
            </w14:solidFill>
          </w14:textFill>
        </w:rPr>
        <w:t>，变更指示应说明</w:t>
      </w:r>
      <w:r>
        <w:rPr>
          <w:rFonts w:hint="eastAsia" w:ascii="仿宋" w:hAnsi="仿宋" w:eastAsia="仿宋" w:cs="仿宋"/>
          <w:color w:val="000000" w:themeColor="text1"/>
          <w:spacing w:val="-1"/>
          <w:sz w:val="24"/>
          <w:szCs w:val="24"/>
          <w:highlight w:val="none"/>
          <w14:textFill>
            <w14:solidFill>
              <w14:schemeClr w14:val="tx1"/>
            </w14:solidFill>
          </w14:textFill>
        </w:rPr>
        <w:t>计划变更的工程范围和变更的内容。</w:t>
      </w:r>
    </w:p>
    <w:p w14:paraId="594A4CF8">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10.3.2 监理人提出变更建议</w:t>
      </w:r>
    </w:p>
    <w:p w14:paraId="56C399B6">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监理人提出变更建议的，需要向发包人以书面形式提出变更计划，</w:t>
      </w:r>
      <w:r>
        <w:rPr>
          <w:rFonts w:hint="eastAsia" w:ascii="仿宋" w:hAnsi="仿宋" w:eastAsia="仿宋" w:cs="仿宋"/>
          <w:color w:val="000000" w:themeColor="text1"/>
          <w:spacing w:val="-3"/>
          <w:sz w:val="24"/>
          <w:szCs w:val="24"/>
          <w:highlight w:val="none"/>
          <w14:textFill>
            <w14:solidFill>
              <w14:schemeClr w14:val="tx1"/>
            </w14:solidFill>
          </w14:textFill>
        </w:rPr>
        <w:t>说明计划</w:t>
      </w:r>
      <w:r>
        <w:rPr>
          <w:rFonts w:hint="eastAsia" w:ascii="仿宋" w:hAnsi="仿宋" w:eastAsia="仿宋" w:cs="仿宋"/>
          <w:color w:val="000000" w:themeColor="text1"/>
          <w:spacing w:val="-4"/>
          <w:sz w:val="24"/>
          <w:szCs w:val="24"/>
          <w:highlight w:val="none"/>
          <w14:textFill>
            <w14:solidFill>
              <w14:schemeClr w14:val="tx1"/>
            </w14:solidFill>
          </w14:textFill>
        </w:rPr>
        <w:t>变更工程范围和变更的内容、理由，</w:t>
      </w:r>
      <w:r>
        <w:rPr>
          <w:rFonts w:hint="eastAsia" w:ascii="仿宋" w:hAnsi="仿宋" w:eastAsia="仿宋" w:cs="仿宋"/>
          <w:color w:val="000000" w:themeColor="text1"/>
          <w:spacing w:val="-5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以及实施该变更对合同价格和工期的影响。</w:t>
      </w:r>
      <w:r>
        <w:rPr>
          <w:rFonts w:hint="eastAsia" w:ascii="仿宋" w:hAnsi="仿宋" w:eastAsia="仿宋" w:cs="仿宋"/>
          <w:color w:val="000000" w:themeColor="text1"/>
          <w:spacing w:val="-2"/>
          <w:sz w:val="24"/>
          <w:szCs w:val="24"/>
          <w:highlight w:val="none"/>
          <w14:textFill>
            <w14:solidFill>
              <w14:schemeClr w14:val="tx1"/>
            </w14:solidFill>
          </w14:textFill>
        </w:rPr>
        <w:t>发包人同意变更的，由监理人向承包人发出变更指示。发包人不同意变更的，监</w:t>
      </w:r>
      <w:r>
        <w:rPr>
          <w:rFonts w:hint="eastAsia" w:ascii="仿宋" w:hAnsi="仿宋" w:eastAsia="仿宋" w:cs="仿宋"/>
          <w:color w:val="000000" w:themeColor="text1"/>
          <w:spacing w:val="-1"/>
          <w:sz w:val="24"/>
          <w:szCs w:val="24"/>
          <w:highlight w:val="none"/>
          <w14:textFill>
            <w14:solidFill>
              <w14:schemeClr w14:val="tx1"/>
            </w14:solidFill>
          </w14:textFill>
        </w:rPr>
        <w:t>理人无权擅自发出变更指示。</w:t>
      </w:r>
    </w:p>
    <w:p w14:paraId="352D8206">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10.3.3 变更执行</w:t>
      </w:r>
    </w:p>
    <w:p w14:paraId="0EBE847D">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pacing w:val="-5"/>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承包人收到监理人下达的变更指示后，认为不能执行，应立即提出不</w:t>
      </w:r>
      <w:r>
        <w:rPr>
          <w:rFonts w:hint="eastAsia" w:ascii="仿宋" w:hAnsi="仿宋" w:eastAsia="仿宋" w:cs="仿宋"/>
          <w:color w:val="000000" w:themeColor="text1"/>
          <w:spacing w:val="-3"/>
          <w:sz w:val="24"/>
          <w:szCs w:val="24"/>
          <w:highlight w:val="none"/>
          <w14:textFill>
            <w14:solidFill>
              <w14:schemeClr w14:val="tx1"/>
            </w14:solidFill>
          </w14:textFill>
        </w:rPr>
        <w:t>能执行</w:t>
      </w:r>
      <w:r>
        <w:rPr>
          <w:rFonts w:hint="eastAsia" w:ascii="仿宋" w:hAnsi="仿宋" w:eastAsia="仿宋" w:cs="仿宋"/>
          <w:color w:val="000000" w:themeColor="text1"/>
          <w:spacing w:val="-2"/>
          <w:sz w:val="24"/>
          <w:szCs w:val="24"/>
          <w:highlight w:val="none"/>
          <w14:textFill>
            <w14:solidFill>
              <w14:schemeClr w14:val="tx1"/>
            </w14:solidFill>
          </w14:textFill>
        </w:rPr>
        <w:t>该变更指示的理由。承包人认为可以执行变更的，应当书面说明实施该变更指示对合同价格和工期的影响，且合同当事人应当按照第10.4款〔变更估价〕约定确</w:t>
      </w:r>
      <w:r>
        <w:rPr>
          <w:rFonts w:hint="eastAsia" w:ascii="仿宋" w:hAnsi="仿宋" w:eastAsia="仿宋" w:cs="仿宋"/>
          <w:color w:val="000000" w:themeColor="text1"/>
          <w:spacing w:val="-5"/>
          <w:sz w:val="24"/>
          <w:szCs w:val="24"/>
          <w:highlight w:val="none"/>
          <w14:textFill>
            <w14:solidFill>
              <w14:schemeClr w14:val="tx1"/>
            </w14:solidFill>
          </w14:textFill>
        </w:rPr>
        <w:t>定变更估价。</w:t>
      </w:r>
    </w:p>
    <w:p w14:paraId="2C946E16">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10.4</w:t>
      </w:r>
      <w:r>
        <w:rPr>
          <w:rFonts w:hint="eastAsia" w:ascii="仿宋" w:hAnsi="仿宋" w:eastAsia="仿宋" w:cs="仿宋"/>
          <w:color w:val="000000" w:themeColor="text1"/>
          <w:spacing w:val="-6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变更估价</w:t>
      </w:r>
    </w:p>
    <w:p w14:paraId="56E360CC">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10.4.1 变更估价原则</w:t>
      </w:r>
    </w:p>
    <w:p w14:paraId="68FE97FA">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除专用合同条款另有约定外，变更估价按照本款约定处理：</w:t>
      </w:r>
    </w:p>
    <w:p w14:paraId="2AAF760F">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（1）已标价工程量清单或预算书有相同项目的，按照相同项目单价认定；</w:t>
      </w:r>
    </w:p>
    <w:p w14:paraId="0E976B0A">
      <w:pPr>
        <w:keepNext w:val="0"/>
        <w:keepLines w:val="0"/>
        <w:pageBreakBefore w:val="0"/>
        <w:widowControl w:val="0"/>
        <w:kinsoku/>
        <w:wordWrap/>
        <w:overflowPunct/>
        <w:topLinePunct w:val="0"/>
        <w:autoSpaceDE/>
        <w:autoSpaceDN/>
        <w:bidi w:val="0"/>
        <w:snapToGrid/>
        <w:spacing w:line="360" w:lineRule="auto"/>
        <w:ind w:left="0" w:leftChars="0" w:right="0" w:rightChars="0" w:firstLine="56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（2）已标价工程量清单或预算书中无相同项目，但有类似项目的，参照类似项目的单价认定；</w:t>
      </w:r>
    </w:p>
    <w:p w14:paraId="70A8FD4E">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（3）变更导致实际完成的变更工程量与已标价工程量清单或预算书中列明</w:t>
      </w:r>
      <w:r>
        <w:rPr>
          <w:rFonts w:hint="eastAsia" w:ascii="仿宋" w:hAnsi="仿宋" w:eastAsia="仿宋" w:cs="仿宋"/>
          <w:color w:val="000000" w:themeColor="text1"/>
          <w:sz w:val="24"/>
          <w:szCs w:val="24"/>
          <w:highlight w:val="none"/>
          <w14:textFill>
            <w14:solidFill>
              <w14:schemeClr w14:val="tx1"/>
            </w14:solidFill>
          </w14:textFill>
        </w:rPr>
        <w:t>的该项目工程量的变化幅度超过15%的，或已标价工</w:t>
      </w:r>
      <w:r>
        <w:rPr>
          <w:rFonts w:hint="eastAsia" w:ascii="仿宋" w:hAnsi="仿宋" w:eastAsia="仿宋" w:cs="仿宋"/>
          <w:color w:val="000000" w:themeColor="text1"/>
          <w:spacing w:val="-1"/>
          <w:sz w:val="24"/>
          <w:szCs w:val="24"/>
          <w:highlight w:val="none"/>
          <w14:textFill>
            <w14:solidFill>
              <w14:schemeClr w14:val="tx1"/>
            </w14:solidFill>
          </w14:textFill>
        </w:rPr>
        <w:t>程量清单或预算书中无相同</w:t>
      </w:r>
      <w:r>
        <w:rPr>
          <w:rFonts w:hint="eastAsia" w:ascii="仿宋" w:hAnsi="仿宋" w:eastAsia="仿宋" w:cs="仿宋"/>
          <w:color w:val="000000" w:themeColor="text1"/>
          <w:spacing w:val="-2"/>
          <w:sz w:val="24"/>
          <w:szCs w:val="24"/>
          <w:highlight w:val="none"/>
          <w14:textFill>
            <w14:solidFill>
              <w14:schemeClr w14:val="tx1"/>
            </w14:solidFill>
          </w14:textFill>
        </w:rPr>
        <w:t>项目及类似项目单价的，按照合理的成本与利润构成的原则，由合同当事人按照第4.4款〔商定或确定〕确定变更工作的单价。</w:t>
      </w:r>
    </w:p>
    <w:p w14:paraId="1E052C9D">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10.4.2 变更估价程序</w:t>
      </w:r>
    </w:p>
    <w:p w14:paraId="3EB1075F">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承包人应在收到变更指示后14天内，向监理人提交变更估价申请。监理人应</w:t>
      </w:r>
      <w:r>
        <w:rPr>
          <w:rFonts w:hint="eastAsia" w:ascii="仿宋" w:hAnsi="仿宋" w:eastAsia="仿宋" w:cs="仿宋"/>
          <w:color w:val="000000" w:themeColor="text1"/>
          <w:sz w:val="24"/>
          <w:szCs w:val="24"/>
          <w:highlight w:val="none"/>
          <w14:textFill>
            <w14:solidFill>
              <w14:schemeClr w14:val="tx1"/>
            </w14:solidFill>
          </w14:textFill>
        </w:rPr>
        <w:t>在收到承包人提交的变更估价申请后7天内审查完毕并报</w:t>
      </w:r>
      <w:r>
        <w:rPr>
          <w:rFonts w:hint="eastAsia" w:ascii="仿宋" w:hAnsi="仿宋" w:eastAsia="仿宋" w:cs="仿宋"/>
          <w:color w:val="000000" w:themeColor="text1"/>
          <w:spacing w:val="-1"/>
          <w:sz w:val="24"/>
          <w:szCs w:val="24"/>
          <w:highlight w:val="none"/>
          <w14:textFill>
            <w14:solidFill>
              <w14:schemeClr w14:val="tx1"/>
            </w14:solidFill>
          </w14:textFill>
        </w:rPr>
        <w:t>送发包人，监理人对变</w:t>
      </w:r>
      <w:r>
        <w:rPr>
          <w:rFonts w:hint="eastAsia" w:ascii="仿宋" w:hAnsi="仿宋" w:eastAsia="仿宋" w:cs="仿宋"/>
          <w:color w:val="000000" w:themeColor="text1"/>
          <w:spacing w:val="-2"/>
          <w:sz w:val="24"/>
          <w:szCs w:val="24"/>
          <w:highlight w:val="none"/>
          <w14:textFill>
            <w14:solidFill>
              <w14:schemeClr w14:val="tx1"/>
            </w14:solidFill>
          </w14:textFill>
        </w:rPr>
        <w:t>更估价申请有异议，通知承包人修改后重新提交。发包人应在承包人提交变更估</w:t>
      </w:r>
      <w:r>
        <w:rPr>
          <w:rFonts w:hint="eastAsia" w:ascii="仿宋" w:hAnsi="仿宋" w:eastAsia="仿宋" w:cs="仿宋"/>
          <w:color w:val="000000" w:themeColor="text1"/>
          <w:spacing w:val="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价申请后14天内审批完毕。发包人逾期未完成审批或未提出异议的，视为认可承</w:t>
      </w:r>
      <w:r>
        <w:rPr>
          <w:rFonts w:hint="eastAsia" w:ascii="仿宋" w:hAnsi="仿宋" w:eastAsia="仿宋" w:cs="仿宋"/>
          <w:color w:val="000000" w:themeColor="text1"/>
          <w:spacing w:val="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包人提交的变更估价申请。</w:t>
      </w:r>
    </w:p>
    <w:p w14:paraId="018FBF37">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因变更引起的价格调整应计入最近一期的进度款中支付。</w:t>
      </w:r>
    </w:p>
    <w:p w14:paraId="74B879B9">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10.5</w:t>
      </w:r>
      <w:r>
        <w:rPr>
          <w:rFonts w:hint="eastAsia" w:ascii="仿宋" w:hAnsi="仿宋" w:eastAsia="仿宋" w:cs="仿宋"/>
          <w:color w:val="000000" w:themeColor="text1"/>
          <w:spacing w:val="-6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承包人的合理化建议</w:t>
      </w:r>
    </w:p>
    <w:p w14:paraId="0355FFDE">
      <w:pPr>
        <w:keepNext w:val="0"/>
        <w:keepLines w:val="0"/>
        <w:pageBreakBefore w:val="0"/>
        <w:widowControl w:val="0"/>
        <w:kinsoku/>
        <w:wordWrap/>
        <w:overflowPunct/>
        <w:topLinePunct w:val="0"/>
        <w:autoSpaceDE/>
        <w:autoSpaceDN/>
        <w:bidi w:val="0"/>
        <w:snapToGrid/>
        <w:spacing w:line="360" w:lineRule="auto"/>
        <w:ind w:left="0" w:leftChars="0" w:right="0" w:rightChars="0" w:firstLine="556"/>
        <w:rPr>
          <w:rFonts w:hint="eastAsia" w:ascii="仿宋" w:hAnsi="仿宋" w:eastAsia="仿宋" w:cs="仿宋"/>
          <w:color w:val="000000" w:themeColor="text1"/>
          <w:spacing w:val="-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承包人提出合理化建议的，应向监理人提交合理化建议说明，说明建</w:t>
      </w:r>
      <w:r>
        <w:rPr>
          <w:rFonts w:hint="eastAsia" w:ascii="仿宋" w:hAnsi="仿宋" w:eastAsia="仿宋" w:cs="仿宋"/>
          <w:color w:val="000000" w:themeColor="text1"/>
          <w:spacing w:val="-3"/>
          <w:sz w:val="24"/>
          <w:szCs w:val="24"/>
          <w:highlight w:val="none"/>
          <w14:textFill>
            <w14:solidFill>
              <w14:schemeClr w14:val="tx1"/>
            </w14:solidFill>
          </w14:textFill>
        </w:rPr>
        <w:t>议的内</w:t>
      </w:r>
      <w:r>
        <w:rPr>
          <w:rFonts w:hint="eastAsia" w:ascii="仿宋" w:hAnsi="仿宋" w:eastAsia="仿宋" w:cs="仿宋"/>
          <w:color w:val="000000" w:themeColor="text1"/>
          <w:spacing w:val="-1"/>
          <w:sz w:val="24"/>
          <w:szCs w:val="24"/>
          <w:highlight w:val="none"/>
          <w14:textFill>
            <w14:solidFill>
              <w14:schemeClr w14:val="tx1"/>
            </w14:solidFill>
          </w14:textFill>
        </w:rPr>
        <w:t>容和理由，以及实施该建议对合同价格和工期的影响。</w:t>
      </w:r>
    </w:p>
    <w:p w14:paraId="00E0813F">
      <w:pPr>
        <w:keepNext w:val="0"/>
        <w:keepLines w:val="0"/>
        <w:pageBreakBefore w:val="0"/>
        <w:widowControl w:val="0"/>
        <w:kinsoku/>
        <w:wordWrap/>
        <w:overflowPunct/>
        <w:topLinePunct w:val="0"/>
        <w:autoSpaceDE/>
        <w:autoSpaceDN/>
        <w:bidi w:val="0"/>
        <w:snapToGrid/>
        <w:spacing w:line="360" w:lineRule="auto"/>
        <w:ind w:left="0" w:leftChars="0" w:right="0" w:rightChars="0" w:firstLine="556"/>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除专用合同条款另有约定外，监理人应在收到承包人提交的合理化建议后7天内审查完毕并报送发包人，发现其中存在技术上的缺陷，应通知承包人修改。</w:t>
      </w:r>
    </w:p>
    <w:p w14:paraId="20C5C0B3">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发包人应在收到监理人报送的合理化建议后</w:t>
      </w:r>
      <w:r>
        <w:rPr>
          <w:rFonts w:hint="eastAsia" w:ascii="仿宋" w:hAnsi="仿宋" w:eastAsia="仿宋" w:cs="仿宋"/>
          <w:color w:val="000000" w:themeColor="text1"/>
          <w:spacing w:val="-1"/>
          <w:sz w:val="24"/>
          <w:szCs w:val="24"/>
          <w:highlight w:val="none"/>
          <w14:textFill>
            <w14:solidFill>
              <w14:schemeClr w14:val="tx1"/>
            </w14:solidFill>
          </w14:textFill>
        </w:rPr>
        <w:t>7天内审批完毕。合理化建议经发包</w:t>
      </w:r>
      <w:r>
        <w:rPr>
          <w:rFonts w:hint="eastAsia" w:ascii="仿宋" w:hAnsi="仿宋" w:eastAsia="仿宋" w:cs="仿宋"/>
          <w:color w:val="000000" w:themeColor="text1"/>
          <w:spacing w:val="-2"/>
          <w:sz w:val="24"/>
          <w:szCs w:val="24"/>
          <w:highlight w:val="none"/>
          <w14:textFill>
            <w14:solidFill>
              <w14:schemeClr w14:val="tx1"/>
            </w14:solidFill>
          </w14:textFill>
        </w:rPr>
        <w:t>人批准的，监理人应及时发出变更指示，由此引起的合同价格调整按照第10.4款</w:t>
      </w:r>
      <w:r>
        <w:rPr>
          <w:rFonts w:hint="eastAsia" w:ascii="仿宋" w:hAnsi="仿宋" w:eastAsia="仿宋" w:cs="仿宋"/>
          <w:color w:val="000000" w:themeColor="text1"/>
          <w:spacing w:val="-1"/>
          <w:sz w:val="24"/>
          <w:szCs w:val="24"/>
          <w:highlight w:val="none"/>
          <w14:textFill>
            <w14:solidFill>
              <w14:schemeClr w14:val="tx1"/>
            </w14:solidFill>
          </w14:textFill>
        </w:rPr>
        <w:t>〔变更估价〕约定执行。发包人不同意变更的，监理人应书面通知承包人。</w:t>
      </w:r>
    </w:p>
    <w:p w14:paraId="74F5FF5F">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合理化建议降低了合同价格或者提高了工程经济效益的，发包人可</w:t>
      </w:r>
      <w:r>
        <w:rPr>
          <w:rFonts w:hint="eastAsia" w:ascii="仿宋" w:hAnsi="仿宋" w:eastAsia="仿宋" w:cs="仿宋"/>
          <w:color w:val="000000" w:themeColor="text1"/>
          <w:spacing w:val="-3"/>
          <w:sz w:val="24"/>
          <w:szCs w:val="24"/>
          <w:highlight w:val="none"/>
          <w14:textFill>
            <w14:solidFill>
              <w14:schemeClr w14:val="tx1"/>
            </w14:solidFill>
          </w14:textFill>
        </w:rPr>
        <w:t>对承包人</w:t>
      </w:r>
      <w:r>
        <w:rPr>
          <w:rFonts w:hint="eastAsia" w:ascii="仿宋" w:hAnsi="仿宋" w:eastAsia="仿宋" w:cs="仿宋"/>
          <w:color w:val="000000" w:themeColor="text1"/>
          <w:spacing w:val="-1"/>
          <w:sz w:val="24"/>
          <w:szCs w:val="24"/>
          <w:highlight w:val="none"/>
          <w14:textFill>
            <w14:solidFill>
              <w14:schemeClr w14:val="tx1"/>
            </w14:solidFill>
          </w14:textFill>
        </w:rPr>
        <w:t>给予奖励，奖励的方法和金额在专用合同条款中约定。</w:t>
      </w:r>
    </w:p>
    <w:p w14:paraId="247CDD8C">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10.6</w:t>
      </w:r>
      <w:r>
        <w:rPr>
          <w:rFonts w:hint="eastAsia" w:ascii="仿宋" w:hAnsi="仿宋" w:eastAsia="仿宋" w:cs="仿宋"/>
          <w:color w:val="000000" w:themeColor="text1"/>
          <w:spacing w:val="-6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变更引起的工期调整</w:t>
      </w:r>
    </w:p>
    <w:p w14:paraId="742782B1">
      <w:pPr>
        <w:keepNext w:val="0"/>
        <w:keepLines w:val="0"/>
        <w:pageBreakBefore w:val="0"/>
        <w:widowControl w:val="0"/>
        <w:kinsoku/>
        <w:wordWrap/>
        <w:overflowPunct/>
        <w:topLinePunct w:val="0"/>
        <w:autoSpaceDE/>
        <w:autoSpaceDN/>
        <w:bidi w:val="0"/>
        <w:snapToGrid/>
        <w:spacing w:line="360" w:lineRule="auto"/>
        <w:ind w:left="0" w:leftChars="0" w:right="0" w:rightChars="0" w:firstLine="57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因变更引起工期变化的，合同当事人均可要求调整合同工期，由合同当事人</w:t>
      </w:r>
      <w:r>
        <w:rPr>
          <w:rFonts w:hint="eastAsia" w:ascii="仿宋" w:hAnsi="仿宋" w:eastAsia="仿宋" w:cs="仿宋"/>
          <w:color w:val="000000" w:themeColor="text1"/>
          <w:sz w:val="24"/>
          <w:szCs w:val="24"/>
          <w:highlight w:val="none"/>
          <w14:textFill>
            <w14:solidFill>
              <w14:schemeClr w14:val="tx1"/>
            </w14:solidFill>
          </w14:textFill>
        </w:rPr>
        <w:t>按照第4.4款〔商定或确定〕并参考工程所</w:t>
      </w:r>
      <w:r>
        <w:rPr>
          <w:rFonts w:hint="eastAsia" w:ascii="仿宋" w:hAnsi="仿宋" w:eastAsia="仿宋" w:cs="仿宋"/>
          <w:color w:val="000000" w:themeColor="text1"/>
          <w:spacing w:val="-1"/>
          <w:sz w:val="24"/>
          <w:szCs w:val="24"/>
          <w:highlight w:val="none"/>
          <w14:textFill>
            <w14:solidFill>
              <w14:schemeClr w14:val="tx1"/>
            </w14:solidFill>
          </w14:textFill>
        </w:rPr>
        <w:t>在地的工期定额标准确定增减工期天</w:t>
      </w:r>
      <w:r>
        <w:rPr>
          <w:rFonts w:hint="eastAsia" w:ascii="仿宋" w:hAnsi="仿宋" w:eastAsia="仿宋" w:cs="仿宋"/>
          <w:color w:val="000000" w:themeColor="text1"/>
          <w:spacing w:val="-14"/>
          <w:sz w:val="24"/>
          <w:szCs w:val="24"/>
          <w:highlight w:val="none"/>
          <w14:textFill>
            <w14:solidFill>
              <w14:schemeClr w14:val="tx1"/>
            </w14:solidFill>
          </w14:textFill>
        </w:rPr>
        <w:t>数。</w:t>
      </w:r>
    </w:p>
    <w:p w14:paraId="09B83365">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10.7</w:t>
      </w:r>
      <w:r>
        <w:rPr>
          <w:rFonts w:hint="eastAsia" w:ascii="仿宋" w:hAnsi="仿宋" w:eastAsia="仿宋" w:cs="仿宋"/>
          <w:color w:val="000000" w:themeColor="text1"/>
          <w:spacing w:val="-5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暂估价</w:t>
      </w:r>
    </w:p>
    <w:p w14:paraId="6483F515">
      <w:pPr>
        <w:keepNext w:val="0"/>
        <w:keepLines w:val="0"/>
        <w:pageBreakBefore w:val="0"/>
        <w:widowControl w:val="0"/>
        <w:kinsoku/>
        <w:wordWrap/>
        <w:overflowPunct/>
        <w:topLinePunct w:val="0"/>
        <w:autoSpaceDE/>
        <w:autoSpaceDN/>
        <w:bidi w:val="0"/>
        <w:snapToGrid/>
        <w:spacing w:line="360" w:lineRule="auto"/>
        <w:ind w:left="0" w:leftChars="0" w:right="0" w:rightChars="0" w:firstLine="5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暂估价专业分包工程、服务、材料和工程设备的</w:t>
      </w:r>
      <w:r>
        <w:rPr>
          <w:rFonts w:hint="eastAsia" w:ascii="仿宋" w:hAnsi="仿宋" w:eastAsia="仿宋" w:cs="仿宋"/>
          <w:color w:val="000000" w:themeColor="text1"/>
          <w:spacing w:val="-3"/>
          <w:sz w:val="24"/>
          <w:szCs w:val="24"/>
          <w:highlight w:val="none"/>
          <w14:textFill>
            <w14:solidFill>
              <w14:schemeClr w14:val="tx1"/>
            </w14:solidFill>
          </w14:textFill>
        </w:rPr>
        <w:t>明细由合同当事人在专用合</w:t>
      </w:r>
      <w:r>
        <w:rPr>
          <w:rFonts w:hint="eastAsia" w:ascii="仿宋" w:hAnsi="仿宋" w:eastAsia="仿宋" w:cs="仿宋"/>
          <w:color w:val="000000" w:themeColor="text1"/>
          <w:spacing w:val="-9"/>
          <w:sz w:val="24"/>
          <w:szCs w:val="24"/>
          <w:highlight w:val="none"/>
          <w14:textFill>
            <w14:solidFill>
              <w14:schemeClr w14:val="tx1"/>
            </w14:solidFill>
          </w14:textFill>
        </w:rPr>
        <w:t>同条款中约定。</w:t>
      </w:r>
    </w:p>
    <w:p w14:paraId="50D659B8">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10.7.1 依法必须招标的暂估价项目</w:t>
      </w:r>
    </w:p>
    <w:p w14:paraId="51F312D5">
      <w:pPr>
        <w:keepNext w:val="0"/>
        <w:keepLines w:val="0"/>
        <w:pageBreakBefore w:val="0"/>
        <w:widowControl w:val="0"/>
        <w:kinsoku/>
        <w:wordWrap/>
        <w:overflowPunct/>
        <w:topLinePunct w:val="0"/>
        <w:autoSpaceDE/>
        <w:autoSpaceDN/>
        <w:bidi w:val="0"/>
        <w:snapToGrid/>
        <w:spacing w:line="360" w:lineRule="auto"/>
        <w:ind w:left="0" w:leftChars="0" w:right="0" w:rightChars="0" w:firstLine="55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对于依法必须招标的暂估价项目，采取以下第</w:t>
      </w:r>
      <w:r>
        <w:rPr>
          <w:rFonts w:hint="eastAsia" w:ascii="仿宋" w:hAnsi="仿宋" w:eastAsia="仿宋" w:cs="仿宋"/>
          <w:color w:val="000000" w:themeColor="text1"/>
          <w:spacing w:val="-3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1</w:t>
      </w:r>
      <w:r>
        <w:rPr>
          <w:rFonts w:hint="eastAsia" w:ascii="仿宋" w:hAnsi="仿宋" w:eastAsia="仿宋" w:cs="仿宋"/>
          <w:color w:val="000000" w:themeColor="text1"/>
          <w:spacing w:val="-5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种方</w:t>
      </w:r>
      <w:r>
        <w:rPr>
          <w:rFonts w:hint="eastAsia" w:ascii="仿宋" w:hAnsi="仿宋" w:eastAsia="仿宋" w:cs="仿宋"/>
          <w:color w:val="000000" w:themeColor="text1"/>
          <w:spacing w:val="-4"/>
          <w:sz w:val="24"/>
          <w:szCs w:val="24"/>
          <w:highlight w:val="none"/>
          <w14:textFill>
            <w14:solidFill>
              <w14:schemeClr w14:val="tx1"/>
            </w14:solidFill>
          </w14:textFill>
        </w:rPr>
        <w:t>式确定。合同当事人也</w:t>
      </w:r>
      <w:r>
        <w:rPr>
          <w:rFonts w:hint="eastAsia" w:ascii="仿宋" w:hAnsi="仿宋" w:eastAsia="仿宋" w:cs="仿宋"/>
          <w:color w:val="000000" w:themeColor="text1"/>
          <w:spacing w:val="-3"/>
          <w:sz w:val="24"/>
          <w:szCs w:val="24"/>
          <w:highlight w:val="none"/>
          <w14:textFill>
            <w14:solidFill>
              <w14:schemeClr w14:val="tx1"/>
            </w14:solidFill>
          </w14:textFill>
        </w:rPr>
        <w:t>可以在专用合同条款中选择其他招标方式。</w:t>
      </w:r>
    </w:p>
    <w:p w14:paraId="43678A38">
      <w:pPr>
        <w:keepNext w:val="0"/>
        <w:keepLines w:val="0"/>
        <w:pageBreakBefore w:val="0"/>
        <w:widowControl w:val="0"/>
        <w:kinsoku/>
        <w:wordWrap/>
        <w:overflowPunct/>
        <w:topLinePunct w:val="0"/>
        <w:autoSpaceDE/>
        <w:autoSpaceDN/>
        <w:bidi w:val="0"/>
        <w:snapToGrid/>
        <w:spacing w:line="360" w:lineRule="auto"/>
        <w:ind w:left="0" w:leftChars="0" w:right="0" w:rightChars="0" w:firstLine="55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第</w:t>
      </w:r>
      <w:r>
        <w:rPr>
          <w:rFonts w:hint="eastAsia" w:ascii="仿宋" w:hAnsi="仿宋" w:eastAsia="仿宋" w:cs="仿宋"/>
          <w:color w:val="000000" w:themeColor="text1"/>
          <w:spacing w:val="-3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1</w:t>
      </w:r>
      <w:r>
        <w:rPr>
          <w:rFonts w:hint="eastAsia" w:ascii="仿宋" w:hAnsi="仿宋" w:eastAsia="仿宋" w:cs="仿宋"/>
          <w:color w:val="000000" w:themeColor="text1"/>
          <w:spacing w:val="-5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种方式：对于依法必须招标的暂估价项目，由</w:t>
      </w:r>
      <w:r>
        <w:rPr>
          <w:rFonts w:hint="eastAsia" w:ascii="仿宋" w:hAnsi="仿宋" w:eastAsia="仿宋" w:cs="仿宋"/>
          <w:color w:val="000000" w:themeColor="text1"/>
          <w:spacing w:val="-4"/>
          <w:sz w:val="24"/>
          <w:szCs w:val="24"/>
          <w:highlight w:val="none"/>
          <w14:textFill>
            <w14:solidFill>
              <w14:schemeClr w14:val="tx1"/>
            </w14:solidFill>
          </w14:textFill>
        </w:rPr>
        <w:t>承包人招标，对该暂估价</w:t>
      </w:r>
      <w:r>
        <w:rPr>
          <w:rFonts w:hint="eastAsia" w:ascii="仿宋" w:hAnsi="仿宋" w:eastAsia="仿宋" w:cs="仿宋"/>
          <w:color w:val="000000" w:themeColor="text1"/>
          <w:spacing w:val="-1"/>
          <w:sz w:val="24"/>
          <w:szCs w:val="24"/>
          <w:highlight w:val="none"/>
          <w14:textFill>
            <w14:solidFill>
              <w14:schemeClr w14:val="tx1"/>
            </w14:solidFill>
          </w14:textFill>
        </w:rPr>
        <w:t>项目的确认和批准按照以下约定执行：</w:t>
      </w:r>
    </w:p>
    <w:p w14:paraId="4441AF02">
      <w:pPr>
        <w:keepNext w:val="0"/>
        <w:keepLines w:val="0"/>
        <w:pageBreakBefore w:val="0"/>
        <w:widowControl w:val="0"/>
        <w:kinsoku/>
        <w:wordWrap/>
        <w:overflowPunct/>
        <w:topLinePunct w:val="0"/>
        <w:autoSpaceDE/>
        <w:autoSpaceDN/>
        <w:bidi w:val="0"/>
        <w:snapToGrid/>
        <w:spacing w:line="360" w:lineRule="auto"/>
        <w:ind w:left="0" w:leftChars="0" w:right="0" w:rightChars="0" w:firstLine="56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（1）承包人应当根据施工进度计划，在招标工作启动前</w:t>
      </w:r>
      <w:r>
        <w:rPr>
          <w:rFonts w:hint="eastAsia" w:ascii="仿宋" w:hAnsi="仿宋" w:eastAsia="仿宋" w:cs="仿宋"/>
          <w:color w:val="000000" w:themeColor="text1"/>
          <w:spacing w:val="-2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14</w:t>
      </w:r>
      <w:r>
        <w:rPr>
          <w:rFonts w:hint="eastAsia" w:ascii="仿宋" w:hAnsi="仿宋" w:eastAsia="仿宋" w:cs="仿宋"/>
          <w:color w:val="000000" w:themeColor="text1"/>
          <w:spacing w:val="-5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天将招标方案通</w:t>
      </w:r>
      <w:r>
        <w:rPr>
          <w:rFonts w:hint="eastAsia" w:ascii="仿宋" w:hAnsi="仿宋" w:eastAsia="仿宋" w:cs="仿宋"/>
          <w:color w:val="000000" w:themeColor="text1"/>
          <w:spacing w:val="-3"/>
          <w:sz w:val="24"/>
          <w:szCs w:val="24"/>
          <w:highlight w:val="none"/>
          <w14:textFill>
            <w14:solidFill>
              <w14:schemeClr w14:val="tx1"/>
            </w14:solidFill>
          </w14:textFill>
        </w:rPr>
        <w:t>过监理人报送发包人审查，发包人应当在收到承包人报送的招标方案后7天内批</w:t>
      </w:r>
      <w:r>
        <w:rPr>
          <w:rFonts w:hint="eastAsia" w:ascii="仿宋" w:hAnsi="仿宋" w:eastAsia="仿宋" w:cs="仿宋"/>
          <w:color w:val="000000" w:themeColor="text1"/>
          <w:spacing w:val="-2"/>
          <w:sz w:val="24"/>
          <w:szCs w:val="24"/>
          <w:highlight w:val="none"/>
          <w14:textFill>
            <w14:solidFill>
              <w14:schemeClr w14:val="tx1"/>
            </w14:solidFill>
          </w14:textFill>
        </w:rPr>
        <w:t>准或提出修改意见。承包人应当按照经过发包人批准的招</w:t>
      </w:r>
      <w:r>
        <w:rPr>
          <w:rFonts w:hint="eastAsia" w:ascii="仿宋" w:hAnsi="仿宋" w:eastAsia="仿宋" w:cs="仿宋"/>
          <w:color w:val="000000" w:themeColor="text1"/>
          <w:spacing w:val="-3"/>
          <w:sz w:val="24"/>
          <w:szCs w:val="24"/>
          <w:highlight w:val="none"/>
          <w14:textFill>
            <w14:solidFill>
              <w14:schemeClr w14:val="tx1"/>
            </w14:solidFill>
          </w14:textFill>
        </w:rPr>
        <w:t>标方案开展招标工作；</w:t>
      </w:r>
    </w:p>
    <w:p w14:paraId="16616CFE">
      <w:pPr>
        <w:pStyle w:val="9"/>
        <w:keepNext w:val="0"/>
        <w:keepLines w:val="0"/>
        <w:pageBreakBefore w:val="0"/>
        <w:widowControl w:val="0"/>
        <w:kinsoku/>
        <w:wordWrap/>
        <w:overflowPunct/>
        <w:topLinePunct w:val="0"/>
        <w:autoSpaceDE/>
        <w:autoSpaceDN/>
        <w:bidi w:val="0"/>
        <w:snapToGrid/>
        <w:spacing w:after="0" w:line="360" w:lineRule="auto"/>
        <w:ind w:left="0" w:leftChars="0" w:right="0" w:rightChars="0" w:firstLine="472"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（2）承包人应当根据施工进度计划，提前14天将招标文件通过监理人报送</w:t>
      </w:r>
      <w:r>
        <w:rPr>
          <w:rFonts w:hint="eastAsia" w:ascii="仿宋" w:hAnsi="仿宋" w:eastAsia="仿宋" w:cs="仿宋"/>
          <w:color w:val="000000" w:themeColor="text1"/>
          <w:spacing w:val="-3"/>
          <w:sz w:val="24"/>
          <w:szCs w:val="24"/>
          <w:highlight w:val="none"/>
          <w14:textFill>
            <w14:solidFill>
              <w14:schemeClr w14:val="tx1"/>
            </w14:solidFill>
          </w14:textFill>
        </w:rPr>
        <w:t>发包人审批，发包人应当在收到承包人报送的相关文件后7天内完成审批或</w:t>
      </w:r>
      <w:r>
        <w:rPr>
          <w:rFonts w:hint="eastAsia" w:ascii="仿宋" w:hAnsi="仿宋" w:eastAsia="仿宋" w:cs="仿宋"/>
          <w:color w:val="000000" w:themeColor="text1"/>
          <w:spacing w:val="-4"/>
          <w:sz w:val="24"/>
          <w:szCs w:val="24"/>
          <w:highlight w:val="none"/>
          <w14:textFill>
            <w14:solidFill>
              <w14:schemeClr w14:val="tx1"/>
            </w14:solidFill>
          </w14:textFill>
        </w:rPr>
        <w:t>提出</w:t>
      </w:r>
      <w:r>
        <w:rPr>
          <w:rFonts w:hint="eastAsia" w:ascii="仿宋" w:hAnsi="仿宋" w:eastAsia="仿宋" w:cs="仿宋"/>
          <w:color w:val="000000" w:themeColor="text1"/>
          <w:spacing w:val="-1"/>
          <w:sz w:val="24"/>
          <w:szCs w:val="24"/>
          <w:highlight w:val="none"/>
          <w14:textFill>
            <w14:solidFill>
              <w14:schemeClr w14:val="tx1"/>
            </w14:solidFill>
          </w14:textFill>
        </w:rPr>
        <w:t>修改意见；发包人有权确定招标控制价并按照法律规定参加评标；</w:t>
      </w:r>
    </w:p>
    <w:p w14:paraId="164786BC">
      <w:pPr>
        <w:keepNext w:val="0"/>
        <w:keepLines w:val="0"/>
        <w:pageBreakBefore w:val="0"/>
        <w:widowControl w:val="0"/>
        <w:kinsoku/>
        <w:wordWrap/>
        <w:overflowPunct/>
        <w:topLinePunct w:val="0"/>
        <w:autoSpaceDE/>
        <w:autoSpaceDN/>
        <w:bidi w:val="0"/>
        <w:snapToGrid/>
        <w:spacing w:line="360" w:lineRule="auto"/>
        <w:ind w:left="0" w:leftChars="0" w:right="0" w:rightChars="0" w:firstLine="56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（3）承包人与供应商、分包人在签订暂估价合同前，应当提前7</w:t>
      </w:r>
      <w:r>
        <w:rPr>
          <w:rFonts w:hint="eastAsia" w:ascii="仿宋" w:hAnsi="仿宋" w:eastAsia="仿宋" w:cs="仿宋"/>
          <w:color w:val="000000" w:themeColor="text1"/>
          <w:spacing w:val="-3"/>
          <w:sz w:val="24"/>
          <w:szCs w:val="24"/>
          <w:highlight w:val="none"/>
          <w14:textFill>
            <w14:solidFill>
              <w14:schemeClr w14:val="tx1"/>
            </w14:solidFill>
          </w14:textFill>
        </w:rPr>
        <w:t>天将确定</w:t>
      </w:r>
      <w:r>
        <w:rPr>
          <w:rFonts w:hint="eastAsia" w:ascii="仿宋" w:hAnsi="仿宋" w:eastAsia="仿宋" w:cs="仿宋"/>
          <w:color w:val="000000" w:themeColor="text1"/>
          <w:spacing w:val="-2"/>
          <w:sz w:val="24"/>
          <w:szCs w:val="24"/>
          <w:highlight w:val="none"/>
          <w14:textFill>
            <w14:solidFill>
              <w14:schemeClr w14:val="tx1"/>
            </w14:solidFill>
          </w14:textFill>
        </w:rPr>
        <w:t>的中标候选供应商或中标候选分包人的资料报送发包人，发包人应在收到</w:t>
      </w:r>
      <w:r>
        <w:rPr>
          <w:rFonts w:hint="eastAsia" w:ascii="仿宋" w:hAnsi="仿宋" w:eastAsia="仿宋" w:cs="仿宋"/>
          <w:color w:val="000000" w:themeColor="text1"/>
          <w:spacing w:val="-3"/>
          <w:sz w:val="24"/>
          <w:szCs w:val="24"/>
          <w:highlight w:val="none"/>
          <w14:textFill>
            <w14:solidFill>
              <w14:schemeClr w14:val="tx1"/>
            </w14:solidFill>
          </w14:textFill>
        </w:rPr>
        <w:t>资料后</w:t>
      </w:r>
      <w:r>
        <w:rPr>
          <w:rFonts w:hint="eastAsia" w:ascii="仿宋" w:hAnsi="仿宋" w:eastAsia="仿宋" w:cs="仿宋"/>
          <w:color w:val="000000" w:themeColor="text1"/>
          <w:spacing w:val="-2"/>
          <w:sz w:val="24"/>
          <w:szCs w:val="24"/>
          <w:highlight w:val="none"/>
          <w14:textFill>
            <w14:solidFill>
              <w14:schemeClr w14:val="tx1"/>
            </w14:solidFill>
          </w14:textFill>
        </w:rPr>
        <w:t>3天内与承包人共同确定中标人；承包人应当在签订合同后7天内，将暂估</w:t>
      </w:r>
      <w:r>
        <w:rPr>
          <w:rFonts w:hint="eastAsia" w:ascii="仿宋" w:hAnsi="仿宋" w:eastAsia="仿宋" w:cs="仿宋"/>
          <w:color w:val="000000" w:themeColor="text1"/>
          <w:spacing w:val="-3"/>
          <w:sz w:val="24"/>
          <w:szCs w:val="24"/>
          <w:highlight w:val="none"/>
          <w14:textFill>
            <w14:solidFill>
              <w14:schemeClr w14:val="tx1"/>
            </w14:solidFill>
          </w14:textFill>
        </w:rPr>
        <w:t>价合</w:t>
      </w:r>
      <w:r>
        <w:rPr>
          <w:rFonts w:hint="eastAsia" w:ascii="仿宋" w:hAnsi="仿宋" w:eastAsia="仿宋" w:cs="仿宋"/>
          <w:color w:val="000000" w:themeColor="text1"/>
          <w:spacing w:val="-4"/>
          <w:sz w:val="24"/>
          <w:szCs w:val="24"/>
          <w:highlight w:val="none"/>
          <w14:textFill>
            <w14:solidFill>
              <w14:schemeClr w14:val="tx1"/>
            </w14:solidFill>
          </w14:textFill>
        </w:rPr>
        <w:t>同副本报送发包人留存。</w:t>
      </w:r>
    </w:p>
    <w:p w14:paraId="616A53D5">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第</w:t>
      </w:r>
      <w:r>
        <w:rPr>
          <w:rFonts w:hint="eastAsia" w:ascii="仿宋" w:hAnsi="仿宋" w:eastAsia="仿宋" w:cs="仿宋"/>
          <w:color w:val="000000" w:themeColor="text1"/>
          <w:spacing w:val="-5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2</w:t>
      </w:r>
      <w:r>
        <w:rPr>
          <w:rFonts w:hint="eastAsia" w:ascii="仿宋" w:hAnsi="仿宋" w:eastAsia="仿宋" w:cs="仿宋"/>
          <w:color w:val="000000" w:themeColor="text1"/>
          <w:spacing w:val="-5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种方式：对于依法必须招标的暂估价项目，由发包人和承包人共同招标</w:t>
      </w:r>
      <w:r>
        <w:rPr>
          <w:rFonts w:hint="eastAsia" w:ascii="仿宋" w:hAnsi="仿宋" w:eastAsia="仿宋" w:cs="仿宋"/>
          <w:color w:val="000000" w:themeColor="text1"/>
          <w:spacing w:val="-2"/>
          <w:sz w:val="24"/>
          <w:szCs w:val="24"/>
          <w:highlight w:val="none"/>
          <w14:textFill>
            <w14:solidFill>
              <w14:schemeClr w14:val="tx1"/>
            </w14:solidFill>
          </w14:textFill>
        </w:rPr>
        <w:t>确定暂估价供应商或分包人的，承包人应按照施工进度计划，在招标工作启动前</w:t>
      </w:r>
      <w:r>
        <w:rPr>
          <w:rFonts w:hint="eastAsia" w:ascii="仿宋" w:hAnsi="仿宋" w:eastAsia="仿宋" w:cs="仿宋"/>
          <w:color w:val="000000" w:themeColor="text1"/>
          <w:spacing w:val="-5"/>
          <w:sz w:val="24"/>
          <w:szCs w:val="24"/>
          <w:highlight w:val="none"/>
          <w14:textFill>
            <w14:solidFill>
              <w14:schemeClr w14:val="tx1"/>
            </w14:solidFill>
          </w14:textFill>
        </w:rPr>
        <w:t>14</w:t>
      </w:r>
      <w:r>
        <w:rPr>
          <w:rFonts w:hint="eastAsia" w:ascii="仿宋" w:hAnsi="仿宋" w:eastAsia="仿宋" w:cs="仿宋"/>
          <w:color w:val="000000" w:themeColor="text1"/>
          <w:spacing w:val="-5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天通知发包人，并提交暂估价招标方案和工作分工。发包人应在收到后</w:t>
      </w:r>
      <w:r>
        <w:rPr>
          <w:rFonts w:hint="eastAsia" w:ascii="仿宋" w:hAnsi="仿宋" w:eastAsia="仿宋" w:cs="仿宋"/>
          <w:color w:val="000000" w:themeColor="text1"/>
          <w:spacing w:val="-5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7</w:t>
      </w:r>
      <w:r>
        <w:rPr>
          <w:rFonts w:hint="eastAsia" w:ascii="仿宋" w:hAnsi="仿宋" w:eastAsia="仿宋" w:cs="仿宋"/>
          <w:color w:val="000000" w:themeColor="text1"/>
          <w:spacing w:val="-5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天内</w:t>
      </w:r>
      <w:r>
        <w:rPr>
          <w:rFonts w:hint="eastAsia" w:ascii="仿宋" w:hAnsi="仿宋" w:eastAsia="仿宋" w:cs="仿宋"/>
          <w:color w:val="000000" w:themeColor="text1"/>
          <w:sz w:val="24"/>
          <w:szCs w:val="24"/>
          <w:highlight w:val="none"/>
          <w14:textFill>
            <w14:solidFill>
              <w14:schemeClr w14:val="tx1"/>
            </w14:solidFill>
          </w14:textFill>
        </w:rPr>
        <w:t>确认。确定中标人后，由发包人、承包人与</w:t>
      </w:r>
      <w:r>
        <w:rPr>
          <w:rFonts w:hint="eastAsia" w:ascii="仿宋" w:hAnsi="仿宋" w:eastAsia="仿宋" w:cs="仿宋"/>
          <w:color w:val="000000" w:themeColor="text1"/>
          <w:spacing w:val="-1"/>
          <w:sz w:val="24"/>
          <w:szCs w:val="24"/>
          <w:highlight w:val="none"/>
          <w14:textFill>
            <w14:solidFill>
              <w14:schemeClr w14:val="tx1"/>
            </w14:solidFill>
          </w14:textFill>
        </w:rPr>
        <w:t>中标人共同签订暂估价合同。</w:t>
      </w:r>
    </w:p>
    <w:p w14:paraId="0836F6C2">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10.7.2</w:t>
      </w:r>
      <w:r>
        <w:rPr>
          <w:rFonts w:hint="eastAsia" w:ascii="仿宋" w:hAnsi="仿宋" w:eastAsia="仿宋" w:cs="仿宋"/>
          <w:color w:val="000000" w:themeColor="text1"/>
          <w:spacing w:val="-3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不属于依法必须招标的暂估价项目</w:t>
      </w:r>
    </w:p>
    <w:p w14:paraId="1A5146CF">
      <w:pPr>
        <w:keepNext w:val="0"/>
        <w:keepLines w:val="0"/>
        <w:pageBreakBefore w:val="0"/>
        <w:widowControl w:val="0"/>
        <w:kinsoku/>
        <w:wordWrap/>
        <w:overflowPunct/>
        <w:topLinePunct w:val="0"/>
        <w:autoSpaceDE/>
        <w:autoSpaceDN/>
        <w:bidi w:val="0"/>
        <w:snapToGrid/>
        <w:spacing w:line="360" w:lineRule="auto"/>
        <w:ind w:left="0" w:leftChars="0" w:right="0" w:rightChars="0" w:firstLine="54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除专用合同条款另有约定外，对于不属于依法必须招标的暂估价项目，采取</w:t>
      </w:r>
      <w:r>
        <w:rPr>
          <w:rFonts w:hint="eastAsia" w:ascii="仿宋" w:hAnsi="仿宋" w:eastAsia="仿宋" w:cs="仿宋"/>
          <w:color w:val="000000" w:themeColor="text1"/>
          <w:spacing w:val="-12"/>
          <w:sz w:val="24"/>
          <w:szCs w:val="24"/>
          <w:highlight w:val="none"/>
          <w14:textFill>
            <w14:solidFill>
              <w14:schemeClr w14:val="tx1"/>
            </w14:solidFill>
          </w14:textFill>
        </w:rPr>
        <w:t>以下第</w:t>
      </w:r>
      <w:r>
        <w:rPr>
          <w:rFonts w:hint="eastAsia" w:ascii="仿宋" w:hAnsi="仿宋" w:eastAsia="仿宋" w:cs="仿宋"/>
          <w:color w:val="000000" w:themeColor="text1"/>
          <w:spacing w:val="-3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2"/>
          <w:sz w:val="24"/>
          <w:szCs w:val="24"/>
          <w:highlight w:val="none"/>
          <w14:textFill>
            <w14:solidFill>
              <w14:schemeClr w14:val="tx1"/>
            </w14:solidFill>
          </w14:textFill>
        </w:rPr>
        <w:t>1</w:t>
      </w:r>
      <w:r>
        <w:rPr>
          <w:rFonts w:hint="eastAsia" w:ascii="仿宋" w:hAnsi="仿宋" w:eastAsia="仿宋" w:cs="仿宋"/>
          <w:color w:val="000000" w:themeColor="text1"/>
          <w:spacing w:val="-6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2"/>
          <w:sz w:val="24"/>
          <w:szCs w:val="24"/>
          <w:highlight w:val="none"/>
          <w14:textFill>
            <w14:solidFill>
              <w14:schemeClr w14:val="tx1"/>
            </w14:solidFill>
          </w14:textFill>
        </w:rPr>
        <w:t>种方式确定：</w:t>
      </w:r>
    </w:p>
    <w:p w14:paraId="6D5E70C0">
      <w:pPr>
        <w:keepNext w:val="0"/>
        <w:keepLines w:val="0"/>
        <w:pageBreakBefore w:val="0"/>
        <w:widowControl w:val="0"/>
        <w:kinsoku/>
        <w:wordWrap/>
        <w:overflowPunct/>
        <w:topLinePunct w:val="0"/>
        <w:autoSpaceDE/>
        <w:autoSpaceDN/>
        <w:bidi w:val="0"/>
        <w:snapToGrid/>
        <w:spacing w:line="360" w:lineRule="auto"/>
        <w:ind w:left="0" w:leftChars="0" w:right="0" w:rightChars="0" w:firstLine="5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第</w:t>
      </w:r>
      <w:r>
        <w:rPr>
          <w:rFonts w:hint="eastAsia" w:ascii="仿宋" w:hAnsi="仿宋" w:eastAsia="仿宋" w:cs="仿宋"/>
          <w:color w:val="000000" w:themeColor="text1"/>
          <w:spacing w:val="-3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1</w:t>
      </w:r>
      <w:r>
        <w:rPr>
          <w:rFonts w:hint="eastAsia" w:ascii="仿宋" w:hAnsi="仿宋" w:eastAsia="仿宋" w:cs="仿宋"/>
          <w:color w:val="000000" w:themeColor="text1"/>
          <w:spacing w:val="-5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种方式：对于不属于依法必须招标的暂估</w:t>
      </w:r>
      <w:r>
        <w:rPr>
          <w:rFonts w:hint="eastAsia" w:ascii="仿宋" w:hAnsi="仿宋" w:eastAsia="仿宋" w:cs="仿宋"/>
          <w:color w:val="000000" w:themeColor="text1"/>
          <w:spacing w:val="-4"/>
          <w:sz w:val="24"/>
          <w:szCs w:val="24"/>
          <w:highlight w:val="none"/>
          <w14:textFill>
            <w14:solidFill>
              <w14:schemeClr w14:val="tx1"/>
            </w14:solidFill>
          </w14:textFill>
        </w:rPr>
        <w:t>价项目，按本项约定确认和批</w:t>
      </w:r>
      <w:r>
        <w:rPr>
          <w:rFonts w:hint="eastAsia" w:ascii="仿宋" w:hAnsi="仿宋" w:eastAsia="仿宋" w:cs="仿宋"/>
          <w:color w:val="000000" w:themeColor="text1"/>
          <w:spacing w:val="-20"/>
          <w:sz w:val="24"/>
          <w:szCs w:val="24"/>
          <w:highlight w:val="none"/>
          <w14:textFill>
            <w14:solidFill>
              <w14:schemeClr w14:val="tx1"/>
            </w14:solidFill>
          </w14:textFill>
        </w:rPr>
        <w:t>准：</w:t>
      </w:r>
    </w:p>
    <w:p w14:paraId="5DBF9A61">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（1）承包人应根据施工进度计划，在签订暂估价项目的采购合同、分包合</w:t>
      </w:r>
      <w:r>
        <w:rPr>
          <w:rFonts w:hint="eastAsia" w:ascii="仿宋" w:hAnsi="仿宋" w:eastAsia="仿宋" w:cs="仿宋"/>
          <w:color w:val="000000" w:themeColor="text1"/>
          <w:spacing w:val="-5"/>
          <w:sz w:val="24"/>
          <w:szCs w:val="24"/>
          <w:highlight w:val="none"/>
          <w14:textFill>
            <w14:solidFill>
              <w14:schemeClr w14:val="tx1"/>
            </w14:solidFill>
          </w14:textFill>
        </w:rPr>
        <w:t>同前</w:t>
      </w:r>
      <w:r>
        <w:rPr>
          <w:rFonts w:hint="eastAsia" w:ascii="仿宋" w:hAnsi="仿宋" w:eastAsia="仿宋" w:cs="仿宋"/>
          <w:color w:val="000000" w:themeColor="text1"/>
          <w:spacing w:val="-5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28</w:t>
      </w:r>
      <w:r>
        <w:rPr>
          <w:rFonts w:hint="eastAsia" w:ascii="仿宋" w:hAnsi="仿宋" w:eastAsia="仿宋" w:cs="仿宋"/>
          <w:color w:val="000000" w:themeColor="text1"/>
          <w:spacing w:val="-5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天向监理人提出书面申请。监理人应</w:t>
      </w:r>
      <w:r>
        <w:rPr>
          <w:rFonts w:hint="eastAsia" w:ascii="仿宋" w:hAnsi="仿宋" w:eastAsia="仿宋" w:cs="仿宋"/>
          <w:color w:val="000000" w:themeColor="text1"/>
          <w:spacing w:val="-6"/>
          <w:sz w:val="24"/>
          <w:szCs w:val="24"/>
          <w:highlight w:val="none"/>
          <w14:textFill>
            <w14:solidFill>
              <w14:schemeClr w14:val="tx1"/>
            </w14:solidFill>
          </w14:textFill>
        </w:rPr>
        <w:t>当在收到申请后</w:t>
      </w:r>
      <w:r>
        <w:rPr>
          <w:rFonts w:hint="eastAsia" w:ascii="仿宋" w:hAnsi="仿宋" w:eastAsia="仿宋" w:cs="仿宋"/>
          <w:color w:val="000000" w:themeColor="text1"/>
          <w:spacing w:val="-5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3</w:t>
      </w:r>
      <w:r>
        <w:rPr>
          <w:rFonts w:hint="eastAsia" w:ascii="仿宋" w:hAnsi="仿宋" w:eastAsia="仿宋" w:cs="仿宋"/>
          <w:color w:val="000000" w:themeColor="text1"/>
          <w:spacing w:val="-5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天内报送发包人，</w:t>
      </w:r>
      <w:r>
        <w:rPr>
          <w:rFonts w:hint="eastAsia" w:ascii="仿宋" w:hAnsi="仿宋" w:eastAsia="仿宋" w:cs="仿宋"/>
          <w:color w:val="000000" w:themeColor="text1"/>
          <w:spacing w:val="-2"/>
          <w:sz w:val="24"/>
          <w:szCs w:val="24"/>
          <w:highlight w:val="none"/>
          <w14:textFill>
            <w14:solidFill>
              <w14:schemeClr w14:val="tx1"/>
            </w14:solidFill>
          </w14:textFill>
        </w:rPr>
        <w:t>发包人应当在收到申请后</w:t>
      </w:r>
      <w:r>
        <w:rPr>
          <w:rFonts w:hint="eastAsia" w:ascii="仿宋" w:hAnsi="仿宋" w:eastAsia="仿宋" w:cs="仿宋"/>
          <w:color w:val="000000" w:themeColor="text1"/>
          <w:spacing w:val="-3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14</w:t>
      </w:r>
      <w:r>
        <w:rPr>
          <w:rFonts w:hint="eastAsia" w:ascii="仿宋" w:hAnsi="仿宋" w:eastAsia="仿宋" w:cs="仿宋"/>
          <w:color w:val="000000" w:themeColor="text1"/>
          <w:spacing w:val="-5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天内给予批准或提出修改意见，发包人逾期未予批</w:t>
      </w:r>
      <w:r>
        <w:rPr>
          <w:rFonts w:hint="eastAsia" w:ascii="仿宋" w:hAnsi="仿宋" w:eastAsia="仿宋" w:cs="仿宋"/>
          <w:color w:val="000000" w:themeColor="text1"/>
          <w:spacing w:val="-3"/>
          <w:sz w:val="24"/>
          <w:szCs w:val="24"/>
          <w:highlight w:val="none"/>
          <w14:textFill>
            <w14:solidFill>
              <w14:schemeClr w14:val="tx1"/>
            </w14:solidFill>
          </w14:textFill>
        </w:rPr>
        <w:t>准或提出修改意见的，视为该书面申请已获得同意；</w:t>
      </w:r>
    </w:p>
    <w:p w14:paraId="7C37A151">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（2）发包人认为承包人确定的供应商、分包人无法满足工程质量或合</w:t>
      </w:r>
      <w:r>
        <w:rPr>
          <w:rFonts w:hint="eastAsia" w:ascii="仿宋" w:hAnsi="仿宋" w:eastAsia="仿宋" w:cs="仿宋"/>
          <w:color w:val="000000" w:themeColor="text1"/>
          <w:spacing w:val="-2"/>
          <w:sz w:val="24"/>
          <w:szCs w:val="24"/>
          <w:highlight w:val="none"/>
          <w14:textFill>
            <w14:solidFill>
              <w14:schemeClr w14:val="tx1"/>
            </w14:solidFill>
          </w14:textFill>
        </w:rPr>
        <w:t>同要</w:t>
      </w:r>
      <w:r>
        <w:rPr>
          <w:rFonts w:hint="eastAsia" w:ascii="仿宋" w:hAnsi="仿宋" w:eastAsia="仿宋" w:cs="仿宋"/>
          <w:color w:val="000000" w:themeColor="text1"/>
          <w:spacing w:val="-1"/>
          <w:sz w:val="24"/>
          <w:szCs w:val="24"/>
          <w:highlight w:val="none"/>
          <w14:textFill>
            <w14:solidFill>
              <w14:schemeClr w14:val="tx1"/>
            </w14:solidFill>
          </w14:textFill>
        </w:rPr>
        <w:t>求的，发包人可以要求承包人重新确定暂估价项目的供应商、分包人</w:t>
      </w:r>
      <w:r>
        <w:rPr>
          <w:rFonts w:hint="eastAsia" w:ascii="仿宋" w:hAnsi="仿宋" w:eastAsia="仿宋" w:cs="仿宋"/>
          <w:color w:val="000000" w:themeColor="text1"/>
          <w:spacing w:val="-6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01246695">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（3）承包人应当在签订暂估价合同后</w:t>
      </w:r>
      <w:r>
        <w:rPr>
          <w:rFonts w:hint="eastAsia" w:ascii="仿宋" w:hAnsi="仿宋" w:eastAsia="仿宋" w:cs="仿宋"/>
          <w:color w:val="000000" w:themeColor="text1"/>
          <w:spacing w:val="-3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7</w:t>
      </w:r>
      <w:r>
        <w:rPr>
          <w:rFonts w:hint="eastAsia" w:ascii="仿宋" w:hAnsi="仿宋" w:eastAsia="仿宋" w:cs="仿宋"/>
          <w:color w:val="000000" w:themeColor="text1"/>
          <w:spacing w:val="-5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天内，将暂估价合同副本报送发包</w:t>
      </w:r>
      <w:r>
        <w:rPr>
          <w:rFonts w:hint="eastAsia" w:ascii="仿宋" w:hAnsi="仿宋" w:eastAsia="仿宋" w:cs="仿宋"/>
          <w:color w:val="000000" w:themeColor="text1"/>
          <w:spacing w:val="-10"/>
          <w:sz w:val="24"/>
          <w:szCs w:val="24"/>
          <w:highlight w:val="none"/>
          <w14:textFill>
            <w14:solidFill>
              <w14:schemeClr w14:val="tx1"/>
            </w14:solidFill>
          </w14:textFill>
        </w:rPr>
        <w:t>人留存。</w:t>
      </w:r>
    </w:p>
    <w:p w14:paraId="7F26B94C">
      <w:pPr>
        <w:keepNext w:val="0"/>
        <w:keepLines w:val="0"/>
        <w:pageBreakBefore w:val="0"/>
        <w:widowControl w:val="0"/>
        <w:kinsoku/>
        <w:wordWrap/>
        <w:overflowPunct/>
        <w:topLinePunct w:val="0"/>
        <w:autoSpaceDE/>
        <w:autoSpaceDN/>
        <w:bidi w:val="0"/>
        <w:snapToGrid/>
        <w:spacing w:line="360" w:lineRule="auto"/>
        <w:ind w:left="0" w:leftChars="0" w:right="0" w:rightChars="0" w:firstLine="53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第</w:t>
      </w:r>
      <w:r>
        <w:rPr>
          <w:rFonts w:hint="eastAsia" w:ascii="仿宋" w:hAnsi="仿宋" w:eastAsia="仿宋" w:cs="仿宋"/>
          <w:color w:val="000000" w:themeColor="text1"/>
          <w:spacing w:val="-5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2</w:t>
      </w:r>
      <w:r>
        <w:rPr>
          <w:rFonts w:hint="eastAsia" w:ascii="仿宋" w:hAnsi="仿宋" w:eastAsia="仿宋" w:cs="仿宋"/>
          <w:color w:val="000000" w:themeColor="text1"/>
          <w:spacing w:val="-5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种方式：承包人按照第</w:t>
      </w:r>
      <w:r>
        <w:rPr>
          <w:rFonts w:hint="eastAsia" w:ascii="仿宋" w:hAnsi="仿宋" w:eastAsia="仿宋" w:cs="仿宋"/>
          <w:color w:val="000000" w:themeColor="text1"/>
          <w:spacing w:val="-4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10.7.1</w:t>
      </w:r>
      <w:r>
        <w:rPr>
          <w:rFonts w:hint="eastAsia" w:ascii="仿宋" w:hAnsi="仿宋" w:eastAsia="仿宋" w:cs="仿宋"/>
          <w:color w:val="000000" w:themeColor="text1"/>
          <w:spacing w:val="-5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项〔依</w:t>
      </w:r>
      <w:r>
        <w:rPr>
          <w:rFonts w:hint="eastAsia" w:ascii="仿宋" w:hAnsi="仿宋" w:eastAsia="仿宋" w:cs="仿宋"/>
          <w:color w:val="000000" w:themeColor="text1"/>
          <w:spacing w:val="-3"/>
          <w:sz w:val="24"/>
          <w:szCs w:val="24"/>
          <w:highlight w:val="none"/>
          <w14:textFill>
            <w14:solidFill>
              <w14:schemeClr w14:val="tx1"/>
            </w14:solidFill>
          </w14:textFill>
        </w:rPr>
        <w:t>法必须招标的暂估价项目〕约定</w:t>
      </w:r>
      <w:r>
        <w:rPr>
          <w:rFonts w:hint="eastAsia" w:ascii="仿宋" w:hAnsi="仿宋" w:eastAsia="仿宋" w:cs="仿宋"/>
          <w:color w:val="000000" w:themeColor="text1"/>
          <w:spacing w:val="-7"/>
          <w:sz w:val="24"/>
          <w:szCs w:val="24"/>
          <w:highlight w:val="none"/>
          <w14:textFill>
            <w14:solidFill>
              <w14:schemeClr w14:val="tx1"/>
            </w14:solidFill>
          </w14:textFill>
        </w:rPr>
        <w:t>的第</w:t>
      </w:r>
      <w:r>
        <w:rPr>
          <w:rFonts w:hint="eastAsia" w:ascii="仿宋" w:hAnsi="仿宋" w:eastAsia="仿宋" w:cs="仿宋"/>
          <w:color w:val="000000" w:themeColor="text1"/>
          <w:spacing w:val="-3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14:textFill>
            <w14:solidFill>
              <w14:schemeClr w14:val="tx1"/>
            </w14:solidFill>
          </w14:textFill>
        </w:rPr>
        <w:t>1</w:t>
      </w:r>
      <w:r>
        <w:rPr>
          <w:rFonts w:hint="eastAsia" w:ascii="仿宋" w:hAnsi="仿宋" w:eastAsia="仿宋" w:cs="仿宋"/>
          <w:color w:val="000000" w:themeColor="text1"/>
          <w:spacing w:val="-5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14:textFill>
            <w14:solidFill>
              <w14:schemeClr w14:val="tx1"/>
            </w14:solidFill>
          </w14:textFill>
        </w:rPr>
        <w:t>种方式确定暂估价项目。</w:t>
      </w:r>
    </w:p>
    <w:p w14:paraId="54A770F5">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第</w:t>
      </w:r>
      <w:r>
        <w:rPr>
          <w:rFonts w:hint="eastAsia" w:ascii="仿宋" w:hAnsi="仿宋" w:eastAsia="仿宋" w:cs="仿宋"/>
          <w:color w:val="000000" w:themeColor="text1"/>
          <w:spacing w:val="-5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3</w:t>
      </w:r>
      <w:r>
        <w:rPr>
          <w:rFonts w:hint="eastAsia" w:ascii="仿宋" w:hAnsi="仿宋" w:eastAsia="仿宋" w:cs="仿宋"/>
          <w:color w:val="000000" w:themeColor="text1"/>
          <w:spacing w:val="-5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种方式：承包人直接实施的暂估价项目</w:t>
      </w:r>
    </w:p>
    <w:p w14:paraId="4758C2D1">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承包人具备实施暂估价项目的资格和条件的，经发包人和承包人协商一致</w:t>
      </w:r>
      <w:r>
        <w:rPr>
          <w:rFonts w:hint="eastAsia" w:ascii="仿宋" w:hAnsi="仿宋" w:eastAsia="仿宋" w:cs="仿宋"/>
          <w:color w:val="000000" w:themeColor="text1"/>
          <w:spacing w:val="-2"/>
          <w:sz w:val="24"/>
          <w:szCs w:val="24"/>
          <w:highlight w:val="none"/>
          <w14:textFill>
            <w14:solidFill>
              <w14:schemeClr w14:val="tx1"/>
            </w14:solidFill>
          </w14:textFill>
        </w:rPr>
        <w:t>后，可由承包人自行实施暂估价项目，合同当事人可以在专用合同条款约定具体</w:t>
      </w:r>
      <w:r>
        <w:rPr>
          <w:rFonts w:hint="eastAsia" w:ascii="仿宋" w:hAnsi="仿宋" w:eastAsia="仿宋" w:cs="仿宋"/>
          <w:color w:val="000000" w:themeColor="text1"/>
          <w:spacing w:val="-12"/>
          <w:sz w:val="24"/>
          <w:szCs w:val="24"/>
          <w:highlight w:val="none"/>
          <w14:textFill>
            <w14:solidFill>
              <w14:schemeClr w14:val="tx1"/>
            </w14:solidFill>
          </w14:textFill>
        </w:rPr>
        <w:t>事项。</w:t>
      </w:r>
    </w:p>
    <w:p w14:paraId="76894FB3">
      <w:pPr>
        <w:keepNext w:val="0"/>
        <w:keepLines w:val="0"/>
        <w:pageBreakBefore w:val="0"/>
        <w:widowControl w:val="0"/>
        <w:kinsoku/>
        <w:wordWrap/>
        <w:overflowPunct/>
        <w:topLinePunct w:val="0"/>
        <w:autoSpaceDE/>
        <w:autoSpaceDN/>
        <w:bidi w:val="0"/>
        <w:snapToGrid/>
        <w:spacing w:line="360" w:lineRule="auto"/>
        <w:ind w:left="0" w:leftChars="0" w:right="0" w:rightChars="0" w:firstLine="5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10.7.3 因发包人原因导致暂估价合同订立和履行迟延的，由此增加的费用</w:t>
      </w:r>
      <w:r>
        <w:rPr>
          <w:rFonts w:hint="eastAsia" w:ascii="仿宋" w:hAnsi="仿宋" w:eastAsia="仿宋" w:cs="仿宋"/>
          <w:color w:val="000000" w:themeColor="text1"/>
          <w:spacing w:val="-2"/>
          <w:sz w:val="24"/>
          <w:szCs w:val="24"/>
          <w:highlight w:val="none"/>
          <w14:textFill>
            <w14:solidFill>
              <w14:schemeClr w14:val="tx1"/>
            </w14:solidFill>
          </w14:textFill>
        </w:rPr>
        <w:t>和（或）延误的工期由发包人承担，并支付承包人合理的利润。因承包人原因导致暂估价合同订立和履行迟延的，由此增加的费用和（或）延误的工期由承包人</w:t>
      </w:r>
      <w:r>
        <w:rPr>
          <w:rFonts w:hint="eastAsia" w:ascii="仿宋" w:hAnsi="仿宋" w:eastAsia="仿宋" w:cs="仿宋"/>
          <w:color w:val="000000" w:themeColor="text1"/>
          <w:spacing w:val="-12"/>
          <w:sz w:val="24"/>
          <w:szCs w:val="24"/>
          <w:highlight w:val="none"/>
          <w14:textFill>
            <w14:solidFill>
              <w14:schemeClr w14:val="tx1"/>
            </w14:solidFill>
          </w14:textFill>
        </w:rPr>
        <w:t>承担。</w:t>
      </w:r>
    </w:p>
    <w:p w14:paraId="445A2D8E">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10.8</w:t>
      </w:r>
      <w:r>
        <w:rPr>
          <w:rFonts w:hint="eastAsia" w:ascii="仿宋" w:hAnsi="仿宋" w:eastAsia="仿宋" w:cs="仿宋"/>
          <w:color w:val="000000" w:themeColor="text1"/>
          <w:spacing w:val="-5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暂列金额</w:t>
      </w:r>
    </w:p>
    <w:p w14:paraId="01E1820D">
      <w:pPr>
        <w:keepNext w:val="0"/>
        <w:keepLines w:val="0"/>
        <w:pageBreakBefore w:val="0"/>
        <w:widowControl w:val="0"/>
        <w:kinsoku/>
        <w:wordWrap/>
        <w:overflowPunct/>
        <w:topLinePunct w:val="0"/>
        <w:autoSpaceDE/>
        <w:autoSpaceDN/>
        <w:bidi w:val="0"/>
        <w:snapToGrid/>
        <w:spacing w:line="360" w:lineRule="auto"/>
        <w:ind w:left="0" w:leftChars="0" w:right="0" w:rightChars="0" w:firstLine="5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暂列金额应按照发包人的要求使用，发包人的要</w:t>
      </w:r>
      <w:r>
        <w:rPr>
          <w:rFonts w:hint="eastAsia" w:ascii="仿宋" w:hAnsi="仿宋" w:eastAsia="仿宋" w:cs="仿宋"/>
          <w:color w:val="000000" w:themeColor="text1"/>
          <w:spacing w:val="-3"/>
          <w:sz w:val="24"/>
          <w:szCs w:val="24"/>
          <w:highlight w:val="none"/>
          <w14:textFill>
            <w14:solidFill>
              <w14:schemeClr w14:val="tx1"/>
            </w14:solidFill>
          </w14:textFill>
        </w:rPr>
        <w:t>求应通过监理人发出。合同当事人可以在专用合同条款中协商确定有关事项。</w:t>
      </w:r>
    </w:p>
    <w:p w14:paraId="1C227DCC">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10.9</w:t>
      </w:r>
      <w:r>
        <w:rPr>
          <w:rFonts w:hint="eastAsia" w:ascii="仿宋" w:hAnsi="仿宋" w:eastAsia="仿宋" w:cs="仿宋"/>
          <w:color w:val="000000" w:themeColor="text1"/>
          <w:spacing w:val="-6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计日工</w:t>
      </w:r>
    </w:p>
    <w:p w14:paraId="6BCB26A6">
      <w:pPr>
        <w:keepNext w:val="0"/>
        <w:keepLines w:val="0"/>
        <w:pageBreakBefore w:val="0"/>
        <w:widowControl w:val="0"/>
        <w:kinsoku/>
        <w:wordWrap/>
        <w:overflowPunct/>
        <w:topLinePunct w:val="0"/>
        <w:autoSpaceDE/>
        <w:autoSpaceDN/>
        <w:bidi w:val="0"/>
        <w:snapToGrid/>
        <w:spacing w:line="360" w:lineRule="auto"/>
        <w:ind w:left="0" w:leftChars="0" w:right="0" w:rightChars="0" w:firstLine="5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采用计日工计价的任何一项工作，承包人应在该项工作实施过程中，每天提交以下报表和有关凭证报送监理人审查：</w:t>
      </w:r>
    </w:p>
    <w:p w14:paraId="06921809">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（1）工作名称、内容和数量；</w:t>
      </w:r>
    </w:p>
    <w:p w14:paraId="4DD625B1">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（2）投入该工作的所有人员的姓名、专业、工种、级别和耗用工时；</w:t>
      </w:r>
    </w:p>
    <w:p w14:paraId="2223EB74">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（3）投入该工作的材料类别和数量；</w:t>
      </w:r>
    </w:p>
    <w:p w14:paraId="38EF40BA">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（4）投入该工作的施工设备型号、台数和耗用台时；</w:t>
      </w:r>
    </w:p>
    <w:p w14:paraId="327ACA2F">
      <w:pPr>
        <w:keepNext w:val="0"/>
        <w:keepLines w:val="0"/>
        <w:pageBreakBefore w:val="0"/>
        <w:widowControl w:val="0"/>
        <w:kinsoku/>
        <w:wordWrap/>
        <w:overflowPunct/>
        <w:topLinePunct w:val="0"/>
        <w:autoSpaceDE/>
        <w:autoSpaceDN/>
        <w:bidi w:val="0"/>
        <w:snapToGrid/>
        <w:spacing w:line="360" w:lineRule="auto"/>
        <w:ind w:left="0" w:leftChars="0" w:right="0" w:rightChars="0" w:firstLine="464"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（5）其他有关资料和凭证。</w:t>
      </w:r>
    </w:p>
    <w:p w14:paraId="0FA0CAF2">
      <w:pPr>
        <w:keepNext w:val="0"/>
        <w:keepLines w:val="0"/>
        <w:pageBreakBefore w:val="0"/>
        <w:widowControl w:val="0"/>
        <w:kinsoku/>
        <w:wordWrap/>
        <w:overflowPunct/>
        <w:topLinePunct w:val="0"/>
        <w:autoSpaceDE/>
        <w:autoSpaceDN/>
        <w:bidi w:val="0"/>
        <w:snapToGrid/>
        <w:spacing w:line="360" w:lineRule="auto"/>
        <w:ind w:left="0" w:leftChars="0" w:right="0" w:rightChars="0" w:firstLine="5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计日工由承包人汇总后，列入最近一期进度付款申请单，由监理人审</w:t>
      </w:r>
      <w:r>
        <w:rPr>
          <w:rFonts w:hint="eastAsia" w:ascii="仿宋" w:hAnsi="仿宋" w:eastAsia="仿宋" w:cs="仿宋"/>
          <w:color w:val="000000" w:themeColor="text1"/>
          <w:spacing w:val="-3"/>
          <w:sz w:val="24"/>
          <w:szCs w:val="24"/>
          <w:highlight w:val="none"/>
          <w14:textFill>
            <w14:solidFill>
              <w14:schemeClr w14:val="tx1"/>
            </w14:solidFill>
          </w14:textFill>
        </w:rPr>
        <w:t>查并经</w:t>
      </w:r>
      <w:r>
        <w:rPr>
          <w:rFonts w:hint="eastAsia" w:ascii="仿宋" w:hAnsi="仿宋" w:eastAsia="仿宋" w:cs="仿宋"/>
          <w:color w:val="000000" w:themeColor="text1"/>
          <w:spacing w:val="-2"/>
          <w:sz w:val="24"/>
          <w:szCs w:val="24"/>
          <w:highlight w:val="none"/>
          <w14:textFill>
            <w14:solidFill>
              <w14:schemeClr w14:val="tx1"/>
            </w14:solidFill>
          </w14:textFill>
        </w:rPr>
        <w:t>发包人批准后列入进度付款。</w:t>
      </w:r>
    </w:p>
    <w:p w14:paraId="0533C780">
      <w:pPr>
        <w:keepNext w:val="0"/>
        <w:keepLines w:val="0"/>
        <w:pageBreakBefore w:val="0"/>
        <w:widowControl w:val="0"/>
        <w:kinsoku/>
        <w:wordWrap/>
        <w:overflowPunct/>
        <w:topLinePunct w:val="0"/>
        <w:autoSpaceDE/>
        <w:autoSpaceDN/>
        <w:bidi w:val="0"/>
        <w:snapToGrid/>
        <w:spacing w:line="360" w:lineRule="auto"/>
        <w:ind w:left="0" w:leftChars="0" w:right="0" w:rightChars="0"/>
        <w:outlineLvl w:val="2"/>
        <w:rPr>
          <w:rFonts w:hint="eastAsia" w:ascii="仿宋" w:hAnsi="仿宋" w:eastAsia="仿宋" w:cs="仿宋"/>
          <w:color w:val="000000" w:themeColor="text1"/>
          <w:sz w:val="24"/>
          <w:szCs w:val="24"/>
          <w:highlight w:val="none"/>
          <w14:textFill>
            <w14:solidFill>
              <w14:schemeClr w14:val="tx1"/>
            </w14:solidFill>
          </w14:textFill>
        </w:rPr>
      </w:pPr>
      <w:bookmarkStart w:id="108" w:name="bookmark125"/>
      <w:bookmarkEnd w:id="108"/>
      <w:bookmarkStart w:id="109" w:name="_Toc8269"/>
      <w:r>
        <w:rPr>
          <w:rFonts w:hint="eastAsia" w:ascii="仿宋" w:hAnsi="仿宋" w:eastAsia="仿宋" w:cs="仿宋"/>
          <w:color w:val="000000" w:themeColor="text1"/>
          <w:spacing w:val="-6"/>
          <w:sz w:val="24"/>
          <w:szCs w:val="24"/>
          <w:highlight w:val="none"/>
          <w14:textFill>
            <w14:solidFill>
              <w14:schemeClr w14:val="tx1"/>
            </w14:solidFill>
          </w14:textFill>
        </w:rPr>
        <w:t>11.</w:t>
      </w:r>
      <w:r>
        <w:rPr>
          <w:rFonts w:hint="eastAsia" w:ascii="仿宋" w:hAnsi="仿宋" w:eastAsia="仿宋" w:cs="仿宋"/>
          <w:color w:val="000000" w:themeColor="text1"/>
          <w:spacing w:val="1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价格调整</w:t>
      </w:r>
      <w:bookmarkEnd w:id="109"/>
    </w:p>
    <w:p w14:paraId="0C3F0776">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11.1</w:t>
      </w:r>
      <w:r>
        <w:rPr>
          <w:rFonts w:hint="eastAsia" w:ascii="仿宋" w:hAnsi="仿宋" w:eastAsia="仿宋" w:cs="仿宋"/>
          <w:color w:val="000000" w:themeColor="text1"/>
          <w:spacing w:val="-3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市场价格波动引起的调整</w:t>
      </w:r>
    </w:p>
    <w:p w14:paraId="664813BE">
      <w:pPr>
        <w:keepNext w:val="0"/>
        <w:keepLines w:val="0"/>
        <w:pageBreakBefore w:val="0"/>
        <w:widowControl w:val="0"/>
        <w:kinsoku/>
        <w:wordWrap/>
        <w:overflowPunct/>
        <w:topLinePunct w:val="0"/>
        <w:autoSpaceDE/>
        <w:autoSpaceDN/>
        <w:bidi w:val="0"/>
        <w:snapToGrid/>
        <w:spacing w:line="360" w:lineRule="auto"/>
        <w:ind w:left="0" w:leftChars="0" w:right="0" w:rightChars="0" w:firstLine="54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除专用合同条款另有约定外，市场价格波动超过合同当事人约定的范围，合同价格应当调整。合同当事人可以在专用合同条款中约定选择以下一种方式对合</w:t>
      </w:r>
      <w:r>
        <w:rPr>
          <w:rFonts w:hint="eastAsia" w:ascii="仿宋" w:hAnsi="仿宋" w:eastAsia="仿宋" w:cs="仿宋"/>
          <w:color w:val="000000" w:themeColor="text1"/>
          <w:spacing w:val="-5"/>
          <w:sz w:val="24"/>
          <w:szCs w:val="24"/>
          <w:highlight w:val="none"/>
          <w14:textFill>
            <w14:solidFill>
              <w14:schemeClr w14:val="tx1"/>
            </w14:solidFill>
          </w14:textFill>
        </w:rPr>
        <w:t>同价格进行调整：</w:t>
      </w:r>
    </w:p>
    <w:p w14:paraId="30CC6C31">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第</w:t>
      </w:r>
      <w:r>
        <w:rPr>
          <w:rFonts w:hint="eastAsia" w:ascii="仿宋" w:hAnsi="仿宋" w:eastAsia="仿宋" w:cs="仿宋"/>
          <w:color w:val="000000" w:themeColor="text1"/>
          <w:spacing w:val="-2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1</w:t>
      </w:r>
      <w:r>
        <w:rPr>
          <w:rFonts w:hint="eastAsia" w:ascii="仿宋" w:hAnsi="仿宋" w:eastAsia="仿宋" w:cs="仿宋"/>
          <w:color w:val="000000" w:themeColor="text1"/>
          <w:spacing w:val="-5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种方式：采用价格指数进行价格调整。</w:t>
      </w:r>
    </w:p>
    <w:p w14:paraId="7A24F21C">
      <w:pPr>
        <w:tabs>
          <w:tab w:val="left" w:pos="0"/>
          <w:tab w:val="left" w:pos="360"/>
          <w:tab w:val="left" w:pos="540"/>
        </w:tabs>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（1）价格调整公式</w:t>
      </w:r>
    </w:p>
    <w:p w14:paraId="71AC9CE8">
      <w:pPr>
        <w:tabs>
          <w:tab w:val="left" w:pos="0"/>
          <w:tab w:val="left" w:pos="360"/>
          <w:tab w:val="left" w:pos="540"/>
        </w:tabs>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因人工、材料和设备等价格波动影响合同价格时，根据专用合同条款中约定的数据，按以下公式计算差额并调整合同价格：</w:t>
      </w:r>
    </w:p>
    <w:p w14:paraId="51DC5810">
      <w:pPr>
        <w:tabs>
          <w:tab w:val="left" w:pos="0"/>
          <w:tab w:val="left" w:pos="360"/>
          <w:tab w:val="left" w:pos="540"/>
        </w:tabs>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position w:val="-30"/>
          <w:sz w:val="24"/>
          <w:szCs w:val="24"/>
          <w:highlight w:val="none"/>
          <w14:textFill>
            <w14:solidFill>
              <w14:schemeClr w14:val="tx1"/>
            </w14:solidFill>
          </w14:textFill>
        </w:rPr>
        <w:object>
          <v:shape id="_x0000_i1025" o:spt="75" type="#_x0000_t75" style="height:43.9pt;width:359.85pt;" o:ole="t" filled="f" stroked="f" coordsize="21600,21600">
            <v:path/>
            <v:fill on="f" focussize="0,0"/>
            <v:stroke on="f"/>
            <v:imagedata r:id="rId42" o:title=""/>
            <o:lock v:ext="edit" grouping="f" rotation="f" text="f" aspectratio="t"/>
            <w10:wrap type="none"/>
            <w10:anchorlock/>
          </v:shape>
          <o:OLEObject Type="Embed" ProgID="Equation.KSEE3" ShapeID="_x0000_i1025" DrawAspect="Content" ObjectID="_1468075725" r:id="rId41">
            <o:LockedField>false</o:LockedField>
          </o:OLEObject>
        </w:object>
      </w:r>
    </w:p>
    <w:p w14:paraId="43379BAB">
      <w:pPr>
        <w:tabs>
          <w:tab w:val="left" w:pos="0"/>
          <w:tab w:val="left" w:pos="360"/>
          <w:tab w:val="left" w:pos="540"/>
        </w:tabs>
        <w:spacing w:line="360" w:lineRule="auto"/>
        <w:ind w:firstLine="6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公式中：ΔP——需调整的价格差额；</w:t>
      </w:r>
    </w:p>
    <w:p w14:paraId="00964BA7">
      <w:pPr>
        <w:tabs>
          <w:tab w:val="left" w:pos="0"/>
          <w:tab w:val="left" w:pos="360"/>
          <w:tab w:val="left" w:pos="540"/>
        </w:tabs>
        <w:spacing w:line="360" w:lineRule="auto"/>
        <w:ind w:firstLine="1440" w:firstLineChars="6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position w:val="-6"/>
          <w:sz w:val="24"/>
          <w:szCs w:val="24"/>
          <w:highlight w:val="none"/>
          <w14:textFill>
            <w14:solidFill>
              <w14:schemeClr w14:val="tx1"/>
            </w14:solidFill>
          </w14:textFill>
        </w:rPr>
        <w:object>
          <v:shape id="_x0000_i1026" o:spt="75" type="#_x0000_t75" style="height:17.95pt;width:17.95pt;" o:ole="t" filled="f" stroked="f" coordsize="21600,21600">
            <v:path/>
            <v:fill on="f" focussize="0,0"/>
            <v:stroke on="f"/>
            <v:imagedata r:id="rId44" o:title=""/>
            <o:lock v:ext="edit" grouping="f" rotation="f" text="f" aspectratio="t"/>
            <w10:wrap type="none"/>
            <w10:anchorlock/>
          </v:shape>
          <o:OLEObject Type="Embed" ProgID="Equation.KSEE3" ShapeID="_x0000_i1026" DrawAspect="Content" ObjectID="_1468075726" r:id="rId43">
            <o:LockedField>false</o:LockedField>
          </o:OLEObject>
        </w:object>
      </w:r>
      <w:r>
        <w:rPr>
          <w:rFonts w:hint="eastAsia" w:ascii="仿宋" w:hAnsi="仿宋" w:eastAsia="仿宋" w:cs="仿宋"/>
          <w:color w:val="000000" w:themeColor="text1"/>
          <w:sz w:val="24"/>
          <w:szCs w:val="24"/>
          <w:highlight w:val="none"/>
          <w14:textFill>
            <w14:solidFill>
              <w14:schemeClr w14:val="tx1"/>
            </w14:solidFill>
          </w14:textFill>
        </w:rPr>
        <w:t>——约定的付款证书中承包人应得到的已完成工程量的金额。此项金额应不包括价格调整、不计质量保证金的扣留和支付、预付款的支付和扣回。约定的变更及其他金额已按现行价格计价的，也不计在内；</w:t>
      </w:r>
    </w:p>
    <w:p w14:paraId="39122AD3">
      <w:pPr>
        <w:tabs>
          <w:tab w:val="left" w:pos="0"/>
          <w:tab w:val="left" w:pos="360"/>
          <w:tab w:val="left" w:pos="540"/>
        </w:tabs>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A——定值权重（即不调部分的权重）；</w:t>
      </w:r>
    </w:p>
    <w:p w14:paraId="54D58200">
      <w:pPr>
        <w:tabs>
          <w:tab w:val="left" w:pos="0"/>
          <w:tab w:val="left" w:pos="360"/>
          <w:tab w:val="left" w:pos="540"/>
        </w:tabs>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position w:val="-10"/>
          <w:sz w:val="24"/>
          <w:szCs w:val="24"/>
          <w:highlight w:val="none"/>
          <w14:textFill>
            <w14:solidFill>
              <w14:schemeClr w14:val="tx1"/>
            </w14:solidFill>
          </w14:textFill>
        </w:rPr>
        <w:object>
          <v:shape id="_x0000_i1027" o:spt="75" type="#_x0000_t75" style="height:21.05pt;width:101pt;" o:ole="t" filled="f" stroked="f" coordsize="21600,21600">
            <v:path/>
            <v:fill on="f" focussize="0,0"/>
            <v:stroke on="f"/>
            <v:imagedata r:id="rId46" o:title=""/>
            <o:lock v:ext="edit" grouping="f" rotation="f" text="f" aspectratio="t"/>
            <w10:wrap type="none"/>
            <w10:anchorlock/>
          </v:shape>
          <o:OLEObject Type="Embed" ProgID="Equation.KSEE3" ShapeID="_x0000_i1027" DrawAspect="Content" ObjectID="_1468075727" r:id="rId45">
            <o:LockedField>false</o:LockedField>
          </o:OLEObject>
        </w:object>
      </w:r>
      <w:r>
        <w:rPr>
          <w:rFonts w:hint="eastAsia" w:ascii="仿宋" w:hAnsi="仿宋" w:eastAsia="仿宋" w:cs="仿宋"/>
          <w:color w:val="000000" w:themeColor="text1"/>
          <w:sz w:val="24"/>
          <w:szCs w:val="24"/>
          <w:highlight w:val="none"/>
          <w14:textFill>
            <w14:solidFill>
              <w14:schemeClr w14:val="tx1"/>
            </w14:solidFill>
          </w14:textFill>
        </w:rPr>
        <w:t>——各可调因子的变值权重（即可调部分的权重），为各可调因子在签约合同价中所占的比例；</w:t>
      </w:r>
    </w:p>
    <w:p w14:paraId="3EADBE57">
      <w:pPr>
        <w:tabs>
          <w:tab w:val="left" w:pos="0"/>
          <w:tab w:val="left" w:pos="360"/>
          <w:tab w:val="left" w:pos="540"/>
        </w:tabs>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position w:val="-10"/>
          <w:sz w:val="24"/>
          <w:szCs w:val="24"/>
          <w:highlight w:val="none"/>
          <w14:textFill>
            <w14:solidFill>
              <w14:schemeClr w14:val="tx1"/>
            </w14:solidFill>
          </w14:textFill>
        </w:rPr>
        <w:object>
          <v:shape id="_x0000_i1028" o:spt="75" type="#_x0000_t75" style="height:20.6pt;width:102.05pt;" o:ole="t" filled="f" stroked="f" coordsize="21600,21600">
            <v:path/>
            <v:fill on="f" focussize="0,0"/>
            <v:stroke on="f"/>
            <v:imagedata r:id="rId48" o:title=""/>
            <o:lock v:ext="edit" grouping="f" rotation="f" text="f" aspectratio="t"/>
            <w10:wrap type="none"/>
            <w10:anchorlock/>
          </v:shape>
          <o:OLEObject Type="Embed" ProgID="Equation.KSEE3" ShapeID="_x0000_i1028" DrawAspect="Content" ObjectID="_1468075728" r:id="rId47">
            <o:LockedField>false</o:LockedField>
          </o:OLEObject>
        </w:object>
      </w:r>
      <w:r>
        <w:rPr>
          <w:rFonts w:hint="eastAsia" w:ascii="仿宋" w:hAnsi="仿宋" w:eastAsia="仿宋" w:cs="仿宋"/>
          <w:color w:val="000000" w:themeColor="text1"/>
          <w:sz w:val="24"/>
          <w:szCs w:val="24"/>
          <w:highlight w:val="none"/>
          <w14:textFill>
            <w14:solidFill>
              <w14:schemeClr w14:val="tx1"/>
            </w14:solidFill>
          </w14:textFill>
        </w:rPr>
        <w:t>——各可调因子的现行价格指数，指约定的付款证书相关周期最后一天的前42天的各可调因子的价格指数；</w:t>
      </w:r>
    </w:p>
    <w:p w14:paraId="5F73098C">
      <w:pPr>
        <w:tabs>
          <w:tab w:val="left" w:pos="0"/>
          <w:tab w:val="left" w:pos="360"/>
          <w:tab w:val="left" w:pos="540"/>
        </w:tabs>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position w:val="-10"/>
          <w:sz w:val="24"/>
          <w:szCs w:val="24"/>
          <w:highlight w:val="none"/>
          <w14:textFill>
            <w14:solidFill>
              <w14:schemeClr w14:val="tx1"/>
            </w14:solidFill>
          </w14:textFill>
        </w:rPr>
        <w:object>
          <v:shape id="_x0000_i1029" o:spt="75" type="#_x0000_t75" style="height:20.2pt;width:108pt;" o:ole="t" filled="f" stroked="f" coordsize="21600,21600">
            <v:path/>
            <v:fill on="f" focussize="0,0"/>
            <v:stroke on="f"/>
            <v:imagedata r:id="rId50" o:title=""/>
            <o:lock v:ext="edit" grouping="f" rotation="f" text="f" aspectratio="t"/>
            <w10:wrap type="none"/>
            <w10:anchorlock/>
          </v:shape>
          <o:OLEObject Type="Embed" ProgID="Equation.KSEE3" ShapeID="_x0000_i1029" DrawAspect="Content" ObjectID="_1468075729" r:id="rId49">
            <o:LockedField>false</o:LockedField>
          </o:OLEObject>
        </w:object>
      </w:r>
      <w:r>
        <w:rPr>
          <w:rFonts w:hint="eastAsia" w:ascii="仿宋" w:hAnsi="仿宋" w:eastAsia="仿宋" w:cs="仿宋"/>
          <w:color w:val="000000" w:themeColor="text1"/>
          <w:sz w:val="24"/>
          <w:szCs w:val="24"/>
          <w:highlight w:val="none"/>
          <w14:textFill>
            <w14:solidFill>
              <w14:schemeClr w14:val="tx1"/>
            </w14:solidFill>
          </w14:textFill>
        </w:rPr>
        <w:t>——各可调因子的基本价格指数，指基准日期的各可调因子的价格指数。</w:t>
      </w:r>
    </w:p>
    <w:p w14:paraId="0EE64747">
      <w:pPr>
        <w:keepNext w:val="0"/>
        <w:keepLines w:val="0"/>
        <w:pageBreakBefore w:val="0"/>
        <w:widowControl w:val="0"/>
        <w:kinsoku/>
        <w:wordWrap/>
        <w:overflowPunct/>
        <w:topLinePunct w:val="0"/>
        <w:autoSpaceDE/>
        <w:autoSpaceDN/>
        <w:bidi w:val="0"/>
        <w:snapToGrid/>
        <w:spacing w:line="360" w:lineRule="auto"/>
        <w:ind w:left="0" w:leftChars="0" w:right="0" w:rightChars="0" w:firstLine="59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以上价格调整公式中的各可调因子、定值和变值权重，以及基本价格指</w:t>
      </w:r>
      <w:r>
        <w:rPr>
          <w:rFonts w:hint="eastAsia" w:ascii="仿宋" w:hAnsi="仿宋" w:eastAsia="仿宋" w:cs="仿宋"/>
          <w:color w:val="000000" w:themeColor="text1"/>
          <w:spacing w:val="-4"/>
          <w:sz w:val="24"/>
          <w:szCs w:val="24"/>
          <w:highlight w:val="none"/>
          <w14:textFill>
            <w14:solidFill>
              <w14:schemeClr w14:val="tx1"/>
            </w14:solidFill>
          </w14:textFill>
        </w:rPr>
        <w:t>数及</w:t>
      </w:r>
      <w:r>
        <w:rPr>
          <w:rFonts w:hint="eastAsia" w:ascii="仿宋" w:hAnsi="仿宋" w:eastAsia="仿宋" w:cs="仿宋"/>
          <w:color w:val="000000" w:themeColor="text1"/>
          <w:spacing w:val="-2"/>
          <w:sz w:val="24"/>
          <w:szCs w:val="24"/>
          <w:highlight w:val="none"/>
          <w14:textFill>
            <w14:solidFill>
              <w14:schemeClr w14:val="tx1"/>
            </w14:solidFill>
          </w14:textFill>
        </w:rPr>
        <w:t>其来源在投标函附录价格指数和权重表中约定，非招标订立的合同，由合同当事人在专用合同条款中约定。价格指数应首先采用工程造价管理机构发布的价格指</w:t>
      </w:r>
      <w:r>
        <w:rPr>
          <w:rFonts w:hint="eastAsia" w:ascii="仿宋" w:hAnsi="仿宋" w:eastAsia="仿宋" w:cs="仿宋"/>
          <w:color w:val="000000" w:themeColor="text1"/>
          <w:spacing w:val="-1"/>
          <w:sz w:val="24"/>
          <w:szCs w:val="24"/>
          <w:highlight w:val="none"/>
          <w14:textFill>
            <w14:solidFill>
              <w14:schemeClr w14:val="tx1"/>
            </w14:solidFill>
          </w14:textFill>
        </w:rPr>
        <w:t>数，无前述价格指数时，可采用工程造价管理机构发布的</w:t>
      </w:r>
      <w:r>
        <w:rPr>
          <w:rFonts w:hint="eastAsia" w:ascii="仿宋" w:hAnsi="仿宋" w:eastAsia="仿宋" w:cs="仿宋"/>
          <w:color w:val="000000" w:themeColor="text1"/>
          <w:spacing w:val="-2"/>
          <w:sz w:val="24"/>
          <w:szCs w:val="24"/>
          <w:highlight w:val="none"/>
          <w14:textFill>
            <w14:solidFill>
              <w14:schemeClr w14:val="tx1"/>
            </w14:solidFill>
          </w14:textFill>
        </w:rPr>
        <w:t>价格代替。</w:t>
      </w:r>
    </w:p>
    <w:p w14:paraId="14BCCD4A">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（2）暂时确定调整差额</w:t>
      </w:r>
    </w:p>
    <w:p w14:paraId="35FBA919">
      <w:pPr>
        <w:keepNext w:val="0"/>
        <w:keepLines w:val="0"/>
        <w:pageBreakBefore w:val="0"/>
        <w:widowControl w:val="0"/>
        <w:kinsoku/>
        <w:wordWrap/>
        <w:overflowPunct/>
        <w:topLinePunct w:val="0"/>
        <w:autoSpaceDE/>
        <w:autoSpaceDN/>
        <w:bidi w:val="0"/>
        <w:snapToGrid/>
        <w:spacing w:line="360" w:lineRule="auto"/>
        <w:ind w:left="0" w:leftChars="0" w:right="0" w:rightChars="0" w:firstLine="55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在计算调整差额时无现行价格指数的，合同当事人同意暂用前次价格指</w:t>
      </w:r>
      <w:r>
        <w:rPr>
          <w:rFonts w:hint="eastAsia" w:ascii="仿宋" w:hAnsi="仿宋" w:eastAsia="仿宋" w:cs="仿宋"/>
          <w:color w:val="000000" w:themeColor="text1"/>
          <w:spacing w:val="-3"/>
          <w:sz w:val="24"/>
          <w:szCs w:val="24"/>
          <w:highlight w:val="none"/>
          <w14:textFill>
            <w14:solidFill>
              <w14:schemeClr w14:val="tx1"/>
            </w14:solidFill>
          </w14:textFill>
        </w:rPr>
        <w:t>数计</w:t>
      </w:r>
      <w:r>
        <w:rPr>
          <w:rFonts w:hint="eastAsia" w:ascii="仿宋" w:hAnsi="仿宋" w:eastAsia="仿宋" w:cs="仿宋"/>
          <w:color w:val="000000" w:themeColor="text1"/>
          <w:spacing w:val="-1"/>
          <w:sz w:val="24"/>
          <w:szCs w:val="24"/>
          <w:highlight w:val="none"/>
          <w14:textFill>
            <w14:solidFill>
              <w14:schemeClr w14:val="tx1"/>
            </w14:solidFill>
          </w14:textFill>
        </w:rPr>
        <w:t>算。实际价格指数有调整的，合同当事人进行相应调整。</w:t>
      </w:r>
    </w:p>
    <w:p w14:paraId="1B311AE1">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（3）权重的调整</w:t>
      </w:r>
    </w:p>
    <w:p w14:paraId="7641FFEE">
      <w:pPr>
        <w:keepNext w:val="0"/>
        <w:keepLines w:val="0"/>
        <w:pageBreakBefore w:val="0"/>
        <w:widowControl w:val="0"/>
        <w:kinsoku/>
        <w:wordWrap/>
        <w:overflowPunct/>
        <w:topLinePunct w:val="0"/>
        <w:autoSpaceDE/>
        <w:autoSpaceDN/>
        <w:bidi w:val="0"/>
        <w:snapToGrid/>
        <w:spacing w:line="360" w:lineRule="auto"/>
        <w:ind w:left="0" w:leftChars="0" w:right="0" w:rightChars="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因变更导致合同约定的权重不合理时，按照第</w:t>
      </w:r>
      <w:r>
        <w:rPr>
          <w:rFonts w:hint="eastAsia" w:ascii="仿宋" w:hAnsi="仿宋" w:eastAsia="仿宋" w:cs="仿宋"/>
          <w:color w:val="000000" w:themeColor="text1"/>
          <w:spacing w:val="-4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4</w:t>
      </w:r>
      <w:r>
        <w:rPr>
          <w:rFonts w:hint="eastAsia" w:ascii="仿宋" w:hAnsi="仿宋" w:eastAsia="仿宋" w:cs="仿宋"/>
          <w:color w:val="000000" w:themeColor="text1"/>
          <w:spacing w:val="-4"/>
          <w:sz w:val="24"/>
          <w:szCs w:val="24"/>
          <w:highlight w:val="none"/>
          <w14:textFill>
            <w14:solidFill>
              <w14:schemeClr w14:val="tx1"/>
            </w14:solidFill>
          </w14:textFill>
        </w:rPr>
        <w:t>.4</w:t>
      </w:r>
      <w:r>
        <w:rPr>
          <w:rFonts w:hint="eastAsia" w:ascii="仿宋" w:hAnsi="仿宋" w:eastAsia="仿宋" w:cs="仿宋"/>
          <w:color w:val="000000" w:themeColor="text1"/>
          <w:spacing w:val="-5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款〔商定或确定〕执行。</w:t>
      </w:r>
    </w:p>
    <w:p w14:paraId="027B6697">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（4）因承包人原因工期延误后的价格调整</w:t>
      </w:r>
    </w:p>
    <w:p w14:paraId="7607E656">
      <w:pPr>
        <w:keepNext w:val="0"/>
        <w:keepLines w:val="0"/>
        <w:pageBreakBefore w:val="0"/>
        <w:widowControl w:val="0"/>
        <w:kinsoku/>
        <w:wordWrap/>
        <w:overflowPunct/>
        <w:topLinePunct w:val="0"/>
        <w:autoSpaceDE/>
        <w:autoSpaceDN/>
        <w:bidi w:val="0"/>
        <w:snapToGrid/>
        <w:spacing w:line="360" w:lineRule="auto"/>
        <w:ind w:left="0" w:leftChars="0" w:right="0" w:rightChars="0" w:firstLine="58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因承包人原因未按期竣工的，对合同约定的竣工日期后继续施工的工程，在</w:t>
      </w:r>
      <w:r>
        <w:rPr>
          <w:rFonts w:hint="eastAsia" w:ascii="仿宋" w:hAnsi="仿宋" w:eastAsia="仿宋" w:cs="仿宋"/>
          <w:color w:val="000000" w:themeColor="text1"/>
          <w:spacing w:val="-2"/>
          <w:sz w:val="24"/>
          <w:szCs w:val="24"/>
          <w:highlight w:val="none"/>
          <w14:textFill>
            <w14:solidFill>
              <w14:schemeClr w14:val="tx1"/>
            </w14:solidFill>
          </w14:textFill>
        </w:rPr>
        <w:t>使用价格调整公式时，应采用计划竣工日期与实际竣工日期的两个价格指数中较</w:t>
      </w:r>
      <w:r>
        <w:rPr>
          <w:rFonts w:hint="eastAsia" w:ascii="仿宋" w:hAnsi="仿宋" w:eastAsia="仿宋" w:cs="仿宋"/>
          <w:color w:val="000000" w:themeColor="text1"/>
          <w:spacing w:val="-1"/>
          <w:sz w:val="24"/>
          <w:szCs w:val="24"/>
          <w:highlight w:val="none"/>
          <w14:textFill>
            <w14:solidFill>
              <w14:schemeClr w14:val="tx1"/>
            </w14:solidFill>
          </w14:textFill>
        </w:rPr>
        <w:t>低的一个作为现行价格指数。</w:t>
      </w:r>
    </w:p>
    <w:p w14:paraId="354E1296">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pacing w:val="-4"/>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第</w:t>
      </w:r>
      <w:r>
        <w:rPr>
          <w:rFonts w:hint="eastAsia" w:ascii="仿宋" w:hAnsi="仿宋" w:eastAsia="仿宋" w:cs="仿宋"/>
          <w:color w:val="000000" w:themeColor="text1"/>
          <w:spacing w:val="-4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2</w:t>
      </w:r>
      <w:r>
        <w:rPr>
          <w:rFonts w:hint="eastAsia" w:ascii="仿宋" w:hAnsi="仿宋" w:eastAsia="仿宋" w:cs="仿宋"/>
          <w:color w:val="000000" w:themeColor="text1"/>
          <w:spacing w:val="-5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种方式：采用造价信息进行价格调整。</w:t>
      </w:r>
    </w:p>
    <w:p w14:paraId="1F827BE2">
      <w:pPr>
        <w:keepNext w:val="0"/>
        <w:keepLines w:val="0"/>
        <w:pageBreakBefore w:val="0"/>
        <w:widowControl w:val="0"/>
        <w:kinsoku/>
        <w:wordWrap/>
        <w:overflowPunct/>
        <w:topLinePunct w:val="0"/>
        <w:autoSpaceDE/>
        <w:autoSpaceDN/>
        <w:bidi w:val="0"/>
        <w:snapToGrid/>
        <w:spacing w:line="360" w:lineRule="auto"/>
        <w:ind w:left="0" w:leftChars="0" w:right="0" w:rightChars="0" w:firstLine="58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合同履行期间，因人工、材料、工程设备和机械台班价格波动影响</w:t>
      </w:r>
      <w:r>
        <w:rPr>
          <w:rFonts w:hint="eastAsia" w:ascii="仿宋" w:hAnsi="仿宋" w:eastAsia="仿宋" w:cs="仿宋"/>
          <w:color w:val="000000" w:themeColor="text1"/>
          <w:spacing w:val="-3"/>
          <w:sz w:val="24"/>
          <w:szCs w:val="24"/>
          <w:highlight w:val="none"/>
          <w14:textFill>
            <w14:solidFill>
              <w14:schemeClr w14:val="tx1"/>
            </w14:solidFill>
          </w14:textFill>
        </w:rPr>
        <w:t>合同价格</w:t>
      </w:r>
      <w:r>
        <w:rPr>
          <w:rFonts w:hint="eastAsia" w:ascii="仿宋" w:hAnsi="仿宋" w:eastAsia="仿宋" w:cs="仿宋"/>
          <w:color w:val="000000" w:themeColor="text1"/>
          <w:spacing w:val="-2"/>
          <w:sz w:val="24"/>
          <w:szCs w:val="24"/>
          <w:highlight w:val="none"/>
          <w14:textFill>
            <w14:solidFill>
              <w14:schemeClr w14:val="tx1"/>
            </w14:solidFill>
          </w14:textFill>
        </w:rPr>
        <w:t>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w:t>
      </w:r>
      <w:r>
        <w:rPr>
          <w:rFonts w:hint="eastAsia" w:ascii="仿宋" w:hAnsi="仿宋" w:eastAsia="仿宋" w:cs="仿宋"/>
          <w:color w:val="000000" w:themeColor="text1"/>
          <w:spacing w:val="-1"/>
          <w:sz w:val="24"/>
          <w:szCs w:val="24"/>
          <w:highlight w:val="none"/>
          <w14:textFill>
            <w14:solidFill>
              <w14:schemeClr w14:val="tx1"/>
            </w14:solidFill>
          </w14:textFill>
        </w:rPr>
        <w:t>需调整的材料单价及数量，作为调整合同价格的依据。</w:t>
      </w:r>
    </w:p>
    <w:p w14:paraId="58CD78CF">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（1）人工单价发生变化且符合省级或行业建设主管部门发布的人工</w:t>
      </w:r>
      <w:r>
        <w:rPr>
          <w:rFonts w:hint="eastAsia" w:ascii="仿宋" w:hAnsi="仿宋" w:eastAsia="仿宋" w:cs="仿宋"/>
          <w:color w:val="000000" w:themeColor="text1"/>
          <w:spacing w:val="1"/>
          <w:sz w:val="24"/>
          <w:szCs w:val="24"/>
          <w:highlight w:val="none"/>
          <w14:textFill>
            <w14:solidFill>
              <w14:schemeClr w14:val="tx1"/>
            </w14:solidFill>
          </w14:textFill>
        </w:rPr>
        <w:t>费调整</w:t>
      </w:r>
      <w:r>
        <w:rPr>
          <w:rFonts w:hint="eastAsia" w:ascii="仿宋" w:hAnsi="仿宋" w:eastAsia="仿宋" w:cs="仿宋"/>
          <w:color w:val="000000" w:themeColor="text1"/>
          <w:spacing w:val="-2"/>
          <w:sz w:val="24"/>
          <w:szCs w:val="24"/>
          <w:highlight w:val="none"/>
          <w14:textFill>
            <w14:solidFill>
              <w14:schemeClr w14:val="tx1"/>
            </w14:solidFill>
          </w14:textFill>
        </w:rPr>
        <w:t>规定，合同当事人应按省级或行业建设主管部门或其授权的工程造价管理机构发布的人工费等文件调整合同价格，但承包人对人工费或人工单价的报价高于发布</w:t>
      </w:r>
      <w:r>
        <w:rPr>
          <w:rFonts w:hint="eastAsia" w:ascii="仿宋" w:hAnsi="仿宋" w:eastAsia="仿宋" w:cs="仿宋"/>
          <w:color w:val="000000" w:themeColor="text1"/>
          <w:spacing w:val="-5"/>
          <w:sz w:val="24"/>
          <w:szCs w:val="24"/>
          <w:highlight w:val="none"/>
          <w14:textFill>
            <w14:solidFill>
              <w14:schemeClr w14:val="tx1"/>
            </w14:solidFill>
          </w14:textFill>
        </w:rPr>
        <w:t>价格的除外。</w:t>
      </w:r>
    </w:p>
    <w:p w14:paraId="22014037">
      <w:pPr>
        <w:keepNext w:val="0"/>
        <w:keepLines w:val="0"/>
        <w:pageBreakBefore w:val="0"/>
        <w:widowControl w:val="0"/>
        <w:kinsoku/>
        <w:wordWrap/>
        <w:overflowPunct/>
        <w:topLinePunct w:val="0"/>
        <w:autoSpaceDE/>
        <w:autoSpaceDN/>
        <w:bidi w:val="0"/>
        <w:snapToGrid/>
        <w:spacing w:line="360" w:lineRule="auto"/>
        <w:ind w:left="0" w:leftChars="0" w:right="0" w:rightChars="0" w:firstLine="53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（2）材料、工程设备价格变化的价款调整按照发包人提供的基准价格，按以下风险范围规定执行:</w:t>
      </w:r>
    </w:p>
    <w:p w14:paraId="23EB8B7A">
      <w:pPr>
        <w:keepNext w:val="0"/>
        <w:keepLines w:val="0"/>
        <w:pageBreakBefore w:val="0"/>
        <w:widowControl w:val="0"/>
        <w:kinsoku/>
        <w:wordWrap/>
        <w:overflowPunct/>
        <w:topLinePunct w:val="0"/>
        <w:autoSpaceDE/>
        <w:autoSpaceDN/>
        <w:bidi w:val="0"/>
        <w:snapToGrid/>
        <w:spacing w:line="360" w:lineRule="auto"/>
        <w:ind w:left="0" w:leftChars="0" w:right="0" w:rightChars="0" w:firstLine="5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①承包人在已标价工程量清单或预算书中载明材料单价低于基准价格的</w:t>
      </w:r>
      <w:r>
        <w:rPr>
          <w:rFonts w:hint="eastAsia" w:ascii="仿宋" w:hAnsi="仿宋" w:eastAsia="仿宋" w:cs="仿宋"/>
          <w:color w:val="000000" w:themeColor="text1"/>
          <w:spacing w:val="-3"/>
          <w:sz w:val="24"/>
          <w:szCs w:val="24"/>
          <w:highlight w:val="none"/>
          <w14:textFill>
            <w14:solidFill>
              <w14:schemeClr w14:val="tx1"/>
            </w14:solidFill>
          </w14:textFill>
        </w:rPr>
        <w:t>：除</w:t>
      </w:r>
      <w:r>
        <w:rPr>
          <w:rFonts w:hint="eastAsia" w:ascii="仿宋" w:hAnsi="仿宋" w:eastAsia="仿宋" w:cs="仿宋"/>
          <w:color w:val="000000" w:themeColor="text1"/>
          <w:spacing w:val="-4"/>
          <w:sz w:val="24"/>
          <w:szCs w:val="24"/>
          <w:highlight w:val="none"/>
          <w14:textFill>
            <w14:solidFill>
              <w14:schemeClr w14:val="tx1"/>
            </w14:solidFill>
          </w14:textFill>
        </w:rPr>
        <w:t>专用合同条款另有约定外，合同履行期间材料单价涨幅</w:t>
      </w:r>
      <w:r>
        <w:rPr>
          <w:rFonts w:hint="eastAsia" w:ascii="仿宋" w:hAnsi="仿宋" w:eastAsia="仿宋" w:cs="仿宋"/>
          <w:color w:val="000000" w:themeColor="text1"/>
          <w:spacing w:val="-5"/>
          <w:sz w:val="24"/>
          <w:szCs w:val="24"/>
          <w:highlight w:val="none"/>
          <w14:textFill>
            <w14:solidFill>
              <w14:schemeClr w14:val="tx1"/>
            </w14:solidFill>
          </w14:textFill>
        </w:rPr>
        <w:t>以基准价格为基础超过</w:t>
      </w:r>
      <w:r>
        <w:rPr>
          <w:rFonts w:hint="eastAsia" w:ascii="仿宋" w:hAnsi="仿宋" w:eastAsia="仿宋" w:cs="仿宋"/>
          <w:color w:val="000000" w:themeColor="text1"/>
          <w:spacing w:val="-5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5%</w:t>
      </w:r>
      <w:r>
        <w:rPr>
          <w:rFonts w:hint="eastAsia" w:ascii="仿宋" w:hAnsi="仿宋" w:eastAsia="仿宋" w:cs="仿宋"/>
          <w:color w:val="000000" w:themeColor="text1"/>
          <w:spacing w:val="-2"/>
          <w:sz w:val="24"/>
          <w:szCs w:val="24"/>
          <w:highlight w:val="none"/>
          <w14:textFill>
            <w14:solidFill>
              <w14:schemeClr w14:val="tx1"/>
            </w14:solidFill>
          </w14:textFill>
        </w:rPr>
        <w:t>时，或材料单价跌幅以在已标价工程量清单或预算书中载明材料单价为基础超过</w:t>
      </w:r>
      <w:r>
        <w:rPr>
          <w:rFonts w:hint="eastAsia" w:ascii="仿宋" w:hAnsi="仿宋" w:eastAsia="仿宋" w:cs="仿宋"/>
          <w:color w:val="000000" w:themeColor="text1"/>
          <w:spacing w:val="-1"/>
          <w:sz w:val="24"/>
          <w:szCs w:val="24"/>
          <w:highlight w:val="none"/>
          <w14:textFill>
            <w14:solidFill>
              <w14:schemeClr w14:val="tx1"/>
            </w14:solidFill>
          </w14:textFill>
        </w:rPr>
        <w:t>5%时，其超过部分据实调整。</w:t>
      </w:r>
    </w:p>
    <w:p w14:paraId="230158AF">
      <w:pPr>
        <w:keepNext w:val="0"/>
        <w:keepLines w:val="0"/>
        <w:pageBreakBefore w:val="0"/>
        <w:widowControl w:val="0"/>
        <w:kinsoku/>
        <w:wordWrap/>
        <w:overflowPunct/>
        <w:topLinePunct w:val="0"/>
        <w:autoSpaceDE/>
        <w:autoSpaceDN/>
        <w:bidi w:val="0"/>
        <w:snapToGrid/>
        <w:spacing w:line="360" w:lineRule="auto"/>
        <w:ind w:left="0" w:leftChars="0" w:right="0" w:rightChars="0" w:firstLine="55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②承包人在已标价工程量清单或预算书中载明材料单价高于基准价格的：除</w:t>
      </w:r>
      <w:r>
        <w:rPr>
          <w:rFonts w:hint="eastAsia" w:ascii="仿宋" w:hAnsi="仿宋" w:eastAsia="仿宋" w:cs="仿宋"/>
          <w:color w:val="000000" w:themeColor="text1"/>
          <w:spacing w:val="-4"/>
          <w:sz w:val="24"/>
          <w:szCs w:val="24"/>
          <w:highlight w:val="none"/>
          <w14:textFill>
            <w14:solidFill>
              <w14:schemeClr w14:val="tx1"/>
            </w14:solidFill>
          </w14:textFill>
        </w:rPr>
        <w:t>专用合同条款另有约定外，合同履行期间材料单价跌幅以基</w:t>
      </w:r>
      <w:r>
        <w:rPr>
          <w:rFonts w:hint="eastAsia" w:ascii="仿宋" w:hAnsi="仿宋" w:eastAsia="仿宋" w:cs="仿宋"/>
          <w:color w:val="000000" w:themeColor="text1"/>
          <w:spacing w:val="-5"/>
          <w:sz w:val="24"/>
          <w:szCs w:val="24"/>
          <w:highlight w:val="none"/>
          <w14:textFill>
            <w14:solidFill>
              <w14:schemeClr w14:val="tx1"/>
            </w14:solidFill>
          </w14:textFill>
        </w:rPr>
        <w:t>准价格为基础超过</w:t>
      </w:r>
      <w:r>
        <w:rPr>
          <w:rFonts w:hint="eastAsia" w:ascii="仿宋" w:hAnsi="仿宋" w:eastAsia="仿宋" w:cs="仿宋"/>
          <w:color w:val="000000" w:themeColor="text1"/>
          <w:spacing w:val="-5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5%</w:t>
      </w:r>
      <w:r>
        <w:rPr>
          <w:rFonts w:hint="eastAsia" w:ascii="仿宋" w:hAnsi="仿宋" w:eastAsia="仿宋" w:cs="仿宋"/>
          <w:color w:val="000000" w:themeColor="text1"/>
          <w:spacing w:val="-4"/>
          <w:sz w:val="24"/>
          <w:szCs w:val="24"/>
          <w:highlight w:val="none"/>
          <w14:textFill>
            <w14:solidFill>
              <w14:schemeClr w14:val="tx1"/>
            </w14:solidFill>
          </w14:textFill>
        </w:rPr>
        <w:t>时，材料单价涨幅以在已标价工程量清单或预算书中载</w:t>
      </w:r>
      <w:r>
        <w:rPr>
          <w:rFonts w:hint="eastAsia" w:ascii="仿宋" w:hAnsi="仿宋" w:eastAsia="仿宋" w:cs="仿宋"/>
          <w:color w:val="000000" w:themeColor="text1"/>
          <w:spacing w:val="-5"/>
          <w:sz w:val="24"/>
          <w:szCs w:val="24"/>
          <w:highlight w:val="none"/>
          <w14:textFill>
            <w14:solidFill>
              <w14:schemeClr w14:val="tx1"/>
            </w14:solidFill>
          </w14:textFill>
        </w:rPr>
        <w:t>明材料单价为基础超过</w:t>
      </w:r>
      <w:r>
        <w:rPr>
          <w:rFonts w:hint="eastAsia" w:ascii="仿宋" w:hAnsi="仿宋" w:eastAsia="仿宋" w:cs="仿宋"/>
          <w:color w:val="000000" w:themeColor="text1"/>
          <w:spacing w:val="-5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5%</w:t>
      </w:r>
      <w:r>
        <w:rPr>
          <w:rFonts w:hint="eastAsia" w:ascii="仿宋" w:hAnsi="仿宋" w:eastAsia="仿宋" w:cs="仿宋"/>
          <w:color w:val="000000" w:themeColor="text1"/>
          <w:spacing w:val="-4"/>
          <w:sz w:val="24"/>
          <w:szCs w:val="24"/>
          <w:highlight w:val="none"/>
          <w14:textFill>
            <w14:solidFill>
              <w14:schemeClr w14:val="tx1"/>
            </w14:solidFill>
          </w14:textFill>
        </w:rPr>
        <w:t>时，其超过部分据实调整。</w:t>
      </w:r>
    </w:p>
    <w:p w14:paraId="5ED915D2">
      <w:pPr>
        <w:keepNext w:val="0"/>
        <w:keepLines w:val="0"/>
        <w:pageBreakBefore w:val="0"/>
        <w:widowControl w:val="0"/>
        <w:kinsoku/>
        <w:wordWrap/>
        <w:overflowPunct/>
        <w:topLinePunct w:val="0"/>
        <w:autoSpaceDE/>
        <w:autoSpaceDN/>
        <w:bidi w:val="0"/>
        <w:snapToGrid/>
        <w:spacing w:line="360" w:lineRule="auto"/>
        <w:ind w:left="0" w:leftChars="0" w:right="0" w:rightChars="0" w:firstLine="55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③承包人在已标价工程量清单或预算书中载明材料单价等于基准价格的：除专用合同条款另有约定外，合同履行期间材料单价涨跌幅以基准价格为基础超过</w:t>
      </w:r>
      <w:r>
        <w:rPr>
          <w:rFonts w:hint="eastAsia" w:ascii="仿宋" w:hAnsi="仿宋" w:eastAsia="仿宋" w:cs="仿宋"/>
          <w:color w:val="000000" w:themeColor="text1"/>
          <w:spacing w:val="-3"/>
          <w:sz w:val="24"/>
          <w:szCs w:val="24"/>
          <w:highlight w:val="none"/>
          <w14:textFill>
            <w14:solidFill>
              <w14:schemeClr w14:val="tx1"/>
            </w14:solidFill>
          </w14:textFill>
        </w:rPr>
        <w:t>±5%时，其超过部分据实调整。</w:t>
      </w:r>
    </w:p>
    <w:p w14:paraId="4D72BD05">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④承包人应在采购材料前将采购数量和新的材料单价报发包人核对，发包人确认用于工程时，发包人应确认采购材料的数量和单价。发包人在收到承包人报</w:t>
      </w:r>
      <w:r>
        <w:rPr>
          <w:rFonts w:hint="eastAsia" w:ascii="仿宋" w:hAnsi="仿宋" w:eastAsia="仿宋" w:cs="仿宋"/>
          <w:color w:val="000000" w:themeColor="text1"/>
          <w:spacing w:val="-3"/>
          <w:sz w:val="24"/>
          <w:szCs w:val="24"/>
          <w:highlight w:val="none"/>
          <w14:textFill>
            <w14:solidFill>
              <w14:schemeClr w14:val="tx1"/>
            </w14:solidFill>
          </w14:textFill>
        </w:rPr>
        <w:t>送的确认资料后</w:t>
      </w:r>
      <w:r>
        <w:rPr>
          <w:rFonts w:hint="eastAsia" w:ascii="仿宋" w:hAnsi="仿宋" w:eastAsia="仿宋" w:cs="仿宋"/>
          <w:color w:val="000000" w:themeColor="text1"/>
          <w:spacing w:val="-4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5</w:t>
      </w:r>
      <w:r>
        <w:rPr>
          <w:rFonts w:hint="eastAsia" w:ascii="仿宋" w:hAnsi="仿宋" w:eastAsia="仿宋" w:cs="仿宋"/>
          <w:color w:val="000000" w:themeColor="text1"/>
          <w:spacing w:val="-5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天内不予答复的视为认可，作为调整合同价格的依据。未经发</w:t>
      </w:r>
      <w:r>
        <w:rPr>
          <w:rFonts w:hint="eastAsia" w:ascii="仿宋" w:hAnsi="仿宋" w:eastAsia="仿宋" w:cs="仿宋"/>
          <w:color w:val="000000" w:themeColor="text1"/>
          <w:spacing w:val="-2"/>
          <w:sz w:val="24"/>
          <w:szCs w:val="24"/>
          <w:highlight w:val="none"/>
          <w14:textFill>
            <w14:solidFill>
              <w14:schemeClr w14:val="tx1"/>
            </w14:solidFill>
          </w14:textFill>
        </w:rPr>
        <w:t>包人事先核对，承包人自行采购材料的，发包人有权不予调整合同价格。发包人</w:t>
      </w:r>
      <w:r>
        <w:rPr>
          <w:rFonts w:hint="eastAsia" w:ascii="仿宋" w:hAnsi="仿宋" w:eastAsia="仿宋" w:cs="仿宋"/>
          <w:color w:val="000000" w:themeColor="text1"/>
          <w:spacing w:val="-1"/>
          <w:sz w:val="24"/>
          <w:szCs w:val="24"/>
          <w:highlight w:val="none"/>
          <w14:textFill>
            <w14:solidFill>
              <w14:schemeClr w14:val="tx1"/>
            </w14:solidFill>
          </w14:textFill>
        </w:rPr>
        <w:t>同意的，可以调整合同价格。</w:t>
      </w:r>
    </w:p>
    <w:p w14:paraId="320CA2CF">
      <w:pPr>
        <w:keepNext w:val="0"/>
        <w:keepLines w:val="0"/>
        <w:pageBreakBefore w:val="0"/>
        <w:widowControl w:val="0"/>
        <w:kinsoku/>
        <w:wordWrap/>
        <w:overflowPunct/>
        <w:topLinePunct w:val="0"/>
        <w:autoSpaceDE/>
        <w:autoSpaceDN/>
        <w:bidi w:val="0"/>
        <w:snapToGrid/>
        <w:spacing w:line="360" w:lineRule="auto"/>
        <w:ind w:left="0" w:leftChars="0" w:right="0" w:rightChars="0" w:firstLine="5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前述基准价格是指由发包人在招标文件或专用合同条款中</w:t>
      </w:r>
      <w:r>
        <w:rPr>
          <w:rFonts w:hint="eastAsia" w:ascii="仿宋" w:hAnsi="仿宋" w:eastAsia="仿宋" w:cs="仿宋"/>
          <w:color w:val="000000" w:themeColor="text1"/>
          <w:spacing w:val="-3"/>
          <w:sz w:val="24"/>
          <w:szCs w:val="24"/>
          <w:highlight w:val="none"/>
          <w14:textFill>
            <w14:solidFill>
              <w14:schemeClr w14:val="tx1"/>
            </w14:solidFill>
          </w14:textFill>
        </w:rPr>
        <w:t>给定的材料、工程</w:t>
      </w:r>
      <w:r>
        <w:rPr>
          <w:rFonts w:hint="eastAsia" w:ascii="仿宋" w:hAnsi="仿宋" w:eastAsia="仿宋" w:cs="仿宋"/>
          <w:color w:val="000000" w:themeColor="text1"/>
          <w:spacing w:val="-2"/>
          <w:sz w:val="24"/>
          <w:szCs w:val="24"/>
          <w:highlight w:val="none"/>
          <w14:textFill>
            <w14:solidFill>
              <w14:schemeClr w14:val="tx1"/>
            </w14:solidFill>
          </w14:textFill>
        </w:rPr>
        <w:t>设备的价格，该价格原则上应当按照省级或行业建设主管部门或其授权的工程造</w:t>
      </w:r>
      <w:r>
        <w:rPr>
          <w:rFonts w:hint="eastAsia" w:ascii="仿宋" w:hAnsi="仿宋" w:eastAsia="仿宋" w:cs="仿宋"/>
          <w:color w:val="000000" w:themeColor="text1"/>
          <w:spacing w:val="-3"/>
          <w:sz w:val="24"/>
          <w:szCs w:val="24"/>
          <w:highlight w:val="none"/>
          <w14:textFill>
            <w14:solidFill>
              <w14:schemeClr w14:val="tx1"/>
            </w14:solidFill>
          </w14:textFill>
        </w:rPr>
        <w:t>价管理机构发布的信息价编制。</w:t>
      </w:r>
    </w:p>
    <w:p w14:paraId="7C5B61CE">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（3）施工机械台班单价或施工机械使用费发生变化超过省级或行业建设主</w:t>
      </w:r>
      <w:r>
        <w:rPr>
          <w:rFonts w:hint="eastAsia" w:ascii="仿宋" w:hAnsi="仿宋" w:eastAsia="仿宋" w:cs="仿宋"/>
          <w:color w:val="000000" w:themeColor="text1"/>
          <w:spacing w:val="-1"/>
          <w:sz w:val="24"/>
          <w:szCs w:val="24"/>
          <w:highlight w:val="none"/>
          <w14:textFill>
            <w14:solidFill>
              <w14:schemeClr w14:val="tx1"/>
            </w14:solidFill>
          </w14:textFill>
        </w:rPr>
        <w:t>管部门或其授权的工程造价管理机构规定的范围时，按规定调整合同价格。</w:t>
      </w:r>
    </w:p>
    <w:p w14:paraId="60CFA543">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第</w:t>
      </w:r>
      <w:r>
        <w:rPr>
          <w:rFonts w:hint="eastAsia" w:ascii="仿宋" w:hAnsi="仿宋" w:eastAsia="仿宋" w:cs="仿宋"/>
          <w:color w:val="000000" w:themeColor="text1"/>
          <w:spacing w:val="-4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3</w:t>
      </w:r>
      <w:r>
        <w:rPr>
          <w:rFonts w:hint="eastAsia" w:ascii="仿宋" w:hAnsi="仿宋" w:eastAsia="仿宋" w:cs="仿宋"/>
          <w:color w:val="000000" w:themeColor="text1"/>
          <w:spacing w:val="-5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种方式：专用合同条款约定的其他方式。</w:t>
      </w:r>
    </w:p>
    <w:p w14:paraId="52E1AAD4">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11.2</w:t>
      </w:r>
      <w:r>
        <w:rPr>
          <w:rFonts w:hint="eastAsia" w:ascii="仿宋" w:hAnsi="仿宋" w:eastAsia="仿宋" w:cs="仿宋"/>
          <w:color w:val="000000" w:themeColor="text1"/>
          <w:spacing w:val="-4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法律变化引起的调整</w:t>
      </w:r>
    </w:p>
    <w:p w14:paraId="6EF19467">
      <w:pPr>
        <w:keepNext w:val="0"/>
        <w:keepLines w:val="0"/>
        <w:pageBreakBefore w:val="0"/>
        <w:widowControl w:val="0"/>
        <w:kinsoku/>
        <w:wordWrap/>
        <w:overflowPunct/>
        <w:topLinePunct w:val="0"/>
        <w:autoSpaceDE/>
        <w:autoSpaceDN/>
        <w:bidi w:val="0"/>
        <w:snapToGrid/>
        <w:spacing w:line="360" w:lineRule="auto"/>
        <w:ind w:left="0" w:leftChars="0" w:right="0" w:rightChars="0" w:firstLine="55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基准日期后，法律变化导致承包人在合同履行过程中所需要的费用发生除第</w:t>
      </w:r>
      <w:r>
        <w:rPr>
          <w:rFonts w:hint="eastAsia" w:ascii="仿宋" w:hAnsi="仿宋" w:eastAsia="仿宋" w:cs="仿宋"/>
          <w:color w:val="000000" w:themeColor="text1"/>
          <w:spacing w:val="-4"/>
          <w:sz w:val="24"/>
          <w:szCs w:val="24"/>
          <w:highlight w:val="none"/>
          <w14:textFill>
            <w14:solidFill>
              <w14:schemeClr w14:val="tx1"/>
            </w14:solidFill>
          </w14:textFill>
        </w:rPr>
        <w:t>11.1</w:t>
      </w:r>
      <w:r>
        <w:rPr>
          <w:rFonts w:hint="eastAsia" w:ascii="仿宋" w:hAnsi="仿宋" w:eastAsia="仿宋" w:cs="仿宋"/>
          <w:color w:val="000000" w:themeColor="text1"/>
          <w:spacing w:val="-5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款〔市场价格波动引起的调整〕约定以外的增加时，由发包人承担由此</w:t>
      </w:r>
      <w:r>
        <w:rPr>
          <w:rFonts w:hint="eastAsia" w:ascii="仿宋" w:hAnsi="仿宋" w:eastAsia="仿宋" w:cs="仿宋"/>
          <w:color w:val="000000" w:themeColor="text1"/>
          <w:spacing w:val="-5"/>
          <w:sz w:val="24"/>
          <w:szCs w:val="24"/>
          <w:highlight w:val="none"/>
          <w14:textFill>
            <w14:solidFill>
              <w14:schemeClr w14:val="tx1"/>
            </w14:solidFill>
          </w14:textFill>
        </w:rPr>
        <w:t>增加</w:t>
      </w:r>
      <w:r>
        <w:rPr>
          <w:rFonts w:hint="eastAsia" w:ascii="仿宋" w:hAnsi="仿宋" w:eastAsia="仿宋" w:cs="仿宋"/>
          <w:color w:val="000000" w:themeColor="text1"/>
          <w:spacing w:val="-2"/>
          <w:sz w:val="24"/>
          <w:szCs w:val="24"/>
          <w:highlight w:val="none"/>
          <w14:textFill>
            <w14:solidFill>
              <w14:schemeClr w14:val="tx1"/>
            </w14:solidFill>
          </w14:textFill>
        </w:rPr>
        <w:t>的费用；减少时，应从合同价格中予以扣减。基准日期后，因法律变化造成工期</w:t>
      </w:r>
      <w:r>
        <w:rPr>
          <w:rFonts w:hint="eastAsia" w:ascii="仿宋" w:hAnsi="仿宋" w:eastAsia="仿宋" w:cs="仿宋"/>
          <w:color w:val="000000" w:themeColor="text1"/>
          <w:spacing w:val="-4"/>
          <w:sz w:val="24"/>
          <w:szCs w:val="24"/>
          <w:highlight w:val="none"/>
          <w14:textFill>
            <w14:solidFill>
              <w14:schemeClr w14:val="tx1"/>
            </w14:solidFill>
          </w14:textFill>
        </w:rPr>
        <w:t>延误时，工期应予以顺延。</w:t>
      </w:r>
    </w:p>
    <w:p w14:paraId="63C3F912">
      <w:pPr>
        <w:keepNext w:val="0"/>
        <w:keepLines w:val="0"/>
        <w:pageBreakBefore w:val="0"/>
        <w:widowControl w:val="0"/>
        <w:kinsoku/>
        <w:wordWrap/>
        <w:overflowPunct/>
        <w:topLinePunct w:val="0"/>
        <w:autoSpaceDE/>
        <w:autoSpaceDN/>
        <w:bidi w:val="0"/>
        <w:snapToGrid/>
        <w:spacing w:line="360" w:lineRule="auto"/>
        <w:ind w:left="0" w:leftChars="0" w:right="0" w:rightChars="0" w:firstLine="5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因法律变化引起的合同价格和工期调整，合同当事人无法达成一致的，由总</w:t>
      </w:r>
      <w:r>
        <w:rPr>
          <w:rFonts w:hint="eastAsia" w:ascii="仿宋" w:hAnsi="仿宋" w:eastAsia="仿宋" w:cs="仿宋"/>
          <w:color w:val="000000" w:themeColor="text1"/>
          <w:spacing w:val="-2"/>
          <w:sz w:val="24"/>
          <w:szCs w:val="24"/>
          <w:highlight w:val="none"/>
          <w14:textFill>
            <w14:solidFill>
              <w14:schemeClr w14:val="tx1"/>
            </w14:solidFill>
          </w14:textFill>
        </w:rPr>
        <w:t>监理工程师按第</w:t>
      </w:r>
      <w:r>
        <w:rPr>
          <w:rFonts w:hint="eastAsia" w:ascii="仿宋" w:hAnsi="仿宋" w:eastAsia="仿宋" w:cs="仿宋"/>
          <w:color w:val="000000" w:themeColor="text1"/>
          <w:spacing w:val="-6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4.4</w:t>
      </w:r>
      <w:r>
        <w:rPr>
          <w:rFonts w:hint="eastAsia" w:ascii="仿宋" w:hAnsi="仿宋" w:eastAsia="仿宋" w:cs="仿宋"/>
          <w:color w:val="000000" w:themeColor="text1"/>
          <w:spacing w:val="-5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款〔商定或确定〕的约定处</w:t>
      </w:r>
      <w:r>
        <w:rPr>
          <w:rFonts w:hint="eastAsia" w:ascii="仿宋" w:hAnsi="仿宋" w:eastAsia="仿宋" w:cs="仿宋"/>
          <w:color w:val="000000" w:themeColor="text1"/>
          <w:spacing w:val="-3"/>
          <w:sz w:val="24"/>
          <w:szCs w:val="24"/>
          <w:highlight w:val="none"/>
          <w14:textFill>
            <w14:solidFill>
              <w14:schemeClr w14:val="tx1"/>
            </w14:solidFill>
          </w14:textFill>
        </w:rPr>
        <w:t>理。</w:t>
      </w:r>
    </w:p>
    <w:p w14:paraId="312A4F0C">
      <w:pPr>
        <w:keepNext w:val="0"/>
        <w:keepLines w:val="0"/>
        <w:pageBreakBefore w:val="0"/>
        <w:widowControl w:val="0"/>
        <w:kinsoku/>
        <w:wordWrap/>
        <w:overflowPunct/>
        <w:topLinePunct w:val="0"/>
        <w:autoSpaceDE/>
        <w:autoSpaceDN/>
        <w:bidi w:val="0"/>
        <w:snapToGrid/>
        <w:spacing w:line="360" w:lineRule="auto"/>
        <w:ind w:left="0" w:leftChars="0" w:right="0" w:rightChars="0" w:firstLine="56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因承包人原因造成工期延误，在工期延误期间出现法律变化的，由此增加的费用和（或）延误的工期由承包人承担。</w:t>
      </w:r>
    </w:p>
    <w:p w14:paraId="74E20A31">
      <w:pPr>
        <w:keepNext w:val="0"/>
        <w:keepLines w:val="0"/>
        <w:pageBreakBefore w:val="0"/>
        <w:widowControl w:val="0"/>
        <w:kinsoku/>
        <w:wordWrap/>
        <w:overflowPunct/>
        <w:topLinePunct w:val="0"/>
        <w:autoSpaceDE/>
        <w:autoSpaceDN/>
        <w:bidi w:val="0"/>
        <w:snapToGrid/>
        <w:spacing w:line="360" w:lineRule="auto"/>
        <w:ind w:left="0" w:leftChars="0" w:right="0" w:rightChars="0"/>
        <w:outlineLvl w:val="2"/>
        <w:rPr>
          <w:rFonts w:hint="eastAsia" w:ascii="仿宋" w:hAnsi="仿宋" w:eastAsia="仿宋" w:cs="仿宋"/>
          <w:color w:val="000000" w:themeColor="text1"/>
          <w:sz w:val="24"/>
          <w:szCs w:val="24"/>
          <w:highlight w:val="none"/>
          <w14:textFill>
            <w14:solidFill>
              <w14:schemeClr w14:val="tx1"/>
            </w14:solidFill>
          </w14:textFill>
        </w:rPr>
      </w:pPr>
      <w:bookmarkStart w:id="110" w:name="bookmark126"/>
      <w:bookmarkEnd w:id="110"/>
      <w:bookmarkStart w:id="111" w:name="_Toc10230"/>
      <w:r>
        <w:rPr>
          <w:rFonts w:hint="eastAsia" w:ascii="仿宋" w:hAnsi="仿宋" w:eastAsia="仿宋" w:cs="仿宋"/>
          <w:color w:val="000000" w:themeColor="text1"/>
          <w:spacing w:val="-3"/>
          <w:sz w:val="24"/>
          <w:szCs w:val="24"/>
          <w:highlight w:val="none"/>
          <w14:textFill>
            <w14:solidFill>
              <w14:schemeClr w14:val="tx1"/>
            </w14:solidFill>
          </w14:textFill>
        </w:rPr>
        <w:t>12. 合同价格、计量与支付</w:t>
      </w:r>
      <w:bookmarkEnd w:id="111"/>
    </w:p>
    <w:p w14:paraId="0C32F372">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12.1 合同价格形式</w:t>
      </w:r>
    </w:p>
    <w:p w14:paraId="6758C6A5">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发包人和承包人应在合同协议书中选择下列一种合同价</w:t>
      </w:r>
      <w:r>
        <w:rPr>
          <w:rFonts w:hint="eastAsia" w:ascii="仿宋" w:hAnsi="仿宋" w:eastAsia="仿宋" w:cs="仿宋"/>
          <w:color w:val="000000" w:themeColor="text1"/>
          <w:spacing w:val="-3"/>
          <w:sz w:val="24"/>
          <w:szCs w:val="24"/>
          <w:highlight w:val="none"/>
          <w14:textFill>
            <w14:solidFill>
              <w14:schemeClr w14:val="tx1"/>
            </w14:solidFill>
          </w14:textFill>
        </w:rPr>
        <w:t>格形式：</w:t>
      </w:r>
    </w:p>
    <w:p w14:paraId="69B1D991">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1.单价合同</w:t>
      </w:r>
    </w:p>
    <w:p w14:paraId="6E5BF72F">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单价合同是指合同当事人约定以工程量清单及其综合单价进行合同价格计</w:t>
      </w:r>
      <w:r>
        <w:rPr>
          <w:rFonts w:hint="eastAsia" w:ascii="仿宋" w:hAnsi="仿宋" w:eastAsia="仿宋" w:cs="仿宋"/>
          <w:color w:val="000000" w:themeColor="text1"/>
          <w:spacing w:val="-2"/>
          <w:sz w:val="24"/>
          <w:szCs w:val="24"/>
          <w:highlight w:val="none"/>
          <w14:textFill>
            <w14:solidFill>
              <w14:schemeClr w14:val="tx1"/>
            </w14:solidFill>
          </w14:textFill>
        </w:rPr>
        <w:t>算、调整和确认的建设工程施工合同，在约定的范围内合同单价不作调整。合同</w:t>
      </w:r>
      <w:r>
        <w:rPr>
          <w:rFonts w:hint="eastAsia" w:ascii="仿宋" w:hAnsi="仿宋" w:eastAsia="仿宋" w:cs="仿宋"/>
          <w:color w:val="000000" w:themeColor="text1"/>
          <w:spacing w:val="-1"/>
          <w:sz w:val="24"/>
          <w:szCs w:val="24"/>
          <w:highlight w:val="none"/>
          <w14:textFill>
            <w14:solidFill>
              <w14:schemeClr w14:val="tx1"/>
            </w14:solidFill>
          </w14:textFill>
        </w:rPr>
        <w:t>当事人应在专用合同条款中约定综合单价包含的风险范围和风险费用的计算方</w:t>
      </w:r>
      <w:r>
        <w:rPr>
          <w:rFonts w:hint="eastAsia" w:ascii="仿宋" w:hAnsi="仿宋" w:eastAsia="仿宋" w:cs="仿宋"/>
          <w:color w:val="000000" w:themeColor="text1"/>
          <w:spacing w:val="-2"/>
          <w:sz w:val="24"/>
          <w:szCs w:val="24"/>
          <w:highlight w:val="none"/>
          <w14:textFill>
            <w14:solidFill>
              <w14:schemeClr w14:val="tx1"/>
            </w14:solidFill>
          </w14:textFill>
        </w:rPr>
        <w:t>法，并约定风险范围以外的合同价格的调整方法，其中因市场价格波动引起的调</w:t>
      </w:r>
      <w:r>
        <w:rPr>
          <w:rFonts w:hint="eastAsia" w:ascii="仿宋" w:hAnsi="仿宋" w:eastAsia="仿宋" w:cs="仿宋"/>
          <w:color w:val="000000" w:themeColor="text1"/>
          <w:spacing w:val="-1"/>
          <w:sz w:val="24"/>
          <w:szCs w:val="24"/>
          <w:highlight w:val="none"/>
          <w14:textFill>
            <w14:solidFill>
              <w14:schemeClr w14:val="tx1"/>
            </w14:solidFill>
          </w14:textFill>
        </w:rPr>
        <w:t>整按第11.1款〔市场价格波动引起的调整〕约定执行。</w:t>
      </w:r>
    </w:p>
    <w:p w14:paraId="6AC175BD">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2.总价合同</w:t>
      </w:r>
    </w:p>
    <w:p w14:paraId="469D7E2D">
      <w:pPr>
        <w:keepNext w:val="0"/>
        <w:keepLines w:val="0"/>
        <w:pageBreakBefore w:val="0"/>
        <w:widowControl w:val="0"/>
        <w:kinsoku/>
        <w:wordWrap/>
        <w:overflowPunct/>
        <w:topLinePunct w:val="0"/>
        <w:autoSpaceDE/>
        <w:autoSpaceDN/>
        <w:bidi w:val="0"/>
        <w:snapToGrid/>
        <w:spacing w:line="360" w:lineRule="auto"/>
        <w:ind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总价合同是指合同当事人约定以施工图、已标价工</w:t>
      </w:r>
      <w:r>
        <w:rPr>
          <w:rFonts w:hint="eastAsia" w:ascii="仿宋" w:hAnsi="仿宋" w:eastAsia="仿宋" w:cs="仿宋"/>
          <w:color w:val="000000" w:themeColor="text1"/>
          <w:spacing w:val="-3"/>
          <w:sz w:val="24"/>
          <w:szCs w:val="24"/>
          <w:highlight w:val="none"/>
          <w14:textFill>
            <w14:solidFill>
              <w14:schemeClr w14:val="tx1"/>
            </w14:solidFill>
          </w14:textFill>
        </w:rPr>
        <w:t>程量清单或预算书及有关</w:t>
      </w:r>
      <w:r>
        <w:rPr>
          <w:rFonts w:hint="eastAsia" w:ascii="仿宋" w:hAnsi="仿宋" w:eastAsia="仿宋" w:cs="仿宋"/>
          <w:color w:val="000000" w:themeColor="text1"/>
          <w:spacing w:val="-2"/>
          <w:sz w:val="24"/>
          <w:szCs w:val="24"/>
          <w:highlight w:val="none"/>
          <w14:textFill>
            <w14:solidFill>
              <w14:schemeClr w14:val="tx1"/>
            </w14:solidFill>
          </w14:textFill>
        </w:rPr>
        <w:t>条件进行合同价格计算、调整和确认的建设工程施工合同，在约定的范围内合同总价不作调整。合同当事人应在专用合同条款中约定总价包含的风险范围和风险</w:t>
      </w:r>
      <w:r>
        <w:rPr>
          <w:rFonts w:hint="eastAsia" w:ascii="仿宋" w:hAnsi="仿宋" w:eastAsia="仿宋" w:cs="仿宋"/>
          <w:color w:val="000000" w:themeColor="text1"/>
          <w:spacing w:val="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费用的计算方法，并约定风险范围以外的合同价格的调整方法，其中因市场价格</w:t>
      </w:r>
      <w:r>
        <w:rPr>
          <w:rFonts w:hint="eastAsia" w:ascii="仿宋" w:hAnsi="仿宋" w:eastAsia="仿宋" w:cs="仿宋"/>
          <w:color w:val="000000" w:themeColor="text1"/>
          <w:spacing w:val="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波动引起的调整按第11.1款〔市场价格波动引起的调整〕、因法律变化引起的调整按第11.2款〔法律变化引起的调整〕约定执行。</w:t>
      </w:r>
    </w:p>
    <w:p w14:paraId="1D19EB69">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3.其它价格形式</w:t>
      </w:r>
    </w:p>
    <w:p w14:paraId="2E499331">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合同当事人可在专用合同条款中约定其他合同价格形式。</w:t>
      </w:r>
    </w:p>
    <w:p w14:paraId="2355C5C5">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12.2</w:t>
      </w:r>
      <w:r>
        <w:rPr>
          <w:rFonts w:hint="eastAsia" w:ascii="仿宋" w:hAnsi="仿宋" w:eastAsia="仿宋" w:cs="仿宋"/>
          <w:color w:val="000000" w:themeColor="text1"/>
          <w:spacing w:val="-5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预付款</w:t>
      </w:r>
    </w:p>
    <w:p w14:paraId="211D1572">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pacing w:val="-4"/>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12.2.1</w:t>
      </w:r>
      <w:r>
        <w:rPr>
          <w:rFonts w:hint="eastAsia" w:ascii="仿宋" w:hAnsi="仿宋" w:eastAsia="仿宋" w:cs="仿宋"/>
          <w:color w:val="000000" w:themeColor="text1"/>
          <w:spacing w:val="-5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预付款的支付</w:t>
      </w:r>
    </w:p>
    <w:p w14:paraId="7737534D">
      <w:pPr>
        <w:keepNext w:val="0"/>
        <w:keepLines w:val="0"/>
        <w:pageBreakBefore w:val="0"/>
        <w:widowControl w:val="0"/>
        <w:kinsoku/>
        <w:wordWrap/>
        <w:overflowPunct/>
        <w:topLinePunct w:val="0"/>
        <w:autoSpaceDE/>
        <w:autoSpaceDN/>
        <w:bidi w:val="0"/>
        <w:snapToGrid/>
        <w:spacing w:line="360" w:lineRule="auto"/>
        <w:ind w:left="0" w:leftChars="0" w:right="0" w:rightChars="0" w:firstLine="557"/>
        <w:rPr>
          <w:rFonts w:hint="eastAsia" w:ascii="仿宋" w:hAnsi="仿宋" w:eastAsia="仿宋" w:cs="仿宋"/>
          <w:color w:val="000000" w:themeColor="text1"/>
          <w:spacing w:val="-4"/>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预付款的支付按照专用合同条款约定执行，但至迟应在开工通知载明的开工日期7天前支付。预付款</w:t>
      </w:r>
      <w:r>
        <w:rPr>
          <w:rFonts w:hint="eastAsia" w:ascii="仿宋" w:hAnsi="仿宋" w:eastAsia="仿宋" w:cs="仿宋"/>
          <w:color w:val="000000" w:themeColor="text1"/>
          <w:spacing w:val="-2"/>
          <w:sz w:val="24"/>
          <w:szCs w:val="24"/>
          <w:highlight w:val="none"/>
          <w14:textFill>
            <w14:solidFill>
              <w14:schemeClr w14:val="tx1"/>
            </w14:solidFill>
          </w14:textFill>
        </w:rPr>
        <w:t>应当</w:t>
      </w:r>
      <w:r>
        <w:rPr>
          <w:rFonts w:hint="eastAsia" w:ascii="仿宋" w:hAnsi="仿宋" w:eastAsia="仿宋" w:cs="仿宋"/>
          <w:color w:val="000000" w:themeColor="text1"/>
          <w:spacing w:val="-4"/>
          <w:sz w:val="24"/>
          <w:szCs w:val="24"/>
          <w:highlight w:val="none"/>
          <w14:textFill>
            <w14:solidFill>
              <w14:schemeClr w14:val="tx1"/>
            </w14:solidFill>
          </w14:textFill>
        </w:rPr>
        <w:t>用于材料、工程设备、施工设备的采购及修建临时工程、组织施工队伍进场等。</w:t>
      </w:r>
    </w:p>
    <w:p w14:paraId="36EDECDD">
      <w:pPr>
        <w:keepNext w:val="0"/>
        <w:keepLines w:val="0"/>
        <w:pageBreakBefore w:val="0"/>
        <w:widowControl w:val="0"/>
        <w:kinsoku/>
        <w:wordWrap/>
        <w:overflowPunct/>
        <w:topLinePunct w:val="0"/>
        <w:autoSpaceDE/>
        <w:autoSpaceDN/>
        <w:bidi w:val="0"/>
        <w:snapToGrid/>
        <w:spacing w:line="360" w:lineRule="auto"/>
        <w:ind w:left="0" w:leftChars="0" w:right="0" w:rightChars="0" w:firstLine="57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除专用合同条款另有约定外，预付款在进度付款中同比例扣回。在颁发工程</w:t>
      </w:r>
      <w:r>
        <w:rPr>
          <w:rFonts w:hint="eastAsia" w:ascii="仿宋" w:hAnsi="仿宋" w:eastAsia="仿宋" w:cs="仿宋"/>
          <w:color w:val="000000" w:themeColor="text1"/>
          <w:sz w:val="24"/>
          <w:szCs w:val="24"/>
          <w:highlight w:val="none"/>
          <w14:textFill>
            <w14:solidFill>
              <w14:schemeClr w14:val="tx1"/>
            </w14:solidFill>
          </w14:textFill>
        </w:rPr>
        <w:t>接收证书前，提前解除合同的，尚未扣完的</w:t>
      </w:r>
      <w:r>
        <w:rPr>
          <w:rFonts w:hint="eastAsia" w:ascii="仿宋" w:hAnsi="仿宋" w:eastAsia="仿宋" w:cs="仿宋"/>
          <w:color w:val="000000" w:themeColor="text1"/>
          <w:spacing w:val="-1"/>
          <w:sz w:val="24"/>
          <w:szCs w:val="24"/>
          <w:highlight w:val="none"/>
          <w14:textFill>
            <w14:solidFill>
              <w14:schemeClr w14:val="tx1"/>
            </w14:solidFill>
          </w14:textFill>
        </w:rPr>
        <w:t>预付款应与合同价款一并结算。</w:t>
      </w:r>
    </w:p>
    <w:p w14:paraId="78C156CE">
      <w:pPr>
        <w:keepNext w:val="0"/>
        <w:keepLines w:val="0"/>
        <w:pageBreakBefore w:val="0"/>
        <w:widowControl w:val="0"/>
        <w:kinsoku/>
        <w:wordWrap/>
        <w:overflowPunct/>
        <w:topLinePunct w:val="0"/>
        <w:autoSpaceDE/>
        <w:autoSpaceDN/>
        <w:bidi w:val="0"/>
        <w:snapToGrid/>
        <w:spacing w:line="360" w:lineRule="auto"/>
        <w:ind w:left="0" w:leftChars="0" w:right="0" w:rightChars="0" w:firstLine="5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发包人逾期支付预付款超过</w:t>
      </w:r>
      <w:r>
        <w:rPr>
          <w:rFonts w:hint="eastAsia" w:ascii="仿宋" w:hAnsi="仿宋" w:eastAsia="仿宋" w:cs="仿宋"/>
          <w:color w:val="000000" w:themeColor="text1"/>
          <w:spacing w:val="-5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7</w:t>
      </w:r>
      <w:r>
        <w:rPr>
          <w:rFonts w:hint="eastAsia" w:ascii="仿宋" w:hAnsi="仿宋" w:eastAsia="仿宋" w:cs="仿宋"/>
          <w:color w:val="000000" w:themeColor="text1"/>
          <w:spacing w:val="-5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天的，承包人有权向发包人发</w:t>
      </w:r>
      <w:r>
        <w:rPr>
          <w:rFonts w:hint="eastAsia" w:ascii="仿宋" w:hAnsi="仿宋" w:eastAsia="仿宋" w:cs="仿宋"/>
          <w:color w:val="000000" w:themeColor="text1"/>
          <w:spacing w:val="-4"/>
          <w:sz w:val="24"/>
          <w:szCs w:val="24"/>
          <w:highlight w:val="none"/>
          <w14:textFill>
            <w14:solidFill>
              <w14:schemeClr w14:val="tx1"/>
            </w14:solidFill>
          </w14:textFill>
        </w:rPr>
        <w:t>出要求预付的催</w:t>
      </w:r>
      <w:r>
        <w:rPr>
          <w:rFonts w:hint="eastAsia" w:ascii="仿宋" w:hAnsi="仿宋" w:eastAsia="仿宋" w:cs="仿宋"/>
          <w:color w:val="000000" w:themeColor="text1"/>
          <w:spacing w:val="-2"/>
          <w:sz w:val="24"/>
          <w:szCs w:val="24"/>
          <w:highlight w:val="none"/>
          <w14:textFill>
            <w14:solidFill>
              <w14:schemeClr w14:val="tx1"/>
            </w14:solidFill>
          </w14:textFill>
        </w:rPr>
        <w:t>告通知，发包人收到通知后</w:t>
      </w:r>
      <w:r>
        <w:rPr>
          <w:rFonts w:hint="eastAsia" w:ascii="仿宋" w:hAnsi="仿宋" w:eastAsia="仿宋" w:cs="仿宋"/>
          <w:color w:val="000000" w:themeColor="text1"/>
          <w:spacing w:val="-4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7</w:t>
      </w:r>
      <w:r>
        <w:rPr>
          <w:rFonts w:hint="eastAsia" w:ascii="仿宋" w:hAnsi="仿宋" w:eastAsia="仿宋" w:cs="仿宋"/>
          <w:color w:val="000000" w:themeColor="text1"/>
          <w:spacing w:val="-5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天内仍未支付的，承包人有权暂停施工，并按第16.1.1</w:t>
      </w:r>
      <w:r>
        <w:rPr>
          <w:rFonts w:hint="eastAsia" w:ascii="仿宋" w:hAnsi="仿宋" w:eastAsia="仿宋" w:cs="仿宋"/>
          <w:color w:val="000000" w:themeColor="text1"/>
          <w:spacing w:val="-4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项〔发包人违约的情形〕执行。</w:t>
      </w:r>
    </w:p>
    <w:p w14:paraId="36C8C079">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12.2.2 预付款担保</w:t>
      </w:r>
    </w:p>
    <w:p w14:paraId="5A80E3A6">
      <w:pPr>
        <w:keepNext w:val="0"/>
        <w:keepLines w:val="0"/>
        <w:pageBreakBefore w:val="0"/>
        <w:widowControl w:val="0"/>
        <w:kinsoku/>
        <w:wordWrap/>
        <w:overflowPunct/>
        <w:topLinePunct w:val="0"/>
        <w:autoSpaceDE/>
        <w:autoSpaceDN/>
        <w:bidi w:val="0"/>
        <w:snapToGrid/>
        <w:spacing w:line="360" w:lineRule="auto"/>
        <w:ind w:left="0" w:leftChars="0" w:right="0" w:rightChars="0" w:firstLine="5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发包人要求承包人提供预付款担保的，承包人应在发包人支</w:t>
      </w:r>
      <w:r>
        <w:rPr>
          <w:rFonts w:hint="eastAsia" w:ascii="仿宋" w:hAnsi="仿宋" w:eastAsia="仿宋" w:cs="仿宋"/>
          <w:color w:val="000000" w:themeColor="text1"/>
          <w:spacing w:val="-4"/>
          <w:sz w:val="24"/>
          <w:szCs w:val="24"/>
          <w:highlight w:val="none"/>
          <w14:textFill>
            <w14:solidFill>
              <w14:schemeClr w14:val="tx1"/>
            </w14:solidFill>
          </w14:textFill>
        </w:rPr>
        <w:t>付预付款</w:t>
      </w:r>
      <w:r>
        <w:rPr>
          <w:rFonts w:hint="eastAsia" w:ascii="仿宋" w:hAnsi="仿宋" w:eastAsia="仿宋" w:cs="仿宋"/>
          <w:color w:val="000000" w:themeColor="text1"/>
          <w:spacing w:val="-5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7</w:t>
      </w:r>
      <w:r>
        <w:rPr>
          <w:rFonts w:hint="eastAsia" w:ascii="仿宋" w:hAnsi="仿宋" w:eastAsia="仿宋" w:cs="仿宋"/>
          <w:color w:val="000000" w:themeColor="text1"/>
          <w:spacing w:val="-5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天前</w:t>
      </w:r>
      <w:r>
        <w:rPr>
          <w:rFonts w:hint="eastAsia" w:ascii="仿宋" w:hAnsi="仿宋" w:eastAsia="仿宋" w:cs="仿宋"/>
          <w:color w:val="000000" w:themeColor="text1"/>
          <w:spacing w:val="-2"/>
          <w:sz w:val="24"/>
          <w:szCs w:val="24"/>
          <w:highlight w:val="none"/>
          <w14:textFill>
            <w14:solidFill>
              <w14:schemeClr w14:val="tx1"/>
            </w14:solidFill>
          </w14:textFill>
        </w:rPr>
        <w:t>提供预付款担保，专用合同条款另有约定除外。预付款担保可采用银行保函、保险公司担保形式，具体由合同当事人在专用合同条款中约定。在预付款完全扣</w:t>
      </w:r>
      <w:r>
        <w:rPr>
          <w:rFonts w:hint="eastAsia" w:ascii="仿宋" w:hAnsi="仿宋" w:eastAsia="仿宋" w:cs="仿宋"/>
          <w:color w:val="000000" w:themeColor="text1"/>
          <w:spacing w:val="-3"/>
          <w:sz w:val="24"/>
          <w:szCs w:val="24"/>
          <w:highlight w:val="none"/>
          <w14:textFill>
            <w14:solidFill>
              <w14:schemeClr w14:val="tx1"/>
            </w14:solidFill>
          </w14:textFill>
        </w:rPr>
        <w:t>回之前，承包人应保证预付款担保持续有效。</w:t>
      </w:r>
    </w:p>
    <w:p w14:paraId="43504BDD">
      <w:pPr>
        <w:keepNext w:val="0"/>
        <w:keepLines w:val="0"/>
        <w:pageBreakBefore w:val="0"/>
        <w:widowControl w:val="0"/>
        <w:kinsoku/>
        <w:wordWrap/>
        <w:overflowPunct/>
        <w:topLinePunct w:val="0"/>
        <w:autoSpaceDE/>
        <w:autoSpaceDN/>
        <w:bidi w:val="0"/>
        <w:snapToGrid/>
        <w:spacing w:line="360" w:lineRule="auto"/>
        <w:ind w:left="0" w:leftChars="0" w:right="0" w:rightChars="0" w:firstLine="54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发包人在工程款中逐期扣回预付款后，预付款担保额度应</w:t>
      </w:r>
      <w:r>
        <w:rPr>
          <w:rFonts w:hint="eastAsia" w:ascii="仿宋" w:hAnsi="仿宋" w:eastAsia="仿宋" w:cs="仿宋"/>
          <w:color w:val="000000" w:themeColor="text1"/>
          <w:spacing w:val="-3"/>
          <w:sz w:val="24"/>
          <w:szCs w:val="24"/>
          <w:highlight w:val="none"/>
          <w14:textFill>
            <w14:solidFill>
              <w14:schemeClr w14:val="tx1"/>
            </w14:solidFill>
          </w14:textFill>
        </w:rPr>
        <w:t>相应减少，但剩余的预付款担保金额不得低于未被扣回的预付款金额。</w:t>
      </w:r>
    </w:p>
    <w:p w14:paraId="51F5CEC2">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12.3</w:t>
      </w:r>
      <w:r>
        <w:rPr>
          <w:rFonts w:hint="eastAsia" w:ascii="仿宋" w:hAnsi="仿宋" w:eastAsia="仿宋" w:cs="仿宋"/>
          <w:color w:val="000000" w:themeColor="text1"/>
          <w:spacing w:val="-6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计量</w:t>
      </w:r>
    </w:p>
    <w:p w14:paraId="6F85BEFD">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12.3.1 计量原则</w:t>
      </w:r>
    </w:p>
    <w:p w14:paraId="0112E945">
      <w:pPr>
        <w:keepNext w:val="0"/>
        <w:keepLines w:val="0"/>
        <w:pageBreakBefore w:val="0"/>
        <w:widowControl w:val="0"/>
        <w:kinsoku/>
        <w:wordWrap/>
        <w:overflowPunct/>
        <w:topLinePunct w:val="0"/>
        <w:autoSpaceDE/>
        <w:autoSpaceDN/>
        <w:bidi w:val="0"/>
        <w:snapToGrid/>
        <w:spacing w:line="360" w:lineRule="auto"/>
        <w:ind w:left="0" w:leftChars="0" w:right="0" w:rightChars="0" w:firstLine="56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工程量计量按照合同约定的工程量计算规则、图纸及变更指示等进行计量。工程量计算规则应以相关的国家标准、行业标准等为依据，由合同当事人在专用合同条款中约定。</w:t>
      </w:r>
    </w:p>
    <w:p w14:paraId="2FCF7C8B">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12.3.2 计量周期</w:t>
      </w:r>
    </w:p>
    <w:p w14:paraId="4BF6C341">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除专用合同条款另有约定外，工程量的计量按</w:t>
      </w:r>
      <w:r>
        <w:rPr>
          <w:rFonts w:hint="eastAsia" w:ascii="仿宋" w:hAnsi="仿宋" w:eastAsia="仿宋" w:cs="仿宋"/>
          <w:color w:val="000000" w:themeColor="text1"/>
          <w:spacing w:val="-2"/>
          <w:sz w:val="24"/>
          <w:szCs w:val="24"/>
          <w:highlight w:val="none"/>
          <w14:textFill>
            <w14:solidFill>
              <w14:schemeClr w14:val="tx1"/>
            </w14:solidFill>
          </w14:textFill>
        </w:rPr>
        <w:t>月进行。</w:t>
      </w:r>
    </w:p>
    <w:p w14:paraId="1C09353A">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12.3.3 单价合同的计量</w:t>
      </w:r>
    </w:p>
    <w:p w14:paraId="3E211024">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除专用合同条款另有约定外，单价合同的计量按照本项约定执行：</w:t>
      </w:r>
    </w:p>
    <w:p w14:paraId="121DD51F">
      <w:pPr>
        <w:keepNext w:val="0"/>
        <w:keepLines w:val="0"/>
        <w:pageBreakBefore w:val="0"/>
        <w:widowControl w:val="0"/>
        <w:kinsoku/>
        <w:wordWrap/>
        <w:overflowPunct/>
        <w:topLinePunct w:val="0"/>
        <w:autoSpaceDE/>
        <w:autoSpaceDN/>
        <w:bidi w:val="0"/>
        <w:snapToGrid/>
        <w:spacing w:line="360" w:lineRule="auto"/>
        <w:ind w:left="0" w:leftChars="0" w:right="0" w:rightChars="0" w:firstLine="56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9"/>
          <w:sz w:val="24"/>
          <w:szCs w:val="24"/>
          <w:highlight w:val="none"/>
          <w14:textFill>
            <w14:solidFill>
              <w14:schemeClr w14:val="tx1"/>
            </w14:solidFill>
          </w14:textFill>
        </w:rPr>
        <w:t>（1）承包人应于每月</w:t>
      </w:r>
      <w:r>
        <w:rPr>
          <w:rFonts w:hint="eastAsia" w:ascii="仿宋" w:hAnsi="仿宋" w:eastAsia="仿宋" w:cs="仿宋"/>
          <w:color w:val="000000" w:themeColor="text1"/>
          <w:spacing w:val="-5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9"/>
          <w:sz w:val="24"/>
          <w:szCs w:val="24"/>
          <w:highlight w:val="none"/>
          <w14:textFill>
            <w14:solidFill>
              <w14:schemeClr w14:val="tx1"/>
            </w14:solidFill>
          </w14:textFill>
        </w:rPr>
        <w:t>25 日向监理人报送上月</w:t>
      </w:r>
      <w:r>
        <w:rPr>
          <w:rFonts w:hint="eastAsia" w:ascii="仿宋" w:hAnsi="仿宋" w:eastAsia="仿宋" w:cs="仿宋"/>
          <w:color w:val="000000" w:themeColor="text1"/>
          <w:spacing w:val="-5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9"/>
          <w:sz w:val="24"/>
          <w:szCs w:val="24"/>
          <w:highlight w:val="none"/>
          <w14:textFill>
            <w14:solidFill>
              <w14:schemeClr w14:val="tx1"/>
            </w14:solidFill>
          </w14:textFill>
        </w:rPr>
        <w:t>20日至当月</w:t>
      </w:r>
      <w:r>
        <w:rPr>
          <w:rFonts w:hint="eastAsia" w:ascii="仿宋" w:hAnsi="仿宋" w:eastAsia="仿宋" w:cs="仿宋"/>
          <w:color w:val="000000" w:themeColor="text1"/>
          <w:spacing w:val="-4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9"/>
          <w:sz w:val="24"/>
          <w:szCs w:val="24"/>
          <w:highlight w:val="none"/>
          <w14:textFill>
            <w14:solidFill>
              <w14:schemeClr w14:val="tx1"/>
            </w14:solidFill>
          </w14:textFill>
        </w:rPr>
        <w:t>19日已完成的工</w:t>
      </w:r>
      <w:r>
        <w:rPr>
          <w:rFonts w:hint="eastAsia" w:ascii="仿宋" w:hAnsi="仿宋" w:eastAsia="仿宋" w:cs="仿宋"/>
          <w:color w:val="000000" w:themeColor="text1"/>
          <w:spacing w:val="-1"/>
          <w:sz w:val="24"/>
          <w:szCs w:val="24"/>
          <w:highlight w:val="none"/>
          <w14:textFill>
            <w14:solidFill>
              <w14:schemeClr w14:val="tx1"/>
            </w14:solidFill>
          </w14:textFill>
        </w:rPr>
        <w:t>程量报告，并附具进度付款申请单、已完成工程量报表和有关</w:t>
      </w:r>
      <w:r>
        <w:rPr>
          <w:rFonts w:hint="eastAsia" w:ascii="仿宋" w:hAnsi="仿宋" w:eastAsia="仿宋" w:cs="仿宋"/>
          <w:color w:val="000000" w:themeColor="text1"/>
          <w:spacing w:val="-2"/>
          <w:sz w:val="24"/>
          <w:szCs w:val="24"/>
          <w:highlight w:val="none"/>
          <w14:textFill>
            <w14:solidFill>
              <w14:schemeClr w14:val="tx1"/>
            </w14:solidFill>
          </w14:textFill>
        </w:rPr>
        <w:t>资料。</w:t>
      </w:r>
    </w:p>
    <w:p w14:paraId="29951A76">
      <w:pPr>
        <w:keepNext w:val="0"/>
        <w:keepLines w:val="0"/>
        <w:pageBreakBefore w:val="0"/>
        <w:widowControl w:val="0"/>
        <w:kinsoku/>
        <w:wordWrap/>
        <w:overflowPunct/>
        <w:topLinePunct w:val="0"/>
        <w:autoSpaceDE/>
        <w:autoSpaceDN/>
        <w:bidi w:val="0"/>
        <w:snapToGrid/>
        <w:spacing w:line="360" w:lineRule="auto"/>
        <w:ind w:left="0" w:leftChars="0" w:right="0" w:rightChars="0" w:firstLine="56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（2）监理人应在收到承包人提交的工程量报告后</w:t>
      </w:r>
      <w:r>
        <w:rPr>
          <w:rFonts w:hint="eastAsia" w:ascii="仿宋" w:hAnsi="仿宋" w:eastAsia="仿宋" w:cs="仿宋"/>
          <w:color w:val="000000" w:themeColor="text1"/>
          <w:spacing w:val="-4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7</w:t>
      </w:r>
      <w:r>
        <w:rPr>
          <w:rFonts w:hint="eastAsia" w:ascii="仿宋" w:hAnsi="仿宋" w:eastAsia="仿宋" w:cs="仿宋"/>
          <w:color w:val="000000" w:themeColor="text1"/>
          <w:spacing w:val="-5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天内完成对承包人提交</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的工程量报表的审核并报送发包人，以确定当月实际完成的工程量。监理人对工</w:t>
      </w:r>
      <w:r>
        <w:rPr>
          <w:rFonts w:hint="eastAsia" w:ascii="仿宋" w:hAnsi="仿宋" w:eastAsia="仿宋" w:cs="仿宋"/>
          <w:color w:val="000000" w:themeColor="text1"/>
          <w:spacing w:val="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程量有异议的，有权要求承包人进行共同复核或抽样复测。承包人应协助监理人</w:t>
      </w:r>
      <w:r>
        <w:rPr>
          <w:rFonts w:hint="eastAsia" w:ascii="仿宋" w:hAnsi="仿宋" w:eastAsia="仿宋" w:cs="仿宋"/>
          <w:color w:val="000000" w:themeColor="text1"/>
          <w:spacing w:val="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进行复核或抽样复测，并按监理人要求提供补充计量资料。承包人未按监理人要</w:t>
      </w:r>
      <w:r>
        <w:rPr>
          <w:rFonts w:hint="eastAsia" w:ascii="仿宋" w:hAnsi="仿宋" w:eastAsia="仿宋" w:cs="仿宋"/>
          <w:color w:val="000000" w:themeColor="text1"/>
          <w:spacing w:val="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求参加复核或抽样复测的，监理人复核或修正的工程量视为承包人实际完成的工</w:t>
      </w:r>
      <w:r>
        <w:rPr>
          <w:rFonts w:hint="eastAsia" w:ascii="仿宋" w:hAnsi="仿宋" w:eastAsia="仿宋" w:cs="仿宋"/>
          <w:color w:val="000000" w:themeColor="text1"/>
          <w:spacing w:val="-11"/>
          <w:sz w:val="24"/>
          <w:szCs w:val="24"/>
          <w:highlight w:val="none"/>
          <w14:textFill>
            <w14:solidFill>
              <w14:schemeClr w14:val="tx1"/>
            </w14:solidFill>
          </w14:textFill>
        </w:rPr>
        <w:t>程量。</w:t>
      </w:r>
    </w:p>
    <w:p w14:paraId="38AD13E2">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（3）监理人未在收到承包人提交的工程量报表后的</w:t>
      </w:r>
      <w:r>
        <w:rPr>
          <w:rFonts w:hint="eastAsia" w:ascii="仿宋" w:hAnsi="仿宋" w:eastAsia="仿宋" w:cs="仿宋"/>
          <w:color w:val="000000" w:themeColor="text1"/>
          <w:spacing w:val="-3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7</w:t>
      </w:r>
      <w:r>
        <w:rPr>
          <w:rFonts w:hint="eastAsia" w:ascii="仿宋" w:hAnsi="仿宋" w:eastAsia="仿宋" w:cs="仿宋"/>
          <w:color w:val="000000" w:themeColor="text1"/>
          <w:spacing w:val="-5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天内完成审核的，承包人报送的工程量报告中的工程量视为承包人实际完成的工程量，据此计算工程</w:t>
      </w:r>
      <w:r>
        <w:rPr>
          <w:rFonts w:hint="eastAsia" w:ascii="仿宋" w:hAnsi="仿宋" w:eastAsia="仿宋" w:cs="仿宋"/>
          <w:color w:val="000000" w:themeColor="text1"/>
          <w:spacing w:val="-12"/>
          <w:sz w:val="24"/>
          <w:szCs w:val="24"/>
          <w:highlight w:val="none"/>
          <w14:textFill>
            <w14:solidFill>
              <w14:schemeClr w14:val="tx1"/>
            </w14:solidFill>
          </w14:textFill>
        </w:rPr>
        <w:t>价款。</w:t>
      </w:r>
    </w:p>
    <w:p w14:paraId="190E9732">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12.3.4 总价合同的计量</w:t>
      </w:r>
    </w:p>
    <w:p w14:paraId="7828CC6E">
      <w:pPr>
        <w:keepNext w:val="0"/>
        <w:keepLines w:val="0"/>
        <w:pageBreakBefore w:val="0"/>
        <w:widowControl w:val="0"/>
        <w:kinsoku/>
        <w:wordWrap/>
        <w:overflowPunct/>
        <w:topLinePunct w:val="0"/>
        <w:autoSpaceDE/>
        <w:autoSpaceDN/>
        <w:bidi w:val="0"/>
        <w:snapToGrid/>
        <w:spacing w:line="360" w:lineRule="auto"/>
        <w:ind w:left="0" w:leftChars="0" w:right="0" w:rightChars="0" w:firstLine="448" w:firstLineChars="2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8"/>
          <w:sz w:val="24"/>
          <w:szCs w:val="24"/>
          <w:highlight w:val="none"/>
          <w14:textFill>
            <w14:solidFill>
              <w14:schemeClr w14:val="tx1"/>
            </w14:solidFill>
          </w14:textFill>
        </w:rPr>
        <w:t>除专用合同条款另有约定外，按月计量支付</w:t>
      </w:r>
      <w:r>
        <w:rPr>
          <w:rFonts w:hint="eastAsia" w:ascii="仿宋" w:hAnsi="仿宋" w:eastAsia="仿宋" w:cs="仿宋"/>
          <w:color w:val="000000" w:themeColor="text1"/>
          <w:spacing w:val="-9"/>
          <w:sz w:val="24"/>
          <w:szCs w:val="24"/>
          <w:highlight w:val="none"/>
          <w14:textFill>
            <w14:solidFill>
              <w14:schemeClr w14:val="tx1"/>
            </w14:solidFill>
          </w14:textFill>
        </w:rPr>
        <w:t>的总价合同，按照本项约定执行：</w:t>
      </w:r>
    </w:p>
    <w:p w14:paraId="4EFD94A1">
      <w:pPr>
        <w:keepNext w:val="0"/>
        <w:keepLines w:val="0"/>
        <w:pageBreakBefore w:val="0"/>
        <w:widowControl w:val="0"/>
        <w:kinsoku/>
        <w:wordWrap/>
        <w:overflowPunct/>
        <w:topLinePunct w:val="0"/>
        <w:autoSpaceDE/>
        <w:autoSpaceDN/>
        <w:bidi w:val="0"/>
        <w:snapToGrid/>
        <w:spacing w:line="360" w:lineRule="auto"/>
        <w:ind w:left="0" w:leftChars="0" w:right="0" w:rightChars="0" w:firstLine="56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9"/>
          <w:sz w:val="24"/>
          <w:szCs w:val="24"/>
          <w:highlight w:val="none"/>
          <w14:textFill>
            <w14:solidFill>
              <w14:schemeClr w14:val="tx1"/>
            </w14:solidFill>
          </w14:textFill>
        </w:rPr>
        <w:t>（1）承包人应于每月25日向监理人报送上月20日至当月19日已完成的工</w:t>
      </w:r>
      <w:r>
        <w:rPr>
          <w:rFonts w:hint="eastAsia" w:ascii="仿宋" w:hAnsi="仿宋" w:eastAsia="仿宋" w:cs="仿宋"/>
          <w:color w:val="000000" w:themeColor="text1"/>
          <w:spacing w:val="-1"/>
          <w:sz w:val="24"/>
          <w:szCs w:val="24"/>
          <w:highlight w:val="none"/>
          <w14:textFill>
            <w14:solidFill>
              <w14:schemeClr w14:val="tx1"/>
            </w14:solidFill>
          </w14:textFill>
        </w:rPr>
        <w:t>程量报告，并附具进度付款申请单、已完成工程量报表和有关</w:t>
      </w:r>
      <w:r>
        <w:rPr>
          <w:rFonts w:hint="eastAsia" w:ascii="仿宋" w:hAnsi="仿宋" w:eastAsia="仿宋" w:cs="仿宋"/>
          <w:color w:val="000000" w:themeColor="text1"/>
          <w:spacing w:val="-2"/>
          <w:sz w:val="24"/>
          <w:szCs w:val="24"/>
          <w:highlight w:val="none"/>
          <w14:textFill>
            <w14:solidFill>
              <w14:schemeClr w14:val="tx1"/>
            </w14:solidFill>
          </w14:textFill>
        </w:rPr>
        <w:t>资料。</w:t>
      </w:r>
    </w:p>
    <w:p w14:paraId="55B7D0A8">
      <w:pPr>
        <w:keepNext w:val="0"/>
        <w:keepLines w:val="0"/>
        <w:pageBreakBefore w:val="0"/>
        <w:widowControl w:val="0"/>
        <w:kinsoku/>
        <w:wordWrap/>
        <w:overflowPunct/>
        <w:topLinePunct w:val="0"/>
        <w:autoSpaceDE/>
        <w:autoSpaceDN/>
        <w:bidi w:val="0"/>
        <w:snapToGrid/>
        <w:spacing w:line="360" w:lineRule="auto"/>
        <w:ind w:left="0" w:leftChars="0" w:right="0" w:rightChars="0" w:firstLine="56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（2）监理人应在收到承包人提交的工程量报告后</w:t>
      </w:r>
      <w:r>
        <w:rPr>
          <w:rFonts w:hint="eastAsia" w:ascii="仿宋" w:hAnsi="仿宋" w:eastAsia="仿宋" w:cs="仿宋"/>
          <w:color w:val="000000" w:themeColor="text1"/>
          <w:spacing w:val="-4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7</w:t>
      </w:r>
      <w:r>
        <w:rPr>
          <w:rFonts w:hint="eastAsia" w:ascii="仿宋" w:hAnsi="仿宋" w:eastAsia="仿宋" w:cs="仿宋"/>
          <w:color w:val="000000" w:themeColor="text1"/>
          <w:spacing w:val="-5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w:t>
      </w:r>
      <w:r>
        <w:rPr>
          <w:rFonts w:hint="eastAsia" w:ascii="仿宋" w:hAnsi="仿宋" w:eastAsia="仿宋" w:cs="仿宋"/>
          <w:color w:val="000000" w:themeColor="text1"/>
          <w:spacing w:val="-13"/>
          <w:sz w:val="24"/>
          <w:szCs w:val="24"/>
          <w:highlight w:val="none"/>
          <w14:textFill>
            <w14:solidFill>
              <w14:schemeClr w14:val="tx1"/>
            </w14:solidFill>
          </w14:textFill>
        </w:rPr>
        <w:t>量。</w:t>
      </w:r>
    </w:p>
    <w:p w14:paraId="2F26D2D2">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（3）监理人未在收到承包人提交的工程量报表后的</w:t>
      </w:r>
      <w:r>
        <w:rPr>
          <w:rFonts w:hint="eastAsia" w:ascii="仿宋" w:hAnsi="仿宋" w:eastAsia="仿宋" w:cs="仿宋"/>
          <w:color w:val="000000" w:themeColor="text1"/>
          <w:spacing w:val="-3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7</w:t>
      </w:r>
      <w:r>
        <w:rPr>
          <w:rFonts w:hint="eastAsia" w:ascii="仿宋" w:hAnsi="仿宋" w:eastAsia="仿宋" w:cs="仿宋"/>
          <w:color w:val="000000" w:themeColor="text1"/>
          <w:spacing w:val="-5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天内完成复核的，承</w:t>
      </w:r>
      <w:r>
        <w:rPr>
          <w:rFonts w:hint="eastAsia" w:ascii="仿宋" w:hAnsi="仿宋" w:eastAsia="仿宋" w:cs="仿宋"/>
          <w:color w:val="000000" w:themeColor="text1"/>
          <w:spacing w:val="-1"/>
          <w:sz w:val="24"/>
          <w:szCs w:val="24"/>
          <w:highlight w:val="none"/>
          <w14:textFill>
            <w14:solidFill>
              <w14:schemeClr w14:val="tx1"/>
            </w14:solidFill>
          </w14:textFill>
        </w:rPr>
        <w:t>包人提交的工程量报告中的工程量视为承包人实际完成的工程量。</w:t>
      </w:r>
    </w:p>
    <w:p w14:paraId="3EB1771C">
      <w:pPr>
        <w:keepNext w:val="0"/>
        <w:keepLines w:val="0"/>
        <w:pageBreakBefore w:val="0"/>
        <w:widowControl w:val="0"/>
        <w:kinsoku/>
        <w:wordWrap/>
        <w:overflowPunct/>
        <w:topLinePunct w:val="0"/>
        <w:autoSpaceDE/>
        <w:autoSpaceDN/>
        <w:bidi w:val="0"/>
        <w:snapToGrid/>
        <w:spacing w:line="360" w:lineRule="auto"/>
        <w:ind w:left="0" w:leftChars="0" w:right="0" w:rightChars="0" w:firstLine="57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12.3.5 总价合同采用支付分解表计量支</w:t>
      </w:r>
      <w:r>
        <w:rPr>
          <w:rFonts w:hint="eastAsia" w:ascii="仿宋" w:hAnsi="仿宋" w:eastAsia="仿宋" w:cs="仿宋"/>
          <w:color w:val="000000" w:themeColor="text1"/>
          <w:spacing w:val="-4"/>
          <w:sz w:val="24"/>
          <w:szCs w:val="24"/>
          <w:highlight w:val="none"/>
          <w14:textFill>
            <w14:solidFill>
              <w14:schemeClr w14:val="tx1"/>
            </w14:solidFill>
          </w14:textFill>
        </w:rPr>
        <w:t>付的，可以按照第12.3.4</w:t>
      </w:r>
      <w:r>
        <w:rPr>
          <w:rFonts w:hint="eastAsia" w:ascii="仿宋" w:hAnsi="仿宋" w:eastAsia="仿宋" w:cs="仿宋"/>
          <w:color w:val="000000" w:themeColor="text1"/>
          <w:spacing w:val="-5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项〔总价</w:t>
      </w:r>
      <w:r>
        <w:rPr>
          <w:rFonts w:hint="eastAsia" w:ascii="仿宋" w:hAnsi="仿宋" w:eastAsia="仿宋" w:cs="仿宋"/>
          <w:color w:val="000000" w:themeColor="text1"/>
          <w:spacing w:val="-1"/>
          <w:sz w:val="24"/>
          <w:szCs w:val="24"/>
          <w:highlight w:val="none"/>
          <w14:textFill>
            <w14:solidFill>
              <w14:schemeClr w14:val="tx1"/>
            </w14:solidFill>
          </w14:textFill>
        </w:rPr>
        <w:t>合同的计量〕约定进行计量，但合同价款按照支付分解表</w:t>
      </w:r>
      <w:r>
        <w:rPr>
          <w:rFonts w:hint="eastAsia" w:ascii="仿宋" w:hAnsi="仿宋" w:eastAsia="仿宋" w:cs="仿宋"/>
          <w:color w:val="000000" w:themeColor="text1"/>
          <w:spacing w:val="-2"/>
          <w:sz w:val="24"/>
          <w:szCs w:val="24"/>
          <w:highlight w:val="none"/>
          <w14:textFill>
            <w14:solidFill>
              <w14:schemeClr w14:val="tx1"/>
            </w14:solidFill>
          </w14:textFill>
        </w:rPr>
        <w:t>进行支付。</w:t>
      </w:r>
    </w:p>
    <w:p w14:paraId="539BE672">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12.3.6 其他价格形式合同的计量</w:t>
      </w:r>
    </w:p>
    <w:p w14:paraId="765DF401">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合同当事人可在专用合同条款中约定其他价格形式合同的计量方式和程序。</w:t>
      </w:r>
    </w:p>
    <w:p w14:paraId="184C6045">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12.4</w:t>
      </w:r>
      <w:r>
        <w:rPr>
          <w:rFonts w:hint="eastAsia" w:ascii="仿宋" w:hAnsi="仿宋" w:eastAsia="仿宋" w:cs="仿宋"/>
          <w:color w:val="000000" w:themeColor="text1"/>
          <w:spacing w:val="-5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工程进度款支付</w:t>
      </w:r>
    </w:p>
    <w:p w14:paraId="297C878F">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12.4.1 付款周期</w:t>
      </w:r>
    </w:p>
    <w:p w14:paraId="59C5F4E8">
      <w:pPr>
        <w:keepNext w:val="0"/>
        <w:keepLines w:val="0"/>
        <w:pageBreakBefore w:val="0"/>
        <w:widowControl w:val="0"/>
        <w:kinsoku/>
        <w:wordWrap/>
        <w:overflowPunct/>
        <w:topLinePunct w:val="0"/>
        <w:autoSpaceDE/>
        <w:autoSpaceDN/>
        <w:bidi w:val="0"/>
        <w:snapToGrid/>
        <w:spacing w:line="360" w:lineRule="auto"/>
        <w:ind w:left="0" w:leftChars="0" w:right="0" w:rightChars="0" w:firstLine="56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除专用合同条款另有约定外，付款周期应按照第</w:t>
      </w:r>
      <w:r>
        <w:rPr>
          <w:rFonts w:hint="eastAsia" w:ascii="仿宋" w:hAnsi="仿宋" w:eastAsia="仿宋" w:cs="仿宋"/>
          <w:color w:val="000000" w:themeColor="text1"/>
          <w:spacing w:val="-4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12.3.2</w:t>
      </w:r>
      <w:r>
        <w:rPr>
          <w:rFonts w:hint="eastAsia" w:ascii="仿宋" w:hAnsi="仿宋" w:eastAsia="仿宋" w:cs="仿宋"/>
          <w:color w:val="000000" w:themeColor="text1"/>
          <w:spacing w:val="-5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项〔计量周期</w:t>
      </w:r>
      <w:r>
        <w:rPr>
          <w:rFonts w:hint="eastAsia" w:ascii="仿宋" w:hAnsi="仿宋" w:eastAsia="仿宋" w:cs="仿宋"/>
          <w:color w:val="000000" w:themeColor="text1"/>
          <w:spacing w:val="-3"/>
          <w:sz w:val="24"/>
          <w:szCs w:val="24"/>
          <w:highlight w:val="none"/>
          <w14:textFill>
            <w14:solidFill>
              <w14:schemeClr w14:val="tx1"/>
            </w14:solidFill>
          </w14:textFill>
        </w:rPr>
        <w:t>〕的</w:t>
      </w:r>
      <w:r>
        <w:rPr>
          <w:rFonts w:hint="eastAsia" w:ascii="仿宋" w:hAnsi="仿宋" w:eastAsia="仿宋" w:cs="仿宋"/>
          <w:color w:val="000000" w:themeColor="text1"/>
          <w:spacing w:val="-4"/>
          <w:sz w:val="24"/>
          <w:szCs w:val="24"/>
          <w:highlight w:val="none"/>
          <w14:textFill>
            <w14:solidFill>
              <w14:schemeClr w14:val="tx1"/>
            </w14:solidFill>
          </w14:textFill>
        </w:rPr>
        <w:t>约定与计量周期保持一致。</w:t>
      </w:r>
    </w:p>
    <w:p w14:paraId="6F92CE4F">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12.4.2 进度付款申请单的编制</w:t>
      </w:r>
    </w:p>
    <w:p w14:paraId="7F433490">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除专用合同条款另有约定外，进度付款申请单应包括下列内容：</w:t>
      </w:r>
    </w:p>
    <w:p w14:paraId="5FB9BCB7">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（1）截至本次付款周期已完成工作对应的金额；</w:t>
      </w:r>
    </w:p>
    <w:p w14:paraId="44E2D373">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（2）根据第10条〔变更〕应增加和扣减的变更金额；</w:t>
      </w:r>
    </w:p>
    <w:p w14:paraId="2D5A3979">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（3）根据第12.2款〔预付款〕约定应支付的预付款和扣减的返还预付款；</w:t>
      </w:r>
    </w:p>
    <w:p w14:paraId="6935628E">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（4）根据第15.3款〔质量保证金〕约定应扣减的质量</w:t>
      </w:r>
      <w:r>
        <w:rPr>
          <w:rFonts w:hint="eastAsia" w:ascii="仿宋" w:hAnsi="仿宋" w:eastAsia="仿宋" w:cs="仿宋"/>
          <w:color w:val="000000" w:themeColor="text1"/>
          <w:spacing w:val="-3"/>
          <w:sz w:val="24"/>
          <w:szCs w:val="24"/>
          <w:highlight w:val="none"/>
          <w14:textFill>
            <w14:solidFill>
              <w14:schemeClr w14:val="tx1"/>
            </w14:solidFill>
          </w14:textFill>
        </w:rPr>
        <w:t>保证金；</w:t>
      </w:r>
    </w:p>
    <w:p w14:paraId="11BEB518">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（5）根据第19条〔索赔〕应增加和扣减的索赔金额；</w:t>
      </w:r>
    </w:p>
    <w:p w14:paraId="64D15625">
      <w:pPr>
        <w:keepNext w:val="0"/>
        <w:keepLines w:val="0"/>
        <w:pageBreakBefore w:val="0"/>
        <w:widowControl w:val="0"/>
        <w:kinsoku/>
        <w:wordWrap/>
        <w:overflowPunct/>
        <w:topLinePunct w:val="0"/>
        <w:autoSpaceDE/>
        <w:autoSpaceDN/>
        <w:bidi w:val="0"/>
        <w:snapToGrid/>
        <w:spacing w:line="360" w:lineRule="auto"/>
        <w:ind w:left="0" w:leftChars="0" w:right="0" w:rightChars="0" w:firstLine="56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（6）对已签发的进度款支付证书中出现错误的修正，应在本次进度付款中支付或扣除的金额；</w:t>
      </w:r>
    </w:p>
    <w:p w14:paraId="72B03B6B">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（7）根据合同约定应增加和扣减的其他金额。</w:t>
      </w:r>
    </w:p>
    <w:p w14:paraId="71CBC28D">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12.4.3 进度付款申请单的提交</w:t>
      </w:r>
    </w:p>
    <w:p w14:paraId="3066D613">
      <w:pPr>
        <w:keepNext w:val="0"/>
        <w:keepLines w:val="0"/>
        <w:pageBreakBefore w:val="0"/>
        <w:widowControl w:val="0"/>
        <w:kinsoku/>
        <w:wordWrap/>
        <w:overflowPunct/>
        <w:topLinePunct w:val="0"/>
        <w:autoSpaceDE/>
        <w:autoSpaceDN/>
        <w:bidi w:val="0"/>
        <w:snapToGrid/>
        <w:spacing w:line="360" w:lineRule="auto"/>
        <w:ind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（1）单价合同进度付款申请单的提交</w:t>
      </w:r>
    </w:p>
    <w:p w14:paraId="3D9F40AC">
      <w:pPr>
        <w:keepNext w:val="0"/>
        <w:keepLines w:val="0"/>
        <w:pageBreakBefore w:val="0"/>
        <w:widowControl w:val="0"/>
        <w:kinsoku/>
        <w:wordWrap/>
        <w:overflowPunct/>
        <w:topLinePunct w:val="0"/>
        <w:autoSpaceDE/>
        <w:autoSpaceDN/>
        <w:bidi w:val="0"/>
        <w:snapToGrid/>
        <w:spacing w:line="360" w:lineRule="auto"/>
        <w:ind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单价合同的进度付款申请单，按照第12.3.3项〔单价合同的计量〕约定的时间按月向监理人提交，并附上已完成工程量报表和有关资料。单价合同中的</w:t>
      </w:r>
      <w:r>
        <w:rPr>
          <w:rFonts w:hint="eastAsia" w:ascii="仿宋" w:hAnsi="仿宋" w:eastAsia="仿宋" w:cs="仿宋"/>
          <w:color w:val="000000" w:themeColor="text1"/>
          <w:spacing w:val="-3"/>
          <w:sz w:val="24"/>
          <w:szCs w:val="24"/>
          <w:highlight w:val="none"/>
          <w14:textFill>
            <w14:solidFill>
              <w14:schemeClr w14:val="tx1"/>
            </w14:solidFill>
          </w14:textFill>
        </w:rPr>
        <w:t>总价</w:t>
      </w:r>
      <w:r>
        <w:rPr>
          <w:rFonts w:hint="eastAsia" w:ascii="仿宋" w:hAnsi="仿宋" w:eastAsia="仿宋" w:cs="仿宋"/>
          <w:color w:val="000000" w:themeColor="text1"/>
          <w:spacing w:val="-2"/>
          <w:sz w:val="24"/>
          <w:szCs w:val="24"/>
          <w:highlight w:val="none"/>
          <w14:textFill>
            <w14:solidFill>
              <w14:schemeClr w14:val="tx1"/>
            </w14:solidFill>
          </w14:textFill>
        </w:rPr>
        <w:t>项目按月进行支付分解，并汇总列入当期进度付款申请单。</w:t>
      </w:r>
    </w:p>
    <w:p w14:paraId="1D544E18">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（2）总价合同进度付款申请单的提交</w:t>
      </w:r>
    </w:p>
    <w:p w14:paraId="10FF3297">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总价合同按月计量支付的，承包人按照第12.3.4项〔总价合同的计量〕约定</w:t>
      </w:r>
      <w:r>
        <w:rPr>
          <w:rFonts w:hint="eastAsia" w:ascii="仿宋" w:hAnsi="仿宋" w:eastAsia="仿宋" w:cs="仿宋"/>
          <w:color w:val="000000" w:themeColor="text1"/>
          <w:spacing w:val="-1"/>
          <w:sz w:val="24"/>
          <w:szCs w:val="24"/>
          <w:highlight w:val="none"/>
          <w14:textFill>
            <w14:solidFill>
              <w14:schemeClr w14:val="tx1"/>
            </w14:solidFill>
          </w14:textFill>
        </w:rPr>
        <w:t>的时间按月向监理人提交进度付款申请单，并附上已完成工程量报表和有关资</w:t>
      </w:r>
      <w:r>
        <w:rPr>
          <w:rFonts w:hint="eastAsia" w:ascii="仿宋" w:hAnsi="仿宋" w:eastAsia="仿宋" w:cs="仿宋"/>
          <w:color w:val="000000" w:themeColor="text1"/>
          <w:spacing w:val="-13"/>
          <w:sz w:val="24"/>
          <w:szCs w:val="24"/>
          <w:highlight w:val="none"/>
          <w14:textFill>
            <w14:solidFill>
              <w14:schemeClr w14:val="tx1"/>
            </w14:solidFill>
          </w14:textFill>
        </w:rPr>
        <w:t>料。</w:t>
      </w:r>
    </w:p>
    <w:p w14:paraId="019E55EF">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总价合同按支付分解表支付的，承包人应按照第12.4.6项〔支付分解</w:t>
      </w:r>
      <w:r>
        <w:rPr>
          <w:rFonts w:hint="eastAsia" w:ascii="仿宋" w:hAnsi="仿宋" w:eastAsia="仿宋" w:cs="仿宋"/>
          <w:color w:val="000000" w:themeColor="text1"/>
          <w:spacing w:val="-3"/>
          <w:sz w:val="24"/>
          <w:szCs w:val="24"/>
          <w:highlight w:val="none"/>
          <w14:textFill>
            <w14:solidFill>
              <w14:schemeClr w14:val="tx1"/>
            </w14:solidFill>
          </w14:textFill>
        </w:rPr>
        <w:t>表〕及</w:t>
      </w:r>
      <w:r>
        <w:rPr>
          <w:rFonts w:hint="eastAsia" w:ascii="仿宋" w:hAnsi="仿宋" w:eastAsia="仿宋" w:cs="仿宋"/>
          <w:color w:val="000000" w:themeColor="text1"/>
          <w:spacing w:val="-1"/>
          <w:sz w:val="24"/>
          <w:szCs w:val="24"/>
          <w:highlight w:val="none"/>
          <w14:textFill>
            <w14:solidFill>
              <w14:schemeClr w14:val="tx1"/>
            </w14:solidFill>
          </w14:textFill>
        </w:rPr>
        <w:t>第12.4.2项〔进度付款申请单的编制〕的约定向监理人提交进度付款申请单。</w:t>
      </w:r>
    </w:p>
    <w:p w14:paraId="7CBEC5EC">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（3）其他价格形式合同的进度付款申请单的提交</w:t>
      </w:r>
    </w:p>
    <w:p w14:paraId="6E576FDD">
      <w:pPr>
        <w:keepNext w:val="0"/>
        <w:keepLines w:val="0"/>
        <w:pageBreakBefore w:val="0"/>
        <w:widowControl w:val="0"/>
        <w:kinsoku/>
        <w:wordWrap/>
        <w:overflowPunct/>
        <w:topLinePunct w:val="0"/>
        <w:autoSpaceDE/>
        <w:autoSpaceDN/>
        <w:bidi w:val="0"/>
        <w:snapToGrid/>
        <w:spacing w:line="360" w:lineRule="auto"/>
        <w:ind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合同当事人可在专用合同条款中约定其他价格形式合同的进度付款申请单</w:t>
      </w:r>
      <w:r>
        <w:rPr>
          <w:rFonts w:hint="eastAsia" w:ascii="仿宋" w:hAnsi="仿宋" w:eastAsia="仿宋" w:cs="仿宋"/>
          <w:color w:val="000000" w:themeColor="text1"/>
          <w:spacing w:val="-4"/>
          <w:sz w:val="24"/>
          <w:szCs w:val="24"/>
          <w:highlight w:val="none"/>
          <w14:textFill>
            <w14:solidFill>
              <w14:schemeClr w14:val="tx1"/>
            </w14:solidFill>
          </w14:textFill>
        </w:rPr>
        <w:t>的编制和提交程序。</w:t>
      </w:r>
    </w:p>
    <w:p w14:paraId="25D05908">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12.4.4 进度款审核和支付</w:t>
      </w:r>
    </w:p>
    <w:p w14:paraId="359E1C5D">
      <w:pPr>
        <w:keepNext w:val="0"/>
        <w:keepLines w:val="0"/>
        <w:pageBreakBefore w:val="0"/>
        <w:widowControl w:val="0"/>
        <w:kinsoku/>
        <w:wordWrap/>
        <w:overflowPunct/>
        <w:topLinePunct w:val="0"/>
        <w:autoSpaceDE/>
        <w:autoSpaceDN/>
        <w:bidi w:val="0"/>
        <w:snapToGrid/>
        <w:spacing w:line="360" w:lineRule="auto"/>
        <w:ind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（1）除专用合同条款另有约定外，监理人应在收到承包人进度付款申请单</w:t>
      </w:r>
      <w:r>
        <w:rPr>
          <w:rFonts w:hint="eastAsia" w:ascii="仿宋" w:hAnsi="仿宋" w:eastAsia="仿宋" w:cs="仿宋"/>
          <w:color w:val="000000" w:themeColor="text1"/>
          <w:spacing w:val="-2"/>
          <w:sz w:val="24"/>
          <w:szCs w:val="24"/>
          <w:highlight w:val="none"/>
          <w14:textFill>
            <w14:solidFill>
              <w14:schemeClr w14:val="tx1"/>
            </w14:solidFill>
          </w14:textFill>
        </w:rPr>
        <w:t>以及相关资料后7天内完成审查并报送发包人，发包人应在收到后7天内完成审批并签发进度款支付证书。发包人逾期未完成审批且未提出异议的，视为已签发进</w:t>
      </w:r>
      <w:r>
        <w:rPr>
          <w:rFonts w:hint="eastAsia" w:ascii="仿宋" w:hAnsi="仿宋" w:eastAsia="仿宋" w:cs="仿宋"/>
          <w:color w:val="000000" w:themeColor="text1"/>
          <w:spacing w:val="-5"/>
          <w:sz w:val="24"/>
          <w:szCs w:val="24"/>
          <w:highlight w:val="none"/>
          <w14:textFill>
            <w14:solidFill>
              <w14:schemeClr w14:val="tx1"/>
            </w14:solidFill>
          </w14:textFill>
        </w:rPr>
        <w:t>度款支付证书。</w:t>
      </w:r>
    </w:p>
    <w:p w14:paraId="7B6B763A">
      <w:pPr>
        <w:keepNext w:val="0"/>
        <w:keepLines w:val="0"/>
        <w:pageBreakBefore w:val="0"/>
        <w:widowControl w:val="0"/>
        <w:kinsoku/>
        <w:wordWrap/>
        <w:overflowPunct/>
        <w:topLinePunct w:val="0"/>
        <w:autoSpaceDE/>
        <w:autoSpaceDN/>
        <w:bidi w:val="0"/>
        <w:snapToGrid/>
        <w:spacing w:line="360" w:lineRule="auto"/>
        <w:ind w:left="0" w:leftChars="0" w:right="0" w:rightChars="0" w:firstLine="56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发包人和监理人对承包人的进度付款申请单有异议的，有权</w:t>
      </w:r>
      <w:r>
        <w:rPr>
          <w:rFonts w:hint="eastAsia" w:ascii="仿宋" w:hAnsi="仿宋" w:eastAsia="仿宋" w:cs="仿宋"/>
          <w:color w:val="000000" w:themeColor="text1"/>
          <w:spacing w:val="-3"/>
          <w:sz w:val="24"/>
          <w:szCs w:val="24"/>
          <w:highlight w:val="none"/>
          <w14:textFill>
            <w14:solidFill>
              <w14:schemeClr w14:val="tx1"/>
            </w14:solidFill>
          </w14:textFill>
        </w:rPr>
        <w:t>要求承包人修正</w:t>
      </w:r>
      <w:r>
        <w:rPr>
          <w:rFonts w:hint="eastAsia" w:ascii="仿宋" w:hAnsi="仿宋" w:eastAsia="仿宋" w:cs="仿宋"/>
          <w:color w:val="000000" w:themeColor="text1"/>
          <w:spacing w:val="-2"/>
          <w:sz w:val="24"/>
          <w:szCs w:val="24"/>
          <w:highlight w:val="none"/>
          <w14:textFill>
            <w14:solidFill>
              <w14:schemeClr w14:val="tx1"/>
            </w14:solidFill>
          </w14:textFill>
        </w:rPr>
        <w:t>和提供补充资料，承包人应提交修正后的进度付款申请单。监理人应在收到承包</w:t>
      </w:r>
      <w:r>
        <w:rPr>
          <w:rFonts w:hint="eastAsia" w:ascii="仿宋" w:hAnsi="仿宋" w:eastAsia="仿宋" w:cs="仿宋"/>
          <w:color w:val="000000" w:themeColor="text1"/>
          <w:sz w:val="24"/>
          <w:szCs w:val="24"/>
          <w:highlight w:val="none"/>
          <w14:textFill>
            <w14:solidFill>
              <w14:schemeClr w14:val="tx1"/>
            </w14:solidFill>
          </w14:textFill>
        </w:rPr>
        <w:t>人修正后的进度付款申请单及相关资料后7天内完成</w:t>
      </w:r>
      <w:r>
        <w:rPr>
          <w:rFonts w:hint="eastAsia" w:ascii="仿宋" w:hAnsi="仿宋" w:eastAsia="仿宋" w:cs="仿宋"/>
          <w:color w:val="000000" w:themeColor="text1"/>
          <w:spacing w:val="-1"/>
          <w:sz w:val="24"/>
          <w:szCs w:val="24"/>
          <w:highlight w:val="none"/>
          <w14:textFill>
            <w14:solidFill>
              <w14:schemeClr w14:val="tx1"/>
            </w14:solidFill>
          </w14:textFill>
        </w:rPr>
        <w:t>审查并报送发包人，发包人</w:t>
      </w:r>
      <w:r>
        <w:rPr>
          <w:rFonts w:hint="eastAsia" w:ascii="仿宋" w:hAnsi="仿宋" w:eastAsia="仿宋" w:cs="仿宋"/>
          <w:color w:val="000000" w:themeColor="text1"/>
          <w:sz w:val="24"/>
          <w:szCs w:val="24"/>
          <w:highlight w:val="none"/>
          <w14:textFill>
            <w14:solidFill>
              <w14:schemeClr w14:val="tx1"/>
            </w14:solidFill>
          </w14:textFill>
        </w:rPr>
        <w:t>应在收到监理人报送的进度付款申请单及相关资料后</w:t>
      </w:r>
      <w:r>
        <w:rPr>
          <w:rFonts w:hint="eastAsia" w:ascii="仿宋" w:hAnsi="仿宋" w:eastAsia="仿宋" w:cs="仿宋"/>
          <w:color w:val="000000" w:themeColor="text1"/>
          <w:spacing w:val="-1"/>
          <w:sz w:val="24"/>
          <w:szCs w:val="24"/>
          <w:highlight w:val="none"/>
          <w14:textFill>
            <w14:solidFill>
              <w14:schemeClr w14:val="tx1"/>
            </w14:solidFill>
          </w14:textFill>
        </w:rPr>
        <w:t>7天内，向承包人签发无异</w:t>
      </w:r>
      <w:r>
        <w:rPr>
          <w:rFonts w:hint="eastAsia" w:ascii="仿宋" w:hAnsi="仿宋" w:eastAsia="仿宋" w:cs="仿宋"/>
          <w:color w:val="000000" w:themeColor="text1"/>
          <w:spacing w:val="-2"/>
          <w:sz w:val="24"/>
          <w:szCs w:val="24"/>
          <w:highlight w:val="none"/>
          <w14:textFill>
            <w14:solidFill>
              <w14:schemeClr w14:val="tx1"/>
            </w14:solidFill>
          </w14:textFill>
        </w:rPr>
        <w:t>议部分的临时进度款支付证书。存在争议的部分，按照第20条〔争议解决〕的约</w:t>
      </w:r>
    </w:p>
    <w:p w14:paraId="1F72C441">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1"/>
          <w:sz w:val="24"/>
          <w:szCs w:val="24"/>
          <w:highlight w:val="none"/>
          <w14:textFill>
            <w14:solidFill>
              <w14:schemeClr w14:val="tx1"/>
            </w14:solidFill>
          </w14:textFill>
        </w:rPr>
        <w:t>定处理。</w:t>
      </w:r>
    </w:p>
    <w:p w14:paraId="400A155F">
      <w:pPr>
        <w:keepNext w:val="0"/>
        <w:keepLines w:val="0"/>
        <w:pageBreakBefore w:val="0"/>
        <w:widowControl w:val="0"/>
        <w:kinsoku/>
        <w:wordWrap/>
        <w:overflowPunct/>
        <w:topLinePunct w:val="0"/>
        <w:autoSpaceDE/>
        <w:autoSpaceDN/>
        <w:bidi w:val="0"/>
        <w:snapToGrid/>
        <w:spacing w:line="360" w:lineRule="auto"/>
        <w:ind w:left="0" w:leftChars="0" w:right="0" w:rightChars="0" w:firstLine="56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（2）除专用合同条款另有约定外，发包人应在进度款支付证书或临时进度</w:t>
      </w:r>
      <w:r>
        <w:rPr>
          <w:rFonts w:hint="eastAsia" w:ascii="仿宋" w:hAnsi="仿宋" w:eastAsia="仿宋" w:cs="仿宋"/>
          <w:color w:val="000000" w:themeColor="text1"/>
          <w:spacing w:val="-2"/>
          <w:sz w:val="24"/>
          <w:szCs w:val="24"/>
          <w:highlight w:val="none"/>
          <w14:textFill>
            <w14:solidFill>
              <w14:schemeClr w14:val="tx1"/>
            </w14:solidFill>
          </w14:textFill>
        </w:rPr>
        <w:t>款支付证书签发后14天内完成支付，发包人逾期支付进度款的，应按照中国人民</w:t>
      </w:r>
      <w:r>
        <w:rPr>
          <w:rFonts w:hint="eastAsia" w:ascii="仿宋" w:hAnsi="仿宋" w:eastAsia="仿宋" w:cs="仿宋"/>
          <w:color w:val="000000" w:themeColor="text1"/>
          <w:spacing w:val="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银行发布的同期同类贷款基准利率支付违约金。</w:t>
      </w:r>
    </w:p>
    <w:p w14:paraId="1136E917">
      <w:pPr>
        <w:keepNext w:val="0"/>
        <w:keepLines w:val="0"/>
        <w:pageBreakBefore w:val="0"/>
        <w:widowControl w:val="0"/>
        <w:kinsoku/>
        <w:wordWrap/>
        <w:overflowPunct/>
        <w:topLinePunct w:val="0"/>
        <w:autoSpaceDE/>
        <w:autoSpaceDN/>
        <w:bidi w:val="0"/>
        <w:snapToGrid/>
        <w:spacing w:line="360" w:lineRule="auto"/>
        <w:ind w:left="0" w:leftChars="0" w:right="0" w:rightChars="0" w:firstLine="5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（3）发包人签发进度款支付证书或临时进度款支付证书，</w:t>
      </w:r>
      <w:r>
        <w:rPr>
          <w:rFonts w:hint="eastAsia" w:ascii="仿宋" w:hAnsi="仿宋" w:eastAsia="仿宋" w:cs="仿宋"/>
          <w:color w:val="000000" w:themeColor="text1"/>
          <w:spacing w:val="-2"/>
          <w:sz w:val="24"/>
          <w:szCs w:val="24"/>
          <w:highlight w:val="none"/>
          <w14:textFill>
            <w14:solidFill>
              <w14:schemeClr w14:val="tx1"/>
            </w14:solidFill>
          </w14:textFill>
        </w:rPr>
        <w:t>不表明发包人已</w:t>
      </w:r>
      <w:r>
        <w:rPr>
          <w:rFonts w:hint="eastAsia" w:ascii="仿宋" w:hAnsi="仿宋" w:eastAsia="仿宋" w:cs="仿宋"/>
          <w:color w:val="000000" w:themeColor="text1"/>
          <w:spacing w:val="-3"/>
          <w:sz w:val="24"/>
          <w:szCs w:val="24"/>
          <w:highlight w:val="none"/>
          <w14:textFill>
            <w14:solidFill>
              <w14:schemeClr w14:val="tx1"/>
            </w14:solidFill>
          </w14:textFill>
        </w:rPr>
        <w:t>同意、批准或接受了承包人完成的相应部分的工作。</w:t>
      </w:r>
    </w:p>
    <w:p w14:paraId="772BA569">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12.4.5 进度付款的修正</w:t>
      </w:r>
    </w:p>
    <w:p w14:paraId="74C330B5">
      <w:pPr>
        <w:keepNext w:val="0"/>
        <w:keepLines w:val="0"/>
        <w:pageBreakBefore w:val="0"/>
        <w:widowControl w:val="0"/>
        <w:kinsoku/>
        <w:wordWrap/>
        <w:overflowPunct/>
        <w:topLinePunct w:val="0"/>
        <w:autoSpaceDE/>
        <w:autoSpaceDN/>
        <w:bidi w:val="0"/>
        <w:snapToGrid/>
        <w:spacing w:line="360" w:lineRule="auto"/>
        <w:ind w:left="0" w:leftChars="0" w:right="0" w:rightChars="0" w:firstLine="54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在对已签发的进度款支付证书进行阶段汇总和复核中发现错误、遗漏或</w:t>
      </w:r>
      <w:r>
        <w:rPr>
          <w:rFonts w:hint="eastAsia" w:ascii="仿宋" w:hAnsi="仿宋" w:eastAsia="仿宋" w:cs="仿宋"/>
          <w:color w:val="000000" w:themeColor="text1"/>
          <w:spacing w:val="-3"/>
          <w:sz w:val="24"/>
          <w:szCs w:val="24"/>
          <w:highlight w:val="none"/>
          <w14:textFill>
            <w14:solidFill>
              <w14:schemeClr w14:val="tx1"/>
            </w14:solidFill>
          </w14:textFill>
        </w:rPr>
        <w:t>重复</w:t>
      </w:r>
      <w:r>
        <w:rPr>
          <w:rFonts w:hint="eastAsia" w:ascii="仿宋" w:hAnsi="仿宋" w:eastAsia="仿宋" w:cs="仿宋"/>
          <w:color w:val="000000" w:themeColor="text1"/>
          <w:spacing w:val="-2"/>
          <w:sz w:val="24"/>
          <w:szCs w:val="24"/>
          <w:highlight w:val="none"/>
          <w14:textFill>
            <w14:solidFill>
              <w14:schemeClr w14:val="tx1"/>
            </w14:solidFill>
          </w14:textFill>
        </w:rPr>
        <w:t>的，发包人和承包人均有权提出修正申请。经发包人和承包人同意的修正</w:t>
      </w:r>
      <w:r>
        <w:rPr>
          <w:rFonts w:hint="eastAsia" w:ascii="仿宋" w:hAnsi="仿宋" w:eastAsia="仿宋" w:cs="仿宋"/>
          <w:color w:val="000000" w:themeColor="text1"/>
          <w:spacing w:val="-3"/>
          <w:sz w:val="24"/>
          <w:szCs w:val="24"/>
          <w:highlight w:val="none"/>
          <w14:textFill>
            <w14:solidFill>
              <w14:schemeClr w14:val="tx1"/>
            </w14:solidFill>
          </w14:textFill>
        </w:rPr>
        <w:t>，应在</w:t>
      </w:r>
      <w:r>
        <w:rPr>
          <w:rFonts w:hint="eastAsia" w:ascii="仿宋" w:hAnsi="仿宋" w:eastAsia="仿宋" w:cs="仿宋"/>
          <w:color w:val="000000" w:themeColor="text1"/>
          <w:spacing w:val="-2"/>
          <w:sz w:val="24"/>
          <w:szCs w:val="24"/>
          <w:highlight w:val="none"/>
          <w14:textFill>
            <w14:solidFill>
              <w14:schemeClr w14:val="tx1"/>
            </w14:solidFill>
          </w14:textFill>
        </w:rPr>
        <w:t>下期进度付款中支付或扣除。</w:t>
      </w:r>
    </w:p>
    <w:p w14:paraId="4D0F4184">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12.4.6 支付分解表</w:t>
      </w:r>
    </w:p>
    <w:p w14:paraId="7F48E65D">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1.支付分解表的编制要求</w:t>
      </w:r>
    </w:p>
    <w:p w14:paraId="2C27FFB2">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（1）支付分解表中所列的每期付款金额，应为第</w:t>
      </w:r>
      <w:r>
        <w:rPr>
          <w:rFonts w:hint="eastAsia" w:ascii="仿宋" w:hAnsi="仿宋" w:eastAsia="仿宋" w:cs="仿宋"/>
          <w:color w:val="000000" w:themeColor="text1"/>
          <w:spacing w:val="-3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12.4</w:t>
      </w:r>
      <w:r>
        <w:rPr>
          <w:rFonts w:hint="eastAsia" w:ascii="仿宋" w:hAnsi="仿宋" w:eastAsia="仿宋" w:cs="仿宋"/>
          <w:color w:val="000000" w:themeColor="text1"/>
          <w:spacing w:val="-4"/>
          <w:sz w:val="24"/>
          <w:szCs w:val="24"/>
          <w:highlight w:val="none"/>
          <w14:textFill>
            <w14:solidFill>
              <w14:schemeClr w14:val="tx1"/>
            </w14:solidFill>
          </w14:textFill>
        </w:rPr>
        <w:t>.2</w:t>
      </w:r>
      <w:r>
        <w:rPr>
          <w:rFonts w:hint="eastAsia" w:ascii="仿宋" w:hAnsi="仿宋" w:eastAsia="仿宋" w:cs="仿宋"/>
          <w:color w:val="000000" w:themeColor="text1"/>
          <w:spacing w:val="-5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项〔进度付款申请</w:t>
      </w:r>
      <w:r>
        <w:rPr>
          <w:rFonts w:hint="eastAsia" w:ascii="仿宋" w:hAnsi="仿宋" w:eastAsia="仿宋" w:cs="仿宋"/>
          <w:color w:val="000000" w:themeColor="text1"/>
          <w:spacing w:val="-8"/>
          <w:sz w:val="24"/>
          <w:szCs w:val="24"/>
          <w:highlight w:val="none"/>
          <w14:textFill>
            <w14:solidFill>
              <w14:schemeClr w14:val="tx1"/>
            </w14:solidFill>
          </w14:textFill>
        </w:rPr>
        <w:t>单的编制〕第（1）</w:t>
      </w:r>
      <w:r>
        <w:rPr>
          <w:rFonts w:hint="eastAsia" w:ascii="仿宋" w:hAnsi="仿宋" w:eastAsia="仿宋" w:cs="仿宋"/>
          <w:color w:val="000000" w:themeColor="text1"/>
          <w:spacing w:val="-6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14:textFill>
            <w14:solidFill>
              <w14:schemeClr w14:val="tx1"/>
            </w14:solidFill>
          </w14:textFill>
        </w:rPr>
        <w:t>目的估算金额；</w:t>
      </w:r>
    </w:p>
    <w:p w14:paraId="3C53EBB7">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（2）实际进度与施工进度计划不一致的，合同当事人可</w:t>
      </w:r>
      <w:r>
        <w:rPr>
          <w:rFonts w:hint="eastAsia" w:ascii="仿宋" w:hAnsi="仿宋" w:eastAsia="仿宋" w:cs="仿宋"/>
          <w:color w:val="000000" w:themeColor="text1"/>
          <w:spacing w:val="-2"/>
          <w:sz w:val="24"/>
          <w:szCs w:val="24"/>
          <w:highlight w:val="none"/>
          <w14:textFill>
            <w14:solidFill>
              <w14:schemeClr w14:val="tx1"/>
            </w14:solidFill>
          </w14:textFill>
        </w:rPr>
        <w:t>按照第</w:t>
      </w:r>
      <w:r>
        <w:rPr>
          <w:rFonts w:hint="eastAsia" w:ascii="仿宋" w:hAnsi="仿宋" w:eastAsia="仿宋" w:cs="仿宋"/>
          <w:color w:val="000000" w:themeColor="text1"/>
          <w:spacing w:val="-5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4.4</w:t>
      </w:r>
      <w:r>
        <w:rPr>
          <w:rFonts w:hint="eastAsia" w:ascii="仿宋" w:hAnsi="仿宋" w:eastAsia="仿宋" w:cs="仿宋"/>
          <w:color w:val="000000" w:themeColor="text1"/>
          <w:spacing w:val="-5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款〔商定或确定〕修改支付分解表；</w:t>
      </w:r>
    </w:p>
    <w:p w14:paraId="1760BECB">
      <w:pPr>
        <w:keepNext w:val="0"/>
        <w:keepLines w:val="0"/>
        <w:pageBreakBefore w:val="0"/>
        <w:widowControl w:val="0"/>
        <w:kinsoku/>
        <w:wordWrap/>
        <w:overflowPunct/>
        <w:topLinePunct w:val="0"/>
        <w:autoSpaceDE/>
        <w:autoSpaceDN/>
        <w:bidi w:val="0"/>
        <w:snapToGrid/>
        <w:spacing w:line="360" w:lineRule="auto"/>
        <w:ind w:left="0" w:leftChars="0" w:right="0" w:rightChars="0" w:firstLine="56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（3）不采用支付分解表的，承包人应向发包人和监</w:t>
      </w:r>
      <w:r>
        <w:rPr>
          <w:rFonts w:hint="eastAsia" w:ascii="仿宋" w:hAnsi="仿宋" w:eastAsia="仿宋" w:cs="仿宋"/>
          <w:color w:val="000000" w:themeColor="text1"/>
          <w:spacing w:val="-2"/>
          <w:sz w:val="24"/>
          <w:szCs w:val="24"/>
          <w:highlight w:val="none"/>
          <w14:textFill>
            <w14:solidFill>
              <w14:schemeClr w14:val="tx1"/>
            </w14:solidFill>
          </w14:textFill>
        </w:rPr>
        <w:t>理人提交按季度编制的</w:t>
      </w:r>
      <w:r>
        <w:rPr>
          <w:rFonts w:hint="eastAsia" w:ascii="仿宋" w:hAnsi="仿宋" w:eastAsia="仿宋" w:cs="仿宋"/>
          <w:color w:val="000000" w:themeColor="text1"/>
          <w:spacing w:val="-3"/>
          <w:sz w:val="24"/>
          <w:szCs w:val="24"/>
          <w:highlight w:val="none"/>
          <w14:textFill>
            <w14:solidFill>
              <w14:schemeClr w14:val="tx1"/>
            </w14:solidFill>
          </w14:textFill>
        </w:rPr>
        <w:t>支付估算分解表，用于支付参考。</w:t>
      </w:r>
    </w:p>
    <w:p w14:paraId="18CD5F78">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2.总价合同支付分解表的编制与审批</w:t>
      </w:r>
    </w:p>
    <w:p w14:paraId="7EEF2A34">
      <w:pPr>
        <w:keepNext w:val="0"/>
        <w:keepLines w:val="0"/>
        <w:pageBreakBefore w:val="0"/>
        <w:widowControl w:val="0"/>
        <w:kinsoku/>
        <w:wordWrap/>
        <w:overflowPunct/>
        <w:topLinePunct w:val="0"/>
        <w:autoSpaceDE/>
        <w:autoSpaceDN/>
        <w:bidi w:val="0"/>
        <w:snapToGrid/>
        <w:spacing w:line="360" w:lineRule="auto"/>
        <w:ind w:left="0" w:leftChars="0" w:right="0" w:rightChars="0" w:firstLine="56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（1）除专用合同条款另有约定外，承包人应根据第</w:t>
      </w:r>
      <w:r>
        <w:rPr>
          <w:rFonts w:hint="eastAsia" w:ascii="仿宋" w:hAnsi="仿宋" w:eastAsia="仿宋" w:cs="仿宋"/>
          <w:color w:val="000000" w:themeColor="text1"/>
          <w:spacing w:val="-5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7.</w:t>
      </w:r>
      <w:r>
        <w:rPr>
          <w:rFonts w:hint="eastAsia" w:ascii="仿宋" w:hAnsi="仿宋" w:eastAsia="仿宋" w:cs="仿宋"/>
          <w:color w:val="000000" w:themeColor="text1"/>
          <w:spacing w:val="-5"/>
          <w:sz w:val="24"/>
          <w:szCs w:val="24"/>
          <w:highlight w:val="none"/>
          <w14:textFill>
            <w14:solidFill>
              <w14:schemeClr w14:val="tx1"/>
            </w14:solidFill>
          </w14:textFill>
        </w:rPr>
        <w:t>2</w:t>
      </w:r>
      <w:r>
        <w:rPr>
          <w:rFonts w:hint="eastAsia" w:ascii="仿宋" w:hAnsi="仿宋" w:eastAsia="仿宋" w:cs="仿宋"/>
          <w:color w:val="000000" w:themeColor="text1"/>
          <w:spacing w:val="-6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款〔施工进度计划〕</w:t>
      </w:r>
      <w:r>
        <w:rPr>
          <w:rFonts w:hint="eastAsia" w:ascii="仿宋" w:hAnsi="仿宋" w:eastAsia="仿宋" w:cs="仿宋"/>
          <w:color w:val="000000" w:themeColor="text1"/>
          <w:spacing w:val="-2"/>
          <w:sz w:val="24"/>
          <w:szCs w:val="24"/>
          <w:highlight w:val="none"/>
          <w14:textFill>
            <w14:solidFill>
              <w14:schemeClr w14:val="tx1"/>
            </w14:solidFill>
          </w14:textFill>
        </w:rPr>
        <w:t>约定的施工进度计划、签约合同价和工程量等因素对总价合同按月进行分解，编</w:t>
      </w:r>
      <w:r>
        <w:rPr>
          <w:rFonts w:hint="eastAsia" w:ascii="仿宋" w:hAnsi="仿宋" w:eastAsia="仿宋" w:cs="仿宋"/>
          <w:color w:val="000000" w:themeColor="text1"/>
          <w:spacing w:val="-7"/>
          <w:sz w:val="24"/>
          <w:szCs w:val="24"/>
          <w:highlight w:val="none"/>
          <w14:textFill>
            <w14:solidFill>
              <w14:schemeClr w14:val="tx1"/>
            </w14:solidFill>
          </w14:textFill>
        </w:rPr>
        <w:t>制支付分解表。承包人应当在收到监理人和发包人批准的施工进度计划后</w:t>
      </w:r>
      <w:r>
        <w:rPr>
          <w:rFonts w:hint="eastAsia" w:ascii="仿宋" w:hAnsi="仿宋" w:eastAsia="仿宋" w:cs="仿宋"/>
          <w:color w:val="000000" w:themeColor="text1"/>
          <w:spacing w:val="-7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14:textFill>
            <w14:solidFill>
              <w14:schemeClr w14:val="tx1"/>
            </w14:solidFill>
          </w14:textFill>
        </w:rPr>
        <w:t>7</w:t>
      </w:r>
      <w:r>
        <w:rPr>
          <w:rFonts w:hint="eastAsia" w:ascii="仿宋" w:hAnsi="仿宋" w:eastAsia="仿宋" w:cs="仿宋"/>
          <w:color w:val="000000" w:themeColor="text1"/>
          <w:spacing w:val="-8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14:textFill>
            <w14:solidFill>
              <w14:schemeClr w14:val="tx1"/>
            </w14:solidFill>
          </w14:textFill>
        </w:rPr>
        <w:t>天内，</w:t>
      </w:r>
    </w:p>
    <w:p w14:paraId="6F091657">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将支付分解表及编制支付分解表的支持性资料</w:t>
      </w:r>
      <w:r>
        <w:rPr>
          <w:rFonts w:hint="eastAsia" w:ascii="仿宋" w:hAnsi="仿宋" w:eastAsia="仿宋" w:cs="仿宋"/>
          <w:color w:val="000000" w:themeColor="text1"/>
          <w:spacing w:val="-2"/>
          <w:sz w:val="24"/>
          <w:szCs w:val="24"/>
          <w:highlight w:val="none"/>
          <w14:textFill>
            <w14:solidFill>
              <w14:schemeClr w14:val="tx1"/>
            </w14:solidFill>
          </w14:textFill>
        </w:rPr>
        <w:t>报送监理人。</w:t>
      </w:r>
    </w:p>
    <w:p w14:paraId="12DAF5F5">
      <w:pPr>
        <w:keepNext w:val="0"/>
        <w:keepLines w:val="0"/>
        <w:pageBreakBefore w:val="0"/>
        <w:widowControl w:val="0"/>
        <w:kinsoku/>
        <w:wordWrap/>
        <w:overflowPunct/>
        <w:topLinePunct w:val="0"/>
        <w:autoSpaceDE/>
        <w:autoSpaceDN/>
        <w:bidi w:val="0"/>
        <w:snapToGrid/>
        <w:spacing w:line="360" w:lineRule="auto"/>
        <w:ind w:left="0" w:leftChars="0" w:right="0" w:rightChars="0" w:firstLine="56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（2）监理人应在收到支付分解表后</w:t>
      </w:r>
      <w:r>
        <w:rPr>
          <w:rFonts w:hint="eastAsia" w:ascii="仿宋" w:hAnsi="仿宋" w:eastAsia="仿宋" w:cs="仿宋"/>
          <w:color w:val="000000" w:themeColor="text1"/>
          <w:spacing w:val="-3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7</w:t>
      </w:r>
      <w:r>
        <w:rPr>
          <w:rFonts w:hint="eastAsia" w:ascii="仿宋" w:hAnsi="仿宋" w:eastAsia="仿宋" w:cs="仿宋"/>
          <w:color w:val="000000" w:themeColor="text1"/>
          <w:spacing w:val="-5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天内完成审核并报送发包人。发包人</w:t>
      </w:r>
      <w:r>
        <w:rPr>
          <w:rFonts w:hint="eastAsia" w:ascii="仿宋" w:hAnsi="仿宋" w:eastAsia="仿宋" w:cs="仿宋"/>
          <w:color w:val="000000" w:themeColor="text1"/>
          <w:spacing w:val="-3"/>
          <w:sz w:val="24"/>
          <w:szCs w:val="24"/>
          <w:highlight w:val="none"/>
          <w14:textFill>
            <w14:solidFill>
              <w14:schemeClr w14:val="tx1"/>
            </w14:solidFill>
          </w14:textFill>
        </w:rPr>
        <w:t>应在收到经监理人审核的支付分解表后</w:t>
      </w:r>
      <w:r>
        <w:rPr>
          <w:rFonts w:hint="eastAsia" w:ascii="仿宋" w:hAnsi="仿宋" w:eastAsia="仿宋" w:cs="仿宋"/>
          <w:color w:val="000000" w:themeColor="text1"/>
          <w:spacing w:val="-4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7</w:t>
      </w:r>
      <w:r>
        <w:rPr>
          <w:rFonts w:hint="eastAsia" w:ascii="仿宋" w:hAnsi="仿宋" w:eastAsia="仿宋" w:cs="仿宋"/>
          <w:color w:val="000000" w:themeColor="text1"/>
          <w:spacing w:val="-5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天内完成审批，经发包人批准的支付分解表为有约束力的支付分解表。</w:t>
      </w:r>
    </w:p>
    <w:p w14:paraId="2EEC372A">
      <w:pPr>
        <w:keepNext w:val="0"/>
        <w:keepLines w:val="0"/>
        <w:pageBreakBefore w:val="0"/>
        <w:widowControl w:val="0"/>
        <w:kinsoku/>
        <w:wordWrap/>
        <w:overflowPunct/>
        <w:topLinePunct w:val="0"/>
        <w:autoSpaceDE/>
        <w:autoSpaceDN/>
        <w:bidi w:val="0"/>
        <w:snapToGrid/>
        <w:spacing w:line="360" w:lineRule="auto"/>
        <w:ind w:left="0" w:leftChars="0" w:right="0" w:rightChars="0" w:firstLine="56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（3）发包人逾期未完成支付分解表审批的，也未及时要求</w:t>
      </w:r>
      <w:r>
        <w:rPr>
          <w:rFonts w:hint="eastAsia" w:ascii="仿宋" w:hAnsi="仿宋" w:eastAsia="仿宋" w:cs="仿宋"/>
          <w:color w:val="000000" w:themeColor="text1"/>
          <w:spacing w:val="-2"/>
          <w:sz w:val="24"/>
          <w:szCs w:val="24"/>
          <w:highlight w:val="none"/>
          <w14:textFill>
            <w14:solidFill>
              <w14:schemeClr w14:val="tx1"/>
            </w14:solidFill>
          </w14:textFill>
        </w:rPr>
        <w:t>承包人进行修正</w:t>
      </w:r>
      <w:r>
        <w:rPr>
          <w:rFonts w:hint="eastAsia" w:ascii="仿宋" w:hAnsi="仿宋" w:eastAsia="仿宋" w:cs="仿宋"/>
          <w:color w:val="000000" w:themeColor="text1"/>
          <w:spacing w:val="-1"/>
          <w:sz w:val="24"/>
          <w:szCs w:val="24"/>
          <w:highlight w:val="none"/>
          <w14:textFill>
            <w14:solidFill>
              <w14:schemeClr w14:val="tx1"/>
            </w14:solidFill>
          </w14:textFill>
        </w:rPr>
        <w:t>和提供补充资料的，则承包人提交的支付分解表视为已经获得发包人批准。</w:t>
      </w:r>
    </w:p>
    <w:p w14:paraId="2D270BC7">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3.单价合同的总价项目支付分解表的编制与审批</w:t>
      </w:r>
    </w:p>
    <w:p w14:paraId="67131EA7">
      <w:pPr>
        <w:keepNext w:val="0"/>
        <w:keepLines w:val="0"/>
        <w:pageBreakBefore w:val="0"/>
        <w:widowControl w:val="0"/>
        <w:kinsoku/>
        <w:wordWrap/>
        <w:overflowPunct/>
        <w:topLinePunct w:val="0"/>
        <w:autoSpaceDE/>
        <w:autoSpaceDN/>
        <w:bidi w:val="0"/>
        <w:snapToGrid/>
        <w:spacing w:line="360" w:lineRule="auto"/>
        <w:ind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除专用合同条款另有约定外，单价合同的总价项目，由承包人根据施工进度</w:t>
      </w:r>
      <w:r>
        <w:rPr>
          <w:rFonts w:hint="eastAsia" w:ascii="仿宋" w:hAnsi="仿宋" w:eastAsia="仿宋" w:cs="仿宋"/>
          <w:color w:val="000000" w:themeColor="text1"/>
          <w:spacing w:val="-2"/>
          <w:sz w:val="24"/>
          <w:szCs w:val="24"/>
          <w:highlight w:val="none"/>
          <w14:textFill>
            <w14:solidFill>
              <w14:schemeClr w14:val="tx1"/>
            </w14:solidFill>
          </w14:textFill>
        </w:rPr>
        <w:t>计划和总价项目的总价构成、费用性质、计划发生时间和相应工程量等因素按月进行分解，形成支付分解表，其编制与审批参照总价合同支付分解表的编制与审</w:t>
      </w:r>
      <w:r>
        <w:rPr>
          <w:rFonts w:hint="eastAsia" w:ascii="仿宋" w:hAnsi="仿宋" w:eastAsia="仿宋" w:cs="仿宋"/>
          <w:color w:val="000000" w:themeColor="text1"/>
          <w:spacing w:val="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9"/>
          <w:sz w:val="24"/>
          <w:szCs w:val="24"/>
          <w:highlight w:val="none"/>
          <w14:textFill>
            <w14:solidFill>
              <w14:schemeClr w14:val="tx1"/>
            </w14:solidFill>
          </w14:textFill>
        </w:rPr>
        <w:t>批执行。</w:t>
      </w:r>
    </w:p>
    <w:p w14:paraId="61013DED">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12.5</w:t>
      </w:r>
      <w:r>
        <w:rPr>
          <w:rFonts w:hint="eastAsia" w:ascii="仿宋" w:hAnsi="仿宋" w:eastAsia="仿宋" w:cs="仿宋"/>
          <w:color w:val="000000" w:themeColor="text1"/>
          <w:spacing w:val="-5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支付账户</w:t>
      </w:r>
    </w:p>
    <w:p w14:paraId="53949149">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发包人应将合同价款支付至合同协议书中约定的承包人账户。</w:t>
      </w:r>
    </w:p>
    <w:p w14:paraId="4340123C">
      <w:pPr>
        <w:keepNext w:val="0"/>
        <w:keepLines w:val="0"/>
        <w:pageBreakBefore w:val="0"/>
        <w:widowControl w:val="0"/>
        <w:kinsoku/>
        <w:wordWrap/>
        <w:overflowPunct/>
        <w:topLinePunct w:val="0"/>
        <w:autoSpaceDE/>
        <w:autoSpaceDN/>
        <w:bidi w:val="0"/>
        <w:snapToGrid/>
        <w:spacing w:line="360" w:lineRule="auto"/>
        <w:ind w:left="0" w:leftChars="0" w:right="0" w:rightChars="0"/>
        <w:outlineLvl w:val="2"/>
        <w:rPr>
          <w:rFonts w:hint="eastAsia" w:ascii="仿宋" w:hAnsi="仿宋" w:eastAsia="仿宋" w:cs="仿宋"/>
          <w:color w:val="000000" w:themeColor="text1"/>
          <w:sz w:val="24"/>
          <w:szCs w:val="24"/>
          <w:highlight w:val="none"/>
          <w14:textFill>
            <w14:solidFill>
              <w14:schemeClr w14:val="tx1"/>
            </w14:solidFill>
          </w14:textFill>
        </w:rPr>
      </w:pPr>
      <w:bookmarkStart w:id="112" w:name="bookmark127"/>
      <w:bookmarkEnd w:id="112"/>
      <w:bookmarkStart w:id="113" w:name="_Toc382"/>
      <w:r>
        <w:rPr>
          <w:rFonts w:hint="eastAsia" w:ascii="仿宋" w:hAnsi="仿宋" w:eastAsia="仿宋" w:cs="仿宋"/>
          <w:color w:val="000000" w:themeColor="text1"/>
          <w:spacing w:val="-3"/>
          <w:sz w:val="24"/>
          <w:szCs w:val="24"/>
          <w:highlight w:val="none"/>
          <w14:textFill>
            <w14:solidFill>
              <w14:schemeClr w14:val="tx1"/>
            </w14:solidFill>
          </w14:textFill>
        </w:rPr>
        <w:t>13. 验收和工程试车</w:t>
      </w:r>
      <w:bookmarkEnd w:id="113"/>
    </w:p>
    <w:p w14:paraId="7104165E">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13.1</w:t>
      </w:r>
      <w:r>
        <w:rPr>
          <w:rFonts w:hint="eastAsia" w:ascii="仿宋" w:hAnsi="仿宋" w:eastAsia="仿宋" w:cs="仿宋"/>
          <w:color w:val="000000" w:themeColor="text1"/>
          <w:spacing w:val="-5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分部分项工程验收</w:t>
      </w:r>
    </w:p>
    <w:p w14:paraId="6DBE6DFE">
      <w:pPr>
        <w:keepNext w:val="0"/>
        <w:keepLines w:val="0"/>
        <w:pageBreakBefore w:val="0"/>
        <w:widowControl w:val="0"/>
        <w:kinsoku/>
        <w:wordWrap/>
        <w:overflowPunct/>
        <w:topLinePunct w:val="0"/>
        <w:autoSpaceDE/>
        <w:autoSpaceDN/>
        <w:bidi w:val="0"/>
        <w:snapToGrid/>
        <w:spacing w:line="360" w:lineRule="auto"/>
        <w:ind w:left="0" w:leftChars="0" w:right="0" w:rightChars="0" w:firstLine="57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13.1.1 分部分项工程质量应符合国家有关工程施工验收规范、标准及合同</w:t>
      </w:r>
      <w:r>
        <w:rPr>
          <w:rFonts w:hint="eastAsia" w:ascii="仿宋" w:hAnsi="仿宋" w:eastAsia="仿宋" w:cs="仿宋"/>
          <w:color w:val="000000" w:themeColor="text1"/>
          <w:spacing w:val="-1"/>
          <w:sz w:val="24"/>
          <w:szCs w:val="24"/>
          <w:highlight w:val="none"/>
          <w14:textFill>
            <w14:solidFill>
              <w14:schemeClr w14:val="tx1"/>
            </w14:solidFill>
          </w14:textFill>
        </w:rPr>
        <w:t>约定，承包人应按照施工组织设计的要求完成分部分项工程施工。</w:t>
      </w:r>
    </w:p>
    <w:p w14:paraId="53CD1FDD">
      <w:pPr>
        <w:keepNext w:val="0"/>
        <w:keepLines w:val="0"/>
        <w:pageBreakBefore w:val="0"/>
        <w:widowControl w:val="0"/>
        <w:kinsoku/>
        <w:wordWrap/>
        <w:overflowPunct/>
        <w:topLinePunct w:val="0"/>
        <w:autoSpaceDE/>
        <w:autoSpaceDN/>
        <w:bidi w:val="0"/>
        <w:snapToGrid/>
        <w:spacing w:line="360" w:lineRule="auto"/>
        <w:ind w:left="0" w:leftChars="0" w:right="0" w:rightChars="0" w:firstLine="57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13.1.2 除专用合同条款另有约定外，分部分项工程经承包人自检合格并具</w:t>
      </w:r>
      <w:r>
        <w:rPr>
          <w:rFonts w:hint="eastAsia" w:ascii="仿宋" w:hAnsi="仿宋" w:eastAsia="仿宋" w:cs="仿宋"/>
          <w:color w:val="000000" w:themeColor="text1"/>
          <w:spacing w:val="-2"/>
          <w:sz w:val="24"/>
          <w:szCs w:val="24"/>
          <w:highlight w:val="none"/>
          <w14:textFill>
            <w14:solidFill>
              <w14:schemeClr w14:val="tx1"/>
            </w14:solidFill>
          </w14:textFill>
        </w:rPr>
        <w:t>备验收条件的，承包人应提前 48 小时通知监理人进行验收。监理人不能按时进行验收的，应在验收前</w:t>
      </w:r>
      <w:r>
        <w:rPr>
          <w:rFonts w:hint="eastAsia" w:ascii="仿宋" w:hAnsi="仿宋" w:eastAsia="仿宋" w:cs="仿宋"/>
          <w:color w:val="000000" w:themeColor="text1"/>
          <w:spacing w:val="-3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24</w:t>
      </w:r>
      <w:r>
        <w:rPr>
          <w:rFonts w:hint="eastAsia" w:ascii="仿宋" w:hAnsi="仿宋" w:eastAsia="仿宋" w:cs="仿宋"/>
          <w:color w:val="000000" w:themeColor="text1"/>
          <w:spacing w:val="-4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小时向承包人提交书面延期要求，但延期不能超过</w:t>
      </w:r>
      <w:r>
        <w:rPr>
          <w:rFonts w:hint="eastAsia" w:ascii="仿宋" w:hAnsi="仿宋" w:eastAsia="仿宋" w:cs="仿宋"/>
          <w:color w:val="000000" w:themeColor="text1"/>
          <w:spacing w:val="-5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48小时。监理人未按时进行验收，也未提出延期要求的，承包人有权自行验收，监</w:t>
      </w:r>
      <w:r>
        <w:rPr>
          <w:rFonts w:hint="eastAsia" w:ascii="仿宋" w:hAnsi="仿宋" w:eastAsia="仿宋" w:cs="仿宋"/>
          <w:color w:val="000000" w:themeColor="text1"/>
          <w:spacing w:val="-1"/>
          <w:sz w:val="24"/>
          <w:szCs w:val="24"/>
          <w:highlight w:val="none"/>
          <w14:textFill>
            <w14:solidFill>
              <w14:schemeClr w14:val="tx1"/>
            </w14:solidFill>
          </w14:textFill>
        </w:rPr>
        <w:t>理人应认可验收结果。分部分项工程未经验收的，不得进入下一道工</w:t>
      </w:r>
      <w:r>
        <w:rPr>
          <w:rFonts w:hint="eastAsia" w:ascii="仿宋" w:hAnsi="仿宋" w:eastAsia="仿宋" w:cs="仿宋"/>
          <w:color w:val="000000" w:themeColor="text1"/>
          <w:spacing w:val="-2"/>
          <w:sz w:val="24"/>
          <w:szCs w:val="24"/>
          <w:highlight w:val="none"/>
          <w14:textFill>
            <w14:solidFill>
              <w14:schemeClr w14:val="tx1"/>
            </w14:solidFill>
          </w14:textFill>
        </w:rPr>
        <w:t>序施工。</w:t>
      </w:r>
      <w:r>
        <w:rPr>
          <w:rFonts w:hint="eastAsia" w:ascii="仿宋" w:hAnsi="仿宋" w:eastAsia="仿宋" w:cs="仿宋"/>
          <w:color w:val="000000" w:themeColor="text1"/>
          <w:spacing w:val="-1"/>
          <w:sz w:val="24"/>
          <w:szCs w:val="24"/>
          <w:highlight w:val="none"/>
          <w14:textFill>
            <w14:solidFill>
              <w14:schemeClr w14:val="tx1"/>
            </w14:solidFill>
          </w14:textFill>
        </w:rPr>
        <w:t>分部分项工程的验收资料应当作为竣工资料的组成部分。</w:t>
      </w:r>
    </w:p>
    <w:p w14:paraId="144220EC">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13.2</w:t>
      </w:r>
      <w:r>
        <w:rPr>
          <w:rFonts w:hint="eastAsia" w:ascii="仿宋" w:hAnsi="仿宋" w:eastAsia="仿宋" w:cs="仿宋"/>
          <w:color w:val="000000" w:themeColor="text1"/>
          <w:spacing w:val="-5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竣工验收</w:t>
      </w:r>
    </w:p>
    <w:p w14:paraId="59240095">
      <w:pPr>
        <w:keepNext w:val="0"/>
        <w:keepLines w:val="0"/>
        <w:pageBreakBefore w:val="0"/>
        <w:widowControl w:val="0"/>
        <w:kinsoku/>
        <w:wordWrap/>
        <w:overflowPunct/>
        <w:topLinePunct w:val="0"/>
        <w:autoSpaceDE/>
        <w:autoSpaceDN/>
        <w:bidi w:val="0"/>
        <w:snapToGrid/>
        <w:spacing w:line="360" w:lineRule="auto"/>
        <w:ind w:left="0" w:leftChars="0" w:right="0" w:rightChars="0" w:firstLine="464"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13.2.1</w:t>
      </w:r>
      <w:r>
        <w:rPr>
          <w:rFonts w:hint="eastAsia" w:ascii="仿宋" w:hAnsi="仿宋" w:eastAsia="仿宋" w:cs="仿宋"/>
          <w:color w:val="000000" w:themeColor="text1"/>
          <w:spacing w:val="-5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竣工验收条件</w:t>
      </w:r>
    </w:p>
    <w:p w14:paraId="46F4D3DA">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工程具备以下条件的，承包人可以申请竣工验收：</w:t>
      </w:r>
    </w:p>
    <w:p w14:paraId="183C8143">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（1）除发包人同意的甩项工作和缺陷修补工作外，合同范围内的全部工程</w:t>
      </w:r>
      <w:r>
        <w:rPr>
          <w:rFonts w:hint="eastAsia" w:ascii="仿宋" w:hAnsi="仿宋" w:eastAsia="仿宋" w:cs="仿宋"/>
          <w:color w:val="000000" w:themeColor="text1"/>
          <w:spacing w:val="-2"/>
          <w:sz w:val="24"/>
          <w:szCs w:val="24"/>
          <w:highlight w:val="none"/>
          <w14:textFill>
            <w14:solidFill>
              <w14:schemeClr w14:val="tx1"/>
            </w14:solidFill>
          </w14:textFill>
        </w:rPr>
        <w:t>以及有关工作，包括合同要求的试验、试运行以及检验均已完成，并符合合同要</w:t>
      </w:r>
      <w:r>
        <w:rPr>
          <w:rFonts w:hint="eastAsia" w:ascii="仿宋" w:hAnsi="仿宋" w:eastAsia="仿宋" w:cs="仿宋"/>
          <w:color w:val="000000" w:themeColor="text1"/>
          <w:spacing w:val="-20"/>
          <w:sz w:val="24"/>
          <w:szCs w:val="24"/>
          <w:highlight w:val="none"/>
          <w14:textFill>
            <w14:solidFill>
              <w14:schemeClr w14:val="tx1"/>
            </w14:solidFill>
          </w14:textFill>
        </w:rPr>
        <w:t>求；</w:t>
      </w:r>
    </w:p>
    <w:p w14:paraId="24657923">
      <w:pPr>
        <w:keepNext w:val="0"/>
        <w:keepLines w:val="0"/>
        <w:pageBreakBefore w:val="0"/>
        <w:widowControl w:val="0"/>
        <w:kinsoku/>
        <w:wordWrap/>
        <w:overflowPunct/>
        <w:topLinePunct w:val="0"/>
        <w:autoSpaceDE/>
        <w:autoSpaceDN/>
        <w:bidi w:val="0"/>
        <w:snapToGrid/>
        <w:spacing w:line="360" w:lineRule="auto"/>
        <w:ind w:left="0" w:leftChars="0" w:right="0" w:rightChars="0" w:firstLine="56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（2）已按合同约定编制了甩项工作和缺陷修补工作清单以及相应的施工计</w:t>
      </w:r>
      <w:r>
        <w:rPr>
          <w:rFonts w:hint="eastAsia" w:ascii="仿宋" w:hAnsi="仿宋" w:eastAsia="仿宋" w:cs="仿宋"/>
          <w:color w:val="000000" w:themeColor="text1"/>
          <w:spacing w:val="-19"/>
          <w:sz w:val="24"/>
          <w:szCs w:val="24"/>
          <w:highlight w:val="none"/>
          <w14:textFill>
            <w14:solidFill>
              <w14:schemeClr w14:val="tx1"/>
            </w14:solidFill>
          </w14:textFill>
        </w:rPr>
        <w:t>划；</w:t>
      </w:r>
    </w:p>
    <w:p w14:paraId="43703EA4">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（3）已按合同约定的内容和份数备齐竣工资料。</w:t>
      </w:r>
    </w:p>
    <w:p w14:paraId="1A83C2E5">
      <w:pPr>
        <w:keepNext w:val="0"/>
        <w:keepLines w:val="0"/>
        <w:pageBreakBefore w:val="0"/>
        <w:widowControl w:val="0"/>
        <w:kinsoku/>
        <w:wordWrap/>
        <w:overflowPunct/>
        <w:topLinePunct w:val="0"/>
        <w:autoSpaceDE/>
        <w:autoSpaceDN/>
        <w:bidi w:val="0"/>
        <w:snapToGrid/>
        <w:spacing w:line="360" w:lineRule="auto"/>
        <w:ind w:left="0" w:leftChars="0" w:right="0" w:rightChars="0" w:firstLine="464"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13.2.2</w:t>
      </w:r>
      <w:r>
        <w:rPr>
          <w:rFonts w:hint="eastAsia" w:ascii="仿宋" w:hAnsi="仿宋" w:eastAsia="仿宋" w:cs="仿宋"/>
          <w:color w:val="000000" w:themeColor="text1"/>
          <w:spacing w:val="-5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竣工验收程序</w:t>
      </w:r>
    </w:p>
    <w:p w14:paraId="1F2458BA">
      <w:pPr>
        <w:keepNext w:val="0"/>
        <w:keepLines w:val="0"/>
        <w:pageBreakBefore w:val="0"/>
        <w:widowControl w:val="0"/>
        <w:kinsoku/>
        <w:wordWrap/>
        <w:overflowPunct/>
        <w:topLinePunct w:val="0"/>
        <w:autoSpaceDE/>
        <w:autoSpaceDN/>
        <w:bidi w:val="0"/>
        <w:snapToGrid/>
        <w:spacing w:line="360" w:lineRule="auto"/>
        <w:ind w:left="0" w:leftChars="0" w:right="0" w:rightChars="0" w:firstLine="57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除专用合同条款另有约定外，承包人申请竣工验收的，应当按照以下程序进</w:t>
      </w:r>
      <w:r>
        <w:rPr>
          <w:rFonts w:hint="eastAsia" w:ascii="仿宋" w:hAnsi="仿宋" w:eastAsia="仿宋" w:cs="仿宋"/>
          <w:color w:val="000000" w:themeColor="text1"/>
          <w:spacing w:val="-20"/>
          <w:sz w:val="24"/>
          <w:szCs w:val="24"/>
          <w:highlight w:val="none"/>
          <w14:textFill>
            <w14:solidFill>
              <w14:schemeClr w14:val="tx1"/>
            </w14:solidFill>
          </w14:textFill>
        </w:rPr>
        <w:t>行：</w:t>
      </w:r>
    </w:p>
    <w:p w14:paraId="5B5E57E3">
      <w:pPr>
        <w:keepNext w:val="0"/>
        <w:keepLines w:val="0"/>
        <w:pageBreakBefore w:val="0"/>
        <w:widowControl w:val="0"/>
        <w:kinsoku/>
        <w:wordWrap/>
        <w:overflowPunct/>
        <w:topLinePunct w:val="0"/>
        <w:autoSpaceDE/>
        <w:autoSpaceDN/>
        <w:bidi w:val="0"/>
        <w:snapToGrid/>
        <w:spacing w:line="360" w:lineRule="auto"/>
        <w:ind w:left="0" w:leftChars="0" w:right="0" w:rightChars="0" w:firstLine="56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（1）承包人向监理人报送竣工验收申请报告，监理人应在收到竣工验收申</w:t>
      </w:r>
      <w:r>
        <w:rPr>
          <w:rFonts w:hint="eastAsia" w:ascii="仿宋" w:hAnsi="仿宋" w:eastAsia="仿宋" w:cs="仿宋"/>
          <w:color w:val="000000" w:themeColor="text1"/>
          <w:spacing w:val="-2"/>
          <w:sz w:val="24"/>
          <w:szCs w:val="24"/>
          <w:highlight w:val="none"/>
          <w14:textFill>
            <w14:solidFill>
              <w14:schemeClr w14:val="tx1"/>
            </w14:solidFill>
          </w14:textFill>
        </w:rPr>
        <w:t>请报告后14</w:t>
      </w:r>
      <w:r>
        <w:rPr>
          <w:rFonts w:hint="eastAsia" w:ascii="仿宋" w:hAnsi="仿宋" w:eastAsia="仿宋" w:cs="仿宋"/>
          <w:color w:val="000000" w:themeColor="text1"/>
          <w:spacing w:val="-5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天内完成审查并报送发包人。监理人审查后认为尚不具备验收条件的，应通知承包人在竣工验收前承包人还需完成的工作内容，承包人应在完成监</w:t>
      </w:r>
      <w:r>
        <w:rPr>
          <w:rFonts w:hint="eastAsia" w:ascii="仿宋" w:hAnsi="仿宋" w:eastAsia="仿宋" w:cs="仿宋"/>
          <w:color w:val="000000" w:themeColor="text1"/>
          <w:spacing w:val="-1"/>
          <w:sz w:val="24"/>
          <w:szCs w:val="24"/>
          <w:highlight w:val="none"/>
          <w14:textFill>
            <w14:solidFill>
              <w14:schemeClr w14:val="tx1"/>
            </w14:solidFill>
          </w14:textFill>
        </w:rPr>
        <w:t>理人通知的全部工作内容后，再次提交竣工验</w:t>
      </w:r>
      <w:r>
        <w:rPr>
          <w:rFonts w:hint="eastAsia" w:ascii="仿宋" w:hAnsi="仿宋" w:eastAsia="仿宋" w:cs="仿宋"/>
          <w:color w:val="000000" w:themeColor="text1"/>
          <w:spacing w:val="-2"/>
          <w:sz w:val="24"/>
          <w:szCs w:val="24"/>
          <w:highlight w:val="none"/>
          <w14:textFill>
            <w14:solidFill>
              <w14:schemeClr w14:val="tx1"/>
            </w14:solidFill>
          </w14:textFill>
        </w:rPr>
        <w:t>收申请报告。</w:t>
      </w:r>
    </w:p>
    <w:p w14:paraId="2AA0B9C0">
      <w:pPr>
        <w:keepNext w:val="0"/>
        <w:keepLines w:val="0"/>
        <w:pageBreakBefore w:val="0"/>
        <w:widowControl w:val="0"/>
        <w:kinsoku/>
        <w:wordWrap/>
        <w:overflowPunct/>
        <w:topLinePunct w:val="0"/>
        <w:autoSpaceDE/>
        <w:autoSpaceDN/>
        <w:bidi w:val="0"/>
        <w:snapToGrid/>
        <w:spacing w:line="360" w:lineRule="auto"/>
        <w:ind w:left="0" w:leftChars="0" w:right="0" w:rightChars="0" w:firstLine="562"/>
        <w:rPr>
          <w:rFonts w:hint="eastAsia" w:ascii="仿宋" w:hAnsi="仿宋" w:eastAsia="仿宋" w:cs="仿宋"/>
          <w:color w:val="000000" w:themeColor="text1"/>
          <w:spacing w:val="-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（2）监理人审查后认为已具备竣工验收条件的，应将竣工验收申请报告提交发包人，发包人应在收到经监理人审核的竣工验收申</w:t>
      </w:r>
      <w:r>
        <w:rPr>
          <w:rFonts w:hint="eastAsia" w:ascii="仿宋" w:hAnsi="仿宋" w:eastAsia="仿宋" w:cs="仿宋"/>
          <w:color w:val="000000" w:themeColor="text1"/>
          <w:spacing w:val="-2"/>
          <w:sz w:val="24"/>
          <w:szCs w:val="24"/>
          <w:highlight w:val="none"/>
          <w14:textFill>
            <w14:solidFill>
              <w14:schemeClr w14:val="tx1"/>
            </w14:solidFill>
          </w14:textFill>
        </w:rPr>
        <w:t>请报告后</w:t>
      </w:r>
      <w:r>
        <w:rPr>
          <w:rFonts w:hint="eastAsia" w:ascii="仿宋" w:hAnsi="仿宋" w:eastAsia="仿宋" w:cs="仿宋"/>
          <w:color w:val="000000" w:themeColor="text1"/>
          <w:spacing w:val="-5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28</w:t>
      </w:r>
      <w:r>
        <w:rPr>
          <w:rFonts w:hint="eastAsia" w:ascii="仿宋" w:hAnsi="仿宋" w:eastAsia="仿宋" w:cs="仿宋"/>
          <w:color w:val="000000" w:themeColor="text1"/>
          <w:spacing w:val="-5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天内审批完毕</w:t>
      </w:r>
      <w:r>
        <w:rPr>
          <w:rFonts w:hint="eastAsia" w:ascii="仿宋" w:hAnsi="仿宋" w:eastAsia="仿宋" w:cs="仿宋"/>
          <w:color w:val="000000" w:themeColor="text1"/>
          <w:spacing w:val="-1"/>
          <w:sz w:val="24"/>
          <w:szCs w:val="24"/>
          <w:highlight w:val="none"/>
          <w14:textFill>
            <w14:solidFill>
              <w14:schemeClr w14:val="tx1"/>
            </w14:solidFill>
          </w14:textFill>
        </w:rPr>
        <w:t>并组织监理人、承包人、设计人等相关单位完成竣工验收。</w:t>
      </w:r>
    </w:p>
    <w:p w14:paraId="698DC9BF">
      <w:pPr>
        <w:keepNext w:val="0"/>
        <w:keepLines w:val="0"/>
        <w:pageBreakBefore w:val="0"/>
        <w:widowControl w:val="0"/>
        <w:kinsoku/>
        <w:wordWrap/>
        <w:overflowPunct/>
        <w:topLinePunct w:val="0"/>
        <w:autoSpaceDE/>
        <w:autoSpaceDN/>
        <w:bidi w:val="0"/>
        <w:snapToGrid/>
        <w:spacing w:line="360" w:lineRule="auto"/>
        <w:ind w:left="0" w:leftChars="0" w:right="0" w:rightChars="0" w:firstLine="56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（3）竣工验收合格的，发包人应在验收合格后 14 天内向承包人签发工程接</w:t>
      </w:r>
      <w:r>
        <w:rPr>
          <w:rFonts w:hint="eastAsia" w:ascii="仿宋" w:hAnsi="仿宋" w:eastAsia="仿宋" w:cs="仿宋"/>
          <w:color w:val="000000" w:themeColor="text1"/>
          <w:spacing w:val="-2"/>
          <w:sz w:val="24"/>
          <w:szCs w:val="24"/>
          <w:highlight w:val="none"/>
          <w14:textFill>
            <w14:solidFill>
              <w14:schemeClr w14:val="tx1"/>
            </w14:solidFill>
          </w14:textFill>
        </w:rPr>
        <w:t>收证书。发包人无正当理由逾期不颁发工程接收证书的，自验收合格后第</w:t>
      </w:r>
      <w:r>
        <w:rPr>
          <w:rFonts w:hint="eastAsia" w:ascii="仿宋" w:hAnsi="仿宋" w:eastAsia="仿宋" w:cs="仿宋"/>
          <w:color w:val="000000" w:themeColor="text1"/>
          <w:spacing w:val="-3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15</w:t>
      </w:r>
      <w:r>
        <w:rPr>
          <w:rFonts w:hint="eastAsia" w:ascii="仿宋" w:hAnsi="仿宋" w:eastAsia="仿宋" w:cs="仿宋"/>
          <w:color w:val="000000" w:themeColor="text1"/>
          <w:spacing w:val="-5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天</w:t>
      </w:r>
      <w:r>
        <w:rPr>
          <w:rFonts w:hint="eastAsia" w:ascii="仿宋" w:hAnsi="仿宋" w:eastAsia="仿宋" w:cs="仿宋"/>
          <w:color w:val="000000" w:themeColor="text1"/>
          <w:spacing w:val="-1"/>
          <w:sz w:val="24"/>
          <w:szCs w:val="24"/>
          <w:highlight w:val="none"/>
          <w14:textFill>
            <w14:solidFill>
              <w14:schemeClr w14:val="tx1"/>
            </w14:solidFill>
          </w14:textFill>
        </w:rPr>
        <w:t>起视为已颁发工程接收证书。</w:t>
      </w:r>
    </w:p>
    <w:p w14:paraId="2AC72133">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（4）竣工验收不合格的，监理人应按照验收意见发出指示，要求承包人对</w:t>
      </w:r>
      <w:r>
        <w:rPr>
          <w:rFonts w:hint="eastAsia" w:ascii="仿宋" w:hAnsi="仿宋" w:eastAsia="仿宋" w:cs="仿宋"/>
          <w:color w:val="000000" w:themeColor="text1"/>
          <w:spacing w:val="-2"/>
          <w:sz w:val="24"/>
          <w:szCs w:val="24"/>
          <w:highlight w:val="none"/>
          <w14:textFill>
            <w14:solidFill>
              <w14:schemeClr w14:val="tx1"/>
            </w14:solidFill>
          </w14:textFill>
        </w:rPr>
        <w:t>不合格工程返工、修复或采取其他补救措施，由此增加的费用和（或）延误的工</w:t>
      </w:r>
      <w:r>
        <w:rPr>
          <w:rFonts w:hint="eastAsia" w:ascii="仿宋" w:hAnsi="仿宋" w:eastAsia="仿宋" w:cs="仿宋"/>
          <w:color w:val="000000" w:themeColor="text1"/>
          <w:spacing w:val="-7"/>
          <w:sz w:val="24"/>
          <w:szCs w:val="24"/>
          <w:highlight w:val="none"/>
          <w14:textFill>
            <w14:solidFill>
              <w14:schemeClr w14:val="tx1"/>
            </w14:solidFill>
          </w14:textFill>
        </w:rPr>
        <w:t>期由承包人承担。承包人在完成不合格工程</w:t>
      </w:r>
      <w:r>
        <w:rPr>
          <w:rFonts w:hint="eastAsia" w:ascii="仿宋" w:hAnsi="仿宋" w:eastAsia="仿宋" w:cs="仿宋"/>
          <w:color w:val="000000" w:themeColor="text1"/>
          <w:spacing w:val="-8"/>
          <w:sz w:val="24"/>
          <w:szCs w:val="24"/>
          <w:highlight w:val="none"/>
          <w14:textFill>
            <w14:solidFill>
              <w14:schemeClr w14:val="tx1"/>
            </w14:solidFill>
          </w14:textFill>
        </w:rPr>
        <w:t>的返工、修复或采取其他补救措施后，</w:t>
      </w:r>
      <w:r>
        <w:rPr>
          <w:rFonts w:hint="eastAsia" w:ascii="仿宋" w:hAnsi="仿宋" w:eastAsia="仿宋" w:cs="仿宋"/>
          <w:color w:val="000000" w:themeColor="text1"/>
          <w:spacing w:val="-1"/>
          <w:sz w:val="24"/>
          <w:szCs w:val="24"/>
          <w:highlight w:val="none"/>
          <w14:textFill>
            <w14:solidFill>
              <w14:schemeClr w14:val="tx1"/>
            </w14:solidFill>
          </w14:textFill>
        </w:rPr>
        <w:t>应重新提交竣工验收申请报告，并按本项约定的程序重新进</w:t>
      </w:r>
      <w:r>
        <w:rPr>
          <w:rFonts w:hint="eastAsia" w:ascii="仿宋" w:hAnsi="仿宋" w:eastAsia="仿宋" w:cs="仿宋"/>
          <w:color w:val="000000" w:themeColor="text1"/>
          <w:spacing w:val="-2"/>
          <w:sz w:val="24"/>
          <w:szCs w:val="24"/>
          <w:highlight w:val="none"/>
          <w14:textFill>
            <w14:solidFill>
              <w14:schemeClr w14:val="tx1"/>
            </w14:solidFill>
          </w14:textFill>
        </w:rPr>
        <w:t>行验收。</w:t>
      </w:r>
    </w:p>
    <w:p w14:paraId="4EC0E56D">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（5）工程未经验收或验收不合格，发包人擅自使用的，应在转移占有工程</w:t>
      </w:r>
      <w:r>
        <w:rPr>
          <w:rFonts w:hint="eastAsia" w:ascii="仿宋" w:hAnsi="仿宋" w:eastAsia="仿宋" w:cs="仿宋"/>
          <w:color w:val="000000" w:themeColor="text1"/>
          <w:spacing w:val="-3"/>
          <w:sz w:val="24"/>
          <w:szCs w:val="24"/>
          <w:highlight w:val="none"/>
          <w14:textFill>
            <w14:solidFill>
              <w14:schemeClr w14:val="tx1"/>
            </w14:solidFill>
          </w14:textFill>
        </w:rPr>
        <w:t>后</w:t>
      </w:r>
      <w:r>
        <w:rPr>
          <w:rFonts w:hint="eastAsia" w:ascii="仿宋" w:hAnsi="仿宋" w:eastAsia="仿宋" w:cs="仿宋"/>
          <w:color w:val="000000" w:themeColor="text1"/>
          <w:spacing w:val="-5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7</w:t>
      </w:r>
      <w:r>
        <w:rPr>
          <w:rFonts w:hint="eastAsia" w:ascii="仿宋" w:hAnsi="仿宋" w:eastAsia="仿宋" w:cs="仿宋"/>
          <w:color w:val="000000" w:themeColor="text1"/>
          <w:spacing w:val="-5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天内向承包人颁发工程接收证书；发包人无正当理由逾期不颁发工程接收证书的，自转移占有后第</w:t>
      </w:r>
      <w:r>
        <w:rPr>
          <w:rFonts w:hint="eastAsia" w:ascii="仿宋" w:hAnsi="仿宋" w:eastAsia="仿宋" w:cs="仿宋"/>
          <w:color w:val="000000" w:themeColor="text1"/>
          <w:spacing w:val="-2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15</w:t>
      </w:r>
      <w:r>
        <w:rPr>
          <w:rFonts w:hint="eastAsia" w:ascii="仿宋" w:hAnsi="仿宋" w:eastAsia="仿宋" w:cs="仿宋"/>
          <w:color w:val="000000" w:themeColor="text1"/>
          <w:spacing w:val="-5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天起视为已颁发工程接收证书。</w:t>
      </w:r>
    </w:p>
    <w:p w14:paraId="50B03F0E">
      <w:pPr>
        <w:keepNext w:val="0"/>
        <w:keepLines w:val="0"/>
        <w:pageBreakBefore w:val="0"/>
        <w:widowControl w:val="0"/>
        <w:kinsoku/>
        <w:wordWrap/>
        <w:overflowPunct/>
        <w:topLinePunct w:val="0"/>
        <w:autoSpaceDE/>
        <w:autoSpaceDN/>
        <w:bidi w:val="0"/>
        <w:snapToGrid/>
        <w:spacing w:line="360" w:lineRule="auto"/>
        <w:ind w:left="0" w:leftChars="0" w:right="0" w:rightChars="0" w:firstLine="57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除专用合同条款另有约定外，发包人不按照本项约定组织竣工验收、颁发工</w:t>
      </w:r>
      <w:r>
        <w:rPr>
          <w:rFonts w:hint="eastAsia" w:ascii="仿宋" w:hAnsi="仿宋" w:eastAsia="仿宋" w:cs="仿宋"/>
          <w:color w:val="000000" w:themeColor="text1"/>
          <w:spacing w:val="-2"/>
          <w:sz w:val="24"/>
          <w:szCs w:val="24"/>
          <w:highlight w:val="none"/>
          <w14:textFill>
            <w14:solidFill>
              <w14:schemeClr w14:val="tx1"/>
            </w14:solidFill>
          </w14:textFill>
        </w:rPr>
        <w:t>程接收证书的，每逾期一天，应以签约合同价为基数，按照中国人民银行发布的</w:t>
      </w:r>
      <w:r>
        <w:rPr>
          <w:rFonts w:hint="eastAsia" w:ascii="仿宋" w:hAnsi="仿宋" w:eastAsia="仿宋" w:cs="仿宋"/>
          <w:color w:val="000000" w:themeColor="text1"/>
          <w:spacing w:val="-1"/>
          <w:sz w:val="24"/>
          <w:szCs w:val="24"/>
          <w:highlight w:val="none"/>
          <w14:textFill>
            <w14:solidFill>
              <w14:schemeClr w14:val="tx1"/>
            </w14:solidFill>
          </w14:textFill>
        </w:rPr>
        <w:t>同期同类贷款基准利率支付违约金。</w:t>
      </w:r>
    </w:p>
    <w:p w14:paraId="27356FAC">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13.2.3</w:t>
      </w:r>
      <w:r>
        <w:rPr>
          <w:rFonts w:hint="eastAsia" w:ascii="仿宋" w:hAnsi="仿宋" w:eastAsia="仿宋" w:cs="仿宋"/>
          <w:color w:val="000000" w:themeColor="text1"/>
          <w:spacing w:val="-5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竣工日期</w:t>
      </w:r>
    </w:p>
    <w:p w14:paraId="0E7456E5">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工程经竣工验收合格的，以承包人提交竣工验收申请报告之</w:t>
      </w:r>
      <w:r>
        <w:rPr>
          <w:rFonts w:hint="eastAsia" w:ascii="仿宋" w:hAnsi="仿宋" w:eastAsia="仿宋" w:cs="仿宋"/>
          <w:color w:val="000000" w:themeColor="text1"/>
          <w:spacing w:val="-3"/>
          <w:sz w:val="24"/>
          <w:szCs w:val="24"/>
          <w:highlight w:val="none"/>
          <w14:textFill>
            <w14:solidFill>
              <w14:schemeClr w14:val="tx1"/>
            </w14:solidFill>
          </w14:textFill>
        </w:rPr>
        <w:t>日为实际竣工日</w:t>
      </w:r>
      <w:r>
        <w:rPr>
          <w:rFonts w:hint="eastAsia" w:ascii="仿宋" w:hAnsi="仿宋" w:eastAsia="仿宋" w:cs="仿宋"/>
          <w:color w:val="000000" w:themeColor="text1"/>
          <w:spacing w:val="-2"/>
          <w:sz w:val="24"/>
          <w:szCs w:val="24"/>
          <w:highlight w:val="none"/>
          <w14:textFill>
            <w14:solidFill>
              <w14:schemeClr w14:val="tx1"/>
            </w14:solidFill>
          </w14:textFill>
        </w:rPr>
        <w:t>期，并在工程接收证书中载明；因发包人原因，未在监理人收到承包人提交的竣</w:t>
      </w:r>
      <w:r>
        <w:rPr>
          <w:rFonts w:hint="eastAsia" w:ascii="仿宋" w:hAnsi="仿宋" w:eastAsia="仿宋" w:cs="仿宋"/>
          <w:color w:val="000000" w:themeColor="text1"/>
          <w:spacing w:val="-1"/>
          <w:sz w:val="24"/>
          <w:szCs w:val="24"/>
          <w:highlight w:val="none"/>
          <w14:textFill>
            <w14:solidFill>
              <w14:schemeClr w14:val="tx1"/>
            </w14:solidFill>
          </w14:textFill>
        </w:rPr>
        <w:t>工验收申请报告42天内完成竣工验收，或完成竣工验收不予签发工程接收证书</w:t>
      </w:r>
      <w:r>
        <w:rPr>
          <w:rFonts w:hint="eastAsia" w:ascii="仿宋" w:hAnsi="仿宋" w:eastAsia="仿宋" w:cs="仿宋"/>
          <w:color w:val="000000" w:themeColor="text1"/>
          <w:spacing w:val="-2"/>
          <w:sz w:val="24"/>
          <w:szCs w:val="24"/>
          <w:highlight w:val="none"/>
          <w14:textFill>
            <w14:solidFill>
              <w14:schemeClr w14:val="tx1"/>
            </w14:solidFill>
          </w14:textFill>
        </w:rPr>
        <w:t>的，以提交竣工验收申请报告的日期为实际竣工日期；工程未经竣工验收，发包</w:t>
      </w:r>
      <w:r>
        <w:rPr>
          <w:rFonts w:hint="eastAsia" w:ascii="仿宋" w:hAnsi="仿宋" w:eastAsia="仿宋" w:cs="仿宋"/>
          <w:color w:val="000000" w:themeColor="text1"/>
          <w:spacing w:val="-1"/>
          <w:sz w:val="24"/>
          <w:szCs w:val="24"/>
          <w:highlight w:val="none"/>
          <w14:textFill>
            <w14:solidFill>
              <w14:schemeClr w14:val="tx1"/>
            </w14:solidFill>
          </w14:textFill>
        </w:rPr>
        <w:t>人擅自使用的，以转移占有工程之日为实际竣工日期。</w:t>
      </w:r>
    </w:p>
    <w:p w14:paraId="7101A73C">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13.2.4 拒绝接收全部或部分工程</w:t>
      </w:r>
    </w:p>
    <w:p w14:paraId="23BC77A8">
      <w:pPr>
        <w:keepNext w:val="0"/>
        <w:keepLines w:val="0"/>
        <w:pageBreakBefore w:val="0"/>
        <w:widowControl w:val="0"/>
        <w:kinsoku/>
        <w:wordWrap/>
        <w:overflowPunct/>
        <w:topLinePunct w:val="0"/>
        <w:autoSpaceDE/>
        <w:autoSpaceDN/>
        <w:bidi w:val="0"/>
        <w:snapToGrid/>
        <w:spacing w:line="360" w:lineRule="auto"/>
        <w:ind w:left="0" w:leftChars="0" w:right="0" w:rightChars="0" w:firstLine="55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w:t>
      </w:r>
      <w:r>
        <w:rPr>
          <w:rFonts w:hint="eastAsia" w:ascii="仿宋" w:hAnsi="仿宋" w:eastAsia="仿宋" w:cs="仿宋"/>
          <w:color w:val="000000" w:themeColor="text1"/>
          <w:spacing w:val="-1"/>
          <w:sz w:val="24"/>
          <w:szCs w:val="24"/>
          <w:highlight w:val="none"/>
          <w14:textFill>
            <w14:solidFill>
              <w14:schemeClr w14:val="tx1"/>
            </w14:solidFill>
          </w14:textFill>
        </w:rPr>
        <w:t>关工程的正常使用，由此增加的费用和（或）延误的工期由承包人承担。</w:t>
      </w:r>
    </w:p>
    <w:p w14:paraId="7130A9B0">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13.2.5 移交、接收全部与部分工程</w:t>
      </w:r>
    </w:p>
    <w:p w14:paraId="41596988">
      <w:pPr>
        <w:keepNext w:val="0"/>
        <w:keepLines w:val="0"/>
        <w:pageBreakBefore w:val="0"/>
        <w:widowControl w:val="0"/>
        <w:kinsoku/>
        <w:wordWrap/>
        <w:overflowPunct/>
        <w:topLinePunct w:val="0"/>
        <w:autoSpaceDE/>
        <w:autoSpaceDN/>
        <w:bidi w:val="0"/>
        <w:snapToGrid/>
        <w:spacing w:line="360" w:lineRule="auto"/>
        <w:ind w:left="0" w:leftChars="0" w:right="0" w:rightChars="0" w:firstLine="57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除专用合同条款另有约定外，合同当事人应当在颁发工程接收证书后7天内</w:t>
      </w:r>
      <w:r>
        <w:rPr>
          <w:rFonts w:hint="eastAsia" w:ascii="仿宋" w:hAnsi="仿宋" w:eastAsia="仿宋" w:cs="仿宋"/>
          <w:color w:val="000000" w:themeColor="text1"/>
          <w:spacing w:val="-2"/>
          <w:sz w:val="24"/>
          <w:szCs w:val="24"/>
          <w:highlight w:val="none"/>
          <w14:textFill>
            <w14:solidFill>
              <w14:schemeClr w14:val="tx1"/>
            </w14:solidFill>
          </w14:textFill>
        </w:rPr>
        <w:t>完成工程的移交。</w:t>
      </w:r>
    </w:p>
    <w:p w14:paraId="235E7108">
      <w:pPr>
        <w:keepNext w:val="0"/>
        <w:keepLines w:val="0"/>
        <w:pageBreakBefore w:val="0"/>
        <w:widowControl w:val="0"/>
        <w:kinsoku/>
        <w:wordWrap/>
        <w:overflowPunct/>
        <w:topLinePunct w:val="0"/>
        <w:autoSpaceDE/>
        <w:autoSpaceDN/>
        <w:bidi w:val="0"/>
        <w:snapToGrid/>
        <w:spacing w:line="360" w:lineRule="auto"/>
        <w:ind w:left="0" w:leftChars="0" w:right="0" w:rightChars="0" w:firstLine="5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发包人无正当理由不接收工程的，发包人自应当接收工程</w:t>
      </w:r>
      <w:r>
        <w:rPr>
          <w:rFonts w:hint="eastAsia" w:ascii="仿宋" w:hAnsi="仿宋" w:eastAsia="仿宋" w:cs="仿宋"/>
          <w:color w:val="000000" w:themeColor="text1"/>
          <w:spacing w:val="-3"/>
          <w:sz w:val="24"/>
          <w:szCs w:val="24"/>
          <w:highlight w:val="none"/>
          <w14:textFill>
            <w14:solidFill>
              <w14:schemeClr w14:val="tx1"/>
            </w14:solidFill>
          </w14:textFill>
        </w:rPr>
        <w:t>之日起，承担工程</w:t>
      </w:r>
      <w:r>
        <w:rPr>
          <w:rFonts w:hint="eastAsia" w:ascii="仿宋" w:hAnsi="仿宋" w:eastAsia="仿宋" w:cs="仿宋"/>
          <w:color w:val="000000" w:themeColor="text1"/>
          <w:spacing w:val="-2"/>
          <w:sz w:val="24"/>
          <w:szCs w:val="24"/>
          <w:highlight w:val="none"/>
          <w14:textFill>
            <w14:solidFill>
              <w14:schemeClr w14:val="tx1"/>
            </w14:solidFill>
          </w14:textFill>
        </w:rPr>
        <w:t>照管、成品保护、保管等与工程有关的各项费用，合同当事人可以在专用合同条</w:t>
      </w:r>
      <w:r>
        <w:rPr>
          <w:rFonts w:hint="eastAsia" w:ascii="仿宋" w:hAnsi="仿宋" w:eastAsia="仿宋" w:cs="仿宋"/>
          <w:color w:val="000000" w:themeColor="text1"/>
          <w:spacing w:val="-1"/>
          <w:sz w:val="24"/>
          <w:szCs w:val="24"/>
          <w:highlight w:val="none"/>
          <w14:textFill>
            <w14:solidFill>
              <w14:schemeClr w14:val="tx1"/>
            </w14:solidFill>
          </w14:textFill>
        </w:rPr>
        <w:t>款中另行约定发包人逾期接收工程的违约责任。</w:t>
      </w:r>
    </w:p>
    <w:p w14:paraId="50C643E7">
      <w:pPr>
        <w:keepNext w:val="0"/>
        <w:keepLines w:val="0"/>
        <w:pageBreakBefore w:val="0"/>
        <w:widowControl w:val="0"/>
        <w:kinsoku/>
        <w:wordWrap/>
        <w:overflowPunct/>
        <w:topLinePunct w:val="0"/>
        <w:autoSpaceDE/>
        <w:autoSpaceDN/>
        <w:bidi w:val="0"/>
        <w:snapToGrid/>
        <w:spacing w:line="360" w:lineRule="auto"/>
        <w:ind w:left="0" w:leftChars="0" w:right="0" w:rightChars="0" w:firstLine="5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承包人无正当理由不移交工程的，承包人应承担工程照管、成品保护、保管等与工程有关的各项费用，合同当事人可以在专用合同条款中另行约定承包人无</w:t>
      </w:r>
      <w:r>
        <w:rPr>
          <w:rFonts w:hint="eastAsia" w:ascii="仿宋" w:hAnsi="仿宋" w:eastAsia="仿宋" w:cs="仿宋"/>
          <w:color w:val="000000" w:themeColor="text1"/>
          <w:spacing w:val="-3"/>
          <w:sz w:val="24"/>
          <w:szCs w:val="24"/>
          <w:highlight w:val="none"/>
          <w14:textFill>
            <w14:solidFill>
              <w14:schemeClr w14:val="tx1"/>
            </w14:solidFill>
          </w14:textFill>
        </w:rPr>
        <w:t>正当理由不移交工程的违约责任。</w:t>
      </w:r>
    </w:p>
    <w:p w14:paraId="17BF2C8E">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13.3</w:t>
      </w:r>
      <w:r>
        <w:rPr>
          <w:rFonts w:hint="eastAsia" w:ascii="仿宋" w:hAnsi="仿宋" w:eastAsia="仿宋" w:cs="仿宋"/>
          <w:color w:val="000000" w:themeColor="text1"/>
          <w:spacing w:val="-5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工程试车</w:t>
      </w:r>
    </w:p>
    <w:p w14:paraId="0F9D4DA5">
      <w:pPr>
        <w:pStyle w:val="9"/>
        <w:keepNext w:val="0"/>
        <w:keepLines w:val="0"/>
        <w:pageBreakBefore w:val="0"/>
        <w:widowControl w:val="0"/>
        <w:kinsoku/>
        <w:wordWrap/>
        <w:overflowPunct/>
        <w:topLinePunct w:val="0"/>
        <w:autoSpaceDE/>
        <w:autoSpaceDN/>
        <w:bidi w:val="0"/>
        <w:snapToGrid/>
        <w:spacing w:after="0"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p>
    <w:p w14:paraId="2FCBD77F">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13.3.1</w:t>
      </w:r>
      <w:r>
        <w:rPr>
          <w:rFonts w:hint="eastAsia" w:ascii="仿宋" w:hAnsi="仿宋" w:eastAsia="仿宋" w:cs="仿宋"/>
          <w:color w:val="000000" w:themeColor="text1"/>
          <w:spacing w:val="-5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试车程序</w:t>
      </w:r>
    </w:p>
    <w:p w14:paraId="750D93B0">
      <w:pPr>
        <w:keepNext w:val="0"/>
        <w:keepLines w:val="0"/>
        <w:pageBreakBefore w:val="0"/>
        <w:widowControl w:val="0"/>
        <w:kinsoku/>
        <w:wordWrap/>
        <w:overflowPunct/>
        <w:topLinePunct w:val="0"/>
        <w:autoSpaceDE/>
        <w:autoSpaceDN/>
        <w:bidi w:val="0"/>
        <w:snapToGrid/>
        <w:spacing w:line="360" w:lineRule="auto"/>
        <w:ind w:left="0" w:leftChars="0" w:right="0" w:rightChars="0" w:firstLine="53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工程需要试车的，除专用合同条款另有约定外，试车内容应</w:t>
      </w:r>
      <w:r>
        <w:rPr>
          <w:rFonts w:hint="eastAsia" w:ascii="仿宋" w:hAnsi="仿宋" w:eastAsia="仿宋" w:cs="仿宋"/>
          <w:color w:val="000000" w:themeColor="text1"/>
          <w:spacing w:val="-3"/>
          <w:sz w:val="24"/>
          <w:szCs w:val="24"/>
          <w:highlight w:val="none"/>
          <w14:textFill>
            <w14:solidFill>
              <w14:schemeClr w14:val="tx1"/>
            </w14:solidFill>
          </w14:textFill>
        </w:rPr>
        <w:t>与承包人承包范</w:t>
      </w:r>
      <w:r>
        <w:rPr>
          <w:rFonts w:hint="eastAsia" w:ascii="仿宋" w:hAnsi="仿宋" w:eastAsia="仿宋" w:cs="仿宋"/>
          <w:color w:val="000000" w:themeColor="text1"/>
          <w:spacing w:val="-1"/>
          <w:sz w:val="24"/>
          <w:szCs w:val="24"/>
          <w:highlight w:val="none"/>
          <w14:textFill>
            <w14:solidFill>
              <w14:schemeClr w14:val="tx1"/>
            </w14:solidFill>
          </w14:textFill>
        </w:rPr>
        <w:t>围相一致，试车费用由承包人承担。工程试车</w:t>
      </w:r>
      <w:r>
        <w:rPr>
          <w:rFonts w:hint="eastAsia" w:ascii="仿宋" w:hAnsi="仿宋" w:eastAsia="仿宋" w:cs="仿宋"/>
          <w:color w:val="000000" w:themeColor="text1"/>
          <w:spacing w:val="-2"/>
          <w:sz w:val="24"/>
          <w:szCs w:val="24"/>
          <w:highlight w:val="none"/>
          <w14:textFill>
            <w14:solidFill>
              <w14:schemeClr w14:val="tx1"/>
            </w14:solidFill>
          </w14:textFill>
        </w:rPr>
        <w:t>应按如下程序进行：</w:t>
      </w:r>
    </w:p>
    <w:p w14:paraId="78A949A5">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（1）具备单机无负荷试车条件，承包人组织试车，并在试车前</w:t>
      </w:r>
      <w:r>
        <w:rPr>
          <w:rFonts w:hint="eastAsia" w:ascii="仿宋" w:hAnsi="仿宋" w:eastAsia="仿宋" w:cs="仿宋"/>
          <w:color w:val="000000" w:themeColor="text1"/>
          <w:spacing w:val="-5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48</w:t>
      </w:r>
      <w:r>
        <w:rPr>
          <w:rFonts w:hint="eastAsia" w:ascii="仿宋" w:hAnsi="仿宋" w:eastAsia="仿宋" w:cs="仿宋"/>
          <w:color w:val="000000" w:themeColor="text1"/>
          <w:spacing w:val="-5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小时书面</w:t>
      </w:r>
      <w:r>
        <w:rPr>
          <w:rFonts w:hint="eastAsia" w:ascii="仿宋" w:hAnsi="仿宋" w:eastAsia="仿宋" w:cs="仿宋"/>
          <w:color w:val="000000" w:themeColor="text1"/>
          <w:spacing w:val="-2"/>
          <w:sz w:val="24"/>
          <w:szCs w:val="24"/>
          <w:highlight w:val="none"/>
          <w14:textFill>
            <w14:solidFill>
              <w14:schemeClr w14:val="tx1"/>
            </w14:solidFill>
          </w14:textFill>
        </w:rPr>
        <w:t>通知监理人，通知中应载明试车内容、时间、地点。承包人准备试车记录，发包</w:t>
      </w:r>
      <w:r>
        <w:rPr>
          <w:rFonts w:hint="eastAsia" w:ascii="仿宋" w:hAnsi="仿宋" w:eastAsia="仿宋" w:cs="仿宋"/>
          <w:color w:val="000000" w:themeColor="text1"/>
          <w:spacing w:val="-7"/>
          <w:sz w:val="24"/>
          <w:szCs w:val="24"/>
          <w:highlight w:val="none"/>
          <w14:textFill>
            <w14:solidFill>
              <w14:schemeClr w14:val="tx1"/>
            </w14:solidFill>
          </w14:textFill>
        </w:rPr>
        <w:t>人根据承包人要求为试车提供必要条件。试车合格的，监理人在试车记录上签字。</w:t>
      </w:r>
      <w:r>
        <w:rPr>
          <w:rFonts w:hint="eastAsia" w:ascii="仿宋" w:hAnsi="仿宋" w:eastAsia="仿宋" w:cs="仿宋"/>
          <w:color w:val="000000" w:themeColor="text1"/>
          <w:spacing w:val="-1"/>
          <w:sz w:val="24"/>
          <w:szCs w:val="24"/>
          <w:highlight w:val="none"/>
          <w14:textFill>
            <w14:solidFill>
              <w14:schemeClr w14:val="tx1"/>
            </w14:solidFill>
          </w14:textFill>
        </w:rPr>
        <w:t>监理人在试车合格后不在试车记录上签字，自试车结束满</w:t>
      </w:r>
      <w:r>
        <w:rPr>
          <w:rFonts w:hint="eastAsia" w:ascii="仿宋" w:hAnsi="仿宋" w:eastAsia="仿宋" w:cs="仿宋"/>
          <w:color w:val="000000" w:themeColor="text1"/>
          <w:spacing w:val="-5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2</w:t>
      </w:r>
      <w:r>
        <w:rPr>
          <w:rFonts w:hint="eastAsia" w:ascii="仿宋" w:hAnsi="仿宋" w:eastAsia="仿宋" w:cs="仿宋"/>
          <w:color w:val="000000" w:themeColor="text1"/>
          <w:spacing w:val="-2"/>
          <w:sz w:val="24"/>
          <w:szCs w:val="24"/>
          <w:highlight w:val="none"/>
          <w14:textFill>
            <w14:solidFill>
              <w14:schemeClr w14:val="tx1"/>
            </w14:solidFill>
          </w14:textFill>
        </w:rPr>
        <w:t>4</w:t>
      </w:r>
      <w:r>
        <w:rPr>
          <w:rFonts w:hint="eastAsia" w:ascii="仿宋" w:hAnsi="仿宋" w:eastAsia="仿宋" w:cs="仿宋"/>
          <w:color w:val="000000" w:themeColor="text1"/>
          <w:spacing w:val="-5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小时后视为监理人已经认可试车记录，承包人可继续施工或办理竣工验收手续。</w:t>
      </w:r>
    </w:p>
    <w:p w14:paraId="46ED3F7E">
      <w:pPr>
        <w:pStyle w:val="9"/>
        <w:keepNext w:val="0"/>
        <w:keepLines w:val="0"/>
        <w:pageBreakBefore w:val="0"/>
        <w:widowControl w:val="0"/>
        <w:kinsoku/>
        <w:wordWrap/>
        <w:overflowPunct/>
        <w:topLinePunct w:val="0"/>
        <w:autoSpaceDE/>
        <w:autoSpaceDN/>
        <w:bidi w:val="0"/>
        <w:snapToGrid/>
        <w:spacing w:after="0" w:line="360" w:lineRule="auto"/>
        <w:ind w:left="0" w:leftChars="0" w:right="0" w:rightChars="0" w:firstLine="476" w:firstLineChars="200"/>
        <w:jc w:val="left"/>
        <w:rPr>
          <w:rFonts w:hint="eastAsia" w:ascii="仿宋" w:hAnsi="仿宋" w:eastAsia="仿宋" w:cs="仿宋"/>
          <w:color w:val="000000" w:themeColor="text1"/>
          <w:spacing w:val="-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监理人不能按时参加试车，应在试车前24小时以书面形式向承包人提出延 期要求，但延期不能超过48小时，由此导致工期延误的，工期应予以顺延。监理人未能在前述期限内提出延期要求，又不参加试车的，视为认可试车记录。</w:t>
      </w:r>
    </w:p>
    <w:p w14:paraId="12BB994E">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（2）具备无负荷联动试车条件，发包人组织试车，并在试车前</w:t>
      </w:r>
      <w:r>
        <w:rPr>
          <w:rFonts w:hint="eastAsia" w:ascii="仿宋" w:hAnsi="仿宋" w:eastAsia="仿宋" w:cs="仿宋"/>
          <w:color w:val="000000" w:themeColor="text1"/>
          <w:spacing w:val="-5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48</w:t>
      </w:r>
      <w:r>
        <w:rPr>
          <w:rFonts w:hint="eastAsia" w:ascii="仿宋" w:hAnsi="仿宋" w:eastAsia="仿宋" w:cs="仿宋"/>
          <w:color w:val="000000" w:themeColor="text1"/>
          <w:spacing w:val="-5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小时以书</w:t>
      </w:r>
      <w:r>
        <w:rPr>
          <w:rFonts w:hint="eastAsia" w:ascii="仿宋" w:hAnsi="仿宋" w:eastAsia="仿宋" w:cs="仿宋"/>
          <w:color w:val="000000" w:themeColor="text1"/>
          <w:spacing w:val="-2"/>
          <w:sz w:val="24"/>
          <w:szCs w:val="24"/>
          <w:highlight w:val="none"/>
          <w14:textFill>
            <w14:solidFill>
              <w14:schemeClr w14:val="tx1"/>
            </w14:solidFill>
          </w14:textFill>
        </w:rPr>
        <w:t>面形式通知承包人。通知中应载明试车内容、时间、地点和对承包人的要求，承包人按要求做好准备工作。试车合格，合同当事人在试车记录上签字。承包人无</w:t>
      </w:r>
      <w:r>
        <w:rPr>
          <w:rFonts w:hint="eastAsia" w:ascii="仿宋" w:hAnsi="仿宋" w:eastAsia="仿宋" w:cs="仿宋"/>
          <w:color w:val="000000" w:themeColor="text1"/>
          <w:spacing w:val="-3"/>
          <w:sz w:val="24"/>
          <w:szCs w:val="24"/>
          <w:highlight w:val="none"/>
          <w14:textFill>
            <w14:solidFill>
              <w14:schemeClr w14:val="tx1"/>
            </w14:solidFill>
          </w14:textFill>
        </w:rPr>
        <w:t>正当理由不参加试车的，视为认可试车记录。</w:t>
      </w:r>
    </w:p>
    <w:p w14:paraId="1220D6DC">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13.3.2 试车中的责任</w:t>
      </w:r>
    </w:p>
    <w:p w14:paraId="61138DC5">
      <w:pPr>
        <w:keepNext w:val="0"/>
        <w:keepLines w:val="0"/>
        <w:pageBreakBefore w:val="0"/>
        <w:widowControl w:val="0"/>
        <w:kinsoku/>
        <w:wordWrap/>
        <w:overflowPunct/>
        <w:topLinePunct w:val="0"/>
        <w:autoSpaceDE/>
        <w:autoSpaceDN/>
        <w:bidi w:val="0"/>
        <w:snapToGrid/>
        <w:spacing w:line="360" w:lineRule="auto"/>
        <w:ind w:left="0" w:leftChars="0" w:right="0" w:rightChars="0" w:firstLine="5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因设计原因导致试车达不到验收要求，发包人应要求设计人修改设计，承包</w:t>
      </w:r>
      <w:r>
        <w:rPr>
          <w:rFonts w:hint="eastAsia" w:ascii="仿宋" w:hAnsi="仿宋" w:eastAsia="仿宋" w:cs="仿宋"/>
          <w:color w:val="000000" w:themeColor="text1"/>
          <w:spacing w:val="-8"/>
          <w:sz w:val="24"/>
          <w:szCs w:val="24"/>
          <w:highlight w:val="none"/>
          <w14:textFill>
            <w14:solidFill>
              <w14:schemeClr w14:val="tx1"/>
            </w14:solidFill>
          </w14:textFill>
        </w:rPr>
        <w:t>人按修改后的设计重新安装。发包人承担修改设计、拆除及重新安装的全部费用，</w:t>
      </w:r>
      <w:r>
        <w:rPr>
          <w:rFonts w:hint="eastAsia" w:ascii="仿宋" w:hAnsi="仿宋" w:eastAsia="仿宋" w:cs="仿宋"/>
          <w:color w:val="000000" w:themeColor="text1"/>
          <w:spacing w:val="-2"/>
          <w:sz w:val="24"/>
          <w:szCs w:val="24"/>
          <w:highlight w:val="none"/>
          <w14:textFill>
            <w14:solidFill>
              <w14:schemeClr w14:val="tx1"/>
            </w14:solidFill>
          </w14:textFill>
        </w:rPr>
        <w:t>工期相应顺延。因承包人原因导致试车达不到验收要求，承包人按监理人要求重新安装和试车，并承担重新安装和试车的费用，工期不予顺延。</w:t>
      </w:r>
    </w:p>
    <w:p w14:paraId="0515A20A">
      <w:pPr>
        <w:keepNext w:val="0"/>
        <w:keepLines w:val="0"/>
        <w:pageBreakBefore w:val="0"/>
        <w:widowControl w:val="0"/>
        <w:kinsoku/>
        <w:wordWrap/>
        <w:overflowPunct/>
        <w:topLinePunct w:val="0"/>
        <w:autoSpaceDE/>
        <w:autoSpaceDN/>
        <w:bidi w:val="0"/>
        <w:snapToGrid/>
        <w:spacing w:line="360" w:lineRule="auto"/>
        <w:ind w:left="0" w:leftChars="0" w:right="0" w:rightChars="0" w:firstLine="5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因工程设备制造原因导致试车达不到验收要求的，由采购该工程设备的合同</w:t>
      </w:r>
      <w:r>
        <w:rPr>
          <w:rFonts w:hint="eastAsia" w:ascii="仿宋" w:hAnsi="仿宋" w:eastAsia="仿宋" w:cs="仿宋"/>
          <w:color w:val="000000" w:themeColor="text1"/>
          <w:spacing w:val="-2"/>
          <w:sz w:val="24"/>
          <w:szCs w:val="24"/>
          <w:highlight w:val="none"/>
          <w14:textFill>
            <w14:solidFill>
              <w14:schemeClr w14:val="tx1"/>
            </w14:solidFill>
          </w14:textFill>
        </w:rPr>
        <w:t>当事人负责重新购置或修理，承包人负责拆除和重新安装，由此增加的修理、重新购置、拆除及重新安装的费用及延误的工期由采购该工程设备的合同当事人承</w:t>
      </w:r>
      <w:r>
        <w:rPr>
          <w:rFonts w:hint="eastAsia" w:ascii="仿宋" w:hAnsi="仿宋" w:eastAsia="仿宋" w:cs="仿宋"/>
          <w:color w:val="000000" w:themeColor="text1"/>
          <w:spacing w:val="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3"/>
          <w:sz w:val="24"/>
          <w:szCs w:val="24"/>
          <w:highlight w:val="none"/>
          <w14:textFill>
            <w14:solidFill>
              <w14:schemeClr w14:val="tx1"/>
            </w14:solidFill>
          </w14:textFill>
        </w:rPr>
        <w:t>担。</w:t>
      </w:r>
    </w:p>
    <w:p w14:paraId="443527B8">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13.3.3 投料试车</w:t>
      </w:r>
    </w:p>
    <w:p w14:paraId="70AE5A9F">
      <w:pPr>
        <w:keepNext w:val="0"/>
        <w:keepLines w:val="0"/>
        <w:pageBreakBefore w:val="0"/>
        <w:widowControl w:val="0"/>
        <w:kinsoku/>
        <w:wordWrap/>
        <w:overflowPunct/>
        <w:topLinePunct w:val="0"/>
        <w:autoSpaceDE/>
        <w:autoSpaceDN/>
        <w:bidi w:val="0"/>
        <w:snapToGrid/>
        <w:spacing w:line="360" w:lineRule="auto"/>
        <w:ind w:left="0" w:leftChars="0" w:right="0" w:rightChars="0" w:firstLine="56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如需进行投料试车的，发包人应在工程竣工验收后组织投</w:t>
      </w:r>
      <w:r>
        <w:rPr>
          <w:rFonts w:hint="eastAsia" w:ascii="仿宋" w:hAnsi="仿宋" w:eastAsia="仿宋" w:cs="仿宋"/>
          <w:color w:val="000000" w:themeColor="text1"/>
          <w:spacing w:val="-3"/>
          <w:sz w:val="24"/>
          <w:szCs w:val="24"/>
          <w:highlight w:val="none"/>
          <w14:textFill>
            <w14:solidFill>
              <w14:schemeClr w14:val="tx1"/>
            </w14:solidFill>
          </w14:textFill>
        </w:rPr>
        <w:t>料试车。发包人要</w:t>
      </w:r>
      <w:r>
        <w:rPr>
          <w:rFonts w:hint="eastAsia" w:ascii="仿宋" w:hAnsi="仿宋" w:eastAsia="仿宋" w:cs="仿宋"/>
          <w:color w:val="000000" w:themeColor="text1"/>
          <w:spacing w:val="-2"/>
          <w:sz w:val="24"/>
          <w:szCs w:val="24"/>
          <w:highlight w:val="none"/>
          <w14:textFill>
            <w14:solidFill>
              <w14:schemeClr w14:val="tx1"/>
            </w14:solidFill>
          </w14:textFill>
        </w:rPr>
        <w:t>求在工程竣工验收前进行或需要承包人配合时，应征得承包人同意，并在专用合</w:t>
      </w:r>
      <w:r>
        <w:rPr>
          <w:rFonts w:hint="eastAsia" w:ascii="仿宋" w:hAnsi="仿宋" w:eastAsia="仿宋" w:cs="仿宋"/>
          <w:color w:val="000000" w:themeColor="text1"/>
          <w:spacing w:val="-4"/>
          <w:sz w:val="24"/>
          <w:szCs w:val="24"/>
          <w:highlight w:val="none"/>
          <w14:textFill>
            <w14:solidFill>
              <w14:schemeClr w14:val="tx1"/>
            </w14:solidFill>
          </w14:textFill>
        </w:rPr>
        <w:t>同条款中约定有关事项。</w:t>
      </w:r>
    </w:p>
    <w:p w14:paraId="607F479C">
      <w:pPr>
        <w:keepNext w:val="0"/>
        <w:keepLines w:val="0"/>
        <w:pageBreakBefore w:val="0"/>
        <w:widowControl w:val="0"/>
        <w:kinsoku/>
        <w:wordWrap/>
        <w:overflowPunct/>
        <w:topLinePunct w:val="0"/>
        <w:autoSpaceDE/>
        <w:autoSpaceDN/>
        <w:bidi w:val="0"/>
        <w:snapToGrid/>
        <w:spacing w:line="360" w:lineRule="auto"/>
        <w:ind w:left="0" w:leftChars="0" w:right="0" w:rightChars="0" w:firstLine="5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8"/>
          <w:sz w:val="24"/>
          <w:szCs w:val="24"/>
          <w:highlight w:val="none"/>
          <w14:textFill>
            <w14:solidFill>
              <w14:schemeClr w14:val="tx1"/>
            </w14:solidFill>
          </w14:textFill>
        </w:rPr>
        <w:t>投料试车合格的，费用由发包人承担；因承包人原因造成投料试车不合格的，</w:t>
      </w:r>
      <w:r>
        <w:rPr>
          <w:rFonts w:hint="eastAsia" w:ascii="仿宋" w:hAnsi="仿宋" w:eastAsia="仿宋" w:cs="仿宋"/>
          <w:color w:val="000000" w:themeColor="text1"/>
          <w:spacing w:val="-2"/>
          <w:sz w:val="24"/>
          <w:szCs w:val="24"/>
          <w:highlight w:val="none"/>
          <w14:textFill>
            <w14:solidFill>
              <w14:schemeClr w14:val="tx1"/>
            </w14:solidFill>
          </w14:textFill>
        </w:rPr>
        <w:t>承包人应按照发包人要求进行整改，由此产生的整改费用由承包人承担；非因承包人原因导致投料试车不合格的，如发包人要求承包人进行整改的，由此产生的费用由发包人承担。</w:t>
      </w:r>
    </w:p>
    <w:p w14:paraId="247AE69A">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13.4</w:t>
      </w:r>
      <w:r>
        <w:rPr>
          <w:rFonts w:hint="eastAsia" w:ascii="仿宋" w:hAnsi="仿宋" w:eastAsia="仿宋" w:cs="仿宋"/>
          <w:color w:val="000000" w:themeColor="text1"/>
          <w:spacing w:val="-5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提前交付单位工程的验收</w:t>
      </w:r>
    </w:p>
    <w:p w14:paraId="6EC474FA">
      <w:pPr>
        <w:keepNext w:val="0"/>
        <w:keepLines w:val="0"/>
        <w:pageBreakBefore w:val="0"/>
        <w:widowControl w:val="0"/>
        <w:kinsoku/>
        <w:wordWrap/>
        <w:overflowPunct/>
        <w:topLinePunct w:val="0"/>
        <w:autoSpaceDE/>
        <w:autoSpaceDN/>
        <w:bidi w:val="0"/>
        <w:snapToGrid/>
        <w:spacing w:line="360" w:lineRule="auto"/>
        <w:ind w:left="0" w:leftChars="0" w:right="0" w:rightChars="0" w:firstLine="5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13.4.1 发包人需要在工程竣工前使用单位工程的，或承包人提出提前交付</w:t>
      </w:r>
      <w:r>
        <w:rPr>
          <w:rFonts w:hint="eastAsia" w:ascii="仿宋" w:hAnsi="仿宋" w:eastAsia="仿宋" w:cs="仿宋"/>
          <w:color w:val="000000" w:themeColor="text1"/>
          <w:spacing w:val="-2"/>
          <w:sz w:val="24"/>
          <w:szCs w:val="24"/>
          <w:highlight w:val="none"/>
          <w14:textFill>
            <w14:solidFill>
              <w14:schemeClr w14:val="tx1"/>
            </w14:solidFill>
          </w14:textFill>
        </w:rPr>
        <w:t>已经竣工的单位工程且经发包人同意的，可进行单位工程验收，验收的程序按照</w:t>
      </w:r>
      <w:r>
        <w:rPr>
          <w:rFonts w:hint="eastAsia" w:ascii="仿宋" w:hAnsi="仿宋" w:eastAsia="仿宋" w:cs="仿宋"/>
          <w:color w:val="000000" w:themeColor="text1"/>
          <w:spacing w:val="-3"/>
          <w:sz w:val="24"/>
          <w:szCs w:val="24"/>
          <w:highlight w:val="none"/>
          <w14:textFill>
            <w14:solidFill>
              <w14:schemeClr w14:val="tx1"/>
            </w14:solidFill>
          </w14:textFill>
        </w:rPr>
        <w:t>第</w:t>
      </w:r>
      <w:r>
        <w:rPr>
          <w:rFonts w:hint="eastAsia" w:ascii="仿宋" w:hAnsi="仿宋" w:eastAsia="仿宋" w:cs="仿宋"/>
          <w:color w:val="000000" w:themeColor="text1"/>
          <w:spacing w:val="-3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13.2</w:t>
      </w:r>
      <w:r>
        <w:rPr>
          <w:rFonts w:hint="eastAsia" w:ascii="仿宋" w:hAnsi="仿宋" w:eastAsia="仿宋" w:cs="仿宋"/>
          <w:color w:val="000000" w:themeColor="text1"/>
          <w:spacing w:val="-5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款〔竣工验收〕的约定进行。</w:t>
      </w:r>
    </w:p>
    <w:p w14:paraId="47C02DBB">
      <w:pPr>
        <w:keepNext w:val="0"/>
        <w:keepLines w:val="0"/>
        <w:pageBreakBefore w:val="0"/>
        <w:widowControl w:val="0"/>
        <w:kinsoku/>
        <w:wordWrap/>
        <w:overflowPunct/>
        <w:topLinePunct w:val="0"/>
        <w:autoSpaceDE/>
        <w:autoSpaceDN/>
        <w:bidi w:val="0"/>
        <w:snapToGrid/>
        <w:spacing w:line="360" w:lineRule="auto"/>
        <w:ind w:left="0" w:leftChars="0" w:right="0" w:rightChars="0" w:firstLine="55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验收合格后，由监理人向承包人出具经发包人签认的单位工程接收证书</w:t>
      </w:r>
      <w:r>
        <w:rPr>
          <w:rFonts w:hint="eastAsia" w:ascii="仿宋" w:hAnsi="仿宋" w:eastAsia="仿宋" w:cs="仿宋"/>
          <w:color w:val="000000" w:themeColor="text1"/>
          <w:spacing w:val="-3"/>
          <w:sz w:val="24"/>
          <w:szCs w:val="24"/>
          <w:highlight w:val="none"/>
          <w14:textFill>
            <w14:solidFill>
              <w14:schemeClr w14:val="tx1"/>
            </w14:solidFill>
          </w14:textFill>
        </w:rPr>
        <w:t>。已</w:t>
      </w:r>
      <w:r>
        <w:rPr>
          <w:rFonts w:hint="eastAsia" w:ascii="仿宋" w:hAnsi="仿宋" w:eastAsia="仿宋" w:cs="仿宋"/>
          <w:color w:val="000000" w:themeColor="text1"/>
          <w:spacing w:val="-2"/>
          <w:sz w:val="24"/>
          <w:szCs w:val="24"/>
          <w:highlight w:val="none"/>
          <w14:textFill>
            <w14:solidFill>
              <w14:schemeClr w14:val="tx1"/>
            </w14:solidFill>
          </w14:textFill>
        </w:rPr>
        <w:t>签发单位工程接收证书的单位工程由发包人负责照管。单位工程的验收成果和结</w:t>
      </w:r>
      <w:r>
        <w:rPr>
          <w:rFonts w:hint="eastAsia" w:ascii="仿宋" w:hAnsi="仿宋" w:eastAsia="仿宋" w:cs="仿宋"/>
          <w:color w:val="000000" w:themeColor="text1"/>
          <w:spacing w:val="-3"/>
          <w:sz w:val="24"/>
          <w:szCs w:val="24"/>
          <w:highlight w:val="none"/>
          <w14:textFill>
            <w14:solidFill>
              <w14:schemeClr w14:val="tx1"/>
            </w14:solidFill>
          </w14:textFill>
        </w:rPr>
        <w:t>论作为整体工程竣工验收申请报告的附件。</w:t>
      </w:r>
    </w:p>
    <w:p w14:paraId="5F0969AF">
      <w:pPr>
        <w:keepNext w:val="0"/>
        <w:keepLines w:val="0"/>
        <w:pageBreakBefore w:val="0"/>
        <w:widowControl w:val="0"/>
        <w:kinsoku/>
        <w:wordWrap/>
        <w:overflowPunct/>
        <w:topLinePunct w:val="0"/>
        <w:autoSpaceDE/>
        <w:autoSpaceDN/>
        <w:bidi w:val="0"/>
        <w:snapToGrid/>
        <w:spacing w:line="360" w:lineRule="auto"/>
        <w:ind w:left="0" w:leftChars="0" w:right="0" w:rightChars="0" w:firstLine="5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13.4.2 发包人要求在工程竣工前交付单位工程，由此导致承包人费用增加</w:t>
      </w:r>
      <w:r>
        <w:rPr>
          <w:rFonts w:hint="eastAsia" w:ascii="仿宋" w:hAnsi="仿宋" w:eastAsia="仿宋" w:cs="仿宋"/>
          <w:color w:val="000000" w:themeColor="text1"/>
          <w:spacing w:val="-2"/>
          <w:sz w:val="24"/>
          <w:szCs w:val="24"/>
          <w:highlight w:val="none"/>
          <w14:textFill>
            <w14:solidFill>
              <w14:schemeClr w14:val="tx1"/>
            </w14:solidFill>
          </w14:textFill>
        </w:rPr>
        <w:t>和（或）工期延误的，由发包人承担由此增加的费用和（或）延误的工期，并支</w:t>
      </w:r>
      <w:r>
        <w:rPr>
          <w:rFonts w:hint="eastAsia" w:ascii="仿宋" w:hAnsi="仿宋" w:eastAsia="仿宋" w:cs="仿宋"/>
          <w:color w:val="000000" w:themeColor="text1"/>
          <w:spacing w:val="-4"/>
          <w:sz w:val="24"/>
          <w:szCs w:val="24"/>
          <w:highlight w:val="none"/>
          <w14:textFill>
            <w14:solidFill>
              <w14:schemeClr w14:val="tx1"/>
            </w14:solidFill>
          </w14:textFill>
        </w:rPr>
        <w:t>付承包人合理的利润。</w:t>
      </w:r>
    </w:p>
    <w:p w14:paraId="56EDDB90">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13.5 施工期运行</w:t>
      </w:r>
    </w:p>
    <w:p w14:paraId="4EDCC383">
      <w:pPr>
        <w:keepNext w:val="0"/>
        <w:keepLines w:val="0"/>
        <w:pageBreakBefore w:val="0"/>
        <w:widowControl w:val="0"/>
        <w:kinsoku/>
        <w:wordWrap/>
        <w:overflowPunct/>
        <w:topLinePunct w:val="0"/>
        <w:autoSpaceDE/>
        <w:autoSpaceDN/>
        <w:bidi w:val="0"/>
        <w:snapToGrid/>
        <w:spacing w:line="360" w:lineRule="auto"/>
        <w:ind w:left="0" w:leftChars="0" w:right="0" w:rightChars="0" w:firstLine="58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13.5.1 施工期运行是指合同工程尚未全部竣工，其中某项或某几项单位工</w:t>
      </w:r>
      <w:r>
        <w:rPr>
          <w:rFonts w:hint="eastAsia" w:ascii="仿宋" w:hAnsi="仿宋" w:eastAsia="仿宋" w:cs="仿宋"/>
          <w:color w:val="000000" w:themeColor="text1"/>
          <w:spacing w:val="-2"/>
          <w:sz w:val="24"/>
          <w:szCs w:val="24"/>
          <w:highlight w:val="none"/>
          <w14:textFill>
            <w14:solidFill>
              <w14:schemeClr w14:val="tx1"/>
            </w14:solidFill>
          </w14:textFill>
        </w:rPr>
        <w:t>程或工程设备安装已竣工，根据专用合同条款约定，需要投入施工期运行的，经发包人按第13.4</w:t>
      </w:r>
      <w:r>
        <w:rPr>
          <w:rFonts w:hint="eastAsia" w:ascii="仿宋" w:hAnsi="仿宋" w:eastAsia="仿宋" w:cs="仿宋"/>
          <w:color w:val="000000" w:themeColor="text1"/>
          <w:spacing w:val="-5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款〔提前交付单位工程的验收〕的约定验收合格，证明能确保</w:t>
      </w:r>
      <w:r>
        <w:rPr>
          <w:rFonts w:hint="eastAsia" w:ascii="仿宋" w:hAnsi="仿宋" w:eastAsia="仿宋" w:cs="仿宋"/>
          <w:color w:val="000000" w:themeColor="text1"/>
          <w:spacing w:val="-3"/>
          <w:sz w:val="24"/>
          <w:szCs w:val="24"/>
          <w:highlight w:val="none"/>
          <w14:textFill>
            <w14:solidFill>
              <w14:schemeClr w14:val="tx1"/>
            </w14:solidFill>
          </w14:textFill>
        </w:rPr>
        <w:t>安全后，才能在施工期投入运行。</w:t>
      </w:r>
    </w:p>
    <w:p w14:paraId="5F7AD489">
      <w:pPr>
        <w:keepNext w:val="0"/>
        <w:keepLines w:val="0"/>
        <w:pageBreakBefore w:val="0"/>
        <w:widowControl w:val="0"/>
        <w:kinsoku/>
        <w:wordWrap/>
        <w:overflowPunct/>
        <w:topLinePunct w:val="0"/>
        <w:autoSpaceDE/>
        <w:autoSpaceDN/>
        <w:bidi w:val="0"/>
        <w:snapToGrid/>
        <w:spacing w:line="360" w:lineRule="auto"/>
        <w:ind w:left="0" w:leftChars="0" w:right="0" w:rightChars="0" w:firstLine="57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13.5.2 在施工期运行中发现工程或工程设备损坏或存在缺陷的，由承包人</w:t>
      </w:r>
      <w:r>
        <w:rPr>
          <w:rFonts w:hint="eastAsia" w:ascii="仿宋" w:hAnsi="仿宋" w:eastAsia="仿宋" w:cs="仿宋"/>
          <w:color w:val="000000" w:themeColor="text1"/>
          <w:spacing w:val="-4"/>
          <w:sz w:val="24"/>
          <w:szCs w:val="24"/>
          <w:highlight w:val="none"/>
          <w14:textFill>
            <w14:solidFill>
              <w14:schemeClr w14:val="tx1"/>
            </w14:solidFill>
          </w14:textFill>
        </w:rPr>
        <w:t>按第</w:t>
      </w:r>
      <w:r>
        <w:rPr>
          <w:rFonts w:hint="eastAsia" w:ascii="仿宋" w:hAnsi="仿宋" w:eastAsia="仿宋" w:cs="仿宋"/>
          <w:color w:val="000000" w:themeColor="text1"/>
          <w:spacing w:val="-3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15.2</w:t>
      </w:r>
      <w:r>
        <w:rPr>
          <w:rFonts w:hint="eastAsia" w:ascii="仿宋" w:hAnsi="仿宋" w:eastAsia="仿宋" w:cs="仿宋"/>
          <w:color w:val="000000" w:themeColor="text1"/>
          <w:spacing w:val="-5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款〔缺陷责任期〕约定进行修复。</w:t>
      </w:r>
    </w:p>
    <w:p w14:paraId="10CE2955">
      <w:pPr>
        <w:pStyle w:val="9"/>
        <w:keepNext w:val="0"/>
        <w:keepLines w:val="0"/>
        <w:pageBreakBefore w:val="0"/>
        <w:widowControl w:val="0"/>
        <w:kinsoku/>
        <w:wordWrap/>
        <w:overflowPunct/>
        <w:topLinePunct w:val="0"/>
        <w:autoSpaceDE/>
        <w:autoSpaceDN/>
        <w:bidi w:val="0"/>
        <w:snapToGrid/>
        <w:spacing w:after="0"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p>
    <w:p w14:paraId="52D40DF3">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13.6 竣工退场</w:t>
      </w:r>
    </w:p>
    <w:p w14:paraId="60960B90">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13.6.1 竣工退场</w:t>
      </w:r>
    </w:p>
    <w:p w14:paraId="6FCF1D7D">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颁发工程接收证书后，承包人应按以下要求对施工现场进行清理：</w:t>
      </w:r>
    </w:p>
    <w:p w14:paraId="4A5AB5B6">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pacing w:val="-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（1）施工现场内残留的垃圾已全部清除出场；</w:t>
      </w:r>
    </w:p>
    <w:p w14:paraId="1166DD23">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（2）临时工程已拆除，场地已进行清理、平整或复原；</w:t>
      </w:r>
    </w:p>
    <w:p w14:paraId="46F3C3E7">
      <w:pPr>
        <w:keepNext w:val="0"/>
        <w:keepLines w:val="0"/>
        <w:pageBreakBefore w:val="0"/>
        <w:widowControl w:val="0"/>
        <w:kinsoku/>
        <w:wordWrap/>
        <w:overflowPunct/>
        <w:topLinePunct w:val="0"/>
        <w:autoSpaceDE/>
        <w:autoSpaceDN/>
        <w:bidi w:val="0"/>
        <w:snapToGrid/>
        <w:spacing w:line="360" w:lineRule="auto"/>
        <w:ind w:left="0" w:leftChars="0" w:right="0" w:rightChars="0" w:firstLine="54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（3）按合同约定应撤离的人员、承包人施工设备和剩余的材料，包括</w:t>
      </w:r>
      <w:r>
        <w:rPr>
          <w:rFonts w:hint="eastAsia" w:ascii="仿宋" w:hAnsi="仿宋" w:eastAsia="仿宋" w:cs="仿宋"/>
          <w:color w:val="000000" w:themeColor="text1"/>
          <w:spacing w:val="-2"/>
          <w:sz w:val="24"/>
          <w:szCs w:val="24"/>
          <w:highlight w:val="none"/>
          <w14:textFill>
            <w14:solidFill>
              <w14:schemeClr w14:val="tx1"/>
            </w14:solidFill>
          </w14:textFill>
        </w:rPr>
        <w:t>废弃</w:t>
      </w:r>
      <w:r>
        <w:rPr>
          <w:rFonts w:hint="eastAsia" w:ascii="仿宋" w:hAnsi="仿宋" w:eastAsia="仿宋" w:cs="仿宋"/>
          <w:color w:val="000000" w:themeColor="text1"/>
          <w:spacing w:val="-5"/>
          <w:sz w:val="24"/>
          <w:szCs w:val="24"/>
          <w:highlight w:val="none"/>
          <w14:textFill>
            <w14:solidFill>
              <w14:schemeClr w14:val="tx1"/>
            </w14:solidFill>
          </w14:textFill>
        </w:rPr>
        <w:t>的施工设备和材料，已按计划撤离施工现场；</w:t>
      </w:r>
    </w:p>
    <w:p w14:paraId="11371612">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（4）施工现场周边及其附近道路、河道的施工堆积物，已全部清理；</w:t>
      </w:r>
    </w:p>
    <w:p w14:paraId="0B1B1B3F">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（5）施工现场其他场地清理工作已全部完成。</w:t>
      </w:r>
    </w:p>
    <w:p w14:paraId="4BC02D16">
      <w:pPr>
        <w:keepNext w:val="0"/>
        <w:keepLines w:val="0"/>
        <w:pageBreakBefore w:val="0"/>
        <w:widowControl w:val="0"/>
        <w:kinsoku/>
        <w:wordWrap/>
        <w:overflowPunct/>
        <w:topLinePunct w:val="0"/>
        <w:autoSpaceDE/>
        <w:autoSpaceDN/>
        <w:bidi w:val="0"/>
        <w:snapToGrid/>
        <w:spacing w:line="360" w:lineRule="auto"/>
        <w:ind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施工现场的竣工退场费用由承包人承担。承包人应在专用合同条款约定</w:t>
      </w:r>
      <w:r>
        <w:rPr>
          <w:rFonts w:hint="eastAsia" w:ascii="仿宋" w:hAnsi="仿宋" w:eastAsia="仿宋" w:cs="仿宋"/>
          <w:color w:val="000000" w:themeColor="text1"/>
          <w:spacing w:val="-3"/>
          <w:sz w:val="24"/>
          <w:szCs w:val="24"/>
          <w:highlight w:val="none"/>
          <w14:textFill>
            <w14:solidFill>
              <w14:schemeClr w14:val="tx1"/>
            </w14:solidFill>
          </w14:textFill>
        </w:rPr>
        <w:t>的期</w:t>
      </w:r>
      <w:r>
        <w:rPr>
          <w:rFonts w:hint="eastAsia" w:ascii="仿宋" w:hAnsi="仿宋" w:eastAsia="仿宋" w:cs="仿宋"/>
          <w:color w:val="000000" w:themeColor="text1"/>
          <w:spacing w:val="-2"/>
          <w:sz w:val="24"/>
          <w:szCs w:val="24"/>
          <w:highlight w:val="none"/>
          <w14:textFill>
            <w14:solidFill>
              <w14:schemeClr w14:val="tx1"/>
            </w14:solidFill>
          </w14:textFill>
        </w:rPr>
        <w:t>限内完成竣工退场，逾期未完成的，发包人有权出售或另行处理承包人遗留</w:t>
      </w:r>
      <w:r>
        <w:rPr>
          <w:rFonts w:hint="eastAsia" w:ascii="仿宋" w:hAnsi="仿宋" w:eastAsia="仿宋" w:cs="仿宋"/>
          <w:color w:val="000000" w:themeColor="text1"/>
          <w:spacing w:val="-3"/>
          <w:sz w:val="24"/>
          <w:szCs w:val="24"/>
          <w:highlight w:val="none"/>
          <w14:textFill>
            <w14:solidFill>
              <w14:schemeClr w14:val="tx1"/>
            </w14:solidFill>
          </w14:textFill>
        </w:rPr>
        <w:t>的物</w:t>
      </w:r>
      <w:r>
        <w:rPr>
          <w:rFonts w:hint="eastAsia" w:ascii="仿宋" w:hAnsi="仿宋" w:eastAsia="仿宋" w:cs="仿宋"/>
          <w:color w:val="000000" w:themeColor="text1"/>
          <w:spacing w:val="-2"/>
          <w:sz w:val="24"/>
          <w:szCs w:val="24"/>
          <w:highlight w:val="none"/>
          <w14:textFill>
            <w14:solidFill>
              <w14:schemeClr w14:val="tx1"/>
            </w14:solidFill>
          </w14:textFill>
        </w:rPr>
        <w:t>品，由此支出的费用由承包人承担，发包人出售承包人遗留物品所得款项在</w:t>
      </w:r>
      <w:r>
        <w:rPr>
          <w:rFonts w:hint="eastAsia" w:ascii="仿宋" w:hAnsi="仿宋" w:eastAsia="仿宋" w:cs="仿宋"/>
          <w:color w:val="000000" w:themeColor="text1"/>
          <w:spacing w:val="-3"/>
          <w:sz w:val="24"/>
          <w:szCs w:val="24"/>
          <w:highlight w:val="none"/>
          <w14:textFill>
            <w14:solidFill>
              <w14:schemeClr w14:val="tx1"/>
            </w14:solidFill>
          </w14:textFill>
        </w:rPr>
        <w:t>扣除</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必要费用后应返还承包人。</w:t>
      </w:r>
    </w:p>
    <w:p w14:paraId="50985ECB">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13.6.2 地表还原</w:t>
      </w:r>
    </w:p>
    <w:p w14:paraId="6C7017B6">
      <w:pPr>
        <w:keepNext w:val="0"/>
        <w:keepLines w:val="0"/>
        <w:pageBreakBefore w:val="0"/>
        <w:widowControl w:val="0"/>
        <w:kinsoku/>
        <w:wordWrap/>
        <w:overflowPunct/>
        <w:topLinePunct w:val="0"/>
        <w:autoSpaceDE/>
        <w:autoSpaceDN/>
        <w:bidi w:val="0"/>
        <w:snapToGrid/>
        <w:spacing w:line="360" w:lineRule="auto"/>
        <w:ind w:left="0" w:leftChars="0" w:right="0" w:rightChars="0" w:firstLine="5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承包人应按发包人要求恢复临时占地及清理场地，承包人未按发包人</w:t>
      </w:r>
      <w:r>
        <w:rPr>
          <w:rFonts w:hint="eastAsia" w:ascii="仿宋" w:hAnsi="仿宋" w:eastAsia="仿宋" w:cs="仿宋"/>
          <w:color w:val="000000" w:themeColor="text1"/>
          <w:spacing w:val="-3"/>
          <w:sz w:val="24"/>
          <w:szCs w:val="24"/>
          <w:highlight w:val="none"/>
          <w14:textFill>
            <w14:solidFill>
              <w14:schemeClr w14:val="tx1"/>
            </w14:solidFill>
          </w14:textFill>
        </w:rPr>
        <w:t>的要求</w:t>
      </w:r>
      <w:r>
        <w:rPr>
          <w:rFonts w:hint="eastAsia" w:ascii="仿宋" w:hAnsi="仿宋" w:eastAsia="仿宋" w:cs="仿宋"/>
          <w:color w:val="000000" w:themeColor="text1"/>
          <w:spacing w:val="-2"/>
          <w:sz w:val="24"/>
          <w:szCs w:val="24"/>
          <w:highlight w:val="none"/>
          <w14:textFill>
            <w14:solidFill>
              <w14:schemeClr w14:val="tx1"/>
            </w14:solidFill>
          </w14:textFill>
        </w:rPr>
        <w:t>恢复临时占地，或者场地清理未达到合同约定要求的，发包人有权委托其他人恢复或清理，所发生的费用由承包人承担。</w:t>
      </w:r>
    </w:p>
    <w:p w14:paraId="4E53B00A">
      <w:pPr>
        <w:keepNext w:val="0"/>
        <w:keepLines w:val="0"/>
        <w:pageBreakBefore w:val="0"/>
        <w:widowControl w:val="0"/>
        <w:kinsoku/>
        <w:wordWrap/>
        <w:overflowPunct/>
        <w:topLinePunct w:val="0"/>
        <w:autoSpaceDE/>
        <w:autoSpaceDN/>
        <w:bidi w:val="0"/>
        <w:snapToGrid/>
        <w:spacing w:line="360" w:lineRule="auto"/>
        <w:ind w:left="0" w:leftChars="0" w:right="0" w:rightChars="0"/>
        <w:outlineLvl w:val="2"/>
        <w:rPr>
          <w:rFonts w:hint="eastAsia" w:ascii="仿宋" w:hAnsi="仿宋" w:eastAsia="仿宋" w:cs="仿宋"/>
          <w:color w:val="000000" w:themeColor="text1"/>
          <w:sz w:val="24"/>
          <w:szCs w:val="24"/>
          <w:highlight w:val="none"/>
          <w14:textFill>
            <w14:solidFill>
              <w14:schemeClr w14:val="tx1"/>
            </w14:solidFill>
          </w14:textFill>
        </w:rPr>
      </w:pPr>
      <w:bookmarkStart w:id="114" w:name="bookmark128"/>
      <w:bookmarkEnd w:id="114"/>
      <w:bookmarkStart w:id="115" w:name="_Toc31183"/>
      <w:r>
        <w:rPr>
          <w:rFonts w:hint="eastAsia" w:ascii="仿宋" w:hAnsi="仿宋" w:eastAsia="仿宋" w:cs="仿宋"/>
          <w:color w:val="000000" w:themeColor="text1"/>
          <w:spacing w:val="-6"/>
          <w:sz w:val="24"/>
          <w:szCs w:val="24"/>
          <w:highlight w:val="none"/>
          <w14:textFill>
            <w14:solidFill>
              <w14:schemeClr w14:val="tx1"/>
            </w14:solidFill>
          </w14:textFill>
        </w:rPr>
        <w:t>14.</w:t>
      </w:r>
      <w:r>
        <w:rPr>
          <w:rFonts w:hint="eastAsia" w:ascii="仿宋" w:hAnsi="仿宋" w:eastAsia="仿宋" w:cs="仿宋"/>
          <w:color w:val="000000" w:themeColor="text1"/>
          <w:spacing w:val="1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竣工结算</w:t>
      </w:r>
      <w:bookmarkEnd w:id="115"/>
    </w:p>
    <w:p w14:paraId="30F885CC">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14.1 竣工结算申请</w:t>
      </w:r>
    </w:p>
    <w:p w14:paraId="6331C20A">
      <w:pPr>
        <w:keepNext w:val="0"/>
        <w:keepLines w:val="0"/>
        <w:pageBreakBefore w:val="0"/>
        <w:widowControl w:val="0"/>
        <w:kinsoku/>
        <w:wordWrap/>
        <w:overflowPunct/>
        <w:topLinePunct w:val="0"/>
        <w:autoSpaceDE/>
        <w:autoSpaceDN/>
        <w:bidi w:val="0"/>
        <w:snapToGrid/>
        <w:spacing w:line="360" w:lineRule="auto"/>
        <w:ind w:left="0" w:leftChars="0" w:right="0" w:rightChars="0" w:firstLine="57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除专用合同条款另有约定外，承包人应在工</w:t>
      </w:r>
      <w:r>
        <w:rPr>
          <w:rFonts w:hint="eastAsia" w:ascii="仿宋" w:hAnsi="仿宋" w:eastAsia="仿宋" w:cs="仿宋"/>
          <w:color w:val="000000" w:themeColor="text1"/>
          <w:spacing w:val="-3"/>
          <w:sz w:val="24"/>
          <w:szCs w:val="24"/>
          <w:highlight w:val="none"/>
          <w14:textFill>
            <w14:solidFill>
              <w14:schemeClr w14:val="tx1"/>
            </w14:solidFill>
          </w14:textFill>
        </w:rPr>
        <w:t>程竣工验收合格后28天内向发包</w:t>
      </w:r>
      <w:r>
        <w:rPr>
          <w:rFonts w:hint="eastAsia" w:ascii="仿宋" w:hAnsi="仿宋" w:eastAsia="仿宋" w:cs="仿宋"/>
          <w:color w:val="000000" w:themeColor="text1"/>
          <w:spacing w:val="-2"/>
          <w:sz w:val="24"/>
          <w:szCs w:val="24"/>
          <w:highlight w:val="none"/>
          <w14:textFill>
            <w14:solidFill>
              <w14:schemeClr w14:val="tx1"/>
            </w14:solidFill>
          </w14:textFill>
        </w:rPr>
        <w:t>人和监理人提交竣工结算申请单，并提交完整的结算资料，有关竣工结算申请单的资料清单和份数等要求由合同当事人在专用合同条款中约定。</w:t>
      </w:r>
    </w:p>
    <w:p w14:paraId="42425F52">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除专用合同条款另有约定外，竣工结算申请单应包括以下内容：</w:t>
      </w:r>
    </w:p>
    <w:p w14:paraId="6274DBA9">
      <w:pPr>
        <w:keepNext w:val="0"/>
        <w:keepLines w:val="0"/>
        <w:pageBreakBefore w:val="0"/>
        <w:widowControl w:val="0"/>
        <w:kinsoku/>
        <w:wordWrap/>
        <w:overflowPunct/>
        <w:topLinePunct w:val="0"/>
        <w:autoSpaceDE/>
        <w:autoSpaceDN/>
        <w:bidi w:val="0"/>
        <w:snapToGrid/>
        <w:spacing w:line="360" w:lineRule="auto"/>
        <w:ind w:left="0" w:leftChars="0" w:right="0" w:rightChars="0" w:firstLine="46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（1）竣工结算合同价格；</w:t>
      </w:r>
    </w:p>
    <w:p w14:paraId="70482FD0">
      <w:pPr>
        <w:keepNext w:val="0"/>
        <w:keepLines w:val="0"/>
        <w:pageBreakBefore w:val="0"/>
        <w:widowControl w:val="0"/>
        <w:kinsoku/>
        <w:wordWrap/>
        <w:overflowPunct/>
        <w:topLinePunct w:val="0"/>
        <w:autoSpaceDE/>
        <w:autoSpaceDN/>
        <w:bidi w:val="0"/>
        <w:snapToGrid/>
        <w:spacing w:line="360" w:lineRule="auto"/>
        <w:ind w:left="0" w:leftChars="0" w:right="0" w:rightChars="0" w:firstLine="464"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（2）发包人已支付承包人的款项；</w:t>
      </w:r>
    </w:p>
    <w:p w14:paraId="1533F95F">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（3）应扣留的质量保证金。已缴纳履约保证金的或提供其他工程质量担保</w:t>
      </w:r>
      <w:r>
        <w:rPr>
          <w:rFonts w:hint="eastAsia" w:ascii="仿宋" w:hAnsi="仿宋" w:eastAsia="仿宋" w:cs="仿宋"/>
          <w:color w:val="000000" w:themeColor="text1"/>
          <w:spacing w:val="-8"/>
          <w:sz w:val="24"/>
          <w:szCs w:val="24"/>
          <w:highlight w:val="none"/>
          <w14:textFill>
            <w14:solidFill>
              <w14:schemeClr w14:val="tx1"/>
            </w14:solidFill>
          </w14:textFill>
        </w:rPr>
        <w:t>方式的除外；</w:t>
      </w:r>
    </w:p>
    <w:p w14:paraId="1F1CDB57">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（4）发包人应支付承包人的合同价款。</w:t>
      </w:r>
    </w:p>
    <w:p w14:paraId="0DAE8548">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14.2 竣工结算审核</w:t>
      </w:r>
    </w:p>
    <w:p w14:paraId="4AA0A30E">
      <w:pPr>
        <w:keepNext w:val="0"/>
        <w:keepLines w:val="0"/>
        <w:pageBreakBefore w:val="0"/>
        <w:widowControl w:val="0"/>
        <w:kinsoku/>
        <w:wordWrap/>
        <w:overflowPunct/>
        <w:topLinePunct w:val="0"/>
        <w:autoSpaceDE/>
        <w:autoSpaceDN/>
        <w:bidi w:val="0"/>
        <w:snapToGrid/>
        <w:spacing w:line="360" w:lineRule="auto"/>
        <w:ind w:left="0" w:leftChars="0" w:right="0" w:rightChars="0" w:firstLine="56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（1）除专用合同条款另有约定外，监理人应在收到竣工结算申请单后14天</w:t>
      </w:r>
      <w:r>
        <w:rPr>
          <w:rFonts w:hint="eastAsia" w:ascii="仿宋" w:hAnsi="仿宋" w:eastAsia="仿宋" w:cs="仿宋"/>
          <w:color w:val="000000" w:themeColor="text1"/>
          <w:spacing w:val="-2"/>
          <w:sz w:val="24"/>
          <w:szCs w:val="24"/>
          <w:highlight w:val="none"/>
          <w14:textFill>
            <w14:solidFill>
              <w14:schemeClr w14:val="tx1"/>
            </w14:solidFill>
          </w14:textFill>
        </w:rPr>
        <w:t>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59C9ECA1">
      <w:pPr>
        <w:keepNext w:val="0"/>
        <w:keepLines w:val="0"/>
        <w:pageBreakBefore w:val="0"/>
        <w:widowControl w:val="0"/>
        <w:kinsoku/>
        <w:wordWrap/>
        <w:overflowPunct/>
        <w:topLinePunct w:val="0"/>
        <w:autoSpaceDE/>
        <w:autoSpaceDN/>
        <w:bidi w:val="0"/>
        <w:snapToGrid/>
        <w:spacing w:line="360" w:lineRule="auto"/>
        <w:ind w:left="0" w:leftChars="0" w:right="0" w:rightChars="0" w:firstLine="56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发包人在收到承包人提交竣工结算申请书后28天内未完成审批且未提出异</w:t>
      </w:r>
      <w:r>
        <w:rPr>
          <w:rFonts w:hint="eastAsia" w:ascii="仿宋" w:hAnsi="仿宋" w:eastAsia="仿宋" w:cs="仿宋"/>
          <w:color w:val="000000" w:themeColor="text1"/>
          <w:spacing w:val="-2"/>
          <w:sz w:val="24"/>
          <w:szCs w:val="24"/>
          <w:highlight w:val="none"/>
          <w14:textFill>
            <w14:solidFill>
              <w14:schemeClr w14:val="tx1"/>
            </w14:solidFill>
          </w14:textFill>
        </w:rPr>
        <w:t>议的，视为发包人认可承包人提交的竣工结算申请单，并自发包人收到承包人提</w:t>
      </w:r>
      <w:r>
        <w:rPr>
          <w:rFonts w:hint="eastAsia" w:ascii="仿宋" w:hAnsi="仿宋" w:eastAsia="仿宋" w:cs="仿宋"/>
          <w:color w:val="000000" w:themeColor="text1"/>
          <w:spacing w:val="-1"/>
          <w:sz w:val="24"/>
          <w:szCs w:val="24"/>
          <w:highlight w:val="none"/>
          <w14:textFill>
            <w14:solidFill>
              <w14:schemeClr w14:val="tx1"/>
            </w14:solidFill>
          </w14:textFill>
        </w:rPr>
        <w:t>交的竣工结算申请单后第29天起视为已签</w:t>
      </w:r>
      <w:r>
        <w:rPr>
          <w:rFonts w:hint="eastAsia" w:ascii="仿宋" w:hAnsi="仿宋" w:eastAsia="仿宋" w:cs="仿宋"/>
          <w:color w:val="000000" w:themeColor="text1"/>
          <w:spacing w:val="-2"/>
          <w:sz w:val="24"/>
          <w:szCs w:val="24"/>
          <w:highlight w:val="none"/>
          <w14:textFill>
            <w14:solidFill>
              <w14:schemeClr w14:val="tx1"/>
            </w14:solidFill>
          </w14:textFill>
        </w:rPr>
        <w:t>发竣工付款证书。</w:t>
      </w:r>
    </w:p>
    <w:p w14:paraId="4869216B">
      <w:pPr>
        <w:keepNext w:val="0"/>
        <w:keepLines w:val="0"/>
        <w:pageBreakBefore w:val="0"/>
        <w:widowControl w:val="0"/>
        <w:kinsoku/>
        <w:wordWrap/>
        <w:overflowPunct/>
        <w:topLinePunct w:val="0"/>
        <w:autoSpaceDE/>
        <w:autoSpaceDN/>
        <w:bidi w:val="0"/>
        <w:snapToGrid/>
        <w:spacing w:line="360" w:lineRule="auto"/>
        <w:ind w:left="0" w:leftChars="0" w:right="0" w:rightChars="0" w:firstLine="56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（2）除专用合同条款另有约定外，发包人应在签发竣工付款证书后的14</w:t>
      </w:r>
      <w:r>
        <w:rPr>
          <w:rFonts w:hint="eastAsia" w:ascii="仿宋" w:hAnsi="仿宋" w:eastAsia="仿宋" w:cs="仿宋"/>
          <w:color w:val="000000" w:themeColor="text1"/>
          <w:spacing w:val="-3"/>
          <w:sz w:val="24"/>
          <w:szCs w:val="24"/>
          <w:highlight w:val="none"/>
          <w14:textFill>
            <w14:solidFill>
              <w14:schemeClr w14:val="tx1"/>
            </w14:solidFill>
          </w14:textFill>
        </w:rPr>
        <w:t>天</w:t>
      </w:r>
      <w:r>
        <w:rPr>
          <w:rFonts w:hint="eastAsia" w:ascii="仿宋" w:hAnsi="仿宋" w:eastAsia="仿宋" w:cs="仿宋"/>
          <w:color w:val="000000" w:themeColor="text1"/>
          <w:spacing w:val="-2"/>
          <w:sz w:val="24"/>
          <w:szCs w:val="24"/>
          <w:highlight w:val="none"/>
          <w14:textFill>
            <w14:solidFill>
              <w14:schemeClr w14:val="tx1"/>
            </w14:solidFill>
          </w14:textFill>
        </w:rPr>
        <w:t>内，完成对承包人的竣工付款。发包人逾期支付的，按照中国人民银行发布的同期同类贷款基准利率支付违约金；逾期支付超过56天的，按照中国人民银行发布</w:t>
      </w:r>
      <w:r>
        <w:rPr>
          <w:rFonts w:hint="eastAsia" w:ascii="仿宋" w:hAnsi="仿宋" w:eastAsia="仿宋" w:cs="仿宋"/>
          <w:color w:val="000000" w:themeColor="text1"/>
          <w:spacing w:val="-3"/>
          <w:sz w:val="24"/>
          <w:szCs w:val="24"/>
          <w:highlight w:val="none"/>
          <w14:textFill>
            <w14:solidFill>
              <w14:schemeClr w14:val="tx1"/>
            </w14:solidFill>
          </w14:textFill>
        </w:rPr>
        <w:t>的同期同类贷款基准利率的两倍支付违约金。</w:t>
      </w:r>
    </w:p>
    <w:p w14:paraId="66F57EC1">
      <w:pPr>
        <w:keepNext w:val="0"/>
        <w:keepLines w:val="0"/>
        <w:pageBreakBefore w:val="0"/>
        <w:widowControl w:val="0"/>
        <w:kinsoku/>
        <w:wordWrap/>
        <w:overflowPunct/>
        <w:topLinePunct w:val="0"/>
        <w:autoSpaceDE/>
        <w:autoSpaceDN/>
        <w:bidi w:val="0"/>
        <w:snapToGrid/>
        <w:spacing w:line="360" w:lineRule="auto"/>
        <w:ind w:left="0" w:leftChars="0" w:right="0" w:rightChars="0" w:firstLine="564"/>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6F0AB41C">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14.3 甩项竣工协议</w:t>
      </w:r>
    </w:p>
    <w:p w14:paraId="4896451D">
      <w:pPr>
        <w:keepNext w:val="0"/>
        <w:keepLines w:val="0"/>
        <w:pageBreakBefore w:val="0"/>
        <w:widowControl w:val="0"/>
        <w:kinsoku/>
        <w:wordWrap/>
        <w:overflowPunct/>
        <w:topLinePunct w:val="0"/>
        <w:autoSpaceDE/>
        <w:autoSpaceDN/>
        <w:bidi w:val="0"/>
        <w:snapToGrid/>
        <w:spacing w:line="360" w:lineRule="auto"/>
        <w:ind w:left="0" w:leftChars="0" w:right="0" w:rightChars="0" w:firstLine="53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发包人要求甩项竣工的，合同当事人应签订甩项竣工协议。在甩项竣工协议</w:t>
      </w:r>
      <w:r>
        <w:rPr>
          <w:rFonts w:hint="eastAsia" w:ascii="仿宋" w:hAnsi="仿宋" w:eastAsia="仿宋" w:cs="仿宋"/>
          <w:color w:val="000000" w:themeColor="text1"/>
          <w:spacing w:val="-7"/>
          <w:sz w:val="24"/>
          <w:szCs w:val="24"/>
          <w:highlight w:val="none"/>
          <w14:textFill>
            <w14:solidFill>
              <w14:schemeClr w14:val="tx1"/>
            </w14:solidFill>
          </w14:textFill>
        </w:rPr>
        <w:t>中应明确，合同当事人按照第14.1款〔竣工结算申请〕及14.2款〔竣工结算审核〕</w:t>
      </w:r>
      <w:r>
        <w:rPr>
          <w:rFonts w:hint="eastAsia" w:ascii="仿宋" w:hAnsi="仿宋" w:eastAsia="仿宋" w:cs="仿宋"/>
          <w:color w:val="000000" w:themeColor="text1"/>
          <w:spacing w:val="-2"/>
          <w:sz w:val="24"/>
          <w:szCs w:val="24"/>
          <w:highlight w:val="none"/>
          <w14:textFill>
            <w14:solidFill>
              <w14:schemeClr w14:val="tx1"/>
            </w14:solidFill>
          </w14:textFill>
        </w:rPr>
        <w:t>的约定，对已完合格工程进行结算，并支付相</w:t>
      </w:r>
      <w:r>
        <w:rPr>
          <w:rFonts w:hint="eastAsia" w:ascii="仿宋" w:hAnsi="仿宋" w:eastAsia="仿宋" w:cs="仿宋"/>
          <w:color w:val="000000" w:themeColor="text1"/>
          <w:spacing w:val="-3"/>
          <w:sz w:val="24"/>
          <w:szCs w:val="24"/>
          <w:highlight w:val="none"/>
          <w14:textFill>
            <w14:solidFill>
              <w14:schemeClr w14:val="tx1"/>
            </w14:solidFill>
          </w14:textFill>
        </w:rPr>
        <w:t>应合同价款。</w:t>
      </w:r>
    </w:p>
    <w:p w14:paraId="439DCD38">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14.4</w:t>
      </w:r>
      <w:r>
        <w:rPr>
          <w:rFonts w:hint="eastAsia" w:ascii="仿宋" w:hAnsi="仿宋" w:eastAsia="仿宋" w:cs="仿宋"/>
          <w:color w:val="000000" w:themeColor="text1"/>
          <w:spacing w:val="1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最终结清</w:t>
      </w:r>
    </w:p>
    <w:p w14:paraId="0FC5652C">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14.4.1 最终结清申请单</w:t>
      </w:r>
    </w:p>
    <w:p w14:paraId="343A66BE">
      <w:pPr>
        <w:keepNext w:val="0"/>
        <w:keepLines w:val="0"/>
        <w:pageBreakBefore w:val="0"/>
        <w:widowControl w:val="0"/>
        <w:kinsoku/>
        <w:wordWrap/>
        <w:overflowPunct/>
        <w:topLinePunct w:val="0"/>
        <w:autoSpaceDE/>
        <w:autoSpaceDN/>
        <w:bidi w:val="0"/>
        <w:snapToGrid/>
        <w:spacing w:line="360" w:lineRule="auto"/>
        <w:ind w:left="0" w:leftChars="0" w:right="0" w:rightChars="0" w:firstLine="56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（1）除专用合同条款另有约定外，承包人应在缺陷责任期终止证</w:t>
      </w:r>
      <w:r>
        <w:rPr>
          <w:rFonts w:hint="eastAsia" w:ascii="仿宋" w:hAnsi="仿宋" w:eastAsia="仿宋" w:cs="仿宋"/>
          <w:color w:val="000000" w:themeColor="text1"/>
          <w:spacing w:val="-3"/>
          <w:sz w:val="24"/>
          <w:szCs w:val="24"/>
          <w:highlight w:val="none"/>
          <w14:textFill>
            <w14:solidFill>
              <w14:schemeClr w14:val="tx1"/>
            </w14:solidFill>
          </w14:textFill>
        </w:rPr>
        <w:t>书颁发后7</w:t>
      </w:r>
      <w:r>
        <w:rPr>
          <w:rFonts w:hint="eastAsia" w:ascii="仿宋" w:hAnsi="仿宋" w:eastAsia="仿宋" w:cs="仿宋"/>
          <w:color w:val="000000" w:themeColor="text1"/>
          <w:spacing w:val="-2"/>
          <w:sz w:val="24"/>
          <w:szCs w:val="24"/>
          <w:highlight w:val="none"/>
          <w14:textFill>
            <w14:solidFill>
              <w14:schemeClr w14:val="tx1"/>
            </w14:solidFill>
          </w14:textFill>
        </w:rPr>
        <w:t>天内，按专用合同条款约定的份数向发包人提交最终结清申请单，并提供</w:t>
      </w:r>
      <w:r>
        <w:rPr>
          <w:rFonts w:hint="eastAsia" w:ascii="仿宋" w:hAnsi="仿宋" w:eastAsia="仿宋" w:cs="仿宋"/>
          <w:color w:val="000000" w:themeColor="text1"/>
          <w:spacing w:val="-3"/>
          <w:sz w:val="24"/>
          <w:szCs w:val="24"/>
          <w:highlight w:val="none"/>
          <w14:textFill>
            <w14:solidFill>
              <w14:schemeClr w14:val="tx1"/>
            </w14:solidFill>
          </w14:textFill>
        </w:rPr>
        <w:t>相关证</w:t>
      </w:r>
      <w:r>
        <w:rPr>
          <w:rFonts w:hint="eastAsia" w:ascii="仿宋" w:hAnsi="仿宋" w:eastAsia="仿宋" w:cs="仿宋"/>
          <w:color w:val="000000" w:themeColor="text1"/>
          <w:spacing w:val="-11"/>
          <w:sz w:val="24"/>
          <w:szCs w:val="24"/>
          <w:highlight w:val="none"/>
          <w14:textFill>
            <w14:solidFill>
              <w14:schemeClr w14:val="tx1"/>
            </w14:solidFill>
          </w14:textFill>
        </w:rPr>
        <w:t>明材料。</w:t>
      </w:r>
    </w:p>
    <w:p w14:paraId="2B372AA3">
      <w:pPr>
        <w:keepNext w:val="0"/>
        <w:keepLines w:val="0"/>
        <w:pageBreakBefore w:val="0"/>
        <w:widowControl w:val="0"/>
        <w:kinsoku/>
        <w:wordWrap/>
        <w:overflowPunct/>
        <w:topLinePunct w:val="0"/>
        <w:autoSpaceDE/>
        <w:autoSpaceDN/>
        <w:bidi w:val="0"/>
        <w:snapToGrid/>
        <w:spacing w:line="360" w:lineRule="auto"/>
        <w:ind w:left="0" w:leftChars="0" w:right="0" w:rightChars="0" w:firstLine="57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除专用合同条款另有约定外，最终结清申请单应列明质量保证金、应扣除的质量保证金、缺陷责任期内发生的增减费用。</w:t>
      </w:r>
    </w:p>
    <w:p w14:paraId="63174916">
      <w:pPr>
        <w:keepNext w:val="0"/>
        <w:keepLines w:val="0"/>
        <w:pageBreakBefore w:val="0"/>
        <w:widowControl w:val="0"/>
        <w:kinsoku/>
        <w:wordWrap/>
        <w:overflowPunct/>
        <w:topLinePunct w:val="0"/>
        <w:autoSpaceDE/>
        <w:autoSpaceDN/>
        <w:bidi w:val="0"/>
        <w:snapToGrid/>
        <w:spacing w:line="360" w:lineRule="auto"/>
        <w:ind w:left="0" w:leftChars="0" w:right="0" w:rightChars="0" w:firstLine="56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（2）发包人对最终结清申请单内容有异议的，有</w:t>
      </w:r>
      <w:r>
        <w:rPr>
          <w:rFonts w:hint="eastAsia" w:ascii="仿宋" w:hAnsi="仿宋" w:eastAsia="仿宋" w:cs="仿宋"/>
          <w:color w:val="000000" w:themeColor="text1"/>
          <w:spacing w:val="-2"/>
          <w:sz w:val="24"/>
          <w:szCs w:val="24"/>
          <w:highlight w:val="none"/>
          <w14:textFill>
            <w14:solidFill>
              <w14:schemeClr w14:val="tx1"/>
            </w14:solidFill>
          </w14:textFill>
        </w:rPr>
        <w:t>权要求承包人进行修正和</w:t>
      </w:r>
      <w:r>
        <w:rPr>
          <w:rFonts w:hint="eastAsia" w:ascii="仿宋" w:hAnsi="仿宋" w:eastAsia="仿宋" w:cs="仿宋"/>
          <w:color w:val="000000" w:themeColor="text1"/>
          <w:spacing w:val="-1"/>
          <w:sz w:val="24"/>
          <w:szCs w:val="24"/>
          <w:highlight w:val="none"/>
          <w14:textFill>
            <w14:solidFill>
              <w14:schemeClr w14:val="tx1"/>
            </w14:solidFill>
          </w14:textFill>
        </w:rPr>
        <w:t>提供补充资料，承包人应向发包人提交修正后的最终结清申请单。</w:t>
      </w:r>
    </w:p>
    <w:p w14:paraId="2C5E89DA">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14.4.2 最终结清证书和支付</w:t>
      </w:r>
    </w:p>
    <w:p w14:paraId="57998D2E">
      <w:pPr>
        <w:keepNext w:val="0"/>
        <w:keepLines w:val="0"/>
        <w:pageBreakBefore w:val="0"/>
        <w:widowControl w:val="0"/>
        <w:kinsoku/>
        <w:wordWrap/>
        <w:overflowPunct/>
        <w:topLinePunct w:val="0"/>
        <w:autoSpaceDE/>
        <w:autoSpaceDN/>
        <w:bidi w:val="0"/>
        <w:snapToGrid/>
        <w:spacing w:line="360" w:lineRule="auto"/>
        <w:ind w:left="0" w:leftChars="0" w:right="0" w:rightChars="0" w:firstLine="56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（1）除专用合同条款另有约定外，发包人应在收到承包人提交的最终结清</w:t>
      </w:r>
      <w:r>
        <w:rPr>
          <w:rFonts w:hint="eastAsia" w:ascii="仿宋" w:hAnsi="仿宋" w:eastAsia="仿宋" w:cs="仿宋"/>
          <w:color w:val="000000" w:themeColor="text1"/>
          <w:sz w:val="24"/>
          <w:szCs w:val="24"/>
          <w:highlight w:val="none"/>
          <w14:textFill>
            <w14:solidFill>
              <w14:schemeClr w14:val="tx1"/>
            </w14:solidFill>
          </w14:textFill>
        </w:rPr>
        <w:t>申请单后14天内完成审批并向承包人颁发最终</w:t>
      </w:r>
      <w:r>
        <w:rPr>
          <w:rFonts w:hint="eastAsia" w:ascii="仿宋" w:hAnsi="仿宋" w:eastAsia="仿宋" w:cs="仿宋"/>
          <w:color w:val="000000" w:themeColor="text1"/>
          <w:spacing w:val="-1"/>
          <w:sz w:val="24"/>
          <w:szCs w:val="24"/>
          <w:highlight w:val="none"/>
          <w14:textFill>
            <w14:solidFill>
              <w14:schemeClr w14:val="tx1"/>
            </w14:solidFill>
          </w14:textFill>
        </w:rPr>
        <w:t>结清证书。发包人逾期未完成审</w:t>
      </w:r>
      <w:r>
        <w:rPr>
          <w:rFonts w:hint="eastAsia" w:ascii="仿宋" w:hAnsi="仿宋" w:eastAsia="仿宋" w:cs="仿宋"/>
          <w:color w:val="000000" w:themeColor="text1"/>
          <w:spacing w:val="-2"/>
          <w:sz w:val="24"/>
          <w:szCs w:val="24"/>
          <w:highlight w:val="none"/>
          <w14:textFill>
            <w14:solidFill>
              <w14:schemeClr w14:val="tx1"/>
            </w14:solidFill>
          </w14:textFill>
        </w:rPr>
        <w:t>批，又未提出修改意见的，视为发包人同意承包人提交的最终结清申请单，且自</w:t>
      </w:r>
      <w:r>
        <w:rPr>
          <w:rFonts w:hint="eastAsia" w:ascii="仿宋" w:hAnsi="仿宋" w:eastAsia="仿宋" w:cs="仿宋"/>
          <w:color w:val="000000" w:themeColor="text1"/>
          <w:spacing w:val="-1"/>
          <w:sz w:val="24"/>
          <w:szCs w:val="24"/>
          <w:highlight w:val="none"/>
          <w14:textFill>
            <w14:solidFill>
              <w14:schemeClr w14:val="tx1"/>
            </w14:solidFill>
          </w14:textFill>
        </w:rPr>
        <w:t>发包人收到承包人提交的最终结清申请单后15天起视为已颁发最终结清证书。</w:t>
      </w:r>
    </w:p>
    <w:p w14:paraId="74AFF44F">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（2）除专用合同条款另有约定外，发包人应在颁发最终结清证书后</w:t>
      </w:r>
      <w:r>
        <w:rPr>
          <w:rFonts w:hint="eastAsia" w:ascii="仿宋" w:hAnsi="仿宋" w:eastAsia="仿宋" w:cs="仿宋"/>
          <w:color w:val="000000" w:themeColor="text1"/>
          <w:spacing w:val="-3"/>
          <w:sz w:val="24"/>
          <w:szCs w:val="24"/>
          <w:highlight w:val="none"/>
          <w14:textFill>
            <w14:solidFill>
              <w14:schemeClr w14:val="tx1"/>
            </w14:solidFill>
          </w14:textFill>
        </w:rPr>
        <w:t>7天内完</w:t>
      </w:r>
      <w:r>
        <w:rPr>
          <w:rFonts w:hint="eastAsia" w:ascii="仿宋" w:hAnsi="仿宋" w:eastAsia="仿宋" w:cs="仿宋"/>
          <w:color w:val="000000" w:themeColor="text1"/>
          <w:spacing w:val="-2"/>
          <w:sz w:val="24"/>
          <w:szCs w:val="24"/>
          <w:highlight w:val="none"/>
          <w14:textFill>
            <w14:solidFill>
              <w14:schemeClr w14:val="tx1"/>
            </w14:solidFill>
          </w14:textFill>
        </w:rPr>
        <w:t>成支付。发包人逾期支付的，按照中国人民银行发布的同期同类贷款基准利率支付违约金；逾期支付超过56天的，按照中国人民银行发布的同期同类贷款基准利</w:t>
      </w:r>
      <w:r>
        <w:rPr>
          <w:rFonts w:hint="eastAsia" w:ascii="仿宋" w:hAnsi="仿宋" w:eastAsia="仿宋" w:cs="仿宋"/>
          <w:color w:val="000000" w:themeColor="text1"/>
          <w:spacing w:val="-4"/>
          <w:sz w:val="24"/>
          <w:szCs w:val="24"/>
          <w:highlight w:val="none"/>
          <w14:textFill>
            <w14:solidFill>
              <w14:schemeClr w14:val="tx1"/>
            </w14:solidFill>
          </w14:textFill>
        </w:rPr>
        <w:t>率的两倍支付违约金。</w:t>
      </w:r>
    </w:p>
    <w:p w14:paraId="58B3E23A">
      <w:pPr>
        <w:keepNext w:val="0"/>
        <w:keepLines w:val="0"/>
        <w:pageBreakBefore w:val="0"/>
        <w:widowControl w:val="0"/>
        <w:kinsoku/>
        <w:wordWrap/>
        <w:overflowPunct/>
        <w:topLinePunct w:val="0"/>
        <w:autoSpaceDE/>
        <w:autoSpaceDN/>
        <w:bidi w:val="0"/>
        <w:snapToGrid/>
        <w:spacing w:line="360" w:lineRule="auto"/>
        <w:ind w:left="0" w:leftChars="0" w:right="0" w:rightChars="0" w:firstLine="54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（3）承包人对发包人颁发的最终结清证书有异</w:t>
      </w:r>
      <w:r>
        <w:rPr>
          <w:rFonts w:hint="eastAsia" w:ascii="仿宋" w:hAnsi="仿宋" w:eastAsia="仿宋" w:cs="仿宋"/>
          <w:color w:val="000000" w:themeColor="text1"/>
          <w:spacing w:val="-4"/>
          <w:sz w:val="24"/>
          <w:szCs w:val="24"/>
          <w:highlight w:val="none"/>
          <w14:textFill>
            <w14:solidFill>
              <w14:schemeClr w14:val="tx1"/>
            </w14:solidFill>
          </w14:textFill>
        </w:rPr>
        <w:t>议的，按第20条〔争议解决〕</w:t>
      </w:r>
      <w:bookmarkStart w:id="116" w:name="bookmark129"/>
      <w:bookmarkEnd w:id="116"/>
      <w:r>
        <w:rPr>
          <w:rFonts w:hint="eastAsia" w:ascii="仿宋" w:hAnsi="仿宋" w:eastAsia="仿宋" w:cs="仿宋"/>
          <w:color w:val="000000" w:themeColor="text1"/>
          <w:spacing w:val="-9"/>
          <w:sz w:val="24"/>
          <w:szCs w:val="24"/>
          <w:highlight w:val="none"/>
          <w14:textFill>
            <w14:solidFill>
              <w14:schemeClr w14:val="tx1"/>
            </w14:solidFill>
          </w14:textFill>
        </w:rPr>
        <w:t>的约定办理。</w:t>
      </w:r>
    </w:p>
    <w:p w14:paraId="510EFB9B">
      <w:pPr>
        <w:keepNext w:val="0"/>
        <w:keepLines w:val="0"/>
        <w:pageBreakBefore w:val="0"/>
        <w:widowControl w:val="0"/>
        <w:kinsoku/>
        <w:wordWrap/>
        <w:overflowPunct/>
        <w:topLinePunct w:val="0"/>
        <w:autoSpaceDE/>
        <w:autoSpaceDN/>
        <w:bidi w:val="0"/>
        <w:snapToGrid/>
        <w:spacing w:line="360" w:lineRule="auto"/>
        <w:ind w:left="0" w:leftChars="0" w:right="0" w:rightChars="0"/>
        <w:outlineLvl w:val="2"/>
        <w:rPr>
          <w:rFonts w:hint="eastAsia" w:ascii="仿宋" w:hAnsi="仿宋" w:eastAsia="仿宋" w:cs="仿宋"/>
          <w:color w:val="000000" w:themeColor="text1"/>
          <w:sz w:val="24"/>
          <w:szCs w:val="24"/>
          <w:highlight w:val="none"/>
          <w14:textFill>
            <w14:solidFill>
              <w14:schemeClr w14:val="tx1"/>
            </w14:solidFill>
          </w14:textFill>
        </w:rPr>
      </w:pPr>
      <w:bookmarkStart w:id="117" w:name="bookmark214"/>
      <w:bookmarkEnd w:id="117"/>
      <w:bookmarkStart w:id="118" w:name="_Toc16085"/>
      <w:r>
        <w:rPr>
          <w:rFonts w:hint="eastAsia" w:ascii="仿宋" w:hAnsi="仿宋" w:eastAsia="仿宋" w:cs="仿宋"/>
          <w:color w:val="000000" w:themeColor="text1"/>
          <w:spacing w:val="-3"/>
          <w:sz w:val="24"/>
          <w:szCs w:val="24"/>
          <w:highlight w:val="none"/>
          <w14:textFill>
            <w14:solidFill>
              <w14:schemeClr w14:val="tx1"/>
            </w14:solidFill>
          </w14:textFill>
        </w:rPr>
        <w:t>15. 缺陷责任与保修</w:t>
      </w:r>
      <w:bookmarkEnd w:id="118"/>
    </w:p>
    <w:p w14:paraId="3AB1C983">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15.1 工程保修的原则</w:t>
      </w:r>
    </w:p>
    <w:p w14:paraId="4152CDD2">
      <w:pPr>
        <w:keepNext w:val="0"/>
        <w:keepLines w:val="0"/>
        <w:pageBreakBefore w:val="0"/>
        <w:widowControl w:val="0"/>
        <w:kinsoku/>
        <w:wordWrap/>
        <w:overflowPunct/>
        <w:topLinePunct w:val="0"/>
        <w:autoSpaceDE/>
        <w:autoSpaceDN/>
        <w:bidi w:val="0"/>
        <w:snapToGrid/>
        <w:spacing w:line="360" w:lineRule="auto"/>
        <w:ind w:left="0" w:leftChars="0" w:right="0" w:rightChars="0" w:firstLine="5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在工程移交发包人后，因承包人原因产生的质量缺陷，承包人应承担质</w:t>
      </w:r>
      <w:r>
        <w:rPr>
          <w:rFonts w:hint="eastAsia" w:ascii="仿宋" w:hAnsi="仿宋" w:eastAsia="仿宋" w:cs="仿宋"/>
          <w:color w:val="000000" w:themeColor="text1"/>
          <w:spacing w:val="-3"/>
          <w:sz w:val="24"/>
          <w:szCs w:val="24"/>
          <w:highlight w:val="none"/>
          <w14:textFill>
            <w14:solidFill>
              <w14:schemeClr w14:val="tx1"/>
            </w14:solidFill>
          </w14:textFill>
        </w:rPr>
        <w:t>量缺</w:t>
      </w:r>
      <w:r>
        <w:rPr>
          <w:rFonts w:hint="eastAsia" w:ascii="仿宋" w:hAnsi="仿宋" w:eastAsia="仿宋" w:cs="仿宋"/>
          <w:color w:val="000000" w:themeColor="text1"/>
          <w:spacing w:val="-2"/>
          <w:sz w:val="24"/>
          <w:szCs w:val="24"/>
          <w:highlight w:val="none"/>
          <w14:textFill>
            <w14:solidFill>
              <w14:schemeClr w14:val="tx1"/>
            </w14:solidFill>
          </w14:textFill>
        </w:rPr>
        <w:t>陷责任和保修义务。缺陷责任期届满，承包人仍应按合同约定的工程各部位保修</w:t>
      </w:r>
      <w:r>
        <w:rPr>
          <w:rFonts w:hint="eastAsia" w:ascii="仿宋" w:hAnsi="仿宋" w:eastAsia="仿宋" w:cs="仿宋"/>
          <w:color w:val="000000" w:themeColor="text1"/>
          <w:spacing w:val="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年限承担保修义务。</w:t>
      </w:r>
    </w:p>
    <w:p w14:paraId="25DBB4E6">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15.2 缺陷责任期</w:t>
      </w:r>
    </w:p>
    <w:p w14:paraId="7D33C4E4">
      <w:pPr>
        <w:keepNext w:val="0"/>
        <w:keepLines w:val="0"/>
        <w:pageBreakBefore w:val="0"/>
        <w:widowControl w:val="0"/>
        <w:kinsoku/>
        <w:wordWrap/>
        <w:overflowPunct/>
        <w:topLinePunct w:val="0"/>
        <w:autoSpaceDE/>
        <w:autoSpaceDN/>
        <w:bidi w:val="0"/>
        <w:snapToGrid/>
        <w:spacing w:line="360" w:lineRule="auto"/>
        <w:ind w:left="0" w:leftChars="0" w:right="0" w:rightChars="0" w:firstLine="57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15.2.1 缺陷责任期从工程通过竣工验收之日起计算，合同当事人应在专用合同条款约定缺陷责任期的具体期限，但该期限最长不超过24个月。</w:t>
      </w:r>
    </w:p>
    <w:p w14:paraId="2FC4F68B">
      <w:pPr>
        <w:keepNext w:val="0"/>
        <w:keepLines w:val="0"/>
        <w:pageBreakBefore w:val="0"/>
        <w:widowControl w:val="0"/>
        <w:kinsoku/>
        <w:wordWrap/>
        <w:overflowPunct/>
        <w:topLinePunct w:val="0"/>
        <w:autoSpaceDE/>
        <w:autoSpaceDN/>
        <w:bidi w:val="0"/>
        <w:snapToGrid/>
        <w:spacing w:line="360" w:lineRule="auto"/>
        <w:ind w:left="0" w:leftChars="0" w:right="0" w:rightChars="0" w:firstLine="563"/>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单位工程先于全部工程进行验收，经验收合格并交付使用的，该</w:t>
      </w:r>
      <w:r>
        <w:rPr>
          <w:rFonts w:hint="eastAsia" w:ascii="仿宋" w:hAnsi="仿宋" w:eastAsia="仿宋" w:cs="仿宋"/>
          <w:color w:val="000000" w:themeColor="text1"/>
          <w:spacing w:val="-3"/>
          <w:sz w:val="24"/>
          <w:szCs w:val="24"/>
          <w:highlight w:val="none"/>
          <w14:textFill>
            <w14:solidFill>
              <w14:schemeClr w14:val="tx1"/>
            </w14:solidFill>
          </w14:textFill>
        </w:rPr>
        <w:t>单位工程缺</w:t>
      </w:r>
      <w:r>
        <w:rPr>
          <w:rFonts w:hint="eastAsia" w:ascii="仿宋" w:hAnsi="仿宋" w:eastAsia="仿宋" w:cs="仿宋"/>
          <w:color w:val="000000" w:themeColor="text1"/>
          <w:spacing w:val="-2"/>
          <w:sz w:val="24"/>
          <w:szCs w:val="24"/>
          <w:highlight w:val="none"/>
          <w14:textFill>
            <w14:solidFill>
              <w14:schemeClr w14:val="tx1"/>
            </w14:solidFill>
          </w14:textFill>
        </w:rPr>
        <w:t>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w:t>
      </w:r>
      <w:r>
        <w:rPr>
          <w:rFonts w:hint="eastAsia" w:ascii="仿宋" w:hAnsi="仿宋" w:eastAsia="仿宋" w:cs="仿宋"/>
          <w:color w:val="000000" w:themeColor="text1"/>
          <w:spacing w:val="-1"/>
          <w:sz w:val="24"/>
          <w:szCs w:val="24"/>
          <w:highlight w:val="none"/>
          <w14:textFill>
            <w14:solidFill>
              <w14:schemeClr w14:val="tx1"/>
            </w14:solidFill>
          </w14:textFill>
        </w:rPr>
        <w:t>任</w:t>
      </w:r>
      <w:r>
        <w:rPr>
          <w:rFonts w:hint="eastAsia" w:ascii="仿宋" w:hAnsi="仿宋" w:eastAsia="仿宋" w:cs="仿宋"/>
          <w:color w:val="000000" w:themeColor="text1"/>
          <w:spacing w:val="-2"/>
          <w:sz w:val="24"/>
          <w:szCs w:val="24"/>
          <w:highlight w:val="none"/>
          <w14:textFill>
            <w14:solidFill>
              <w14:schemeClr w14:val="tx1"/>
            </w14:solidFill>
          </w14:textFill>
        </w:rPr>
        <w:t>期自工程转移占有之日起开始计算。</w:t>
      </w:r>
    </w:p>
    <w:p w14:paraId="547A412C">
      <w:pPr>
        <w:keepNext w:val="0"/>
        <w:keepLines w:val="0"/>
        <w:pageBreakBefore w:val="0"/>
        <w:widowControl w:val="0"/>
        <w:kinsoku/>
        <w:wordWrap/>
        <w:overflowPunct/>
        <w:topLinePunct w:val="0"/>
        <w:autoSpaceDE/>
        <w:autoSpaceDN/>
        <w:bidi w:val="0"/>
        <w:snapToGrid/>
        <w:spacing w:line="360" w:lineRule="auto"/>
        <w:ind w:left="0" w:leftChars="0" w:right="0" w:rightChars="0" w:firstLine="563"/>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56CC3952">
      <w:pPr>
        <w:keepNext w:val="0"/>
        <w:keepLines w:val="0"/>
        <w:pageBreakBefore w:val="0"/>
        <w:widowControl w:val="0"/>
        <w:kinsoku/>
        <w:wordWrap/>
        <w:overflowPunct/>
        <w:topLinePunct w:val="0"/>
        <w:autoSpaceDE/>
        <w:autoSpaceDN/>
        <w:bidi w:val="0"/>
        <w:snapToGrid/>
        <w:spacing w:line="360" w:lineRule="auto"/>
        <w:ind w:left="0" w:leftChars="0" w:right="0" w:rightChars="0" w:firstLine="59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由他人原因造成的缺陷，发包人负责组织维修，承包人不承担费用，且发包</w:t>
      </w:r>
      <w:r>
        <w:rPr>
          <w:rFonts w:hint="eastAsia" w:ascii="仿宋" w:hAnsi="仿宋" w:eastAsia="仿宋" w:cs="仿宋"/>
          <w:color w:val="000000" w:themeColor="text1"/>
          <w:spacing w:val="-1"/>
          <w:sz w:val="24"/>
          <w:szCs w:val="24"/>
          <w:highlight w:val="none"/>
          <w14:textFill>
            <w14:solidFill>
              <w14:schemeClr w14:val="tx1"/>
            </w14:solidFill>
          </w14:textFill>
        </w:rPr>
        <w:t>人不得从保证金中扣除费用。</w:t>
      </w:r>
    </w:p>
    <w:p w14:paraId="10349AFC">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15.2.3 任何一项缺陷或损坏修复后，经检查证明其影响了工程或工程设备</w:t>
      </w:r>
      <w:r>
        <w:rPr>
          <w:rFonts w:hint="eastAsia" w:ascii="仿宋" w:hAnsi="仿宋" w:eastAsia="仿宋" w:cs="仿宋"/>
          <w:color w:val="000000" w:themeColor="text1"/>
          <w:spacing w:val="-2"/>
          <w:sz w:val="24"/>
          <w:szCs w:val="24"/>
          <w:highlight w:val="none"/>
          <w14:textFill>
            <w14:solidFill>
              <w14:schemeClr w14:val="tx1"/>
            </w14:solidFill>
          </w14:textFill>
        </w:rPr>
        <w:t>的使用性能，承包人应重新进行合同约定的试验和</w:t>
      </w:r>
      <w:r>
        <w:rPr>
          <w:rFonts w:hint="eastAsia" w:ascii="仿宋" w:hAnsi="仿宋" w:eastAsia="仿宋" w:cs="仿宋"/>
          <w:color w:val="000000" w:themeColor="text1"/>
          <w:spacing w:val="-3"/>
          <w:sz w:val="24"/>
          <w:szCs w:val="24"/>
          <w:highlight w:val="none"/>
          <w14:textFill>
            <w14:solidFill>
              <w14:schemeClr w14:val="tx1"/>
            </w14:solidFill>
          </w14:textFill>
        </w:rPr>
        <w:t>试运行，试验和试运行的全部</w:t>
      </w:r>
      <w:r>
        <w:rPr>
          <w:rFonts w:hint="eastAsia" w:ascii="仿宋" w:hAnsi="仿宋" w:eastAsia="仿宋" w:cs="仿宋"/>
          <w:color w:val="000000" w:themeColor="text1"/>
          <w:spacing w:val="-5"/>
          <w:sz w:val="24"/>
          <w:szCs w:val="24"/>
          <w:highlight w:val="none"/>
          <w14:textFill>
            <w14:solidFill>
              <w14:schemeClr w14:val="tx1"/>
            </w14:solidFill>
          </w14:textFill>
        </w:rPr>
        <w:t>费用应由责任方承担。</w:t>
      </w:r>
    </w:p>
    <w:p w14:paraId="59454FA0">
      <w:pPr>
        <w:keepNext w:val="0"/>
        <w:keepLines w:val="0"/>
        <w:pageBreakBefore w:val="0"/>
        <w:widowControl w:val="0"/>
        <w:kinsoku/>
        <w:wordWrap/>
        <w:overflowPunct/>
        <w:topLinePunct w:val="0"/>
        <w:autoSpaceDE/>
        <w:autoSpaceDN/>
        <w:bidi w:val="0"/>
        <w:snapToGrid/>
        <w:spacing w:line="360" w:lineRule="auto"/>
        <w:ind w:left="0" w:leftChars="0" w:right="0" w:rightChars="0" w:firstLine="5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15.2.4 除专用合同条款另有约定外，承包人应于缺陷责任</w:t>
      </w:r>
      <w:r>
        <w:rPr>
          <w:rFonts w:hint="eastAsia" w:ascii="仿宋" w:hAnsi="仿宋" w:eastAsia="仿宋" w:cs="仿宋"/>
          <w:color w:val="000000" w:themeColor="text1"/>
          <w:spacing w:val="-3"/>
          <w:sz w:val="24"/>
          <w:szCs w:val="24"/>
          <w:highlight w:val="none"/>
          <w14:textFill>
            <w14:solidFill>
              <w14:schemeClr w14:val="tx1"/>
            </w14:solidFill>
          </w14:textFill>
        </w:rPr>
        <w:t>期届满后7天内向</w:t>
      </w:r>
      <w:r>
        <w:rPr>
          <w:rFonts w:hint="eastAsia" w:ascii="仿宋" w:hAnsi="仿宋" w:eastAsia="仿宋" w:cs="仿宋"/>
          <w:color w:val="000000" w:themeColor="text1"/>
          <w:spacing w:val="-2"/>
          <w:sz w:val="24"/>
          <w:szCs w:val="24"/>
          <w:highlight w:val="none"/>
          <w14:textFill>
            <w14:solidFill>
              <w14:schemeClr w14:val="tx1"/>
            </w14:solidFill>
          </w14:textFill>
        </w:rPr>
        <w:t>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w:t>
      </w:r>
      <w:r>
        <w:rPr>
          <w:rFonts w:hint="eastAsia" w:ascii="仿宋" w:hAnsi="仿宋" w:eastAsia="仿宋" w:cs="仿宋"/>
          <w:color w:val="000000" w:themeColor="text1"/>
          <w:spacing w:val="-3"/>
          <w:sz w:val="24"/>
          <w:szCs w:val="24"/>
          <w:highlight w:val="none"/>
          <w14:textFill>
            <w14:solidFill>
              <w14:schemeClr w14:val="tx1"/>
            </w14:solidFill>
          </w14:textFill>
        </w:rPr>
        <w:t>包人颁发缺陷责任期终止证书。</w:t>
      </w:r>
    </w:p>
    <w:p w14:paraId="09979F27">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15.3 质量保证金</w:t>
      </w:r>
    </w:p>
    <w:p w14:paraId="123091A0">
      <w:pPr>
        <w:pStyle w:val="9"/>
        <w:keepNext w:val="0"/>
        <w:keepLines w:val="0"/>
        <w:pageBreakBefore w:val="0"/>
        <w:widowControl w:val="0"/>
        <w:kinsoku/>
        <w:wordWrap/>
        <w:overflowPunct/>
        <w:topLinePunct w:val="0"/>
        <w:autoSpaceDE/>
        <w:autoSpaceDN/>
        <w:bidi w:val="0"/>
        <w:snapToGrid/>
        <w:spacing w:after="0"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p>
    <w:p w14:paraId="269F4B69">
      <w:pPr>
        <w:keepNext w:val="0"/>
        <w:keepLines w:val="0"/>
        <w:pageBreakBefore w:val="0"/>
        <w:widowControl w:val="0"/>
        <w:kinsoku/>
        <w:wordWrap/>
        <w:overflowPunct/>
        <w:topLinePunct w:val="0"/>
        <w:autoSpaceDE/>
        <w:autoSpaceDN/>
        <w:bidi w:val="0"/>
        <w:snapToGrid/>
        <w:spacing w:line="360" w:lineRule="auto"/>
        <w:ind w:left="0" w:leftChars="0" w:right="0" w:rightChars="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经合同当事人协商一致扣留质量保证金的，应在专用合同条款中予以明确。</w:t>
      </w:r>
    </w:p>
    <w:p w14:paraId="7E6D3378">
      <w:pPr>
        <w:keepNext w:val="0"/>
        <w:keepLines w:val="0"/>
        <w:pageBreakBefore w:val="0"/>
        <w:widowControl w:val="0"/>
        <w:kinsoku/>
        <w:wordWrap/>
        <w:overflowPunct/>
        <w:topLinePunct w:val="0"/>
        <w:autoSpaceDE/>
        <w:autoSpaceDN/>
        <w:bidi w:val="0"/>
        <w:snapToGrid/>
        <w:spacing w:line="360" w:lineRule="auto"/>
        <w:ind w:left="0" w:leftChars="0" w:right="0" w:rightChars="0" w:firstLine="5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在工程项目竣工前，承包人已经提供履约担保的，发包人不得同时预留</w:t>
      </w:r>
      <w:r>
        <w:rPr>
          <w:rFonts w:hint="eastAsia" w:ascii="仿宋" w:hAnsi="仿宋" w:eastAsia="仿宋" w:cs="仿宋"/>
          <w:color w:val="000000" w:themeColor="text1"/>
          <w:spacing w:val="-3"/>
          <w:sz w:val="24"/>
          <w:szCs w:val="24"/>
          <w:highlight w:val="none"/>
          <w14:textFill>
            <w14:solidFill>
              <w14:schemeClr w14:val="tx1"/>
            </w14:solidFill>
          </w14:textFill>
        </w:rPr>
        <w:t>工程</w:t>
      </w:r>
      <w:r>
        <w:rPr>
          <w:rFonts w:hint="eastAsia" w:ascii="仿宋" w:hAnsi="仿宋" w:eastAsia="仿宋" w:cs="仿宋"/>
          <w:color w:val="000000" w:themeColor="text1"/>
          <w:spacing w:val="-5"/>
          <w:sz w:val="24"/>
          <w:szCs w:val="24"/>
          <w:highlight w:val="none"/>
          <w14:textFill>
            <w14:solidFill>
              <w14:schemeClr w14:val="tx1"/>
            </w14:solidFill>
          </w14:textFill>
        </w:rPr>
        <w:t>质量保证金。</w:t>
      </w:r>
    </w:p>
    <w:p w14:paraId="7BC8679B">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15.3.1 承包人提供质量保证金的方式</w:t>
      </w:r>
    </w:p>
    <w:p w14:paraId="7326CC0B">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承包人提供质量保证金有以下三种方式：</w:t>
      </w:r>
    </w:p>
    <w:p w14:paraId="127181FD">
      <w:pPr>
        <w:keepNext w:val="0"/>
        <w:keepLines w:val="0"/>
        <w:pageBreakBefore w:val="0"/>
        <w:widowControl w:val="0"/>
        <w:kinsoku/>
        <w:wordWrap/>
        <w:overflowPunct/>
        <w:topLinePunct w:val="0"/>
        <w:autoSpaceDE/>
        <w:autoSpaceDN/>
        <w:bidi w:val="0"/>
        <w:snapToGrid/>
        <w:spacing w:line="360" w:lineRule="auto"/>
        <w:ind w:left="0" w:leftChars="0" w:right="0" w:rightChars="0" w:firstLine="46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（1）质量保证金保函；</w:t>
      </w:r>
    </w:p>
    <w:p w14:paraId="23D79415">
      <w:pPr>
        <w:keepNext w:val="0"/>
        <w:keepLines w:val="0"/>
        <w:pageBreakBefore w:val="0"/>
        <w:widowControl w:val="0"/>
        <w:kinsoku/>
        <w:wordWrap/>
        <w:overflowPunct/>
        <w:topLinePunct w:val="0"/>
        <w:autoSpaceDE/>
        <w:autoSpaceDN/>
        <w:bidi w:val="0"/>
        <w:snapToGrid/>
        <w:spacing w:line="360" w:lineRule="auto"/>
        <w:ind w:left="0" w:leftChars="0" w:right="0" w:rightChars="0" w:firstLine="45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（2）相应比例的工程款；</w:t>
      </w:r>
    </w:p>
    <w:p w14:paraId="61585014">
      <w:pPr>
        <w:keepNext w:val="0"/>
        <w:keepLines w:val="0"/>
        <w:pageBreakBefore w:val="0"/>
        <w:widowControl w:val="0"/>
        <w:kinsoku/>
        <w:wordWrap/>
        <w:overflowPunct/>
        <w:topLinePunct w:val="0"/>
        <w:autoSpaceDE/>
        <w:autoSpaceDN/>
        <w:bidi w:val="0"/>
        <w:snapToGrid/>
        <w:spacing w:line="360" w:lineRule="auto"/>
        <w:ind w:left="0" w:leftChars="0" w:right="0" w:rightChars="0" w:firstLine="460" w:firstLineChars="200"/>
        <w:rPr>
          <w:rFonts w:hint="eastAsia" w:ascii="仿宋" w:hAnsi="仿宋" w:eastAsia="仿宋" w:cs="仿宋"/>
          <w:color w:val="000000" w:themeColor="text1"/>
          <w:spacing w:val="-5"/>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（3）双方约定的其他方式。</w:t>
      </w:r>
    </w:p>
    <w:p w14:paraId="4748A327">
      <w:pPr>
        <w:keepNext w:val="0"/>
        <w:keepLines w:val="0"/>
        <w:pageBreakBefore w:val="0"/>
        <w:widowControl w:val="0"/>
        <w:kinsoku/>
        <w:wordWrap/>
        <w:overflowPunct/>
        <w:topLinePunct w:val="0"/>
        <w:autoSpaceDE/>
        <w:autoSpaceDN/>
        <w:bidi w:val="0"/>
        <w:snapToGrid/>
        <w:spacing w:line="360" w:lineRule="auto"/>
        <w:ind w:left="0" w:leftChars="0" w:right="0" w:rightChars="0" w:firstLine="460" w:firstLineChars="200"/>
        <w:rPr>
          <w:rFonts w:hint="eastAsia" w:ascii="仿宋" w:hAnsi="仿宋" w:eastAsia="仿宋" w:cs="仿宋"/>
          <w:color w:val="000000" w:themeColor="text1"/>
          <w:spacing w:val="-5"/>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除专用合同条款另有约定外，质量保证金原则上采用上述第（1）种方式。</w:t>
      </w:r>
    </w:p>
    <w:p w14:paraId="12BCEF74">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15.3.2 质量保证金的扣留</w:t>
      </w:r>
    </w:p>
    <w:p w14:paraId="2CBD04C3">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质量保证金的扣留有以下三种方式：</w:t>
      </w:r>
    </w:p>
    <w:p w14:paraId="25806A40">
      <w:pPr>
        <w:keepNext w:val="0"/>
        <w:keepLines w:val="0"/>
        <w:pageBreakBefore w:val="0"/>
        <w:widowControl w:val="0"/>
        <w:kinsoku/>
        <w:wordWrap/>
        <w:overflowPunct/>
        <w:topLinePunct w:val="0"/>
        <w:autoSpaceDE/>
        <w:autoSpaceDN/>
        <w:bidi w:val="0"/>
        <w:snapToGrid/>
        <w:spacing w:line="360" w:lineRule="auto"/>
        <w:ind w:left="0" w:leftChars="0" w:right="0" w:rightChars="0" w:firstLine="5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（1）在支付工程进度款时逐次扣留，在此情形下，质量保证金的计算基数</w:t>
      </w:r>
      <w:r>
        <w:rPr>
          <w:rFonts w:hint="eastAsia" w:ascii="仿宋" w:hAnsi="仿宋" w:eastAsia="仿宋" w:cs="仿宋"/>
          <w:color w:val="000000" w:themeColor="text1"/>
          <w:spacing w:val="-3"/>
          <w:sz w:val="24"/>
          <w:szCs w:val="24"/>
          <w:highlight w:val="none"/>
          <w14:textFill>
            <w14:solidFill>
              <w14:schemeClr w14:val="tx1"/>
            </w14:solidFill>
          </w14:textFill>
        </w:rPr>
        <w:t>不包括预付款的支付、扣回以及价格调整的金额；</w:t>
      </w:r>
    </w:p>
    <w:p w14:paraId="1CA4198E">
      <w:pPr>
        <w:keepNext w:val="0"/>
        <w:keepLines w:val="0"/>
        <w:pageBreakBefore w:val="0"/>
        <w:widowControl w:val="0"/>
        <w:kinsoku/>
        <w:wordWrap/>
        <w:overflowPunct/>
        <w:topLinePunct w:val="0"/>
        <w:autoSpaceDE/>
        <w:autoSpaceDN/>
        <w:bidi w:val="0"/>
        <w:snapToGrid/>
        <w:spacing w:line="360" w:lineRule="auto"/>
        <w:ind w:left="0" w:leftChars="0" w:right="0" w:rightChars="0" w:firstLine="464"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（2）工程竣工结算时一次性扣留质量保证金；</w:t>
      </w:r>
    </w:p>
    <w:p w14:paraId="411E6247">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（3）双方约定的其他扣留方式。</w:t>
      </w:r>
    </w:p>
    <w:p w14:paraId="5009C608">
      <w:pPr>
        <w:keepNext w:val="0"/>
        <w:keepLines w:val="0"/>
        <w:pageBreakBefore w:val="0"/>
        <w:widowControl w:val="0"/>
        <w:kinsoku/>
        <w:wordWrap/>
        <w:overflowPunct/>
        <w:topLinePunct w:val="0"/>
        <w:autoSpaceDE/>
        <w:autoSpaceDN/>
        <w:bidi w:val="0"/>
        <w:snapToGrid/>
        <w:spacing w:line="360" w:lineRule="auto"/>
        <w:ind w:left="0" w:leftChars="0" w:right="0" w:rightChars="0" w:firstLine="57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除专用合同条款另有约定外，质量保证金的</w:t>
      </w:r>
      <w:r>
        <w:rPr>
          <w:rFonts w:hint="eastAsia" w:ascii="仿宋" w:hAnsi="仿宋" w:eastAsia="仿宋" w:cs="仿宋"/>
          <w:color w:val="000000" w:themeColor="text1"/>
          <w:spacing w:val="-2"/>
          <w:sz w:val="24"/>
          <w:szCs w:val="24"/>
          <w:highlight w:val="none"/>
          <w14:textFill>
            <w14:solidFill>
              <w14:schemeClr w14:val="tx1"/>
            </w14:solidFill>
          </w14:textFill>
        </w:rPr>
        <w:t>扣留原则上采用上述第（1）种</w:t>
      </w:r>
      <w:r>
        <w:rPr>
          <w:rFonts w:hint="eastAsia" w:ascii="仿宋" w:hAnsi="仿宋" w:eastAsia="仿宋" w:cs="仿宋"/>
          <w:color w:val="000000" w:themeColor="text1"/>
          <w:spacing w:val="-12"/>
          <w:sz w:val="24"/>
          <w:szCs w:val="24"/>
          <w:highlight w:val="none"/>
          <w14:textFill>
            <w14:solidFill>
              <w14:schemeClr w14:val="tx1"/>
            </w14:solidFill>
          </w14:textFill>
        </w:rPr>
        <w:t>方式。</w:t>
      </w:r>
    </w:p>
    <w:p w14:paraId="1DB96282">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发包人累计扣留的质量保证金不得超过工程价款结算总额的3%。如承</w:t>
      </w:r>
      <w:r>
        <w:rPr>
          <w:rFonts w:hint="eastAsia" w:ascii="仿宋" w:hAnsi="仿宋" w:eastAsia="仿宋" w:cs="仿宋"/>
          <w:color w:val="000000" w:themeColor="text1"/>
          <w:spacing w:val="-3"/>
          <w:sz w:val="24"/>
          <w:szCs w:val="24"/>
          <w:highlight w:val="none"/>
          <w14:textFill>
            <w14:solidFill>
              <w14:schemeClr w14:val="tx1"/>
            </w14:solidFill>
          </w14:textFill>
        </w:rPr>
        <w:t>包人在</w:t>
      </w:r>
      <w:r>
        <w:rPr>
          <w:rFonts w:hint="eastAsia" w:ascii="仿宋" w:hAnsi="仿宋" w:eastAsia="仿宋" w:cs="仿宋"/>
          <w:color w:val="000000" w:themeColor="text1"/>
          <w:spacing w:val="-2"/>
          <w:sz w:val="24"/>
          <w:szCs w:val="24"/>
          <w:highlight w:val="none"/>
          <w14:textFill>
            <w14:solidFill>
              <w14:schemeClr w14:val="tx1"/>
            </w14:solidFill>
          </w14:textFill>
        </w:rPr>
        <w:t>发包人签发竣工付款证书后28天内提交质量保证金保函，发包人应同时退还扣留</w:t>
      </w:r>
      <w:r>
        <w:rPr>
          <w:rFonts w:hint="eastAsia" w:ascii="仿宋" w:hAnsi="仿宋" w:eastAsia="仿宋" w:cs="仿宋"/>
          <w:color w:val="000000" w:themeColor="text1"/>
          <w:spacing w:val="-1"/>
          <w:sz w:val="24"/>
          <w:szCs w:val="24"/>
          <w:highlight w:val="none"/>
          <w14:textFill>
            <w14:solidFill>
              <w14:schemeClr w14:val="tx1"/>
            </w14:solidFill>
          </w14:textFill>
        </w:rPr>
        <w:t>的作为质量保证金的工程价款；保函金额不得超过工程价款结算总额的3%。</w:t>
      </w:r>
    </w:p>
    <w:p w14:paraId="2DF17E22">
      <w:pPr>
        <w:keepNext w:val="0"/>
        <w:keepLines w:val="0"/>
        <w:pageBreakBefore w:val="0"/>
        <w:widowControl w:val="0"/>
        <w:tabs>
          <w:tab w:val="left" w:pos="9450"/>
        </w:tabs>
        <w:kinsoku/>
        <w:wordWrap/>
        <w:overflowPunct/>
        <w:topLinePunct w:val="0"/>
        <w:autoSpaceDE/>
        <w:autoSpaceDN/>
        <w:bidi w:val="0"/>
        <w:snapToGrid/>
        <w:spacing w:line="360" w:lineRule="auto"/>
        <w:ind w:left="0" w:leftChars="0" w:right="0" w:rightChars="0" w:firstLine="56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发包人在退还质量保证金的同时按照中国人民银行发布的同期同类贷款基</w:t>
      </w:r>
      <w:r>
        <w:rPr>
          <w:rFonts w:hint="eastAsia" w:ascii="仿宋" w:hAnsi="仿宋" w:eastAsia="仿宋" w:cs="仿宋"/>
          <w:color w:val="000000" w:themeColor="text1"/>
          <w:spacing w:val="-2"/>
          <w:sz w:val="24"/>
          <w:szCs w:val="24"/>
          <w:highlight w:val="none"/>
          <w14:textFill>
            <w14:solidFill>
              <w14:schemeClr w14:val="tx1"/>
            </w14:solidFill>
          </w14:textFill>
        </w:rPr>
        <w:t>准利率支付利息。</w:t>
      </w:r>
    </w:p>
    <w:p w14:paraId="5965A3F5">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15.3.3 质量保证金的退还</w:t>
      </w:r>
    </w:p>
    <w:p w14:paraId="424F1290">
      <w:pPr>
        <w:keepNext w:val="0"/>
        <w:keepLines w:val="0"/>
        <w:pageBreakBefore w:val="0"/>
        <w:widowControl w:val="0"/>
        <w:kinsoku/>
        <w:wordWrap/>
        <w:overflowPunct/>
        <w:topLinePunct w:val="0"/>
        <w:autoSpaceDE/>
        <w:autoSpaceDN/>
        <w:bidi w:val="0"/>
        <w:snapToGrid/>
        <w:spacing w:line="360" w:lineRule="auto"/>
        <w:ind w:left="0" w:leftChars="0" w:right="0" w:rightChars="0" w:firstLine="5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缺陷责任期内，承包人认真履行合同约定的责任，到期后，承包人可向发包人申请返还保证金。</w:t>
      </w:r>
    </w:p>
    <w:p w14:paraId="129205BF">
      <w:pPr>
        <w:keepNext w:val="0"/>
        <w:keepLines w:val="0"/>
        <w:pageBreakBefore w:val="0"/>
        <w:widowControl w:val="0"/>
        <w:kinsoku/>
        <w:wordWrap/>
        <w:overflowPunct/>
        <w:topLinePunct w:val="0"/>
        <w:autoSpaceDE/>
        <w:autoSpaceDN/>
        <w:bidi w:val="0"/>
        <w:snapToGrid/>
        <w:spacing w:line="360" w:lineRule="auto"/>
        <w:ind w:left="0" w:leftChars="0" w:right="0" w:rightChars="0" w:firstLine="56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发包人在接到承包人返还保证金申请后，应于14天内会同承包人按</w:t>
      </w:r>
      <w:r>
        <w:rPr>
          <w:rFonts w:hint="eastAsia" w:ascii="仿宋" w:hAnsi="仿宋" w:eastAsia="仿宋" w:cs="仿宋"/>
          <w:color w:val="000000" w:themeColor="text1"/>
          <w:spacing w:val="-3"/>
          <w:sz w:val="24"/>
          <w:szCs w:val="24"/>
          <w:highlight w:val="none"/>
          <w14:textFill>
            <w14:solidFill>
              <w14:schemeClr w14:val="tx1"/>
            </w14:solidFill>
          </w14:textFill>
        </w:rPr>
        <w:t>照合同约</w:t>
      </w:r>
      <w:r>
        <w:rPr>
          <w:rFonts w:hint="eastAsia" w:ascii="仿宋" w:hAnsi="仿宋" w:eastAsia="仿宋" w:cs="仿宋"/>
          <w:color w:val="000000" w:themeColor="text1"/>
          <w:spacing w:val="-2"/>
          <w:sz w:val="24"/>
          <w:szCs w:val="24"/>
          <w:highlight w:val="none"/>
          <w14:textFill>
            <w14:solidFill>
              <w14:schemeClr w14:val="tx1"/>
            </w14:solidFill>
          </w14:textFill>
        </w:rPr>
        <w:t>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w:t>
      </w:r>
      <w:r>
        <w:rPr>
          <w:rFonts w:hint="eastAsia" w:ascii="仿宋" w:hAnsi="仿宋" w:eastAsia="仿宋" w:cs="仿宋"/>
          <w:color w:val="000000" w:themeColor="text1"/>
          <w:spacing w:val="-9"/>
          <w:sz w:val="24"/>
          <w:szCs w:val="24"/>
          <w:highlight w:val="none"/>
          <w14:textFill>
            <w14:solidFill>
              <w14:schemeClr w14:val="tx1"/>
            </w14:solidFill>
          </w14:textFill>
        </w:rPr>
        <w:t>金申请。</w:t>
      </w:r>
    </w:p>
    <w:p w14:paraId="0B82D113">
      <w:pPr>
        <w:keepNext w:val="0"/>
        <w:keepLines w:val="0"/>
        <w:pageBreakBefore w:val="0"/>
        <w:widowControl w:val="0"/>
        <w:kinsoku/>
        <w:wordWrap/>
        <w:overflowPunct/>
        <w:topLinePunct w:val="0"/>
        <w:autoSpaceDE/>
        <w:autoSpaceDN/>
        <w:bidi w:val="0"/>
        <w:snapToGrid/>
        <w:spacing w:line="360" w:lineRule="auto"/>
        <w:ind w:left="0" w:leftChars="0" w:right="0" w:rightChars="0" w:firstLine="5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发包人和承包人对保证金预留、返还以及工程维修质量、费</w:t>
      </w:r>
      <w:r>
        <w:rPr>
          <w:rFonts w:hint="eastAsia" w:ascii="仿宋" w:hAnsi="仿宋" w:eastAsia="仿宋" w:cs="仿宋"/>
          <w:color w:val="000000" w:themeColor="text1"/>
          <w:spacing w:val="-3"/>
          <w:sz w:val="24"/>
          <w:szCs w:val="24"/>
          <w:highlight w:val="none"/>
          <w14:textFill>
            <w14:solidFill>
              <w14:schemeClr w14:val="tx1"/>
            </w14:solidFill>
          </w14:textFill>
        </w:rPr>
        <w:t>用有争议的，按</w:t>
      </w:r>
      <w:r>
        <w:rPr>
          <w:rFonts w:hint="eastAsia" w:ascii="仿宋" w:hAnsi="仿宋" w:eastAsia="仿宋" w:cs="仿宋"/>
          <w:color w:val="000000" w:themeColor="text1"/>
          <w:spacing w:val="-1"/>
          <w:sz w:val="24"/>
          <w:szCs w:val="24"/>
          <w:highlight w:val="none"/>
          <w14:textFill>
            <w14:solidFill>
              <w14:schemeClr w14:val="tx1"/>
            </w14:solidFill>
          </w14:textFill>
        </w:rPr>
        <w:t>本合同第20条约定的争议和纠纷解决程序处理。</w:t>
      </w:r>
    </w:p>
    <w:p w14:paraId="750C2A9F">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7"/>
          <w:sz w:val="24"/>
          <w:szCs w:val="24"/>
          <w:highlight w:val="none"/>
          <w14:textFill>
            <w14:solidFill>
              <w14:schemeClr w14:val="tx1"/>
            </w14:solidFill>
          </w14:textFill>
        </w:rPr>
        <w:t>15.4</w:t>
      </w:r>
      <w:r>
        <w:rPr>
          <w:rFonts w:hint="eastAsia" w:ascii="仿宋" w:hAnsi="仿宋" w:eastAsia="仿宋" w:cs="仿宋"/>
          <w:color w:val="000000" w:themeColor="text1"/>
          <w:spacing w:val="1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14:textFill>
            <w14:solidFill>
              <w14:schemeClr w14:val="tx1"/>
            </w14:solidFill>
          </w14:textFill>
        </w:rPr>
        <w:t>保修</w:t>
      </w:r>
    </w:p>
    <w:p w14:paraId="56FCB035">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15.4.1</w:t>
      </w:r>
      <w:r>
        <w:rPr>
          <w:rFonts w:hint="eastAsia" w:ascii="仿宋" w:hAnsi="仿宋" w:eastAsia="仿宋" w:cs="仿宋"/>
          <w:color w:val="000000" w:themeColor="text1"/>
          <w:spacing w:val="-5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保修责任</w:t>
      </w:r>
    </w:p>
    <w:p w14:paraId="20F69AE1">
      <w:pPr>
        <w:keepNext w:val="0"/>
        <w:keepLines w:val="0"/>
        <w:pageBreakBefore w:val="0"/>
        <w:widowControl w:val="0"/>
        <w:kinsoku/>
        <w:wordWrap/>
        <w:overflowPunct/>
        <w:topLinePunct w:val="0"/>
        <w:autoSpaceDE/>
        <w:autoSpaceDN/>
        <w:bidi w:val="0"/>
        <w:snapToGrid/>
        <w:spacing w:line="360" w:lineRule="auto"/>
        <w:ind w:left="0" w:leftChars="0" w:right="0" w:rightChars="0" w:firstLine="53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工程保修期从工程竣工验收合格之日起算，具体分部分项工</w:t>
      </w:r>
      <w:r>
        <w:rPr>
          <w:rFonts w:hint="eastAsia" w:ascii="仿宋" w:hAnsi="仿宋" w:eastAsia="仿宋" w:cs="仿宋"/>
          <w:color w:val="000000" w:themeColor="text1"/>
          <w:spacing w:val="-3"/>
          <w:sz w:val="24"/>
          <w:szCs w:val="24"/>
          <w:highlight w:val="none"/>
          <w14:textFill>
            <w14:solidFill>
              <w14:schemeClr w14:val="tx1"/>
            </w14:solidFill>
          </w14:textFill>
        </w:rPr>
        <w:t>程的保修期由合同当事人在专用合同条款中约定，但不得低于法定最低保修年限。在工程保修期内，承包人应当根据有关法律规定以及合同约定承担保修责任。</w:t>
      </w:r>
    </w:p>
    <w:p w14:paraId="11C534D8">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发包人未经竣工验收擅自使用工程的，保修期自转移占有之日起算。</w:t>
      </w:r>
    </w:p>
    <w:p w14:paraId="0CADBE6F">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15.4.2 修复费用</w:t>
      </w:r>
    </w:p>
    <w:p w14:paraId="065361E8">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保修期内，修复的费用按照以下约定处理：</w:t>
      </w:r>
    </w:p>
    <w:p w14:paraId="4B5A2DD1">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0"/>
          <w:sz w:val="24"/>
          <w:szCs w:val="24"/>
          <w:highlight w:val="none"/>
          <w14:textFill>
            <w14:solidFill>
              <w14:schemeClr w14:val="tx1"/>
            </w14:solidFill>
          </w14:textFill>
        </w:rPr>
        <w:t>（1）保修期内，因承包人原因造成工程的缺陷、损坏，承包人应负责修复，</w:t>
      </w:r>
      <w:r>
        <w:rPr>
          <w:rFonts w:hint="eastAsia" w:ascii="仿宋" w:hAnsi="仿宋" w:eastAsia="仿宋" w:cs="仿宋"/>
          <w:color w:val="000000" w:themeColor="text1"/>
          <w:spacing w:val="-1"/>
          <w:sz w:val="24"/>
          <w:szCs w:val="24"/>
          <w:highlight w:val="none"/>
          <w14:textFill>
            <w14:solidFill>
              <w14:schemeClr w14:val="tx1"/>
            </w14:solidFill>
          </w14:textFill>
        </w:rPr>
        <w:t>并承担修复的费用以及因工程的缺陷、损坏造成的人身伤害和财产损失；</w:t>
      </w:r>
    </w:p>
    <w:p w14:paraId="7C00115A">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（2）保修期内，因发包人使用不当造成工程的缺陷、损坏，可以委托承包</w:t>
      </w:r>
      <w:r>
        <w:rPr>
          <w:rFonts w:hint="eastAsia" w:ascii="仿宋" w:hAnsi="仿宋" w:eastAsia="仿宋" w:cs="仿宋"/>
          <w:color w:val="000000" w:themeColor="text1"/>
          <w:spacing w:val="-2"/>
          <w:sz w:val="24"/>
          <w:szCs w:val="24"/>
          <w:highlight w:val="none"/>
          <w14:textFill>
            <w14:solidFill>
              <w14:schemeClr w14:val="tx1"/>
            </w14:solidFill>
          </w14:textFill>
        </w:rPr>
        <w:t>人修复，但发包人应承担修复的费用，并支</w:t>
      </w:r>
      <w:r>
        <w:rPr>
          <w:rFonts w:hint="eastAsia" w:ascii="仿宋" w:hAnsi="仿宋" w:eastAsia="仿宋" w:cs="仿宋"/>
          <w:color w:val="000000" w:themeColor="text1"/>
          <w:spacing w:val="-3"/>
          <w:sz w:val="24"/>
          <w:szCs w:val="24"/>
          <w:highlight w:val="none"/>
          <w14:textFill>
            <w14:solidFill>
              <w14:schemeClr w14:val="tx1"/>
            </w14:solidFill>
          </w14:textFill>
        </w:rPr>
        <w:t>付承包人合理利润；</w:t>
      </w:r>
    </w:p>
    <w:p w14:paraId="7AF3E782">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（3）因其他原因造成工程的缺陷、损坏，可以委托承包人修复，发包人应</w:t>
      </w:r>
      <w:r>
        <w:rPr>
          <w:rFonts w:hint="eastAsia" w:ascii="仿宋" w:hAnsi="仿宋" w:eastAsia="仿宋" w:cs="仿宋"/>
          <w:color w:val="000000" w:themeColor="text1"/>
          <w:spacing w:val="-2"/>
          <w:sz w:val="24"/>
          <w:szCs w:val="24"/>
          <w:highlight w:val="none"/>
          <w14:textFill>
            <w14:solidFill>
              <w14:schemeClr w14:val="tx1"/>
            </w14:solidFill>
          </w14:textFill>
        </w:rPr>
        <w:t>承担修复的费用，并支付承包人合理的利润，因工程的缺陷、损坏造成的人身伤</w:t>
      </w:r>
      <w:r>
        <w:rPr>
          <w:rFonts w:hint="eastAsia" w:ascii="仿宋" w:hAnsi="仿宋" w:eastAsia="仿宋" w:cs="仿宋"/>
          <w:color w:val="000000" w:themeColor="text1"/>
          <w:spacing w:val="-1"/>
          <w:sz w:val="24"/>
          <w:szCs w:val="24"/>
          <w:highlight w:val="none"/>
          <w14:textFill>
            <w14:solidFill>
              <w14:schemeClr w14:val="tx1"/>
            </w14:solidFill>
          </w14:textFill>
        </w:rPr>
        <w:t>害</w:t>
      </w:r>
      <w:r>
        <w:rPr>
          <w:rFonts w:hint="eastAsia" w:ascii="仿宋" w:hAnsi="仿宋" w:eastAsia="仿宋" w:cs="仿宋"/>
          <w:color w:val="000000" w:themeColor="text1"/>
          <w:spacing w:val="-2"/>
          <w:sz w:val="24"/>
          <w:szCs w:val="24"/>
          <w:highlight w:val="none"/>
          <w14:textFill>
            <w14:solidFill>
              <w14:schemeClr w14:val="tx1"/>
            </w14:solidFill>
          </w14:textFill>
        </w:rPr>
        <w:t>和财产损失由责任方承担。</w:t>
      </w:r>
    </w:p>
    <w:p w14:paraId="1A90AB65">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15.4.3 修复通知</w:t>
      </w:r>
    </w:p>
    <w:p w14:paraId="1A4AF146">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00C297B9">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15.4.4</w:t>
      </w:r>
      <w:r>
        <w:rPr>
          <w:rFonts w:hint="eastAsia" w:ascii="仿宋" w:hAnsi="仿宋" w:eastAsia="仿宋" w:cs="仿宋"/>
          <w:color w:val="000000" w:themeColor="text1"/>
          <w:spacing w:val="1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未能修复</w:t>
      </w:r>
    </w:p>
    <w:p w14:paraId="16FF8D64">
      <w:pPr>
        <w:keepNext w:val="0"/>
        <w:keepLines w:val="0"/>
        <w:pageBreakBefore w:val="0"/>
        <w:widowControl w:val="0"/>
        <w:kinsoku/>
        <w:wordWrap/>
        <w:overflowPunct/>
        <w:topLinePunct w:val="0"/>
        <w:autoSpaceDE/>
        <w:autoSpaceDN/>
        <w:bidi w:val="0"/>
        <w:snapToGrid/>
        <w:spacing w:line="360" w:lineRule="auto"/>
        <w:ind w:left="0" w:leftChars="0" w:right="0" w:rightChars="0" w:firstLine="58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因承包人原因造成工程的缺陷或损坏，承包人拒绝维修或未能在合理期限内</w:t>
      </w:r>
      <w:r>
        <w:rPr>
          <w:rFonts w:hint="eastAsia" w:ascii="仿宋" w:hAnsi="仿宋" w:eastAsia="仿宋" w:cs="仿宋"/>
          <w:color w:val="000000" w:themeColor="text1"/>
          <w:spacing w:val="-2"/>
          <w:sz w:val="24"/>
          <w:szCs w:val="24"/>
          <w:highlight w:val="none"/>
          <w14:textFill>
            <w14:solidFill>
              <w14:schemeClr w14:val="tx1"/>
            </w14:solidFill>
          </w14:textFill>
        </w:rPr>
        <w:t>修复缺陷或损坏，且经发包人书面催告后仍未修复的，发包人有权自行修复或委托第三方修复，所需费用由承包人承担。但修复范围超出缺陷或损坏范围的，超</w:t>
      </w:r>
      <w:r>
        <w:rPr>
          <w:rFonts w:hint="eastAsia" w:ascii="仿宋" w:hAnsi="仿宋" w:eastAsia="仿宋" w:cs="仿宋"/>
          <w:color w:val="000000" w:themeColor="text1"/>
          <w:spacing w:val="-1"/>
          <w:sz w:val="24"/>
          <w:szCs w:val="24"/>
          <w:highlight w:val="none"/>
          <w14:textFill>
            <w14:solidFill>
              <w14:schemeClr w14:val="tx1"/>
            </w14:solidFill>
          </w14:textFill>
        </w:rPr>
        <w:t>出范围部分的修复费用由发包人承担。</w:t>
      </w:r>
    </w:p>
    <w:p w14:paraId="14084A1A">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15.4.5 承包人出入权</w:t>
      </w:r>
    </w:p>
    <w:p w14:paraId="31984416">
      <w:pPr>
        <w:keepNext w:val="0"/>
        <w:keepLines w:val="0"/>
        <w:pageBreakBefore w:val="0"/>
        <w:widowControl w:val="0"/>
        <w:kinsoku/>
        <w:wordWrap/>
        <w:overflowPunct/>
        <w:topLinePunct w:val="0"/>
        <w:autoSpaceDE/>
        <w:autoSpaceDN/>
        <w:bidi w:val="0"/>
        <w:snapToGrid/>
        <w:spacing w:line="360" w:lineRule="auto"/>
        <w:ind w:left="0" w:leftChars="0" w:right="0" w:rightChars="0" w:firstLine="55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在保修期内，为了修复缺陷或损坏，承包人有权出入工程现场，除情况紧急</w:t>
      </w:r>
      <w:r>
        <w:rPr>
          <w:rFonts w:hint="eastAsia" w:ascii="仿宋" w:hAnsi="仿宋" w:eastAsia="仿宋" w:cs="仿宋"/>
          <w:color w:val="000000" w:themeColor="text1"/>
          <w:spacing w:val="-4"/>
          <w:sz w:val="24"/>
          <w:szCs w:val="24"/>
          <w:highlight w:val="none"/>
          <w14:textFill>
            <w14:solidFill>
              <w14:schemeClr w14:val="tx1"/>
            </w14:solidFill>
          </w14:textFill>
        </w:rPr>
        <w:t>必须立即修复缺陷或损坏外，承包人应提前</w:t>
      </w:r>
      <w:r>
        <w:rPr>
          <w:rFonts w:hint="eastAsia" w:ascii="仿宋" w:hAnsi="仿宋" w:eastAsia="仿宋" w:cs="仿宋"/>
          <w:color w:val="000000" w:themeColor="text1"/>
          <w:spacing w:val="-5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24</w:t>
      </w:r>
      <w:r>
        <w:rPr>
          <w:rFonts w:hint="eastAsia" w:ascii="仿宋" w:hAnsi="仿宋" w:eastAsia="仿宋" w:cs="仿宋"/>
          <w:color w:val="000000" w:themeColor="text1"/>
          <w:spacing w:val="-5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小时通知发包人进场修复的时间。</w:t>
      </w:r>
      <w:r>
        <w:rPr>
          <w:rFonts w:hint="eastAsia" w:ascii="仿宋" w:hAnsi="仿宋" w:eastAsia="仿宋" w:cs="仿宋"/>
          <w:color w:val="000000" w:themeColor="text1"/>
          <w:sz w:val="24"/>
          <w:szCs w:val="24"/>
          <w:highlight w:val="none"/>
          <w14:textFill>
            <w14:solidFill>
              <w14:schemeClr w14:val="tx1"/>
            </w14:solidFill>
          </w14:textFill>
        </w:rPr>
        <w:t>承包人进入工程现场前应获得发包人同意，且</w:t>
      </w:r>
      <w:r>
        <w:rPr>
          <w:rFonts w:hint="eastAsia" w:ascii="仿宋" w:hAnsi="仿宋" w:eastAsia="仿宋" w:cs="仿宋"/>
          <w:color w:val="000000" w:themeColor="text1"/>
          <w:spacing w:val="-1"/>
          <w:sz w:val="24"/>
          <w:szCs w:val="24"/>
          <w:highlight w:val="none"/>
          <w14:textFill>
            <w14:solidFill>
              <w14:schemeClr w14:val="tx1"/>
            </w14:solidFill>
          </w14:textFill>
        </w:rPr>
        <w:t>不应影响发包人正常的生产经营，</w:t>
      </w:r>
      <w:r>
        <w:rPr>
          <w:rFonts w:hint="eastAsia" w:ascii="仿宋" w:hAnsi="仿宋" w:eastAsia="仿宋" w:cs="仿宋"/>
          <w:color w:val="000000" w:themeColor="text1"/>
          <w:spacing w:val="-2"/>
          <w:sz w:val="24"/>
          <w:szCs w:val="24"/>
          <w:highlight w:val="none"/>
          <w14:textFill>
            <w14:solidFill>
              <w14:schemeClr w14:val="tx1"/>
            </w14:solidFill>
          </w14:textFill>
        </w:rPr>
        <w:t>并应遵守发包人有关保安和保密等规定。</w:t>
      </w:r>
    </w:p>
    <w:p w14:paraId="3E4BCC16">
      <w:pPr>
        <w:keepNext w:val="0"/>
        <w:keepLines w:val="0"/>
        <w:pageBreakBefore w:val="0"/>
        <w:widowControl w:val="0"/>
        <w:kinsoku/>
        <w:wordWrap/>
        <w:overflowPunct/>
        <w:topLinePunct w:val="0"/>
        <w:autoSpaceDE/>
        <w:autoSpaceDN/>
        <w:bidi w:val="0"/>
        <w:snapToGrid/>
        <w:spacing w:line="360" w:lineRule="auto"/>
        <w:ind w:left="0" w:leftChars="0" w:right="0" w:rightChars="0"/>
        <w:outlineLvl w:val="2"/>
        <w:rPr>
          <w:rFonts w:hint="eastAsia" w:ascii="仿宋" w:hAnsi="仿宋" w:eastAsia="仿宋" w:cs="仿宋"/>
          <w:color w:val="000000" w:themeColor="text1"/>
          <w:sz w:val="24"/>
          <w:szCs w:val="24"/>
          <w:highlight w:val="none"/>
          <w14:textFill>
            <w14:solidFill>
              <w14:schemeClr w14:val="tx1"/>
            </w14:solidFill>
          </w14:textFill>
        </w:rPr>
      </w:pPr>
      <w:bookmarkStart w:id="119" w:name="bookmark130"/>
      <w:bookmarkEnd w:id="119"/>
      <w:bookmarkStart w:id="120" w:name="_Toc28614"/>
      <w:r>
        <w:rPr>
          <w:rFonts w:hint="eastAsia" w:ascii="仿宋" w:hAnsi="仿宋" w:eastAsia="仿宋" w:cs="仿宋"/>
          <w:color w:val="000000" w:themeColor="text1"/>
          <w:spacing w:val="-8"/>
          <w:sz w:val="24"/>
          <w:szCs w:val="24"/>
          <w:highlight w:val="none"/>
          <w14:textFill>
            <w14:solidFill>
              <w14:schemeClr w14:val="tx1"/>
            </w14:solidFill>
          </w14:textFill>
        </w:rPr>
        <w:t>16.</w:t>
      </w:r>
      <w:r>
        <w:rPr>
          <w:rFonts w:hint="eastAsia" w:ascii="仿宋" w:hAnsi="仿宋" w:eastAsia="仿宋" w:cs="仿宋"/>
          <w:color w:val="000000" w:themeColor="text1"/>
          <w:spacing w:val="1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14:textFill>
            <w14:solidFill>
              <w14:schemeClr w14:val="tx1"/>
            </w14:solidFill>
          </w14:textFill>
        </w:rPr>
        <w:t>违约</w:t>
      </w:r>
      <w:bookmarkEnd w:id="120"/>
    </w:p>
    <w:p w14:paraId="677FB03F">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16.1</w:t>
      </w:r>
      <w:r>
        <w:rPr>
          <w:rFonts w:hint="eastAsia" w:ascii="仿宋" w:hAnsi="仿宋" w:eastAsia="仿宋" w:cs="仿宋"/>
          <w:color w:val="000000" w:themeColor="text1"/>
          <w:spacing w:val="2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发包人违约</w:t>
      </w:r>
    </w:p>
    <w:p w14:paraId="23CA969C">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16.1.1 发包人违约的情形</w:t>
      </w:r>
    </w:p>
    <w:p w14:paraId="4F826482">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在合同履行过程中发生的下列情形，属于发包人违约：</w:t>
      </w:r>
    </w:p>
    <w:p w14:paraId="4292C180">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（1）因发包人原因未能在计划开工日期前7天内下达开工通知的；</w:t>
      </w:r>
    </w:p>
    <w:p w14:paraId="4F6EBD7A">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（2）因发包人原因未能按合同约定支付合同价款的；</w:t>
      </w:r>
    </w:p>
    <w:p w14:paraId="0B2B20BC">
      <w:pPr>
        <w:keepNext w:val="0"/>
        <w:keepLines w:val="0"/>
        <w:pageBreakBefore w:val="0"/>
        <w:widowControl w:val="0"/>
        <w:kinsoku/>
        <w:wordWrap/>
        <w:overflowPunct/>
        <w:topLinePunct w:val="0"/>
        <w:autoSpaceDE/>
        <w:autoSpaceDN/>
        <w:bidi w:val="0"/>
        <w:snapToGrid/>
        <w:spacing w:line="360" w:lineRule="auto"/>
        <w:ind w:left="0" w:leftChars="0" w:right="0" w:rightChars="0" w:firstLine="54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（3）发包人违反第10.1款〔变更的范围〕第（2）项约定，自行实施被取消</w:t>
      </w:r>
      <w:r>
        <w:rPr>
          <w:rFonts w:hint="eastAsia" w:ascii="仿宋" w:hAnsi="仿宋" w:eastAsia="仿宋" w:cs="仿宋"/>
          <w:color w:val="000000" w:themeColor="text1"/>
          <w:spacing w:val="-7"/>
          <w:sz w:val="24"/>
          <w:szCs w:val="24"/>
          <w:highlight w:val="none"/>
          <w14:textFill>
            <w14:solidFill>
              <w14:schemeClr w14:val="tx1"/>
            </w14:solidFill>
          </w14:textFill>
        </w:rPr>
        <w:t>的工作或转由他人实施的；</w:t>
      </w:r>
    </w:p>
    <w:p w14:paraId="688DCD7A">
      <w:pPr>
        <w:keepNext w:val="0"/>
        <w:keepLines w:val="0"/>
        <w:pageBreakBefore w:val="0"/>
        <w:widowControl w:val="0"/>
        <w:kinsoku/>
        <w:wordWrap/>
        <w:overflowPunct/>
        <w:topLinePunct w:val="0"/>
        <w:autoSpaceDE/>
        <w:autoSpaceDN/>
        <w:bidi w:val="0"/>
        <w:snapToGrid/>
        <w:spacing w:line="360" w:lineRule="auto"/>
        <w:ind w:left="0" w:leftChars="0" w:right="0" w:rightChars="0" w:firstLine="56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（4）发包人提供的材料、工程设备的规格、数量或质量不符合合同约定，</w:t>
      </w:r>
      <w:r>
        <w:rPr>
          <w:rFonts w:hint="eastAsia" w:ascii="仿宋" w:hAnsi="仿宋" w:eastAsia="仿宋" w:cs="仿宋"/>
          <w:color w:val="000000" w:themeColor="text1"/>
          <w:spacing w:val="1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或因发包人原因导致交货日期延误或交货地点</w:t>
      </w:r>
      <w:r>
        <w:rPr>
          <w:rFonts w:hint="eastAsia" w:ascii="仿宋" w:hAnsi="仿宋" w:eastAsia="仿宋" w:cs="仿宋"/>
          <w:color w:val="000000" w:themeColor="text1"/>
          <w:spacing w:val="-3"/>
          <w:sz w:val="24"/>
          <w:szCs w:val="24"/>
          <w:highlight w:val="none"/>
          <w14:textFill>
            <w14:solidFill>
              <w14:schemeClr w14:val="tx1"/>
            </w14:solidFill>
          </w14:textFill>
        </w:rPr>
        <w:t>变更等情况的；</w:t>
      </w:r>
    </w:p>
    <w:p w14:paraId="3D127367">
      <w:pPr>
        <w:keepNext w:val="0"/>
        <w:keepLines w:val="0"/>
        <w:pageBreakBefore w:val="0"/>
        <w:widowControl w:val="0"/>
        <w:kinsoku/>
        <w:wordWrap/>
        <w:overflowPunct/>
        <w:topLinePunct w:val="0"/>
        <w:autoSpaceDE/>
        <w:autoSpaceDN/>
        <w:bidi w:val="0"/>
        <w:snapToGrid/>
        <w:spacing w:line="360" w:lineRule="auto"/>
        <w:ind w:left="0" w:leftChars="0" w:right="0" w:rightChars="0" w:firstLine="564"/>
        <w:rPr>
          <w:rFonts w:hint="eastAsia" w:ascii="仿宋" w:hAnsi="仿宋" w:eastAsia="仿宋" w:cs="仿宋"/>
          <w:color w:val="000000" w:themeColor="text1"/>
          <w:spacing w:val="-3"/>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（5）因发包人违反合同约定造成暂停施工的；</w:t>
      </w:r>
    </w:p>
    <w:p w14:paraId="38A54EC2">
      <w:pPr>
        <w:keepNext w:val="0"/>
        <w:keepLines w:val="0"/>
        <w:pageBreakBefore w:val="0"/>
        <w:widowControl w:val="0"/>
        <w:kinsoku/>
        <w:wordWrap/>
        <w:overflowPunct/>
        <w:topLinePunct w:val="0"/>
        <w:autoSpaceDE/>
        <w:autoSpaceDN/>
        <w:bidi w:val="0"/>
        <w:snapToGrid/>
        <w:spacing w:line="360" w:lineRule="auto"/>
        <w:ind w:left="0" w:leftChars="0" w:right="0" w:rightChars="0" w:firstLine="564"/>
        <w:rPr>
          <w:rFonts w:hint="eastAsia" w:ascii="仿宋" w:hAnsi="仿宋" w:eastAsia="仿宋" w:cs="仿宋"/>
          <w:color w:val="000000" w:themeColor="text1"/>
          <w:spacing w:val="-3"/>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（6）发包人无正当理由没有在约定期限内发出复工指示，导致承包人无法复工的；</w:t>
      </w:r>
    </w:p>
    <w:p w14:paraId="60BF7F20">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（7）发包人明确表示或者以其行为表明不履行合同主要义务的；</w:t>
      </w:r>
    </w:p>
    <w:p w14:paraId="4F19BA93">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（8）发包人未能按照合同约定履行其他义务的。</w:t>
      </w:r>
    </w:p>
    <w:p w14:paraId="4C4F5470">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发包人发生除本项第（7）目以外的违约情况时，承包人可向发包人发出通</w:t>
      </w:r>
      <w:r>
        <w:rPr>
          <w:rFonts w:hint="eastAsia" w:ascii="仿宋" w:hAnsi="仿宋" w:eastAsia="仿宋" w:cs="仿宋"/>
          <w:color w:val="000000" w:themeColor="text1"/>
          <w:spacing w:val="-2"/>
          <w:sz w:val="24"/>
          <w:szCs w:val="24"/>
          <w:highlight w:val="none"/>
          <w14:textFill>
            <w14:solidFill>
              <w14:schemeClr w14:val="tx1"/>
            </w14:solidFill>
          </w14:textFill>
        </w:rPr>
        <w:t>知，要求发包人采取有效措施纠正违约行为。发包人收到承包人通知后28天内仍</w:t>
      </w:r>
      <w:r>
        <w:rPr>
          <w:rFonts w:hint="eastAsia" w:ascii="仿宋" w:hAnsi="仿宋" w:eastAsia="仿宋" w:cs="仿宋"/>
          <w:color w:val="000000" w:themeColor="text1"/>
          <w:spacing w:val="-1"/>
          <w:sz w:val="24"/>
          <w:szCs w:val="24"/>
          <w:highlight w:val="none"/>
          <w14:textFill>
            <w14:solidFill>
              <w14:schemeClr w14:val="tx1"/>
            </w14:solidFill>
          </w14:textFill>
        </w:rPr>
        <w:t>不纠正违约行为的，承包人有权暂停相应部位工程施工，并通知监理人。</w:t>
      </w:r>
    </w:p>
    <w:p w14:paraId="634D1C12">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16.1.2 发包人违约的责任</w:t>
      </w:r>
    </w:p>
    <w:p w14:paraId="72FB3418">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发包人应承担因其违约给承包人增加的费用和（或）延误的</w:t>
      </w:r>
      <w:r>
        <w:rPr>
          <w:rFonts w:hint="eastAsia" w:ascii="仿宋" w:hAnsi="仿宋" w:eastAsia="仿宋" w:cs="仿宋"/>
          <w:color w:val="000000" w:themeColor="text1"/>
          <w:spacing w:val="-3"/>
          <w:sz w:val="24"/>
          <w:szCs w:val="24"/>
          <w:highlight w:val="none"/>
          <w14:textFill>
            <w14:solidFill>
              <w14:schemeClr w14:val="tx1"/>
            </w14:solidFill>
          </w14:textFill>
        </w:rPr>
        <w:t>工期，并支付承</w:t>
      </w:r>
      <w:r>
        <w:rPr>
          <w:rFonts w:hint="eastAsia" w:ascii="仿宋" w:hAnsi="仿宋" w:eastAsia="仿宋" w:cs="仿宋"/>
          <w:color w:val="000000" w:themeColor="text1"/>
          <w:spacing w:val="-6"/>
          <w:sz w:val="24"/>
          <w:szCs w:val="24"/>
          <w:highlight w:val="none"/>
          <w14:textFill>
            <w14:solidFill>
              <w14:schemeClr w14:val="tx1"/>
            </w14:solidFill>
          </w14:textFill>
        </w:rPr>
        <w:t>包人合理的利润。此外，合同当事人可在专用合同条款中另行约定发包人违约责</w:t>
      </w:r>
      <w:r>
        <w:rPr>
          <w:rFonts w:hint="eastAsia" w:ascii="仿宋" w:hAnsi="仿宋" w:eastAsia="仿宋" w:cs="仿宋"/>
          <w:color w:val="000000" w:themeColor="text1"/>
          <w:spacing w:val="-4"/>
          <w:sz w:val="24"/>
          <w:szCs w:val="24"/>
          <w:highlight w:val="none"/>
          <w14:textFill>
            <w14:solidFill>
              <w14:schemeClr w14:val="tx1"/>
            </w14:solidFill>
          </w14:textFill>
        </w:rPr>
        <w:t>任的承担方式和计算方法。</w:t>
      </w:r>
    </w:p>
    <w:p w14:paraId="5C208361">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16.1.3</w:t>
      </w:r>
      <w:r>
        <w:rPr>
          <w:rFonts w:hint="eastAsia" w:ascii="仿宋" w:hAnsi="仿宋" w:eastAsia="仿宋" w:cs="仿宋"/>
          <w:color w:val="000000" w:themeColor="text1"/>
          <w:spacing w:val="3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因发包人违约解除合同</w:t>
      </w:r>
    </w:p>
    <w:p w14:paraId="09F96878">
      <w:pPr>
        <w:keepNext w:val="0"/>
        <w:keepLines w:val="0"/>
        <w:pageBreakBefore w:val="0"/>
        <w:widowControl w:val="0"/>
        <w:kinsoku/>
        <w:wordWrap/>
        <w:overflowPunct/>
        <w:topLinePunct w:val="0"/>
        <w:autoSpaceDE/>
        <w:autoSpaceDN/>
        <w:bidi w:val="0"/>
        <w:snapToGrid/>
        <w:spacing w:line="360" w:lineRule="auto"/>
        <w:ind w:left="0" w:leftChars="0" w:right="0" w:rightChars="0" w:firstLine="57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除专用合同条款另有约定外，承包人按第16.1.1项〔发</w:t>
      </w:r>
      <w:r>
        <w:rPr>
          <w:rFonts w:hint="eastAsia" w:ascii="仿宋" w:hAnsi="仿宋" w:eastAsia="仿宋" w:cs="仿宋"/>
          <w:color w:val="000000" w:themeColor="text1"/>
          <w:spacing w:val="-3"/>
          <w:sz w:val="24"/>
          <w:szCs w:val="24"/>
          <w:highlight w:val="none"/>
          <w14:textFill>
            <w14:solidFill>
              <w14:schemeClr w14:val="tx1"/>
            </w14:solidFill>
          </w14:textFill>
        </w:rPr>
        <w:t>包人违约的情形〕约</w:t>
      </w:r>
      <w:r>
        <w:rPr>
          <w:rFonts w:hint="eastAsia" w:ascii="仿宋" w:hAnsi="仿宋" w:eastAsia="仿宋" w:cs="仿宋"/>
          <w:color w:val="000000" w:themeColor="text1"/>
          <w:spacing w:val="-2"/>
          <w:sz w:val="24"/>
          <w:szCs w:val="24"/>
          <w:highlight w:val="none"/>
          <w14:textFill>
            <w14:solidFill>
              <w14:schemeClr w14:val="tx1"/>
            </w14:solidFill>
          </w14:textFill>
        </w:rPr>
        <w:t>定暂停施工满28天后，发包人仍不纠正其违约行为并致使合同目的不能实现的，或出现第16.1.1项〔发包人违约的情形〕第（7）</w:t>
      </w:r>
      <w:r>
        <w:rPr>
          <w:rFonts w:hint="eastAsia" w:ascii="仿宋" w:hAnsi="仿宋" w:eastAsia="仿宋" w:cs="仿宋"/>
          <w:color w:val="000000" w:themeColor="text1"/>
          <w:spacing w:val="-7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目约定的违约情况，承包人有</w:t>
      </w:r>
      <w:r>
        <w:rPr>
          <w:rFonts w:hint="eastAsia" w:ascii="仿宋" w:hAnsi="仿宋" w:eastAsia="仿宋" w:cs="仿宋"/>
          <w:color w:val="000000" w:themeColor="text1"/>
          <w:sz w:val="24"/>
          <w:szCs w:val="24"/>
          <w:highlight w:val="none"/>
          <w14:textFill>
            <w14:solidFill>
              <w14:schemeClr w14:val="tx1"/>
            </w14:solidFill>
          </w14:textFill>
        </w:rPr>
        <w:t>权解除合同，发包人应承担由此增加的费用，</w:t>
      </w:r>
      <w:r>
        <w:rPr>
          <w:rFonts w:hint="eastAsia" w:ascii="仿宋" w:hAnsi="仿宋" w:eastAsia="仿宋" w:cs="仿宋"/>
          <w:color w:val="000000" w:themeColor="text1"/>
          <w:spacing w:val="-1"/>
          <w:sz w:val="24"/>
          <w:szCs w:val="24"/>
          <w:highlight w:val="none"/>
          <w14:textFill>
            <w14:solidFill>
              <w14:schemeClr w14:val="tx1"/>
            </w14:solidFill>
          </w14:textFill>
        </w:rPr>
        <w:t>并支付承包人合理的利润。</w:t>
      </w:r>
    </w:p>
    <w:p w14:paraId="60081B63">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16.1.4 因发包人违约解除合同后的付款</w:t>
      </w:r>
    </w:p>
    <w:p w14:paraId="74D8D2AB">
      <w:pPr>
        <w:keepNext w:val="0"/>
        <w:keepLines w:val="0"/>
        <w:pageBreakBefore w:val="0"/>
        <w:widowControl w:val="0"/>
        <w:kinsoku/>
        <w:wordWrap/>
        <w:overflowPunct/>
        <w:topLinePunct w:val="0"/>
        <w:autoSpaceDE/>
        <w:autoSpaceDN/>
        <w:bidi w:val="0"/>
        <w:snapToGrid/>
        <w:spacing w:line="360" w:lineRule="auto"/>
        <w:ind w:left="0" w:leftChars="0" w:right="0" w:rightChars="0" w:firstLine="55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承包人按照本款约定解除合同的，发包人应在解除合同</w:t>
      </w:r>
      <w:r>
        <w:rPr>
          <w:rFonts w:hint="eastAsia" w:ascii="仿宋" w:hAnsi="仿宋" w:eastAsia="仿宋" w:cs="仿宋"/>
          <w:color w:val="000000" w:themeColor="text1"/>
          <w:spacing w:val="-2"/>
          <w:sz w:val="24"/>
          <w:szCs w:val="24"/>
          <w:highlight w:val="none"/>
          <w14:textFill>
            <w14:solidFill>
              <w14:schemeClr w14:val="tx1"/>
            </w14:solidFill>
          </w14:textFill>
        </w:rPr>
        <w:t>后</w:t>
      </w:r>
      <w:r>
        <w:rPr>
          <w:rFonts w:hint="eastAsia" w:ascii="仿宋" w:hAnsi="仿宋" w:eastAsia="仿宋" w:cs="仿宋"/>
          <w:color w:val="000000" w:themeColor="text1"/>
          <w:spacing w:val="-5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28</w:t>
      </w:r>
      <w:r>
        <w:rPr>
          <w:rFonts w:hint="eastAsia" w:ascii="仿宋" w:hAnsi="仿宋" w:eastAsia="仿宋" w:cs="仿宋"/>
          <w:color w:val="000000" w:themeColor="text1"/>
          <w:spacing w:val="-5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天内支付下列</w:t>
      </w:r>
      <w:r>
        <w:rPr>
          <w:rFonts w:hint="eastAsia" w:ascii="仿宋" w:hAnsi="仿宋" w:eastAsia="仿宋" w:cs="仿宋"/>
          <w:color w:val="000000" w:themeColor="text1"/>
          <w:spacing w:val="-5"/>
          <w:sz w:val="24"/>
          <w:szCs w:val="24"/>
          <w:highlight w:val="none"/>
          <w14:textFill>
            <w14:solidFill>
              <w14:schemeClr w14:val="tx1"/>
            </w14:solidFill>
          </w14:textFill>
        </w:rPr>
        <w:t>款项，并解除履约担保：</w:t>
      </w:r>
    </w:p>
    <w:p w14:paraId="6941F30D">
      <w:pPr>
        <w:keepNext w:val="0"/>
        <w:keepLines w:val="0"/>
        <w:pageBreakBefore w:val="0"/>
        <w:widowControl w:val="0"/>
        <w:numPr>
          <w:ilvl w:val="0"/>
          <w:numId w:val="2"/>
        </w:numPr>
        <w:kinsoku/>
        <w:wordWrap/>
        <w:overflowPunct/>
        <w:topLinePunct w:val="0"/>
        <w:autoSpaceDE/>
        <w:autoSpaceDN/>
        <w:bidi w:val="0"/>
        <w:snapToGrid/>
        <w:spacing w:line="360" w:lineRule="auto"/>
        <w:ind w:right="0" w:rightChars="0" w:firstLine="476" w:firstLineChars="200"/>
        <w:rPr>
          <w:rFonts w:hint="eastAsia" w:ascii="仿宋" w:hAnsi="仿宋" w:eastAsia="仿宋" w:cs="仿宋"/>
          <w:color w:val="000000" w:themeColor="text1"/>
          <w:spacing w:val="-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合同解除前所完成工作的价款；</w:t>
      </w:r>
    </w:p>
    <w:p w14:paraId="5EA3BF80">
      <w:pPr>
        <w:keepNext w:val="0"/>
        <w:keepLines w:val="0"/>
        <w:pageBreakBefore w:val="0"/>
        <w:widowControl w:val="0"/>
        <w:numPr>
          <w:ilvl w:val="0"/>
          <w:numId w:val="0"/>
        </w:numPr>
        <w:kinsoku/>
        <w:wordWrap/>
        <w:overflowPunct/>
        <w:topLinePunct w:val="0"/>
        <w:autoSpaceDE/>
        <w:autoSpaceDN/>
        <w:bidi w:val="0"/>
        <w:snapToGrid/>
        <w:spacing w:line="360" w:lineRule="auto"/>
        <w:ind w:right="0" w:rightChars="0" w:firstLine="464"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（2）承包人为工程施工订购并已付款的材料、工程设备和其他</w:t>
      </w:r>
      <w:r>
        <w:rPr>
          <w:rFonts w:hint="eastAsia" w:ascii="仿宋" w:hAnsi="仿宋" w:eastAsia="仿宋" w:cs="仿宋"/>
          <w:color w:val="000000" w:themeColor="text1"/>
          <w:spacing w:val="-5"/>
          <w:sz w:val="24"/>
          <w:szCs w:val="24"/>
          <w:highlight w:val="none"/>
          <w14:textFill>
            <w14:solidFill>
              <w14:schemeClr w14:val="tx1"/>
            </w14:solidFill>
          </w14:textFill>
        </w:rPr>
        <w:t>物品的价款；</w:t>
      </w:r>
    </w:p>
    <w:p w14:paraId="43CF3462">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（3）承包人撤离施工现场以及遣散承包人人员的款项；</w:t>
      </w:r>
    </w:p>
    <w:p w14:paraId="1C9647D3">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（4）按照合同约定在合同解除前应支付的违约金；</w:t>
      </w:r>
    </w:p>
    <w:p w14:paraId="771B6974">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（5）按照合同约定应当支付给承包人的其他款项；</w:t>
      </w:r>
    </w:p>
    <w:p w14:paraId="392C06CF">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（6）按照合同约定应退还的质量保证金；</w:t>
      </w:r>
    </w:p>
    <w:p w14:paraId="3C8CF760">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（7）因解除合同给承包人造成的损失。</w:t>
      </w:r>
    </w:p>
    <w:p w14:paraId="5C99D0ED">
      <w:pPr>
        <w:keepNext w:val="0"/>
        <w:keepLines w:val="0"/>
        <w:pageBreakBefore w:val="0"/>
        <w:widowControl w:val="0"/>
        <w:kinsoku/>
        <w:wordWrap/>
        <w:overflowPunct/>
        <w:topLinePunct w:val="0"/>
        <w:autoSpaceDE/>
        <w:autoSpaceDN/>
        <w:bidi w:val="0"/>
        <w:snapToGrid/>
        <w:spacing w:line="360" w:lineRule="auto"/>
        <w:ind w:left="0" w:leftChars="0" w:right="0" w:rightChars="0" w:firstLine="53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合同当事人未能就解除合同后的结清达成一致的，按照第</w:t>
      </w:r>
      <w:r>
        <w:rPr>
          <w:rFonts w:hint="eastAsia" w:ascii="仿宋" w:hAnsi="仿宋" w:eastAsia="仿宋" w:cs="仿宋"/>
          <w:color w:val="000000" w:themeColor="text1"/>
          <w:spacing w:val="-5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20</w:t>
      </w:r>
      <w:r>
        <w:rPr>
          <w:rFonts w:hint="eastAsia" w:ascii="仿宋" w:hAnsi="仿宋" w:eastAsia="仿宋" w:cs="仿宋"/>
          <w:color w:val="000000" w:themeColor="text1"/>
          <w:spacing w:val="-5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条〔</w:t>
      </w:r>
      <w:r>
        <w:rPr>
          <w:rFonts w:hint="eastAsia" w:ascii="仿宋" w:hAnsi="仿宋" w:eastAsia="仿宋" w:cs="仿宋"/>
          <w:color w:val="000000" w:themeColor="text1"/>
          <w:spacing w:val="-5"/>
          <w:sz w:val="24"/>
          <w:szCs w:val="24"/>
          <w:highlight w:val="none"/>
          <w14:textFill>
            <w14:solidFill>
              <w14:schemeClr w14:val="tx1"/>
            </w14:solidFill>
          </w14:textFill>
        </w:rPr>
        <w:t>争议解决〕</w:t>
      </w:r>
      <w:r>
        <w:rPr>
          <w:rFonts w:hint="eastAsia" w:ascii="仿宋" w:hAnsi="仿宋" w:eastAsia="仿宋" w:cs="仿宋"/>
          <w:color w:val="000000" w:themeColor="text1"/>
          <w:spacing w:val="-9"/>
          <w:sz w:val="24"/>
          <w:szCs w:val="24"/>
          <w:highlight w:val="none"/>
          <w14:textFill>
            <w14:solidFill>
              <w14:schemeClr w14:val="tx1"/>
            </w14:solidFill>
          </w14:textFill>
        </w:rPr>
        <w:t>的约定处理。</w:t>
      </w:r>
    </w:p>
    <w:p w14:paraId="02D3DBE9">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承包人应妥善做好已完工程和与工程有关的已购材料、工程设备的保</w:t>
      </w:r>
      <w:r>
        <w:rPr>
          <w:rFonts w:hint="eastAsia" w:ascii="仿宋" w:hAnsi="仿宋" w:eastAsia="仿宋" w:cs="仿宋"/>
          <w:color w:val="000000" w:themeColor="text1"/>
          <w:spacing w:val="-3"/>
          <w:sz w:val="24"/>
          <w:szCs w:val="24"/>
          <w:highlight w:val="none"/>
          <w14:textFill>
            <w14:solidFill>
              <w14:schemeClr w14:val="tx1"/>
            </w14:solidFill>
          </w14:textFill>
        </w:rPr>
        <w:t>护和移</w:t>
      </w:r>
      <w:r>
        <w:rPr>
          <w:rFonts w:hint="eastAsia" w:ascii="仿宋" w:hAnsi="仿宋" w:eastAsia="仿宋" w:cs="仿宋"/>
          <w:color w:val="000000" w:themeColor="text1"/>
          <w:spacing w:val="-2"/>
          <w:sz w:val="24"/>
          <w:szCs w:val="24"/>
          <w:highlight w:val="none"/>
          <w14:textFill>
            <w14:solidFill>
              <w14:schemeClr w14:val="tx1"/>
            </w14:solidFill>
          </w14:textFill>
        </w:rPr>
        <w:t>交工作，并将施工设备和人员撤出施工现场，发包人应为承包人撤出提供必要条</w:t>
      </w:r>
      <w:r>
        <w:rPr>
          <w:rFonts w:hint="eastAsia" w:ascii="仿宋" w:hAnsi="仿宋" w:eastAsia="仿宋" w:cs="仿宋"/>
          <w:color w:val="000000" w:themeColor="text1"/>
          <w:spacing w:val="-13"/>
          <w:sz w:val="24"/>
          <w:szCs w:val="24"/>
          <w:highlight w:val="none"/>
          <w14:textFill>
            <w14:solidFill>
              <w14:schemeClr w14:val="tx1"/>
            </w14:solidFill>
          </w14:textFill>
        </w:rPr>
        <w:t>件。</w:t>
      </w:r>
    </w:p>
    <w:p w14:paraId="2BAC8065">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16.2 承包人违约</w:t>
      </w:r>
    </w:p>
    <w:p w14:paraId="0965C555">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16.2.1 承包人违约的情形</w:t>
      </w:r>
    </w:p>
    <w:p w14:paraId="654A6522">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在合同履行过程中发生的下列情形，属于承包人违约：</w:t>
      </w:r>
    </w:p>
    <w:p w14:paraId="5D86946B">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（1）承包人违反合同约定进行转包或违法</w:t>
      </w:r>
      <w:r>
        <w:rPr>
          <w:rFonts w:hint="eastAsia" w:ascii="仿宋" w:hAnsi="仿宋" w:eastAsia="仿宋" w:cs="仿宋"/>
          <w:color w:val="000000" w:themeColor="text1"/>
          <w:spacing w:val="-3"/>
          <w:sz w:val="24"/>
          <w:szCs w:val="24"/>
          <w:highlight w:val="none"/>
          <w14:textFill>
            <w14:solidFill>
              <w14:schemeClr w14:val="tx1"/>
            </w14:solidFill>
          </w14:textFill>
        </w:rPr>
        <w:t>分包的；</w:t>
      </w:r>
    </w:p>
    <w:p w14:paraId="436D303C">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（2）承包人违反合同约定采购和使用不合格的材料和工程设备的；</w:t>
      </w:r>
    </w:p>
    <w:p w14:paraId="0901543F">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（3）因承包人原因导致工程质量不符合合同要求的；</w:t>
      </w:r>
    </w:p>
    <w:p w14:paraId="30ED710C">
      <w:pPr>
        <w:keepNext w:val="0"/>
        <w:keepLines w:val="0"/>
        <w:pageBreakBefore w:val="0"/>
        <w:widowControl w:val="0"/>
        <w:kinsoku/>
        <w:wordWrap/>
        <w:overflowPunct/>
        <w:topLinePunct w:val="0"/>
        <w:autoSpaceDE/>
        <w:autoSpaceDN/>
        <w:bidi w:val="0"/>
        <w:snapToGrid/>
        <w:spacing w:line="360" w:lineRule="auto"/>
        <w:ind w:left="0" w:leftChars="0" w:right="0" w:rightChars="0" w:firstLine="56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（4）承包人违反第8.9款〔材料与设备专用要求〕的约定，未经批</w:t>
      </w:r>
      <w:r>
        <w:rPr>
          <w:rFonts w:hint="eastAsia" w:ascii="仿宋" w:hAnsi="仿宋" w:eastAsia="仿宋" w:cs="仿宋"/>
          <w:color w:val="000000" w:themeColor="text1"/>
          <w:spacing w:val="-3"/>
          <w:sz w:val="24"/>
          <w:szCs w:val="24"/>
          <w:highlight w:val="none"/>
          <w14:textFill>
            <w14:solidFill>
              <w14:schemeClr w14:val="tx1"/>
            </w14:solidFill>
          </w14:textFill>
        </w:rPr>
        <w:t>准，私自</w:t>
      </w:r>
      <w:r>
        <w:rPr>
          <w:rFonts w:hint="eastAsia" w:ascii="仿宋" w:hAnsi="仿宋" w:eastAsia="仿宋" w:cs="仿宋"/>
          <w:color w:val="000000" w:themeColor="text1"/>
          <w:spacing w:val="-2"/>
          <w:sz w:val="24"/>
          <w:szCs w:val="24"/>
          <w:highlight w:val="none"/>
          <w14:textFill>
            <w14:solidFill>
              <w14:schemeClr w14:val="tx1"/>
            </w14:solidFill>
          </w14:textFill>
        </w:rPr>
        <w:t>将已按照合同约定进入施工现场的材料或设备撤离施工</w:t>
      </w:r>
      <w:r>
        <w:rPr>
          <w:rFonts w:hint="eastAsia" w:ascii="仿宋" w:hAnsi="仿宋" w:eastAsia="仿宋" w:cs="仿宋"/>
          <w:color w:val="000000" w:themeColor="text1"/>
          <w:spacing w:val="-3"/>
          <w:sz w:val="24"/>
          <w:szCs w:val="24"/>
          <w:highlight w:val="none"/>
          <w14:textFill>
            <w14:solidFill>
              <w14:schemeClr w14:val="tx1"/>
            </w14:solidFill>
          </w14:textFill>
        </w:rPr>
        <w:t>现场的；</w:t>
      </w:r>
    </w:p>
    <w:p w14:paraId="2C3D25F1">
      <w:pPr>
        <w:keepNext w:val="0"/>
        <w:keepLines w:val="0"/>
        <w:pageBreakBefore w:val="0"/>
        <w:widowControl w:val="0"/>
        <w:kinsoku/>
        <w:wordWrap/>
        <w:overflowPunct/>
        <w:topLinePunct w:val="0"/>
        <w:autoSpaceDE/>
        <w:autoSpaceDN/>
        <w:bidi w:val="0"/>
        <w:snapToGrid/>
        <w:spacing w:line="360" w:lineRule="auto"/>
        <w:ind w:left="0" w:leftChars="0" w:right="0" w:rightChars="0" w:firstLine="54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（5）承包人未能按施工进度计划及时完成合同约定的工作，造成工期</w:t>
      </w:r>
      <w:r>
        <w:rPr>
          <w:rFonts w:hint="eastAsia" w:ascii="仿宋" w:hAnsi="仿宋" w:eastAsia="仿宋" w:cs="仿宋"/>
          <w:color w:val="000000" w:themeColor="text1"/>
          <w:spacing w:val="-2"/>
          <w:sz w:val="24"/>
          <w:szCs w:val="24"/>
          <w:highlight w:val="none"/>
          <w14:textFill>
            <w14:solidFill>
              <w14:schemeClr w14:val="tx1"/>
            </w14:solidFill>
          </w14:textFill>
        </w:rPr>
        <w:t>延误</w:t>
      </w:r>
      <w:r>
        <w:rPr>
          <w:rFonts w:hint="eastAsia" w:ascii="仿宋" w:hAnsi="仿宋" w:eastAsia="仿宋" w:cs="仿宋"/>
          <w:color w:val="000000" w:themeColor="text1"/>
          <w:spacing w:val="-25"/>
          <w:sz w:val="24"/>
          <w:szCs w:val="24"/>
          <w:highlight w:val="none"/>
          <w14:textFill>
            <w14:solidFill>
              <w14:schemeClr w14:val="tx1"/>
            </w14:solidFill>
          </w14:textFill>
        </w:rPr>
        <w:t>的；</w:t>
      </w:r>
    </w:p>
    <w:p w14:paraId="33EA6398">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（6）承包人在缺陷责任期及保修期内，未能在合理期限对工程缺陷进行修</w:t>
      </w:r>
      <w:r>
        <w:rPr>
          <w:rFonts w:hint="eastAsia" w:ascii="仿宋" w:hAnsi="仿宋" w:eastAsia="仿宋" w:cs="仿宋"/>
          <w:color w:val="000000" w:themeColor="text1"/>
          <w:spacing w:val="-2"/>
          <w:sz w:val="24"/>
          <w:szCs w:val="24"/>
          <w:highlight w:val="none"/>
          <w14:textFill>
            <w14:solidFill>
              <w14:schemeClr w14:val="tx1"/>
            </w14:solidFill>
          </w14:textFill>
        </w:rPr>
        <w:t>复，或拒绝按发包人要求进行修复的；</w:t>
      </w:r>
    </w:p>
    <w:p w14:paraId="3001BCD6">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（7）承包人明确表示或者以其行为表明不履行合同主要义务的；</w:t>
      </w:r>
    </w:p>
    <w:p w14:paraId="0F2695AD">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（8）承包人未能按照合同约定履行其他义务的。</w:t>
      </w:r>
    </w:p>
    <w:p w14:paraId="739AFAA9">
      <w:pPr>
        <w:keepNext w:val="0"/>
        <w:keepLines w:val="0"/>
        <w:pageBreakBefore w:val="0"/>
        <w:widowControl w:val="0"/>
        <w:kinsoku/>
        <w:wordWrap/>
        <w:overflowPunct/>
        <w:topLinePunct w:val="0"/>
        <w:autoSpaceDE/>
        <w:autoSpaceDN/>
        <w:bidi w:val="0"/>
        <w:snapToGrid/>
        <w:spacing w:line="360" w:lineRule="auto"/>
        <w:ind w:left="0" w:leftChars="0" w:right="0" w:rightChars="0" w:firstLine="5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承包人发生除本项第（7）目约定以外的其他违约情况时，监理人可向承包人发出整改通知，要求其在指定的期限内改正。</w:t>
      </w:r>
    </w:p>
    <w:p w14:paraId="10356F33">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16.2.2 承包人违约的责任</w:t>
      </w:r>
    </w:p>
    <w:p w14:paraId="225BC1EB">
      <w:pPr>
        <w:keepNext w:val="0"/>
        <w:keepLines w:val="0"/>
        <w:pageBreakBefore w:val="0"/>
        <w:widowControl w:val="0"/>
        <w:kinsoku/>
        <w:wordWrap/>
        <w:overflowPunct/>
        <w:topLinePunct w:val="0"/>
        <w:autoSpaceDE/>
        <w:autoSpaceDN/>
        <w:bidi w:val="0"/>
        <w:snapToGrid/>
        <w:spacing w:line="360" w:lineRule="auto"/>
        <w:ind w:left="0" w:leftChars="0" w:right="0" w:rightChars="0" w:firstLine="54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承包人应承担因其违约行为而增加的费用和（或）延误的工期。此外</w:t>
      </w:r>
      <w:r>
        <w:rPr>
          <w:rFonts w:hint="eastAsia" w:ascii="仿宋" w:hAnsi="仿宋" w:eastAsia="仿宋" w:cs="仿宋"/>
          <w:color w:val="000000" w:themeColor="text1"/>
          <w:spacing w:val="-3"/>
          <w:sz w:val="24"/>
          <w:szCs w:val="24"/>
          <w:highlight w:val="none"/>
          <w14:textFill>
            <w14:solidFill>
              <w14:schemeClr w14:val="tx1"/>
            </w14:solidFill>
          </w14:textFill>
        </w:rPr>
        <w:t>，合同</w:t>
      </w:r>
      <w:r>
        <w:rPr>
          <w:rFonts w:hint="eastAsia" w:ascii="仿宋" w:hAnsi="仿宋" w:eastAsia="仿宋" w:cs="仿宋"/>
          <w:color w:val="000000" w:themeColor="text1"/>
          <w:spacing w:val="-2"/>
          <w:sz w:val="24"/>
          <w:szCs w:val="24"/>
          <w:highlight w:val="none"/>
          <w14:textFill>
            <w14:solidFill>
              <w14:schemeClr w14:val="tx1"/>
            </w14:solidFill>
          </w14:textFill>
        </w:rPr>
        <w:t>当事人可在专用合同条款中另行约定承包人违约责任的承担方式和计算方法。</w:t>
      </w:r>
    </w:p>
    <w:p w14:paraId="476CB396">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16.2.3</w:t>
      </w:r>
      <w:r>
        <w:rPr>
          <w:rFonts w:hint="eastAsia" w:ascii="仿宋" w:hAnsi="仿宋" w:eastAsia="仿宋" w:cs="仿宋"/>
          <w:color w:val="000000" w:themeColor="text1"/>
          <w:spacing w:val="3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因承包人违约解除合同</w:t>
      </w:r>
    </w:p>
    <w:p w14:paraId="303D9A47">
      <w:pPr>
        <w:keepNext w:val="0"/>
        <w:keepLines w:val="0"/>
        <w:pageBreakBefore w:val="0"/>
        <w:widowControl w:val="0"/>
        <w:kinsoku/>
        <w:wordWrap/>
        <w:overflowPunct/>
        <w:topLinePunct w:val="0"/>
        <w:autoSpaceDE/>
        <w:autoSpaceDN/>
        <w:bidi w:val="0"/>
        <w:snapToGrid/>
        <w:spacing w:line="360" w:lineRule="auto"/>
        <w:ind w:left="0" w:leftChars="0" w:right="0" w:rightChars="0" w:firstLine="57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除专用合同条款另有约定外，出现第16.2.1项〔承包人违约的情形〕第（7）</w:t>
      </w:r>
      <w:r>
        <w:rPr>
          <w:rFonts w:hint="eastAsia" w:ascii="仿宋" w:hAnsi="仿宋" w:eastAsia="仿宋" w:cs="仿宋"/>
          <w:color w:val="000000" w:themeColor="text1"/>
          <w:spacing w:val="-2"/>
          <w:sz w:val="24"/>
          <w:szCs w:val="24"/>
          <w:highlight w:val="none"/>
          <w14:textFill>
            <w14:solidFill>
              <w14:schemeClr w14:val="tx1"/>
            </w14:solidFill>
          </w14:textFill>
        </w:rPr>
        <w:t>目约定的违约情况时，或监理人发出整改通知后，承包人在指定的合理期限内仍</w:t>
      </w:r>
      <w:r>
        <w:rPr>
          <w:rFonts w:hint="eastAsia" w:ascii="仿宋" w:hAnsi="仿宋" w:eastAsia="仿宋" w:cs="仿宋"/>
          <w:color w:val="000000" w:themeColor="text1"/>
          <w:spacing w:val="-6"/>
          <w:sz w:val="24"/>
          <w:szCs w:val="24"/>
          <w:highlight w:val="none"/>
          <w14:textFill>
            <w14:solidFill>
              <w14:schemeClr w14:val="tx1"/>
            </w14:solidFill>
          </w14:textFill>
        </w:rPr>
        <w:t>不纠正违约行为并致使合同目的不能实现的，发包人有权解除合</w:t>
      </w:r>
      <w:r>
        <w:rPr>
          <w:rFonts w:hint="eastAsia" w:ascii="仿宋" w:hAnsi="仿宋" w:eastAsia="仿宋" w:cs="仿宋"/>
          <w:color w:val="000000" w:themeColor="text1"/>
          <w:spacing w:val="-7"/>
          <w:sz w:val="24"/>
          <w:szCs w:val="24"/>
          <w:highlight w:val="none"/>
          <w14:textFill>
            <w14:solidFill>
              <w14:schemeClr w14:val="tx1"/>
            </w14:solidFill>
          </w14:textFill>
        </w:rPr>
        <w:t>同。合同解除后，</w:t>
      </w:r>
      <w:r>
        <w:rPr>
          <w:rFonts w:hint="eastAsia" w:ascii="仿宋" w:hAnsi="仿宋" w:eastAsia="仿宋" w:cs="仿宋"/>
          <w:color w:val="000000" w:themeColor="text1"/>
          <w:spacing w:val="-2"/>
          <w:sz w:val="24"/>
          <w:szCs w:val="24"/>
          <w:highlight w:val="none"/>
          <w14:textFill>
            <w14:solidFill>
              <w14:schemeClr w14:val="tx1"/>
            </w14:solidFill>
          </w14:textFill>
        </w:rPr>
        <w:t>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04933699">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16.2.4</w:t>
      </w:r>
      <w:r>
        <w:rPr>
          <w:rFonts w:hint="eastAsia" w:ascii="仿宋" w:hAnsi="仿宋" w:eastAsia="仿宋" w:cs="仿宋"/>
          <w:color w:val="000000" w:themeColor="text1"/>
          <w:spacing w:val="-2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因承包人违约解除合同后的处理</w:t>
      </w:r>
    </w:p>
    <w:p w14:paraId="7146A1F0">
      <w:pPr>
        <w:keepNext w:val="0"/>
        <w:keepLines w:val="0"/>
        <w:pageBreakBefore w:val="0"/>
        <w:widowControl w:val="0"/>
        <w:kinsoku/>
        <w:wordWrap/>
        <w:overflowPunct/>
        <w:topLinePunct w:val="0"/>
        <w:autoSpaceDE/>
        <w:autoSpaceDN/>
        <w:bidi w:val="0"/>
        <w:snapToGrid/>
        <w:spacing w:line="360" w:lineRule="auto"/>
        <w:ind w:left="0" w:leftChars="0" w:right="0" w:rightChars="0" w:firstLine="58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因承包人原因导致合同解除的，则合同当事人应在合同解除后</w:t>
      </w:r>
      <w:r>
        <w:rPr>
          <w:rFonts w:hint="eastAsia" w:ascii="仿宋" w:hAnsi="仿宋" w:eastAsia="仿宋" w:cs="仿宋"/>
          <w:color w:val="000000" w:themeColor="text1"/>
          <w:spacing w:val="-5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28</w:t>
      </w:r>
      <w:r>
        <w:rPr>
          <w:rFonts w:hint="eastAsia" w:ascii="仿宋" w:hAnsi="仿宋" w:eastAsia="仿宋" w:cs="仿宋"/>
          <w:color w:val="000000" w:themeColor="text1"/>
          <w:spacing w:val="-5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天内完成</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估价、付款和清算，并按以下约定执行：</w:t>
      </w:r>
    </w:p>
    <w:p w14:paraId="4CFA16DD">
      <w:pPr>
        <w:keepNext w:val="0"/>
        <w:keepLines w:val="0"/>
        <w:pageBreakBefore w:val="0"/>
        <w:widowControl w:val="0"/>
        <w:kinsoku/>
        <w:wordWrap/>
        <w:overflowPunct/>
        <w:topLinePunct w:val="0"/>
        <w:autoSpaceDE/>
        <w:autoSpaceDN/>
        <w:bidi w:val="0"/>
        <w:snapToGrid/>
        <w:spacing w:line="360" w:lineRule="auto"/>
        <w:ind w:left="0" w:leftChars="0" w:right="0" w:rightChars="0" w:firstLine="56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（1）合同解除后，按第</w:t>
      </w:r>
      <w:r>
        <w:rPr>
          <w:rFonts w:hint="eastAsia" w:ascii="仿宋" w:hAnsi="仿宋" w:eastAsia="仿宋" w:cs="仿宋"/>
          <w:color w:val="000000" w:themeColor="text1"/>
          <w:spacing w:val="-6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4.4</w:t>
      </w:r>
      <w:r>
        <w:rPr>
          <w:rFonts w:hint="eastAsia" w:ascii="仿宋" w:hAnsi="仿宋" w:eastAsia="仿宋" w:cs="仿宋"/>
          <w:color w:val="000000" w:themeColor="text1"/>
          <w:spacing w:val="-5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款〔商定或确定〕商定或确定</w:t>
      </w:r>
      <w:r>
        <w:rPr>
          <w:rFonts w:hint="eastAsia" w:ascii="仿宋" w:hAnsi="仿宋" w:eastAsia="仿宋" w:cs="仿宋"/>
          <w:color w:val="000000" w:themeColor="text1"/>
          <w:spacing w:val="-2"/>
          <w:sz w:val="24"/>
          <w:szCs w:val="24"/>
          <w:highlight w:val="none"/>
          <w14:textFill>
            <w14:solidFill>
              <w14:schemeClr w14:val="tx1"/>
            </w14:solidFill>
          </w14:textFill>
        </w:rPr>
        <w:t>承包人实际完成工作对应的合同价款，以及承包人已提供的材料、工程设备、施工设备和临时工</w:t>
      </w:r>
      <w:r>
        <w:rPr>
          <w:rFonts w:hint="eastAsia" w:ascii="仿宋" w:hAnsi="仿宋" w:eastAsia="仿宋" w:cs="仿宋"/>
          <w:color w:val="000000" w:themeColor="text1"/>
          <w:spacing w:val="-7"/>
          <w:sz w:val="24"/>
          <w:szCs w:val="24"/>
          <w:highlight w:val="none"/>
          <w14:textFill>
            <w14:solidFill>
              <w14:schemeClr w14:val="tx1"/>
            </w14:solidFill>
          </w14:textFill>
        </w:rPr>
        <w:t>程等的价值；</w:t>
      </w:r>
    </w:p>
    <w:p w14:paraId="39482F67">
      <w:pPr>
        <w:keepNext w:val="0"/>
        <w:keepLines w:val="0"/>
        <w:pageBreakBefore w:val="0"/>
        <w:widowControl w:val="0"/>
        <w:kinsoku/>
        <w:wordWrap/>
        <w:overflowPunct/>
        <w:topLinePunct w:val="0"/>
        <w:autoSpaceDE/>
        <w:autoSpaceDN/>
        <w:bidi w:val="0"/>
        <w:snapToGrid/>
        <w:spacing w:line="360" w:lineRule="auto"/>
        <w:ind w:left="0" w:leftChars="0" w:right="0" w:rightChars="0" w:firstLine="464"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（2）合同解除后，承包人应支付的违约金；</w:t>
      </w:r>
    </w:p>
    <w:p w14:paraId="2AED8901">
      <w:pPr>
        <w:keepNext w:val="0"/>
        <w:keepLines w:val="0"/>
        <w:pageBreakBefore w:val="0"/>
        <w:widowControl w:val="0"/>
        <w:kinsoku/>
        <w:wordWrap/>
        <w:overflowPunct/>
        <w:topLinePunct w:val="0"/>
        <w:autoSpaceDE/>
        <w:autoSpaceDN/>
        <w:bidi w:val="0"/>
        <w:snapToGrid/>
        <w:spacing w:line="360" w:lineRule="auto"/>
        <w:ind w:left="0" w:leftChars="0" w:right="0" w:rightChars="0" w:firstLine="464" w:firstLineChars="200"/>
        <w:rPr>
          <w:rFonts w:hint="eastAsia" w:ascii="仿宋" w:hAnsi="仿宋" w:eastAsia="仿宋" w:cs="仿宋"/>
          <w:color w:val="000000" w:themeColor="text1"/>
          <w:spacing w:val="-4"/>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（3）合同解除后，因解除合同给发包人造成的损失；</w:t>
      </w:r>
    </w:p>
    <w:p w14:paraId="669154F4">
      <w:pPr>
        <w:keepNext w:val="0"/>
        <w:keepLines w:val="0"/>
        <w:pageBreakBefore w:val="0"/>
        <w:widowControl w:val="0"/>
        <w:kinsoku/>
        <w:wordWrap/>
        <w:overflowPunct/>
        <w:topLinePunct w:val="0"/>
        <w:autoSpaceDE/>
        <w:autoSpaceDN/>
        <w:bidi w:val="0"/>
        <w:snapToGrid/>
        <w:spacing w:line="360" w:lineRule="auto"/>
        <w:ind w:left="0" w:leftChars="0" w:right="0" w:rightChars="0" w:firstLine="464" w:firstLineChars="200"/>
        <w:rPr>
          <w:rFonts w:hint="eastAsia" w:ascii="仿宋" w:hAnsi="仿宋" w:eastAsia="仿宋" w:cs="仿宋"/>
          <w:color w:val="000000" w:themeColor="text1"/>
          <w:spacing w:val="-4"/>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（4）合同解除后，承包人应按照发包人要求和监理人的指示完成现场的清理和撤离；</w:t>
      </w:r>
    </w:p>
    <w:p w14:paraId="645823E1">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（5）发包人和承包人应在合同解除后进行清算，出具最终结清付款证书，</w:t>
      </w:r>
      <w:r>
        <w:rPr>
          <w:rFonts w:hint="eastAsia" w:ascii="仿宋" w:hAnsi="仿宋" w:eastAsia="仿宋" w:cs="仿宋"/>
          <w:color w:val="000000" w:themeColor="text1"/>
          <w:spacing w:val="1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结清全部款项。</w:t>
      </w:r>
    </w:p>
    <w:p w14:paraId="4B8F896F">
      <w:pPr>
        <w:keepNext w:val="0"/>
        <w:keepLines w:val="0"/>
        <w:pageBreakBefore w:val="0"/>
        <w:widowControl w:val="0"/>
        <w:kinsoku/>
        <w:wordWrap/>
        <w:overflowPunct/>
        <w:topLinePunct w:val="0"/>
        <w:autoSpaceDE/>
        <w:autoSpaceDN/>
        <w:bidi w:val="0"/>
        <w:snapToGrid/>
        <w:spacing w:line="360" w:lineRule="auto"/>
        <w:ind w:left="0" w:leftChars="0" w:right="0" w:rightChars="0" w:firstLine="5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因承包人违约解除合同的，发包人有权暂停对承包人的付款，查清各项付款</w:t>
      </w:r>
      <w:r>
        <w:rPr>
          <w:rFonts w:hint="eastAsia" w:ascii="仿宋" w:hAnsi="仿宋" w:eastAsia="仿宋" w:cs="仿宋"/>
          <w:color w:val="000000" w:themeColor="text1"/>
          <w:spacing w:val="-2"/>
          <w:sz w:val="24"/>
          <w:szCs w:val="24"/>
          <w:highlight w:val="none"/>
          <w14:textFill>
            <w14:solidFill>
              <w14:schemeClr w14:val="tx1"/>
            </w14:solidFill>
          </w14:textFill>
        </w:rPr>
        <w:t>和已扣款项。发包人和承包人未能就合同解除后的清算和款项支付达成一致的，</w:t>
      </w:r>
      <w:r>
        <w:rPr>
          <w:rFonts w:hint="eastAsia" w:ascii="仿宋" w:hAnsi="仿宋" w:eastAsia="仿宋" w:cs="仿宋"/>
          <w:color w:val="000000" w:themeColor="text1"/>
          <w:spacing w:val="-3"/>
          <w:sz w:val="24"/>
          <w:szCs w:val="24"/>
          <w:highlight w:val="none"/>
          <w14:textFill>
            <w14:solidFill>
              <w14:schemeClr w14:val="tx1"/>
            </w14:solidFill>
          </w14:textFill>
        </w:rPr>
        <w:t>按照第</w:t>
      </w:r>
      <w:r>
        <w:rPr>
          <w:rFonts w:hint="eastAsia" w:ascii="仿宋" w:hAnsi="仿宋" w:eastAsia="仿宋" w:cs="仿宋"/>
          <w:color w:val="000000" w:themeColor="text1"/>
          <w:spacing w:val="-4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20</w:t>
      </w:r>
      <w:r>
        <w:rPr>
          <w:rFonts w:hint="eastAsia" w:ascii="仿宋" w:hAnsi="仿宋" w:eastAsia="仿宋" w:cs="仿宋"/>
          <w:color w:val="000000" w:themeColor="text1"/>
          <w:spacing w:val="-5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条〔争议解决〕的约定处理。</w:t>
      </w:r>
    </w:p>
    <w:p w14:paraId="7FBF9CD8">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16.2.5</w:t>
      </w:r>
      <w:r>
        <w:rPr>
          <w:rFonts w:hint="eastAsia" w:ascii="仿宋" w:hAnsi="仿宋" w:eastAsia="仿宋" w:cs="仿宋"/>
          <w:color w:val="000000" w:themeColor="text1"/>
          <w:spacing w:val="-5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采购合同权益转让</w:t>
      </w:r>
    </w:p>
    <w:p w14:paraId="739FF41B">
      <w:pPr>
        <w:keepNext w:val="0"/>
        <w:keepLines w:val="0"/>
        <w:pageBreakBefore w:val="0"/>
        <w:widowControl w:val="0"/>
        <w:kinsoku/>
        <w:wordWrap/>
        <w:overflowPunct/>
        <w:topLinePunct w:val="0"/>
        <w:autoSpaceDE/>
        <w:autoSpaceDN/>
        <w:bidi w:val="0"/>
        <w:snapToGrid/>
        <w:spacing w:line="360" w:lineRule="auto"/>
        <w:ind w:left="0" w:leftChars="0" w:right="0" w:rightChars="0" w:firstLine="58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因承包人违约解除合同的，发包人有权要求承包人将其为实施合同而签订的</w:t>
      </w:r>
      <w:r>
        <w:rPr>
          <w:rFonts w:hint="eastAsia" w:ascii="仿宋" w:hAnsi="仿宋" w:eastAsia="仿宋" w:cs="仿宋"/>
          <w:color w:val="000000" w:themeColor="text1"/>
          <w:spacing w:val="-5"/>
          <w:sz w:val="24"/>
          <w:szCs w:val="24"/>
          <w:highlight w:val="none"/>
          <w14:textFill>
            <w14:solidFill>
              <w14:schemeClr w14:val="tx1"/>
            </w14:solidFill>
          </w14:textFill>
        </w:rPr>
        <w:t>材料和设备的采购合同的权益转让给发包人，承包人应在收到解除合同通知后14</w:t>
      </w:r>
      <w:r>
        <w:rPr>
          <w:rFonts w:hint="eastAsia" w:ascii="仿宋" w:hAnsi="仿宋" w:eastAsia="仿宋" w:cs="仿宋"/>
          <w:color w:val="000000" w:themeColor="text1"/>
          <w:spacing w:val="-2"/>
          <w:sz w:val="24"/>
          <w:szCs w:val="24"/>
          <w:highlight w:val="none"/>
          <w14:textFill>
            <w14:solidFill>
              <w14:schemeClr w14:val="tx1"/>
            </w14:solidFill>
          </w14:textFill>
        </w:rPr>
        <w:t>天内，协助发包人与采购合同的供应商达成相关的转让协议。</w:t>
      </w:r>
    </w:p>
    <w:p w14:paraId="14D7A9B5">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16.3 第三人造成的违约</w:t>
      </w:r>
    </w:p>
    <w:p w14:paraId="1C50B396">
      <w:pPr>
        <w:keepNext w:val="0"/>
        <w:keepLines w:val="0"/>
        <w:pageBreakBefore w:val="0"/>
        <w:widowControl w:val="0"/>
        <w:kinsoku/>
        <w:wordWrap/>
        <w:overflowPunct/>
        <w:topLinePunct w:val="0"/>
        <w:autoSpaceDE/>
        <w:autoSpaceDN/>
        <w:bidi w:val="0"/>
        <w:snapToGrid/>
        <w:spacing w:line="360" w:lineRule="auto"/>
        <w:ind w:left="0" w:leftChars="0" w:right="0" w:rightChars="0" w:firstLine="55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在履行合同过程中，一方当事人因第三人的原因造成违约的，应当向对</w:t>
      </w:r>
      <w:r>
        <w:rPr>
          <w:rFonts w:hint="eastAsia" w:ascii="仿宋" w:hAnsi="仿宋" w:eastAsia="仿宋" w:cs="仿宋"/>
          <w:color w:val="000000" w:themeColor="text1"/>
          <w:spacing w:val="-3"/>
          <w:sz w:val="24"/>
          <w:szCs w:val="24"/>
          <w:highlight w:val="none"/>
          <w14:textFill>
            <w14:solidFill>
              <w14:schemeClr w14:val="tx1"/>
            </w14:solidFill>
          </w14:textFill>
        </w:rPr>
        <w:t>方当</w:t>
      </w:r>
      <w:r>
        <w:rPr>
          <w:rFonts w:hint="eastAsia" w:ascii="仿宋" w:hAnsi="仿宋" w:eastAsia="仿宋" w:cs="仿宋"/>
          <w:color w:val="000000" w:themeColor="text1"/>
          <w:spacing w:val="-2"/>
          <w:sz w:val="24"/>
          <w:szCs w:val="24"/>
          <w:highlight w:val="none"/>
          <w14:textFill>
            <w14:solidFill>
              <w14:schemeClr w14:val="tx1"/>
            </w14:solidFill>
          </w14:textFill>
        </w:rPr>
        <w:t>事人承担违约责任。一方当事人和第三人之间的纠纷，依照法律规定或者按照约</w:t>
      </w:r>
      <w:bookmarkStart w:id="121" w:name="bookmark131"/>
      <w:bookmarkEnd w:id="121"/>
      <w:r>
        <w:rPr>
          <w:rFonts w:hint="eastAsia" w:ascii="仿宋" w:hAnsi="仿宋" w:eastAsia="仿宋" w:cs="仿宋"/>
          <w:color w:val="000000" w:themeColor="text1"/>
          <w:spacing w:val="-10"/>
          <w:sz w:val="24"/>
          <w:szCs w:val="24"/>
          <w:highlight w:val="none"/>
          <w14:textFill>
            <w14:solidFill>
              <w14:schemeClr w14:val="tx1"/>
            </w14:solidFill>
          </w14:textFill>
        </w:rPr>
        <w:t>定解决。</w:t>
      </w:r>
    </w:p>
    <w:p w14:paraId="61C9FC17">
      <w:pPr>
        <w:keepNext w:val="0"/>
        <w:keepLines w:val="0"/>
        <w:pageBreakBefore w:val="0"/>
        <w:widowControl w:val="0"/>
        <w:kinsoku/>
        <w:wordWrap/>
        <w:overflowPunct/>
        <w:topLinePunct w:val="0"/>
        <w:autoSpaceDE/>
        <w:autoSpaceDN/>
        <w:bidi w:val="0"/>
        <w:snapToGrid/>
        <w:spacing w:line="360" w:lineRule="auto"/>
        <w:ind w:left="0" w:leftChars="0" w:right="0" w:rightChars="0"/>
        <w:outlineLvl w:val="2"/>
        <w:rPr>
          <w:rFonts w:hint="eastAsia" w:ascii="仿宋" w:hAnsi="仿宋" w:eastAsia="仿宋" w:cs="仿宋"/>
          <w:color w:val="000000" w:themeColor="text1"/>
          <w:sz w:val="24"/>
          <w:szCs w:val="24"/>
          <w:highlight w:val="none"/>
          <w14:textFill>
            <w14:solidFill>
              <w14:schemeClr w14:val="tx1"/>
            </w14:solidFill>
          </w14:textFill>
        </w:rPr>
      </w:pPr>
      <w:bookmarkStart w:id="122" w:name="bookmark215"/>
      <w:bookmarkEnd w:id="122"/>
      <w:bookmarkStart w:id="123" w:name="_Toc32537"/>
      <w:r>
        <w:rPr>
          <w:rFonts w:hint="eastAsia" w:ascii="仿宋" w:hAnsi="仿宋" w:eastAsia="仿宋" w:cs="仿宋"/>
          <w:color w:val="000000" w:themeColor="text1"/>
          <w:spacing w:val="-7"/>
          <w:sz w:val="24"/>
          <w:szCs w:val="24"/>
          <w:highlight w:val="none"/>
          <w14:textFill>
            <w14:solidFill>
              <w14:schemeClr w14:val="tx1"/>
            </w14:solidFill>
          </w14:textFill>
        </w:rPr>
        <w:t>17.</w:t>
      </w:r>
      <w:r>
        <w:rPr>
          <w:rFonts w:hint="eastAsia" w:ascii="仿宋" w:hAnsi="仿宋" w:eastAsia="仿宋" w:cs="仿宋"/>
          <w:color w:val="000000" w:themeColor="text1"/>
          <w:spacing w:val="1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14:textFill>
            <w14:solidFill>
              <w14:schemeClr w14:val="tx1"/>
            </w14:solidFill>
          </w14:textFill>
        </w:rPr>
        <w:t>不可抗力</w:t>
      </w:r>
      <w:bookmarkEnd w:id="123"/>
    </w:p>
    <w:p w14:paraId="3754E5D8">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17.1 不可抗力的确认</w:t>
      </w:r>
    </w:p>
    <w:p w14:paraId="187F67C7">
      <w:pPr>
        <w:keepNext w:val="0"/>
        <w:keepLines w:val="0"/>
        <w:pageBreakBefore w:val="0"/>
        <w:widowControl w:val="0"/>
        <w:kinsoku/>
        <w:wordWrap/>
        <w:overflowPunct/>
        <w:topLinePunct w:val="0"/>
        <w:autoSpaceDE/>
        <w:autoSpaceDN/>
        <w:bidi w:val="0"/>
        <w:snapToGrid/>
        <w:spacing w:line="360" w:lineRule="auto"/>
        <w:ind w:left="0" w:leftChars="0" w:right="0" w:rightChars="0" w:firstLine="56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不可抗力是指合同当事人在签订合同时不可预见，在合同</w:t>
      </w:r>
      <w:r>
        <w:rPr>
          <w:rFonts w:hint="eastAsia" w:ascii="仿宋" w:hAnsi="仿宋" w:eastAsia="仿宋" w:cs="仿宋"/>
          <w:color w:val="000000" w:themeColor="text1"/>
          <w:spacing w:val="-3"/>
          <w:sz w:val="24"/>
          <w:szCs w:val="24"/>
          <w:highlight w:val="none"/>
          <w14:textFill>
            <w14:solidFill>
              <w14:schemeClr w14:val="tx1"/>
            </w14:solidFill>
          </w14:textFill>
        </w:rPr>
        <w:t>履行过程中不可避</w:t>
      </w:r>
      <w:r>
        <w:rPr>
          <w:rFonts w:hint="eastAsia" w:ascii="仿宋" w:hAnsi="仿宋" w:eastAsia="仿宋" w:cs="仿宋"/>
          <w:color w:val="000000" w:themeColor="text1"/>
          <w:spacing w:val="-7"/>
          <w:sz w:val="24"/>
          <w:szCs w:val="24"/>
          <w:highlight w:val="none"/>
          <w14:textFill>
            <w14:solidFill>
              <w14:schemeClr w14:val="tx1"/>
            </w14:solidFill>
          </w14:textFill>
        </w:rPr>
        <w:t>免且不能克服的自然灾害和社会性突发事件，如地震、海啸、瘟疫、骚乱、戒严、</w:t>
      </w:r>
      <w:r>
        <w:rPr>
          <w:rFonts w:hint="eastAsia" w:ascii="仿宋" w:hAnsi="仿宋" w:eastAsia="仿宋" w:cs="仿宋"/>
          <w:color w:val="000000" w:themeColor="text1"/>
          <w:spacing w:val="-1"/>
          <w:sz w:val="24"/>
          <w:szCs w:val="24"/>
          <w:highlight w:val="none"/>
          <w14:textFill>
            <w14:solidFill>
              <w14:schemeClr w14:val="tx1"/>
            </w14:solidFill>
          </w14:textFill>
        </w:rPr>
        <w:t>暴动、战争和专用合同条款中约定的其他情形。</w:t>
      </w:r>
    </w:p>
    <w:p w14:paraId="05175535">
      <w:pPr>
        <w:keepNext w:val="0"/>
        <w:keepLines w:val="0"/>
        <w:pageBreakBefore w:val="0"/>
        <w:widowControl w:val="0"/>
        <w:kinsoku/>
        <w:wordWrap/>
        <w:overflowPunct/>
        <w:topLinePunct w:val="0"/>
        <w:autoSpaceDE/>
        <w:autoSpaceDN/>
        <w:bidi w:val="0"/>
        <w:snapToGrid/>
        <w:spacing w:line="360" w:lineRule="auto"/>
        <w:ind w:left="0" w:leftChars="0" w:right="0" w:rightChars="0" w:firstLine="56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7"/>
          <w:sz w:val="24"/>
          <w:szCs w:val="24"/>
          <w:highlight w:val="none"/>
          <w14:textFill>
            <w14:solidFill>
              <w14:schemeClr w14:val="tx1"/>
            </w14:solidFill>
          </w14:textFill>
        </w:rPr>
        <w:t>不可抗力发生后，发包人和</w:t>
      </w:r>
      <w:r>
        <w:rPr>
          <w:rFonts w:hint="eastAsia" w:ascii="仿宋" w:hAnsi="仿宋" w:eastAsia="仿宋" w:cs="仿宋"/>
          <w:color w:val="000000" w:themeColor="text1"/>
          <w:spacing w:val="-2"/>
          <w:sz w:val="24"/>
          <w:szCs w:val="24"/>
          <w:highlight w:val="none"/>
          <w14:textFill>
            <w14:solidFill>
              <w14:schemeClr w14:val="tx1"/>
            </w14:solidFill>
          </w14:textFill>
        </w:rPr>
        <w:t>承包人</w:t>
      </w:r>
      <w:r>
        <w:rPr>
          <w:rFonts w:hint="eastAsia" w:ascii="仿宋" w:hAnsi="仿宋" w:eastAsia="仿宋" w:cs="仿宋"/>
          <w:color w:val="000000" w:themeColor="text1"/>
          <w:spacing w:val="-7"/>
          <w:sz w:val="24"/>
          <w:szCs w:val="24"/>
          <w:highlight w:val="none"/>
          <w14:textFill>
            <w14:solidFill>
              <w14:schemeClr w14:val="tx1"/>
            </w14:solidFill>
          </w14:textFill>
        </w:rPr>
        <w:t>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1DF32779">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17.2 不可抗力的通知</w:t>
      </w:r>
    </w:p>
    <w:p w14:paraId="433A4AEC">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合同一方当事人遇到不可抗力事件，使其履行合同义务受到阻碍时</w:t>
      </w:r>
      <w:r>
        <w:rPr>
          <w:rFonts w:hint="eastAsia" w:ascii="仿宋" w:hAnsi="仿宋" w:eastAsia="仿宋" w:cs="仿宋"/>
          <w:color w:val="000000" w:themeColor="text1"/>
          <w:spacing w:val="-3"/>
          <w:sz w:val="24"/>
          <w:szCs w:val="24"/>
          <w:highlight w:val="none"/>
          <w14:textFill>
            <w14:solidFill>
              <w14:schemeClr w14:val="tx1"/>
            </w14:solidFill>
          </w14:textFill>
        </w:rPr>
        <w:t>，应立即</w:t>
      </w:r>
      <w:r>
        <w:rPr>
          <w:rFonts w:hint="eastAsia" w:ascii="仿宋" w:hAnsi="仿宋" w:eastAsia="仿宋" w:cs="仿宋"/>
          <w:color w:val="000000" w:themeColor="text1"/>
          <w:spacing w:val="-2"/>
          <w:sz w:val="24"/>
          <w:szCs w:val="24"/>
          <w:highlight w:val="none"/>
          <w14:textFill>
            <w14:solidFill>
              <w14:schemeClr w14:val="tx1"/>
            </w14:solidFill>
          </w14:textFill>
        </w:rPr>
        <w:t>通知合同另一方当事人和监理人，书面说明不可抗力和受阻碍的详细情况，并提</w:t>
      </w:r>
      <w:r>
        <w:rPr>
          <w:rFonts w:hint="eastAsia" w:ascii="仿宋" w:hAnsi="仿宋" w:eastAsia="仿宋" w:cs="仿宋"/>
          <w:color w:val="000000" w:themeColor="text1"/>
          <w:spacing w:val="-5"/>
          <w:sz w:val="24"/>
          <w:szCs w:val="24"/>
          <w:highlight w:val="none"/>
          <w14:textFill>
            <w14:solidFill>
              <w14:schemeClr w14:val="tx1"/>
            </w14:solidFill>
          </w14:textFill>
        </w:rPr>
        <w:t>供必要的证明。</w:t>
      </w:r>
    </w:p>
    <w:p w14:paraId="333D2661">
      <w:pPr>
        <w:keepNext w:val="0"/>
        <w:keepLines w:val="0"/>
        <w:pageBreakBefore w:val="0"/>
        <w:widowControl w:val="0"/>
        <w:kinsoku/>
        <w:wordWrap/>
        <w:overflowPunct/>
        <w:topLinePunct w:val="0"/>
        <w:autoSpaceDE/>
        <w:autoSpaceDN/>
        <w:bidi w:val="0"/>
        <w:snapToGrid/>
        <w:spacing w:line="360" w:lineRule="auto"/>
        <w:ind w:left="0" w:leftChars="0" w:right="0" w:rightChars="0" w:firstLine="5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不可抗力持续发生的，合同一方当事人应及时向合同另一</w:t>
      </w:r>
      <w:r>
        <w:rPr>
          <w:rFonts w:hint="eastAsia" w:ascii="仿宋" w:hAnsi="仿宋" w:eastAsia="仿宋" w:cs="仿宋"/>
          <w:color w:val="000000" w:themeColor="text1"/>
          <w:spacing w:val="-3"/>
          <w:sz w:val="24"/>
          <w:szCs w:val="24"/>
          <w:highlight w:val="none"/>
          <w14:textFill>
            <w14:solidFill>
              <w14:schemeClr w14:val="tx1"/>
            </w14:solidFill>
          </w14:textFill>
        </w:rPr>
        <w:t>方当事人和监理人</w:t>
      </w:r>
      <w:r>
        <w:rPr>
          <w:rFonts w:hint="eastAsia" w:ascii="仿宋" w:hAnsi="仿宋" w:eastAsia="仿宋" w:cs="仿宋"/>
          <w:color w:val="000000" w:themeColor="text1"/>
          <w:spacing w:val="-2"/>
          <w:sz w:val="24"/>
          <w:szCs w:val="24"/>
          <w:highlight w:val="none"/>
          <w14:textFill>
            <w14:solidFill>
              <w14:schemeClr w14:val="tx1"/>
            </w14:solidFill>
          </w14:textFill>
        </w:rPr>
        <w:t>提交中间报告，说明不可抗力和履行合同受阻的情况，并于不可抗力事件结束后</w:t>
      </w:r>
      <w:r>
        <w:rPr>
          <w:rFonts w:hint="eastAsia" w:ascii="仿宋" w:hAnsi="仿宋" w:eastAsia="仿宋" w:cs="仿宋"/>
          <w:color w:val="000000" w:themeColor="text1"/>
          <w:spacing w:val="-3"/>
          <w:sz w:val="24"/>
          <w:szCs w:val="24"/>
          <w:highlight w:val="none"/>
          <w14:textFill>
            <w14:solidFill>
              <w14:schemeClr w14:val="tx1"/>
            </w14:solidFill>
          </w14:textFill>
        </w:rPr>
        <w:t>28天内提交最终报告及有关资料。</w:t>
      </w:r>
    </w:p>
    <w:p w14:paraId="09CFD474">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17.3 不可抗力后果的承担</w:t>
      </w:r>
    </w:p>
    <w:p w14:paraId="3A76D256">
      <w:pPr>
        <w:keepNext w:val="0"/>
        <w:keepLines w:val="0"/>
        <w:pageBreakBefore w:val="0"/>
        <w:widowControl w:val="0"/>
        <w:kinsoku/>
        <w:wordWrap/>
        <w:overflowPunct/>
        <w:topLinePunct w:val="0"/>
        <w:autoSpaceDE/>
        <w:autoSpaceDN/>
        <w:bidi w:val="0"/>
        <w:snapToGrid/>
        <w:spacing w:line="360" w:lineRule="auto"/>
        <w:ind w:left="0" w:leftChars="0" w:right="0" w:rightChars="0" w:firstLine="5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17.3.1 不可抗力引起的后果及造成的损失由合同当事人按照法律规定及合同约定各自承担。不可抗力发生前已完成的工程应当按照合同约定进行计量支</w:t>
      </w:r>
      <w:r>
        <w:rPr>
          <w:rFonts w:hint="eastAsia" w:ascii="仿宋" w:hAnsi="仿宋" w:eastAsia="仿宋" w:cs="仿宋"/>
          <w:color w:val="000000" w:themeColor="text1"/>
          <w:spacing w:val="-13"/>
          <w:sz w:val="24"/>
          <w:szCs w:val="24"/>
          <w:highlight w:val="none"/>
          <w14:textFill>
            <w14:solidFill>
              <w14:schemeClr w14:val="tx1"/>
            </w14:solidFill>
          </w14:textFill>
        </w:rPr>
        <w:t>付。</w:t>
      </w:r>
    </w:p>
    <w:p w14:paraId="04F92B6A">
      <w:pPr>
        <w:keepNext w:val="0"/>
        <w:keepLines w:val="0"/>
        <w:pageBreakBefore w:val="0"/>
        <w:widowControl w:val="0"/>
        <w:kinsoku/>
        <w:wordWrap/>
        <w:overflowPunct/>
        <w:topLinePunct w:val="0"/>
        <w:autoSpaceDE/>
        <w:autoSpaceDN/>
        <w:bidi w:val="0"/>
        <w:snapToGrid/>
        <w:spacing w:line="360" w:lineRule="auto"/>
        <w:ind w:left="0" w:leftChars="0" w:right="0" w:rightChars="0" w:firstLine="57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17.3.2 不可抗力导致的人员伤亡、财产损失、费用增加和（或）工期延误</w:t>
      </w:r>
      <w:r>
        <w:rPr>
          <w:rFonts w:hint="eastAsia" w:ascii="仿宋" w:hAnsi="仿宋" w:eastAsia="仿宋" w:cs="仿宋"/>
          <w:color w:val="000000" w:themeColor="text1"/>
          <w:spacing w:val="-3"/>
          <w:sz w:val="24"/>
          <w:szCs w:val="24"/>
          <w:highlight w:val="none"/>
          <w14:textFill>
            <w14:solidFill>
              <w14:schemeClr w14:val="tx1"/>
            </w14:solidFill>
          </w14:textFill>
        </w:rPr>
        <w:t>等后果，由合同当事人按以下原则承担：</w:t>
      </w:r>
    </w:p>
    <w:p w14:paraId="37D56756">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（1）永久工程、已运至施工现场的材料和工程设备的损坏，以及因工程损</w:t>
      </w:r>
      <w:r>
        <w:rPr>
          <w:rFonts w:hint="eastAsia" w:ascii="仿宋" w:hAnsi="仿宋" w:eastAsia="仿宋" w:cs="仿宋"/>
          <w:color w:val="000000" w:themeColor="text1"/>
          <w:spacing w:val="-3"/>
          <w:sz w:val="24"/>
          <w:szCs w:val="24"/>
          <w:highlight w:val="none"/>
          <w14:textFill>
            <w14:solidFill>
              <w14:schemeClr w14:val="tx1"/>
            </w14:solidFill>
          </w14:textFill>
        </w:rPr>
        <w:t>坏造成的第三人人员伤亡和财产损失由发包人承担；</w:t>
      </w:r>
    </w:p>
    <w:p w14:paraId="13A57971">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pacing w:val="-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（2）承包人施工设备的损坏由承包人承担；</w:t>
      </w:r>
    </w:p>
    <w:p w14:paraId="30A1FDD3">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pacing w:val="-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（3）发包人和承包人承担各自人员伤亡和财产的损失；</w:t>
      </w:r>
    </w:p>
    <w:p w14:paraId="577615FC">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pacing w:val="-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（4）因不可抗力影响承包人履行合同约定的义务，已经引起或将引起工期延误的，应当顺延工期，由此导致承包人停工的费用损失由发包人和承包人合理分担，停工期间必须支付的工人工资由发包人承担；</w:t>
      </w:r>
    </w:p>
    <w:p w14:paraId="1B3FDC47">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pacing w:val="-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（5）因不可抗力引起或将引起工期延误，发包人要求赶工的，由此增加的赶工费用由发包人承担；</w:t>
      </w:r>
    </w:p>
    <w:p w14:paraId="43D2387B">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（6）承包人在停工期间按照发包人要求照管、清理和修复工程的费用由发</w:t>
      </w:r>
      <w:r>
        <w:rPr>
          <w:rFonts w:hint="eastAsia" w:ascii="仿宋" w:hAnsi="仿宋" w:eastAsia="仿宋" w:cs="仿宋"/>
          <w:color w:val="000000" w:themeColor="text1"/>
          <w:spacing w:val="-2"/>
          <w:sz w:val="24"/>
          <w:szCs w:val="24"/>
          <w:highlight w:val="none"/>
          <w14:textFill>
            <w14:solidFill>
              <w14:schemeClr w14:val="tx1"/>
            </w14:solidFill>
          </w14:textFill>
        </w:rPr>
        <w:t>包人承担。</w:t>
      </w:r>
    </w:p>
    <w:p w14:paraId="1C5949CF">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不可抗力发生后，合同当事人均应采取措施尽量避免和减</w:t>
      </w:r>
      <w:r>
        <w:rPr>
          <w:rFonts w:hint="eastAsia" w:ascii="仿宋" w:hAnsi="仿宋" w:eastAsia="仿宋" w:cs="仿宋"/>
          <w:color w:val="000000" w:themeColor="text1"/>
          <w:spacing w:val="-3"/>
          <w:sz w:val="24"/>
          <w:szCs w:val="24"/>
          <w:highlight w:val="none"/>
          <w14:textFill>
            <w14:solidFill>
              <w14:schemeClr w14:val="tx1"/>
            </w14:solidFill>
          </w14:textFill>
        </w:rPr>
        <w:t>少损失的扩大，任</w:t>
      </w:r>
      <w:r>
        <w:rPr>
          <w:rFonts w:hint="eastAsia" w:ascii="仿宋" w:hAnsi="仿宋" w:eastAsia="仿宋" w:cs="仿宋"/>
          <w:color w:val="000000" w:themeColor="text1"/>
          <w:spacing w:val="-1"/>
          <w:sz w:val="24"/>
          <w:szCs w:val="24"/>
          <w:highlight w:val="none"/>
          <w14:textFill>
            <w14:solidFill>
              <w14:schemeClr w14:val="tx1"/>
            </w14:solidFill>
          </w14:textFill>
        </w:rPr>
        <w:t>何一方当事人没有采取有效措施导致损失扩大的，应对扩大的损</w:t>
      </w:r>
      <w:r>
        <w:rPr>
          <w:rFonts w:hint="eastAsia" w:ascii="仿宋" w:hAnsi="仿宋" w:eastAsia="仿宋" w:cs="仿宋"/>
          <w:color w:val="000000" w:themeColor="text1"/>
          <w:spacing w:val="-2"/>
          <w:sz w:val="24"/>
          <w:szCs w:val="24"/>
          <w:highlight w:val="none"/>
          <w14:textFill>
            <w14:solidFill>
              <w14:schemeClr w14:val="tx1"/>
            </w14:solidFill>
          </w14:textFill>
        </w:rPr>
        <w:t>失承担责任。</w:t>
      </w:r>
    </w:p>
    <w:p w14:paraId="6AC55A28">
      <w:pPr>
        <w:keepNext w:val="0"/>
        <w:keepLines w:val="0"/>
        <w:pageBreakBefore w:val="0"/>
        <w:widowControl w:val="0"/>
        <w:kinsoku/>
        <w:wordWrap/>
        <w:overflowPunct/>
        <w:topLinePunct w:val="0"/>
        <w:autoSpaceDE/>
        <w:autoSpaceDN/>
        <w:bidi w:val="0"/>
        <w:snapToGrid/>
        <w:spacing w:line="360" w:lineRule="auto"/>
        <w:ind w:left="0" w:leftChars="0" w:right="0" w:rightChars="0" w:firstLine="58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因合同一方迟延履行合同义务，在迟延履行期间遭遇不可抗力的，不免除其</w:t>
      </w:r>
      <w:r>
        <w:rPr>
          <w:rFonts w:hint="eastAsia" w:ascii="仿宋" w:hAnsi="仿宋" w:eastAsia="仿宋" w:cs="仿宋"/>
          <w:color w:val="000000" w:themeColor="text1"/>
          <w:spacing w:val="-2"/>
          <w:sz w:val="24"/>
          <w:szCs w:val="24"/>
          <w:highlight w:val="none"/>
          <w14:textFill>
            <w14:solidFill>
              <w14:schemeClr w14:val="tx1"/>
            </w14:solidFill>
          </w14:textFill>
        </w:rPr>
        <w:t>违约责任。</w:t>
      </w:r>
    </w:p>
    <w:p w14:paraId="3DC15651">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17.4</w:t>
      </w:r>
      <w:r>
        <w:rPr>
          <w:rFonts w:hint="eastAsia" w:ascii="仿宋" w:hAnsi="仿宋" w:eastAsia="仿宋" w:cs="仿宋"/>
          <w:color w:val="000000" w:themeColor="text1"/>
          <w:spacing w:val="3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因不可抗力解除合同</w:t>
      </w:r>
    </w:p>
    <w:p w14:paraId="25B8C51B">
      <w:pPr>
        <w:keepNext w:val="0"/>
        <w:keepLines w:val="0"/>
        <w:pageBreakBefore w:val="0"/>
        <w:widowControl w:val="0"/>
        <w:kinsoku/>
        <w:wordWrap/>
        <w:overflowPunct/>
        <w:topLinePunct w:val="0"/>
        <w:autoSpaceDE/>
        <w:autoSpaceDN/>
        <w:bidi w:val="0"/>
        <w:snapToGrid/>
        <w:spacing w:line="360" w:lineRule="auto"/>
        <w:ind w:left="0" w:leftChars="0" w:right="0" w:rightChars="0" w:firstLine="5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因不可抗力导致合同无法履行连续超过</w:t>
      </w:r>
      <w:r>
        <w:rPr>
          <w:rFonts w:hint="eastAsia" w:ascii="仿宋" w:hAnsi="仿宋" w:eastAsia="仿宋" w:cs="仿宋"/>
          <w:color w:val="000000" w:themeColor="text1"/>
          <w:spacing w:val="-5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84</w:t>
      </w:r>
      <w:r>
        <w:rPr>
          <w:rFonts w:hint="eastAsia" w:ascii="仿宋" w:hAnsi="仿宋" w:eastAsia="仿宋" w:cs="仿宋"/>
          <w:color w:val="000000" w:themeColor="text1"/>
          <w:spacing w:val="-5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天或累计超过</w:t>
      </w:r>
      <w:r>
        <w:rPr>
          <w:rFonts w:hint="eastAsia" w:ascii="仿宋" w:hAnsi="仿宋" w:eastAsia="仿宋" w:cs="仿宋"/>
          <w:color w:val="000000" w:themeColor="text1"/>
          <w:spacing w:val="-4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140</w:t>
      </w:r>
      <w:r>
        <w:rPr>
          <w:rFonts w:hint="eastAsia" w:ascii="仿宋" w:hAnsi="仿宋" w:eastAsia="仿宋" w:cs="仿宋"/>
          <w:color w:val="000000" w:themeColor="text1"/>
          <w:spacing w:val="-5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天的，发包人</w:t>
      </w:r>
      <w:r>
        <w:rPr>
          <w:rFonts w:hint="eastAsia" w:ascii="仿宋" w:hAnsi="仿宋" w:eastAsia="仿宋" w:cs="仿宋"/>
          <w:color w:val="000000" w:themeColor="text1"/>
          <w:spacing w:val="-2"/>
          <w:sz w:val="24"/>
          <w:szCs w:val="24"/>
          <w:highlight w:val="none"/>
          <w14:textFill>
            <w14:solidFill>
              <w14:schemeClr w14:val="tx1"/>
            </w14:solidFill>
          </w14:textFill>
        </w:rPr>
        <w:t>和承包人均有权解除合同。合同解除后，由双</w:t>
      </w:r>
      <w:r>
        <w:rPr>
          <w:rFonts w:hint="eastAsia" w:ascii="仿宋" w:hAnsi="仿宋" w:eastAsia="仿宋" w:cs="仿宋"/>
          <w:color w:val="000000" w:themeColor="text1"/>
          <w:spacing w:val="-3"/>
          <w:sz w:val="24"/>
          <w:szCs w:val="24"/>
          <w:highlight w:val="none"/>
          <w14:textFill>
            <w14:solidFill>
              <w14:schemeClr w14:val="tx1"/>
            </w14:solidFill>
          </w14:textFill>
        </w:rPr>
        <w:t>方当事人按照第</w:t>
      </w:r>
      <w:r>
        <w:rPr>
          <w:rFonts w:hint="eastAsia" w:ascii="仿宋" w:hAnsi="仿宋" w:eastAsia="仿宋" w:cs="仿宋"/>
          <w:color w:val="000000" w:themeColor="text1"/>
          <w:spacing w:val="-5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4.4</w:t>
      </w:r>
      <w:r>
        <w:rPr>
          <w:rFonts w:hint="eastAsia" w:ascii="仿宋" w:hAnsi="仿宋" w:eastAsia="仿宋" w:cs="仿宋"/>
          <w:color w:val="000000" w:themeColor="text1"/>
          <w:spacing w:val="-5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款〔商定或确定〕商定或确定发包人应支付的款项，该款项包括：</w:t>
      </w:r>
    </w:p>
    <w:p w14:paraId="6E81180F">
      <w:pPr>
        <w:keepNext w:val="0"/>
        <w:keepLines w:val="0"/>
        <w:pageBreakBefore w:val="0"/>
        <w:widowControl w:val="0"/>
        <w:kinsoku/>
        <w:wordWrap/>
        <w:overflowPunct/>
        <w:topLinePunct w:val="0"/>
        <w:autoSpaceDE/>
        <w:autoSpaceDN/>
        <w:bidi w:val="0"/>
        <w:snapToGrid/>
        <w:spacing w:line="360" w:lineRule="auto"/>
        <w:ind w:left="0" w:leftChars="0" w:right="0" w:rightChars="0" w:firstLine="464"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（1）合同解除前承包人已完成工作的价款；</w:t>
      </w:r>
    </w:p>
    <w:p w14:paraId="25119E57">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（2）承包人为工程订购的并已交付给承包人，或承包人有责任接受交付的材料、工程设备和其他物品的价款；</w:t>
      </w:r>
    </w:p>
    <w:p w14:paraId="4EFE49F3">
      <w:pPr>
        <w:keepNext w:val="0"/>
        <w:keepLines w:val="0"/>
        <w:pageBreakBefore w:val="0"/>
        <w:widowControl w:val="0"/>
        <w:kinsoku/>
        <w:wordWrap/>
        <w:overflowPunct/>
        <w:topLinePunct w:val="0"/>
        <w:autoSpaceDE/>
        <w:autoSpaceDN/>
        <w:bidi w:val="0"/>
        <w:snapToGrid/>
        <w:spacing w:line="360" w:lineRule="auto"/>
        <w:ind w:left="0" w:leftChars="0" w:right="0" w:rightChars="0" w:firstLine="56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（3）发包人要求承包人退货或解除订货合同而产生</w:t>
      </w:r>
      <w:r>
        <w:rPr>
          <w:rFonts w:hint="eastAsia" w:ascii="仿宋" w:hAnsi="仿宋" w:eastAsia="仿宋" w:cs="仿宋"/>
          <w:color w:val="000000" w:themeColor="text1"/>
          <w:spacing w:val="-2"/>
          <w:sz w:val="24"/>
          <w:szCs w:val="24"/>
          <w:highlight w:val="none"/>
          <w14:textFill>
            <w14:solidFill>
              <w14:schemeClr w14:val="tx1"/>
            </w14:solidFill>
          </w14:textFill>
        </w:rPr>
        <w:t>的费用，或因不能退货</w:t>
      </w:r>
      <w:r>
        <w:rPr>
          <w:rFonts w:hint="eastAsia" w:ascii="仿宋" w:hAnsi="仿宋" w:eastAsia="仿宋" w:cs="仿宋"/>
          <w:color w:val="000000" w:themeColor="text1"/>
          <w:spacing w:val="-6"/>
          <w:sz w:val="24"/>
          <w:szCs w:val="24"/>
          <w:highlight w:val="none"/>
          <w14:textFill>
            <w14:solidFill>
              <w14:schemeClr w14:val="tx1"/>
            </w14:solidFill>
          </w14:textFill>
        </w:rPr>
        <w:t>或解除合同而产生的损失；</w:t>
      </w:r>
    </w:p>
    <w:p w14:paraId="028440F3">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（4）承包人撤离施工现场以及遣散承包人人员的费用；</w:t>
      </w:r>
    </w:p>
    <w:p w14:paraId="1A30D948">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（5）按照合同约定在合同解除前应支付给承</w:t>
      </w:r>
      <w:r>
        <w:rPr>
          <w:rFonts w:hint="eastAsia" w:ascii="仿宋" w:hAnsi="仿宋" w:eastAsia="仿宋" w:cs="仿宋"/>
          <w:color w:val="000000" w:themeColor="text1"/>
          <w:spacing w:val="-3"/>
          <w:sz w:val="24"/>
          <w:szCs w:val="24"/>
          <w:highlight w:val="none"/>
          <w14:textFill>
            <w14:solidFill>
              <w14:schemeClr w14:val="tx1"/>
            </w14:solidFill>
          </w14:textFill>
        </w:rPr>
        <w:t>包人的其他款项；</w:t>
      </w:r>
    </w:p>
    <w:p w14:paraId="0D5652F6">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pacing w:val="-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（6）扣减承包人按照合同约定应向发包人支付的款项；</w:t>
      </w:r>
    </w:p>
    <w:p w14:paraId="1A571461">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pacing w:val="-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（7）双方商定或确定的其他款项。</w:t>
      </w:r>
    </w:p>
    <w:p w14:paraId="16FC27EB">
      <w:pPr>
        <w:keepNext w:val="0"/>
        <w:keepLines w:val="0"/>
        <w:pageBreakBefore w:val="0"/>
        <w:widowControl w:val="0"/>
        <w:kinsoku/>
        <w:wordWrap/>
        <w:overflowPunct/>
        <w:topLinePunct w:val="0"/>
        <w:autoSpaceDE/>
        <w:autoSpaceDN/>
        <w:bidi w:val="0"/>
        <w:snapToGrid/>
        <w:spacing w:line="360" w:lineRule="auto"/>
        <w:ind w:left="0" w:leftChars="0" w:right="0" w:rightChars="0" w:firstLine="57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除专用合同条款另有约定外，合同解除后，发包人应在商定或确定上述款项</w:t>
      </w:r>
      <w:r>
        <w:rPr>
          <w:rFonts w:hint="eastAsia" w:ascii="仿宋" w:hAnsi="仿宋" w:eastAsia="仿宋" w:cs="仿宋"/>
          <w:color w:val="000000" w:themeColor="text1"/>
          <w:spacing w:val="-4"/>
          <w:sz w:val="24"/>
          <w:szCs w:val="24"/>
          <w:highlight w:val="none"/>
          <w14:textFill>
            <w14:solidFill>
              <w14:schemeClr w14:val="tx1"/>
            </w14:solidFill>
          </w14:textFill>
        </w:rPr>
        <w:t>后</w:t>
      </w:r>
      <w:r>
        <w:rPr>
          <w:rFonts w:hint="eastAsia" w:ascii="仿宋" w:hAnsi="仿宋" w:eastAsia="仿宋" w:cs="仿宋"/>
          <w:color w:val="000000" w:themeColor="text1"/>
          <w:spacing w:val="-5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28</w:t>
      </w:r>
      <w:r>
        <w:rPr>
          <w:rFonts w:hint="eastAsia" w:ascii="仿宋" w:hAnsi="仿宋" w:eastAsia="仿宋" w:cs="仿宋"/>
          <w:color w:val="000000" w:themeColor="text1"/>
          <w:spacing w:val="-5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天内完成上述款项的支付。</w:t>
      </w:r>
    </w:p>
    <w:p w14:paraId="6E6D920E">
      <w:pPr>
        <w:keepNext w:val="0"/>
        <w:keepLines w:val="0"/>
        <w:pageBreakBefore w:val="0"/>
        <w:widowControl w:val="0"/>
        <w:kinsoku/>
        <w:wordWrap/>
        <w:overflowPunct/>
        <w:topLinePunct w:val="0"/>
        <w:autoSpaceDE/>
        <w:autoSpaceDN/>
        <w:bidi w:val="0"/>
        <w:snapToGrid/>
        <w:spacing w:line="360" w:lineRule="auto"/>
        <w:ind w:left="0" w:leftChars="0" w:right="0" w:rightChars="0"/>
        <w:outlineLvl w:val="2"/>
        <w:rPr>
          <w:rFonts w:hint="eastAsia" w:ascii="仿宋" w:hAnsi="仿宋" w:eastAsia="仿宋" w:cs="仿宋"/>
          <w:color w:val="000000" w:themeColor="text1"/>
          <w:sz w:val="24"/>
          <w:szCs w:val="24"/>
          <w:highlight w:val="none"/>
          <w14:textFill>
            <w14:solidFill>
              <w14:schemeClr w14:val="tx1"/>
            </w14:solidFill>
          </w14:textFill>
        </w:rPr>
      </w:pPr>
      <w:bookmarkStart w:id="124" w:name="bookmark132"/>
      <w:bookmarkEnd w:id="124"/>
      <w:bookmarkStart w:id="125" w:name="_Toc17435"/>
      <w:r>
        <w:rPr>
          <w:rFonts w:hint="eastAsia" w:ascii="仿宋" w:hAnsi="仿宋" w:eastAsia="仿宋" w:cs="仿宋"/>
          <w:color w:val="000000" w:themeColor="text1"/>
          <w:spacing w:val="-8"/>
          <w:sz w:val="24"/>
          <w:szCs w:val="24"/>
          <w:highlight w:val="none"/>
          <w14:textFill>
            <w14:solidFill>
              <w14:schemeClr w14:val="tx1"/>
            </w14:solidFill>
          </w14:textFill>
        </w:rPr>
        <w:t>18.</w:t>
      </w:r>
      <w:r>
        <w:rPr>
          <w:rFonts w:hint="eastAsia" w:ascii="仿宋" w:hAnsi="仿宋" w:eastAsia="仿宋" w:cs="仿宋"/>
          <w:color w:val="000000" w:themeColor="text1"/>
          <w:spacing w:val="1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14:textFill>
            <w14:solidFill>
              <w14:schemeClr w14:val="tx1"/>
            </w14:solidFill>
          </w14:textFill>
        </w:rPr>
        <w:t>保险</w:t>
      </w:r>
      <w:bookmarkEnd w:id="125"/>
    </w:p>
    <w:p w14:paraId="12AAAD91">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18.1</w:t>
      </w:r>
      <w:r>
        <w:rPr>
          <w:rFonts w:hint="eastAsia" w:ascii="仿宋" w:hAnsi="仿宋" w:eastAsia="仿宋" w:cs="仿宋"/>
          <w:color w:val="000000" w:themeColor="text1"/>
          <w:spacing w:val="1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工程保险</w:t>
      </w:r>
    </w:p>
    <w:p w14:paraId="468F5A00">
      <w:pPr>
        <w:keepNext w:val="0"/>
        <w:keepLines w:val="0"/>
        <w:pageBreakBefore w:val="0"/>
        <w:widowControl w:val="0"/>
        <w:kinsoku/>
        <w:wordWrap/>
        <w:overflowPunct/>
        <w:topLinePunct w:val="0"/>
        <w:autoSpaceDE/>
        <w:autoSpaceDN/>
        <w:bidi w:val="0"/>
        <w:snapToGrid/>
        <w:spacing w:line="360" w:lineRule="auto"/>
        <w:ind w:left="0" w:leftChars="0" w:right="0" w:rightChars="0" w:firstLine="57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除专用合同条款另有约定外，发包人应投保建筑工程一切险或安装工程一切</w:t>
      </w:r>
      <w:r>
        <w:rPr>
          <w:rFonts w:hint="eastAsia" w:ascii="仿宋" w:hAnsi="仿宋" w:eastAsia="仿宋" w:cs="仿宋"/>
          <w:color w:val="000000" w:themeColor="text1"/>
          <w:spacing w:val="-2"/>
          <w:sz w:val="24"/>
          <w:szCs w:val="24"/>
          <w:highlight w:val="none"/>
          <w14:textFill>
            <w14:solidFill>
              <w14:schemeClr w14:val="tx1"/>
            </w14:solidFill>
          </w14:textFill>
        </w:rPr>
        <w:t>险；发包人委托承包人投保的，因投保产生的保险费和其他相关费用由发包人承</w:t>
      </w:r>
      <w:r>
        <w:rPr>
          <w:rFonts w:hint="eastAsia" w:ascii="仿宋" w:hAnsi="仿宋" w:eastAsia="仿宋" w:cs="仿宋"/>
          <w:color w:val="000000" w:themeColor="text1"/>
          <w:spacing w:val="-13"/>
          <w:sz w:val="24"/>
          <w:szCs w:val="24"/>
          <w:highlight w:val="none"/>
          <w14:textFill>
            <w14:solidFill>
              <w14:schemeClr w14:val="tx1"/>
            </w14:solidFill>
          </w14:textFill>
        </w:rPr>
        <w:t>担。</w:t>
      </w:r>
    </w:p>
    <w:p w14:paraId="1A18420B">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18.2</w:t>
      </w:r>
      <w:r>
        <w:rPr>
          <w:rFonts w:hint="eastAsia" w:ascii="仿宋" w:hAnsi="仿宋" w:eastAsia="仿宋" w:cs="仿宋"/>
          <w:color w:val="000000" w:themeColor="text1"/>
          <w:spacing w:val="1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工伤保险</w:t>
      </w:r>
    </w:p>
    <w:p w14:paraId="3F40696F">
      <w:pPr>
        <w:keepNext w:val="0"/>
        <w:keepLines w:val="0"/>
        <w:pageBreakBefore w:val="0"/>
        <w:widowControl w:val="0"/>
        <w:kinsoku/>
        <w:wordWrap/>
        <w:overflowPunct/>
        <w:topLinePunct w:val="0"/>
        <w:autoSpaceDE/>
        <w:autoSpaceDN/>
        <w:bidi w:val="0"/>
        <w:snapToGrid/>
        <w:spacing w:line="360" w:lineRule="auto"/>
        <w:ind w:left="0" w:leftChars="0" w:right="0" w:rightChars="0" w:firstLine="5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18.2.1 发包人应依照法律规定参加工伤保险，并为在施工现场的全部员工</w:t>
      </w:r>
      <w:r>
        <w:rPr>
          <w:rFonts w:hint="eastAsia" w:ascii="仿宋" w:hAnsi="仿宋" w:eastAsia="仿宋" w:cs="仿宋"/>
          <w:color w:val="000000" w:themeColor="text1"/>
          <w:spacing w:val="-2"/>
          <w:sz w:val="24"/>
          <w:szCs w:val="24"/>
          <w:highlight w:val="none"/>
          <w14:textFill>
            <w14:solidFill>
              <w14:schemeClr w14:val="tx1"/>
            </w14:solidFill>
          </w14:textFill>
        </w:rPr>
        <w:t>办理工伤保险，缴纳工伤保险费，并要求监理人及由发包人为履行合同聘请的第</w:t>
      </w:r>
      <w:r>
        <w:rPr>
          <w:rFonts w:hint="eastAsia" w:ascii="仿宋" w:hAnsi="仿宋" w:eastAsia="仿宋" w:cs="仿宋"/>
          <w:color w:val="000000" w:themeColor="text1"/>
          <w:spacing w:val="-4"/>
          <w:sz w:val="24"/>
          <w:szCs w:val="24"/>
          <w:highlight w:val="none"/>
          <w14:textFill>
            <w14:solidFill>
              <w14:schemeClr w14:val="tx1"/>
            </w14:solidFill>
          </w14:textFill>
        </w:rPr>
        <w:t>三方依法参加工伤保险。</w:t>
      </w:r>
    </w:p>
    <w:p w14:paraId="1814F079">
      <w:pPr>
        <w:keepNext w:val="0"/>
        <w:keepLines w:val="0"/>
        <w:pageBreakBefore w:val="0"/>
        <w:widowControl w:val="0"/>
        <w:kinsoku/>
        <w:wordWrap/>
        <w:overflowPunct/>
        <w:topLinePunct w:val="0"/>
        <w:autoSpaceDE/>
        <w:autoSpaceDN/>
        <w:bidi w:val="0"/>
        <w:snapToGrid/>
        <w:spacing w:line="360" w:lineRule="auto"/>
        <w:ind w:left="0" w:leftChars="0" w:right="0" w:rightChars="0" w:firstLine="5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18.2.2 承包人应依照法律规定参加工伤保险，并为其履行合同的全部员工</w:t>
      </w:r>
      <w:r>
        <w:rPr>
          <w:rFonts w:hint="eastAsia" w:ascii="仿宋" w:hAnsi="仿宋" w:eastAsia="仿宋" w:cs="仿宋"/>
          <w:color w:val="000000" w:themeColor="text1"/>
          <w:spacing w:val="-2"/>
          <w:sz w:val="24"/>
          <w:szCs w:val="24"/>
          <w:highlight w:val="none"/>
          <w14:textFill>
            <w14:solidFill>
              <w14:schemeClr w14:val="tx1"/>
            </w14:solidFill>
          </w14:textFill>
        </w:rPr>
        <w:t>办理工伤保险，缴纳工伤保险费，并要求分包人及由承包人为履行合同聘请的第</w:t>
      </w:r>
      <w:r>
        <w:rPr>
          <w:rFonts w:hint="eastAsia" w:ascii="仿宋" w:hAnsi="仿宋" w:eastAsia="仿宋" w:cs="仿宋"/>
          <w:color w:val="000000" w:themeColor="text1"/>
          <w:spacing w:val="-4"/>
          <w:sz w:val="24"/>
          <w:szCs w:val="24"/>
          <w:highlight w:val="none"/>
          <w14:textFill>
            <w14:solidFill>
              <w14:schemeClr w14:val="tx1"/>
            </w14:solidFill>
          </w14:textFill>
        </w:rPr>
        <w:t>三方依法参加工伤保险。</w:t>
      </w:r>
    </w:p>
    <w:p w14:paraId="571C31B2">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18.3</w:t>
      </w:r>
      <w:r>
        <w:rPr>
          <w:rFonts w:hint="eastAsia" w:ascii="仿宋" w:hAnsi="仿宋" w:eastAsia="仿宋" w:cs="仿宋"/>
          <w:color w:val="000000" w:themeColor="text1"/>
          <w:spacing w:val="-5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其他保险</w:t>
      </w:r>
    </w:p>
    <w:p w14:paraId="3434B573">
      <w:pPr>
        <w:keepNext w:val="0"/>
        <w:keepLines w:val="0"/>
        <w:pageBreakBefore w:val="0"/>
        <w:widowControl w:val="0"/>
        <w:kinsoku/>
        <w:wordWrap/>
        <w:overflowPunct/>
        <w:topLinePunct w:val="0"/>
        <w:autoSpaceDE/>
        <w:autoSpaceDN/>
        <w:bidi w:val="0"/>
        <w:snapToGrid/>
        <w:spacing w:line="360" w:lineRule="auto"/>
        <w:ind w:left="0" w:leftChars="0" w:right="0" w:rightChars="0" w:firstLine="5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发包人和承包人可以为其施工现场的全部人员办理意外伤害保险并支付保</w:t>
      </w:r>
      <w:r>
        <w:rPr>
          <w:rFonts w:hint="eastAsia" w:ascii="仿宋" w:hAnsi="仿宋" w:eastAsia="仿宋" w:cs="仿宋"/>
          <w:color w:val="000000" w:themeColor="text1"/>
          <w:spacing w:val="-2"/>
          <w:sz w:val="24"/>
          <w:szCs w:val="24"/>
          <w:highlight w:val="none"/>
          <w14:textFill>
            <w14:solidFill>
              <w14:schemeClr w14:val="tx1"/>
            </w14:solidFill>
          </w14:textFill>
        </w:rPr>
        <w:t>险费，包括其员工及为履行合同聘请的第三方的人员，具体事项由合同当事人在专用合同条款约定。</w:t>
      </w:r>
    </w:p>
    <w:p w14:paraId="398738C8">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除专用合同条款另有约定外，承包人应为其施工设备等办理财产保险。</w:t>
      </w:r>
    </w:p>
    <w:p w14:paraId="3DAC7387">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18.4</w:t>
      </w:r>
      <w:r>
        <w:rPr>
          <w:rFonts w:hint="eastAsia" w:ascii="仿宋" w:hAnsi="仿宋" w:eastAsia="仿宋" w:cs="仿宋"/>
          <w:color w:val="000000" w:themeColor="text1"/>
          <w:spacing w:val="-5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持续保险</w:t>
      </w:r>
    </w:p>
    <w:p w14:paraId="47E8F7B0">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合同当事人应与保险人保持联系，使保险人能够随时了解工程实施中的变</w:t>
      </w:r>
      <w:r>
        <w:rPr>
          <w:rFonts w:hint="eastAsia" w:ascii="仿宋" w:hAnsi="仿宋" w:eastAsia="仿宋" w:cs="仿宋"/>
          <w:color w:val="000000" w:themeColor="text1"/>
          <w:spacing w:val="-3"/>
          <w:sz w:val="24"/>
          <w:szCs w:val="24"/>
          <w:highlight w:val="none"/>
          <w14:textFill>
            <w14:solidFill>
              <w14:schemeClr w14:val="tx1"/>
            </w14:solidFill>
          </w14:textFill>
        </w:rPr>
        <w:t>动，并确保按保险合同条款要求持续保险。</w:t>
      </w:r>
    </w:p>
    <w:p w14:paraId="45172014">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18.5 保险凭证</w:t>
      </w:r>
    </w:p>
    <w:p w14:paraId="36BF9431">
      <w:pPr>
        <w:keepNext w:val="0"/>
        <w:keepLines w:val="0"/>
        <w:pageBreakBefore w:val="0"/>
        <w:widowControl w:val="0"/>
        <w:kinsoku/>
        <w:wordWrap/>
        <w:overflowPunct/>
        <w:topLinePunct w:val="0"/>
        <w:autoSpaceDE/>
        <w:autoSpaceDN/>
        <w:bidi w:val="0"/>
        <w:snapToGrid/>
        <w:spacing w:line="360" w:lineRule="auto"/>
        <w:ind w:left="0" w:leftChars="0" w:right="0" w:rightChars="0" w:firstLine="55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合同当事人应及时向另一方当事人提交其已投保的各项保险的凭证和保险</w:t>
      </w:r>
      <w:r>
        <w:rPr>
          <w:rFonts w:hint="eastAsia" w:ascii="仿宋" w:hAnsi="仿宋" w:eastAsia="仿宋" w:cs="仿宋"/>
          <w:color w:val="000000" w:themeColor="text1"/>
          <w:spacing w:val="-2"/>
          <w:sz w:val="24"/>
          <w:szCs w:val="24"/>
          <w:highlight w:val="none"/>
          <w14:textFill>
            <w14:solidFill>
              <w14:schemeClr w14:val="tx1"/>
            </w14:solidFill>
          </w14:textFill>
        </w:rPr>
        <w:t>单复印件。</w:t>
      </w:r>
    </w:p>
    <w:p w14:paraId="1A81D615">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18.6 未按约定投保的补救</w:t>
      </w:r>
    </w:p>
    <w:p w14:paraId="444DA631">
      <w:pPr>
        <w:keepNext w:val="0"/>
        <w:keepLines w:val="0"/>
        <w:pageBreakBefore w:val="0"/>
        <w:widowControl w:val="0"/>
        <w:kinsoku/>
        <w:wordWrap/>
        <w:overflowPunct/>
        <w:topLinePunct w:val="0"/>
        <w:autoSpaceDE/>
        <w:autoSpaceDN/>
        <w:bidi w:val="0"/>
        <w:snapToGrid/>
        <w:spacing w:line="360" w:lineRule="auto"/>
        <w:ind w:left="0" w:leftChars="0" w:right="0" w:rightChars="0" w:firstLine="57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18.6.1</w:t>
      </w:r>
      <w:r>
        <w:rPr>
          <w:rFonts w:hint="eastAsia" w:ascii="仿宋" w:hAnsi="仿宋" w:eastAsia="仿宋" w:cs="仿宋"/>
          <w:color w:val="000000" w:themeColor="text1"/>
          <w:spacing w:val="-4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发包人未按合同约定办理保险，或未能使保险持续有效的，则承包人</w:t>
      </w:r>
      <w:r>
        <w:rPr>
          <w:rFonts w:hint="eastAsia" w:ascii="仿宋" w:hAnsi="仿宋" w:eastAsia="仿宋" w:cs="仿宋"/>
          <w:color w:val="000000" w:themeColor="text1"/>
          <w:spacing w:val="-2"/>
          <w:sz w:val="24"/>
          <w:szCs w:val="24"/>
          <w:highlight w:val="none"/>
          <w14:textFill>
            <w14:solidFill>
              <w14:schemeClr w14:val="tx1"/>
            </w14:solidFill>
          </w14:textFill>
        </w:rPr>
        <w:t>可代为办理，所需费用由发包人承担。发包人未按合同约定办理保险，导致未能</w:t>
      </w:r>
      <w:r>
        <w:rPr>
          <w:rFonts w:hint="eastAsia" w:ascii="仿宋" w:hAnsi="仿宋" w:eastAsia="仿宋" w:cs="仿宋"/>
          <w:color w:val="000000" w:themeColor="text1"/>
          <w:spacing w:val="-1"/>
          <w:sz w:val="24"/>
          <w:szCs w:val="24"/>
          <w:highlight w:val="none"/>
          <w14:textFill>
            <w14:solidFill>
              <w14:schemeClr w14:val="tx1"/>
            </w14:solidFill>
          </w14:textFill>
        </w:rPr>
        <w:t>得到足额赔偿的，由发包人负责补足。</w:t>
      </w:r>
    </w:p>
    <w:p w14:paraId="5A02B7EF">
      <w:pPr>
        <w:keepNext w:val="0"/>
        <w:keepLines w:val="0"/>
        <w:pageBreakBefore w:val="0"/>
        <w:widowControl w:val="0"/>
        <w:kinsoku/>
        <w:wordWrap/>
        <w:overflowPunct/>
        <w:topLinePunct w:val="0"/>
        <w:autoSpaceDE/>
        <w:autoSpaceDN/>
        <w:bidi w:val="0"/>
        <w:snapToGrid/>
        <w:spacing w:line="360" w:lineRule="auto"/>
        <w:ind w:left="0" w:leftChars="0" w:right="0" w:rightChars="0" w:firstLine="57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18.6.2</w:t>
      </w:r>
      <w:r>
        <w:rPr>
          <w:rFonts w:hint="eastAsia" w:ascii="仿宋" w:hAnsi="仿宋" w:eastAsia="仿宋" w:cs="仿宋"/>
          <w:color w:val="000000" w:themeColor="text1"/>
          <w:spacing w:val="-4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承包人未按合同约定办理保险，或未能使保险持续有效的，则发包人</w:t>
      </w:r>
      <w:r>
        <w:rPr>
          <w:rFonts w:hint="eastAsia" w:ascii="仿宋" w:hAnsi="仿宋" w:eastAsia="仿宋" w:cs="仿宋"/>
          <w:color w:val="000000" w:themeColor="text1"/>
          <w:spacing w:val="-2"/>
          <w:sz w:val="24"/>
          <w:szCs w:val="24"/>
          <w:highlight w:val="none"/>
          <w14:textFill>
            <w14:solidFill>
              <w14:schemeClr w14:val="tx1"/>
            </w14:solidFill>
          </w14:textFill>
        </w:rPr>
        <w:t>可代为办理，所需费用由承包人承担。承包人未按合同约定办理保险，导致未能</w:t>
      </w:r>
      <w:r>
        <w:rPr>
          <w:rFonts w:hint="eastAsia" w:ascii="仿宋" w:hAnsi="仿宋" w:eastAsia="仿宋" w:cs="仿宋"/>
          <w:color w:val="000000" w:themeColor="text1"/>
          <w:spacing w:val="-1"/>
          <w:sz w:val="24"/>
          <w:szCs w:val="24"/>
          <w:highlight w:val="none"/>
          <w14:textFill>
            <w14:solidFill>
              <w14:schemeClr w14:val="tx1"/>
            </w14:solidFill>
          </w14:textFill>
        </w:rPr>
        <w:t>得到足额赔偿的，由承包人负责补足。</w:t>
      </w:r>
    </w:p>
    <w:p w14:paraId="55C0B032">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18.7 通知义务</w:t>
      </w:r>
    </w:p>
    <w:p w14:paraId="36DFA9E7">
      <w:pPr>
        <w:keepNext w:val="0"/>
        <w:keepLines w:val="0"/>
        <w:pageBreakBefore w:val="0"/>
        <w:widowControl w:val="0"/>
        <w:kinsoku/>
        <w:wordWrap/>
        <w:overflowPunct/>
        <w:topLinePunct w:val="0"/>
        <w:autoSpaceDE/>
        <w:autoSpaceDN/>
        <w:bidi w:val="0"/>
        <w:snapToGrid/>
        <w:spacing w:line="360" w:lineRule="auto"/>
        <w:ind w:left="0" w:leftChars="0" w:right="0" w:rightChars="0" w:firstLine="57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除专用合同条款另有约定外，发包人变更除工伤保险之外的保险合同时，应</w:t>
      </w:r>
      <w:r>
        <w:rPr>
          <w:rFonts w:hint="eastAsia" w:ascii="仿宋" w:hAnsi="仿宋" w:eastAsia="仿宋" w:cs="仿宋"/>
          <w:color w:val="000000" w:themeColor="text1"/>
          <w:spacing w:val="-8"/>
          <w:sz w:val="24"/>
          <w:szCs w:val="24"/>
          <w:highlight w:val="none"/>
          <w14:textFill>
            <w14:solidFill>
              <w14:schemeClr w14:val="tx1"/>
            </w14:solidFill>
          </w14:textFill>
        </w:rPr>
        <w:t>事先征得承包人同意，并通知监理人；承包人变更除工伤保险之外的保险合同时，</w:t>
      </w:r>
      <w:r>
        <w:rPr>
          <w:rFonts w:hint="eastAsia" w:ascii="仿宋" w:hAnsi="仿宋" w:eastAsia="仿宋" w:cs="仿宋"/>
          <w:color w:val="000000" w:themeColor="text1"/>
          <w:spacing w:val="-2"/>
          <w:sz w:val="24"/>
          <w:szCs w:val="24"/>
          <w:highlight w:val="none"/>
          <w14:textFill>
            <w14:solidFill>
              <w14:schemeClr w14:val="tx1"/>
            </w14:solidFill>
          </w14:textFill>
        </w:rPr>
        <w:t>应事先征得发包人同意，并通知监理人。</w:t>
      </w:r>
    </w:p>
    <w:p w14:paraId="06B0742B">
      <w:pPr>
        <w:keepNext w:val="0"/>
        <w:keepLines w:val="0"/>
        <w:pageBreakBefore w:val="0"/>
        <w:widowControl w:val="0"/>
        <w:kinsoku/>
        <w:wordWrap/>
        <w:overflowPunct/>
        <w:topLinePunct w:val="0"/>
        <w:autoSpaceDE/>
        <w:autoSpaceDN/>
        <w:bidi w:val="0"/>
        <w:snapToGrid/>
        <w:spacing w:line="360" w:lineRule="auto"/>
        <w:ind w:left="0" w:leftChars="0" w:right="0" w:rightChars="0" w:firstLine="576"/>
        <w:rPr>
          <w:rFonts w:hint="eastAsia" w:ascii="仿宋" w:hAnsi="仿宋" w:eastAsia="仿宋" w:cs="仿宋"/>
          <w:color w:val="000000" w:themeColor="text1"/>
          <w:spacing w:val="-8"/>
          <w:sz w:val="24"/>
          <w:szCs w:val="24"/>
          <w:highlight w:val="none"/>
          <w14:textFill>
            <w14:solidFill>
              <w14:schemeClr w14:val="tx1"/>
            </w14:solidFill>
          </w14:textFill>
        </w:rPr>
      </w:pPr>
      <w:r>
        <w:rPr>
          <w:rFonts w:hint="eastAsia" w:ascii="仿宋" w:hAnsi="仿宋" w:eastAsia="仿宋" w:cs="仿宋"/>
          <w:color w:val="000000" w:themeColor="text1"/>
          <w:spacing w:val="-8"/>
          <w:sz w:val="24"/>
          <w:szCs w:val="24"/>
          <w:highlight w:val="none"/>
          <w14:textFill>
            <w14:solidFill>
              <w14:schemeClr w14:val="tx1"/>
            </w14:solidFill>
          </w14:textFill>
        </w:rPr>
        <w:t>保险事故发生时，投保人应</w:t>
      </w:r>
      <w:r>
        <w:rPr>
          <w:rFonts w:hint="eastAsia" w:ascii="仿宋" w:hAnsi="仿宋" w:eastAsia="仿宋" w:cs="仿宋"/>
          <w:color w:val="000000" w:themeColor="text1"/>
          <w:spacing w:val="-3"/>
          <w:sz w:val="24"/>
          <w:szCs w:val="24"/>
          <w:highlight w:val="none"/>
          <w14:textFill>
            <w14:solidFill>
              <w14:schemeClr w14:val="tx1"/>
            </w14:solidFill>
          </w14:textFill>
        </w:rPr>
        <w:t>按照</w:t>
      </w:r>
      <w:r>
        <w:rPr>
          <w:rFonts w:hint="eastAsia" w:ascii="仿宋" w:hAnsi="仿宋" w:eastAsia="仿宋" w:cs="仿宋"/>
          <w:color w:val="000000" w:themeColor="text1"/>
          <w:spacing w:val="-8"/>
          <w:sz w:val="24"/>
          <w:szCs w:val="24"/>
          <w:highlight w:val="none"/>
          <w14:textFill>
            <w14:solidFill>
              <w14:schemeClr w14:val="tx1"/>
            </w14:solidFill>
          </w14:textFill>
        </w:rPr>
        <w:t>保险合同规定的条件和期限及时向保险人报告。发包人和承包人应当在知道保险事故发生后及时通知对方。</w:t>
      </w:r>
    </w:p>
    <w:p w14:paraId="6E112498">
      <w:pPr>
        <w:keepNext w:val="0"/>
        <w:keepLines w:val="0"/>
        <w:pageBreakBefore w:val="0"/>
        <w:widowControl w:val="0"/>
        <w:kinsoku/>
        <w:wordWrap/>
        <w:overflowPunct/>
        <w:topLinePunct w:val="0"/>
        <w:autoSpaceDE/>
        <w:autoSpaceDN/>
        <w:bidi w:val="0"/>
        <w:snapToGrid/>
        <w:spacing w:line="360" w:lineRule="auto"/>
        <w:ind w:left="0" w:leftChars="0" w:right="0" w:rightChars="0"/>
        <w:outlineLvl w:val="2"/>
        <w:rPr>
          <w:rFonts w:hint="eastAsia" w:ascii="仿宋" w:hAnsi="仿宋" w:eastAsia="仿宋" w:cs="仿宋"/>
          <w:color w:val="000000" w:themeColor="text1"/>
          <w:sz w:val="24"/>
          <w:szCs w:val="24"/>
          <w:highlight w:val="none"/>
          <w14:textFill>
            <w14:solidFill>
              <w14:schemeClr w14:val="tx1"/>
            </w14:solidFill>
          </w14:textFill>
        </w:rPr>
      </w:pPr>
      <w:bookmarkStart w:id="126" w:name="bookmark133"/>
      <w:bookmarkEnd w:id="126"/>
      <w:bookmarkStart w:id="127" w:name="_Toc16708"/>
      <w:r>
        <w:rPr>
          <w:rFonts w:hint="eastAsia" w:ascii="仿宋" w:hAnsi="仿宋" w:eastAsia="仿宋" w:cs="仿宋"/>
          <w:color w:val="000000" w:themeColor="text1"/>
          <w:spacing w:val="-8"/>
          <w:sz w:val="24"/>
          <w:szCs w:val="24"/>
          <w:highlight w:val="none"/>
          <w14:textFill>
            <w14:solidFill>
              <w14:schemeClr w14:val="tx1"/>
            </w14:solidFill>
          </w14:textFill>
        </w:rPr>
        <w:t>19.</w:t>
      </w:r>
      <w:r>
        <w:rPr>
          <w:rFonts w:hint="eastAsia" w:ascii="仿宋" w:hAnsi="仿宋" w:eastAsia="仿宋" w:cs="仿宋"/>
          <w:color w:val="000000" w:themeColor="text1"/>
          <w:spacing w:val="1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14:textFill>
            <w14:solidFill>
              <w14:schemeClr w14:val="tx1"/>
            </w14:solidFill>
          </w14:textFill>
        </w:rPr>
        <w:t>索赔</w:t>
      </w:r>
      <w:bookmarkEnd w:id="127"/>
    </w:p>
    <w:p w14:paraId="367AFE04">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19.1</w:t>
      </w:r>
      <w:r>
        <w:rPr>
          <w:rFonts w:hint="eastAsia" w:ascii="仿宋" w:hAnsi="仿宋" w:eastAsia="仿宋" w:cs="仿宋"/>
          <w:color w:val="000000" w:themeColor="text1"/>
          <w:spacing w:val="-6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承包人的索赔</w:t>
      </w:r>
    </w:p>
    <w:p w14:paraId="3F1FDED8">
      <w:pPr>
        <w:keepNext w:val="0"/>
        <w:keepLines w:val="0"/>
        <w:pageBreakBefore w:val="0"/>
        <w:widowControl w:val="0"/>
        <w:kinsoku/>
        <w:wordWrap/>
        <w:overflowPunct/>
        <w:topLinePunct w:val="0"/>
        <w:autoSpaceDE/>
        <w:autoSpaceDN/>
        <w:bidi w:val="0"/>
        <w:snapToGrid/>
        <w:spacing w:line="360" w:lineRule="auto"/>
        <w:ind w:left="0" w:leftChars="0" w:right="0" w:rightChars="0" w:firstLine="5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根据合同约定，承包人认为有权得到追加付款和（或）延长工期的，应按以</w:t>
      </w:r>
      <w:r>
        <w:rPr>
          <w:rFonts w:hint="eastAsia" w:ascii="仿宋" w:hAnsi="仿宋" w:eastAsia="仿宋" w:cs="仿宋"/>
          <w:color w:val="000000" w:themeColor="text1"/>
          <w:spacing w:val="-6"/>
          <w:sz w:val="24"/>
          <w:szCs w:val="24"/>
          <w:highlight w:val="none"/>
          <w14:textFill>
            <w14:solidFill>
              <w14:schemeClr w14:val="tx1"/>
            </w14:solidFill>
          </w14:textFill>
        </w:rPr>
        <w:t>下程序向发包人提出索赔：</w:t>
      </w:r>
    </w:p>
    <w:p w14:paraId="6B5A7A19">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（1）承包人应在知道或应当知道索赔事件发生后28天内，向监理人递交索</w:t>
      </w:r>
      <w:r>
        <w:rPr>
          <w:rFonts w:hint="eastAsia" w:ascii="仿宋" w:hAnsi="仿宋" w:eastAsia="仿宋" w:cs="仿宋"/>
          <w:color w:val="000000" w:themeColor="text1"/>
          <w:spacing w:val="-2"/>
          <w:sz w:val="24"/>
          <w:szCs w:val="24"/>
          <w:highlight w:val="none"/>
          <w14:textFill>
            <w14:solidFill>
              <w14:schemeClr w14:val="tx1"/>
            </w14:solidFill>
          </w14:textFill>
        </w:rPr>
        <w:t>赔意向通知书，并说明发生索赔事件的事由；承包人未在前述28天内发出索赔意向通知书的，丧失要求追加付款和（或）延长工期的权利；</w:t>
      </w:r>
    </w:p>
    <w:p w14:paraId="02B45CFE">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（2）承包人应在发出索赔意向通知书后28天内，向监理人正式递交索赔报</w:t>
      </w:r>
      <w:r>
        <w:rPr>
          <w:rFonts w:hint="eastAsia" w:ascii="仿宋" w:hAnsi="仿宋" w:eastAsia="仿宋" w:cs="仿宋"/>
          <w:color w:val="000000" w:themeColor="text1"/>
          <w:spacing w:val="-8"/>
          <w:sz w:val="24"/>
          <w:szCs w:val="24"/>
          <w:highlight w:val="none"/>
          <w14:textFill>
            <w14:solidFill>
              <w14:schemeClr w14:val="tx1"/>
            </w14:solidFill>
          </w14:textFill>
        </w:rPr>
        <w:t>告；索赔报告应详细说明索赔理由以及要求追加的付款金额和（或）延长的工期，</w:t>
      </w:r>
      <w:r>
        <w:rPr>
          <w:rFonts w:hint="eastAsia" w:ascii="仿宋" w:hAnsi="仿宋" w:eastAsia="仿宋" w:cs="仿宋"/>
          <w:color w:val="000000" w:themeColor="text1"/>
          <w:spacing w:val="-2"/>
          <w:sz w:val="24"/>
          <w:szCs w:val="24"/>
          <w:highlight w:val="none"/>
          <w14:textFill>
            <w14:solidFill>
              <w14:schemeClr w14:val="tx1"/>
            </w14:solidFill>
          </w14:textFill>
        </w:rPr>
        <w:t>并附必要的记录和证明材料；</w:t>
      </w:r>
    </w:p>
    <w:p w14:paraId="45CFCF79">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（3）索赔事件具有持续影响的，承包人应按合理时间间隔继续递交延续索</w:t>
      </w:r>
      <w:r>
        <w:rPr>
          <w:rFonts w:hint="eastAsia" w:ascii="仿宋" w:hAnsi="仿宋" w:eastAsia="仿宋" w:cs="仿宋"/>
          <w:color w:val="000000" w:themeColor="text1"/>
          <w:spacing w:val="-2"/>
          <w:sz w:val="24"/>
          <w:szCs w:val="24"/>
          <w:highlight w:val="none"/>
          <w14:textFill>
            <w14:solidFill>
              <w14:schemeClr w14:val="tx1"/>
            </w14:solidFill>
          </w14:textFill>
        </w:rPr>
        <w:t>赔通知，说明持续影响的实际情况和记录，列出累计的追加付款金额和（或）工</w:t>
      </w:r>
      <w:r>
        <w:rPr>
          <w:rFonts w:hint="eastAsia" w:ascii="仿宋" w:hAnsi="仿宋" w:eastAsia="仿宋" w:cs="仿宋"/>
          <w:color w:val="000000" w:themeColor="text1"/>
          <w:spacing w:val="-7"/>
          <w:sz w:val="24"/>
          <w:szCs w:val="24"/>
          <w:highlight w:val="none"/>
          <w14:textFill>
            <w14:solidFill>
              <w14:schemeClr w14:val="tx1"/>
            </w14:solidFill>
          </w14:textFill>
        </w:rPr>
        <w:t>期延长天数；</w:t>
      </w:r>
    </w:p>
    <w:p w14:paraId="32A53BA8">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（4）在索赔事件影响结束后28天内，承包人应向监理人递交最终索赔报告，</w:t>
      </w:r>
      <w:r>
        <w:rPr>
          <w:rFonts w:hint="eastAsia" w:ascii="仿宋" w:hAnsi="仿宋" w:eastAsia="仿宋" w:cs="仿宋"/>
          <w:color w:val="000000" w:themeColor="text1"/>
          <w:spacing w:val="-2"/>
          <w:sz w:val="24"/>
          <w:szCs w:val="24"/>
          <w:highlight w:val="none"/>
          <w14:textFill>
            <w14:solidFill>
              <w14:schemeClr w14:val="tx1"/>
            </w14:solidFill>
          </w14:textFill>
        </w:rPr>
        <w:t>说明最终要求索赔的追加付款金额和（或）延长的工期，并附必要的记录和证明</w:t>
      </w:r>
      <w:r>
        <w:rPr>
          <w:rFonts w:hint="eastAsia" w:ascii="仿宋" w:hAnsi="仿宋" w:eastAsia="仿宋" w:cs="仿宋"/>
          <w:color w:val="000000" w:themeColor="text1"/>
          <w:spacing w:val="-12"/>
          <w:sz w:val="24"/>
          <w:szCs w:val="24"/>
          <w:highlight w:val="none"/>
          <w14:textFill>
            <w14:solidFill>
              <w14:schemeClr w14:val="tx1"/>
            </w14:solidFill>
          </w14:textFill>
        </w:rPr>
        <w:t>材料。</w:t>
      </w:r>
    </w:p>
    <w:p w14:paraId="5DBC0BEE">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19.2 对承包人索赔的处理</w:t>
      </w:r>
    </w:p>
    <w:p w14:paraId="535058D0">
      <w:pPr>
        <w:keepNext w:val="0"/>
        <w:keepLines w:val="0"/>
        <w:pageBreakBefore w:val="0"/>
        <w:widowControl w:val="0"/>
        <w:kinsoku/>
        <w:wordWrap/>
        <w:overflowPunct/>
        <w:topLinePunct w:val="0"/>
        <w:autoSpaceDE/>
        <w:autoSpaceDN/>
        <w:bidi w:val="0"/>
        <w:snapToGrid/>
        <w:spacing w:line="360" w:lineRule="auto"/>
        <w:ind w:left="0" w:leftChars="0" w:right="0" w:rightChars="0" w:firstLine="46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对承包人索赔的处理如下：</w:t>
      </w:r>
    </w:p>
    <w:p w14:paraId="64D728A4">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pacing w:val="-4"/>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（1）监理人应在收到索赔报告后14天内完成审查并报送发包人。监理人对索赔报告存在异议的，有权要求承包人提交全部原始记录副本；</w:t>
      </w:r>
    </w:p>
    <w:p w14:paraId="4B886C78">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pacing w:val="-4"/>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（2）发包人应在监理人收到索赔报告或有关索赔的进一步证明材料后的28天内，由监理人向承包人出具经发包人签认的索赔处理结果。发包人逾期答复的，则视为认可承包人的索赔要求；</w:t>
      </w:r>
    </w:p>
    <w:p w14:paraId="66AF34EB">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pacing w:val="-4"/>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（3）承包人接受索赔处理结果的，索赔款项在当期进度款中进行支付；承包人不接受索赔处理结果的，按照第20条〔争议解决〕约定处理。</w:t>
      </w:r>
    </w:p>
    <w:p w14:paraId="4ADD56C6">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19.3</w:t>
      </w:r>
      <w:r>
        <w:rPr>
          <w:rFonts w:hint="eastAsia" w:ascii="仿宋" w:hAnsi="仿宋" w:eastAsia="仿宋" w:cs="仿宋"/>
          <w:color w:val="000000" w:themeColor="text1"/>
          <w:spacing w:val="-5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发包人的索赔</w:t>
      </w:r>
    </w:p>
    <w:p w14:paraId="5B33570F">
      <w:pPr>
        <w:keepNext w:val="0"/>
        <w:keepLines w:val="0"/>
        <w:pageBreakBefore w:val="0"/>
        <w:widowControl w:val="0"/>
        <w:kinsoku/>
        <w:wordWrap/>
        <w:overflowPunct/>
        <w:topLinePunct w:val="0"/>
        <w:autoSpaceDE/>
        <w:autoSpaceDN/>
        <w:bidi w:val="0"/>
        <w:snapToGrid/>
        <w:spacing w:line="360" w:lineRule="auto"/>
        <w:ind w:left="0" w:leftChars="0" w:right="0" w:rightChars="0" w:firstLine="55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根据合同约定，发包人认为有权得到赔付金额和（</w:t>
      </w:r>
      <w:r>
        <w:rPr>
          <w:rFonts w:hint="eastAsia" w:ascii="仿宋" w:hAnsi="仿宋" w:eastAsia="仿宋" w:cs="仿宋"/>
          <w:color w:val="000000" w:themeColor="text1"/>
          <w:spacing w:val="-3"/>
          <w:sz w:val="24"/>
          <w:szCs w:val="24"/>
          <w:highlight w:val="none"/>
          <w14:textFill>
            <w14:solidFill>
              <w14:schemeClr w14:val="tx1"/>
            </w14:solidFill>
          </w14:textFill>
        </w:rPr>
        <w:t>或）延长缺陷责任期的，</w:t>
      </w:r>
      <w:r>
        <w:rPr>
          <w:rFonts w:hint="eastAsia" w:ascii="仿宋" w:hAnsi="仿宋" w:eastAsia="仿宋" w:cs="仿宋"/>
          <w:color w:val="000000" w:themeColor="text1"/>
          <w:spacing w:val="-1"/>
          <w:sz w:val="24"/>
          <w:szCs w:val="24"/>
          <w:highlight w:val="none"/>
          <w14:textFill>
            <w14:solidFill>
              <w14:schemeClr w14:val="tx1"/>
            </w14:solidFill>
          </w14:textFill>
        </w:rPr>
        <w:t>监理人应向承包人发出通知并附有详细的证明。</w:t>
      </w:r>
    </w:p>
    <w:p w14:paraId="68E19CEA">
      <w:pPr>
        <w:keepNext w:val="0"/>
        <w:keepLines w:val="0"/>
        <w:pageBreakBefore w:val="0"/>
        <w:widowControl w:val="0"/>
        <w:kinsoku/>
        <w:wordWrap/>
        <w:overflowPunct/>
        <w:topLinePunct w:val="0"/>
        <w:autoSpaceDE/>
        <w:autoSpaceDN/>
        <w:bidi w:val="0"/>
        <w:snapToGrid/>
        <w:spacing w:line="360" w:lineRule="auto"/>
        <w:ind w:left="0" w:leftChars="0" w:right="0" w:rightChars="0" w:firstLine="56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发包人应在知道或应当知道索赔事件发生后28天内通过监理人向承包人提</w:t>
      </w:r>
      <w:r>
        <w:rPr>
          <w:rFonts w:hint="eastAsia" w:ascii="仿宋" w:hAnsi="仿宋" w:eastAsia="仿宋" w:cs="仿宋"/>
          <w:color w:val="000000" w:themeColor="text1"/>
          <w:spacing w:val="-2"/>
          <w:sz w:val="24"/>
          <w:szCs w:val="24"/>
          <w:highlight w:val="none"/>
          <w14:textFill>
            <w14:solidFill>
              <w14:schemeClr w14:val="tx1"/>
            </w14:solidFill>
          </w14:textFill>
        </w:rPr>
        <w:t>出索赔意向通知书，发包人未在前述28天内发出索赔意向通知书的，丧失要求赔付金额和（或）延长缺陷责任期的权利。发包人应在发出索赔意向通知书后28天</w:t>
      </w:r>
      <w:r>
        <w:rPr>
          <w:rFonts w:hint="eastAsia" w:ascii="仿宋" w:hAnsi="仿宋" w:eastAsia="仿宋" w:cs="仿宋"/>
          <w:color w:val="000000" w:themeColor="text1"/>
          <w:spacing w:val="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内，通过监理人向承包人正式递交索赔报告。</w:t>
      </w:r>
    </w:p>
    <w:p w14:paraId="761A5432">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19.4 对发包人索赔的处理</w:t>
      </w:r>
    </w:p>
    <w:p w14:paraId="2416DD65">
      <w:pPr>
        <w:keepNext w:val="0"/>
        <w:keepLines w:val="0"/>
        <w:pageBreakBefore w:val="0"/>
        <w:widowControl w:val="0"/>
        <w:kinsoku/>
        <w:wordWrap/>
        <w:overflowPunct/>
        <w:topLinePunct w:val="0"/>
        <w:autoSpaceDE/>
        <w:autoSpaceDN/>
        <w:bidi w:val="0"/>
        <w:snapToGrid/>
        <w:spacing w:line="360" w:lineRule="auto"/>
        <w:ind w:left="0" w:leftChars="0" w:right="0" w:rightChars="0" w:firstLine="46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对发包人索赔的处理如下：</w:t>
      </w:r>
    </w:p>
    <w:p w14:paraId="2B0AAA87">
      <w:pPr>
        <w:keepNext w:val="0"/>
        <w:keepLines w:val="0"/>
        <w:pageBreakBefore w:val="0"/>
        <w:widowControl w:val="0"/>
        <w:kinsoku/>
        <w:wordWrap/>
        <w:overflowPunct/>
        <w:topLinePunct w:val="0"/>
        <w:autoSpaceDE/>
        <w:autoSpaceDN/>
        <w:bidi w:val="0"/>
        <w:snapToGrid/>
        <w:spacing w:line="360" w:lineRule="auto"/>
        <w:ind w:left="0" w:leftChars="0" w:right="0" w:rightChars="0" w:firstLine="56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（1）承包人收到发包人提交的索赔报告后，应及时审查索赔报告的内容、</w:t>
      </w:r>
      <w:r>
        <w:rPr>
          <w:rFonts w:hint="eastAsia" w:ascii="仿宋" w:hAnsi="仿宋" w:eastAsia="仿宋" w:cs="仿宋"/>
          <w:color w:val="000000" w:themeColor="text1"/>
          <w:spacing w:val="-5"/>
          <w:sz w:val="24"/>
          <w:szCs w:val="24"/>
          <w:highlight w:val="none"/>
          <w14:textFill>
            <w14:solidFill>
              <w14:schemeClr w14:val="tx1"/>
            </w14:solidFill>
          </w14:textFill>
        </w:rPr>
        <w:t>查验发包人证明材料；</w:t>
      </w:r>
    </w:p>
    <w:p w14:paraId="7EC7AE42">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（2）承包人应在收到索赔报告或有关索赔的进一步证明材料后28天内，将</w:t>
      </w:r>
      <w:r>
        <w:rPr>
          <w:rFonts w:hint="eastAsia" w:ascii="仿宋" w:hAnsi="仿宋" w:eastAsia="仿宋" w:cs="仿宋"/>
          <w:color w:val="000000" w:themeColor="text1"/>
          <w:spacing w:val="-2"/>
          <w:sz w:val="24"/>
          <w:szCs w:val="24"/>
          <w:highlight w:val="none"/>
          <w14:textFill>
            <w14:solidFill>
              <w14:schemeClr w14:val="tx1"/>
            </w14:solidFill>
          </w14:textFill>
        </w:rPr>
        <w:t>索赔处理结果答复发包人。如果承包人未在上述期限内作出答复的，则视为对发</w:t>
      </w:r>
      <w:r>
        <w:rPr>
          <w:rFonts w:hint="eastAsia" w:ascii="仿宋" w:hAnsi="仿宋" w:eastAsia="仿宋" w:cs="仿宋"/>
          <w:color w:val="000000" w:themeColor="text1"/>
          <w:spacing w:val="-5"/>
          <w:sz w:val="24"/>
          <w:szCs w:val="24"/>
          <w:highlight w:val="none"/>
          <w14:textFill>
            <w14:solidFill>
              <w14:schemeClr w14:val="tx1"/>
            </w14:solidFill>
          </w14:textFill>
        </w:rPr>
        <w:t>包人索赔要求的认可；</w:t>
      </w:r>
    </w:p>
    <w:p w14:paraId="39DCA951">
      <w:pPr>
        <w:keepNext w:val="0"/>
        <w:keepLines w:val="0"/>
        <w:pageBreakBefore w:val="0"/>
        <w:widowControl w:val="0"/>
        <w:kinsoku/>
        <w:wordWrap/>
        <w:overflowPunct/>
        <w:topLinePunct w:val="0"/>
        <w:autoSpaceDE/>
        <w:autoSpaceDN/>
        <w:bidi w:val="0"/>
        <w:snapToGrid/>
        <w:spacing w:line="360" w:lineRule="auto"/>
        <w:ind w:left="0" w:leftChars="0" w:right="0" w:rightChars="0" w:firstLine="54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（3）承包人接受索赔处理结果的，发包人可从应支付给承包人的合同价款</w:t>
      </w:r>
      <w:r>
        <w:rPr>
          <w:rFonts w:hint="eastAsia" w:ascii="仿宋" w:hAnsi="仿宋" w:eastAsia="仿宋" w:cs="仿宋"/>
          <w:color w:val="000000" w:themeColor="text1"/>
          <w:spacing w:val="-3"/>
          <w:sz w:val="24"/>
          <w:szCs w:val="24"/>
          <w:highlight w:val="none"/>
          <w14:textFill>
            <w14:solidFill>
              <w14:schemeClr w14:val="tx1"/>
            </w14:solidFill>
          </w14:textFill>
        </w:rPr>
        <w:t>中扣除赔付的金额或延长缺陷责任期；发包人不接受索赔处理结果的，按第20条</w:t>
      </w:r>
      <w:r>
        <w:rPr>
          <w:rFonts w:hint="eastAsia" w:ascii="仿宋" w:hAnsi="仿宋" w:eastAsia="仿宋" w:cs="仿宋"/>
          <w:color w:val="000000" w:themeColor="text1"/>
          <w:spacing w:val="-6"/>
          <w:sz w:val="24"/>
          <w:szCs w:val="24"/>
          <w:highlight w:val="none"/>
          <w14:textFill>
            <w14:solidFill>
              <w14:schemeClr w14:val="tx1"/>
            </w14:solidFill>
          </w14:textFill>
        </w:rPr>
        <w:t>〔争议解决〕约定处理。</w:t>
      </w:r>
    </w:p>
    <w:p w14:paraId="5A78BE16">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19.5 提出索赔的期限</w:t>
      </w:r>
    </w:p>
    <w:p w14:paraId="75D9B4C3">
      <w:pPr>
        <w:keepNext w:val="0"/>
        <w:keepLines w:val="0"/>
        <w:pageBreakBefore w:val="0"/>
        <w:widowControl w:val="0"/>
        <w:kinsoku/>
        <w:wordWrap/>
        <w:overflowPunct/>
        <w:topLinePunct w:val="0"/>
        <w:autoSpaceDE/>
        <w:autoSpaceDN/>
        <w:bidi w:val="0"/>
        <w:snapToGrid/>
        <w:spacing w:line="360" w:lineRule="auto"/>
        <w:ind w:left="0" w:leftChars="0" w:right="0" w:rightChars="0" w:firstLine="56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（1）承包人按第</w:t>
      </w:r>
      <w:r>
        <w:rPr>
          <w:rFonts w:hint="eastAsia" w:ascii="仿宋" w:hAnsi="仿宋" w:eastAsia="仿宋" w:cs="仿宋"/>
          <w:color w:val="000000" w:themeColor="text1"/>
          <w:spacing w:val="-4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14.2</w:t>
      </w:r>
      <w:r>
        <w:rPr>
          <w:rFonts w:hint="eastAsia" w:ascii="仿宋" w:hAnsi="仿宋" w:eastAsia="仿宋" w:cs="仿宋"/>
          <w:color w:val="000000" w:themeColor="text1"/>
          <w:spacing w:val="-5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款〔竣工结算审核〕约定接收竣工</w:t>
      </w:r>
      <w:r>
        <w:rPr>
          <w:rFonts w:hint="eastAsia" w:ascii="仿宋" w:hAnsi="仿宋" w:eastAsia="仿宋" w:cs="仿宋"/>
          <w:color w:val="000000" w:themeColor="text1"/>
          <w:spacing w:val="-4"/>
          <w:sz w:val="24"/>
          <w:szCs w:val="24"/>
          <w:highlight w:val="none"/>
          <w14:textFill>
            <w14:solidFill>
              <w14:schemeClr w14:val="tx1"/>
            </w14:solidFill>
          </w14:textFill>
        </w:rPr>
        <w:t>付款证书后，应被</w:t>
      </w:r>
      <w:r>
        <w:rPr>
          <w:rFonts w:hint="eastAsia" w:ascii="仿宋" w:hAnsi="仿宋" w:eastAsia="仿宋" w:cs="仿宋"/>
          <w:color w:val="000000" w:themeColor="text1"/>
          <w:spacing w:val="-2"/>
          <w:sz w:val="24"/>
          <w:szCs w:val="24"/>
          <w:highlight w:val="none"/>
          <w14:textFill>
            <w14:solidFill>
              <w14:schemeClr w14:val="tx1"/>
            </w14:solidFill>
          </w14:textFill>
        </w:rPr>
        <w:t>视为已无权再提出在工程接收证书颁发前所发生的任何索赔。</w:t>
      </w:r>
    </w:p>
    <w:p w14:paraId="29287B6C">
      <w:pPr>
        <w:keepNext w:val="0"/>
        <w:keepLines w:val="0"/>
        <w:pageBreakBefore w:val="0"/>
        <w:widowControl w:val="0"/>
        <w:kinsoku/>
        <w:wordWrap/>
        <w:overflowPunct/>
        <w:topLinePunct w:val="0"/>
        <w:autoSpaceDE/>
        <w:autoSpaceDN/>
        <w:bidi w:val="0"/>
        <w:snapToGrid/>
        <w:spacing w:line="360" w:lineRule="auto"/>
        <w:ind w:left="0" w:leftChars="0" w:right="0" w:rightChars="0" w:firstLine="56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（2）承包人按第</w:t>
      </w:r>
      <w:r>
        <w:rPr>
          <w:rFonts w:hint="eastAsia" w:ascii="仿宋" w:hAnsi="仿宋" w:eastAsia="仿宋" w:cs="仿宋"/>
          <w:color w:val="000000" w:themeColor="text1"/>
          <w:spacing w:val="-4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14.4</w:t>
      </w:r>
      <w:r>
        <w:rPr>
          <w:rFonts w:hint="eastAsia" w:ascii="仿宋" w:hAnsi="仿宋" w:eastAsia="仿宋" w:cs="仿宋"/>
          <w:color w:val="000000" w:themeColor="text1"/>
          <w:spacing w:val="-5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款〔最终结清〕提交的最终</w:t>
      </w:r>
      <w:r>
        <w:rPr>
          <w:rFonts w:hint="eastAsia" w:ascii="仿宋" w:hAnsi="仿宋" w:eastAsia="仿宋" w:cs="仿宋"/>
          <w:color w:val="000000" w:themeColor="text1"/>
          <w:spacing w:val="-4"/>
          <w:sz w:val="24"/>
          <w:szCs w:val="24"/>
          <w:highlight w:val="none"/>
          <w14:textFill>
            <w14:solidFill>
              <w14:schemeClr w14:val="tx1"/>
            </w14:solidFill>
          </w14:textFill>
        </w:rPr>
        <w:t>结清申请单中，只限于提</w:t>
      </w:r>
      <w:r>
        <w:rPr>
          <w:rFonts w:hint="eastAsia" w:ascii="仿宋" w:hAnsi="仿宋" w:eastAsia="仿宋" w:cs="仿宋"/>
          <w:color w:val="000000" w:themeColor="text1"/>
          <w:spacing w:val="6"/>
          <w:sz w:val="24"/>
          <w:szCs w:val="24"/>
          <w:highlight w:val="none"/>
          <w14:textFill>
            <w14:solidFill>
              <w14:schemeClr w14:val="tx1"/>
            </w14:solidFill>
          </w14:textFill>
        </w:rPr>
        <w:t>出工程接收证书颁发后发生的索赔。提出索赔的期限自接受最终结清证书时终</w:t>
      </w:r>
      <w:bookmarkStart w:id="128" w:name="bookmark134"/>
      <w:bookmarkEnd w:id="128"/>
      <w:r>
        <w:rPr>
          <w:rFonts w:hint="eastAsia" w:ascii="仿宋" w:hAnsi="仿宋" w:eastAsia="仿宋" w:cs="仿宋"/>
          <w:color w:val="000000" w:themeColor="text1"/>
          <w:spacing w:val="-13"/>
          <w:sz w:val="24"/>
          <w:szCs w:val="24"/>
          <w:highlight w:val="none"/>
          <w14:textFill>
            <w14:solidFill>
              <w14:schemeClr w14:val="tx1"/>
            </w14:solidFill>
          </w14:textFill>
        </w:rPr>
        <w:t>止。</w:t>
      </w:r>
    </w:p>
    <w:p w14:paraId="57AD934F">
      <w:pPr>
        <w:keepNext w:val="0"/>
        <w:keepLines w:val="0"/>
        <w:pageBreakBefore w:val="0"/>
        <w:widowControl w:val="0"/>
        <w:kinsoku/>
        <w:wordWrap/>
        <w:overflowPunct/>
        <w:topLinePunct w:val="0"/>
        <w:autoSpaceDE/>
        <w:autoSpaceDN/>
        <w:bidi w:val="0"/>
        <w:snapToGrid/>
        <w:spacing w:line="360" w:lineRule="auto"/>
        <w:ind w:left="0" w:leftChars="0" w:right="0" w:rightChars="0"/>
        <w:outlineLvl w:val="2"/>
        <w:rPr>
          <w:rFonts w:hint="eastAsia" w:ascii="仿宋" w:hAnsi="仿宋" w:eastAsia="仿宋" w:cs="仿宋"/>
          <w:color w:val="000000" w:themeColor="text1"/>
          <w:sz w:val="24"/>
          <w:szCs w:val="24"/>
          <w:highlight w:val="none"/>
          <w14:textFill>
            <w14:solidFill>
              <w14:schemeClr w14:val="tx1"/>
            </w14:solidFill>
          </w14:textFill>
        </w:rPr>
      </w:pPr>
      <w:bookmarkStart w:id="129" w:name="bookmark216"/>
      <w:bookmarkEnd w:id="129"/>
      <w:bookmarkStart w:id="130" w:name="_Toc72"/>
      <w:r>
        <w:rPr>
          <w:rFonts w:hint="eastAsia" w:ascii="仿宋" w:hAnsi="仿宋" w:eastAsia="仿宋" w:cs="仿宋"/>
          <w:color w:val="000000" w:themeColor="text1"/>
          <w:spacing w:val="-5"/>
          <w:sz w:val="24"/>
          <w:szCs w:val="24"/>
          <w:highlight w:val="none"/>
          <w14:textFill>
            <w14:solidFill>
              <w14:schemeClr w14:val="tx1"/>
            </w14:solidFill>
          </w14:textFill>
        </w:rPr>
        <w:t>20.</w:t>
      </w:r>
      <w:r>
        <w:rPr>
          <w:rFonts w:hint="eastAsia" w:ascii="仿宋" w:hAnsi="仿宋" w:eastAsia="仿宋" w:cs="仿宋"/>
          <w:color w:val="000000" w:themeColor="text1"/>
          <w:spacing w:val="2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争议解决</w:t>
      </w:r>
      <w:bookmarkEnd w:id="130"/>
    </w:p>
    <w:p w14:paraId="70B9934B">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20.1</w:t>
      </w:r>
      <w:r>
        <w:rPr>
          <w:rFonts w:hint="eastAsia" w:ascii="仿宋" w:hAnsi="仿宋" w:eastAsia="仿宋" w:cs="仿宋"/>
          <w:color w:val="000000" w:themeColor="text1"/>
          <w:spacing w:val="-5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和解</w:t>
      </w:r>
    </w:p>
    <w:p w14:paraId="2AAD8811">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合同当事人可以就争议自行和解，自行和解达成协议的经双方签字并</w:t>
      </w:r>
      <w:r>
        <w:rPr>
          <w:rFonts w:hint="eastAsia" w:ascii="仿宋" w:hAnsi="仿宋" w:eastAsia="仿宋" w:cs="仿宋"/>
          <w:color w:val="000000" w:themeColor="text1"/>
          <w:spacing w:val="-3"/>
          <w:sz w:val="24"/>
          <w:szCs w:val="24"/>
          <w:highlight w:val="none"/>
          <w14:textFill>
            <w14:solidFill>
              <w14:schemeClr w14:val="tx1"/>
            </w14:solidFill>
          </w14:textFill>
        </w:rPr>
        <w:t>盖章后</w:t>
      </w:r>
      <w:r>
        <w:rPr>
          <w:rFonts w:hint="eastAsia" w:ascii="仿宋" w:hAnsi="仿宋" w:eastAsia="仿宋" w:cs="仿宋"/>
          <w:color w:val="000000" w:themeColor="text1"/>
          <w:spacing w:val="-2"/>
          <w:sz w:val="24"/>
          <w:szCs w:val="24"/>
          <w:highlight w:val="none"/>
          <w14:textFill>
            <w14:solidFill>
              <w14:schemeClr w14:val="tx1"/>
            </w14:solidFill>
          </w14:textFill>
        </w:rPr>
        <w:t>作为合同补充文件，双方均应遵照执行。</w:t>
      </w:r>
    </w:p>
    <w:p w14:paraId="772B0DEB">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20.2</w:t>
      </w:r>
      <w:r>
        <w:rPr>
          <w:rFonts w:hint="eastAsia" w:ascii="仿宋" w:hAnsi="仿宋" w:eastAsia="仿宋" w:cs="仿宋"/>
          <w:color w:val="000000" w:themeColor="text1"/>
          <w:spacing w:val="-5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调解</w:t>
      </w:r>
    </w:p>
    <w:p w14:paraId="04BF130B">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合同当事人可以就争议请求建设行政主管部门、行业协会或其他第</w:t>
      </w:r>
      <w:r>
        <w:rPr>
          <w:rFonts w:hint="eastAsia" w:ascii="仿宋" w:hAnsi="仿宋" w:eastAsia="仿宋" w:cs="仿宋"/>
          <w:color w:val="000000" w:themeColor="text1"/>
          <w:spacing w:val="-3"/>
          <w:sz w:val="24"/>
          <w:szCs w:val="24"/>
          <w:highlight w:val="none"/>
          <w14:textFill>
            <w14:solidFill>
              <w14:schemeClr w14:val="tx1"/>
            </w14:solidFill>
          </w14:textFill>
        </w:rPr>
        <w:t>三方进行</w:t>
      </w:r>
      <w:r>
        <w:rPr>
          <w:rFonts w:hint="eastAsia" w:ascii="仿宋" w:hAnsi="仿宋" w:eastAsia="仿宋" w:cs="仿宋"/>
          <w:color w:val="000000" w:themeColor="text1"/>
          <w:spacing w:val="-2"/>
          <w:sz w:val="24"/>
          <w:szCs w:val="24"/>
          <w:highlight w:val="none"/>
          <w14:textFill>
            <w14:solidFill>
              <w14:schemeClr w14:val="tx1"/>
            </w14:solidFill>
          </w14:textFill>
        </w:rPr>
        <w:t>调解，调解达成协议的，经双方签字并盖章后作为合同补充文件，双方均应遵照</w:t>
      </w:r>
      <w:r>
        <w:rPr>
          <w:rFonts w:hint="eastAsia" w:ascii="仿宋" w:hAnsi="仿宋" w:eastAsia="仿宋" w:cs="仿宋"/>
          <w:color w:val="000000" w:themeColor="text1"/>
          <w:spacing w:val="-12"/>
          <w:sz w:val="24"/>
          <w:szCs w:val="24"/>
          <w:highlight w:val="none"/>
          <w14:textFill>
            <w14:solidFill>
              <w14:schemeClr w14:val="tx1"/>
            </w14:solidFill>
          </w14:textFill>
        </w:rPr>
        <w:t>执行。</w:t>
      </w:r>
    </w:p>
    <w:p w14:paraId="53262B7E">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20.3</w:t>
      </w:r>
      <w:r>
        <w:rPr>
          <w:rFonts w:hint="eastAsia" w:ascii="仿宋" w:hAnsi="仿宋" w:eastAsia="仿宋" w:cs="仿宋"/>
          <w:color w:val="000000" w:themeColor="text1"/>
          <w:spacing w:val="-5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争议评审</w:t>
      </w:r>
    </w:p>
    <w:p w14:paraId="05A1858F">
      <w:pPr>
        <w:keepNext w:val="0"/>
        <w:keepLines w:val="0"/>
        <w:pageBreakBefore w:val="0"/>
        <w:widowControl w:val="0"/>
        <w:kinsoku/>
        <w:wordWrap/>
        <w:overflowPunct/>
        <w:topLinePunct w:val="0"/>
        <w:autoSpaceDE/>
        <w:autoSpaceDN/>
        <w:bidi w:val="0"/>
        <w:snapToGrid/>
        <w:spacing w:line="360" w:lineRule="auto"/>
        <w:ind w:left="0" w:leftChars="0" w:right="0" w:rightChars="0" w:firstLine="55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合同当事人在专用合同条款中约定采取争议评审方式解决争议以及评审规</w:t>
      </w:r>
      <w:r>
        <w:rPr>
          <w:rFonts w:hint="eastAsia" w:ascii="仿宋" w:hAnsi="仿宋" w:eastAsia="仿宋" w:cs="仿宋"/>
          <w:color w:val="000000" w:themeColor="text1"/>
          <w:spacing w:val="-6"/>
          <w:sz w:val="24"/>
          <w:szCs w:val="24"/>
          <w:highlight w:val="none"/>
          <w14:textFill>
            <w14:solidFill>
              <w14:schemeClr w14:val="tx1"/>
            </w14:solidFill>
          </w14:textFill>
        </w:rPr>
        <w:t>则，并按下列约定执行：</w:t>
      </w:r>
    </w:p>
    <w:p w14:paraId="4C9D3305">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20.3.1 争议评审小组的确定</w:t>
      </w:r>
    </w:p>
    <w:p w14:paraId="32CF5873">
      <w:pPr>
        <w:keepNext w:val="0"/>
        <w:keepLines w:val="0"/>
        <w:pageBreakBefore w:val="0"/>
        <w:widowControl w:val="0"/>
        <w:kinsoku/>
        <w:wordWrap/>
        <w:overflowPunct/>
        <w:topLinePunct w:val="0"/>
        <w:autoSpaceDE/>
        <w:autoSpaceDN/>
        <w:bidi w:val="0"/>
        <w:snapToGrid/>
        <w:spacing w:line="360" w:lineRule="auto"/>
        <w:ind w:left="0" w:leftChars="0" w:right="0" w:rightChars="0" w:firstLine="555"/>
        <w:rPr>
          <w:rFonts w:hint="eastAsia" w:ascii="仿宋" w:hAnsi="仿宋" w:eastAsia="仿宋" w:cs="仿宋"/>
          <w:color w:val="000000" w:themeColor="text1"/>
          <w:spacing w:val="-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合同当事人可以共同选择一名或三名争议评审员，组成争议评审小组。除专用合同条款另有约定外，合同当事人应当自合同签订后28天内，或者争议发生后14天内，选定争议评审员。</w:t>
      </w:r>
    </w:p>
    <w:p w14:paraId="4A827618">
      <w:pPr>
        <w:keepNext w:val="0"/>
        <w:keepLines w:val="0"/>
        <w:pageBreakBefore w:val="0"/>
        <w:widowControl w:val="0"/>
        <w:kinsoku/>
        <w:wordWrap/>
        <w:overflowPunct/>
        <w:topLinePunct w:val="0"/>
        <w:autoSpaceDE/>
        <w:autoSpaceDN/>
        <w:bidi w:val="0"/>
        <w:snapToGrid/>
        <w:spacing w:line="360" w:lineRule="auto"/>
        <w:ind w:left="0" w:leftChars="0" w:right="0" w:rightChars="0" w:firstLine="55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w:t>
      </w:r>
      <w:r>
        <w:rPr>
          <w:rFonts w:hint="eastAsia" w:ascii="仿宋" w:hAnsi="仿宋" w:eastAsia="仿宋" w:cs="仿宋"/>
          <w:color w:val="000000" w:themeColor="text1"/>
          <w:spacing w:val="-4"/>
          <w:sz w:val="24"/>
          <w:szCs w:val="24"/>
          <w:highlight w:val="none"/>
          <w14:textFill>
            <w14:solidFill>
              <w14:schemeClr w14:val="tx1"/>
            </w14:solidFill>
          </w14:textFill>
        </w:rPr>
        <w:t>定第三名首席争议评审员。</w:t>
      </w:r>
    </w:p>
    <w:p w14:paraId="63E6717E">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除专用合同条款另有约定外，评审员报酬由发包人和承包人各承担一半。</w:t>
      </w:r>
    </w:p>
    <w:p w14:paraId="58085009">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20.3.2 争议评审小组的决定</w:t>
      </w:r>
    </w:p>
    <w:p w14:paraId="6FAC3AFE">
      <w:pPr>
        <w:keepNext w:val="0"/>
        <w:keepLines w:val="0"/>
        <w:pageBreakBefore w:val="0"/>
        <w:widowControl w:val="0"/>
        <w:kinsoku/>
        <w:wordWrap/>
        <w:overflowPunct/>
        <w:topLinePunct w:val="0"/>
        <w:autoSpaceDE/>
        <w:autoSpaceDN/>
        <w:bidi w:val="0"/>
        <w:snapToGrid/>
        <w:spacing w:line="360" w:lineRule="auto"/>
        <w:ind w:left="0" w:leftChars="0" w:right="0" w:rightChars="0" w:firstLine="5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合同当事人可在任何时间将与合同有关的任何争议共同提请争议评审小组</w:t>
      </w:r>
      <w:r>
        <w:rPr>
          <w:rFonts w:hint="eastAsia" w:ascii="仿宋" w:hAnsi="仿宋" w:eastAsia="仿宋" w:cs="仿宋"/>
          <w:color w:val="000000" w:themeColor="text1"/>
          <w:spacing w:val="-2"/>
          <w:sz w:val="24"/>
          <w:szCs w:val="24"/>
          <w:highlight w:val="none"/>
          <w14:textFill>
            <w14:solidFill>
              <w14:schemeClr w14:val="tx1"/>
            </w14:solidFill>
          </w14:textFill>
        </w:rPr>
        <w:t>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w:t>
      </w:r>
      <w:r>
        <w:rPr>
          <w:rFonts w:hint="eastAsia" w:ascii="仿宋" w:hAnsi="仿宋" w:eastAsia="仿宋" w:cs="仿宋"/>
          <w:color w:val="000000" w:themeColor="text1"/>
          <w:spacing w:val="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事项另行约定。</w:t>
      </w:r>
    </w:p>
    <w:p w14:paraId="12829342">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20.3.3 争议评审小组决定的效力</w:t>
      </w:r>
    </w:p>
    <w:p w14:paraId="0FA5CCDA">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争议评审小组作出的书面决定经合同当事人签字确认后，对双方具有约束</w:t>
      </w:r>
      <w:r>
        <w:rPr>
          <w:rFonts w:hint="eastAsia" w:ascii="仿宋" w:hAnsi="仿宋" w:eastAsia="仿宋" w:cs="仿宋"/>
          <w:color w:val="000000" w:themeColor="text1"/>
          <w:spacing w:val="-4"/>
          <w:sz w:val="24"/>
          <w:szCs w:val="24"/>
          <w:highlight w:val="none"/>
          <w14:textFill>
            <w14:solidFill>
              <w14:schemeClr w14:val="tx1"/>
            </w14:solidFill>
          </w14:textFill>
        </w:rPr>
        <w:t>力，双方应遵照执行。</w:t>
      </w:r>
    </w:p>
    <w:p w14:paraId="6069C058">
      <w:pPr>
        <w:keepNext w:val="0"/>
        <w:keepLines w:val="0"/>
        <w:pageBreakBefore w:val="0"/>
        <w:widowControl w:val="0"/>
        <w:kinsoku/>
        <w:wordWrap/>
        <w:overflowPunct/>
        <w:topLinePunct w:val="0"/>
        <w:autoSpaceDE/>
        <w:autoSpaceDN/>
        <w:bidi w:val="0"/>
        <w:snapToGrid/>
        <w:spacing w:line="360" w:lineRule="auto"/>
        <w:ind w:left="0" w:leftChars="0" w:right="0" w:rightChars="0" w:firstLine="5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任何一方当事人不接受争议评审小组决定或不履行争议评审小组决定的</w:t>
      </w:r>
      <w:r>
        <w:rPr>
          <w:rFonts w:hint="eastAsia" w:ascii="仿宋" w:hAnsi="仿宋" w:eastAsia="仿宋" w:cs="仿宋"/>
          <w:color w:val="000000" w:themeColor="text1"/>
          <w:spacing w:val="-3"/>
          <w:sz w:val="24"/>
          <w:szCs w:val="24"/>
          <w:highlight w:val="none"/>
          <w14:textFill>
            <w14:solidFill>
              <w14:schemeClr w14:val="tx1"/>
            </w14:solidFill>
          </w14:textFill>
        </w:rPr>
        <w:t>，双</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方可选择采用其他争议解决方式。</w:t>
      </w:r>
    </w:p>
    <w:p w14:paraId="30C6CF95">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20.4</w:t>
      </w:r>
      <w:r>
        <w:rPr>
          <w:rFonts w:hint="eastAsia" w:ascii="仿宋" w:hAnsi="仿宋" w:eastAsia="仿宋" w:cs="仿宋"/>
          <w:color w:val="000000" w:themeColor="text1"/>
          <w:spacing w:val="-5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仲裁或诉讼</w:t>
      </w:r>
    </w:p>
    <w:p w14:paraId="11AA5CE3">
      <w:pPr>
        <w:keepNext w:val="0"/>
        <w:keepLines w:val="0"/>
        <w:pageBreakBefore w:val="0"/>
        <w:widowControl w:val="0"/>
        <w:kinsoku/>
        <w:wordWrap/>
        <w:overflowPunct/>
        <w:topLinePunct w:val="0"/>
        <w:autoSpaceDE/>
        <w:autoSpaceDN/>
        <w:bidi w:val="0"/>
        <w:snapToGrid/>
        <w:spacing w:line="360" w:lineRule="auto"/>
        <w:ind w:left="0" w:leftChars="0" w:right="0" w:rightChars="0" w:firstLine="549"/>
        <w:rPr>
          <w:rFonts w:hint="eastAsia" w:ascii="仿宋" w:hAnsi="仿宋" w:eastAsia="仿宋" w:cs="仿宋"/>
          <w:color w:val="000000" w:themeColor="text1"/>
          <w:spacing w:val="-3"/>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因合同及合同有关事项产生的争议，合同当事人可以在专用合同条款中约定以下一种方式解决争议：</w:t>
      </w:r>
    </w:p>
    <w:p w14:paraId="5A6DE55C">
      <w:pPr>
        <w:keepNext w:val="0"/>
        <w:keepLines w:val="0"/>
        <w:pageBreakBefore w:val="0"/>
        <w:widowControl w:val="0"/>
        <w:kinsoku/>
        <w:wordWrap/>
        <w:overflowPunct/>
        <w:topLinePunct w:val="0"/>
        <w:autoSpaceDE/>
        <w:autoSpaceDN/>
        <w:bidi w:val="0"/>
        <w:snapToGrid/>
        <w:spacing w:line="360" w:lineRule="auto"/>
        <w:ind w:left="0" w:leftChars="0" w:right="0" w:rightChars="0" w:firstLine="549"/>
        <w:rPr>
          <w:rFonts w:hint="eastAsia" w:ascii="仿宋" w:hAnsi="仿宋" w:eastAsia="仿宋" w:cs="仿宋"/>
          <w:color w:val="000000" w:themeColor="text1"/>
          <w:spacing w:val="-3"/>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（1）向约定的仲裁委员会申请仲裁；</w:t>
      </w:r>
    </w:p>
    <w:p w14:paraId="4333F5A4">
      <w:pPr>
        <w:keepNext w:val="0"/>
        <w:keepLines w:val="0"/>
        <w:pageBreakBefore w:val="0"/>
        <w:widowControl w:val="0"/>
        <w:kinsoku/>
        <w:wordWrap/>
        <w:overflowPunct/>
        <w:topLinePunct w:val="0"/>
        <w:autoSpaceDE/>
        <w:autoSpaceDN/>
        <w:bidi w:val="0"/>
        <w:snapToGrid/>
        <w:spacing w:line="360" w:lineRule="auto"/>
        <w:ind w:left="0" w:leftChars="0" w:right="0" w:rightChars="0" w:firstLine="549"/>
        <w:rPr>
          <w:rFonts w:hint="eastAsia" w:ascii="仿宋" w:hAnsi="仿宋" w:eastAsia="仿宋" w:cs="仿宋"/>
          <w:color w:val="000000" w:themeColor="text1"/>
          <w:spacing w:val="-3"/>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（2）向有管辖权的人民法院起诉。</w:t>
      </w:r>
    </w:p>
    <w:p w14:paraId="45E371EC">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20.5</w:t>
      </w:r>
      <w:r>
        <w:rPr>
          <w:rFonts w:hint="eastAsia" w:ascii="仿宋" w:hAnsi="仿宋" w:eastAsia="仿宋" w:cs="仿宋"/>
          <w:color w:val="000000" w:themeColor="text1"/>
          <w:spacing w:val="-4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争议解决条款效力</w:t>
      </w:r>
    </w:p>
    <w:p w14:paraId="08D9B11E">
      <w:pPr>
        <w:keepNext w:val="0"/>
        <w:keepLines w:val="0"/>
        <w:pageBreakBefore w:val="0"/>
        <w:widowControl w:val="0"/>
        <w:kinsoku/>
        <w:wordWrap/>
        <w:overflowPunct/>
        <w:topLinePunct w:val="0"/>
        <w:autoSpaceDE/>
        <w:autoSpaceDN/>
        <w:bidi w:val="0"/>
        <w:snapToGrid/>
        <w:spacing w:line="360" w:lineRule="auto"/>
        <w:ind w:left="0" w:leftChars="0" w:right="0" w:rightChars="0" w:firstLine="549"/>
        <w:rPr>
          <w:rFonts w:hint="eastAsia" w:ascii="仿宋" w:hAnsi="仿宋" w:eastAsia="仿宋" w:cs="仿宋"/>
          <w:color w:val="000000" w:themeColor="text1"/>
          <w:spacing w:val="-3"/>
          <w:sz w:val="24"/>
          <w:szCs w:val="24"/>
          <w:highlight w:val="none"/>
          <w14:textFill>
            <w14:solidFill>
              <w14:schemeClr w14:val="tx1"/>
            </w14:solidFill>
          </w14:textFill>
        </w:rPr>
        <w:sectPr>
          <w:headerReference r:id="rId14" w:type="default"/>
          <w:footerReference r:id="rId15" w:type="default"/>
          <w:pgSz w:w="11907" w:h="16839"/>
          <w:pgMar w:top="1417" w:right="1417" w:bottom="1417" w:left="1417" w:header="1092" w:footer="948" w:gutter="0"/>
          <w:cols w:space="720" w:num="1"/>
          <w:rtlGutter w:val="0"/>
          <w:docGrid w:linePitch="0" w:charSpace="0"/>
        </w:sectPr>
      </w:pPr>
      <w:r>
        <w:rPr>
          <w:rFonts w:hint="eastAsia" w:ascii="仿宋" w:hAnsi="仿宋" w:eastAsia="仿宋" w:cs="仿宋"/>
          <w:color w:val="000000" w:themeColor="text1"/>
          <w:spacing w:val="-3"/>
          <w:sz w:val="24"/>
          <w:szCs w:val="24"/>
          <w:highlight w:val="none"/>
          <w14:textFill>
            <w14:solidFill>
              <w14:schemeClr w14:val="tx1"/>
            </w14:solidFill>
          </w14:textFill>
        </w:rPr>
        <w:t>合同有关争议解决的条款独立存在，合同的变更、解除、终止、无效或者被撤销均不影响其效力。</w:t>
      </w:r>
      <w:bookmarkStart w:id="131" w:name="bookmark136"/>
      <w:bookmarkEnd w:id="131"/>
      <w:bookmarkStart w:id="132" w:name="bookmark135"/>
      <w:bookmarkEnd w:id="132"/>
    </w:p>
    <w:p w14:paraId="3DA0E2F8">
      <w:pPr>
        <w:keepNext w:val="0"/>
        <w:keepLines w:val="0"/>
        <w:pageBreakBefore w:val="0"/>
        <w:widowControl w:val="0"/>
        <w:kinsoku/>
        <w:wordWrap/>
        <w:overflowPunct/>
        <w:topLinePunct w:val="0"/>
        <w:autoSpaceDE/>
        <w:autoSpaceDN/>
        <w:bidi w:val="0"/>
        <w:snapToGrid/>
        <w:spacing w:line="360" w:lineRule="auto"/>
        <w:ind w:left="0" w:leftChars="0" w:right="0" w:rightChars="0"/>
        <w:jc w:val="center"/>
        <w:outlineLvl w:val="1"/>
        <w:rPr>
          <w:rFonts w:hint="eastAsia" w:ascii="仿宋" w:hAnsi="仿宋" w:eastAsia="仿宋" w:cs="仿宋"/>
          <w:color w:val="000000" w:themeColor="text1"/>
          <w:sz w:val="24"/>
          <w:szCs w:val="24"/>
          <w:highlight w:val="none"/>
          <w14:textFill>
            <w14:solidFill>
              <w14:schemeClr w14:val="tx1"/>
            </w14:solidFill>
          </w14:textFill>
        </w:rPr>
      </w:pPr>
      <w:bookmarkStart w:id="133" w:name="_Toc21971"/>
      <w:r>
        <w:rPr>
          <w:rFonts w:hint="eastAsia" w:ascii="仿宋" w:hAnsi="仿宋" w:eastAsia="仿宋" w:cs="仿宋"/>
          <w:b/>
          <w:bCs/>
          <w:color w:val="000000" w:themeColor="text1"/>
          <w:spacing w:val="-3"/>
          <w:sz w:val="24"/>
          <w:szCs w:val="24"/>
          <w:highlight w:val="none"/>
          <w14:textFill>
            <w14:solidFill>
              <w14:schemeClr w14:val="tx1"/>
            </w14:solidFill>
          </w14:textFill>
        </w:rPr>
        <w:t>第三部分</w:t>
      </w:r>
      <w:r>
        <w:rPr>
          <w:rFonts w:hint="eastAsia" w:ascii="仿宋" w:hAnsi="仿宋" w:eastAsia="仿宋" w:cs="仿宋"/>
          <w:color w:val="000000" w:themeColor="text1"/>
          <w:spacing w:val="-3"/>
          <w:sz w:val="24"/>
          <w:szCs w:val="24"/>
          <w:highlight w:val="none"/>
          <w14:textFill>
            <w14:solidFill>
              <w14:schemeClr w14:val="tx1"/>
            </w14:solidFill>
          </w14:textFill>
        </w:rPr>
        <w:t xml:space="preserve"> </w:t>
      </w:r>
      <w:r>
        <w:rPr>
          <w:rFonts w:hint="eastAsia" w:ascii="仿宋" w:hAnsi="仿宋" w:eastAsia="仿宋" w:cs="仿宋"/>
          <w:b/>
          <w:bCs/>
          <w:color w:val="000000" w:themeColor="text1"/>
          <w:spacing w:val="-3"/>
          <w:sz w:val="24"/>
          <w:szCs w:val="24"/>
          <w:highlight w:val="none"/>
          <w14:textFill>
            <w14:solidFill>
              <w14:schemeClr w14:val="tx1"/>
            </w14:solidFill>
          </w14:textFill>
        </w:rPr>
        <w:t>专用合同条款</w:t>
      </w:r>
      <w:bookmarkEnd w:id="133"/>
    </w:p>
    <w:p w14:paraId="1331D334">
      <w:pPr>
        <w:pStyle w:val="9"/>
        <w:keepNext w:val="0"/>
        <w:keepLines w:val="0"/>
        <w:pageBreakBefore w:val="0"/>
        <w:widowControl w:val="0"/>
        <w:kinsoku/>
        <w:wordWrap/>
        <w:overflowPunct/>
        <w:topLinePunct w:val="0"/>
        <w:autoSpaceDE/>
        <w:autoSpaceDN/>
        <w:bidi w:val="0"/>
        <w:snapToGrid/>
        <w:spacing w:after="0"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p>
    <w:p w14:paraId="340689C3">
      <w:pPr>
        <w:keepNext w:val="0"/>
        <w:keepLines w:val="0"/>
        <w:pageBreakBefore w:val="0"/>
        <w:widowControl w:val="0"/>
        <w:kinsoku/>
        <w:wordWrap/>
        <w:overflowPunct/>
        <w:topLinePunct w:val="0"/>
        <w:autoSpaceDE/>
        <w:autoSpaceDN/>
        <w:bidi w:val="0"/>
        <w:snapToGrid/>
        <w:spacing w:line="360" w:lineRule="auto"/>
        <w:ind w:left="0" w:leftChars="0" w:right="0" w:rightChars="0"/>
        <w:outlineLvl w:val="2"/>
        <w:rPr>
          <w:rFonts w:hint="eastAsia" w:ascii="仿宋" w:hAnsi="仿宋" w:eastAsia="仿宋" w:cs="仿宋"/>
          <w:color w:val="000000" w:themeColor="text1"/>
          <w:sz w:val="24"/>
          <w:szCs w:val="24"/>
          <w:highlight w:val="none"/>
          <w14:textFill>
            <w14:solidFill>
              <w14:schemeClr w14:val="tx1"/>
            </w14:solidFill>
          </w14:textFill>
        </w:rPr>
      </w:pPr>
      <w:bookmarkStart w:id="134" w:name="bookmark217"/>
      <w:bookmarkEnd w:id="134"/>
      <w:bookmarkStart w:id="135" w:name="_Toc30749"/>
      <w:r>
        <w:rPr>
          <w:rFonts w:hint="eastAsia" w:ascii="仿宋" w:hAnsi="仿宋" w:eastAsia="仿宋" w:cs="仿宋"/>
          <w:color w:val="000000" w:themeColor="text1"/>
          <w:spacing w:val="-8"/>
          <w:sz w:val="24"/>
          <w:szCs w:val="24"/>
          <w:highlight w:val="none"/>
          <w14:textFill>
            <w14:solidFill>
              <w14:schemeClr w14:val="tx1"/>
            </w14:solidFill>
          </w14:textFill>
        </w:rPr>
        <w:t>1.</w:t>
      </w:r>
      <w:r>
        <w:rPr>
          <w:rFonts w:hint="eastAsia" w:ascii="仿宋" w:hAnsi="仿宋" w:eastAsia="仿宋" w:cs="仿宋"/>
          <w:color w:val="000000" w:themeColor="text1"/>
          <w:spacing w:val="1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14:textFill>
            <w14:solidFill>
              <w14:schemeClr w14:val="tx1"/>
            </w14:solidFill>
          </w14:textFill>
        </w:rPr>
        <w:t>一般约定</w:t>
      </w:r>
      <w:bookmarkEnd w:id="135"/>
    </w:p>
    <w:p w14:paraId="7890EB41">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7"/>
          <w:sz w:val="24"/>
          <w:szCs w:val="24"/>
          <w:highlight w:val="none"/>
          <w14:textFill>
            <w14:solidFill>
              <w14:schemeClr w14:val="tx1"/>
            </w14:solidFill>
          </w14:textFill>
        </w:rPr>
        <w:t>1.1</w:t>
      </w:r>
      <w:r>
        <w:rPr>
          <w:rFonts w:hint="eastAsia" w:ascii="仿宋" w:hAnsi="仿宋" w:eastAsia="仿宋" w:cs="仿宋"/>
          <w:color w:val="000000" w:themeColor="text1"/>
          <w:spacing w:val="1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14:textFill>
            <w14:solidFill>
              <w14:schemeClr w14:val="tx1"/>
            </w14:solidFill>
          </w14:textFill>
        </w:rPr>
        <w:t>词语定义</w:t>
      </w:r>
    </w:p>
    <w:p w14:paraId="602C1DCD">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1.1.1</w:t>
      </w:r>
      <w:r>
        <w:rPr>
          <w:rFonts w:hint="eastAsia" w:ascii="仿宋" w:hAnsi="仿宋" w:eastAsia="仿宋" w:cs="仿宋"/>
          <w:color w:val="000000" w:themeColor="text1"/>
          <w:spacing w:val="-5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合同</w:t>
      </w:r>
    </w:p>
    <w:p w14:paraId="168FC67A">
      <w:pPr>
        <w:keepNext w:val="0"/>
        <w:keepLines w:val="0"/>
        <w:pageBreakBefore w:val="0"/>
        <w:widowControl w:val="0"/>
        <w:kinsoku/>
        <w:wordWrap/>
        <w:overflowPunct/>
        <w:topLinePunct w:val="0"/>
        <w:autoSpaceDE/>
        <w:autoSpaceDN/>
        <w:bidi w:val="0"/>
        <w:snapToGrid/>
        <w:spacing w:line="360" w:lineRule="auto"/>
        <w:ind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HYPERLINK "file:///E:\\路紫婷\\2025年\\高新区施工\\1.1.1.10"</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pacing w:val="-5"/>
          <w:sz w:val="24"/>
          <w:szCs w:val="24"/>
          <w:highlight w:val="none"/>
          <w14:textFill>
            <w14:solidFill>
              <w14:schemeClr w14:val="tx1"/>
            </w14:solidFill>
          </w14:textFill>
        </w:rPr>
        <w:t>1.1.1.10</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pacing w:val="-4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其他合同文件包括：</w:t>
      </w:r>
      <w:r>
        <w:rPr>
          <w:rFonts w:hint="eastAsia" w:ascii="仿宋" w:hAnsi="仿宋" w:eastAsia="仿宋" w:cs="仿宋"/>
          <w:color w:val="000000" w:themeColor="text1"/>
          <w:spacing w:val="-5"/>
          <w:sz w:val="24"/>
          <w:szCs w:val="24"/>
          <w:highlight w:val="none"/>
          <w:u w:val="single"/>
          <w14:textFill>
            <w14:solidFill>
              <w14:schemeClr w14:val="tx1"/>
            </w14:solidFill>
          </w14:textFill>
        </w:rPr>
        <w:t>施工组织设计、招标文件（含澄清文件、暂列</w:t>
      </w:r>
      <w:r>
        <w:rPr>
          <w:rFonts w:hint="eastAsia" w:ascii="仿宋" w:hAnsi="仿宋" w:eastAsia="仿宋" w:cs="仿宋"/>
          <w:color w:val="000000" w:themeColor="text1"/>
          <w:spacing w:val="-6"/>
          <w:sz w:val="24"/>
          <w:szCs w:val="24"/>
          <w:highlight w:val="none"/>
          <w:u w:val="single"/>
          <w14:textFill>
            <w14:solidFill>
              <w14:schemeClr w14:val="tx1"/>
            </w14:solidFill>
          </w14:textFill>
        </w:rPr>
        <w:t>金、暂估价） 、洽谈记录、会议纪要（经发包人和发包人委托的全过程项目管理</w:t>
      </w:r>
      <w:r>
        <w:rPr>
          <w:rFonts w:hint="eastAsia" w:ascii="仿宋" w:hAnsi="仿宋" w:eastAsia="仿宋" w:cs="仿宋"/>
          <w:color w:val="000000" w:themeColor="text1"/>
          <w:spacing w:val="-2"/>
          <w:sz w:val="24"/>
          <w:szCs w:val="24"/>
          <w:highlight w:val="none"/>
          <w:u w:val="single"/>
          <w14:textFill>
            <w14:solidFill>
              <w14:schemeClr w14:val="tx1"/>
            </w14:solidFill>
          </w14:textFill>
        </w:rPr>
        <w:t>单位认可的）、图纸会审记录、发包人和发包人委托的全过程项目管理单位的相</w:t>
      </w:r>
      <w:r>
        <w:rPr>
          <w:rFonts w:hint="eastAsia" w:ascii="仿宋" w:hAnsi="仿宋" w:eastAsia="仿宋" w:cs="仿宋"/>
          <w:color w:val="000000" w:themeColor="text1"/>
          <w:spacing w:val="-1"/>
          <w:sz w:val="24"/>
          <w:szCs w:val="24"/>
          <w:highlight w:val="none"/>
          <w:u w:val="single"/>
          <w14:textFill>
            <w14:solidFill>
              <w14:schemeClr w14:val="tx1"/>
            </w14:solidFill>
          </w14:textFill>
        </w:rPr>
        <w:t>关制度、廉政协议、安全合同等</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509C09E0">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1.1.2 合同当事人及其他相关方</w:t>
      </w:r>
    </w:p>
    <w:p w14:paraId="290DCB17">
      <w:pPr>
        <w:keepNext w:val="0"/>
        <w:keepLines w:val="0"/>
        <w:pageBreakBefore w:val="0"/>
        <w:widowControl w:val="0"/>
        <w:kinsoku/>
        <w:wordWrap/>
        <w:overflowPunct/>
        <w:topLinePunct w:val="0"/>
        <w:autoSpaceDE/>
        <w:autoSpaceDN/>
        <w:bidi w:val="0"/>
        <w:snapToGrid/>
        <w:spacing w:line="360" w:lineRule="auto"/>
        <w:ind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1.1.2.4</w:t>
      </w:r>
      <w:r>
        <w:rPr>
          <w:rFonts w:hint="eastAsia" w:ascii="仿宋" w:hAnsi="仿宋" w:eastAsia="仿宋" w:cs="仿宋"/>
          <w:color w:val="000000" w:themeColor="text1"/>
          <w:spacing w:val="-5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监理人：</w:t>
      </w:r>
    </w:p>
    <w:p w14:paraId="0629B4D2">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0"/>
          <w:sz w:val="24"/>
          <w:szCs w:val="24"/>
          <w:highlight w:val="none"/>
          <w14:textFill>
            <w14:solidFill>
              <w14:schemeClr w14:val="tx1"/>
            </w14:solidFill>
          </w14:textFill>
        </w:rPr>
        <w:t>名</w:t>
      </w:r>
      <w:r>
        <w:rPr>
          <w:rFonts w:hint="eastAsia" w:ascii="仿宋" w:hAnsi="仿宋" w:eastAsia="仿宋" w:cs="仿宋"/>
          <w:color w:val="000000" w:themeColor="text1"/>
          <w:spacing w:val="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0"/>
          <w:sz w:val="24"/>
          <w:szCs w:val="24"/>
          <w:highlight w:val="none"/>
          <w14:textFill>
            <w14:solidFill>
              <w14:schemeClr w14:val="tx1"/>
            </w14:solidFill>
          </w14:textFill>
        </w:rPr>
        <w:t>称</w:t>
      </w:r>
      <w:r>
        <w:rPr>
          <w:rFonts w:hint="eastAsia" w:ascii="仿宋" w:hAnsi="仿宋" w:eastAsia="仿宋" w:cs="仿宋"/>
          <w:color w:val="000000" w:themeColor="text1"/>
          <w:spacing w:val="-3"/>
          <w:sz w:val="24"/>
          <w:szCs w:val="24"/>
          <w:highlight w:val="none"/>
          <w14:textFill>
            <w14:solidFill>
              <w14:schemeClr w14:val="tx1"/>
            </w14:solidFill>
          </w14:textFill>
        </w:rPr>
        <w:t>：</w:t>
      </w:r>
      <w:r>
        <w:rPr>
          <w:rFonts w:hint="eastAsia" w:ascii="仿宋" w:hAnsi="仿宋" w:eastAsia="仿宋" w:cs="仿宋"/>
          <w:color w:val="000000" w:themeColor="text1"/>
          <w:spacing w:val="3"/>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w:t>
      </w:r>
    </w:p>
    <w:p w14:paraId="388C9A61">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资质类别和等级</w:t>
      </w:r>
      <w:r>
        <w:rPr>
          <w:rFonts w:hint="eastAsia" w:ascii="仿宋" w:hAnsi="仿宋" w:eastAsia="仿宋" w:cs="仿宋"/>
          <w:color w:val="000000" w:themeColor="text1"/>
          <w:spacing w:val="-2"/>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w:t>
      </w:r>
    </w:p>
    <w:p w14:paraId="0CCE5415">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联系电话</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pacing w:val="3"/>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6D2A1F2E">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1"/>
          <w:sz w:val="24"/>
          <w:szCs w:val="24"/>
          <w:highlight w:val="none"/>
          <w14:textFill>
            <w14:solidFill>
              <w14:schemeClr w14:val="tx1"/>
            </w14:solidFill>
          </w14:textFill>
        </w:rPr>
        <w:t>电子信箱</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23644812">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通信地址：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24C01100">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1.1.2.5 设计人：</w:t>
      </w:r>
    </w:p>
    <w:p w14:paraId="510BF02D">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0"/>
          <w:sz w:val="24"/>
          <w:szCs w:val="24"/>
          <w:highlight w:val="none"/>
          <w14:textFill>
            <w14:solidFill>
              <w14:schemeClr w14:val="tx1"/>
            </w14:solidFill>
          </w14:textFill>
        </w:rPr>
        <w:t>名</w:t>
      </w:r>
      <w:r>
        <w:rPr>
          <w:rFonts w:hint="eastAsia" w:ascii="仿宋" w:hAnsi="仿宋" w:eastAsia="仿宋" w:cs="仿宋"/>
          <w:color w:val="000000" w:themeColor="text1"/>
          <w:spacing w:val="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0"/>
          <w:sz w:val="24"/>
          <w:szCs w:val="24"/>
          <w:highlight w:val="none"/>
          <w14:textFill>
            <w14:solidFill>
              <w14:schemeClr w14:val="tx1"/>
            </w14:solidFill>
          </w14:textFill>
        </w:rPr>
        <w:t>称</w:t>
      </w:r>
      <w:r>
        <w:rPr>
          <w:rFonts w:hint="eastAsia" w:ascii="仿宋" w:hAnsi="仿宋" w:eastAsia="仿宋" w:cs="仿宋"/>
          <w:color w:val="000000" w:themeColor="text1"/>
          <w:spacing w:val="-3"/>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w:t>
      </w:r>
    </w:p>
    <w:p w14:paraId="2C6A8E88">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资质类别和等级</w:t>
      </w:r>
      <w:r>
        <w:rPr>
          <w:rFonts w:hint="eastAsia" w:ascii="仿宋" w:hAnsi="仿宋" w:eastAsia="仿宋" w:cs="仿宋"/>
          <w:color w:val="000000" w:themeColor="text1"/>
          <w:spacing w:val="-2"/>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w:t>
      </w:r>
    </w:p>
    <w:p w14:paraId="5FE3244E">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联系电话</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6CF6FAC7">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1"/>
          <w:sz w:val="24"/>
          <w:szCs w:val="24"/>
          <w:highlight w:val="none"/>
          <w14:textFill>
            <w14:solidFill>
              <w14:schemeClr w14:val="tx1"/>
            </w14:solidFill>
          </w14:textFill>
        </w:rPr>
        <w:t>电子信箱</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202E8AFF">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通信地址：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49509BDB">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pacing w:val="-3"/>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1.1.3 工程和设备</w:t>
      </w:r>
    </w:p>
    <w:p w14:paraId="518576DB">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HYPERLINK "file:///E:\\路紫婷\\2025年\\高新区施工\\1.1.3.7"</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pacing w:val="-7"/>
          <w:sz w:val="24"/>
          <w:szCs w:val="24"/>
          <w:highlight w:val="none"/>
          <w14:textFill>
            <w14:solidFill>
              <w14:schemeClr w14:val="tx1"/>
            </w14:solidFill>
          </w14:textFill>
        </w:rPr>
        <w:t>1.1.3.7</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pacing w:val="-7"/>
          <w:sz w:val="24"/>
          <w:szCs w:val="24"/>
          <w:highlight w:val="none"/>
          <w14:textFill>
            <w14:solidFill>
              <w14:schemeClr w14:val="tx1"/>
            </w14:solidFill>
          </w14:textFill>
        </w:rPr>
        <w:t xml:space="preserve"> 作为施工现场组成部分的其他场所包括：</w:t>
      </w:r>
      <w:r>
        <w:rPr>
          <w:rFonts w:hint="eastAsia" w:ascii="仿宋" w:hAnsi="仿宋" w:eastAsia="仿宋" w:cs="仿宋"/>
          <w:color w:val="000000" w:themeColor="text1"/>
          <w:spacing w:val="-7"/>
          <w:sz w:val="24"/>
          <w:szCs w:val="24"/>
          <w:highlight w:val="none"/>
          <w:u w:val="single"/>
          <w14:textFill>
            <w14:solidFill>
              <w14:schemeClr w14:val="tx1"/>
            </w14:solidFill>
          </w14:textFill>
        </w:rPr>
        <w:t>生活、办公等临时设施及设备、</w:t>
      </w:r>
      <w:r>
        <w:rPr>
          <w:rFonts w:hint="eastAsia" w:ascii="仿宋" w:hAnsi="仿宋" w:eastAsia="仿宋" w:cs="仿宋"/>
          <w:color w:val="000000" w:themeColor="text1"/>
          <w:spacing w:val="12"/>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材料加工、堆放场地</w:t>
      </w:r>
      <w:r>
        <w:rPr>
          <w:rFonts w:hint="eastAsia" w:ascii="仿宋" w:hAnsi="仿宋" w:eastAsia="仿宋" w:cs="仿宋"/>
          <w:color w:val="000000" w:themeColor="text1"/>
          <w:spacing w:val="-2"/>
          <w:sz w:val="24"/>
          <w:szCs w:val="24"/>
          <w:highlight w:val="none"/>
          <w14:textFill>
            <w14:solidFill>
              <w14:schemeClr w14:val="tx1"/>
            </w14:solidFill>
          </w14:textFill>
        </w:rPr>
        <w:t>。</w:t>
      </w:r>
    </w:p>
    <w:p w14:paraId="5DFD4268">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HYPERLINK "file:///E:\\路紫婷\\2025年\\高新区施工\\1.1.3.9"</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pacing w:val="-1"/>
          <w:sz w:val="24"/>
          <w:szCs w:val="24"/>
          <w:highlight w:val="none"/>
          <w14:textFill>
            <w14:solidFill>
              <w14:schemeClr w14:val="tx1"/>
            </w14:solidFill>
          </w14:textFill>
        </w:rPr>
        <w:t>1.1.3.9</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pacing w:val="-1"/>
          <w:sz w:val="24"/>
          <w:szCs w:val="24"/>
          <w:highlight w:val="none"/>
          <w14:textFill>
            <w14:solidFill>
              <w14:schemeClr w14:val="tx1"/>
            </w14:solidFill>
          </w14:textFill>
        </w:rPr>
        <w:t xml:space="preserve"> 永久占地包括：</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见规划红线</w:t>
      </w:r>
      <w:r>
        <w:rPr>
          <w:rFonts w:hint="eastAsia" w:ascii="仿宋" w:hAnsi="仿宋" w:eastAsia="仿宋" w:cs="仿宋"/>
          <w:color w:val="000000" w:themeColor="text1"/>
          <w:spacing w:val="8"/>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7938C867">
      <w:pPr>
        <w:keepNext w:val="0"/>
        <w:keepLines w:val="0"/>
        <w:pageBreakBefore w:val="0"/>
        <w:widowControl w:val="0"/>
        <w:kinsoku/>
        <w:wordWrap/>
        <w:overflowPunct/>
        <w:topLinePunct w:val="0"/>
        <w:autoSpaceDE/>
        <w:autoSpaceDN/>
        <w:bidi w:val="0"/>
        <w:snapToGrid/>
        <w:spacing w:line="360" w:lineRule="auto"/>
        <w:ind w:left="0" w:leftChars="0" w:right="0" w:rightChars="0" w:firstLine="58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HYPERLINK "file:///E:\\路紫婷\\2025年\\高新区施工\\1.1.3.10"</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pacing w:val="-1"/>
          <w:sz w:val="24"/>
          <w:szCs w:val="24"/>
          <w:highlight w:val="none"/>
          <w14:textFill>
            <w14:solidFill>
              <w14:schemeClr w14:val="tx1"/>
            </w14:solidFill>
          </w14:textFill>
        </w:rPr>
        <w:t>1.1.3.10</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pacing w:val="-1"/>
          <w:sz w:val="24"/>
          <w:szCs w:val="24"/>
          <w:highlight w:val="none"/>
          <w14:textFill>
            <w14:solidFill>
              <w14:schemeClr w14:val="tx1"/>
            </w14:solidFill>
          </w14:textFill>
        </w:rPr>
        <w:t xml:space="preserve"> 临时占地包括：</w:t>
      </w:r>
      <w:r>
        <w:rPr>
          <w:rFonts w:hint="eastAsia" w:ascii="仿宋" w:hAnsi="仿宋" w:eastAsia="仿宋" w:cs="仿宋"/>
          <w:color w:val="000000" w:themeColor="text1"/>
          <w:spacing w:val="-1"/>
          <w:sz w:val="24"/>
          <w:szCs w:val="24"/>
          <w:highlight w:val="none"/>
          <w:u w:val="single"/>
          <w14:textFill>
            <w14:solidFill>
              <w14:schemeClr w14:val="tx1"/>
            </w14:solidFill>
          </w14:textFill>
        </w:rPr>
        <w:t>生活、办公等临时设施及设备、材料加工，堆放</w:t>
      </w:r>
      <w:r>
        <w:rPr>
          <w:rFonts w:hint="eastAsia" w:ascii="仿宋" w:hAnsi="仿宋" w:eastAsia="仿宋" w:cs="仿宋"/>
          <w:color w:val="000000" w:themeColor="text1"/>
          <w:spacing w:val="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u w:val="single"/>
          <w14:textFill>
            <w14:solidFill>
              <w14:schemeClr w14:val="tx1"/>
            </w14:solidFill>
          </w14:textFill>
        </w:rPr>
        <w:t>场地</w:t>
      </w:r>
      <w:r>
        <w:rPr>
          <w:rFonts w:hint="eastAsia" w:ascii="仿宋" w:hAnsi="仿宋" w:eastAsia="仿宋" w:cs="仿宋"/>
          <w:color w:val="000000" w:themeColor="text1"/>
          <w:spacing w:val="-3"/>
          <w:sz w:val="24"/>
          <w:szCs w:val="24"/>
          <w:highlight w:val="none"/>
          <w14:textFill>
            <w14:solidFill>
              <w14:schemeClr w14:val="tx1"/>
            </w14:solidFill>
          </w14:textFill>
        </w:rPr>
        <w:t>。</w:t>
      </w:r>
    </w:p>
    <w:p w14:paraId="0D454923">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8"/>
          <w:sz w:val="24"/>
          <w:szCs w:val="24"/>
          <w:highlight w:val="none"/>
          <w14:textFill>
            <w14:solidFill>
              <w14:schemeClr w14:val="tx1"/>
            </w14:solidFill>
          </w14:textFill>
        </w:rPr>
        <w:t>1.3</w:t>
      </w:r>
      <w:r>
        <w:rPr>
          <w:rFonts w:hint="eastAsia" w:ascii="仿宋" w:hAnsi="仿宋" w:eastAsia="仿宋" w:cs="仿宋"/>
          <w:color w:val="000000" w:themeColor="text1"/>
          <w:spacing w:val="-5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14:textFill>
            <w14:solidFill>
              <w14:schemeClr w14:val="tx1"/>
            </w14:solidFill>
          </w14:textFill>
        </w:rPr>
        <w:t>法律</w:t>
      </w:r>
    </w:p>
    <w:p w14:paraId="4D481F2C">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适用于合同的其他规范性文件：</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执行通用条款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7A3EAB0C">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1.4 标准和规范</w:t>
      </w:r>
    </w:p>
    <w:p w14:paraId="70C33636">
      <w:pPr>
        <w:keepNext w:val="0"/>
        <w:keepLines w:val="0"/>
        <w:pageBreakBefore w:val="0"/>
        <w:widowControl w:val="0"/>
        <w:kinsoku/>
        <w:wordWrap/>
        <w:overflowPunct/>
        <w:topLinePunct w:val="0"/>
        <w:autoSpaceDE/>
        <w:autoSpaceDN/>
        <w:bidi w:val="0"/>
        <w:snapToGrid/>
        <w:spacing w:line="360" w:lineRule="auto"/>
        <w:ind w:left="0" w:leftChars="0" w:right="0" w:rightChars="0" w:firstLine="57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1.4.1</w:t>
      </w:r>
      <w:r>
        <w:rPr>
          <w:rFonts w:hint="eastAsia" w:ascii="仿宋" w:hAnsi="仿宋" w:eastAsia="仿宋" w:cs="仿宋"/>
          <w:color w:val="000000" w:themeColor="text1"/>
          <w:spacing w:val="-4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适用于工程的标准规范包括：</w:t>
      </w:r>
      <w:r>
        <w:rPr>
          <w:rFonts w:hint="eastAsia" w:ascii="仿宋" w:hAnsi="仿宋" w:eastAsia="仿宋" w:cs="仿宋"/>
          <w:color w:val="000000" w:themeColor="text1"/>
          <w:spacing w:val="-1"/>
          <w:sz w:val="24"/>
          <w:szCs w:val="24"/>
          <w:highlight w:val="none"/>
          <w:u w:val="single"/>
          <w14:textFill>
            <w14:solidFill>
              <w14:schemeClr w14:val="tx1"/>
            </w14:solidFill>
          </w14:textFill>
        </w:rPr>
        <w:t>执行建筑、市政等工程国</w:t>
      </w:r>
      <w:r>
        <w:rPr>
          <w:rFonts w:hint="eastAsia" w:ascii="仿宋" w:hAnsi="仿宋" w:eastAsia="仿宋" w:cs="仿宋"/>
          <w:color w:val="000000" w:themeColor="text1"/>
          <w:spacing w:val="-2"/>
          <w:sz w:val="24"/>
          <w:szCs w:val="24"/>
          <w:highlight w:val="none"/>
          <w:u w:val="single"/>
          <w14:textFill>
            <w14:solidFill>
              <w14:schemeClr w14:val="tx1"/>
            </w14:solidFill>
          </w14:textFill>
        </w:rPr>
        <w:t>家、自治区、州、市现行施工及验收规范标准以及材料设备所涉及的现行国家，省、市或行业的工程建设标准，前述标准不一致的，以较高的标准为准</w:t>
      </w:r>
      <w:r>
        <w:rPr>
          <w:rFonts w:hint="eastAsia" w:ascii="仿宋" w:hAnsi="仿宋" w:eastAsia="仿宋" w:cs="仿宋"/>
          <w:color w:val="000000" w:themeColor="text1"/>
          <w:spacing w:val="-2"/>
          <w:sz w:val="24"/>
          <w:szCs w:val="24"/>
          <w:highlight w:val="none"/>
          <w14:textFill>
            <w14:solidFill>
              <w14:schemeClr w14:val="tx1"/>
            </w14:solidFill>
          </w14:textFill>
        </w:rPr>
        <w:t>。</w:t>
      </w:r>
    </w:p>
    <w:p w14:paraId="1F9FF078">
      <w:pPr>
        <w:keepNext w:val="0"/>
        <w:keepLines w:val="0"/>
        <w:pageBreakBefore w:val="0"/>
        <w:widowControl w:val="0"/>
        <w:tabs>
          <w:tab w:val="left" w:pos="8015"/>
        </w:tabs>
        <w:kinsoku/>
        <w:wordWrap/>
        <w:overflowPunct/>
        <w:topLinePunct w:val="0"/>
        <w:autoSpaceDE/>
        <w:autoSpaceDN/>
        <w:bidi w:val="0"/>
        <w:snapToGrid/>
        <w:spacing w:line="360" w:lineRule="auto"/>
        <w:ind w:left="0" w:leftChars="0" w:right="0" w:rightChars="0" w:firstLine="59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1.4.2 发包人提供国外标准、规范的名称：</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pacing w:val="-105"/>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1C942AC0">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发包人提供国外标准、规范的份数：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7C99D5D4">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发包人提供国外标准、规范的名称：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3407ED8F">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1.4.3</w:t>
      </w:r>
      <w:r>
        <w:rPr>
          <w:rFonts w:hint="eastAsia" w:ascii="仿宋" w:hAnsi="仿宋" w:eastAsia="仿宋" w:cs="仿宋"/>
          <w:color w:val="000000" w:themeColor="text1"/>
          <w:spacing w:val="-4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发包人对工程的技术标准和功能要求的特殊要求：</w:t>
      </w:r>
    </w:p>
    <w:p w14:paraId="291C42A1">
      <w:pPr>
        <w:pStyle w:val="9"/>
        <w:keepNext w:val="0"/>
        <w:keepLines w:val="0"/>
        <w:pageBreakBefore w:val="0"/>
        <w:widowControl w:val="0"/>
        <w:kinsoku/>
        <w:wordWrap/>
        <w:overflowPunct/>
        <w:topLinePunct w:val="0"/>
        <w:autoSpaceDE/>
        <w:autoSpaceDN/>
        <w:bidi w:val="0"/>
        <w:snapToGrid/>
        <w:spacing w:after="0"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p>
    <w:p w14:paraId="30F6B61B">
      <w:pPr>
        <w:keepNext w:val="0"/>
        <w:keepLines w:val="0"/>
        <w:pageBreakBefore w:val="0"/>
        <w:widowControl w:val="0"/>
        <w:tabs>
          <w:tab w:val="left" w:pos="8015"/>
        </w:tabs>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w:t>
      </w:r>
    </w:p>
    <w:p w14:paraId="27444F4F">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1.5 合同文件的优先顺序</w:t>
      </w:r>
    </w:p>
    <w:p w14:paraId="041B4D8E">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合同文件组成及优先顺序为：</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执行通用条款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74648318">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7"/>
          <w:sz w:val="24"/>
          <w:szCs w:val="24"/>
          <w:highlight w:val="none"/>
          <w14:textFill>
            <w14:solidFill>
              <w14:schemeClr w14:val="tx1"/>
            </w14:solidFill>
          </w14:textFill>
        </w:rPr>
        <w:t>1.6</w:t>
      </w:r>
      <w:r>
        <w:rPr>
          <w:rFonts w:hint="eastAsia" w:ascii="仿宋" w:hAnsi="仿宋" w:eastAsia="仿宋" w:cs="仿宋"/>
          <w:color w:val="000000" w:themeColor="text1"/>
          <w:spacing w:val="4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14:textFill>
            <w14:solidFill>
              <w14:schemeClr w14:val="tx1"/>
            </w14:solidFill>
          </w14:textFill>
        </w:rPr>
        <w:t>图纸和承包人文件</w:t>
      </w:r>
    </w:p>
    <w:p w14:paraId="3C5295AB">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7"/>
          <w:sz w:val="24"/>
          <w:szCs w:val="24"/>
          <w:highlight w:val="none"/>
          <w14:textFill>
            <w14:solidFill>
              <w14:schemeClr w14:val="tx1"/>
            </w14:solidFill>
          </w14:textFill>
        </w:rPr>
        <w:t>1.6.1</w:t>
      </w:r>
      <w:r>
        <w:rPr>
          <w:rFonts w:hint="eastAsia" w:ascii="仿宋" w:hAnsi="仿宋" w:eastAsia="仿宋" w:cs="仿宋"/>
          <w:color w:val="000000" w:themeColor="text1"/>
          <w:spacing w:val="4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14:textFill>
            <w14:solidFill>
              <w14:schemeClr w14:val="tx1"/>
            </w14:solidFill>
          </w14:textFill>
        </w:rPr>
        <w:t>图纸的提供</w:t>
      </w:r>
    </w:p>
    <w:p w14:paraId="543151ED">
      <w:pPr>
        <w:keepNext w:val="0"/>
        <w:keepLines w:val="0"/>
        <w:pageBreakBefore w:val="0"/>
        <w:widowControl w:val="0"/>
        <w:kinsoku/>
        <w:wordWrap/>
        <w:overflowPunct/>
        <w:topLinePunct w:val="0"/>
        <w:autoSpaceDE/>
        <w:autoSpaceDN/>
        <w:bidi w:val="0"/>
        <w:snapToGrid/>
        <w:spacing w:line="360" w:lineRule="auto"/>
        <w:ind w:left="0" w:leftChars="0" w:right="0" w:rightChars="0" w:firstLine="53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7"/>
          <w:sz w:val="24"/>
          <w:szCs w:val="24"/>
          <w:highlight w:val="none"/>
          <w14:textFill>
            <w14:solidFill>
              <w14:schemeClr w14:val="tx1"/>
            </w14:solidFill>
          </w14:textFill>
        </w:rPr>
        <w:t>发包人向承包人提供图纸的期限：</w:t>
      </w:r>
      <w:r>
        <w:rPr>
          <w:rFonts w:hint="eastAsia" w:ascii="仿宋" w:hAnsi="仿宋" w:eastAsia="仿宋" w:cs="仿宋"/>
          <w:color w:val="000000" w:themeColor="text1"/>
          <w:spacing w:val="7"/>
          <w:sz w:val="24"/>
          <w:szCs w:val="24"/>
          <w:highlight w:val="none"/>
          <w:u w:val="single"/>
          <w14:textFill>
            <w14:solidFill>
              <w14:schemeClr w14:val="tx1"/>
            </w14:solidFill>
          </w14:textFill>
        </w:rPr>
        <w:t>合同签订后</w:t>
      </w:r>
      <w:r>
        <w:rPr>
          <w:rFonts w:hint="eastAsia" w:ascii="仿宋" w:hAnsi="仿宋" w:eastAsia="仿宋" w:cs="仿宋"/>
          <w:color w:val="000000" w:themeColor="text1"/>
          <w:spacing w:val="6"/>
          <w:sz w:val="24"/>
          <w:szCs w:val="24"/>
          <w:highlight w:val="none"/>
          <w:u w:val="single"/>
          <w14:textFill>
            <w14:solidFill>
              <w14:schemeClr w14:val="tx1"/>
            </w14:solidFill>
          </w14:textFill>
        </w:rPr>
        <w:t>七日内提供审查合格的施工</w:t>
      </w:r>
      <w:r>
        <w:rPr>
          <w:rFonts w:hint="eastAsia" w:ascii="仿宋" w:hAnsi="仿宋" w:eastAsia="仿宋" w:cs="仿宋"/>
          <w:color w:val="000000" w:themeColor="text1"/>
          <w:spacing w:val="-19"/>
          <w:sz w:val="24"/>
          <w:szCs w:val="24"/>
          <w:highlight w:val="none"/>
          <w:u w:val="single"/>
          <w14:textFill>
            <w14:solidFill>
              <w14:schemeClr w14:val="tx1"/>
            </w14:solidFill>
          </w14:textFill>
        </w:rPr>
        <w:t>图</w:t>
      </w:r>
      <w:r>
        <w:rPr>
          <w:rFonts w:hint="eastAsia" w:ascii="仿宋" w:hAnsi="仿宋" w:eastAsia="仿宋" w:cs="仿宋"/>
          <w:color w:val="000000" w:themeColor="text1"/>
          <w:spacing w:val="-19"/>
          <w:sz w:val="24"/>
          <w:szCs w:val="24"/>
          <w:highlight w:val="none"/>
          <w14:textFill>
            <w14:solidFill>
              <w14:schemeClr w14:val="tx1"/>
            </w14:solidFill>
          </w14:textFill>
        </w:rPr>
        <w:t>；</w:t>
      </w:r>
    </w:p>
    <w:p w14:paraId="341A1A2C">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发包人向承包人提供图纸的数量：</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肆套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15B7F49A">
      <w:pPr>
        <w:keepNext w:val="0"/>
        <w:keepLines w:val="0"/>
        <w:pageBreakBefore w:val="0"/>
        <w:widowControl w:val="0"/>
        <w:kinsoku/>
        <w:wordWrap/>
        <w:overflowPunct/>
        <w:topLinePunct w:val="0"/>
        <w:autoSpaceDE/>
        <w:autoSpaceDN/>
        <w:bidi w:val="0"/>
        <w:snapToGrid/>
        <w:spacing w:line="360" w:lineRule="auto"/>
        <w:ind w:left="0" w:leftChars="0" w:right="0" w:rightChars="0" w:firstLine="56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8"/>
          <w:sz w:val="24"/>
          <w:szCs w:val="24"/>
          <w:highlight w:val="none"/>
          <w14:textFill>
            <w14:solidFill>
              <w14:schemeClr w14:val="tx1"/>
            </w14:solidFill>
          </w14:textFill>
        </w:rPr>
        <w:t>发包人向承包人提供图纸的内容：</w:t>
      </w:r>
      <w:r>
        <w:rPr>
          <w:rFonts w:hint="eastAsia" w:ascii="仿宋" w:hAnsi="仿宋" w:eastAsia="仿宋" w:cs="仿宋"/>
          <w:color w:val="000000" w:themeColor="text1"/>
          <w:spacing w:val="-8"/>
          <w:sz w:val="24"/>
          <w:szCs w:val="24"/>
          <w:highlight w:val="none"/>
          <w:u w:val="single"/>
          <w14:textFill>
            <w14:solidFill>
              <w14:schemeClr w14:val="tx1"/>
            </w14:solidFill>
          </w14:textFill>
        </w:rPr>
        <w:t>本合同发包内容中的全部图纸。如需要</w:t>
      </w:r>
      <w:r>
        <w:rPr>
          <w:rFonts w:hint="eastAsia" w:ascii="仿宋" w:hAnsi="仿宋" w:eastAsia="仿宋" w:cs="仿宋"/>
          <w:color w:val="000000" w:themeColor="text1"/>
          <w:spacing w:val="-9"/>
          <w:sz w:val="24"/>
          <w:szCs w:val="24"/>
          <w:highlight w:val="none"/>
          <w:u w:val="single"/>
          <w14:textFill>
            <w14:solidFill>
              <w14:schemeClr w14:val="tx1"/>
            </w14:solidFill>
          </w14:textFill>
        </w:rPr>
        <w:t>时，</w:t>
      </w:r>
      <w:r>
        <w:rPr>
          <w:rFonts w:hint="eastAsia" w:ascii="仿宋" w:hAnsi="仿宋" w:eastAsia="仿宋" w:cs="仿宋"/>
          <w:color w:val="000000" w:themeColor="text1"/>
          <w:spacing w:val="-2"/>
          <w:sz w:val="24"/>
          <w:szCs w:val="24"/>
          <w:highlight w:val="none"/>
          <w:u w:val="single"/>
          <w14:textFill>
            <w14:solidFill>
              <w14:schemeClr w14:val="tx1"/>
            </w14:solidFill>
          </w14:textFill>
        </w:rPr>
        <w:t>承包人需对发包人提供的设计图纸进行二次深化，深化原则：遵循设计、清单及材料相关技术要求等，需经本工程设计院及甲方同意后，由设计院对图纸进行确认：图纸包括深化后的施工图、专业设备的二次基础图等，二次深化费用及蓝图</w:t>
      </w:r>
      <w:r>
        <w:rPr>
          <w:rFonts w:hint="eastAsia" w:ascii="仿宋" w:hAnsi="仿宋" w:eastAsia="仿宋" w:cs="仿宋"/>
          <w:color w:val="000000" w:themeColor="text1"/>
          <w:spacing w:val="-1"/>
          <w:sz w:val="24"/>
          <w:szCs w:val="24"/>
          <w:highlight w:val="none"/>
          <w:u w:val="single"/>
          <w14:textFill>
            <w14:solidFill>
              <w14:schemeClr w14:val="tx1"/>
            </w14:solidFill>
          </w14:textFill>
        </w:rPr>
        <w:t>审图费用等相关费用，以上费用包含在投标报价中，不再另行计取</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47EA3F60">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1.6.4 承包人文件</w:t>
      </w:r>
    </w:p>
    <w:p w14:paraId="156E8EB1">
      <w:pPr>
        <w:keepNext w:val="0"/>
        <w:keepLines w:val="0"/>
        <w:pageBreakBefore w:val="0"/>
        <w:widowControl w:val="0"/>
        <w:kinsoku/>
        <w:wordWrap/>
        <w:overflowPunct/>
        <w:topLinePunct w:val="0"/>
        <w:autoSpaceDE/>
        <w:autoSpaceDN/>
        <w:bidi w:val="0"/>
        <w:snapToGrid/>
        <w:spacing w:line="360" w:lineRule="auto"/>
        <w:ind w:left="0" w:leftChars="0" w:right="0" w:rightChars="0" w:firstLine="464"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需要由承包人提供的文件，包括：</w:t>
      </w:r>
      <w:r>
        <w:rPr>
          <w:rFonts w:hint="eastAsia" w:ascii="仿宋" w:hAnsi="仿宋" w:eastAsia="仿宋" w:cs="仿宋"/>
          <w:color w:val="000000" w:themeColor="text1"/>
          <w:spacing w:val="-4"/>
          <w:sz w:val="24"/>
          <w:szCs w:val="24"/>
          <w:highlight w:val="none"/>
          <w:u w:val="single"/>
          <w14:textFill>
            <w14:solidFill>
              <w14:schemeClr w14:val="tx1"/>
            </w14:solidFill>
          </w14:textFill>
        </w:rPr>
        <w:t>施工组织设计和安全专项方案、本月完成工程量报表、下月进度计划</w:t>
      </w:r>
      <w:r>
        <w:rPr>
          <w:rFonts w:hint="eastAsia" w:ascii="仿宋" w:hAnsi="仿宋" w:eastAsia="仿宋" w:cs="仿宋"/>
          <w:color w:val="000000" w:themeColor="text1"/>
          <w:spacing w:val="-4"/>
          <w:sz w:val="24"/>
          <w:szCs w:val="24"/>
          <w:highlight w:val="none"/>
          <w14:textFill>
            <w14:solidFill>
              <w14:schemeClr w14:val="tx1"/>
            </w14:solidFill>
          </w14:textFill>
        </w:rPr>
        <w:t>等；</w:t>
      </w:r>
    </w:p>
    <w:p w14:paraId="0613C12A">
      <w:pPr>
        <w:keepNext w:val="0"/>
        <w:keepLines w:val="0"/>
        <w:pageBreakBefore w:val="0"/>
        <w:widowControl w:val="0"/>
        <w:kinsoku/>
        <w:wordWrap/>
        <w:overflowPunct/>
        <w:topLinePunct w:val="0"/>
        <w:autoSpaceDE/>
        <w:autoSpaceDN/>
        <w:bidi w:val="0"/>
        <w:snapToGrid/>
        <w:spacing w:line="360" w:lineRule="auto"/>
        <w:ind w:left="0" w:leftChars="0" w:right="0" w:rightChars="0" w:firstLine="55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承包人提供的文件的期限为：</w:t>
      </w:r>
      <w:r>
        <w:rPr>
          <w:rFonts w:hint="eastAsia" w:ascii="仿宋" w:hAnsi="仿宋" w:eastAsia="仿宋" w:cs="仿宋"/>
          <w:color w:val="000000" w:themeColor="text1"/>
          <w:spacing w:val="-3"/>
          <w:sz w:val="24"/>
          <w:szCs w:val="24"/>
          <w:highlight w:val="none"/>
          <w:u w:val="single"/>
          <w14:textFill>
            <w14:solidFill>
              <w14:schemeClr w14:val="tx1"/>
            </w14:solidFill>
          </w14:textFill>
        </w:rPr>
        <w:t>施工组织设计和安全专项方案开工前</w:t>
      </w:r>
      <w:r>
        <w:rPr>
          <w:rFonts w:hint="eastAsia" w:ascii="仿宋" w:hAnsi="仿宋" w:eastAsia="仿宋" w:cs="仿宋"/>
          <w:color w:val="000000" w:themeColor="text1"/>
          <w:spacing w:val="-55"/>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u w:val="single"/>
          <w14:textFill>
            <w14:solidFill>
              <w14:schemeClr w14:val="tx1"/>
            </w14:solidFill>
          </w14:textFill>
        </w:rPr>
        <w:t>3</w:t>
      </w:r>
      <w:r>
        <w:rPr>
          <w:rFonts w:hint="eastAsia" w:ascii="仿宋" w:hAnsi="仿宋" w:eastAsia="仿宋" w:cs="仿宋"/>
          <w:color w:val="000000" w:themeColor="text1"/>
          <w:spacing w:val="-52"/>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u w:val="single"/>
          <w14:textFill>
            <w14:solidFill>
              <w14:schemeClr w14:val="tx1"/>
            </w14:solidFill>
          </w14:textFill>
        </w:rPr>
        <w:t>天，本</w:t>
      </w:r>
      <w:r>
        <w:rPr>
          <w:rFonts w:hint="eastAsia" w:ascii="仿宋" w:hAnsi="仿宋" w:eastAsia="仿宋" w:cs="仿宋"/>
          <w:color w:val="000000" w:themeColor="text1"/>
          <w:spacing w:val="-1"/>
          <w:sz w:val="24"/>
          <w:szCs w:val="24"/>
          <w:highlight w:val="none"/>
          <w:u w:val="single"/>
          <w14:textFill>
            <w14:solidFill>
              <w14:schemeClr w14:val="tx1"/>
            </w14:solidFill>
          </w14:textFill>
        </w:rPr>
        <w:t>月完成工程量报表、下月进度计划每月25 日前</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64D96DF4">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承包人提供的文件的数量为：</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8</w:t>
      </w:r>
      <w:r>
        <w:rPr>
          <w:rFonts w:hint="eastAsia" w:ascii="仿宋" w:hAnsi="仿宋" w:eastAsia="仿宋" w:cs="仿宋"/>
          <w:color w:val="000000" w:themeColor="text1"/>
          <w:spacing w:val="-4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份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4F9B08DC">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承包人提供的文件的形式为：</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书面形式和电子文档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03922225">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发包人审批承包人文件的期限：</w:t>
      </w:r>
      <w:r>
        <w:rPr>
          <w:rFonts w:hint="eastAsia" w:ascii="仿宋" w:hAnsi="仿宋" w:eastAsia="仿宋" w:cs="仿宋"/>
          <w:color w:val="000000" w:themeColor="text1"/>
          <w:spacing w:val="-2"/>
          <w:sz w:val="24"/>
          <w:szCs w:val="24"/>
          <w:highlight w:val="none"/>
          <w:u w:val="single"/>
          <w14:textFill>
            <w14:solidFill>
              <w14:schemeClr w14:val="tx1"/>
            </w14:solidFill>
          </w14:textFill>
        </w:rPr>
        <w:t xml:space="preserve">    收到文件后</w:t>
      </w:r>
      <w:r>
        <w:rPr>
          <w:rFonts w:hint="eastAsia" w:ascii="仿宋" w:hAnsi="仿宋" w:eastAsia="仿宋" w:cs="仿宋"/>
          <w:color w:val="000000" w:themeColor="text1"/>
          <w:spacing w:val="-4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10</w:t>
      </w:r>
      <w:r>
        <w:rPr>
          <w:rFonts w:hint="eastAsia" w:ascii="仿宋" w:hAnsi="仿宋" w:eastAsia="仿宋" w:cs="仿宋"/>
          <w:color w:val="000000" w:themeColor="text1"/>
          <w:spacing w:val="-53"/>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天内</w:t>
      </w:r>
      <w:r>
        <w:rPr>
          <w:rFonts w:hint="eastAsia" w:ascii="仿宋" w:hAnsi="仿宋" w:eastAsia="仿宋" w:cs="仿宋"/>
          <w:color w:val="000000" w:themeColor="text1"/>
          <w:spacing w:val="-3"/>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w:t>
      </w:r>
    </w:p>
    <w:p w14:paraId="512FDF00">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1.6.5 现场图纸准备</w:t>
      </w:r>
    </w:p>
    <w:p w14:paraId="74A55829">
      <w:pPr>
        <w:keepNext w:val="0"/>
        <w:keepLines w:val="0"/>
        <w:pageBreakBefore w:val="0"/>
        <w:widowControl w:val="0"/>
        <w:kinsoku/>
        <w:wordWrap/>
        <w:overflowPunct/>
        <w:topLinePunct w:val="0"/>
        <w:autoSpaceDE/>
        <w:autoSpaceDN/>
        <w:bidi w:val="0"/>
        <w:snapToGrid/>
        <w:spacing w:line="360" w:lineRule="auto"/>
        <w:ind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关于现场图纸准备的约定：</w:t>
      </w:r>
      <w:r>
        <w:rPr>
          <w:rFonts w:hint="eastAsia" w:ascii="仿宋" w:hAnsi="仿宋" w:eastAsia="仿宋" w:cs="仿宋"/>
          <w:color w:val="000000" w:themeColor="text1"/>
          <w:spacing w:val="-2"/>
          <w:sz w:val="24"/>
          <w:szCs w:val="24"/>
          <w:highlight w:val="none"/>
          <w:u w:val="single"/>
          <w14:textFill>
            <w14:solidFill>
              <w14:schemeClr w14:val="tx1"/>
            </w14:solidFill>
          </w14:textFill>
        </w:rPr>
        <w:t>承包人在施工现场保留一套完整图纸供发包</w:t>
      </w:r>
      <w:r>
        <w:rPr>
          <w:rFonts w:hint="eastAsia" w:ascii="仿宋" w:hAnsi="仿宋" w:eastAsia="仿宋" w:cs="仿宋"/>
          <w:color w:val="000000" w:themeColor="text1"/>
          <w:spacing w:val="-3"/>
          <w:sz w:val="24"/>
          <w:szCs w:val="24"/>
          <w:highlight w:val="none"/>
          <w:u w:val="single"/>
          <w14:textFill>
            <w14:solidFill>
              <w14:schemeClr w14:val="tx1"/>
            </w14:solidFill>
          </w14:textFill>
        </w:rPr>
        <w:t>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监理人及有关人员使用</w:t>
      </w:r>
      <w:r>
        <w:rPr>
          <w:rFonts w:hint="eastAsia" w:ascii="仿宋" w:hAnsi="仿宋" w:eastAsia="仿宋" w:cs="仿宋"/>
          <w:color w:val="000000" w:themeColor="text1"/>
          <w:spacing w:val="-2"/>
          <w:sz w:val="24"/>
          <w:szCs w:val="24"/>
          <w:highlight w:val="none"/>
          <w14:textFill>
            <w14:solidFill>
              <w14:schemeClr w14:val="tx1"/>
            </w14:solidFill>
          </w14:textFill>
        </w:rPr>
        <w:t>。</w:t>
      </w:r>
    </w:p>
    <w:p w14:paraId="58045F5C">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8"/>
          <w:sz w:val="24"/>
          <w:szCs w:val="24"/>
          <w:highlight w:val="none"/>
          <w14:textFill>
            <w14:solidFill>
              <w14:schemeClr w14:val="tx1"/>
            </w14:solidFill>
          </w14:textFill>
        </w:rPr>
        <w:t>1.7</w:t>
      </w:r>
      <w:r>
        <w:rPr>
          <w:rFonts w:hint="eastAsia" w:ascii="仿宋" w:hAnsi="仿宋" w:eastAsia="仿宋" w:cs="仿宋"/>
          <w:color w:val="000000" w:themeColor="text1"/>
          <w:spacing w:val="1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14:textFill>
            <w14:solidFill>
              <w14:schemeClr w14:val="tx1"/>
            </w14:solidFill>
          </w14:textFill>
        </w:rPr>
        <w:t>联络</w:t>
      </w:r>
    </w:p>
    <w:p w14:paraId="0D82E2FA">
      <w:pPr>
        <w:keepNext w:val="0"/>
        <w:keepLines w:val="0"/>
        <w:pageBreakBefore w:val="0"/>
        <w:widowControl w:val="0"/>
        <w:kinsoku/>
        <w:wordWrap/>
        <w:overflowPunct/>
        <w:topLinePunct w:val="0"/>
        <w:autoSpaceDE/>
        <w:autoSpaceDN/>
        <w:bidi w:val="0"/>
        <w:snapToGrid/>
        <w:spacing w:line="360" w:lineRule="auto"/>
        <w:ind w:left="0" w:leftChars="0" w:right="0" w:rightChars="0" w:firstLine="456" w:firstLineChars="2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1.7.1</w:t>
      </w:r>
      <w:r>
        <w:rPr>
          <w:rFonts w:hint="eastAsia" w:ascii="仿宋" w:hAnsi="仿宋" w:eastAsia="仿宋" w:cs="仿宋"/>
          <w:color w:val="000000" w:themeColor="text1"/>
          <w:spacing w:val="-5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发包人和承包人应当在</w:t>
      </w:r>
      <w:r>
        <w:rPr>
          <w:rFonts w:hint="eastAsia" w:ascii="仿宋" w:hAnsi="仿宋" w:eastAsia="仿宋" w:cs="仿宋"/>
          <w:color w:val="000000" w:themeColor="text1"/>
          <w:spacing w:val="-6"/>
          <w:sz w:val="24"/>
          <w:szCs w:val="24"/>
          <w:highlight w:val="none"/>
          <w:u w:val="single"/>
          <w14:textFill>
            <w14:solidFill>
              <w14:schemeClr w14:val="tx1"/>
            </w14:solidFill>
          </w14:textFill>
        </w:rPr>
        <w:t xml:space="preserve">   5  </w:t>
      </w:r>
      <w:r>
        <w:rPr>
          <w:rFonts w:hint="eastAsia" w:ascii="仿宋" w:hAnsi="仿宋" w:eastAsia="仿宋" w:cs="仿宋"/>
          <w:color w:val="000000" w:themeColor="text1"/>
          <w:spacing w:val="-12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天内将与合同有关的通知、批准、证明、</w:t>
      </w:r>
      <w:r>
        <w:rPr>
          <w:rFonts w:hint="eastAsia" w:ascii="仿宋" w:hAnsi="仿宋" w:eastAsia="仿宋" w:cs="仿宋"/>
          <w:color w:val="000000" w:themeColor="text1"/>
          <w:spacing w:val="-2"/>
          <w:sz w:val="24"/>
          <w:szCs w:val="24"/>
          <w:highlight w:val="none"/>
          <w14:textFill>
            <w14:solidFill>
              <w14:schemeClr w14:val="tx1"/>
            </w14:solidFill>
          </w14:textFill>
        </w:rPr>
        <w:t>证书、指示、指令、要求、请求、同意、意见、确定和决定等书面函件送达对方</w:t>
      </w:r>
      <w:r>
        <w:rPr>
          <w:rFonts w:hint="eastAsia" w:ascii="仿宋" w:hAnsi="仿宋" w:eastAsia="仿宋" w:cs="仿宋"/>
          <w:color w:val="000000" w:themeColor="text1"/>
          <w:spacing w:val="-13"/>
          <w:sz w:val="24"/>
          <w:szCs w:val="24"/>
          <w:highlight w:val="none"/>
          <w14:textFill>
            <w14:solidFill>
              <w14:schemeClr w14:val="tx1"/>
            </w14:solidFill>
          </w14:textFill>
        </w:rPr>
        <w:t>当事人。</w:t>
      </w:r>
    </w:p>
    <w:p w14:paraId="16E1F8FD">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1.7.2 发包人接收文件的地点：</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发包人办公场所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674545A6">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发包人指定的接收人为：</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发包人代表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257AD6B2">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承包人接收文件的地点：</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项目所在地承包人项目部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664FC97B">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承包人指定的接收人为：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项目经</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理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2DB90047">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监理人接收文件的地点：</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项目所在地监理人办公室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14A93927">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监理人指定的接收人为：</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总监理工程师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746A727A">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1.10</w:t>
      </w:r>
      <w:r>
        <w:rPr>
          <w:rFonts w:hint="eastAsia" w:ascii="仿宋" w:hAnsi="仿宋" w:eastAsia="仿宋" w:cs="仿宋"/>
          <w:color w:val="000000" w:themeColor="text1"/>
          <w:spacing w:val="1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交通运输</w:t>
      </w:r>
    </w:p>
    <w:p w14:paraId="17C1A032">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1.10.1</w:t>
      </w:r>
      <w:r>
        <w:rPr>
          <w:rFonts w:hint="eastAsia" w:ascii="仿宋" w:hAnsi="仿宋" w:eastAsia="仿宋" w:cs="仿宋"/>
          <w:color w:val="000000" w:themeColor="text1"/>
          <w:spacing w:val="4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出入现场的权利</w:t>
      </w:r>
    </w:p>
    <w:p w14:paraId="4A6FE898">
      <w:pPr>
        <w:keepNext w:val="0"/>
        <w:keepLines w:val="0"/>
        <w:pageBreakBefore w:val="0"/>
        <w:widowControl w:val="0"/>
        <w:kinsoku/>
        <w:wordWrap/>
        <w:overflowPunct/>
        <w:topLinePunct w:val="0"/>
        <w:autoSpaceDE/>
        <w:autoSpaceDN/>
        <w:bidi w:val="0"/>
        <w:snapToGrid/>
        <w:spacing w:line="360" w:lineRule="auto"/>
        <w:ind w:left="0" w:leftChars="0" w:right="0" w:rightChars="0" w:firstLine="5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关于出入现场的</w:t>
      </w:r>
      <w:r>
        <w:rPr>
          <w:rFonts w:hint="eastAsia" w:ascii="仿宋" w:hAnsi="仿宋" w:eastAsia="仿宋" w:cs="仿宋"/>
          <w:color w:val="000000" w:themeColor="text1"/>
          <w:spacing w:val="-1"/>
          <w:sz w:val="24"/>
          <w:szCs w:val="24"/>
          <w:highlight w:val="none"/>
          <w14:textFill>
            <w14:solidFill>
              <w14:schemeClr w14:val="tx1"/>
            </w14:solidFill>
          </w14:textFill>
        </w:rPr>
        <w:t>权利</w:t>
      </w:r>
      <w:r>
        <w:rPr>
          <w:rFonts w:hint="eastAsia" w:ascii="仿宋" w:hAnsi="仿宋" w:eastAsia="仿宋" w:cs="仿宋"/>
          <w:color w:val="000000" w:themeColor="text1"/>
          <w:spacing w:val="-2"/>
          <w:sz w:val="24"/>
          <w:szCs w:val="24"/>
          <w:highlight w:val="none"/>
          <w14:textFill>
            <w14:solidFill>
              <w14:schemeClr w14:val="tx1"/>
            </w14:solidFill>
          </w14:textFill>
        </w:rPr>
        <w:t>的约定：</w:t>
      </w:r>
      <w:r>
        <w:rPr>
          <w:rFonts w:hint="eastAsia" w:ascii="仿宋" w:hAnsi="仿宋" w:eastAsia="仿宋" w:cs="仿宋"/>
          <w:color w:val="000000" w:themeColor="text1"/>
          <w:spacing w:val="-2"/>
          <w:sz w:val="24"/>
          <w:szCs w:val="24"/>
          <w:highlight w:val="none"/>
          <w:u w:val="single"/>
          <w14:textFill>
            <w14:solidFill>
              <w14:schemeClr w14:val="tx1"/>
            </w14:solidFill>
          </w14:textFill>
        </w:rPr>
        <w:t>根据施工需要，由承包方负责办理出入施工现场的相关手续</w:t>
      </w:r>
      <w:r>
        <w:rPr>
          <w:rFonts w:hint="eastAsia" w:ascii="仿宋" w:hAnsi="仿宋" w:eastAsia="仿宋" w:cs="仿宋"/>
          <w:color w:val="000000" w:themeColor="text1"/>
          <w:spacing w:val="-2"/>
          <w:sz w:val="24"/>
          <w:szCs w:val="24"/>
          <w:highlight w:val="none"/>
          <w14:textFill>
            <w14:solidFill>
              <w14:schemeClr w14:val="tx1"/>
            </w14:solidFill>
          </w14:textFill>
        </w:rPr>
        <w:t>。</w:t>
      </w:r>
    </w:p>
    <w:p w14:paraId="3635CE01">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1.10.3 场内交通</w:t>
      </w:r>
    </w:p>
    <w:p w14:paraId="669CE9E2">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关于场外交通和场内交通的边界的约定：</w:t>
      </w:r>
      <w:r>
        <w:rPr>
          <w:rFonts w:hint="eastAsia" w:ascii="仿宋" w:hAnsi="仿宋" w:eastAsia="仿宋" w:cs="仿宋"/>
          <w:color w:val="000000" w:themeColor="text1"/>
          <w:spacing w:val="-1"/>
          <w:sz w:val="24"/>
          <w:szCs w:val="24"/>
          <w:highlight w:val="none"/>
          <w:u w:val="single"/>
          <w14:textFill>
            <w14:solidFill>
              <w14:schemeClr w14:val="tx1"/>
            </w14:solidFill>
          </w14:textFill>
        </w:rPr>
        <w:t>以规划红线为边界</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761FF805">
      <w:pPr>
        <w:keepNext w:val="0"/>
        <w:keepLines w:val="0"/>
        <w:pageBreakBefore w:val="0"/>
        <w:widowControl w:val="0"/>
        <w:kinsoku/>
        <w:wordWrap/>
        <w:overflowPunct/>
        <w:topLinePunct w:val="0"/>
        <w:autoSpaceDE/>
        <w:autoSpaceDN/>
        <w:bidi w:val="0"/>
        <w:snapToGrid/>
        <w:spacing w:line="360" w:lineRule="auto"/>
        <w:ind w:left="0" w:leftChars="0" w:right="0" w:rightChars="0" w:firstLine="5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关于发包人向承包人免费提供满足工程施工需要的场内道路和交通设施的约定：</w:t>
      </w:r>
      <w:r>
        <w:rPr>
          <w:rFonts w:hint="eastAsia" w:ascii="仿宋" w:hAnsi="仿宋" w:eastAsia="仿宋" w:cs="仿宋"/>
          <w:color w:val="000000" w:themeColor="text1"/>
          <w:spacing w:val="-1"/>
          <w:sz w:val="24"/>
          <w:szCs w:val="24"/>
          <w:highlight w:val="none"/>
          <w:u w:val="single"/>
          <w14:textFill>
            <w14:solidFill>
              <w14:schemeClr w14:val="tx1"/>
            </w14:solidFill>
          </w14:textFill>
        </w:rPr>
        <w:t>发包方协助，承包方办理并承担相应费用</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521F2F16">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1.10.4</w:t>
      </w:r>
      <w:r>
        <w:rPr>
          <w:rFonts w:hint="eastAsia" w:ascii="仿宋" w:hAnsi="仿宋" w:eastAsia="仿宋" w:cs="仿宋"/>
          <w:color w:val="000000" w:themeColor="text1"/>
          <w:spacing w:val="-5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超大件和超重件的运输</w:t>
      </w:r>
    </w:p>
    <w:p w14:paraId="473129FF">
      <w:pPr>
        <w:keepNext w:val="0"/>
        <w:keepLines w:val="0"/>
        <w:pageBreakBefore w:val="0"/>
        <w:widowControl w:val="0"/>
        <w:kinsoku/>
        <w:wordWrap/>
        <w:overflowPunct/>
        <w:topLinePunct w:val="0"/>
        <w:autoSpaceDE/>
        <w:autoSpaceDN/>
        <w:bidi w:val="0"/>
        <w:snapToGrid/>
        <w:spacing w:line="360" w:lineRule="auto"/>
        <w:ind w:left="0" w:leftChars="0" w:right="0" w:rightChars="0" w:firstLine="52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运输超大件或超重件所需的道路和桥梁临时加固改造费用和其他有关费用</w:t>
      </w:r>
      <w:r>
        <w:rPr>
          <w:rFonts w:hint="eastAsia" w:ascii="仿宋" w:hAnsi="仿宋" w:eastAsia="仿宋" w:cs="仿宋"/>
          <w:color w:val="000000" w:themeColor="text1"/>
          <w:spacing w:val="-12"/>
          <w:sz w:val="24"/>
          <w:szCs w:val="24"/>
          <w:highlight w:val="none"/>
          <w14:textFill>
            <w14:solidFill>
              <w14:schemeClr w14:val="tx1"/>
            </w14:solidFill>
          </w14:textFill>
        </w:rPr>
        <w:t>由</w:t>
      </w:r>
      <w:r>
        <w:rPr>
          <w:rFonts w:hint="eastAsia" w:ascii="仿宋" w:hAnsi="仿宋" w:eastAsia="仿宋" w:cs="仿宋"/>
          <w:color w:val="000000" w:themeColor="text1"/>
          <w:spacing w:val="3"/>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2"/>
          <w:sz w:val="24"/>
          <w:szCs w:val="24"/>
          <w:highlight w:val="none"/>
          <w:u w:val="single"/>
          <w14:textFill>
            <w14:solidFill>
              <w14:schemeClr w14:val="tx1"/>
            </w14:solidFill>
          </w14:textFill>
        </w:rPr>
        <w:t>承包人</w:t>
      </w:r>
      <w:r>
        <w:rPr>
          <w:rFonts w:hint="eastAsia" w:ascii="仿宋" w:hAnsi="仿宋" w:eastAsia="仿宋" w:cs="仿宋"/>
          <w:color w:val="000000" w:themeColor="text1"/>
          <w:spacing w:val="46"/>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2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2"/>
          <w:sz w:val="24"/>
          <w:szCs w:val="24"/>
          <w:highlight w:val="none"/>
          <w14:textFill>
            <w14:solidFill>
              <w14:schemeClr w14:val="tx1"/>
            </w14:solidFill>
          </w14:textFill>
        </w:rPr>
        <w:t>承担。</w:t>
      </w:r>
    </w:p>
    <w:p w14:paraId="4722C26B">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1.11</w:t>
      </w:r>
      <w:r>
        <w:rPr>
          <w:rFonts w:hint="eastAsia" w:ascii="仿宋" w:hAnsi="仿宋" w:eastAsia="仿宋" w:cs="仿宋"/>
          <w:color w:val="000000" w:themeColor="text1"/>
          <w:spacing w:val="1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知识产权</w:t>
      </w:r>
    </w:p>
    <w:p w14:paraId="111074C4">
      <w:pPr>
        <w:keepNext w:val="0"/>
        <w:keepLines w:val="0"/>
        <w:pageBreakBefore w:val="0"/>
        <w:widowControl w:val="0"/>
        <w:kinsoku/>
        <w:wordWrap/>
        <w:overflowPunct/>
        <w:topLinePunct w:val="0"/>
        <w:autoSpaceDE/>
        <w:autoSpaceDN/>
        <w:bidi w:val="0"/>
        <w:snapToGrid/>
        <w:spacing w:line="360" w:lineRule="auto"/>
        <w:ind w:left="0" w:leftChars="0" w:right="0" w:rightChars="0" w:firstLine="52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1.11.1</w:t>
      </w:r>
      <w:r>
        <w:rPr>
          <w:rFonts w:hint="eastAsia" w:ascii="仿宋" w:hAnsi="仿宋" w:eastAsia="仿宋" w:cs="仿宋"/>
          <w:color w:val="000000" w:themeColor="text1"/>
          <w:spacing w:val="-3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关于发包人提供给</w:t>
      </w:r>
      <w:r>
        <w:rPr>
          <w:rFonts w:hint="eastAsia" w:ascii="仿宋" w:hAnsi="仿宋" w:eastAsia="仿宋" w:cs="仿宋"/>
          <w:color w:val="000000" w:themeColor="text1"/>
          <w:spacing w:val="-1"/>
          <w:sz w:val="24"/>
          <w:szCs w:val="24"/>
          <w:highlight w:val="none"/>
          <w14:textFill>
            <w14:solidFill>
              <w14:schemeClr w14:val="tx1"/>
            </w14:solidFill>
          </w14:textFill>
        </w:rPr>
        <w:t>承包人</w:t>
      </w:r>
      <w:r>
        <w:rPr>
          <w:rFonts w:hint="eastAsia" w:ascii="仿宋" w:hAnsi="仿宋" w:eastAsia="仿宋" w:cs="仿宋"/>
          <w:color w:val="000000" w:themeColor="text1"/>
          <w:spacing w:val="-5"/>
          <w:sz w:val="24"/>
          <w:szCs w:val="24"/>
          <w:highlight w:val="none"/>
          <w14:textFill>
            <w14:solidFill>
              <w14:schemeClr w14:val="tx1"/>
            </w14:solidFill>
          </w14:textFill>
        </w:rPr>
        <w:t>的图纸、发包人为实施工程自行编制或委托编制</w:t>
      </w:r>
      <w:r>
        <w:rPr>
          <w:rFonts w:hint="eastAsia" w:ascii="仿宋" w:hAnsi="仿宋" w:eastAsia="仿宋" w:cs="仿宋"/>
          <w:color w:val="000000" w:themeColor="text1"/>
          <w:spacing w:val="5"/>
          <w:sz w:val="24"/>
          <w:szCs w:val="24"/>
          <w:highlight w:val="none"/>
          <w14:textFill>
            <w14:solidFill>
              <w14:schemeClr w14:val="tx1"/>
            </w14:solidFill>
          </w14:textFill>
        </w:rPr>
        <w:t>的技术规范以及反映发包人关于合同要求或其他类似性质的文件的著作权的归</w:t>
      </w:r>
      <w:r>
        <w:rPr>
          <w:rFonts w:hint="eastAsia" w:ascii="仿宋" w:hAnsi="仿宋" w:eastAsia="仿宋" w:cs="仿宋"/>
          <w:color w:val="000000" w:themeColor="text1"/>
          <w:spacing w:val="-2"/>
          <w:sz w:val="24"/>
          <w:szCs w:val="24"/>
          <w:highlight w:val="none"/>
          <w14:textFill>
            <w14:solidFill>
              <w14:schemeClr w14:val="tx1"/>
            </w14:solidFill>
          </w14:textFill>
        </w:rPr>
        <w:t>属：</w:t>
      </w:r>
      <w:r>
        <w:rPr>
          <w:rFonts w:hint="eastAsia" w:ascii="仿宋" w:hAnsi="仿宋" w:eastAsia="仿宋" w:cs="仿宋"/>
          <w:color w:val="000000" w:themeColor="text1"/>
          <w:spacing w:val="-2"/>
          <w:sz w:val="24"/>
          <w:szCs w:val="24"/>
          <w:highlight w:val="none"/>
          <w:u w:val="single"/>
          <w14:textFill>
            <w14:solidFill>
              <w14:schemeClr w14:val="tx1"/>
            </w14:solidFill>
          </w14:textFill>
        </w:rPr>
        <w:t>按通用条款执行</w:t>
      </w:r>
      <w:r>
        <w:rPr>
          <w:rFonts w:hint="eastAsia" w:ascii="仿宋" w:hAnsi="仿宋" w:eastAsia="仿宋" w:cs="仿宋"/>
          <w:color w:val="000000" w:themeColor="text1"/>
          <w:spacing w:val="-2"/>
          <w:sz w:val="24"/>
          <w:szCs w:val="24"/>
          <w:highlight w:val="none"/>
          <w14:textFill>
            <w14:solidFill>
              <w14:schemeClr w14:val="tx1"/>
            </w14:solidFill>
          </w14:textFill>
        </w:rPr>
        <w:t>。</w:t>
      </w:r>
    </w:p>
    <w:p w14:paraId="358E4C68">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关于发包人提供的上述文件的使用限制的要求：</w:t>
      </w:r>
      <w:r>
        <w:rPr>
          <w:rFonts w:hint="eastAsia" w:ascii="仿宋" w:hAnsi="仿宋" w:eastAsia="仿宋" w:cs="仿宋"/>
          <w:color w:val="000000" w:themeColor="text1"/>
          <w:spacing w:val="-1"/>
          <w:sz w:val="24"/>
          <w:szCs w:val="24"/>
          <w:highlight w:val="none"/>
          <w:u w:val="single"/>
          <w14:textFill>
            <w14:solidFill>
              <w14:schemeClr w14:val="tx1"/>
            </w14:solidFill>
          </w14:textFill>
        </w:rPr>
        <w:t>按通用条款执行</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7359542A">
      <w:pPr>
        <w:keepNext w:val="0"/>
        <w:keepLines w:val="0"/>
        <w:pageBreakBefore w:val="0"/>
        <w:widowControl w:val="0"/>
        <w:kinsoku/>
        <w:wordWrap/>
        <w:overflowPunct/>
        <w:topLinePunct w:val="0"/>
        <w:autoSpaceDE/>
        <w:autoSpaceDN/>
        <w:bidi w:val="0"/>
        <w:snapToGrid/>
        <w:spacing w:line="360" w:lineRule="auto"/>
        <w:ind w:left="0" w:leftChars="0" w:right="0" w:rightChars="0" w:firstLine="1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1.11.2 关于承包人为实施工程所编制文件的著作权的归属：</w:t>
      </w:r>
      <w:r>
        <w:rPr>
          <w:rFonts w:hint="eastAsia" w:ascii="仿宋" w:hAnsi="仿宋" w:eastAsia="仿宋" w:cs="仿宋"/>
          <w:color w:val="000000" w:themeColor="text1"/>
          <w:spacing w:val="-2"/>
          <w:sz w:val="24"/>
          <w:szCs w:val="24"/>
          <w:highlight w:val="none"/>
          <w:u w:val="single"/>
          <w14:textFill>
            <w14:solidFill>
              <w14:schemeClr w14:val="tx1"/>
            </w14:solidFill>
          </w14:textFill>
        </w:rPr>
        <w:t>按通用条款执行</w:t>
      </w:r>
      <w:r>
        <w:rPr>
          <w:rFonts w:hint="eastAsia" w:ascii="仿宋" w:hAnsi="仿宋" w:eastAsia="仿宋" w:cs="仿宋"/>
          <w:color w:val="000000" w:themeColor="text1"/>
          <w:spacing w:val="-2"/>
          <w:sz w:val="24"/>
          <w:szCs w:val="24"/>
          <w:highlight w:val="none"/>
          <w14:textFill>
            <w14:solidFill>
              <w14:schemeClr w14:val="tx1"/>
            </w14:solidFill>
          </w14:textFill>
        </w:rPr>
        <w:t>。</w:t>
      </w:r>
      <w:r>
        <w:rPr>
          <w:rFonts w:hint="eastAsia" w:ascii="仿宋" w:hAnsi="仿宋" w:eastAsia="仿宋" w:cs="仿宋"/>
          <w:color w:val="000000" w:themeColor="text1"/>
          <w:spacing w:val="-1"/>
          <w:sz w:val="24"/>
          <w:szCs w:val="24"/>
          <w:highlight w:val="none"/>
          <w14:textFill>
            <w14:solidFill>
              <w14:schemeClr w14:val="tx1"/>
            </w14:solidFill>
          </w14:textFill>
        </w:rPr>
        <w:t>关于承包人提供的上述文件的使用限制的要求：</w:t>
      </w:r>
      <w:r>
        <w:rPr>
          <w:rFonts w:hint="eastAsia" w:ascii="仿宋" w:hAnsi="仿宋" w:eastAsia="仿宋" w:cs="仿宋"/>
          <w:color w:val="000000" w:themeColor="text1"/>
          <w:spacing w:val="-1"/>
          <w:sz w:val="24"/>
          <w:szCs w:val="24"/>
          <w:highlight w:val="none"/>
          <w:u w:val="single"/>
          <w14:textFill>
            <w14:solidFill>
              <w14:schemeClr w14:val="tx1"/>
            </w14:solidFill>
          </w14:textFill>
        </w:rPr>
        <w:t>按通用条款执行</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2F0DB48D">
      <w:pPr>
        <w:keepNext w:val="0"/>
        <w:keepLines w:val="0"/>
        <w:pageBreakBefore w:val="0"/>
        <w:widowControl w:val="0"/>
        <w:kinsoku/>
        <w:wordWrap/>
        <w:overflowPunct/>
        <w:topLinePunct w:val="0"/>
        <w:autoSpaceDE/>
        <w:autoSpaceDN/>
        <w:bidi w:val="0"/>
        <w:snapToGrid/>
        <w:spacing w:line="360" w:lineRule="auto"/>
        <w:ind w:left="0" w:leftChars="0" w:right="0" w:rightChars="0" w:firstLine="5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1.11.4 承包人在施工过程中所采用的专利、专有技术、技术秘密的使用费</w:t>
      </w:r>
      <w:r>
        <w:rPr>
          <w:rFonts w:hint="eastAsia" w:ascii="仿宋" w:hAnsi="仿宋" w:eastAsia="仿宋" w:cs="仿宋"/>
          <w:color w:val="000000" w:themeColor="text1"/>
          <w:spacing w:val="1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的承担方式：</w:t>
      </w:r>
      <w:r>
        <w:rPr>
          <w:rFonts w:hint="eastAsia" w:ascii="仿宋" w:hAnsi="仿宋" w:eastAsia="仿宋" w:cs="仿宋"/>
          <w:color w:val="000000" w:themeColor="text1"/>
          <w:spacing w:val="-3"/>
          <w:sz w:val="24"/>
          <w:szCs w:val="24"/>
          <w:highlight w:val="none"/>
          <w:u w:val="single"/>
          <w14:textFill>
            <w14:solidFill>
              <w14:schemeClr w14:val="tx1"/>
            </w14:solidFill>
          </w14:textFill>
        </w:rPr>
        <w:t>包含在合同价中</w:t>
      </w:r>
      <w:r>
        <w:rPr>
          <w:rFonts w:hint="eastAsia" w:ascii="仿宋" w:hAnsi="仿宋" w:eastAsia="仿宋" w:cs="仿宋"/>
          <w:color w:val="000000" w:themeColor="text1"/>
          <w:spacing w:val="-3"/>
          <w:sz w:val="24"/>
          <w:szCs w:val="24"/>
          <w:highlight w:val="none"/>
          <w14:textFill>
            <w14:solidFill>
              <w14:schemeClr w14:val="tx1"/>
            </w14:solidFill>
          </w14:textFill>
        </w:rPr>
        <w:t>。</w:t>
      </w:r>
    </w:p>
    <w:p w14:paraId="1805EEBB">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1.13</w:t>
      </w:r>
      <w:r>
        <w:rPr>
          <w:rFonts w:hint="eastAsia" w:ascii="仿宋" w:hAnsi="仿宋" w:eastAsia="仿宋" w:cs="仿宋"/>
          <w:color w:val="000000" w:themeColor="text1"/>
          <w:spacing w:val="-5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工程量清单错误的修正</w:t>
      </w:r>
    </w:p>
    <w:p w14:paraId="0732F101">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出现工程量清单错误时，是否调整合同价格：</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是  </w:t>
      </w:r>
      <w:r>
        <w:rPr>
          <w:rFonts w:hint="eastAsia" w:ascii="仿宋" w:hAnsi="仿宋" w:eastAsia="仿宋" w:cs="仿宋"/>
          <w:color w:val="000000" w:themeColor="text1"/>
          <w:spacing w:val="-2"/>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w:t>
      </w:r>
    </w:p>
    <w:p w14:paraId="09953978">
      <w:pPr>
        <w:keepNext w:val="0"/>
        <w:keepLines w:val="0"/>
        <w:pageBreakBefore w:val="0"/>
        <w:widowControl w:val="0"/>
        <w:kinsoku/>
        <w:wordWrap/>
        <w:overflowPunct/>
        <w:topLinePunct w:val="0"/>
        <w:autoSpaceDE/>
        <w:autoSpaceDN/>
        <w:bidi w:val="0"/>
        <w:snapToGrid/>
        <w:spacing w:line="360" w:lineRule="auto"/>
        <w:ind w:left="0" w:leftChars="0" w:right="0" w:rightChars="0" w:firstLine="48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允许调整合同价格的工程量偏差范围：</w:t>
      </w:r>
      <w:r>
        <w:rPr>
          <w:rFonts w:hint="eastAsia" w:ascii="仿宋" w:hAnsi="仿宋" w:eastAsia="仿宋" w:cs="仿宋"/>
          <w:color w:val="000000" w:themeColor="text1"/>
          <w:spacing w:val="2"/>
          <w:sz w:val="24"/>
          <w:szCs w:val="24"/>
          <w:highlight w:val="none"/>
          <w:u w:val="single"/>
          <w14:textFill>
            <w14:solidFill>
              <w14:schemeClr w14:val="tx1"/>
            </w14:solidFill>
          </w14:textFill>
        </w:rPr>
        <w:t>1、当工程量清单项目工程量</w:t>
      </w:r>
      <w:r>
        <w:rPr>
          <w:rFonts w:hint="eastAsia" w:ascii="仿宋" w:hAnsi="仿宋" w:eastAsia="仿宋" w:cs="仿宋"/>
          <w:color w:val="000000" w:themeColor="text1"/>
          <w:spacing w:val="1"/>
          <w:sz w:val="24"/>
          <w:szCs w:val="24"/>
          <w:highlight w:val="none"/>
          <w:u w:val="single"/>
          <w14:textFill>
            <w14:solidFill>
              <w14:schemeClr w14:val="tx1"/>
            </w14:solidFill>
          </w14:textFill>
        </w:rPr>
        <w:t>的变化幅度</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u w:val="single"/>
          <w14:textFill>
            <w14:solidFill>
              <w14:schemeClr w14:val="tx1"/>
            </w14:solidFill>
          </w14:textFill>
        </w:rPr>
        <w:t>在±15%（含</w:t>
      </w:r>
      <w:r>
        <w:rPr>
          <w:rFonts w:hint="eastAsia" w:ascii="仿宋" w:hAnsi="仿宋" w:eastAsia="仿宋" w:cs="仿宋"/>
          <w:color w:val="000000" w:themeColor="text1"/>
          <w:spacing w:val="-14"/>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u w:val="single"/>
          <w14:textFill>
            <w14:solidFill>
              <w14:schemeClr w14:val="tx1"/>
            </w14:solidFill>
          </w14:textFill>
        </w:rPr>
        <w:t>15%）以内时，其综合单价不做调整，执行原有综合单价。当工程量</w:t>
      </w:r>
      <w:r>
        <w:rPr>
          <w:rFonts w:hint="eastAsia" w:ascii="仿宋" w:hAnsi="仿宋" w:eastAsia="仿宋" w:cs="仿宋"/>
          <w:color w:val="000000" w:themeColor="text1"/>
          <w:spacing w:val="2"/>
          <w:sz w:val="24"/>
          <w:szCs w:val="24"/>
          <w:highlight w:val="none"/>
          <w:u w:val="single"/>
          <w14:textFill>
            <w14:solidFill>
              <w14:schemeClr w14:val="tx1"/>
            </w14:solidFill>
          </w14:textFill>
        </w:rPr>
        <w:t>清单项目工程量的变化幅度在±15%以外时，其综合单价调整方法为：工程量偏</w:t>
      </w:r>
      <w:r>
        <w:rPr>
          <w:rFonts w:hint="eastAsia" w:ascii="仿宋" w:hAnsi="仿宋" w:eastAsia="仿宋" w:cs="仿宋"/>
          <w:color w:val="000000" w:themeColor="text1"/>
          <w:spacing w:val="-2"/>
          <w:sz w:val="24"/>
          <w:szCs w:val="24"/>
          <w:highlight w:val="none"/>
          <w:u w:val="single"/>
          <w14:textFill>
            <w14:solidFill>
              <w14:schemeClr w14:val="tx1"/>
            </w14:solidFill>
          </w14:textFill>
        </w:rPr>
        <w:t>差+15%以上的部分原综合单价下浮 10%；工程量偏差-15%以下的部分，减少后剩</w:t>
      </w:r>
      <w:r>
        <w:rPr>
          <w:rFonts w:hint="eastAsia" w:ascii="仿宋" w:hAnsi="仿宋" w:eastAsia="仿宋" w:cs="仿宋"/>
          <w:color w:val="000000" w:themeColor="text1"/>
          <w:spacing w:val="-1"/>
          <w:sz w:val="24"/>
          <w:szCs w:val="24"/>
          <w:highlight w:val="none"/>
          <w:u w:val="single"/>
          <w14:textFill>
            <w14:solidFill>
              <w14:schemeClr w14:val="tx1"/>
            </w14:solidFill>
          </w14:textFill>
        </w:rPr>
        <w:t>余部分的工程量综合单价执行原综合单价。</w:t>
      </w:r>
    </w:p>
    <w:p w14:paraId="2EC5F6CE">
      <w:pPr>
        <w:keepNext w:val="0"/>
        <w:keepLines w:val="0"/>
        <w:pageBreakBefore w:val="0"/>
        <w:widowControl w:val="0"/>
        <w:kinsoku/>
        <w:wordWrap/>
        <w:overflowPunct/>
        <w:topLinePunct w:val="0"/>
        <w:autoSpaceDE/>
        <w:autoSpaceDN/>
        <w:bidi w:val="0"/>
        <w:snapToGrid/>
        <w:spacing w:line="360" w:lineRule="auto"/>
        <w:ind w:left="0" w:leftChars="0" w:right="0" w:rightChars="0" w:firstLine="45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7"/>
          <w:sz w:val="24"/>
          <w:szCs w:val="24"/>
          <w:highlight w:val="none"/>
          <w:u w:val="single"/>
          <w14:textFill>
            <w14:solidFill>
              <w14:schemeClr w14:val="tx1"/>
            </w14:solidFill>
          </w14:textFill>
        </w:rPr>
        <w:t>2、当清单出现漏项、缺项时，应该按</w:t>
      </w:r>
      <w:r>
        <w:rPr>
          <w:rFonts w:hint="eastAsia" w:ascii="仿宋" w:hAnsi="仿宋" w:eastAsia="仿宋" w:cs="仿宋"/>
          <w:color w:val="000000" w:themeColor="text1"/>
          <w:spacing w:val="-62"/>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u w:val="single"/>
          <w14:textFill>
            <w14:solidFill>
              <w14:schemeClr w14:val="tx1"/>
            </w14:solidFill>
          </w14:textFill>
        </w:rPr>
        <w:t>GB50500-2013</w:t>
      </w:r>
      <w:r>
        <w:rPr>
          <w:rFonts w:hint="eastAsia" w:ascii="仿宋" w:hAnsi="仿宋" w:eastAsia="仿宋" w:cs="仿宋"/>
          <w:color w:val="000000" w:themeColor="text1"/>
          <w:spacing w:val="-58"/>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u w:val="single"/>
          <w14:textFill>
            <w14:solidFill>
              <w14:schemeClr w14:val="tx1"/>
            </w14:solidFill>
          </w14:textFill>
        </w:rPr>
        <w:t>清单规范进行补充。其综合</w:t>
      </w:r>
      <w:r>
        <w:rPr>
          <w:rFonts w:hint="eastAsia" w:ascii="仿宋" w:hAnsi="仿宋" w:eastAsia="仿宋" w:cs="仿宋"/>
          <w:color w:val="000000" w:themeColor="text1"/>
          <w:sz w:val="24"/>
          <w:szCs w:val="24"/>
          <w:highlight w:val="none"/>
          <w:u w:val="single"/>
          <w14:textFill>
            <w14:solidFill>
              <w14:schemeClr w14:val="tx1"/>
            </w14:solidFill>
          </w14:textFill>
        </w:rPr>
        <w:t>单价定价原则为：①已标价工程量清单中有相同项目的，按相同项目执行</w:t>
      </w:r>
      <w:r>
        <w:rPr>
          <w:rFonts w:hint="eastAsia" w:ascii="仿宋" w:hAnsi="仿宋" w:eastAsia="仿宋" w:cs="仿宋"/>
          <w:color w:val="000000" w:themeColor="text1"/>
          <w:spacing w:val="-62"/>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②有</w:t>
      </w:r>
      <w:r>
        <w:rPr>
          <w:rFonts w:hint="eastAsia" w:ascii="仿宋" w:hAnsi="仿宋" w:eastAsia="仿宋" w:cs="仿宋"/>
          <w:color w:val="000000" w:themeColor="text1"/>
          <w:spacing w:val="-2"/>
          <w:sz w:val="24"/>
          <w:szCs w:val="24"/>
          <w:highlight w:val="none"/>
          <w:u w:val="single"/>
          <w14:textFill>
            <w14:solidFill>
              <w14:schemeClr w14:val="tx1"/>
            </w14:solidFill>
          </w14:textFill>
        </w:rPr>
        <w:t>类似项目的，按类似项目执行；③没有相同或类似项目的，应由承包人提出，监理工程师审核，其清单漏项、缺项部分的造价根据工程资料、计量规则和现行的相关定额、本地区的估价表，工程造价管理机构发布的信息价格和承包人报价浮动率提出清单漏项、缺项工程项目的单价，并报发包人确认后调整。承包人报价</w:t>
      </w:r>
      <w:r>
        <w:rPr>
          <w:rFonts w:hint="eastAsia" w:ascii="仿宋" w:hAnsi="仿宋" w:eastAsia="仿宋" w:cs="仿宋"/>
          <w:color w:val="000000" w:themeColor="text1"/>
          <w:spacing w:val="-8"/>
          <w:sz w:val="24"/>
          <w:szCs w:val="24"/>
          <w:highlight w:val="none"/>
          <w:u w:val="single"/>
          <w14:textFill>
            <w14:solidFill>
              <w14:schemeClr w14:val="tx1"/>
            </w14:solidFill>
          </w14:textFill>
        </w:rPr>
        <w:t>浮动率可按下列公式计算：承包人报价浮动</w:t>
      </w:r>
      <w:r>
        <w:rPr>
          <w:rFonts w:hint="eastAsia" w:ascii="仿宋" w:hAnsi="仿宋" w:eastAsia="仿宋" w:cs="仿宋"/>
          <w:color w:val="000000" w:themeColor="text1"/>
          <w:spacing w:val="-6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u w:val="single"/>
          <w14:textFill>
            <w14:solidFill>
              <w14:schemeClr w14:val="tx1"/>
            </w14:solidFill>
          </w14:textFill>
        </w:rPr>
        <w:t>L</w:t>
      </w:r>
      <w:r>
        <w:rPr>
          <w:rFonts w:hint="eastAsia" w:ascii="仿宋" w:hAnsi="仿宋" w:eastAsia="仿宋" w:cs="仿宋"/>
          <w:color w:val="000000" w:themeColor="text1"/>
          <w:spacing w:val="-77"/>
          <w:w w:val="99"/>
          <w:sz w:val="24"/>
          <w:szCs w:val="24"/>
          <w:highlight w:val="none"/>
          <w:u w:val="single"/>
          <w14:textFill>
            <w14:solidFill>
              <w14:schemeClr w14:val="tx1"/>
            </w14:solidFill>
          </w14:textFill>
        </w:rPr>
        <w:t>＝（</w:t>
      </w:r>
      <w:r>
        <w:rPr>
          <w:rFonts w:hint="eastAsia" w:ascii="仿宋" w:hAnsi="仿宋" w:eastAsia="仿宋" w:cs="仿宋"/>
          <w:color w:val="000000" w:themeColor="text1"/>
          <w:spacing w:val="-77"/>
          <w:w w:val="99"/>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u w:val="single"/>
          <w:lang w:val="en-US" w:eastAsia="zh-CN"/>
          <w14:textFill>
            <w14:solidFill>
              <w14:schemeClr w14:val="tx1"/>
            </w14:solidFill>
          </w14:textFill>
        </w:rPr>
        <w:t xml:space="preserve">  1 </w:t>
      </w:r>
      <w:r>
        <w:rPr>
          <w:rFonts w:hint="eastAsia" w:ascii="仿宋" w:hAnsi="仿宋" w:eastAsia="仿宋" w:cs="仿宋"/>
          <w:color w:val="000000" w:themeColor="text1"/>
          <w:spacing w:val="-8"/>
          <w:sz w:val="24"/>
          <w:szCs w:val="24"/>
          <w:highlight w:val="none"/>
          <w:u w:val="single"/>
          <w14:textFill>
            <w14:solidFill>
              <w14:schemeClr w14:val="tx1"/>
            </w14:solidFill>
          </w14:textFill>
        </w:rPr>
        <w:t>－中标价／招标控制价）×</w:t>
      </w:r>
      <w:r>
        <w:rPr>
          <w:rFonts w:hint="eastAsia" w:ascii="仿宋" w:hAnsi="仿宋" w:eastAsia="仿宋" w:cs="仿宋"/>
          <w:color w:val="000000" w:themeColor="text1"/>
          <w:spacing w:val="-107"/>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u w:val="single"/>
          <w14:textFill>
            <w14:solidFill>
              <w14:schemeClr w14:val="tx1"/>
            </w14:solidFill>
          </w14:textFill>
        </w:rPr>
        <w:t>100%</w:t>
      </w:r>
    </w:p>
    <w:p w14:paraId="6630D13E">
      <w:pPr>
        <w:keepNext w:val="0"/>
        <w:keepLines w:val="0"/>
        <w:pageBreakBefore w:val="0"/>
        <w:widowControl w:val="0"/>
        <w:tabs>
          <w:tab w:val="left" w:pos="187"/>
        </w:tabs>
        <w:kinsoku/>
        <w:wordWrap/>
        <w:overflowPunct/>
        <w:topLinePunct w:val="0"/>
        <w:autoSpaceDE/>
        <w:autoSpaceDN/>
        <w:bidi w:val="0"/>
        <w:snapToGrid/>
        <w:spacing w:line="360" w:lineRule="auto"/>
        <w:ind w:left="0" w:leftChars="0" w:right="0" w:rightChars="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pacing w:val="-11"/>
          <w:sz w:val="24"/>
          <w:szCs w:val="24"/>
          <w:highlight w:val="none"/>
          <w:u w:val="single"/>
          <w14:textFill>
            <w14:solidFill>
              <w14:schemeClr w14:val="tx1"/>
            </w14:solidFill>
          </w14:textFill>
        </w:rPr>
        <w:t>（注：中标价、招标价控制价均扣除暂列金和专业工程暂估</w:t>
      </w:r>
      <w:r>
        <w:rPr>
          <w:rFonts w:hint="eastAsia" w:ascii="仿宋" w:hAnsi="仿宋" w:eastAsia="仿宋" w:cs="仿宋"/>
          <w:color w:val="000000" w:themeColor="text1"/>
          <w:spacing w:val="-12"/>
          <w:sz w:val="24"/>
          <w:szCs w:val="24"/>
          <w:highlight w:val="none"/>
          <w:u w:val="single"/>
          <w14:textFill>
            <w14:solidFill>
              <w14:schemeClr w14:val="tx1"/>
            </w14:solidFill>
          </w14:textFill>
        </w:rPr>
        <w:t>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4D7F3EBC">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u w:val="single"/>
          <w14:textFill>
            <w14:solidFill>
              <w14:schemeClr w14:val="tx1"/>
            </w14:solidFill>
          </w14:textFill>
        </w:rPr>
        <w:t>无类似项目的计价办法如下：</w:t>
      </w:r>
    </w:p>
    <w:p w14:paraId="0F1A25F5">
      <w:pPr>
        <w:keepNext w:val="0"/>
        <w:keepLines w:val="0"/>
        <w:pageBreakBefore w:val="0"/>
        <w:widowControl w:val="0"/>
        <w:kinsoku/>
        <w:wordWrap/>
        <w:overflowPunct/>
        <w:topLinePunct w:val="0"/>
        <w:autoSpaceDE/>
        <w:autoSpaceDN/>
        <w:bidi w:val="0"/>
        <w:snapToGrid/>
        <w:spacing w:line="360" w:lineRule="auto"/>
        <w:ind w:left="0" w:leftChars="0" w:right="0" w:rightChars="0" w:firstLine="504"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u w:val="single"/>
          <w14:textFill>
            <w14:solidFill>
              <w14:schemeClr w14:val="tx1"/>
            </w14:solidFill>
          </w14:textFill>
        </w:rPr>
        <w:t>分部分项工程综合单价和单价措施项目费依据项目特征按照投标截止期现行预</w:t>
      </w:r>
      <w:r>
        <w:rPr>
          <w:rFonts w:hint="eastAsia" w:ascii="仿宋" w:hAnsi="仿宋" w:eastAsia="仿宋" w:cs="仿宋"/>
          <w:color w:val="000000" w:themeColor="text1"/>
          <w:spacing w:val="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算定额及配套文件计算。</w:t>
      </w:r>
    </w:p>
    <w:p w14:paraId="70B982C5">
      <w:pPr>
        <w:keepNext w:val="0"/>
        <w:keepLines w:val="0"/>
        <w:pageBreakBefore w:val="0"/>
        <w:widowControl w:val="0"/>
        <w:kinsoku/>
        <w:wordWrap/>
        <w:overflowPunct/>
        <w:topLinePunct w:val="0"/>
        <w:autoSpaceDE/>
        <w:autoSpaceDN/>
        <w:bidi w:val="0"/>
        <w:snapToGrid/>
        <w:spacing w:line="360" w:lineRule="auto"/>
        <w:ind w:left="0" w:leftChars="0" w:right="0" w:rightChars="0" w:firstLine="44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8"/>
          <w:sz w:val="24"/>
          <w:szCs w:val="24"/>
          <w:highlight w:val="none"/>
          <w:u w:val="single"/>
          <w14:textFill>
            <w14:solidFill>
              <w14:schemeClr w14:val="tx1"/>
            </w14:solidFill>
          </w14:textFill>
        </w:rPr>
        <w:t>1）取费标准：本工程按照《新疆建筑、安装、市政工程费用定额》（2020</w:t>
      </w:r>
      <w:r>
        <w:rPr>
          <w:rFonts w:hint="eastAsia" w:ascii="仿宋" w:hAnsi="仿宋" w:eastAsia="仿宋" w:cs="仿宋"/>
          <w:color w:val="000000" w:themeColor="text1"/>
          <w:spacing w:val="-56"/>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u w:val="single"/>
          <w14:textFill>
            <w14:solidFill>
              <w14:schemeClr w14:val="tx1"/>
            </w14:solidFill>
          </w14:textFill>
        </w:rPr>
        <w:t>年）规</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14:textFill>
            <w14:solidFill>
              <w14:schemeClr w14:val="tx1"/>
            </w14:solidFill>
          </w14:textFill>
        </w:rPr>
        <w:t>定取费,企业管理费及利润按下限计取。</w:t>
      </w:r>
    </w:p>
    <w:p w14:paraId="2C66CE6B">
      <w:pPr>
        <w:keepNext w:val="0"/>
        <w:keepLines w:val="0"/>
        <w:pageBreakBefore w:val="0"/>
        <w:widowControl w:val="0"/>
        <w:kinsoku/>
        <w:wordWrap/>
        <w:overflowPunct/>
        <w:topLinePunct w:val="0"/>
        <w:autoSpaceDE/>
        <w:autoSpaceDN/>
        <w:bidi w:val="0"/>
        <w:snapToGrid/>
        <w:spacing w:line="360" w:lineRule="auto"/>
        <w:ind w:left="0" w:leftChars="0" w:right="0" w:rightChars="0" w:firstLine="484"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u w:val="single"/>
          <w14:textFill>
            <w14:solidFill>
              <w14:schemeClr w14:val="tx1"/>
            </w14:solidFill>
          </w14:textFill>
        </w:rPr>
        <w:t>2）人工费：人工工日单价按照投标截止期最新发布的</w:t>
      </w:r>
      <w:r>
        <w:rPr>
          <w:rFonts w:hint="eastAsia" w:ascii="仿宋" w:hAnsi="仿宋" w:eastAsia="仿宋" w:cs="仿宋"/>
          <w:color w:val="000000" w:themeColor="text1"/>
          <w:spacing w:val="1"/>
          <w:sz w:val="24"/>
          <w:szCs w:val="24"/>
          <w:highlight w:val="none"/>
          <w:u w:val="single"/>
          <w:lang w:val="en-US" w:eastAsia="zh-CN"/>
          <w14:textFill>
            <w14:solidFill>
              <w14:schemeClr w14:val="tx1"/>
            </w14:solidFill>
          </w14:textFill>
        </w:rPr>
        <w:t>乌鲁木齐市</w:t>
      </w:r>
      <w:r>
        <w:rPr>
          <w:rFonts w:hint="eastAsia" w:ascii="仿宋" w:hAnsi="仿宋" w:eastAsia="仿宋" w:cs="仿宋"/>
          <w:color w:val="000000" w:themeColor="text1"/>
          <w:spacing w:val="1"/>
          <w:sz w:val="24"/>
          <w:szCs w:val="24"/>
          <w:highlight w:val="none"/>
          <w:u w:val="single"/>
          <w14:textFill>
            <w14:solidFill>
              <w14:schemeClr w14:val="tx1"/>
            </w14:solidFill>
          </w14:textFill>
        </w:rPr>
        <w:t>建筑工程价格信息</w:t>
      </w:r>
      <w:r>
        <w:rPr>
          <w:rFonts w:hint="eastAsia" w:ascii="仿宋" w:hAnsi="仿宋" w:eastAsia="仿宋" w:cs="仿宋"/>
          <w:color w:val="000000" w:themeColor="text1"/>
          <w:spacing w:val="-5"/>
          <w:sz w:val="24"/>
          <w:szCs w:val="24"/>
          <w:highlight w:val="none"/>
          <w:u w:val="single"/>
          <w14:textFill>
            <w14:solidFill>
              <w14:schemeClr w14:val="tx1"/>
            </w14:solidFill>
          </w14:textFill>
        </w:rPr>
        <w:t>中的人工费执行。</w:t>
      </w:r>
    </w:p>
    <w:p w14:paraId="3B49A744">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u w:val="single"/>
          <w14:textFill>
            <w14:solidFill>
              <w14:schemeClr w14:val="tx1"/>
            </w14:solidFill>
          </w14:textFill>
        </w:rPr>
        <w:t>3）材料费、机械费：</w:t>
      </w:r>
    </w:p>
    <w:p w14:paraId="33B1A9E2">
      <w:pPr>
        <w:keepNext w:val="0"/>
        <w:keepLines w:val="0"/>
        <w:pageBreakBefore w:val="0"/>
        <w:widowControl w:val="0"/>
        <w:kinsoku/>
        <w:wordWrap/>
        <w:overflowPunct/>
        <w:topLinePunct w:val="0"/>
        <w:autoSpaceDE/>
        <w:autoSpaceDN/>
        <w:bidi w:val="0"/>
        <w:snapToGrid/>
        <w:spacing w:line="360" w:lineRule="auto"/>
        <w:ind w:left="0" w:leftChars="0" w:right="0" w:rightChars="0" w:firstLine="48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u w:val="single"/>
          <w14:textFill>
            <w14:solidFill>
              <w14:schemeClr w14:val="tx1"/>
            </w14:solidFill>
          </w14:textFill>
        </w:rPr>
        <w:t>A．某项材料价格存在于承包人所报《工程量清单综合单价分析表》中时，则采</w:t>
      </w:r>
      <w:r>
        <w:rPr>
          <w:rFonts w:hint="eastAsia" w:ascii="仿宋" w:hAnsi="仿宋" w:eastAsia="仿宋" w:cs="仿宋"/>
          <w:color w:val="000000" w:themeColor="text1"/>
          <w:spacing w:val="1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14:textFill>
            <w14:solidFill>
              <w14:schemeClr w14:val="tx1"/>
            </w14:solidFill>
          </w14:textFill>
        </w:rPr>
        <w:t>用该项材料价格；当同一材料价格有不同报价时，取报价低者。</w:t>
      </w:r>
    </w:p>
    <w:p w14:paraId="70871E93">
      <w:pPr>
        <w:keepNext w:val="0"/>
        <w:keepLines w:val="0"/>
        <w:pageBreakBefore w:val="0"/>
        <w:widowControl w:val="0"/>
        <w:kinsoku/>
        <w:wordWrap/>
        <w:overflowPunct/>
        <w:topLinePunct w:val="0"/>
        <w:autoSpaceDE/>
        <w:autoSpaceDN/>
        <w:bidi w:val="0"/>
        <w:snapToGrid/>
        <w:spacing w:line="360" w:lineRule="auto"/>
        <w:ind w:left="0" w:leftChars="0" w:right="0" w:rightChars="0" w:firstLine="48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u w:val="single"/>
          <w14:textFill>
            <w14:solidFill>
              <w14:schemeClr w14:val="tx1"/>
            </w14:solidFill>
          </w14:textFill>
        </w:rPr>
        <w:t>B．承包人所报《工程量清单》中不存在的材料价格，依据以投标截止期最新发</w:t>
      </w:r>
      <w:r>
        <w:rPr>
          <w:rFonts w:hint="eastAsia" w:ascii="仿宋" w:hAnsi="仿宋" w:eastAsia="仿宋" w:cs="仿宋"/>
          <w:color w:val="000000" w:themeColor="text1"/>
          <w:spacing w:val="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布的</w:t>
      </w:r>
      <w:r>
        <w:rPr>
          <w:rFonts w:hint="eastAsia" w:ascii="仿宋" w:hAnsi="仿宋" w:eastAsia="仿宋" w:cs="仿宋"/>
          <w:color w:val="000000" w:themeColor="text1"/>
          <w:spacing w:val="-2"/>
          <w:sz w:val="24"/>
          <w:szCs w:val="24"/>
          <w:highlight w:val="none"/>
          <w:u w:val="single"/>
          <w:lang w:val="en-US" w:eastAsia="zh-CN"/>
          <w14:textFill>
            <w14:solidFill>
              <w14:schemeClr w14:val="tx1"/>
            </w14:solidFill>
          </w14:textFill>
        </w:rPr>
        <w:t>乌鲁木齐市</w:t>
      </w:r>
      <w:r>
        <w:rPr>
          <w:rFonts w:hint="eastAsia" w:ascii="仿宋" w:hAnsi="仿宋" w:eastAsia="仿宋" w:cs="仿宋"/>
          <w:color w:val="000000" w:themeColor="text1"/>
          <w:spacing w:val="-2"/>
          <w:sz w:val="24"/>
          <w:szCs w:val="24"/>
          <w:highlight w:val="none"/>
          <w:u w:val="single"/>
          <w14:textFill>
            <w14:solidFill>
              <w14:schemeClr w14:val="tx1"/>
            </w14:solidFill>
          </w14:textFill>
        </w:rPr>
        <w:t>工程价格信息中的价格计算；价格信息中没有的，由承包人提供能满</w:t>
      </w:r>
      <w:r>
        <w:rPr>
          <w:rFonts w:hint="eastAsia" w:ascii="仿宋" w:hAnsi="仿宋" w:eastAsia="仿宋" w:cs="仿宋"/>
          <w:color w:val="000000" w:themeColor="text1"/>
          <w:spacing w:val="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足要求的样品并进行报价，经发包人核价。承包人收到发包人所核定的材料价格</w:t>
      </w:r>
      <w:r>
        <w:rPr>
          <w:rFonts w:hint="eastAsia" w:ascii="仿宋" w:hAnsi="仿宋" w:eastAsia="仿宋" w:cs="仿宋"/>
          <w:color w:val="000000" w:themeColor="text1"/>
          <w:spacing w:val="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后三个工作日内未提出书面异议，则视为认可发包人所核定的价格，以后不得再</w:t>
      </w:r>
      <w:r>
        <w:rPr>
          <w:rFonts w:hint="eastAsia" w:ascii="仿宋" w:hAnsi="仿宋" w:eastAsia="仿宋" w:cs="仿宋"/>
          <w:color w:val="000000" w:themeColor="text1"/>
          <w:spacing w:val="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14:textFill>
            <w14:solidFill>
              <w14:schemeClr w14:val="tx1"/>
            </w14:solidFill>
          </w14:textFill>
        </w:rPr>
        <w:t>以任何条件为由要求发包人调整价格。</w:t>
      </w:r>
    </w:p>
    <w:p w14:paraId="684F8E65">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u w:val="single"/>
          <w14:textFill>
            <w14:solidFill>
              <w14:schemeClr w14:val="tx1"/>
            </w14:solidFill>
          </w14:textFill>
        </w:rPr>
        <w:t>4）下浮比例：下浮比例=（1-中标价/招标控制价）</w:t>
      </w:r>
      <w:r>
        <w:rPr>
          <w:rFonts w:hint="eastAsia" w:ascii="仿宋" w:hAnsi="仿宋" w:eastAsia="仿宋" w:cs="仿宋"/>
          <w:color w:val="000000" w:themeColor="text1"/>
          <w:spacing w:val="-92"/>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u w:val="single"/>
          <w14:textFill>
            <w14:solidFill>
              <w14:schemeClr w14:val="tx1"/>
            </w14:solidFill>
          </w14:textFill>
        </w:rPr>
        <w:t>×100% （注：中标价、招标</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u w:val="single"/>
          <w14:textFill>
            <w14:solidFill>
              <w14:schemeClr w14:val="tx1"/>
            </w14:solidFill>
          </w14:textFill>
        </w:rPr>
        <w:t>价控制价均扣除暂列金和专业工程暂估价）。</w:t>
      </w:r>
    </w:p>
    <w:p w14:paraId="18481E7E">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u w:val="single"/>
          <w14:textFill>
            <w14:solidFill>
              <w14:schemeClr w14:val="tx1"/>
            </w14:solidFill>
          </w14:textFill>
        </w:rPr>
        <w:t>5）工程量清单错误不对总价措施项目费用进行调整。</w:t>
      </w:r>
    </w:p>
    <w:p w14:paraId="25BFB939">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u w:val="single"/>
          <w14:textFill>
            <w14:solidFill>
              <w14:schemeClr w14:val="tx1"/>
            </w14:solidFill>
          </w14:textFill>
        </w:rPr>
        <w:t>当确认变更的费用发生争议时，施工方不得以该争议</w:t>
      </w:r>
      <w:r>
        <w:rPr>
          <w:rFonts w:hint="eastAsia" w:ascii="仿宋" w:hAnsi="仿宋" w:eastAsia="仿宋" w:cs="仿宋"/>
          <w:color w:val="000000" w:themeColor="text1"/>
          <w:spacing w:val="-3"/>
          <w:sz w:val="24"/>
          <w:szCs w:val="24"/>
          <w:highlight w:val="none"/>
          <w:u w:val="single"/>
          <w14:textFill>
            <w14:solidFill>
              <w14:schemeClr w14:val="tx1"/>
            </w14:solidFill>
          </w14:textFill>
        </w:rPr>
        <w:t>作为怠工、停工等的理由，</w:t>
      </w:r>
      <w:bookmarkStart w:id="136" w:name="bookmark137"/>
      <w:bookmarkEnd w:id="136"/>
      <w:r>
        <w:rPr>
          <w:rFonts w:hint="eastAsia" w:ascii="仿宋" w:hAnsi="仿宋" w:eastAsia="仿宋" w:cs="仿宋"/>
          <w:color w:val="000000" w:themeColor="text1"/>
          <w:spacing w:val="-2"/>
          <w:sz w:val="24"/>
          <w:szCs w:val="24"/>
          <w:highlight w:val="none"/>
          <w:u w:val="single"/>
          <w14:textFill>
            <w14:solidFill>
              <w14:schemeClr w14:val="tx1"/>
            </w14:solidFill>
          </w14:textFill>
        </w:rPr>
        <w:t>必须正常施工。</w:t>
      </w:r>
    </w:p>
    <w:p w14:paraId="2A93D534">
      <w:pPr>
        <w:keepNext w:val="0"/>
        <w:keepLines w:val="0"/>
        <w:pageBreakBefore w:val="0"/>
        <w:widowControl w:val="0"/>
        <w:kinsoku/>
        <w:wordWrap/>
        <w:overflowPunct/>
        <w:topLinePunct w:val="0"/>
        <w:autoSpaceDE/>
        <w:autoSpaceDN/>
        <w:bidi w:val="0"/>
        <w:snapToGrid/>
        <w:spacing w:line="360" w:lineRule="auto"/>
        <w:ind w:left="0" w:leftChars="0" w:right="0" w:rightChars="0"/>
        <w:outlineLvl w:val="2"/>
        <w:rPr>
          <w:rFonts w:hint="eastAsia" w:ascii="仿宋" w:hAnsi="仿宋" w:eastAsia="仿宋" w:cs="仿宋"/>
          <w:color w:val="000000" w:themeColor="text1"/>
          <w:sz w:val="24"/>
          <w:szCs w:val="24"/>
          <w:highlight w:val="none"/>
          <w14:textFill>
            <w14:solidFill>
              <w14:schemeClr w14:val="tx1"/>
            </w14:solidFill>
          </w14:textFill>
        </w:rPr>
      </w:pPr>
      <w:bookmarkStart w:id="137" w:name="bookmark218"/>
      <w:bookmarkEnd w:id="137"/>
      <w:bookmarkStart w:id="138" w:name="_Toc22636"/>
      <w:r>
        <w:rPr>
          <w:rFonts w:hint="eastAsia" w:ascii="仿宋" w:hAnsi="仿宋" w:eastAsia="仿宋" w:cs="仿宋"/>
          <w:color w:val="000000" w:themeColor="text1"/>
          <w:spacing w:val="-6"/>
          <w:sz w:val="24"/>
          <w:szCs w:val="24"/>
          <w:highlight w:val="none"/>
          <w14:textFill>
            <w14:solidFill>
              <w14:schemeClr w14:val="tx1"/>
            </w14:solidFill>
          </w14:textFill>
        </w:rPr>
        <w:t>2.</w:t>
      </w:r>
      <w:r>
        <w:rPr>
          <w:rFonts w:hint="eastAsia" w:ascii="仿宋" w:hAnsi="仿宋" w:eastAsia="仿宋" w:cs="仿宋"/>
          <w:color w:val="000000" w:themeColor="text1"/>
          <w:spacing w:val="1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发包人</w:t>
      </w:r>
      <w:bookmarkEnd w:id="138"/>
    </w:p>
    <w:p w14:paraId="44F1282E">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2.2</w:t>
      </w:r>
      <w:r>
        <w:rPr>
          <w:rFonts w:hint="eastAsia" w:ascii="仿宋" w:hAnsi="仿宋" w:eastAsia="仿宋" w:cs="仿宋"/>
          <w:color w:val="000000" w:themeColor="text1"/>
          <w:spacing w:val="1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发包人代表</w:t>
      </w:r>
    </w:p>
    <w:p w14:paraId="4B2CB5A6">
      <w:pPr>
        <w:pStyle w:val="9"/>
        <w:keepNext w:val="0"/>
        <w:keepLines w:val="0"/>
        <w:pageBreakBefore w:val="0"/>
        <w:widowControl w:val="0"/>
        <w:kinsoku/>
        <w:wordWrap/>
        <w:overflowPunct/>
        <w:topLinePunct w:val="0"/>
        <w:autoSpaceDE/>
        <w:autoSpaceDN/>
        <w:bidi w:val="0"/>
        <w:snapToGrid/>
        <w:spacing w:after="0" w:line="360" w:lineRule="auto"/>
        <w:ind w:left="0" w:leftChars="0" w:right="0" w:rightChars="0" w:firstLine="0"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8"/>
          <w:sz w:val="24"/>
          <w:szCs w:val="24"/>
          <w:highlight w:val="none"/>
          <w14:textFill>
            <w14:solidFill>
              <w14:schemeClr w14:val="tx1"/>
            </w14:solidFill>
          </w14:textFill>
        </w:rPr>
        <w:t>发包人代表：</w:t>
      </w:r>
    </w:p>
    <w:p w14:paraId="56EFE047">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9"/>
          <w:sz w:val="24"/>
          <w:szCs w:val="24"/>
          <w:highlight w:val="none"/>
          <w14:textFill>
            <w14:solidFill>
              <w14:schemeClr w14:val="tx1"/>
            </w14:solidFill>
          </w14:textFill>
        </w:rPr>
        <w:t>姓</w:t>
      </w:r>
      <w:r>
        <w:rPr>
          <w:rFonts w:hint="eastAsia" w:ascii="仿宋" w:hAnsi="仿宋" w:eastAsia="仿宋" w:cs="仿宋"/>
          <w:color w:val="000000" w:themeColor="text1"/>
          <w:spacing w:val="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9"/>
          <w:sz w:val="24"/>
          <w:szCs w:val="24"/>
          <w:highlight w:val="none"/>
          <w14:textFill>
            <w14:solidFill>
              <w14:schemeClr w14:val="tx1"/>
            </w14:solidFill>
          </w14:textFill>
        </w:rPr>
        <w:t>名</w:t>
      </w:r>
      <w:r>
        <w:rPr>
          <w:rFonts w:hint="eastAsia" w:ascii="仿宋" w:hAnsi="仿宋" w:eastAsia="仿宋" w:cs="仿宋"/>
          <w:color w:val="000000" w:themeColor="text1"/>
          <w:spacing w:val="-4"/>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w:t>
      </w:r>
    </w:p>
    <w:p w14:paraId="7908D4F1">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身份证号</w:t>
      </w:r>
      <w:r>
        <w:rPr>
          <w:rFonts w:hint="eastAsia" w:ascii="仿宋" w:hAnsi="仿宋" w:eastAsia="仿宋" w:cs="仿宋"/>
          <w:color w:val="000000" w:themeColor="text1"/>
          <w:spacing w:val="-1"/>
          <w:sz w:val="24"/>
          <w:szCs w:val="24"/>
          <w:highlight w:val="none"/>
          <w14:textFill>
            <w14:solidFill>
              <w14:schemeClr w14:val="tx1"/>
            </w14:solidFill>
          </w14:textFill>
        </w:rPr>
        <w:t>：</w:t>
      </w:r>
      <w:r>
        <w:rPr>
          <w:rFonts w:hint="eastAsia" w:ascii="仿宋" w:hAnsi="仿宋" w:eastAsia="仿宋" w:cs="仿宋"/>
          <w:color w:val="000000" w:themeColor="text1"/>
          <w:spacing w:val="4"/>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6740D33C">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0"/>
          <w:sz w:val="24"/>
          <w:szCs w:val="24"/>
          <w:highlight w:val="none"/>
          <w14:textFill>
            <w14:solidFill>
              <w14:schemeClr w14:val="tx1"/>
            </w14:solidFill>
          </w14:textFill>
        </w:rPr>
        <w:t>职</w:t>
      </w:r>
      <w:r>
        <w:rPr>
          <w:rFonts w:hint="eastAsia" w:ascii="仿宋" w:hAnsi="仿宋" w:eastAsia="仿宋" w:cs="仿宋"/>
          <w:color w:val="000000" w:themeColor="text1"/>
          <w:spacing w:val="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0"/>
          <w:sz w:val="24"/>
          <w:szCs w:val="24"/>
          <w:highlight w:val="none"/>
          <w14:textFill>
            <w14:solidFill>
              <w14:schemeClr w14:val="tx1"/>
            </w14:solidFill>
          </w14:textFill>
        </w:rPr>
        <w:t>务</w:t>
      </w:r>
      <w:r>
        <w:rPr>
          <w:rFonts w:hint="eastAsia" w:ascii="仿宋" w:hAnsi="仿宋" w:eastAsia="仿宋" w:cs="仿宋"/>
          <w:color w:val="000000" w:themeColor="text1"/>
          <w:spacing w:val="-4"/>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w:t>
      </w:r>
    </w:p>
    <w:p w14:paraId="0EAD3422">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联系电话</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3E3276A4">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1"/>
          <w:sz w:val="24"/>
          <w:szCs w:val="24"/>
          <w:highlight w:val="none"/>
          <w14:textFill>
            <w14:solidFill>
              <w14:schemeClr w14:val="tx1"/>
            </w14:solidFill>
          </w14:textFill>
        </w:rPr>
        <w:t>电子信箱</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3FEA4529">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通信地址：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1051CD60">
      <w:pPr>
        <w:keepNext w:val="0"/>
        <w:keepLines w:val="0"/>
        <w:pageBreakBefore w:val="0"/>
        <w:widowControl w:val="0"/>
        <w:kinsoku/>
        <w:wordWrap/>
        <w:overflowPunct/>
        <w:topLinePunct w:val="0"/>
        <w:autoSpaceDE/>
        <w:autoSpaceDN/>
        <w:bidi w:val="0"/>
        <w:snapToGrid/>
        <w:spacing w:line="360" w:lineRule="auto"/>
        <w:ind w:left="0" w:leftChars="0" w:right="0" w:rightChars="0" w:firstLine="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7"/>
          <w:sz w:val="24"/>
          <w:szCs w:val="24"/>
          <w:highlight w:val="none"/>
          <w14:textFill>
            <w14:solidFill>
              <w14:schemeClr w14:val="tx1"/>
            </w14:solidFill>
          </w14:textFill>
        </w:rPr>
        <w:t>发包人对发包人代表的授权范围如下：</w:t>
      </w:r>
      <w:r>
        <w:rPr>
          <w:rFonts w:hint="eastAsia" w:ascii="仿宋" w:hAnsi="仿宋" w:eastAsia="仿宋" w:cs="仿宋"/>
          <w:color w:val="000000" w:themeColor="text1"/>
          <w:spacing w:val="-7"/>
          <w:sz w:val="24"/>
          <w:szCs w:val="24"/>
          <w:highlight w:val="none"/>
          <w:u w:val="single"/>
          <w14:textFill>
            <w14:solidFill>
              <w14:schemeClr w14:val="tx1"/>
            </w14:solidFill>
          </w14:textFill>
        </w:rPr>
        <w:t>协调各部门工作，施工现场全过程的质量、</w:t>
      </w:r>
      <w:r>
        <w:rPr>
          <w:rFonts w:hint="eastAsia" w:ascii="仿宋" w:hAnsi="仿宋" w:eastAsia="仿宋" w:cs="仿宋"/>
          <w:color w:val="000000" w:themeColor="text1"/>
          <w:spacing w:val="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14:textFill>
            <w14:solidFill>
              <w14:schemeClr w14:val="tx1"/>
            </w14:solidFill>
          </w14:textFill>
        </w:rPr>
        <w:t>进度、安全、投资等进行全面协调管理</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1634C3E3">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2.4 施工现场、施工条件和基础资料的提供</w:t>
      </w:r>
    </w:p>
    <w:p w14:paraId="057F3091">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2.4.1 提供施工现场</w:t>
      </w:r>
    </w:p>
    <w:p w14:paraId="45D0496A">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关于发包人移交施工现场的期限要求：</w:t>
      </w:r>
      <w:r>
        <w:rPr>
          <w:rFonts w:hint="eastAsia" w:ascii="仿宋" w:hAnsi="仿宋" w:eastAsia="仿宋" w:cs="仿宋"/>
          <w:color w:val="000000" w:themeColor="text1"/>
          <w:spacing w:val="-1"/>
          <w:sz w:val="24"/>
          <w:szCs w:val="24"/>
          <w:highlight w:val="none"/>
          <w:u w:val="single"/>
          <w14:textFill>
            <w14:solidFill>
              <w14:schemeClr w14:val="tx1"/>
            </w14:solidFill>
          </w14:textFill>
        </w:rPr>
        <w:t>开工前七天</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60534390">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2.4.2 提供施工条件</w:t>
      </w:r>
    </w:p>
    <w:p w14:paraId="53B71CED">
      <w:pPr>
        <w:keepNext w:val="0"/>
        <w:keepLines w:val="0"/>
        <w:pageBreakBefore w:val="0"/>
        <w:widowControl w:val="0"/>
        <w:kinsoku/>
        <w:wordWrap/>
        <w:overflowPunct/>
        <w:topLinePunct w:val="0"/>
        <w:autoSpaceDE/>
        <w:autoSpaceDN/>
        <w:bidi w:val="0"/>
        <w:snapToGrid/>
        <w:spacing w:line="360" w:lineRule="auto"/>
        <w:ind w:right="0" w:rightChars="0" w:firstLine="44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8"/>
          <w:sz w:val="24"/>
          <w:szCs w:val="24"/>
          <w:highlight w:val="none"/>
          <w14:textFill>
            <w14:solidFill>
              <w14:schemeClr w14:val="tx1"/>
            </w14:solidFill>
          </w14:textFill>
        </w:rPr>
        <w:t>关于发包人应负责提供施工所需要的条件，包括：</w:t>
      </w:r>
      <w:r>
        <w:rPr>
          <w:rFonts w:hint="eastAsia" w:ascii="仿宋" w:hAnsi="仿宋" w:eastAsia="仿宋" w:cs="仿宋"/>
          <w:color w:val="000000" w:themeColor="text1"/>
          <w:spacing w:val="-8"/>
          <w:sz w:val="24"/>
          <w:szCs w:val="24"/>
          <w:highlight w:val="none"/>
          <w:u w:val="single"/>
          <w14:textFill>
            <w14:solidFill>
              <w14:schemeClr w14:val="tx1"/>
            </w14:solidFill>
          </w14:textFill>
        </w:rPr>
        <w:t>发包人协调，承包人完成，</w:t>
      </w:r>
      <w:r>
        <w:rPr>
          <w:rFonts w:hint="eastAsia" w:ascii="仿宋" w:hAnsi="仿宋" w:eastAsia="仿宋" w:cs="仿宋"/>
          <w:color w:val="000000" w:themeColor="text1"/>
          <w:spacing w:val="-3"/>
          <w:sz w:val="24"/>
          <w:szCs w:val="24"/>
          <w:highlight w:val="none"/>
          <w:u w:val="single"/>
          <w14:textFill>
            <w14:solidFill>
              <w14:schemeClr w14:val="tx1"/>
            </w14:solidFill>
          </w14:textFill>
        </w:rPr>
        <w:t>费用包含在合同价中</w:t>
      </w:r>
      <w:r>
        <w:rPr>
          <w:rFonts w:hint="eastAsia" w:ascii="仿宋" w:hAnsi="仿宋" w:eastAsia="仿宋" w:cs="仿宋"/>
          <w:color w:val="000000" w:themeColor="text1"/>
          <w:spacing w:val="-3"/>
          <w:sz w:val="24"/>
          <w:szCs w:val="24"/>
          <w:highlight w:val="none"/>
          <w14:textFill>
            <w14:solidFill>
              <w14:schemeClr w14:val="tx1"/>
            </w14:solidFill>
          </w14:textFill>
        </w:rPr>
        <w:t>。</w:t>
      </w:r>
    </w:p>
    <w:p w14:paraId="74A7C841">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2.5 资金来源证明及支付担保</w:t>
      </w:r>
    </w:p>
    <w:p w14:paraId="405A46F7">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发包人提供资金来源证明的期限要求：</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4729AD6D">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发包人是否提供支付担保：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0098A3DB">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发包人提供支付担保的形式：</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094F8B2C">
      <w:pPr>
        <w:keepNext w:val="0"/>
        <w:keepLines w:val="0"/>
        <w:pageBreakBefore w:val="0"/>
        <w:widowControl w:val="0"/>
        <w:kinsoku/>
        <w:wordWrap/>
        <w:overflowPunct/>
        <w:topLinePunct w:val="0"/>
        <w:autoSpaceDE/>
        <w:autoSpaceDN/>
        <w:bidi w:val="0"/>
        <w:snapToGrid/>
        <w:spacing w:line="360" w:lineRule="auto"/>
        <w:ind w:left="0" w:leftChars="0" w:right="0" w:rightChars="0"/>
        <w:outlineLvl w:val="2"/>
        <w:rPr>
          <w:rFonts w:hint="eastAsia" w:ascii="仿宋" w:hAnsi="仿宋" w:eastAsia="仿宋" w:cs="仿宋"/>
          <w:color w:val="000000" w:themeColor="text1"/>
          <w:sz w:val="24"/>
          <w:szCs w:val="24"/>
          <w:highlight w:val="none"/>
          <w14:textFill>
            <w14:solidFill>
              <w14:schemeClr w14:val="tx1"/>
            </w14:solidFill>
          </w14:textFill>
        </w:rPr>
      </w:pPr>
      <w:bookmarkStart w:id="139" w:name="bookmark138"/>
      <w:bookmarkEnd w:id="139"/>
      <w:bookmarkStart w:id="140" w:name="_Toc4645"/>
      <w:r>
        <w:rPr>
          <w:rFonts w:hint="eastAsia" w:ascii="仿宋" w:hAnsi="仿宋" w:eastAsia="仿宋" w:cs="仿宋"/>
          <w:color w:val="000000" w:themeColor="text1"/>
          <w:spacing w:val="-6"/>
          <w:sz w:val="24"/>
          <w:szCs w:val="24"/>
          <w:highlight w:val="none"/>
          <w14:textFill>
            <w14:solidFill>
              <w14:schemeClr w14:val="tx1"/>
            </w14:solidFill>
          </w14:textFill>
        </w:rPr>
        <w:t>3.</w:t>
      </w:r>
      <w:r>
        <w:rPr>
          <w:rFonts w:hint="eastAsia" w:ascii="仿宋" w:hAnsi="仿宋" w:eastAsia="仿宋" w:cs="仿宋"/>
          <w:color w:val="000000" w:themeColor="text1"/>
          <w:spacing w:val="1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承包人</w:t>
      </w:r>
      <w:bookmarkEnd w:id="140"/>
    </w:p>
    <w:p w14:paraId="3A6D61F4">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3.1 承包人的一般义务</w:t>
      </w:r>
    </w:p>
    <w:p w14:paraId="491351B2">
      <w:pPr>
        <w:pStyle w:val="9"/>
        <w:keepNext w:val="0"/>
        <w:keepLines w:val="0"/>
        <w:pageBreakBefore w:val="0"/>
        <w:widowControl w:val="0"/>
        <w:kinsoku/>
        <w:wordWrap/>
        <w:overflowPunct/>
        <w:topLinePunct w:val="0"/>
        <w:autoSpaceDE/>
        <w:autoSpaceDN/>
        <w:bidi w:val="0"/>
        <w:snapToGrid/>
        <w:spacing w:after="0" w:line="360" w:lineRule="auto"/>
        <w:ind w:left="0" w:leftChars="0" w:right="0" w:rightChars="0"/>
        <w:jc w:val="left"/>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承包人应按发包人要求，向发包人及监理单位无偿提供施工现场办公设施。</w:t>
      </w:r>
    </w:p>
    <w:p w14:paraId="09EDE704">
      <w:pPr>
        <w:keepNext w:val="0"/>
        <w:keepLines w:val="0"/>
        <w:pageBreakBefore w:val="0"/>
        <w:widowControl w:val="0"/>
        <w:kinsoku/>
        <w:wordWrap/>
        <w:overflowPunct/>
        <w:topLinePunct w:val="0"/>
        <w:autoSpaceDE/>
        <w:autoSpaceDN/>
        <w:bidi w:val="0"/>
        <w:snapToGrid/>
        <w:spacing w:line="360" w:lineRule="auto"/>
        <w:ind w:left="0" w:leftChars="0" w:right="0" w:rightChars="0" w:firstLine="55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承包人须办理施工场地交通、环卫和施工噪音管理等手续，此项费用</w:t>
      </w:r>
      <w:r>
        <w:rPr>
          <w:rFonts w:hint="eastAsia" w:ascii="仿宋" w:hAnsi="仿宋" w:eastAsia="仿宋" w:cs="仿宋"/>
          <w:color w:val="000000" w:themeColor="text1"/>
          <w:spacing w:val="-3"/>
          <w:sz w:val="24"/>
          <w:szCs w:val="24"/>
          <w:highlight w:val="none"/>
          <w14:textFill>
            <w14:solidFill>
              <w14:schemeClr w14:val="tx1"/>
            </w14:solidFill>
          </w14:textFill>
        </w:rPr>
        <w:t>包含在</w:t>
      </w:r>
      <w:r>
        <w:rPr>
          <w:rFonts w:hint="eastAsia" w:ascii="仿宋" w:hAnsi="仿宋" w:eastAsia="仿宋" w:cs="仿宋"/>
          <w:color w:val="000000" w:themeColor="text1"/>
          <w:spacing w:val="-2"/>
          <w:sz w:val="24"/>
          <w:szCs w:val="24"/>
          <w:highlight w:val="none"/>
          <w14:textFill>
            <w14:solidFill>
              <w14:schemeClr w14:val="tx1"/>
            </w14:solidFill>
          </w14:textFill>
        </w:rPr>
        <w:t>合同价中。</w:t>
      </w:r>
    </w:p>
    <w:p w14:paraId="7FBB329F">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承包人自行办理其进驻施工现场的全部手续，并承担相应费用。同时</w:t>
      </w:r>
      <w:r>
        <w:rPr>
          <w:rFonts w:hint="eastAsia" w:ascii="仿宋" w:hAnsi="仿宋" w:eastAsia="仿宋" w:cs="仿宋"/>
          <w:color w:val="000000" w:themeColor="text1"/>
          <w:spacing w:val="-3"/>
          <w:sz w:val="24"/>
          <w:szCs w:val="24"/>
          <w:highlight w:val="none"/>
          <w14:textFill>
            <w14:solidFill>
              <w14:schemeClr w14:val="tx1"/>
            </w14:solidFill>
          </w14:textFill>
        </w:rPr>
        <w:t>承包人</w:t>
      </w:r>
      <w:r>
        <w:rPr>
          <w:rFonts w:hint="eastAsia" w:ascii="仿宋" w:hAnsi="仿宋" w:eastAsia="仿宋" w:cs="仿宋"/>
          <w:color w:val="000000" w:themeColor="text1"/>
          <w:spacing w:val="-2"/>
          <w:sz w:val="24"/>
          <w:szCs w:val="24"/>
          <w:highlight w:val="none"/>
          <w14:textFill>
            <w14:solidFill>
              <w14:schemeClr w14:val="tx1"/>
            </w14:solidFill>
          </w14:textFill>
        </w:rPr>
        <w:t>还应办理质量安全监督备案。本工程施工过程中，承包人应避免因施工危及规划</w:t>
      </w:r>
      <w:r>
        <w:rPr>
          <w:rFonts w:hint="eastAsia" w:ascii="仿宋" w:hAnsi="仿宋" w:eastAsia="仿宋" w:cs="仿宋"/>
          <w:color w:val="000000" w:themeColor="text1"/>
          <w:spacing w:val="-8"/>
          <w:sz w:val="24"/>
          <w:szCs w:val="24"/>
          <w:highlight w:val="none"/>
          <w14:textFill>
            <w14:solidFill>
              <w14:schemeClr w14:val="tx1"/>
            </w14:solidFill>
          </w14:textFill>
        </w:rPr>
        <w:t>范围外的邻近道路、建筑安全；应注意做好对周边建（构）筑物、绿化、设施设</w:t>
      </w:r>
      <w:r>
        <w:rPr>
          <w:rFonts w:hint="eastAsia" w:ascii="仿宋" w:hAnsi="仿宋" w:eastAsia="仿宋" w:cs="仿宋"/>
          <w:color w:val="000000" w:themeColor="text1"/>
          <w:spacing w:val="-2"/>
          <w:sz w:val="24"/>
          <w:szCs w:val="24"/>
          <w:highlight w:val="none"/>
          <w14:textFill>
            <w14:solidFill>
              <w14:schemeClr w14:val="tx1"/>
            </w14:solidFill>
          </w14:textFill>
        </w:rPr>
        <w:t>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w:t>
      </w:r>
      <w:r>
        <w:rPr>
          <w:rFonts w:hint="eastAsia" w:ascii="仿宋" w:hAnsi="仿宋" w:eastAsia="仿宋" w:cs="仿宋"/>
          <w:color w:val="000000" w:themeColor="text1"/>
          <w:sz w:val="24"/>
          <w:szCs w:val="24"/>
          <w:highlight w:val="none"/>
          <w14:textFill>
            <w14:solidFill>
              <w14:schemeClr w14:val="tx1"/>
            </w14:solidFill>
          </w14:textFill>
        </w:rPr>
        <w:t>通行。由承包人承担由此产生的各项补偿费、</w:t>
      </w:r>
      <w:r>
        <w:rPr>
          <w:rFonts w:hint="eastAsia" w:ascii="仿宋" w:hAnsi="仿宋" w:eastAsia="仿宋" w:cs="仿宋"/>
          <w:color w:val="000000" w:themeColor="text1"/>
          <w:spacing w:val="-1"/>
          <w:sz w:val="24"/>
          <w:szCs w:val="24"/>
          <w:highlight w:val="none"/>
          <w14:textFill>
            <w14:solidFill>
              <w14:schemeClr w14:val="tx1"/>
            </w14:solidFill>
          </w14:textFill>
        </w:rPr>
        <w:t>违约金和相关费用。</w:t>
      </w:r>
    </w:p>
    <w:p w14:paraId="545304D5">
      <w:pPr>
        <w:keepNext w:val="0"/>
        <w:keepLines w:val="0"/>
        <w:pageBreakBefore w:val="0"/>
        <w:widowControl w:val="0"/>
        <w:kinsoku/>
        <w:wordWrap/>
        <w:overflowPunct/>
        <w:topLinePunct w:val="0"/>
        <w:autoSpaceDE/>
        <w:autoSpaceDN/>
        <w:bidi w:val="0"/>
        <w:snapToGrid/>
        <w:spacing w:line="360" w:lineRule="auto"/>
        <w:ind w:left="0" w:leftChars="0" w:right="0" w:rightChars="0" w:firstLine="55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7"/>
          <w:sz w:val="24"/>
          <w:szCs w:val="24"/>
          <w:highlight w:val="none"/>
          <w14:textFill>
            <w14:solidFill>
              <w14:schemeClr w14:val="tx1"/>
            </w14:solidFill>
          </w14:textFill>
        </w:rPr>
        <w:t>承包人不得就因施工组织设计和工作安排的改变</w:t>
      </w:r>
      <w:r>
        <w:rPr>
          <w:rFonts w:hint="eastAsia" w:ascii="仿宋" w:hAnsi="仿宋" w:eastAsia="仿宋" w:cs="仿宋"/>
          <w:color w:val="000000" w:themeColor="text1"/>
          <w:spacing w:val="6"/>
          <w:sz w:val="24"/>
          <w:szCs w:val="24"/>
          <w:highlight w:val="none"/>
          <w14:textFill>
            <w14:solidFill>
              <w14:schemeClr w14:val="tx1"/>
            </w14:solidFill>
          </w14:textFill>
        </w:rPr>
        <w:t>及工序等的变化提出增加</w:t>
      </w:r>
      <w:r>
        <w:rPr>
          <w:rFonts w:hint="eastAsia" w:ascii="仿宋" w:hAnsi="仿宋" w:eastAsia="仿宋" w:cs="仿宋"/>
          <w:color w:val="000000" w:themeColor="text1"/>
          <w:spacing w:val="-7"/>
          <w:sz w:val="24"/>
          <w:szCs w:val="24"/>
          <w:highlight w:val="none"/>
          <w14:textFill>
            <w14:solidFill>
              <w14:schemeClr w14:val="tx1"/>
            </w14:solidFill>
          </w14:textFill>
        </w:rPr>
        <w:t>费用要求。承包人应严格按照已批准的《施</w:t>
      </w:r>
      <w:r>
        <w:rPr>
          <w:rFonts w:hint="eastAsia" w:ascii="仿宋" w:hAnsi="仿宋" w:eastAsia="仿宋" w:cs="仿宋"/>
          <w:color w:val="000000" w:themeColor="text1"/>
          <w:spacing w:val="-8"/>
          <w:sz w:val="24"/>
          <w:szCs w:val="24"/>
          <w:highlight w:val="none"/>
          <w14:textFill>
            <w14:solidFill>
              <w14:schemeClr w14:val="tx1"/>
            </w14:solidFill>
          </w14:textFill>
        </w:rPr>
        <w:t>工技术方案》《进度计划》予以施工，</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如需调整需提前 10 天向发包人提出申请，并经批准后方可实施。每个季度发包</w:t>
      </w:r>
      <w:r>
        <w:rPr>
          <w:rFonts w:hint="eastAsia" w:ascii="仿宋" w:hAnsi="仿宋" w:eastAsia="仿宋" w:cs="仿宋"/>
          <w:color w:val="000000" w:themeColor="text1"/>
          <w:sz w:val="24"/>
          <w:szCs w:val="24"/>
          <w:highlight w:val="none"/>
          <w14:textFill>
            <w14:solidFill>
              <w14:schemeClr w14:val="tx1"/>
            </w14:solidFill>
          </w14:textFill>
        </w:rPr>
        <w:t>人将按照经批准实施的《施工技术方案》对</w:t>
      </w:r>
      <w:r>
        <w:rPr>
          <w:rFonts w:hint="eastAsia" w:ascii="仿宋" w:hAnsi="仿宋" w:eastAsia="仿宋" w:cs="仿宋"/>
          <w:color w:val="000000" w:themeColor="text1"/>
          <w:spacing w:val="-1"/>
          <w:sz w:val="24"/>
          <w:szCs w:val="24"/>
          <w:highlight w:val="none"/>
          <w14:textFill>
            <w14:solidFill>
              <w14:schemeClr w14:val="tx1"/>
            </w14:solidFill>
          </w14:textFill>
        </w:rPr>
        <w:t>照实际完成工程量的质量、进度等，</w:t>
      </w:r>
      <w:r>
        <w:rPr>
          <w:rFonts w:hint="eastAsia" w:ascii="仿宋" w:hAnsi="仿宋" w:eastAsia="仿宋" w:cs="仿宋"/>
          <w:color w:val="000000" w:themeColor="text1"/>
          <w:spacing w:val="-2"/>
          <w:sz w:val="24"/>
          <w:szCs w:val="24"/>
          <w:highlight w:val="none"/>
          <w14:textFill>
            <w14:solidFill>
              <w14:schemeClr w14:val="tx1"/>
            </w14:solidFill>
          </w14:textFill>
        </w:rPr>
        <w:t>如达不到经批准的《施工技术方案》要求的，承包人需按违约条款承担相应的违约金，发包人可在当月支付工程款中扣除，承包人无条件返工、修复至满足设计要求为止，并承担由此产生的一切费用。</w:t>
      </w:r>
    </w:p>
    <w:p w14:paraId="726CB55A">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承包人项目经理以及主要行政、技术人员等，必须与发包人及监理单位</w:t>
      </w:r>
      <w:r>
        <w:rPr>
          <w:rFonts w:hint="eastAsia" w:ascii="仿宋" w:hAnsi="仿宋" w:eastAsia="仿宋" w:cs="仿宋"/>
          <w:color w:val="000000" w:themeColor="text1"/>
          <w:spacing w:val="-3"/>
          <w:sz w:val="24"/>
          <w:szCs w:val="24"/>
          <w:highlight w:val="none"/>
          <w14:textFill>
            <w14:solidFill>
              <w14:schemeClr w14:val="tx1"/>
            </w14:solidFill>
          </w14:textFill>
        </w:rPr>
        <w:t>积极</w:t>
      </w:r>
      <w:r>
        <w:rPr>
          <w:rFonts w:hint="eastAsia" w:ascii="仿宋" w:hAnsi="仿宋" w:eastAsia="仿宋" w:cs="仿宋"/>
          <w:color w:val="000000" w:themeColor="text1"/>
          <w:spacing w:val="-2"/>
          <w:sz w:val="24"/>
          <w:szCs w:val="24"/>
          <w:highlight w:val="none"/>
          <w14:textFill>
            <w14:solidFill>
              <w14:schemeClr w14:val="tx1"/>
            </w14:solidFill>
          </w14:textFill>
        </w:rPr>
        <w:t>沟通，开工后必须常驻工地，不得兼职。合同签订后，项目班子主要成员不到位</w:t>
      </w:r>
      <w:r>
        <w:rPr>
          <w:rFonts w:hint="eastAsia" w:ascii="仿宋" w:hAnsi="仿宋" w:eastAsia="仿宋" w:cs="仿宋"/>
          <w:color w:val="000000" w:themeColor="text1"/>
          <w:spacing w:val="-1"/>
          <w:sz w:val="24"/>
          <w:szCs w:val="24"/>
          <w:highlight w:val="none"/>
          <w14:textFill>
            <w14:solidFill>
              <w14:schemeClr w14:val="tx1"/>
            </w14:solidFill>
          </w14:textFill>
        </w:rPr>
        <w:t>或不积极与各方配合的，发包人有权暂停拨付工程款。</w:t>
      </w:r>
    </w:p>
    <w:p w14:paraId="286471B3">
      <w:pPr>
        <w:keepNext w:val="0"/>
        <w:keepLines w:val="0"/>
        <w:pageBreakBefore w:val="0"/>
        <w:widowControl w:val="0"/>
        <w:kinsoku/>
        <w:wordWrap/>
        <w:overflowPunct/>
        <w:topLinePunct w:val="0"/>
        <w:autoSpaceDE/>
        <w:autoSpaceDN/>
        <w:bidi w:val="0"/>
        <w:snapToGrid/>
        <w:spacing w:line="360" w:lineRule="auto"/>
        <w:ind w:left="0" w:leftChars="0" w:right="0" w:rightChars="0" w:firstLine="55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7"/>
          <w:sz w:val="24"/>
          <w:szCs w:val="24"/>
          <w:highlight w:val="none"/>
          <w14:textFill>
            <w14:solidFill>
              <w14:schemeClr w14:val="tx1"/>
            </w14:solidFill>
          </w14:textFill>
        </w:rPr>
        <w:t>遵守和执行发包人或监理人发布的工程管理规定、</w:t>
      </w:r>
      <w:r>
        <w:rPr>
          <w:rFonts w:hint="eastAsia" w:ascii="仿宋" w:hAnsi="仿宋" w:eastAsia="仿宋" w:cs="仿宋"/>
          <w:color w:val="000000" w:themeColor="text1"/>
          <w:spacing w:val="6"/>
          <w:sz w:val="24"/>
          <w:szCs w:val="24"/>
          <w:highlight w:val="none"/>
          <w14:textFill>
            <w14:solidFill>
              <w14:schemeClr w14:val="tx1"/>
            </w14:solidFill>
          </w14:textFill>
        </w:rPr>
        <w:t>办法和工程技术质量要</w:t>
      </w:r>
      <w:r>
        <w:rPr>
          <w:rFonts w:hint="eastAsia" w:ascii="仿宋" w:hAnsi="仿宋" w:eastAsia="仿宋" w:cs="仿宋"/>
          <w:color w:val="000000" w:themeColor="text1"/>
          <w:spacing w:val="-14"/>
          <w:sz w:val="24"/>
          <w:szCs w:val="24"/>
          <w:highlight w:val="none"/>
          <w14:textFill>
            <w14:solidFill>
              <w14:schemeClr w14:val="tx1"/>
            </w14:solidFill>
          </w14:textFill>
        </w:rPr>
        <w:t>求。</w:t>
      </w:r>
    </w:p>
    <w:p w14:paraId="250ADE0D">
      <w:pPr>
        <w:keepNext w:val="0"/>
        <w:keepLines w:val="0"/>
        <w:pageBreakBefore w:val="0"/>
        <w:widowControl w:val="0"/>
        <w:kinsoku/>
        <w:wordWrap/>
        <w:overflowPunct/>
        <w:topLinePunct w:val="0"/>
        <w:autoSpaceDE/>
        <w:autoSpaceDN/>
        <w:bidi w:val="0"/>
        <w:snapToGrid/>
        <w:spacing w:line="360" w:lineRule="auto"/>
        <w:ind w:left="0" w:leftChars="0" w:right="0" w:rightChars="0" w:firstLine="55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遵守和执行发包人、咨询人或监理单位下发的通知单、工作联系单等管理指</w:t>
      </w:r>
      <w:r>
        <w:rPr>
          <w:rFonts w:hint="eastAsia" w:ascii="仿宋" w:hAnsi="仿宋" w:eastAsia="仿宋" w:cs="仿宋"/>
          <w:color w:val="000000" w:themeColor="text1"/>
          <w:spacing w:val="-13"/>
          <w:sz w:val="24"/>
          <w:szCs w:val="24"/>
          <w:highlight w:val="none"/>
          <w14:textFill>
            <w14:solidFill>
              <w14:schemeClr w14:val="tx1"/>
            </w14:solidFill>
          </w14:textFill>
        </w:rPr>
        <w:t>令。</w:t>
      </w:r>
    </w:p>
    <w:p w14:paraId="33EEA546">
      <w:pPr>
        <w:keepNext w:val="0"/>
        <w:keepLines w:val="0"/>
        <w:pageBreakBefore w:val="0"/>
        <w:widowControl w:val="0"/>
        <w:kinsoku/>
        <w:wordWrap/>
        <w:overflowPunct/>
        <w:topLinePunct w:val="0"/>
        <w:autoSpaceDE/>
        <w:autoSpaceDN/>
        <w:bidi w:val="0"/>
        <w:snapToGrid/>
        <w:spacing w:line="360" w:lineRule="auto"/>
        <w:ind w:left="0" w:leftChars="0" w:right="0" w:rightChars="0" w:firstLine="55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负责项目进度计划执行，负责统计报表、项</w:t>
      </w:r>
      <w:r>
        <w:rPr>
          <w:rFonts w:hint="eastAsia" w:ascii="仿宋" w:hAnsi="仿宋" w:eastAsia="仿宋" w:cs="仿宋"/>
          <w:color w:val="000000" w:themeColor="text1"/>
          <w:spacing w:val="-3"/>
          <w:sz w:val="24"/>
          <w:szCs w:val="24"/>
          <w:highlight w:val="none"/>
          <w14:textFill>
            <w14:solidFill>
              <w14:schemeClr w14:val="tx1"/>
            </w14:solidFill>
          </w14:textFill>
        </w:rPr>
        <w:t>目汇报材料及发包人要求的其他</w:t>
      </w:r>
      <w:r>
        <w:rPr>
          <w:rFonts w:hint="eastAsia" w:ascii="仿宋" w:hAnsi="仿宋" w:eastAsia="仿宋" w:cs="仿宋"/>
          <w:color w:val="000000" w:themeColor="text1"/>
          <w:spacing w:val="-2"/>
          <w:sz w:val="24"/>
          <w:szCs w:val="24"/>
          <w:highlight w:val="none"/>
          <w14:textFill>
            <w14:solidFill>
              <w14:schemeClr w14:val="tx1"/>
            </w14:solidFill>
          </w14:textFill>
        </w:rPr>
        <w:t>材料的编制编写，并按规定上报咨询人和发包人。</w:t>
      </w:r>
    </w:p>
    <w:p w14:paraId="539A92DD">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协助发包人办理施工图纸审查、质监、安监、施工许可、各项保险手续等事项，使之完全达到开工条件，保证并保持这些手续和工作在本工程建设期内始终符合项目建设需要并满足相关要求。承包人应在合理的时间内，预计工程设备和</w:t>
      </w:r>
      <w:r>
        <w:rPr>
          <w:rFonts w:hint="eastAsia" w:ascii="仿宋" w:hAnsi="仿宋" w:eastAsia="仿宋" w:cs="仿宋"/>
          <w:color w:val="000000" w:themeColor="text1"/>
          <w:spacing w:val="-7"/>
          <w:sz w:val="24"/>
          <w:szCs w:val="24"/>
          <w:highlight w:val="none"/>
          <w14:textFill>
            <w14:solidFill>
              <w14:schemeClr w14:val="tx1"/>
            </w14:solidFill>
          </w14:textFill>
        </w:rPr>
        <w:t>材料运抵时间和工程竣工时间，取得工程任何部分所需的全部许可、执照和批准。</w:t>
      </w:r>
    </w:p>
    <w:p w14:paraId="1FA4A78D">
      <w:pPr>
        <w:keepNext w:val="0"/>
        <w:keepLines w:val="0"/>
        <w:pageBreakBefore w:val="0"/>
        <w:widowControl w:val="0"/>
        <w:kinsoku/>
        <w:wordWrap/>
        <w:overflowPunct/>
        <w:topLinePunct w:val="0"/>
        <w:autoSpaceDE/>
        <w:autoSpaceDN/>
        <w:bidi w:val="0"/>
        <w:snapToGrid/>
        <w:spacing w:line="360" w:lineRule="auto"/>
        <w:ind w:left="0" w:leftChars="0" w:right="0" w:rightChars="0" w:firstLine="55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承包人应负责调查、保护工程周边建、构筑物及地下管线。由于承包人施工不当原因导致的建构筑物及地下管线的修复、加固和赔偿以及由此引起的协调及</w:t>
      </w:r>
      <w:r>
        <w:rPr>
          <w:rFonts w:hint="eastAsia" w:ascii="仿宋" w:hAnsi="仿宋" w:eastAsia="仿宋" w:cs="仿宋"/>
          <w:color w:val="000000" w:themeColor="text1"/>
          <w:spacing w:val="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社会维稳工作，由此产生的费用均由承包人承担，并负责赔偿损失，发包人不承担任何费用与责任。</w:t>
      </w:r>
    </w:p>
    <w:p w14:paraId="290319C4">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接受并配合政府相关部门对本项目开展的专项审计（调查）、跟踪审计</w:t>
      </w:r>
      <w:r>
        <w:rPr>
          <w:rFonts w:hint="eastAsia" w:ascii="仿宋" w:hAnsi="仿宋" w:eastAsia="仿宋" w:cs="仿宋"/>
          <w:color w:val="000000" w:themeColor="text1"/>
          <w:spacing w:val="-3"/>
          <w:sz w:val="24"/>
          <w:szCs w:val="24"/>
          <w:highlight w:val="none"/>
          <w14:textFill>
            <w14:solidFill>
              <w14:schemeClr w14:val="tx1"/>
            </w14:solidFill>
          </w14:textFill>
        </w:rPr>
        <w:t>、工</w:t>
      </w:r>
      <w:r>
        <w:rPr>
          <w:rFonts w:hint="eastAsia" w:ascii="仿宋" w:hAnsi="仿宋" w:eastAsia="仿宋" w:cs="仿宋"/>
          <w:color w:val="000000" w:themeColor="text1"/>
          <w:spacing w:val="-1"/>
          <w:sz w:val="24"/>
          <w:szCs w:val="24"/>
          <w:highlight w:val="none"/>
          <w14:textFill>
            <w14:solidFill>
              <w14:schemeClr w14:val="tx1"/>
            </w14:solidFill>
          </w14:textFill>
        </w:rPr>
        <w:t>程竣工结（决）算审计等工作。</w:t>
      </w:r>
    </w:p>
    <w:p w14:paraId="20FA5777">
      <w:pPr>
        <w:keepNext w:val="0"/>
        <w:keepLines w:val="0"/>
        <w:pageBreakBefore w:val="0"/>
        <w:widowControl w:val="0"/>
        <w:kinsoku/>
        <w:wordWrap/>
        <w:overflowPunct/>
        <w:topLinePunct w:val="0"/>
        <w:autoSpaceDE/>
        <w:autoSpaceDN/>
        <w:bidi w:val="0"/>
        <w:snapToGrid/>
        <w:spacing w:line="360" w:lineRule="auto"/>
        <w:ind w:left="0" w:leftChars="0" w:right="0" w:rightChars="0" w:firstLine="55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承包人应设立建设资金专用账户，资金使用计划及</w:t>
      </w:r>
      <w:r>
        <w:rPr>
          <w:rFonts w:hint="eastAsia" w:ascii="仿宋" w:hAnsi="仿宋" w:eastAsia="仿宋" w:cs="仿宋"/>
          <w:color w:val="000000" w:themeColor="text1"/>
          <w:spacing w:val="-3"/>
          <w:sz w:val="24"/>
          <w:szCs w:val="24"/>
          <w:highlight w:val="none"/>
          <w14:textFill>
            <w14:solidFill>
              <w14:schemeClr w14:val="tx1"/>
            </w14:solidFill>
          </w14:textFill>
        </w:rPr>
        <w:t>工程用款实行专款专用，</w:t>
      </w:r>
      <w:r>
        <w:rPr>
          <w:rFonts w:hint="eastAsia" w:ascii="仿宋" w:hAnsi="仿宋" w:eastAsia="仿宋" w:cs="仿宋"/>
          <w:color w:val="000000" w:themeColor="text1"/>
          <w:spacing w:val="-1"/>
          <w:sz w:val="24"/>
          <w:szCs w:val="24"/>
          <w:highlight w:val="none"/>
          <w14:textFill>
            <w14:solidFill>
              <w14:schemeClr w14:val="tx1"/>
            </w14:solidFill>
          </w14:textFill>
        </w:rPr>
        <w:t>不得挪作他用，并接受发包人的监管。</w:t>
      </w:r>
    </w:p>
    <w:p w14:paraId="4D83BCBA">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承包人应积极配合质量检测单位、咨询人和发包人提出的相</w:t>
      </w:r>
      <w:r>
        <w:rPr>
          <w:rFonts w:hint="eastAsia" w:ascii="仿宋" w:hAnsi="仿宋" w:eastAsia="仿宋" w:cs="仿宋"/>
          <w:color w:val="000000" w:themeColor="text1"/>
          <w:spacing w:val="-2"/>
          <w:sz w:val="24"/>
          <w:szCs w:val="24"/>
          <w:highlight w:val="none"/>
          <w14:textFill>
            <w14:solidFill>
              <w14:schemeClr w14:val="tx1"/>
            </w14:solidFill>
          </w14:textFill>
        </w:rPr>
        <w:t>关工作。</w:t>
      </w:r>
    </w:p>
    <w:p w14:paraId="3835FDCC">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承包人严格按照《关于</w:t>
      </w:r>
      <w:r>
        <w:rPr>
          <w:rFonts w:hint="eastAsia" w:ascii="仿宋" w:hAnsi="仿宋" w:eastAsia="仿宋" w:cs="仿宋"/>
          <w:color w:val="000000" w:themeColor="text1"/>
          <w:spacing w:val="-4"/>
          <w:sz w:val="24"/>
          <w:szCs w:val="24"/>
          <w:highlight w:val="none"/>
          <w:lang w:val="en-US" w:eastAsia="zh-CN"/>
          <w14:textFill>
            <w14:solidFill>
              <w14:schemeClr w14:val="tx1"/>
            </w14:solidFill>
          </w14:textFill>
        </w:rPr>
        <w:t>乌鲁木齐市</w:t>
      </w:r>
      <w:r>
        <w:rPr>
          <w:rFonts w:hint="eastAsia" w:ascii="仿宋" w:hAnsi="仿宋" w:eastAsia="仿宋" w:cs="仿宋"/>
          <w:color w:val="000000" w:themeColor="text1"/>
          <w:spacing w:val="-4"/>
          <w:sz w:val="24"/>
          <w:szCs w:val="24"/>
          <w:highlight w:val="none"/>
          <w14:textFill>
            <w14:solidFill>
              <w14:schemeClr w14:val="tx1"/>
            </w14:solidFill>
          </w14:textFill>
        </w:rPr>
        <w:t>房屋建</w:t>
      </w:r>
      <w:r>
        <w:rPr>
          <w:rFonts w:hint="eastAsia" w:ascii="仿宋" w:hAnsi="仿宋" w:eastAsia="仿宋" w:cs="仿宋"/>
          <w:color w:val="000000" w:themeColor="text1"/>
          <w:spacing w:val="-5"/>
          <w:sz w:val="24"/>
          <w:szCs w:val="24"/>
          <w:highlight w:val="none"/>
          <w14:textFill>
            <w14:solidFill>
              <w14:schemeClr w14:val="tx1"/>
            </w14:solidFill>
          </w14:textFill>
        </w:rPr>
        <w:t>筑和市政工程</w:t>
      </w:r>
      <w:r>
        <w:rPr>
          <w:rFonts w:hint="eastAsia" w:ascii="仿宋" w:hAnsi="仿宋" w:eastAsia="仿宋" w:cs="仿宋"/>
          <w:color w:val="000000" w:themeColor="text1"/>
          <w:spacing w:val="-2"/>
          <w:sz w:val="24"/>
          <w:szCs w:val="24"/>
          <w:highlight w:val="none"/>
          <w14:textFill>
            <w14:solidFill>
              <w14:schemeClr w14:val="tx1"/>
            </w14:solidFill>
          </w14:textFill>
        </w:rPr>
        <w:t>全面使用预拌砂浆、标准养护室以及鼓励承插型盘扣式钢管脚手架和外脚手架钢</w:t>
      </w:r>
      <w:r>
        <w:rPr>
          <w:rFonts w:hint="eastAsia" w:ascii="仿宋" w:hAnsi="仿宋" w:eastAsia="仿宋" w:cs="仿宋"/>
          <w:color w:val="000000" w:themeColor="text1"/>
          <w:spacing w:val="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板网的通知》的要求施工。</w:t>
      </w:r>
    </w:p>
    <w:p w14:paraId="72FEA3BA">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本工程使用的各项材料、设备必须是达到国家及行业标准以及招标时要求，承包人订货前应提供生产厂家的生产许可证及检验报告，主要材料须提供样品并经发包人及监理单位确认，符合工程要求，方可使用。如材料不合格或与发包人要求有严重偏差，发包人有权拒用，若承包人仍不能按要求退换材料，发包人有</w:t>
      </w:r>
      <w:r>
        <w:rPr>
          <w:rFonts w:hint="eastAsia" w:ascii="仿宋" w:hAnsi="仿宋" w:eastAsia="仿宋" w:cs="仿宋"/>
          <w:color w:val="000000" w:themeColor="text1"/>
          <w:spacing w:val="-1"/>
          <w:sz w:val="24"/>
          <w:szCs w:val="24"/>
          <w:highlight w:val="none"/>
          <w14:textFill>
            <w14:solidFill>
              <w14:schemeClr w14:val="tx1"/>
            </w14:solidFill>
          </w14:textFill>
        </w:rPr>
        <w:t>权责令承包人停工整改，工期不予顺延，且由承包人承担全部</w:t>
      </w:r>
      <w:r>
        <w:rPr>
          <w:rFonts w:hint="eastAsia" w:ascii="仿宋" w:hAnsi="仿宋" w:eastAsia="仿宋" w:cs="仿宋"/>
          <w:color w:val="000000" w:themeColor="text1"/>
          <w:spacing w:val="-2"/>
          <w:sz w:val="24"/>
          <w:szCs w:val="24"/>
          <w:highlight w:val="none"/>
          <w14:textFill>
            <w14:solidFill>
              <w14:schemeClr w14:val="tx1"/>
            </w14:solidFill>
          </w14:textFill>
        </w:rPr>
        <w:t>费用。</w:t>
      </w:r>
    </w:p>
    <w:p w14:paraId="5A30CBE9">
      <w:pPr>
        <w:keepNext w:val="0"/>
        <w:keepLines w:val="0"/>
        <w:pageBreakBefore w:val="0"/>
        <w:widowControl w:val="0"/>
        <w:kinsoku/>
        <w:wordWrap/>
        <w:overflowPunct/>
        <w:topLinePunct w:val="0"/>
        <w:autoSpaceDE/>
        <w:autoSpaceDN/>
        <w:bidi w:val="0"/>
        <w:snapToGrid/>
        <w:spacing w:line="360" w:lineRule="auto"/>
        <w:ind w:left="0" w:leftChars="0" w:right="0" w:rightChars="0" w:firstLine="55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承包人应按文明施工、安全防护要求进行施工。在竣工验收前，施工现场的保护、场地清洁及成品、半成品保护、场地内绿化均由承包人负责。由于施工防</w:t>
      </w:r>
      <w:r>
        <w:rPr>
          <w:rFonts w:hint="eastAsia" w:ascii="仿宋" w:hAnsi="仿宋" w:eastAsia="仿宋" w:cs="仿宋"/>
          <w:color w:val="000000" w:themeColor="text1"/>
          <w:spacing w:val="6"/>
          <w:sz w:val="24"/>
          <w:szCs w:val="24"/>
          <w:highlight w:val="none"/>
          <w14:textFill>
            <w14:solidFill>
              <w14:schemeClr w14:val="tx1"/>
            </w14:solidFill>
          </w14:textFill>
        </w:rPr>
        <w:t>护措施不力造成的损失或因承包人自行提高要求而增加的费用由承包人自行承</w:t>
      </w:r>
      <w:r>
        <w:rPr>
          <w:rFonts w:hint="eastAsia" w:ascii="仿宋" w:hAnsi="仿宋" w:eastAsia="仿宋" w:cs="仿宋"/>
          <w:color w:val="000000" w:themeColor="text1"/>
          <w:spacing w:val="-13"/>
          <w:sz w:val="24"/>
          <w:szCs w:val="24"/>
          <w:highlight w:val="none"/>
          <w14:textFill>
            <w14:solidFill>
              <w14:schemeClr w14:val="tx1"/>
            </w14:solidFill>
          </w14:textFill>
        </w:rPr>
        <w:t>担。</w:t>
      </w:r>
    </w:p>
    <w:p w14:paraId="3DD018E2">
      <w:pPr>
        <w:keepNext w:val="0"/>
        <w:keepLines w:val="0"/>
        <w:pageBreakBefore w:val="0"/>
        <w:widowControl w:val="0"/>
        <w:kinsoku/>
        <w:wordWrap/>
        <w:overflowPunct/>
        <w:topLinePunct w:val="0"/>
        <w:autoSpaceDE/>
        <w:autoSpaceDN/>
        <w:bidi w:val="0"/>
        <w:snapToGrid/>
        <w:spacing w:line="360" w:lineRule="auto"/>
        <w:ind w:left="0" w:leftChars="0" w:right="0" w:rightChars="0" w:firstLine="55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所有与本项目有关的设备必须免费提供开放协议，通讯接口，符合相</w:t>
      </w:r>
      <w:r>
        <w:rPr>
          <w:rFonts w:hint="eastAsia" w:ascii="仿宋" w:hAnsi="仿宋" w:eastAsia="仿宋" w:cs="仿宋"/>
          <w:color w:val="000000" w:themeColor="text1"/>
          <w:spacing w:val="-3"/>
          <w:sz w:val="24"/>
          <w:szCs w:val="24"/>
          <w:highlight w:val="none"/>
          <w14:textFill>
            <w14:solidFill>
              <w14:schemeClr w14:val="tx1"/>
            </w14:solidFill>
          </w14:textFill>
        </w:rPr>
        <w:t>关验收</w:t>
      </w:r>
      <w:r>
        <w:rPr>
          <w:rFonts w:hint="eastAsia" w:ascii="仿宋" w:hAnsi="仿宋" w:eastAsia="仿宋" w:cs="仿宋"/>
          <w:color w:val="000000" w:themeColor="text1"/>
          <w:spacing w:val="-1"/>
          <w:sz w:val="24"/>
          <w:szCs w:val="24"/>
          <w:highlight w:val="none"/>
          <w14:textFill>
            <w14:solidFill>
              <w14:schemeClr w14:val="tx1"/>
            </w14:solidFill>
          </w14:textFill>
        </w:rPr>
        <w:t>规范及标准，以上费用均含在合同价中不再单独计取。</w:t>
      </w:r>
    </w:p>
    <w:p w14:paraId="7F6A603A">
      <w:pPr>
        <w:keepNext w:val="0"/>
        <w:keepLines w:val="0"/>
        <w:pageBreakBefore w:val="0"/>
        <w:widowControl w:val="0"/>
        <w:kinsoku/>
        <w:wordWrap/>
        <w:overflowPunct/>
        <w:topLinePunct w:val="0"/>
        <w:autoSpaceDE/>
        <w:autoSpaceDN/>
        <w:bidi w:val="0"/>
        <w:snapToGrid/>
        <w:spacing w:line="360" w:lineRule="auto"/>
        <w:ind w:left="0" w:leftChars="0" w:right="0" w:rightChars="0" w:firstLine="56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承包人应在开工前仔细研究施工图，对施工图进行认真审核，在设计交</w:t>
      </w:r>
      <w:r>
        <w:rPr>
          <w:rFonts w:hint="eastAsia" w:ascii="仿宋" w:hAnsi="仿宋" w:eastAsia="仿宋" w:cs="仿宋"/>
          <w:color w:val="000000" w:themeColor="text1"/>
          <w:spacing w:val="-3"/>
          <w:sz w:val="24"/>
          <w:szCs w:val="24"/>
          <w:highlight w:val="none"/>
          <w14:textFill>
            <w14:solidFill>
              <w14:schemeClr w14:val="tx1"/>
            </w14:solidFill>
          </w14:textFill>
        </w:rPr>
        <w:t>底时</w:t>
      </w:r>
      <w:r>
        <w:rPr>
          <w:rFonts w:hint="eastAsia" w:ascii="仿宋" w:hAnsi="仿宋" w:eastAsia="仿宋" w:cs="仿宋"/>
          <w:color w:val="000000" w:themeColor="text1"/>
          <w:spacing w:val="-2"/>
          <w:sz w:val="24"/>
          <w:szCs w:val="24"/>
          <w:highlight w:val="none"/>
          <w14:textFill>
            <w14:solidFill>
              <w14:schemeClr w14:val="tx1"/>
            </w14:solidFill>
          </w14:textFill>
        </w:rPr>
        <w:t>将发现的任何图纸问题均提出，由监理人及发包人组织回复。如有施工图问题在图纸设计交底时未及时提出，而造成在后期施工过程中造成窝工、返工等情况，由承包人自行解决，费用包含在合同总价中。</w:t>
      </w:r>
    </w:p>
    <w:p w14:paraId="0A3460AA">
      <w:pPr>
        <w:keepNext w:val="0"/>
        <w:keepLines w:val="0"/>
        <w:pageBreakBefore w:val="0"/>
        <w:widowControl w:val="0"/>
        <w:kinsoku/>
        <w:wordWrap/>
        <w:overflowPunct/>
        <w:topLinePunct w:val="0"/>
        <w:autoSpaceDE/>
        <w:autoSpaceDN/>
        <w:bidi w:val="0"/>
        <w:snapToGrid/>
        <w:spacing w:line="360" w:lineRule="auto"/>
        <w:ind w:left="0" w:leftChars="0" w:right="0" w:rightChars="0" w:firstLine="56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为保证工程施工过程的连续性、可追溯性和痕迹化管理，承</w:t>
      </w:r>
      <w:r>
        <w:rPr>
          <w:rFonts w:hint="eastAsia" w:ascii="仿宋" w:hAnsi="仿宋" w:eastAsia="仿宋" w:cs="仿宋"/>
          <w:color w:val="000000" w:themeColor="text1"/>
          <w:spacing w:val="-3"/>
          <w:sz w:val="24"/>
          <w:szCs w:val="24"/>
          <w:highlight w:val="none"/>
          <w14:textFill>
            <w14:solidFill>
              <w14:schemeClr w14:val="tx1"/>
            </w14:solidFill>
          </w14:textFill>
        </w:rPr>
        <w:t>包人应按有关规</w:t>
      </w:r>
      <w:r>
        <w:rPr>
          <w:rFonts w:hint="eastAsia" w:ascii="仿宋" w:hAnsi="仿宋" w:eastAsia="仿宋" w:cs="仿宋"/>
          <w:color w:val="000000" w:themeColor="text1"/>
          <w:spacing w:val="-2"/>
          <w:sz w:val="24"/>
          <w:szCs w:val="24"/>
          <w:highlight w:val="none"/>
          <w14:textFill>
            <w14:solidFill>
              <w14:schemeClr w14:val="tx1"/>
            </w14:solidFill>
          </w14:textFill>
        </w:rPr>
        <w:t>范填写现场施工日志，即时如实填写（不得后补</w:t>
      </w:r>
      <w:r>
        <w:rPr>
          <w:rFonts w:hint="eastAsia" w:ascii="仿宋" w:hAnsi="仿宋" w:eastAsia="仿宋" w:cs="仿宋"/>
          <w:color w:val="000000" w:themeColor="text1"/>
          <w:spacing w:val="-21"/>
          <w:sz w:val="24"/>
          <w:szCs w:val="24"/>
          <w:highlight w:val="none"/>
          <w14:textFill>
            <w14:solidFill>
              <w14:schemeClr w14:val="tx1"/>
            </w14:solidFill>
          </w14:textFill>
        </w:rPr>
        <w:t>），</w:t>
      </w:r>
      <w:r>
        <w:rPr>
          <w:rFonts w:hint="eastAsia" w:ascii="仿宋" w:hAnsi="仿宋" w:eastAsia="仿宋" w:cs="仿宋"/>
          <w:color w:val="000000" w:themeColor="text1"/>
          <w:spacing w:val="-2"/>
          <w:sz w:val="24"/>
          <w:szCs w:val="24"/>
          <w:highlight w:val="none"/>
          <w14:textFill>
            <w14:solidFill>
              <w14:schemeClr w14:val="tx1"/>
            </w14:solidFill>
          </w14:textFill>
        </w:rPr>
        <w:t>把工程有关的环境、技</w:t>
      </w:r>
      <w:r>
        <w:rPr>
          <w:rFonts w:hint="eastAsia" w:ascii="仿宋" w:hAnsi="仿宋" w:eastAsia="仿宋" w:cs="仿宋"/>
          <w:color w:val="000000" w:themeColor="text1"/>
          <w:spacing w:val="-3"/>
          <w:sz w:val="24"/>
          <w:szCs w:val="24"/>
          <w:highlight w:val="none"/>
          <w14:textFill>
            <w14:solidFill>
              <w14:schemeClr w14:val="tx1"/>
            </w14:solidFill>
          </w14:textFill>
        </w:rPr>
        <w:t>术、</w:t>
      </w:r>
      <w:r>
        <w:rPr>
          <w:rFonts w:hint="eastAsia" w:ascii="仿宋" w:hAnsi="仿宋" w:eastAsia="仿宋" w:cs="仿宋"/>
          <w:color w:val="000000" w:themeColor="text1"/>
          <w:spacing w:val="-2"/>
          <w:sz w:val="24"/>
          <w:szCs w:val="24"/>
          <w:highlight w:val="none"/>
          <w14:textFill>
            <w14:solidFill>
              <w14:schemeClr w14:val="tx1"/>
            </w14:solidFill>
          </w14:textFill>
        </w:rPr>
        <w:t>质量、安全、生产变化、人员变动、问题发现与解决等情况，详细记录并接受监</w:t>
      </w:r>
      <w:r>
        <w:rPr>
          <w:rFonts w:hint="eastAsia" w:ascii="仿宋" w:hAnsi="仿宋" w:eastAsia="仿宋" w:cs="仿宋"/>
          <w:color w:val="000000" w:themeColor="text1"/>
          <w:spacing w:val="-4"/>
          <w:sz w:val="24"/>
          <w:szCs w:val="24"/>
          <w:highlight w:val="none"/>
          <w14:textFill>
            <w14:solidFill>
              <w14:schemeClr w14:val="tx1"/>
            </w14:solidFill>
          </w14:textFill>
        </w:rPr>
        <w:t>理人、发包人的随时检查。</w:t>
      </w:r>
    </w:p>
    <w:p w14:paraId="231EEBD2">
      <w:pPr>
        <w:keepNext w:val="0"/>
        <w:keepLines w:val="0"/>
        <w:pageBreakBefore w:val="0"/>
        <w:widowControl w:val="0"/>
        <w:kinsoku/>
        <w:wordWrap/>
        <w:overflowPunct/>
        <w:topLinePunct w:val="0"/>
        <w:autoSpaceDE/>
        <w:autoSpaceDN/>
        <w:bidi w:val="0"/>
        <w:snapToGrid/>
        <w:spacing w:line="360" w:lineRule="auto"/>
        <w:ind w:left="0" w:leftChars="0" w:right="0" w:rightChars="0" w:firstLine="55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承包人应遵守国家、地方及建筑行业的法律、法规、制度和强制性标准，遵</w:t>
      </w:r>
      <w:r>
        <w:rPr>
          <w:rFonts w:hint="eastAsia" w:ascii="仿宋" w:hAnsi="仿宋" w:eastAsia="仿宋" w:cs="仿宋"/>
          <w:color w:val="000000" w:themeColor="text1"/>
          <w:spacing w:val="-9"/>
          <w:sz w:val="24"/>
          <w:szCs w:val="24"/>
          <w:highlight w:val="none"/>
          <w14:textFill>
            <w14:solidFill>
              <w14:schemeClr w14:val="tx1"/>
            </w14:solidFill>
          </w14:textFill>
        </w:rPr>
        <w:t>守发包人相关制度、流程，</w:t>
      </w:r>
      <w:r>
        <w:rPr>
          <w:rFonts w:hint="eastAsia" w:ascii="仿宋" w:hAnsi="仿宋" w:eastAsia="仿宋" w:cs="仿宋"/>
          <w:color w:val="000000" w:themeColor="text1"/>
          <w:spacing w:val="-7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9"/>
          <w:sz w:val="24"/>
          <w:szCs w:val="24"/>
          <w:highlight w:val="none"/>
          <w14:textFill>
            <w14:solidFill>
              <w14:schemeClr w14:val="tx1"/>
            </w14:solidFill>
          </w14:textFill>
        </w:rPr>
        <w:t>如有不遵守上述规</w:t>
      </w:r>
      <w:r>
        <w:rPr>
          <w:rFonts w:hint="eastAsia" w:ascii="仿宋" w:hAnsi="仿宋" w:eastAsia="仿宋" w:cs="仿宋"/>
          <w:color w:val="000000" w:themeColor="text1"/>
          <w:spacing w:val="-10"/>
          <w:sz w:val="24"/>
          <w:szCs w:val="24"/>
          <w:highlight w:val="none"/>
          <w14:textFill>
            <w14:solidFill>
              <w14:schemeClr w14:val="tx1"/>
            </w14:solidFill>
          </w14:textFill>
        </w:rPr>
        <w:t>定的行为，承包人应承担相应责任，</w:t>
      </w:r>
      <w:r>
        <w:rPr>
          <w:rFonts w:hint="eastAsia" w:ascii="仿宋" w:hAnsi="仿宋" w:eastAsia="仿宋" w:cs="仿宋"/>
          <w:color w:val="000000" w:themeColor="text1"/>
          <w:spacing w:val="-3"/>
          <w:sz w:val="24"/>
          <w:szCs w:val="24"/>
          <w:highlight w:val="none"/>
          <w14:textFill>
            <w14:solidFill>
              <w14:schemeClr w14:val="tx1"/>
            </w14:solidFill>
          </w14:textFill>
        </w:rPr>
        <w:t>发包人有权解除合同，并追究违约责任。</w:t>
      </w:r>
    </w:p>
    <w:p w14:paraId="128F61F2">
      <w:pPr>
        <w:keepNext w:val="0"/>
        <w:keepLines w:val="0"/>
        <w:pageBreakBefore w:val="0"/>
        <w:widowControl w:val="0"/>
        <w:kinsoku/>
        <w:wordWrap/>
        <w:overflowPunct/>
        <w:topLinePunct w:val="0"/>
        <w:autoSpaceDE/>
        <w:autoSpaceDN/>
        <w:bidi w:val="0"/>
        <w:snapToGrid/>
        <w:spacing w:line="360" w:lineRule="auto"/>
        <w:ind w:left="0" w:leftChars="0" w:right="0" w:rightChars="0" w:firstLine="56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发包人指定的本工程范围外的零星工程，承包人应无条件</w:t>
      </w:r>
      <w:r>
        <w:rPr>
          <w:rFonts w:hint="eastAsia" w:ascii="仿宋" w:hAnsi="仿宋" w:eastAsia="仿宋" w:cs="仿宋"/>
          <w:color w:val="000000" w:themeColor="text1"/>
          <w:spacing w:val="-3"/>
          <w:sz w:val="24"/>
          <w:szCs w:val="24"/>
          <w:highlight w:val="none"/>
          <w14:textFill>
            <w14:solidFill>
              <w14:schemeClr w14:val="tx1"/>
            </w14:solidFill>
          </w14:textFill>
        </w:rPr>
        <w:t>配合施工，费用标</w:t>
      </w:r>
      <w:r>
        <w:rPr>
          <w:rFonts w:hint="eastAsia" w:ascii="仿宋" w:hAnsi="仿宋" w:eastAsia="仿宋" w:cs="仿宋"/>
          <w:color w:val="000000" w:themeColor="text1"/>
          <w:spacing w:val="-4"/>
          <w:sz w:val="24"/>
          <w:szCs w:val="24"/>
          <w:highlight w:val="none"/>
          <w14:textFill>
            <w14:solidFill>
              <w14:schemeClr w14:val="tx1"/>
            </w14:solidFill>
          </w14:textFill>
        </w:rPr>
        <w:t>准按专用条款</w:t>
      </w:r>
      <w:r>
        <w:rPr>
          <w:rFonts w:hint="eastAsia" w:ascii="仿宋" w:hAnsi="仿宋" w:eastAsia="仿宋" w:cs="仿宋"/>
          <w:color w:val="000000" w:themeColor="text1"/>
          <w:spacing w:val="-2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10.4 变更估价相关条款执行。</w:t>
      </w:r>
    </w:p>
    <w:p w14:paraId="1FCCA8C4">
      <w:pPr>
        <w:keepNext w:val="0"/>
        <w:keepLines w:val="0"/>
        <w:pageBreakBefore w:val="0"/>
        <w:widowControl w:val="0"/>
        <w:kinsoku/>
        <w:wordWrap/>
        <w:overflowPunct/>
        <w:topLinePunct w:val="0"/>
        <w:autoSpaceDE/>
        <w:autoSpaceDN/>
        <w:bidi w:val="0"/>
        <w:snapToGrid/>
        <w:spacing w:line="360" w:lineRule="auto"/>
        <w:ind w:left="0" w:leftChars="0" w:right="0" w:rightChars="0" w:firstLine="56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因施工噪音、物体坠落、材料抛散、建筑垃圾、现场排污等影响环境卫生、交通城管问题和手续由承包人和有关部门联系自行解决，并按相关行政监</w:t>
      </w:r>
      <w:r>
        <w:rPr>
          <w:rFonts w:hint="eastAsia" w:ascii="仿宋" w:hAnsi="仿宋" w:eastAsia="仿宋" w:cs="仿宋"/>
          <w:color w:val="000000" w:themeColor="text1"/>
          <w:spacing w:val="-3"/>
          <w:sz w:val="24"/>
          <w:szCs w:val="24"/>
          <w:highlight w:val="none"/>
          <w14:textFill>
            <w14:solidFill>
              <w14:schemeClr w14:val="tx1"/>
            </w14:solidFill>
          </w14:textFill>
        </w:rPr>
        <w:t>督部门</w:t>
      </w:r>
      <w:r>
        <w:rPr>
          <w:rFonts w:hint="eastAsia" w:ascii="仿宋" w:hAnsi="仿宋" w:eastAsia="仿宋" w:cs="仿宋"/>
          <w:color w:val="000000" w:themeColor="text1"/>
          <w:spacing w:val="-1"/>
          <w:sz w:val="24"/>
          <w:szCs w:val="24"/>
          <w:highlight w:val="none"/>
          <w14:textFill>
            <w14:solidFill>
              <w14:schemeClr w14:val="tx1"/>
            </w14:solidFill>
          </w14:textFill>
        </w:rPr>
        <w:t>要求标准化管理及环保要求实施施工管理并承担相关费用，发包人给予</w:t>
      </w:r>
      <w:r>
        <w:rPr>
          <w:rFonts w:hint="eastAsia" w:ascii="仿宋" w:hAnsi="仿宋" w:eastAsia="仿宋" w:cs="仿宋"/>
          <w:color w:val="000000" w:themeColor="text1"/>
          <w:spacing w:val="-2"/>
          <w:sz w:val="24"/>
          <w:szCs w:val="24"/>
          <w:highlight w:val="none"/>
          <w14:textFill>
            <w14:solidFill>
              <w14:schemeClr w14:val="tx1"/>
            </w14:solidFill>
          </w14:textFill>
        </w:rPr>
        <w:t>配合。</w:t>
      </w:r>
    </w:p>
    <w:p w14:paraId="20EF0123">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承包人有责任采取必要的措施，协商并解决扰民及民扰问题，承包人</w:t>
      </w:r>
      <w:r>
        <w:rPr>
          <w:rFonts w:hint="eastAsia" w:ascii="仿宋" w:hAnsi="仿宋" w:eastAsia="仿宋" w:cs="仿宋"/>
          <w:color w:val="000000" w:themeColor="text1"/>
          <w:spacing w:val="-3"/>
          <w:sz w:val="24"/>
          <w:szCs w:val="24"/>
          <w:highlight w:val="none"/>
          <w14:textFill>
            <w14:solidFill>
              <w14:schemeClr w14:val="tx1"/>
            </w14:solidFill>
          </w14:textFill>
        </w:rPr>
        <w:t>必须遵</w:t>
      </w:r>
      <w:r>
        <w:rPr>
          <w:rFonts w:hint="eastAsia" w:ascii="仿宋" w:hAnsi="仿宋" w:eastAsia="仿宋" w:cs="仿宋"/>
          <w:color w:val="000000" w:themeColor="text1"/>
          <w:spacing w:val="-2"/>
          <w:sz w:val="24"/>
          <w:szCs w:val="24"/>
          <w:highlight w:val="none"/>
          <w14:textFill>
            <w14:solidFill>
              <w14:schemeClr w14:val="tx1"/>
            </w14:solidFill>
          </w14:textFill>
        </w:rPr>
        <w:t>照有关国家、地方政府发布的有关规定，避免或减少由于施工造成的噪音、空气污染而带来的扰民及民扰影响，及施工带来日常行人行路及道路使用之干扰。承包人必须主动协调同周围居民及有关单位的关系，以免造成窝工、停工、延误工</w:t>
      </w:r>
      <w:r>
        <w:rPr>
          <w:rFonts w:hint="eastAsia" w:ascii="仿宋" w:hAnsi="仿宋" w:eastAsia="仿宋" w:cs="仿宋"/>
          <w:color w:val="000000" w:themeColor="text1"/>
          <w:spacing w:val="2"/>
          <w:sz w:val="24"/>
          <w:szCs w:val="24"/>
          <w:highlight w:val="none"/>
          <w14:textFill>
            <w14:solidFill>
              <w14:schemeClr w14:val="tx1"/>
            </w14:solidFill>
          </w14:textFill>
        </w:rPr>
        <w:t>期的现象发生。承包人须成立有关的协调民扰/扰民机构并负责处理扰民、民扰</w:t>
      </w:r>
      <w:r>
        <w:rPr>
          <w:rFonts w:hint="eastAsia" w:ascii="仿宋" w:hAnsi="仿宋" w:eastAsia="仿宋" w:cs="仿宋"/>
          <w:color w:val="000000" w:themeColor="text1"/>
          <w:spacing w:val="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的工作；必须遵守有关扰民法规及发包人对施工时间的限制及规定。承包人须直接承担解决扰民或民扰问题的工作，缴纳及支付一切所须调停费用及补偿金。承包人不能以扰民或民扰问题处理为理由，向发包人提出索赔或工期延长的要求。</w:t>
      </w:r>
    </w:p>
    <w:p w14:paraId="4363D7BF">
      <w:pPr>
        <w:keepNext w:val="0"/>
        <w:keepLines w:val="0"/>
        <w:pageBreakBefore w:val="0"/>
        <w:widowControl w:val="0"/>
        <w:kinsoku/>
        <w:wordWrap/>
        <w:overflowPunct/>
        <w:topLinePunct w:val="0"/>
        <w:autoSpaceDE/>
        <w:autoSpaceDN/>
        <w:bidi w:val="0"/>
        <w:snapToGrid/>
        <w:spacing w:line="360" w:lineRule="auto"/>
        <w:ind w:left="0" w:leftChars="0" w:right="0" w:rightChars="0" w:firstLine="56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移交证书签发后，承包人应及时从签发了移交证书的部分工地上将所</w:t>
      </w:r>
      <w:r>
        <w:rPr>
          <w:rFonts w:hint="eastAsia" w:ascii="仿宋" w:hAnsi="仿宋" w:eastAsia="仿宋" w:cs="仿宋"/>
          <w:color w:val="000000" w:themeColor="text1"/>
          <w:spacing w:val="-3"/>
          <w:sz w:val="24"/>
          <w:szCs w:val="24"/>
          <w:highlight w:val="none"/>
          <w14:textFill>
            <w14:solidFill>
              <w14:schemeClr w14:val="tx1"/>
            </w14:solidFill>
          </w14:textFill>
        </w:rPr>
        <w:t>有有关</w:t>
      </w:r>
      <w:r>
        <w:rPr>
          <w:rFonts w:hint="eastAsia" w:ascii="仿宋" w:hAnsi="仿宋" w:eastAsia="仿宋" w:cs="仿宋"/>
          <w:color w:val="000000" w:themeColor="text1"/>
          <w:spacing w:val="-8"/>
          <w:sz w:val="24"/>
          <w:szCs w:val="24"/>
          <w:highlight w:val="none"/>
          <w14:textFill>
            <w14:solidFill>
              <w14:schemeClr w14:val="tx1"/>
            </w14:solidFill>
          </w14:textFill>
        </w:rPr>
        <w:t>的承包人的设备、多余材料、垃圾及各种临时工程清除、移走，并使这一部分工</w:t>
      </w:r>
      <w:r>
        <w:rPr>
          <w:rFonts w:hint="eastAsia" w:ascii="仿宋" w:hAnsi="仿宋" w:eastAsia="仿宋" w:cs="仿宋"/>
          <w:color w:val="000000" w:themeColor="text1"/>
          <w:spacing w:val="-1"/>
          <w:sz w:val="24"/>
          <w:szCs w:val="24"/>
          <w:highlight w:val="none"/>
          <w14:textFill>
            <w14:solidFill>
              <w14:schemeClr w14:val="tx1"/>
            </w14:solidFill>
          </w14:textFill>
        </w:rPr>
        <w:t>程及工地保持清洁。</w:t>
      </w:r>
    </w:p>
    <w:p w14:paraId="5A6C5B9A">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承包人应负起本工程的施工总承包责任，应当对总承包管理范围内的</w:t>
      </w:r>
      <w:r>
        <w:rPr>
          <w:rFonts w:hint="eastAsia" w:ascii="仿宋" w:hAnsi="仿宋" w:eastAsia="仿宋" w:cs="仿宋"/>
          <w:color w:val="000000" w:themeColor="text1"/>
          <w:spacing w:val="-3"/>
          <w:sz w:val="24"/>
          <w:szCs w:val="24"/>
          <w:highlight w:val="none"/>
          <w14:textFill>
            <w14:solidFill>
              <w14:schemeClr w14:val="tx1"/>
            </w14:solidFill>
          </w14:textFill>
        </w:rPr>
        <w:t>各分包</w:t>
      </w:r>
      <w:r>
        <w:rPr>
          <w:rFonts w:hint="eastAsia" w:ascii="仿宋" w:hAnsi="仿宋" w:eastAsia="仿宋" w:cs="仿宋"/>
          <w:color w:val="000000" w:themeColor="text1"/>
          <w:spacing w:val="-7"/>
          <w:sz w:val="24"/>
          <w:szCs w:val="24"/>
          <w:highlight w:val="none"/>
          <w14:textFill>
            <w14:solidFill>
              <w14:schemeClr w14:val="tx1"/>
            </w14:solidFill>
          </w14:textFill>
        </w:rPr>
        <w:t>专业工程加强监督管理和协调，并对所有工程质量及施工安全、施工进度负责任。</w:t>
      </w:r>
      <w:r>
        <w:rPr>
          <w:rFonts w:hint="eastAsia" w:ascii="仿宋" w:hAnsi="仿宋" w:eastAsia="仿宋" w:cs="仿宋"/>
          <w:color w:val="000000" w:themeColor="text1"/>
          <w:spacing w:val="-2"/>
          <w:sz w:val="24"/>
          <w:szCs w:val="24"/>
          <w:highlight w:val="none"/>
          <w14:textFill>
            <w14:solidFill>
              <w14:schemeClr w14:val="tx1"/>
            </w14:solidFill>
          </w14:textFill>
        </w:rPr>
        <w:t>所有专业施工单位在进入施工现场开始施工前，必须由承包人与专业施工单位签订包括安全责任书在内的各项责任协议书后方可进场施工。</w:t>
      </w:r>
    </w:p>
    <w:p w14:paraId="600A7DF5">
      <w:pPr>
        <w:keepNext w:val="0"/>
        <w:keepLines w:val="0"/>
        <w:pageBreakBefore w:val="0"/>
        <w:widowControl w:val="0"/>
        <w:kinsoku/>
        <w:wordWrap/>
        <w:overflowPunct/>
        <w:topLinePunct w:val="0"/>
        <w:autoSpaceDE/>
        <w:autoSpaceDN/>
        <w:bidi w:val="0"/>
        <w:snapToGrid/>
        <w:spacing w:line="360" w:lineRule="auto"/>
        <w:ind w:left="0" w:leftChars="0" w:right="0" w:rightChars="0" w:firstLine="57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负责临时用电设施的日常管理使用，在施工</w:t>
      </w:r>
      <w:r>
        <w:rPr>
          <w:rFonts w:hint="eastAsia" w:ascii="仿宋" w:hAnsi="仿宋" w:eastAsia="仿宋" w:cs="仿宋"/>
          <w:color w:val="000000" w:themeColor="text1"/>
          <w:spacing w:val="-3"/>
          <w:sz w:val="24"/>
          <w:szCs w:val="24"/>
          <w:highlight w:val="none"/>
          <w14:textFill>
            <w14:solidFill>
              <w14:schemeClr w14:val="tx1"/>
            </w14:solidFill>
          </w14:textFill>
        </w:rPr>
        <w:t>期间临时用电设施如有故障或损</w:t>
      </w:r>
      <w:r>
        <w:rPr>
          <w:rFonts w:hint="eastAsia" w:ascii="仿宋" w:hAnsi="仿宋" w:eastAsia="仿宋" w:cs="仿宋"/>
          <w:color w:val="000000" w:themeColor="text1"/>
          <w:spacing w:val="-2"/>
          <w:sz w:val="24"/>
          <w:szCs w:val="24"/>
          <w:highlight w:val="none"/>
          <w14:textFill>
            <w14:solidFill>
              <w14:schemeClr w14:val="tx1"/>
            </w14:solidFill>
          </w14:textFill>
        </w:rPr>
        <w:t>坏，由承包方负责修复。在使用过程中，必须按规范操作，如果发生事故由承包</w:t>
      </w:r>
      <w:r>
        <w:rPr>
          <w:rFonts w:hint="eastAsia" w:ascii="仿宋" w:hAnsi="仿宋" w:eastAsia="仿宋" w:cs="仿宋"/>
          <w:color w:val="000000" w:themeColor="text1"/>
          <w:spacing w:val="-5"/>
          <w:sz w:val="24"/>
          <w:szCs w:val="24"/>
          <w:highlight w:val="none"/>
          <w14:textFill>
            <w14:solidFill>
              <w14:schemeClr w14:val="tx1"/>
            </w14:solidFill>
          </w14:textFill>
        </w:rPr>
        <w:t>方自行负责。</w:t>
      </w:r>
    </w:p>
    <w:p w14:paraId="5F88F0D6">
      <w:pPr>
        <w:pStyle w:val="9"/>
        <w:keepNext w:val="0"/>
        <w:keepLines w:val="0"/>
        <w:pageBreakBefore w:val="0"/>
        <w:widowControl w:val="0"/>
        <w:kinsoku/>
        <w:wordWrap/>
        <w:overflowPunct/>
        <w:topLinePunct w:val="0"/>
        <w:autoSpaceDE/>
        <w:autoSpaceDN/>
        <w:bidi w:val="0"/>
        <w:snapToGrid/>
        <w:spacing w:after="0" w:line="360" w:lineRule="auto"/>
        <w:ind w:left="0" w:leftChars="0" w:right="0" w:rightChars="0" w:firstLine="508" w:firstLineChars="2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7"/>
          <w:sz w:val="24"/>
          <w:szCs w:val="24"/>
          <w:highlight w:val="none"/>
          <w14:textFill>
            <w14:solidFill>
              <w14:schemeClr w14:val="tx1"/>
            </w14:solidFill>
          </w14:textFill>
        </w:rPr>
        <w:t>承包人的施工管理区及施工场地应设有临时的污</w:t>
      </w:r>
      <w:r>
        <w:rPr>
          <w:rFonts w:hint="eastAsia" w:ascii="仿宋" w:hAnsi="仿宋" w:eastAsia="仿宋" w:cs="仿宋"/>
          <w:color w:val="000000" w:themeColor="text1"/>
          <w:spacing w:val="6"/>
          <w:sz w:val="24"/>
          <w:szCs w:val="24"/>
          <w:highlight w:val="none"/>
          <w14:textFill>
            <w14:solidFill>
              <w14:schemeClr w14:val="tx1"/>
            </w14:solidFill>
          </w14:textFill>
        </w:rPr>
        <w:t>水处理设施和施工排水设</w:t>
      </w:r>
      <w:r>
        <w:rPr>
          <w:rFonts w:hint="eastAsia" w:ascii="仿宋" w:hAnsi="仿宋" w:eastAsia="仿宋" w:cs="仿宋"/>
          <w:color w:val="000000" w:themeColor="text1"/>
          <w:spacing w:val="-2"/>
          <w:sz w:val="24"/>
          <w:szCs w:val="24"/>
          <w:highlight w:val="none"/>
          <w14:textFill>
            <w14:solidFill>
              <w14:schemeClr w14:val="tx1"/>
            </w14:solidFill>
          </w14:textFill>
        </w:rPr>
        <w:t>施，生活、施工垃圾等处置应妥当，施工材料如涂料、化学品等应妥善存放，并</w:t>
      </w:r>
      <w:r>
        <w:rPr>
          <w:rFonts w:hint="eastAsia" w:ascii="仿宋" w:hAnsi="仿宋" w:eastAsia="仿宋" w:cs="仿宋"/>
          <w:color w:val="000000" w:themeColor="text1"/>
          <w:spacing w:val="-3"/>
          <w:sz w:val="24"/>
          <w:szCs w:val="24"/>
          <w:highlight w:val="none"/>
          <w14:textFill>
            <w14:solidFill>
              <w14:schemeClr w14:val="tx1"/>
            </w14:solidFill>
          </w14:textFill>
        </w:rPr>
        <w:t>设有防雨、防风等安全防护措施。</w:t>
      </w:r>
    </w:p>
    <w:p w14:paraId="792E4938">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承包人应负责在施工过程的之前、之中、之后协调工作，包括工序、场地、</w:t>
      </w:r>
      <w:r>
        <w:rPr>
          <w:rFonts w:hint="eastAsia" w:ascii="仿宋" w:hAnsi="仿宋" w:eastAsia="仿宋" w:cs="仿宋"/>
          <w:color w:val="000000" w:themeColor="text1"/>
          <w:spacing w:val="-1"/>
          <w:sz w:val="24"/>
          <w:szCs w:val="24"/>
          <w:highlight w:val="none"/>
          <w14:textFill>
            <w14:solidFill>
              <w14:schemeClr w14:val="tx1"/>
            </w14:solidFill>
          </w14:textFill>
        </w:rPr>
        <w:t>材料堆放、人员食宿、水、电供应等。</w:t>
      </w:r>
    </w:p>
    <w:p w14:paraId="47442D3D">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强化安全意识，抓好安全生产，杜绝事故发生，施工中发生</w:t>
      </w:r>
      <w:r>
        <w:rPr>
          <w:rFonts w:hint="eastAsia" w:ascii="仿宋" w:hAnsi="仿宋" w:eastAsia="仿宋" w:cs="仿宋"/>
          <w:color w:val="000000" w:themeColor="text1"/>
          <w:spacing w:val="-3"/>
          <w:sz w:val="24"/>
          <w:szCs w:val="24"/>
          <w:highlight w:val="none"/>
          <w14:textFill>
            <w14:solidFill>
              <w14:schemeClr w14:val="tx1"/>
            </w14:solidFill>
          </w14:textFill>
        </w:rPr>
        <w:t>安全及人身事故</w:t>
      </w:r>
      <w:r>
        <w:rPr>
          <w:rFonts w:hint="eastAsia" w:ascii="仿宋" w:hAnsi="仿宋" w:eastAsia="仿宋" w:cs="仿宋"/>
          <w:color w:val="000000" w:themeColor="text1"/>
          <w:spacing w:val="-2"/>
          <w:sz w:val="24"/>
          <w:szCs w:val="24"/>
          <w:highlight w:val="none"/>
          <w14:textFill>
            <w14:solidFill>
              <w14:schemeClr w14:val="tx1"/>
            </w14:solidFill>
          </w14:textFill>
        </w:rPr>
        <w:t>均由承包人负责处理，并承担全部费用。</w:t>
      </w:r>
    </w:p>
    <w:p w14:paraId="6FF0947C">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在施工时材料堆放场地、临时设施、临时办公用房、生活设施、脚手架</w:t>
      </w:r>
      <w:r>
        <w:rPr>
          <w:rFonts w:hint="eastAsia" w:ascii="仿宋" w:hAnsi="仿宋" w:eastAsia="仿宋" w:cs="仿宋"/>
          <w:color w:val="000000" w:themeColor="text1"/>
          <w:spacing w:val="-3"/>
          <w:sz w:val="24"/>
          <w:szCs w:val="24"/>
          <w:highlight w:val="none"/>
          <w14:textFill>
            <w14:solidFill>
              <w14:schemeClr w14:val="tx1"/>
            </w14:solidFill>
          </w14:textFill>
        </w:rPr>
        <w:t>、现</w:t>
      </w:r>
      <w:r>
        <w:rPr>
          <w:rFonts w:hint="eastAsia" w:ascii="仿宋" w:hAnsi="仿宋" w:eastAsia="仿宋" w:cs="仿宋"/>
          <w:color w:val="000000" w:themeColor="text1"/>
          <w:spacing w:val="-2"/>
          <w:sz w:val="24"/>
          <w:szCs w:val="24"/>
          <w:highlight w:val="none"/>
          <w14:textFill>
            <w14:solidFill>
              <w14:schemeClr w14:val="tx1"/>
            </w14:solidFill>
          </w14:textFill>
        </w:rPr>
        <w:t>场使用的垂直运输机械、安全防护设施、临时材料堆场、多次倒运费、材料设备保管费、临时用水、临时用电、各种临时线路及需土建等其他专业配合的专业工程的竣工验收所要求的专业资料、工程的收边收口、开槽开孔及其修复、安全生产费用、文明施工费用、扬尘治理费、环境保护费用、二次深化设计费、各种审</w:t>
      </w:r>
      <w:r>
        <w:rPr>
          <w:rFonts w:hint="eastAsia" w:ascii="仿宋" w:hAnsi="仿宋" w:eastAsia="仿宋" w:cs="仿宋"/>
          <w:color w:val="000000" w:themeColor="text1"/>
          <w:spacing w:val="6"/>
          <w:sz w:val="24"/>
          <w:szCs w:val="24"/>
          <w:highlight w:val="none"/>
          <w14:textFill>
            <w14:solidFill>
              <w14:schemeClr w14:val="tx1"/>
            </w14:solidFill>
          </w14:textFill>
        </w:rPr>
        <w:t>查评审费和二次深化后的蓝图审查费及相关的前期手续以上费用包含在投标报</w:t>
      </w:r>
      <w:r>
        <w:rPr>
          <w:rFonts w:hint="eastAsia" w:ascii="仿宋" w:hAnsi="仿宋" w:eastAsia="仿宋" w:cs="仿宋"/>
          <w:color w:val="000000" w:themeColor="text1"/>
          <w:spacing w:val="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价中。配合发包人办理施工许可等行业主管部门各类手续所发生的应当由承包人</w:t>
      </w:r>
      <w:r>
        <w:rPr>
          <w:rFonts w:hint="eastAsia" w:ascii="仿宋" w:hAnsi="仿宋" w:eastAsia="仿宋" w:cs="仿宋"/>
          <w:color w:val="000000" w:themeColor="text1"/>
          <w:spacing w:val="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承担的费用均含在合同总金额中。</w:t>
      </w:r>
    </w:p>
    <w:p w14:paraId="21B11E03">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承包人的工程资料应满足档案及创优要求，并按照</w:t>
      </w:r>
      <w:r>
        <w:rPr>
          <w:rFonts w:hint="eastAsia" w:ascii="仿宋" w:hAnsi="仿宋" w:eastAsia="仿宋" w:cs="仿宋"/>
          <w:color w:val="000000" w:themeColor="text1"/>
          <w:spacing w:val="-3"/>
          <w:sz w:val="24"/>
          <w:szCs w:val="24"/>
          <w:highlight w:val="none"/>
          <w14:textFill>
            <w14:solidFill>
              <w14:schemeClr w14:val="tx1"/>
            </w14:solidFill>
          </w14:textFill>
        </w:rPr>
        <w:t>发包人的资料管理要求，</w:t>
      </w:r>
      <w:r>
        <w:rPr>
          <w:rFonts w:hint="eastAsia" w:ascii="仿宋" w:hAnsi="仿宋" w:eastAsia="仿宋" w:cs="仿宋"/>
          <w:color w:val="000000" w:themeColor="text1"/>
          <w:spacing w:val="-4"/>
          <w:sz w:val="24"/>
          <w:szCs w:val="24"/>
          <w:highlight w:val="none"/>
          <w14:textFill>
            <w14:solidFill>
              <w14:schemeClr w14:val="tx1"/>
            </w14:solidFill>
          </w14:textFill>
        </w:rPr>
        <w:t>及时进行资料归集、移交。</w:t>
      </w:r>
    </w:p>
    <w:p w14:paraId="6BC8B4FB">
      <w:pPr>
        <w:keepNext w:val="0"/>
        <w:keepLines w:val="0"/>
        <w:pageBreakBefore w:val="0"/>
        <w:widowControl w:val="0"/>
        <w:kinsoku/>
        <w:wordWrap/>
        <w:overflowPunct/>
        <w:topLinePunct w:val="0"/>
        <w:autoSpaceDE/>
        <w:autoSpaceDN/>
        <w:bidi w:val="0"/>
        <w:snapToGrid/>
        <w:spacing w:line="360" w:lineRule="auto"/>
        <w:ind w:left="0" w:leftChars="0" w:right="0" w:rightChars="0" w:firstLine="55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在测量放线中，承包人有义务建立和保护测量放线用基准点；对需要的</w:t>
      </w:r>
      <w:r>
        <w:rPr>
          <w:rFonts w:hint="eastAsia" w:ascii="仿宋" w:hAnsi="仿宋" w:eastAsia="仿宋" w:cs="仿宋"/>
          <w:color w:val="000000" w:themeColor="text1"/>
          <w:spacing w:val="-3"/>
          <w:sz w:val="24"/>
          <w:szCs w:val="24"/>
          <w:highlight w:val="none"/>
          <w14:textFill>
            <w14:solidFill>
              <w14:schemeClr w14:val="tx1"/>
            </w14:solidFill>
          </w14:textFill>
        </w:rPr>
        <w:t>专业</w:t>
      </w:r>
      <w:r>
        <w:rPr>
          <w:rFonts w:hint="eastAsia" w:ascii="仿宋" w:hAnsi="仿宋" w:eastAsia="仿宋" w:cs="仿宋"/>
          <w:color w:val="000000" w:themeColor="text1"/>
          <w:spacing w:val="-2"/>
          <w:sz w:val="24"/>
          <w:szCs w:val="24"/>
          <w:highlight w:val="none"/>
          <w14:textFill>
            <w14:solidFill>
              <w14:schemeClr w14:val="tx1"/>
            </w14:solidFill>
          </w14:textFill>
        </w:rPr>
        <w:t>承包单位进行移交和交底，并承担测量放线错误造成的责任，同时有权纠正其他</w:t>
      </w:r>
      <w:r>
        <w:rPr>
          <w:rFonts w:hint="eastAsia" w:ascii="仿宋" w:hAnsi="仿宋" w:eastAsia="仿宋" w:cs="仿宋"/>
          <w:color w:val="000000" w:themeColor="text1"/>
          <w:spacing w:val="-1"/>
          <w:sz w:val="24"/>
          <w:szCs w:val="24"/>
          <w:highlight w:val="none"/>
          <w14:textFill>
            <w14:solidFill>
              <w14:schemeClr w14:val="tx1"/>
            </w14:solidFill>
          </w14:textFill>
        </w:rPr>
        <w:t>各分承包单位的错误和不妥。</w:t>
      </w:r>
    </w:p>
    <w:p w14:paraId="092C289F">
      <w:pPr>
        <w:keepNext w:val="0"/>
        <w:keepLines w:val="0"/>
        <w:pageBreakBefore w:val="0"/>
        <w:widowControl w:val="0"/>
        <w:kinsoku/>
        <w:wordWrap/>
        <w:overflowPunct/>
        <w:topLinePunct w:val="0"/>
        <w:autoSpaceDE/>
        <w:autoSpaceDN/>
        <w:bidi w:val="0"/>
        <w:snapToGrid/>
        <w:spacing w:line="360" w:lineRule="auto"/>
        <w:ind w:left="0" w:leftChars="0" w:right="0" w:rightChars="0" w:firstLine="55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承包人中标后三日内，必须提供本次投标设备的各种技术资料，同时</w:t>
      </w:r>
      <w:r>
        <w:rPr>
          <w:rFonts w:hint="eastAsia" w:ascii="仿宋" w:hAnsi="仿宋" w:eastAsia="仿宋" w:cs="仿宋"/>
          <w:color w:val="000000" w:themeColor="text1"/>
          <w:spacing w:val="-3"/>
          <w:sz w:val="24"/>
          <w:szCs w:val="24"/>
          <w:highlight w:val="none"/>
          <w14:textFill>
            <w14:solidFill>
              <w14:schemeClr w14:val="tx1"/>
            </w14:solidFill>
          </w14:textFill>
        </w:rPr>
        <w:t>提供给</w:t>
      </w:r>
      <w:r>
        <w:rPr>
          <w:rFonts w:hint="eastAsia" w:ascii="仿宋" w:hAnsi="仿宋" w:eastAsia="仿宋" w:cs="仿宋"/>
          <w:color w:val="000000" w:themeColor="text1"/>
          <w:spacing w:val="-2"/>
          <w:sz w:val="24"/>
          <w:szCs w:val="24"/>
          <w:highlight w:val="none"/>
          <w14:textFill>
            <w14:solidFill>
              <w14:schemeClr w14:val="tx1"/>
            </w14:solidFill>
          </w14:textFill>
        </w:rPr>
        <w:t>招标人、设计单位、工程监理单位等相关单位和部门，以便更好的完善设计和施</w:t>
      </w:r>
      <w:r>
        <w:rPr>
          <w:rFonts w:hint="eastAsia" w:ascii="仿宋" w:hAnsi="仿宋" w:eastAsia="仿宋" w:cs="仿宋"/>
          <w:color w:val="000000" w:themeColor="text1"/>
          <w:spacing w:val="-13"/>
          <w:sz w:val="24"/>
          <w:szCs w:val="24"/>
          <w:highlight w:val="none"/>
          <w14:textFill>
            <w14:solidFill>
              <w14:schemeClr w14:val="tx1"/>
            </w14:solidFill>
          </w14:textFill>
        </w:rPr>
        <w:t>工。</w:t>
      </w:r>
    </w:p>
    <w:p w14:paraId="2138178D">
      <w:pPr>
        <w:keepNext w:val="0"/>
        <w:keepLines w:val="0"/>
        <w:pageBreakBefore w:val="0"/>
        <w:widowControl w:val="0"/>
        <w:kinsoku/>
        <w:wordWrap/>
        <w:overflowPunct/>
        <w:topLinePunct w:val="0"/>
        <w:autoSpaceDE/>
        <w:autoSpaceDN/>
        <w:bidi w:val="0"/>
        <w:snapToGrid/>
        <w:spacing w:line="360" w:lineRule="auto"/>
        <w:ind w:left="0" w:leftChars="0" w:right="0" w:rightChars="0" w:firstLine="55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如遇上级主管部门、行政监督部门到达施工现场需要紧急停工</w:t>
      </w:r>
      <w:r>
        <w:rPr>
          <w:rFonts w:hint="eastAsia" w:ascii="仿宋" w:hAnsi="仿宋" w:eastAsia="仿宋" w:cs="仿宋"/>
          <w:color w:val="000000" w:themeColor="text1"/>
          <w:spacing w:val="-3"/>
          <w:sz w:val="24"/>
          <w:szCs w:val="24"/>
          <w:highlight w:val="none"/>
          <w14:textFill>
            <w14:solidFill>
              <w14:schemeClr w14:val="tx1"/>
            </w14:solidFill>
          </w14:textFill>
        </w:rPr>
        <w:t>及整理现场卫生，承包人必须无条件响应。</w:t>
      </w:r>
    </w:p>
    <w:p w14:paraId="0CE75954">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依据法律规定，应由承包人承担的一切合同随附义务。</w:t>
      </w:r>
    </w:p>
    <w:p w14:paraId="54F5F6EA">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在施工前，需对设计图纸不完善的、有明显缺陷的提出合理化建议。承包人在施工前应对项目进行技术经济对比，提出合理化建议，确保项目不超概。否则</w:t>
      </w:r>
      <w:r>
        <w:rPr>
          <w:rFonts w:hint="eastAsia" w:ascii="仿宋" w:hAnsi="仿宋" w:eastAsia="仿宋" w:cs="仿宋"/>
          <w:color w:val="000000" w:themeColor="text1"/>
          <w:spacing w:val="-1"/>
          <w:sz w:val="24"/>
          <w:szCs w:val="24"/>
          <w:highlight w:val="none"/>
          <w14:textFill>
            <w14:solidFill>
              <w14:schemeClr w14:val="tx1"/>
            </w14:solidFill>
          </w14:textFill>
        </w:rPr>
        <w:t>超过的费用将由承包人承担。</w:t>
      </w:r>
    </w:p>
    <w:p w14:paraId="08B6FA3D">
      <w:pPr>
        <w:keepNext w:val="0"/>
        <w:keepLines w:val="0"/>
        <w:pageBreakBefore w:val="0"/>
        <w:widowControl w:val="0"/>
        <w:kinsoku/>
        <w:wordWrap/>
        <w:overflowPunct/>
        <w:topLinePunct w:val="0"/>
        <w:autoSpaceDE/>
        <w:autoSpaceDN/>
        <w:bidi w:val="0"/>
        <w:snapToGrid/>
        <w:spacing w:line="360" w:lineRule="auto"/>
        <w:ind w:left="0" w:leftChars="0" w:right="0" w:rightChars="0" w:firstLine="59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由于非发包人的原因，造成的复检费用由责任方承担费用。由于承</w:t>
      </w:r>
      <w:r>
        <w:rPr>
          <w:rFonts w:hint="eastAsia" w:ascii="仿宋" w:hAnsi="仿宋" w:eastAsia="仿宋" w:cs="仿宋"/>
          <w:color w:val="000000" w:themeColor="text1"/>
          <w:spacing w:val="-4"/>
          <w:sz w:val="24"/>
          <w:szCs w:val="24"/>
          <w:highlight w:val="none"/>
          <w14:textFill>
            <w14:solidFill>
              <w14:schemeClr w14:val="tx1"/>
            </w14:solidFill>
          </w14:textFill>
        </w:rPr>
        <w:t>包人检验</w:t>
      </w:r>
      <w:r>
        <w:rPr>
          <w:rFonts w:hint="eastAsia" w:ascii="仿宋" w:hAnsi="仿宋" w:eastAsia="仿宋" w:cs="仿宋"/>
          <w:color w:val="000000" w:themeColor="text1"/>
          <w:spacing w:val="-2"/>
          <w:sz w:val="24"/>
          <w:szCs w:val="24"/>
          <w:highlight w:val="none"/>
          <w14:textFill>
            <w14:solidFill>
              <w14:schemeClr w14:val="tx1"/>
            </w14:solidFill>
          </w14:textFill>
        </w:rPr>
        <w:t>批划分不合理或施工组织不当，导致增加的检验试验费用由承包人承担。承包人</w:t>
      </w:r>
      <w:r>
        <w:rPr>
          <w:rFonts w:hint="eastAsia" w:ascii="仿宋" w:hAnsi="仿宋" w:eastAsia="仿宋" w:cs="仿宋"/>
          <w:color w:val="000000" w:themeColor="text1"/>
          <w:sz w:val="24"/>
          <w:szCs w:val="24"/>
          <w:highlight w:val="none"/>
          <w14:textFill>
            <w14:solidFill>
              <w14:schemeClr w14:val="tx1"/>
            </w14:solidFill>
          </w14:textFill>
        </w:rPr>
        <w:t>提供的具有合格证明的材料进行检测不合格的</w:t>
      </w:r>
      <w:r>
        <w:rPr>
          <w:rFonts w:hint="eastAsia" w:ascii="仿宋" w:hAnsi="仿宋" w:eastAsia="仿宋" w:cs="仿宋"/>
          <w:color w:val="000000" w:themeColor="text1"/>
          <w:spacing w:val="-1"/>
          <w:sz w:val="24"/>
          <w:szCs w:val="24"/>
          <w:highlight w:val="none"/>
          <w14:textFill>
            <w14:solidFill>
              <w14:schemeClr w14:val="tx1"/>
            </w14:solidFill>
          </w14:textFill>
        </w:rPr>
        <w:t>该检测费用由承包人支付。</w:t>
      </w:r>
    </w:p>
    <w:p w14:paraId="5FEAA6F2">
      <w:pPr>
        <w:keepNext w:val="0"/>
        <w:keepLines w:val="0"/>
        <w:pageBreakBefore w:val="0"/>
        <w:widowControl w:val="0"/>
        <w:kinsoku/>
        <w:wordWrap/>
        <w:overflowPunct/>
        <w:topLinePunct w:val="0"/>
        <w:autoSpaceDE/>
        <w:autoSpaceDN/>
        <w:bidi w:val="0"/>
        <w:snapToGrid/>
        <w:spacing w:line="360" w:lineRule="auto"/>
        <w:ind w:left="0" w:leftChars="0" w:right="0" w:rightChars="0" w:firstLine="5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在合同履行期间，承包人不得以价格尚未确定或其他的任何理由拒绝完</w:t>
      </w:r>
      <w:r>
        <w:rPr>
          <w:rFonts w:hint="eastAsia" w:ascii="仿宋" w:hAnsi="仿宋" w:eastAsia="仿宋" w:cs="仿宋"/>
          <w:color w:val="000000" w:themeColor="text1"/>
          <w:spacing w:val="-3"/>
          <w:sz w:val="24"/>
          <w:szCs w:val="24"/>
          <w:highlight w:val="none"/>
          <w14:textFill>
            <w14:solidFill>
              <w14:schemeClr w14:val="tx1"/>
            </w14:solidFill>
          </w14:textFill>
        </w:rPr>
        <w:t>成与</w:t>
      </w:r>
      <w:r>
        <w:rPr>
          <w:rFonts w:hint="eastAsia" w:ascii="仿宋" w:hAnsi="仿宋" w:eastAsia="仿宋" w:cs="仿宋"/>
          <w:color w:val="000000" w:themeColor="text1"/>
          <w:sz w:val="24"/>
          <w:szCs w:val="24"/>
          <w:highlight w:val="none"/>
          <w14:textFill>
            <w14:solidFill>
              <w14:schemeClr w14:val="tx1"/>
            </w14:solidFill>
          </w14:textFill>
        </w:rPr>
        <w:t>本项工程有关的新增、变更增加的分部分项工</w:t>
      </w:r>
      <w:r>
        <w:rPr>
          <w:rFonts w:hint="eastAsia" w:ascii="仿宋" w:hAnsi="仿宋" w:eastAsia="仿宋" w:cs="仿宋"/>
          <w:color w:val="000000" w:themeColor="text1"/>
          <w:spacing w:val="-1"/>
          <w:sz w:val="24"/>
          <w:szCs w:val="24"/>
          <w:highlight w:val="none"/>
          <w14:textFill>
            <w14:solidFill>
              <w14:schemeClr w14:val="tx1"/>
            </w14:solidFill>
          </w14:textFill>
        </w:rPr>
        <w:t>程清单项目的工作内容 。</w:t>
      </w:r>
    </w:p>
    <w:p w14:paraId="722E56C8">
      <w:pPr>
        <w:keepNext w:val="0"/>
        <w:keepLines w:val="0"/>
        <w:pageBreakBefore w:val="0"/>
        <w:widowControl w:val="0"/>
        <w:kinsoku/>
        <w:wordWrap/>
        <w:overflowPunct/>
        <w:topLinePunct w:val="0"/>
        <w:autoSpaceDE/>
        <w:autoSpaceDN/>
        <w:bidi w:val="0"/>
        <w:snapToGrid/>
        <w:spacing w:line="360" w:lineRule="auto"/>
        <w:ind w:left="0" w:leftChars="0" w:right="0" w:rightChars="0" w:firstLine="5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6"/>
          <w:sz w:val="24"/>
          <w:szCs w:val="24"/>
          <w:highlight w:val="none"/>
          <w14:textFill>
            <w14:solidFill>
              <w14:schemeClr w14:val="tx1"/>
            </w14:solidFill>
          </w14:textFill>
        </w:rPr>
        <w:t>承包人提交的竣工资料的内容</w:t>
      </w:r>
      <w:r>
        <w:rPr>
          <w:rFonts w:hint="eastAsia" w:ascii="仿宋" w:hAnsi="仿宋" w:eastAsia="仿宋" w:cs="仿宋"/>
          <w:color w:val="000000" w:themeColor="text1"/>
          <w:spacing w:val="-4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6"/>
          <w:sz w:val="24"/>
          <w:szCs w:val="24"/>
          <w:highlight w:val="none"/>
          <w14:textFill>
            <w14:solidFill>
              <w14:schemeClr w14:val="tx1"/>
            </w14:solidFill>
          </w14:textFill>
        </w:rPr>
        <w:t>：</w:t>
      </w:r>
      <w:r>
        <w:rPr>
          <w:rFonts w:hint="eastAsia" w:ascii="仿宋" w:hAnsi="仿宋" w:eastAsia="仿宋" w:cs="仿宋"/>
          <w:color w:val="000000" w:themeColor="text1"/>
          <w:spacing w:val="-7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6"/>
          <w:sz w:val="24"/>
          <w:szCs w:val="24"/>
          <w:highlight w:val="none"/>
          <w14:textFill>
            <w14:solidFill>
              <w14:schemeClr w14:val="tx1"/>
            </w14:solidFill>
          </w14:textFill>
        </w:rPr>
        <w:t>按照《</w:t>
      </w:r>
      <w:r>
        <w:rPr>
          <w:rFonts w:hint="eastAsia" w:ascii="仿宋" w:hAnsi="仿宋" w:eastAsia="仿宋" w:cs="仿宋"/>
          <w:color w:val="000000" w:themeColor="text1"/>
          <w:spacing w:val="-4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6"/>
          <w:sz w:val="24"/>
          <w:szCs w:val="24"/>
          <w:highlight w:val="none"/>
          <w14:textFill>
            <w14:solidFill>
              <w14:schemeClr w14:val="tx1"/>
            </w14:solidFill>
          </w14:textFill>
        </w:rPr>
        <w:t>建设工程文件归档规范</w:t>
      </w:r>
      <w:r>
        <w:rPr>
          <w:rFonts w:hint="eastAsia" w:ascii="仿宋" w:hAnsi="仿宋" w:eastAsia="仿宋" w:cs="仿宋"/>
          <w:color w:val="000000" w:themeColor="text1"/>
          <w:spacing w:val="-6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6"/>
          <w:sz w:val="24"/>
          <w:szCs w:val="24"/>
          <w:highlight w:val="none"/>
          <w14:textFill>
            <w14:solidFill>
              <w14:schemeClr w14:val="tx1"/>
            </w14:solidFill>
          </w14:textFill>
        </w:rPr>
        <w:t>》</w:t>
      </w:r>
      <w:r>
        <w:rPr>
          <w:rFonts w:hint="eastAsia" w:ascii="仿宋" w:hAnsi="仿宋" w:eastAsia="仿宋" w:cs="仿宋"/>
          <w:color w:val="000000" w:themeColor="text1"/>
          <w:spacing w:val="-3"/>
          <w:sz w:val="24"/>
          <w:szCs w:val="24"/>
          <w:highlight w:val="none"/>
          <w14:textFill>
            <w14:solidFill>
              <w14:schemeClr w14:val="tx1"/>
            </w14:solidFill>
          </w14:textFill>
        </w:rPr>
        <w:t>GB/T50328-2014</w:t>
      </w:r>
      <w:r>
        <w:rPr>
          <w:rFonts w:hint="eastAsia" w:ascii="仿宋" w:hAnsi="仿宋" w:eastAsia="仿宋" w:cs="仿宋"/>
          <w:color w:val="000000" w:themeColor="text1"/>
          <w:spacing w:val="-5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要求，承包人在工程相关资料</w:t>
      </w:r>
      <w:r>
        <w:rPr>
          <w:rFonts w:hint="eastAsia" w:ascii="仿宋" w:hAnsi="仿宋" w:eastAsia="仿宋" w:cs="仿宋"/>
          <w:color w:val="000000" w:themeColor="text1"/>
          <w:spacing w:val="-4"/>
          <w:sz w:val="24"/>
          <w:szCs w:val="24"/>
          <w:highlight w:val="none"/>
          <w14:textFill>
            <w14:solidFill>
              <w14:schemeClr w14:val="tx1"/>
            </w14:solidFill>
          </w14:textFill>
        </w:rPr>
        <w:t>归档时，由承包人重新绘制并晒蓝</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的竣工图纸质档案四套；AUTOCAD</w:t>
      </w:r>
      <w:r>
        <w:rPr>
          <w:rFonts w:hint="eastAsia" w:ascii="仿宋" w:hAnsi="仿宋" w:eastAsia="仿宋" w:cs="仿宋"/>
          <w:color w:val="000000" w:themeColor="text1"/>
          <w:spacing w:val="-2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及电子扫描光盘各四套。同时提交录像光盘四</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14:textFill>
            <w14:solidFill>
              <w14:schemeClr w14:val="tx1"/>
            </w14:solidFill>
          </w14:textFill>
        </w:rPr>
        <w:t>套（单独刻制</w:t>
      </w:r>
      <w:r>
        <w:rPr>
          <w:rFonts w:hint="eastAsia" w:ascii="仿宋" w:hAnsi="仿宋" w:eastAsia="仿宋" w:cs="仿宋"/>
          <w:color w:val="000000" w:themeColor="text1"/>
          <w:spacing w:val="-33"/>
          <w:sz w:val="24"/>
          <w:szCs w:val="24"/>
          <w:highlight w:val="none"/>
          <w14:textFill>
            <w14:solidFill>
              <w14:schemeClr w14:val="tx1"/>
            </w14:solidFill>
          </w14:textFill>
        </w:rPr>
        <w:t>）；</w:t>
      </w:r>
      <w:r>
        <w:rPr>
          <w:rFonts w:hint="eastAsia" w:ascii="仿宋" w:hAnsi="仿宋" w:eastAsia="仿宋" w:cs="仿宋"/>
          <w:color w:val="000000" w:themeColor="text1"/>
          <w:spacing w:val="-7"/>
          <w:sz w:val="24"/>
          <w:szCs w:val="24"/>
          <w:highlight w:val="none"/>
          <w14:textFill>
            <w14:solidFill>
              <w14:schemeClr w14:val="tx1"/>
            </w14:solidFill>
          </w14:textFill>
        </w:rPr>
        <w:t>照片光盘四套（单独刻制</w:t>
      </w:r>
      <w:r>
        <w:rPr>
          <w:rFonts w:hint="eastAsia" w:ascii="仿宋" w:hAnsi="仿宋" w:eastAsia="仿宋" w:cs="仿宋"/>
          <w:color w:val="000000" w:themeColor="text1"/>
          <w:spacing w:val="-33"/>
          <w:sz w:val="24"/>
          <w:szCs w:val="24"/>
          <w:highlight w:val="none"/>
          <w14:textFill>
            <w14:solidFill>
              <w14:schemeClr w14:val="tx1"/>
            </w14:solidFill>
          </w14:textFill>
        </w:rPr>
        <w:t>）；</w:t>
      </w:r>
      <w:r>
        <w:rPr>
          <w:rFonts w:hint="eastAsia" w:ascii="仿宋" w:hAnsi="仿宋" w:eastAsia="仿宋" w:cs="仿宋"/>
          <w:color w:val="000000" w:themeColor="text1"/>
          <w:spacing w:val="-7"/>
          <w:sz w:val="24"/>
          <w:szCs w:val="24"/>
          <w:highlight w:val="none"/>
          <w14:textFill>
            <w14:solidFill>
              <w14:schemeClr w14:val="tx1"/>
            </w14:solidFill>
          </w14:textFill>
        </w:rPr>
        <w:t>工程案卷及卷内目录光盘四套（单</w:t>
      </w:r>
      <w:r>
        <w:rPr>
          <w:rFonts w:hint="eastAsia" w:ascii="仿宋" w:hAnsi="仿宋" w:eastAsia="仿宋" w:cs="仿宋"/>
          <w:color w:val="000000" w:themeColor="text1"/>
          <w:spacing w:val="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独刻制）。技术文字材料竣工档案（纸质件）四套；电子件四套（单独刻制</w:t>
      </w:r>
      <w:r>
        <w:rPr>
          <w:rFonts w:hint="eastAsia" w:ascii="仿宋" w:hAnsi="仿宋" w:eastAsia="仿宋" w:cs="仿宋"/>
          <w:color w:val="000000" w:themeColor="text1"/>
          <w:spacing w:val="-69"/>
          <w:sz w:val="24"/>
          <w:szCs w:val="24"/>
          <w:highlight w:val="none"/>
          <w14:textFill>
            <w14:solidFill>
              <w14:schemeClr w14:val="tx1"/>
            </w14:solidFill>
          </w14:textFill>
        </w:rPr>
        <w:t>）；</w:t>
      </w:r>
      <w:r>
        <w:rPr>
          <w:rFonts w:hint="eastAsia" w:ascii="仿宋" w:hAnsi="仿宋" w:eastAsia="仿宋" w:cs="仿宋"/>
          <w:color w:val="000000" w:themeColor="text1"/>
          <w:spacing w:val="-6"/>
          <w:sz w:val="24"/>
          <w:szCs w:val="24"/>
          <w:highlight w:val="none"/>
          <w14:textFill>
            <w14:solidFill>
              <w14:schemeClr w14:val="tx1"/>
            </w14:solidFill>
          </w14:textFill>
        </w:rPr>
        <w:t>其</w:t>
      </w:r>
      <w:r>
        <w:rPr>
          <w:rFonts w:hint="eastAsia" w:ascii="仿宋" w:hAnsi="仿宋" w:eastAsia="仿宋" w:cs="仿宋"/>
          <w:color w:val="000000" w:themeColor="text1"/>
          <w:spacing w:val="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中合格证及试验检验报告因无电子件，需扫描电子件。</w:t>
      </w:r>
    </w:p>
    <w:p w14:paraId="46C6AE8E">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 xml:space="preserve">承包人需要提交的竣工资料套数： 完整、规范、准确、系统的工程竣工档案（含竣工图、影像档案、及资料扫描件）一式四套（含施工阶段 </w:t>
      </w:r>
      <w:r>
        <w:rPr>
          <w:rFonts w:hint="eastAsia" w:ascii="仿宋" w:hAnsi="仿宋" w:eastAsia="仿宋" w:cs="仿宋"/>
          <w:color w:val="000000" w:themeColor="text1"/>
          <w:sz w:val="24"/>
          <w:szCs w:val="24"/>
          <w:highlight w:val="none"/>
          <w14:textFill>
            <w14:solidFill>
              <w14:schemeClr w14:val="tx1"/>
            </w14:solidFill>
          </w14:textFill>
        </w:rPr>
        <w:t>BIM</w:t>
      </w:r>
      <w:r>
        <w:rPr>
          <w:rFonts w:hint="eastAsia" w:ascii="仿宋" w:hAnsi="仿宋" w:eastAsia="仿宋" w:cs="仿宋"/>
          <w:color w:val="000000" w:themeColor="text1"/>
          <w:spacing w:val="2"/>
          <w:sz w:val="24"/>
          <w:szCs w:val="24"/>
          <w:highlight w:val="none"/>
          <w14:textFill>
            <w14:solidFill>
              <w14:schemeClr w14:val="tx1"/>
            </w14:solidFill>
          </w14:textFill>
        </w:rPr>
        <w:t>成果文</w:t>
      </w:r>
      <w:r>
        <w:rPr>
          <w:rFonts w:hint="eastAsia" w:ascii="仿宋" w:hAnsi="仿宋" w:eastAsia="仿宋" w:cs="仿宋"/>
          <w:color w:val="000000" w:themeColor="text1"/>
          <w:spacing w:val="-13"/>
          <w:sz w:val="24"/>
          <w:szCs w:val="24"/>
          <w:highlight w:val="none"/>
          <w14:textFill>
            <w14:solidFill>
              <w14:schemeClr w14:val="tx1"/>
            </w14:solidFill>
          </w14:textFill>
        </w:rPr>
        <w:t>件</w:t>
      </w:r>
      <w:r>
        <w:rPr>
          <w:rFonts w:hint="eastAsia" w:ascii="仿宋" w:hAnsi="仿宋" w:eastAsia="仿宋" w:cs="仿宋"/>
          <w:color w:val="000000" w:themeColor="text1"/>
          <w:spacing w:val="-28"/>
          <w:sz w:val="24"/>
          <w:szCs w:val="24"/>
          <w:highlight w:val="none"/>
          <w14:textFill>
            <w14:solidFill>
              <w14:schemeClr w14:val="tx1"/>
            </w14:solidFill>
          </w14:textFill>
        </w:rPr>
        <w:t>），</w:t>
      </w:r>
      <w:r>
        <w:rPr>
          <w:rFonts w:hint="eastAsia" w:ascii="仿宋" w:hAnsi="仿宋" w:eastAsia="仿宋" w:cs="仿宋"/>
          <w:color w:val="000000" w:themeColor="text1"/>
          <w:spacing w:val="-13"/>
          <w:sz w:val="24"/>
          <w:szCs w:val="24"/>
          <w:highlight w:val="none"/>
          <w14:textFill>
            <w14:solidFill>
              <w14:schemeClr w14:val="tx1"/>
            </w14:solidFill>
          </w14:textFill>
        </w:rPr>
        <w:t>及电子光盘四套 。</w:t>
      </w:r>
    </w:p>
    <w:p w14:paraId="5EF9B8A7">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承包人提交的竣工资料的费用承担：</w:t>
      </w:r>
      <w:r>
        <w:rPr>
          <w:rFonts w:hint="eastAsia" w:ascii="仿宋" w:hAnsi="仿宋" w:eastAsia="仿宋" w:cs="仿宋"/>
          <w:color w:val="000000" w:themeColor="text1"/>
          <w:spacing w:val="4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由承包人承担</w:t>
      </w:r>
      <w:r>
        <w:rPr>
          <w:rFonts w:hint="eastAsia" w:ascii="仿宋" w:hAnsi="仿宋" w:eastAsia="仿宋" w:cs="仿宋"/>
          <w:color w:val="000000" w:themeColor="text1"/>
          <w:spacing w:val="-2"/>
          <w:sz w:val="24"/>
          <w:szCs w:val="24"/>
          <w:highlight w:val="none"/>
          <w14:textFill>
            <w14:solidFill>
              <w14:schemeClr w14:val="tx1"/>
            </w14:solidFill>
          </w14:textFill>
        </w:rPr>
        <w:t xml:space="preserve"> </w:t>
      </w:r>
    </w:p>
    <w:p w14:paraId="3FB9E9A8">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 xml:space="preserve">承包人提交的竣工资料移交时间：  </w:t>
      </w:r>
      <w:r>
        <w:rPr>
          <w:rFonts w:hint="eastAsia" w:ascii="仿宋" w:hAnsi="仿宋" w:eastAsia="仿宋" w:cs="仿宋"/>
          <w:color w:val="000000" w:themeColor="text1"/>
          <w:spacing w:val="-3"/>
          <w:sz w:val="24"/>
          <w:szCs w:val="24"/>
          <w:highlight w:val="none"/>
          <w:u w:val="single"/>
          <w14:textFill>
            <w14:solidFill>
              <w14:schemeClr w14:val="tx1"/>
            </w14:solidFill>
          </w14:textFill>
        </w:rPr>
        <w:t>工程竣工验收合格后</w:t>
      </w:r>
      <w:r>
        <w:rPr>
          <w:rFonts w:hint="eastAsia" w:ascii="仿宋" w:hAnsi="仿宋" w:eastAsia="仿宋" w:cs="仿宋"/>
          <w:color w:val="000000" w:themeColor="text1"/>
          <w:spacing w:val="-2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u w:val="single"/>
          <w14:textFill>
            <w14:solidFill>
              <w14:schemeClr w14:val="tx1"/>
            </w14:solidFill>
          </w14:textFill>
        </w:rPr>
        <w:t>1</w:t>
      </w:r>
      <w:r>
        <w:rPr>
          <w:rFonts w:hint="eastAsia" w:ascii="仿宋" w:hAnsi="仿宋" w:eastAsia="仿宋" w:cs="仿宋"/>
          <w:color w:val="000000" w:themeColor="text1"/>
          <w:spacing w:val="-57"/>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u w:val="single"/>
          <w14:textFill>
            <w14:solidFill>
              <w14:schemeClr w14:val="tx1"/>
            </w14:solidFill>
          </w14:textFill>
        </w:rPr>
        <w:t>个月内</w:t>
      </w:r>
    </w:p>
    <w:p w14:paraId="5156DC3C">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 xml:space="preserve">承包人提交的竣工资料形式要求： </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书面和电子文档   </w:t>
      </w:r>
    </w:p>
    <w:p w14:paraId="316C7BF4">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承包人应履行的其他义务：配合发包人办理项目前期手续；配合发包</w:t>
      </w:r>
      <w:r>
        <w:rPr>
          <w:rFonts w:hint="eastAsia" w:ascii="仿宋" w:hAnsi="仿宋" w:eastAsia="仿宋" w:cs="仿宋"/>
          <w:color w:val="000000" w:themeColor="text1"/>
          <w:spacing w:val="-3"/>
          <w:sz w:val="24"/>
          <w:szCs w:val="24"/>
          <w:highlight w:val="none"/>
          <w14:textFill>
            <w14:solidFill>
              <w14:schemeClr w14:val="tx1"/>
            </w14:solidFill>
          </w14:textFill>
        </w:rPr>
        <w:t>人办理</w:t>
      </w:r>
      <w:r>
        <w:rPr>
          <w:rFonts w:hint="eastAsia" w:ascii="仿宋" w:hAnsi="仿宋" w:eastAsia="仿宋" w:cs="仿宋"/>
          <w:color w:val="000000" w:themeColor="text1"/>
          <w:spacing w:val="-2"/>
          <w:sz w:val="24"/>
          <w:szCs w:val="24"/>
          <w:highlight w:val="none"/>
          <w14:textFill>
            <w14:solidFill>
              <w14:schemeClr w14:val="tx1"/>
            </w14:solidFill>
          </w14:textFill>
        </w:rPr>
        <w:t>施工过程所需手续；配合发包人办理竣工验收手续；配合发包人办理其他相关手</w:t>
      </w:r>
      <w:r>
        <w:rPr>
          <w:rFonts w:hint="eastAsia" w:ascii="仿宋" w:hAnsi="仿宋" w:eastAsia="仿宋" w:cs="仿宋"/>
          <w:color w:val="000000" w:themeColor="text1"/>
          <w:spacing w:val="-3"/>
          <w:sz w:val="24"/>
          <w:szCs w:val="24"/>
          <w:highlight w:val="none"/>
          <w14:textFill>
            <w14:solidFill>
              <w14:schemeClr w14:val="tx1"/>
            </w14:solidFill>
          </w14:textFill>
        </w:rPr>
        <w:t>续；配合费用均含在合同价中。</w:t>
      </w:r>
    </w:p>
    <w:p w14:paraId="12625338">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3.2</w:t>
      </w:r>
      <w:r>
        <w:rPr>
          <w:rFonts w:hint="eastAsia" w:ascii="仿宋" w:hAnsi="仿宋" w:eastAsia="仿宋" w:cs="仿宋"/>
          <w:color w:val="000000" w:themeColor="text1"/>
          <w:spacing w:val="2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项目经理</w:t>
      </w:r>
    </w:p>
    <w:p w14:paraId="7DD23BC5">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3.2.1 项目经理：</w:t>
      </w:r>
    </w:p>
    <w:p w14:paraId="72A5F6C5">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9"/>
          <w:sz w:val="24"/>
          <w:szCs w:val="24"/>
          <w:highlight w:val="none"/>
          <w14:textFill>
            <w14:solidFill>
              <w14:schemeClr w14:val="tx1"/>
            </w14:solidFill>
          </w14:textFill>
        </w:rPr>
        <w:t>姓</w:t>
      </w:r>
      <w:r>
        <w:rPr>
          <w:rFonts w:hint="eastAsia" w:ascii="仿宋" w:hAnsi="仿宋" w:eastAsia="仿宋" w:cs="仿宋"/>
          <w:color w:val="000000" w:themeColor="text1"/>
          <w:spacing w:val="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9"/>
          <w:sz w:val="24"/>
          <w:szCs w:val="24"/>
          <w:highlight w:val="none"/>
          <w14:textFill>
            <w14:solidFill>
              <w14:schemeClr w14:val="tx1"/>
            </w14:solidFill>
          </w14:textFill>
        </w:rPr>
        <w:t>名</w:t>
      </w:r>
      <w:r>
        <w:rPr>
          <w:rFonts w:hint="eastAsia" w:ascii="仿宋" w:hAnsi="仿宋" w:eastAsia="仿宋" w:cs="仿宋"/>
          <w:color w:val="000000" w:themeColor="text1"/>
          <w:spacing w:val="-4"/>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w:t>
      </w:r>
    </w:p>
    <w:p w14:paraId="0B8BA203">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身份证号</w:t>
      </w:r>
      <w:r>
        <w:rPr>
          <w:rFonts w:hint="eastAsia" w:ascii="仿宋" w:hAnsi="仿宋" w:eastAsia="仿宋" w:cs="仿宋"/>
          <w:color w:val="000000" w:themeColor="text1"/>
          <w:spacing w:val="-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0AD980E9">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建造师执业资格等级</w:t>
      </w:r>
      <w:r>
        <w:rPr>
          <w:rFonts w:hint="eastAsia" w:ascii="仿宋" w:hAnsi="仿宋" w:eastAsia="仿宋" w:cs="仿宋"/>
          <w:color w:val="000000" w:themeColor="text1"/>
          <w:spacing w:val="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1022B941">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建造师注册证书号</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156A774A">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建造师执业印章号</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3B1310DB">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安全生产考核合格证书号</w:t>
      </w:r>
      <w:r>
        <w:rPr>
          <w:rFonts w:hint="eastAsia" w:ascii="仿宋" w:hAnsi="仿宋" w:eastAsia="仿宋" w:cs="仿宋"/>
          <w:color w:val="000000" w:themeColor="text1"/>
          <w:spacing w:val="2"/>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w:t>
      </w:r>
    </w:p>
    <w:p w14:paraId="1F76826D">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联系电话</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2DD2D007">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1"/>
          <w:sz w:val="24"/>
          <w:szCs w:val="24"/>
          <w:highlight w:val="none"/>
          <w14:textFill>
            <w14:solidFill>
              <w14:schemeClr w14:val="tx1"/>
            </w14:solidFill>
          </w14:textFill>
        </w:rPr>
        <w:t>电子信箱</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1E6728E2">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通信地址</w:t>
      </w:r>
      <w:r>
        <w:rPr>
          <w:rFonts w:hint="eastAsia" w:ascii="仿宋" w:hAnsi="仿宋" w:eastAsia="仿宋" w:cs="仿宋"/>
          <w:color w:val="000000" w:themeColor="text1"/>
          <w:spacing w:val="-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2F58E527">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承包人对项目经理的授权范围如下：</w:t>
      </w:r>
      <w:r>
        <w:rPr>
          <w:rFonts w:hint="eastAsia" w:ascii="仿宋" w:hAnsi="仿宋" w:eastAsia="仿宋" w:cs="仿宋"/>
          <w:color w:val="000000" w:themeColor="text1"/>
          <w:spacing w:val="-1"/>
          <w:sz w:val="24"/>
          <w:szCs w:val="24"/>
          <w:highlight w:val="none"/>
          <w:u w:val="single"/>
          <w14:textFill>
            <w14:solidFill>
              <w14:schemeClr w14:val="tx1"/>
            </w14:solidFill>
          </w14:textFill>
        </w:rPr>
        <w:t>执行通用条款</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46A6CF24">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pacing w:val="-1"/>
          <w:sz w:val="24"/>
          <w:szCs w:val="24"/>
          <w:highlight w:val="none"/>
          <w:u w:val="singl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关于项目经理每月在施工现场的时间要求：</w:t>
      </w:r>
      <w:r>
        <w:rPr>
          <w:rFonts w:hint="eastAsia" w:ascii="仿宋" w:hAnsi="仿宋" w:eastAsia="仿宋" w:cs="仿宋"/>
          <w:color w:val="000000" w:themeColor="text1"/>
          <w:spacing w:val="-2"/>
          <w:sz w:val="24"/>
          <w:szCs w:val="24"/>
          <w:highlight w:val="none"/>
          <w:u w:val="single"/>
          <w14:textFill>
            <w14:solidFill>
              <w14:schemeClr w14:val="tx1"/>
            </w14:solidFill>
          </w14:textFill>
        </w:rPr>
        <w:t>总承包项目经理在施</w:t>
      </w:r>
      <w:r>
        <w:rPr>
          <w:rFonts w:hint="eastAsia" w:ascii="仿宋" w:hAnsi="仿宋" w:eastAsia="仿宋" w:cs="仿宋"/>
          <w:color w:val="000000" w:themeColor="text1"/>
          <w:spacing w:val="-3"/>
          <w:sz w:val="24"/>
          <w:szCs w:val="24"/>
          <w:highlight w:val="none"/>
          <w:u w:val="single"/>
          <w14:textFill>
            <w14:solidFill>
              <w14:schemeClr w14:val="tx1"/>
            </w14:solidFill>
          </w14:textFill>
        </w:rPr>
        <w:t>工期间必须</w:t>
      </w:r>
      <w:r>
        <w:rPr>
          <w:rFonts w:hint="eastAsia" w:ascii="仿宋" w:hAnsi="仿宋" w:eastAsia="仿宋" w:cs="仿宋"/>
          <w:color w:val="000000" w:themeColor="text1"/>
          <w:spacing w:val="-2"/>
          <w:sz w:val="24"/>
          <w:szCs w:val="24"/>
          <w:highlight w:val="none"/>
          <w:u w:val="single"/>
          <w14:textFill>
            <w14:solidFill>
              <w14:schemeClr w14:val="tx1"/>
            </w14:solidFill>
          </w14:textFill>
        </w:rPr>
        <w:t>在现场，如因特殊情况需履行请假手续，否则，按照不履行</w:t>
      </w:r>
      <w:r>
        <w:rPr>
          <w:rFonts w:hint="eastAsia" w:ascii="仿宋" w:hAnsi="仿宋" w:eastAsia="仿宋" w:cs="仿宋"/>
          <w:color w:val="000000" w:themeColor="text1"/>
          <w:spacing w:val="-2"/>
          <w:sz w:val="24"/>
          <w:szCs w:val="24"/>
          <w:highlight w:val="none"/>
          <w:u w:val="single"/>
          <w:lang w:val="en-US" w:eastAsia="zh-CN"/>
          <w14:textFill>
            <w14:solidFill>
              <w14:schemeClr w14:val="tx1"/>
            </w14:solidFill>
          </w14:textFill>
        </w:rPr>
        <w:t>竞争性磋商</w:t>
      </w:r>
      <w:r>
        <w:rPr>
          <w:rFonts w:hint="eastAsia" w:ascii="仿宋" w:hAnsi="仿宋" w:eastAsia="仿宋" w:cs="仿宋"/>
          <w:color w:val="000000" w:themeColor="text1"/>
          <w:spacing w:val="-2"/>
          <w:sz w:val="24"/>
          <w:szCs w:val="24"/>
          <w:highlight w:val="none"/>
          <w:u w:val="single"/>
          <w14:textFill>
            <w14:solidFill>
              <w14:schemeClr w14:val="tx1"/>
            </w14:solidFill>
          </w14:textFill>
        </w:rPr>
        <w:t>文件及合同约定发包人要求承包人缴纳违约金</w:t>
      </w:r>
      <w:r>
        <w:rPr>
          <w:rFonts w:hint="eastAsia" w:ascii="仿宋" w:hAnsi="仿宋" w:eastAsia="仿宋" w:cs="仿宋"/>
          <w:color w:val="000000" w:themeColor="text1"/>
          <w:spacing w:val="-2"/>
          <w:sz w:val="24"/>
          <w:szCs w:val="24"/>
          <w:highlight w:val="none"/>
          <w:u w:val="single"/>
          <w:lang w:val="en-US" w:eastAsia="zh-CN"/>
          <w14:textFill>
            <w14:solidFill>
              <w14:schemeClr w14:val="tx1"/>
            </w14:solidFill>
          </w14:textFill>
        </w:rPr>
        <w:t>0.5</w:t>
      </w:r>
      <w:r>
        <w:rPr>
          <w:rFonts w:hint="eastAsia" w:ascii="仿宋" w:hAnsi="仿宋" w:eastAsia="仿宋" w:cs="仿宋"/>
          <w:color w:val="000000" w:themeColor="text1"/>
          <w:spacing w:val="-2"/>
          <w:sz w:val="24"/>
          <w:szCs w:val="24"/>
          <w:highlight w:val="none"/>
          <w:u w:val="single"/>
          <w14:textFill>
            <w14:solidFill>
              <w14:schemeClr w14:val="tx1"/>
            </w14:solidFill>
          </w14:textFill>
        </w:rPr>
        <w:t>万元/天；每月累计在场时间不足</w:t>
      </w:r>
      <w:r>
        <w:rPr>
          <w:rFonts w:hint="eastAsia" w:ascii="仿宋" w:hAnsi="仿宋" w:eastAsia="仿宋" w:cs="仿宋"/>
          <w:color w:val="000000" w:themeColor="text1"/>
          <w:spacing w:val="-4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18</w:t>
      </w:r>
      <w:r>
        <w:rPr>
          <w:rFonts w:hint="eastAsia" w:ascii="仿宋" w:hAnsi="仿宋" w:eastAsia="仿宋" w:cs="仿宋"/>
          <w:color w:val="000000" w:themeColor="text1"/>
          <w:spacing w:val="-55"/>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天的，发包</w:t>
      </w:r>
      <w:r>
        <w:rPr>
          <w:rFonts w:hint="eastAsia" w:ascii="仿宋" w:hAnsi="仿宋" w:eastAsia="仿宋" w:cs="仿宋"/>
          <w:color w:val="000000" w:themeColor="text1"/>
          <w:spacing w:val="-1"/>
          <w:sz w:val="24"/>
          <w:szCs w:val="24"/>
          <w:highlight w:val="none"/>
          <w:u w:val="single"/>
          <w14:textFill>
            <w14:solidFill>
              <w14:schemeClr w14:val="tx1"/>
            </w14:solidFill>
          </w14:textFill>
        </w:rPr>
        <w:t>人可视为承包人擅自更换项目经理，要求承包人承担合同价</w:t>
      </w:r>
      <w:r>
        <w:rPr>
          <w:rFonts w:hint="eastAsia" w:ascii="仿宋" w:hAnsi="仿宋" w:eastAsia="仿宋" w:cs="仿宋"/>
          <w:color w:val="000000" w:themeColor="text1"/>
          <w:spacing w:val="-36"/>
          <w:sz w:val="24"/>
          <w:szCs w:val="24"/>
          <w:highlight w:val="none"/>
          <w:u w:val="single"/>
          <w:lang w:val="en-US" w:eastAsia="zh-CN"/>
          <w14:textFill>
            <w14:solidFill>
              <w14:schemeClr w14:val="tx1"/>
            </w14:solidFill>
          </w14:textFill>
        </w:rPr>
        <w:t>3</w:t>
      </w:r>
      <w:r>
        <w:rPr>
          <w:rFonts w:hint="eastAsia" w:ascii="仿宋" w:hAnsi="仿宋" w:eastAsia="仿宋" w:cs="仿宋"/>
          <w:color w:val="000000" w:themeColor="text1"/>
          <w:spacing w:val="-36"/>
          <w:sz w:val="24"/>
          <w:szCs w:val="24"/>
          <w:highlight w:val="none"/>
          <w:u w:val="single"/>
          <w14:textFill>
            <w14:solidFill>
              <w14:schemeClr w14:val="tx1"/>
            </w14:solidFill>
          </w14:textFill>
        </w:rPr>
        <w:t>万元</w:t>
      </w:r>
      <w:r>
        <w:rPr>
          <w:rFonts w:hint="eastAsia" w:ascii="仿宋" w:hAnsi="仿宋" w:eastAsia="仿宋" w:cs="仿宋"/>
          <w:color w:val="000000" w:themeColor="text1"/>
          <w:spacing w:val="-2"/>
          <w:sz w:val="24"/>
          <w:szCs w:val="24"/>
          <w:highlight w:val="none"/>
          <w:u w:val="single"/>
          <w14:textFill>
            <w14:solidFill>
              <w14:schemeClr w14:val="tx1"/>
            </w14:solidFill>
          </w14:textFill>
        </w:rPr>
        <w:t>的违约金，并解</w:t>
      </w:r>
      <w:r>
        <w:rPr>
          <w:rFonts w:hint="eastAsia" w:ascii="仿宋" w:hAnsi="仿宋" w:eastAsia="仿宋" w:cs="仿宋"/>
          <w:color w:val="000000" w:themeColor="text1"/>
          <w:spacing w:val="2"/>
          <w:sz w:val="24"/>
          <w:szCs w:val="24"/>
          <w:highlight w:val="none"/>
          <w:u w:val="single"/>
          <w14:textFill>
            <w14:solidFill>
              <w14:schemeClr w14:val="tx1"/>
            </w14:solidFill>
          </w14:textFill>
        </w:rPr>
        <w:t>除合同，没收履约保证金。</w:t>
      </w:r>
      <w:r>
        <w:rPr>
          <w:rFonts w:hint="eastAsia" w:ascii="仿宋" w:hAnsi="仿宋" w:eastAsia="仿宋" w:cs="仿宋"/>
          <w:color w:val="000000" w:themeColor="text1"/>
          <w:spacing w:val="-1"/>
          <w:sz w:val="24"/>
          <w:szCs w:val="24"/>
          <w:highlight w:val="none"/>
          <w:u w:val="single"/>
          <w14:textFill>
            <w14:solidFill>
              <w14:schemeClr w14:val="tx1"/>
            </w14:solidFill>
          </w14:textFill>
        </w:rPr>
        <w:t>承包人未提交劳动合同， 以及没有为项目经理缴纳社会保险证明的违约责任：向业主缴纳违约金</w:t>
      </w:r>
      <w:r>
        <w:rPr>
          <w:rFonts w:hint="eastAsia" w:ascii="仿宋" w:hAnsi="仿宋" w:eastAsia="仿宋" w:cs="仿宋"/>
          <w:color w:val="000000" w:themeColor="text1"/>
          <w:spacing w:val="-1"/>
          <w:sz w:val="24"/>
          <w:szCs w:val="24"/>
          <w:highlight w:val="none"/>
          <w:u w:val="single"/>
          <w:lang w:val="en-US" w:eastAsia="zh-CN"/>
          <w14:textFill>
            <w14:solidFill>
              <w14:schemeClr w14:val="tx1"/>
            </w14:solidFill>
          </w14:textFill>
        </w:rPr>
        <w:t>2</w:t>
      </w:r>
      <w:r>
        <w:rPr>
          <w:rFonts w:hint="eastAsia" w:ascii="仿宋" w:hAnsi="仿宋" w:eastAsia="仿宋" w:cs="仿宋"/>
          <w:color w:val="000000" w:themeColor="text1"/>
          <w:spacing w:val="-1"/>
          <w:sz w:val="24"/>
          <w:szCs w:val="24"/>
          <w:highlight w:val="none"/>
          <w:u w:val="single"/>
          <w14:textFill>
            <w14:solidFill>
              <w14:schemeClr w14:val="tx1"/>
            </w14:solidFill>
          </w14:textFill>
        </w:rPr>
        <w:t>万元，责令限期提交劳动合同并补缴社会保险。</w:t>
      </w:r>
    </w:p>
    <w:p w14:paraId="4AC78EA5">
      <w:pPr>
        <w:keepNext w:val="0"/>
        <w:keepLines w:val="0"/>
        <w:pageBreakBefore w:val="0"/>
        <w:widowControl w:val="0"/>
        <w:kinsoku/>
        <w:wordWrap/>
        <w:overflowPunct/>
        <w:topLinePunct w:val="0"/>
        <w:autoSpaceDE/>
        <w:autoSpaceDN/>
        <w:bidi w:val="0"/>
        <w:snapToGrid/>
        <w:spacing w:line="360" w:lineRule="auto"/>
        <w:ind w:left="0" w:leftChars="0" w:right="0" w:rightChars="0" w:firstLine="56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项目经理未经批准，擅自离开施工现场的违约责任：</w:t>
      </w:r>
      <w:r>
        <w:rPr>
          <w:rFonts w:hint="eastAsia" w:ascii="仿宋" w:hAnsi="仿宋" w:eastAsia="仿宋" w:cs="仿宋"/>
          <w:color w:val="000000" w:themeColor="text1"/>
          <w:spacing w:val="-2"/>
          <w:sz w:val="24"/>
          <w:szCs w:val="24"/>
          <w:highlight w:val="none"/>
          <w:u w:val="single"/>
          <w14:textFill>
            <w14:solidFill>
              <w14:schemeClr w14:val="tx1"/>
            </w14:solidFill>
          </w14:textFill>
        </w:rPr>
        <w:t>项目经理</w:t>
      </w:r>
      <w:r>
        <w:rPr>
          <w:rFonts w:hint="eastAsia" w:ascii="仿宋" w:hAnsi="仿宋" w:eastAsia="仿宋" w:cs="仿宋"/>
          <w:color w:val="000000" w:themeColor="text1"/>
          <w:spacing w:val="-3"/>
          <w:sz w:val="24"/>
          <w:szCs w:val="24"/>
          <w:highlight w:val="none"/>
          <w:u w:val="single"/>
          <w14:textFill>
            <w14:solidFill>
              <w14:schemeClr w14:val="tx1"/>
            </w14:solidFill>
          </w14:textFill>
        </w:rPr>
        <w:t>未经批准擅自</w:t>
      </w:r>
      <w:r>
        <w:rPr>
          <w:rFonts w:hint="eastAsia" w:ascii="仿宋" w:hAnsi="仿宋" w:eastAsia="仿宋" w:cs="仿宋"/>
          <w:color w:val="000000" w:themeColor="text1"/>
          <w:spacing w:val="-2"/>
          <w:sz w:val="24"/>
          <w:szCs w:val="24"/>
          <w:highlight w:val="none"/>
          <w:u w:val="single"/>
          <w14:textFill>
            <w14:solidFill>
              <w14:schemeClr w14:val="tx1"/>
            </w14:solidFill>
          </w14:textFill>
        </w:rPr>
        <w:t>离场（正常休息日也须履行请假手续）超过 24 小时的，发包人有权要求承包人</w:t>
      </w:r>
      <w:r>
        <w:rPr>
          <w:rFonts w:hint="eastAsia" w:ascii="仿宋" w:hAnsi="仿宋" w:eastAsia="仿宋" w:cs="仿宋"/>
          <w:color w:val="000000" w:themeColor="text1"/>
          <w:spacing w:val="-4"/>
          <w:sz w:val="24"/>
          <w:szCs w:val="24"/>
          <w:highlight w:val="none"/>
          <w:u w:val="single"/>
          <w14:textFill>
            <w14:solidFill>
              <w14:schemeClr w14:val="tx1"/>
            </w14:solidFill>
          </w14:textFill>
        </w:rPr>
        <w:t>缴纳违约金</w:t>
      </w:r>
      <w:r>
        <w:rPr>
          <w:rFonts w:hint="eastAsia" w:ascii="仿宋" w:hAnsi="仿宋" w:eastAsia="仿宋" w:cs="仿宋"/>
          <w:color w:val="000000" w:themeColor="text1"/>
          <w:spacing w:val="-53"/>
          <w:sz w:val="24"/>
          <w:szCs w:val="24"/>
          <w:highlight w:val="none"/>
          <w:u w:val="single"/>
          <w:lang w:val="en-US" w:eastAsia="zh-CN"/>
          <w14:textFill>
            <w14:solidFill>
              <w14:schemeClr w14:val="tx1"/>
            </w14:solidFill>
          </w14:textFill>
        </w:rPr>
        <w:t>0.5</w:t>
      </w:r>
      <w:r>
        <w:rPr>
          <w:rFonts w:hint="eastAsia" w:ascii="仿宋" w:hAnsi="仿宋" w:eastAsia="仿宋" w:cs="仿宋"/>
          <w:color w:val="000000" w:themeColor="text1"/>
          <w:spacing w:val="-4"/>
          <w:sz w:val="24"/>
          <w:szCs w:val="24"/>
          <w:highlight w:val="none"/>
          <w:u w:val="single"/>
          <w14:textFill>
            <w14:solidFill>
              <w14:schemeClr w14:val="tx1"/>
            </w14:solidFill>
          </w14:textFill>
        </w:rPr>
        <w:t>万元/天</w:t>
      </w:r>
      <w:r>
        <w:rPr>
          <w:rFonts w:hint="eastAsia" w:ascii="仿宋" w:hAnsi="仿宋" w:eastAsia="仿宋" w:cs="仿宋"/>
          <w:color w:val="000000" w:themeColor="text1"/>
          <w:spacing w:val="-4"/>
          <w:sz w:val="24"/>
          <w:szCs w:val="24"/>
          <w:highlight w:val="none"/>
          <w14:textFill>
            <w14:solidFill>
              <w14:schemeClr w14:val="tx1"/>
            </w14:solidFill>
          </w14:textFill>
        </w:rPr>
        <w:t>。</w:t>
      </w:r>
    </w:p>
    <w:p w14:paraId="29C8AAB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72"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3.2.3 承包人擅自更换项目经理的违约责任：</w:t>
      </w:r>
      <w:r>
        <w:rPr>
          <w:rFonts w:hint="eastAsia" w:ascii="仿宋" w:hAnsi="仿宋" w:eastAsia="仿宋" w:cs="仿宋"/>
          <w:color w:val="000000" w:themeColor="text1"/>
          <w:spacing w:val="-2"/>
          <w:sz w:val="24"/>
          <w:szCs w:val="24"/>
          <w:highlight w:val="none"/>
          <w:u w:val="single"/>
          <w14:textFill>
            <w14:solidFill>
              <w14:schemeClr w14:val="tx1"/>
            </w14:solidFill>
          </w14:textFill>
        </w:rPr>
        <w:t>擅自更换项目负责人需向业主缴纳合同价的</w:t>
      </w:r>
      <w:r>
        <w:rPr>
          <w:rFonts w:hint="eastAsia" w:ascii="仿宋" w:hAnsi="仿宋" w:eastAsia="仿宋" w:cs="仿宋"/>
          <w:color w:val="000000" w:themeColor="text1"/>
          <w:spacing w:val="-2"/>
          <w:sz w:val="24"/>
          <w:szCs w:val="24"/>
          <w:highlight w:val="none"/>
          <w:u w:val="single"/>
          <w:lang w:val="en-US" w:eastAsia="zh-CN"/>
          <w14:textFill>
            <w14:solidFill>
              <w14:schemeClr w14:val="tx1"/>
            </w14:solidFill>
          </w14:textFill>
        </w:rPr>
        <w:t>3</w:t>
      </w:r>
      <w:r>
        <w:rPr>
          <w:rFonts w:hint="eastAsia" w:ascii="仿宋" w:hAnsi="仿宋" w:eastAsia="仿宋" w:cs="仿宋"/>
          <w:color w:val="000000" w:themeColor="text1"/>
          <w:spacing w:val="-2"/>
          <w:sz w:val="24"/>
          <w:szCs w:val="24"/>
          <w:highlight w:val="none"/>
          <w:u w:val="single"/>
          <w14:textFill>
            <w14:solidFill>
              <w14:schemeClr w14:val="tx1"/>
            </w14:solidFill>
          </w14:textFill>
        </w:rPr>
        <w:t>万元违约金，同时发包人有权扣除全部履约保证金，按照不履行招标文件要求和合同约定原因终止合同、予以清场，承包人承担上述违约给发包人造成</w:t>
      </w:r>
      <w:r>
        <w:rPr>
          <w:rFonts w:hint="eastAsia" w:ascii="仿宋" w:hAnsi="仿宋" w:eastAsia="仿宋" w:cs="仿宋"/>
          <w:color w:val="000000" w:themeColor="text1"/>
          <w:spacing w:val="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的一切损失 ；若因特殊原因需更换项目负责人的，由承包人提前 7 日向发包方</w:t>
      </w:r>
      <w:r>
        <w:rPr>
          <w:rFonts w:hint="eastAsia" w:ascii="仿宋" w:hAnsi="仿宋" w:eastAsia="仿宋" w:cs="仿宋"/>
          <w:color w:val="000000" w:themeColor="text1"/>
          <w:spacing w:val="1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提出书面申请，将以资质业绩以及信誉不得低于此项目负责人的人员替换，并报</w:t>
      </w:r>
      <w:r>
        <w:rPr>
          <w:rFonts w:hint="eastAsia" w:ascii="仿宋" w:hAnsi="仿宋" w:eastAsia="仿宋" w:cs="仿宋"/>
          <w:color w:val="000000" w:themeColor="text1"/>
          <w:spacing w:val="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9"/>
          <w:sz w:val="24"/>
          <w:szCs w:val="24"/>
          <w:highlight w:val="none"/>
          <w:u w:val="single"/>
          <w14:textFill>
            <w14:solidFill>
              <w14:schemeClr w14:val="tx1"/>
            </w14:solidFill>
          </w14:textFill>
        </w:rPr>
        <w:t>业主审查，经审查通过，方可更换，同时发包人有权</w:t>
      </w:r>
      <w:r>
        <w:rPr>
          <w:rFonts w:hint="eastAsia" w:ascii="仿宋" w:hAnsi="仿宋" w:eastAsia="仿宋" w:cs="仿宋"/>
          <w:color w:val="000000" w:themeColor="text1"/>
          <w:spacing w:val="-10"/>
          <w:sz w:val="24"/>
          <w:szCs w:val="24"/>
          <w:highlight w:val="none"/>
          <w:u w:val="single"/>
          <w14:textFill>
            <w14:solidFill>
              <w14:schemeClr w14:val="tx1"/>
            </w14:solidFill>
          </w14:textFill>
        </w:rPr>
        <w:t>扣除合同价的</w:t>
      </w:r>
      <w:r>
        <w:rPr>
          <w:rFonts w:hint="eastAsia" w:ascii="仿宋" w:hAnsi="仿宋" w:eastAsia="仿宋" w:cs="仿宋"/>
          <w:color w:val="000000" w:themeColor="text1"/>
          <w:spacing w:val="-36"/>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0"/>
          <w:sz w:val="24"/>
          <w:szCs w:val="24"/>
          <w:highlight w:val="none"/>
          <w:u w:val="single"/>
          <w14:textFill>
            <w14:solidFill>
              <w14:schemeClr w14:val="tx1"/>
            </w14:solidFill>
          </w14:textFill>
        </w:rPr>
        <w:t>1%作为违约金。</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u w:val="single"/>
          <w14:textFill>
            <w14:solidFill>
              <w14:schemeClr w14:val="tx1"/>
            </w14:solidFill>
          </w14:textFill>
        </w:rPr>
        <w:t>在</w:t>
      </w:r>
      <w:r>
        <w:rPr>
          <w:rFonts w:hint="eastAsia" w:ascii="仿宋" w:hAnsi="仿宋" w:eastAsia="仿宋" w:cs="仿宋"/>
          <w:color w:val="000000" w:themeColor="text1"/>
          <w:spacing w:val="-52"/>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u w:val="single"/>
          <w14:textFill>
            <w14:solidFill>
              <w14:schemeClr w14:val="tx1"/>
            </w14:solidFill>
          </w14:textFill>
        </w:rPr>
        <w:t>7 日内更换期间，施工方不得以更换项目经理作为怠工、停工</w:t>
      </w:r>
      <w:r>
        <w:rPr>
          <w:rFonts w:hint="eastAsia" w:ascii="仿宋" w:hAnsi="仿宋" w:eastAsia="仿宋" w:cs="仿宋"/>
          <w:color w:val="000000" w:themeColor="text1"/>
          <w:spacing w:val="-5"/>
          <w:sz w:val="24"/>
          <w:szCs w:val="24"/>
          <w:highlight w:val="none"/>
          <w:u w:val="single"/>
          <w14:textFill>
            <w14:solidFill>
              <w14:schemeClr w14:val="tx1"/>
            </w14:solidFill>
          </w14:textFill>
        </w:rPr>
        <w:t>等的理由，必须</w:t>
      </w:r>
      <w:r>
        <w:rPr>
          <w:rFonts w:hint="eastAsia" w:ascii="仿宋" w:hAnsi="仿宋" w:eastAsia="仿宋" w:cs="仿宋"/>
          <w:color w:val="000000" w:themeColor="text1"/>
          <w:spacing w:val="-7"/>
          <w:sz w:val="24"/>
          <w:szCs w:val="24"/>
          <w:highlight w:val="none"/>
          <w:u w:val="single"/>
          <w14:textFill>
            <w14:solidFill>
              <w14:schemeClr w14:val="tx1"/>
            </w14:solidFill>
          </w14:textFill>
        </w:rPr>
        <w:t>正常施工。由此增加的费用由承包人承担，由此导致工期延误的，工期不予顺延，</w:t>
      </w:r>
      <w:r>
        <w:rPr>
          <w:rFonts w:hint="eastAsia" w:ascii="仿宋" w:hAnsi="仿宋" w:eastAsia="仿宋" w:cs="仿宋"/>
          <w:color w:val="000000" w:themeColor="text1"/>
          <w:spacing w:val="-1"/>
          <w:sz w:val="24"/>
          <w:szCs w:val="24"/>
          <w:highlight w:val="none"/>
          <w:u w:val="single"/>
          <w14:textFill>
            <w14:solidFill>
              <w14:schemeClr w14:val="tx1"/>
            </w14:solidFill>
          </w14:textFill>
        </w:rPr>
        <w:t>延误工期带来的损失由承包人承担</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7EFA16F8">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3.2.4 承包人无正当理由拒绝更换项目经理的违约责任：</w:t>
      </w:r>
      <w:r>
        <w:rPr>
          <w:rFonts w:hint="eastAsia" w:ascii="仿宋" w:hAnsi="仿宋" w:eastAsia="仿宋" w:cs="仿宋"/>
          <w:color w:val="000000" w:themeColor="text1"/>
          <w:spacing w:val="-2"/>
          <w:sz w:val="24"/>
          <w:szCs w:val="24"/>
          <w:highlight w:val="none"/>
          <w:u w:val="single"/>
          <w14:textFill>
            <w14:solidFill>
              <w14:schemeClr w14:val="tx1"/>
            </w14:solidFill>
          </w14:textFill>
        </w:rPr>
        <w:t>需向发包人支付合</w:t>
      </w:r>
      <w:r>
        <w:rPr>
          <w:rFonts w:hint="eastAsia" w:ascii="仿宋" w:hAnsi="仿宋" w:eastAsia="仿宋" w:cs="仿宋"/>
          <w:color w:val="000000" w:themeColor="text1"/>
          <w:spacing w:val="-5"/>
          <w:sz w:val="24"/>
          <w:szCs w:val="24"/>
          <w:highlight w:val="none"/>
          <w:u w:val="single"/>
          <w14:textFill>
            <w14:solidFill>
              <w14:schemeClr w14:val="tx1"/>
            </w14:solidFill>
          </w14:textFill>
        </w:rPr>
        <w:t>同价的</w:t>
      </w:r>
      <w:r>
        <w:rPr>
          <w:rFonts w:hint="eastAsia" w:ascii="仿宋" w:hAnsi="仿宋" w:eastAsia="仿宋" w:cs="仿宋"/>
          <w:color w:val="000000" w:themeColor="text1"/>
          <w:spacing w:val="-24"/>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u w:val="single"/>
          <w14:textFill>
            <w14:solidFill>
              <w14:schemeClr w14:val="tx1"/>
            </w14:solidFill>
          </w14:textFill>
        </w:rPr>
        <w:t>1%作为违约金，同时发包人有权扣除全部履约保证金，终止合同，承包人</w:t>
      </w:r>
      <w:r>
        <w:rPr>
          <w:rFonts w:hint="eastAsia" w:ascii="仿宋" w:hAnsi="仿宋" w:eastAsia="仿宋" w:cs="仿宋"/>
          <w:color w:val="000000" w:themeColor="text1"/>
          <w:spacing w:val="-1"/>
          <w:sz w:val="24"/>
          <w:szCs w:val="24"/>
          <w:highlight w:val="none"/>
          <w:u w:val="single"/>
          <w14:textFill>
            <w14:solidFill>
              <w14:schemeClr w14:val="tx1"/>
            </w14:solidFill>
          </w14:textFill>
        </w:rPr>
        <w:t>承担上述违约给发包人造成的一切损失</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38EFF100">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3.3 承包人人员</w:t>
      </w:r>
    </w:p>
    <w:p w14:paraId="42123178">
      <w:pPr>
        <w:pStyle w:val="9"/>
        <w:keepNext w:val="0"/>
        <w:keepLines w:val="0"/>
        <w:pageBreakBefore w:val="0"/>
        <w:widowControl w:val="0"/>
        <w:kinsoku/>
        <w:wordWrap/>
        <w:overflowPunct/>
        <w:topLinePunct w:val="0"/>
        <w:autoSpaceDE/>
        <w:autoSpaceDN/>
        <w:bidi w:val="0"/>
        <w:snapToGrid/>
        <w:spacing w:after="0"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p>
    <w:p w14:paraId="1D0BD285">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3.3.1 承包人提交项目管理机构及施工现场管理人员安排报告的期限：</w:t>
      </w:r>
      <w:r>
        <w:rPr>
          <w:rFonts w:hint="eastAsia" w:ascii="仿宋" w:hAnsi="仿宋" w:eastAsia="仿宋" w:cs="仿宋"/>
          <w:b/>
          <w:color w:val="000000" w:themeColor="text1"/>
          <w:spacing w:val="-2"/>
          <w:sz w:val="24"/>
          <w:szCs w:val="24"/>
          <w:highlight w:val="none"/>
          <w:u w:val="single"/>
          <w14:textFill>
            <w14:solidFill>
              <w14:schemeClr w14:val="tx1"/>
            </w14:solidFill>
          </w14:textFill>
        </w:rPr>
        <w:t>开工</w:t>
      </w:r>
      <w:r>
        <w:rPr>
          <w:rFonts w:hint="eastAsia" w:ascii="仿宋" w:hAnsi="仿宋" w:eastAsia="仿宋" w:cs="仿宋"/>
          <w:b/>
          <w:color w:val="000000" w:themeColor="text1"/>
          <w:spacing w:val="-1"/>
          <w:sz w:val="24"/>
          <w:szCs w:val="24"/>
          <w:highlight w:val="none"/>
          <w:u w:val="single"/>
          <w14:textFill>
            <w14:solidFill>
              <w14:schemeClr w14:val="tx1"/>
            </w14:solidFill>
          </w14:textFill>
        </w:rPr>
        <w:t>前三天；管理机构及施工现场管理人员必须与投标文件内配备人员一致,不得更换人员,如有特殊原因确需更换的，需经发包人同意，未经发包人同意，在本合同施工工期内擅自更换建造师、技术负责人的，发包人视承包人自动放弃履行合同，有权解除承包合同</w:t>
      </w:r>
      <w:r>
        <w:rPr>
          <w:rFonts w:hint="eastAsia" w:ascii="仿宋" w:hAnsi="仿宋" w:eastAsia="仿宋" w:cs="仿宋"/>
          <w:b/>
          <w:color w:val="000000" w:themeColor="text1"/>
          <w:spacing w:val="-1"/>
          <w:sz w:val="24"/>
          <w:szCs w:val="24"/>
          <w:highlight w:val="none"/>
          <w14:textFill>
            <w14:solidFill>
              <w14:schemeClr w14:val="tx1"/>
            </w14:solidFill>
          </w14:textFill>
        </w:rPr>
        <w:t>。</w:t>
      </w:r>
    </w:p>
    <w:p w14:paraId="60289325">
      <w:pPr>
        <w:keepNext w:val="0"/>
        <w:keepLines w:val="0"/>
        <w:pageBreakBefore w:val="0"/>
        <w:widowControl w:val="0"/>
        <w:tabs>
          <w:tab w:val="left" w:pos="9777"/>
        </w:tabs>
        <w:kinsoku/>
        <w:wordWrap/>
        <w:overflowPunct/>
        <w:topLinePunct w:val="0"/>
        <w:autoSpaceDE/>
        <w:autoSpaceDN/>
        <w:bidi w:val="0"/>
        <w:snapToGrid/>
        <w:spacing w:line="360" w:lineRule="auto"/>
        <w:ind w:left="0" w:leftChars="0" w:right="0" w:rightChars="0" w:firstLine="59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u w:val="single"/>
          <w14:textFill>
            <w14:solidFill>
              <w14:schemeClr w14:val="tx1"/>
            </w14:solidFill>
          </w14:textFill>
        </w:rPr>
        <w:t>承包人的项目管理机构进场期限：总承包项目经理须在开工前</w:t>
      </w:r>
      <w:r>
        <w:rPr>
          <w:rFonts w:hint="eastAsia" w:ascii="仿宋" w:hAnsi="仿宋" w:eastAsia="仿宋" w:cs="仿宋"/>
          <w:color w:val="000000" w:themeColor="text1"/>
          <w:spacing w:val="-4"/>
          <w:sz w:val="24"/>
          <w:szCs w:val="24"/>
          <w:highlight w:val="none"/>
          <w:u w:val="single"/>
          <w14:textFill>
            <w14:solidFill>
              <w14:schemeClr w14:val="tx1"/>
            </w14:solidFill>
          </w14:textFill>
        </w:rPr>
        <w:t>（以工程师下</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u w:val="single"/>
          <w14:textFill>
            <w14:solidFill>
              <w14:schemeClr w14:val="tx1"/>
            </w14:solidFill>
          </w14:textFill>
        </w:rPr>
        <w:t>发的开工令为准）7 日到</w:t>
      </w:r>
      <w:r>
        <w:rPr>
          <w:rFonts w:hint="eastAsia" w:ascii="仿宋" w:hAnsi="仿宋" w:eastAsia="仿宋" w:cs="仿宋"/>
          <w:color w:val="000000" w:themeColor="text1"/>
          <w:spacing w:val="-7"/>
          <w:sz w:val="24"/>
          <w:szCs w:val="24"/>
          <w:highlight w:val="none"/>
          <w:u w:val="single"/>
          <w14:textFill>
            <w14:solidFill>
              <w14:schemeClr w14:val="tx1"/>
            </w14:solidFill>
          </w14:textFill>
        </w:rPr>
        <w:t>有权要求承</w:t>
      </w:r>
      <w:r>
        <w:rPr>
          <w:rFonts w:hint="eastAsia" w:ascii="仿宋" w:hAnsi="仿宋" w:eastAsia="仿宋" w:cs="仿宋"/>
          <w:color w:val="000000" w:themeColor="text1"/>
          <w:spacing w:val="-4"/>
          <w:sz w:val="24"/>
          <w:szCs w:val="24"/>
          <w:highlight w:val="none"/>
          <w:u w:val="single"/>
          <w14:textFill>
            <w14:solidFill>
              <w14:schemeClr w14:val="tx1"/>
            </w14:solidFill>
          </w14:textFill>
        </w:rPr>
        <w:t>岗履职，其余施工单位管理人员</w:t>
      </w:r>
      <w:r>
        <w:rPr>
          <w:rFonts w:hint="eastAsia" w:ascii="仿宋" w:hAnsi="仿宋" w:eastAsia="仿宋" w:cs="仿宋"/>
          <w:color w:val="000000" w:themeColor="text1"/>
          <w:spacing w:val="-5"/>
          <w:sz w:val="24"/>
          <w:szCs w:val="24"/>
          <w:highlight w:val="none"/>
          <w:u w:val="single"/>
          <w14:textFill>
            <w14:solidFill>
              <w14:schemeClr w14:val="tx1"/>
            </w14:solidFill>
          </w14:textFill>
        </w:rPr>
        <w:t>应在项目开工前</w:t>
      </w:r>
      <w:r>
        <w:rPr>
          <w:rFonts w:hint="eastAsia" w:ascii="仿宋" w:hAnsi="仿宋" w:eastAsia="仿宋" w:cs="仿宋"/>
          <w:color w:val="000000" w:themeColor="text1"/>
          <w:spacing w:val="-46"/>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u w:val="single"/>
          <w14:textFill>
            <w14:solidFill>
              <w14:schemeClr w14:val="tx1"/>
            </w14:solidFill>
          </w14:textFill>
        </w:rPr>
        <w:t>3 日到</w:t>
      </w:r>
      <w:r>
        <w:rPr>
          <w:rFonts w:hint="eastAsia" w:ascii="仿宋" w:hAnsi="仿宋" w:eastAsia="仿宋" w:cs="仿宋"/>
          <w:color w:val="000000" w:themeColor="text1"/>
          <w:spacing w:val="-7"/>
          <w:sz w:val="24"/>
          <w:szCs w:val="24"/>
          <w:highlight w:val="none"/>
          <w:u w:val="single"/>
          <w14:textFill>
            <w14:solidFill>
              <w14:schemeClr w14:val="tx1"/>
            </w14:solidFill>
          </w14:textFill>
        </w:rPr>
        <w:t>岗。未按以上时间到岗，发包人包人承担</w:t>
      </w:r>
      <w:r>
        <w:rPr>
          <w:rFonts w:hint="eastAsia" w:ascii="仿宋" w:hAnsi="仿宋" w:eastAsia="仿宋" w:cs="仿宋"/>
          <w:color w:val="000000" w:themeColor="text1"/>
          <w:spacing w:val="-7"/>
          <w:sz w:val="24"/>
          <w:szCs w:val="24"/>
          <w:highlight w:val="none"/>
          <w:u w:val="single"/>
          <w:lang w:val="en-US" w:eastAsia="zh-CN"/>
          <w14:textFill>
            <w14:solidFill>
              <w14:schemeClr w14:val="tx1"/>
            </w14:solidFill>
          </w14:textFill>
        </w:rPr>
        <w:t>1000</w:t>
      </w:r>
      <w:r>
        <w:rPr>
          <w:rFonts w:hint="eastAsia" w:ascii="仿宋" w:hAnsi="仿宋" w:eastAsia="仿宋" w:cs="仿宋"/>
          <w:color w:val="000000" w:themeColor="text1"/>
          <w:spacing w:val="-7"/>
          <w:sz w:val="24"/>
          <w:szCs w:val="24"/>
          <w:highlight w:val="none"/>
          <w:u w:val="single"/>
          <w14:textFill>
            <w14:solidFill>
              <w14:schemeClr w14:val="tx1"/>
            </w14:solidFill>
          </w14:textFill>
        </w:rPr>
        <w:t xml:space="preserve"> 元/人/天的违约金，</w:t>
      </w:r>
      <w:r>
        <w:rPr>
          <w:rFonts w:hint="eastAsia" w:ascii="仿宋" w:hAnsi="仿宋" w:eastAsia="仿宋" w:cs="仿宋"/>
          <w:color w:val="000000" w:themeColor="text1"/>
          <w:spacing w:val="-2"/>
          <w:sz w:val="24"/>
          <w:szCs w:val="24"/>
          <w:highlight w:val="none"/>
          <w:u w:val="single"/>
          <w14:textFill>
            <w14:solidFill>
              <w14:schemeClr w14:val="tx1"/>
            </w14:solidFill>
          </w14:textFill>
        </w:rPr>
        <w:t>若总承包项目经理未按约定时间到岗超过 10 日以上，发包人可视为承包人明确</w:t>
      </w:r>
    </w:p>
    <w:p w14:paraId="1D21046A">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u w:val="single"/>
          <w14:textFill>
            <w14:solidFill>
              <w14:schemeClr w14:val="tx1"/>
            </w14:solidFill>
          </w14:textFill>
        </w:rPr>
        <w:t>表示或者以其行为表明不履行合同主要义务，有权解除</w:t>
      </w:r>
      <w:r>
        <w:rPr>
          <w:rFonts w:hint="eastAsia" w:ascii="仿宋" w:hAnsi="仿宋" w:eastAsia="仿宋" w:cs="仿宋"/>
          <w:color w:val="000000" w:themeColor="text1"/>
          <w:spacing w:val="-2"/>
          <w:sz w:val="24"/>
          <w:szCs w:val="24"/>
          <w:highlight w:val="none"/>
          <w:u w:val="single"/>
          <w14:textFill>
            <w14:solidFill>
              <w14:schemeClr w14:val="tx1"/>
            </w14:solidFill>
          </w14:textFill>
        </w:rPr>
        <w:t>合同并没收履约保证金。</w:t>
      </w:r>
    </w:p>
    <w:p w14:paraId="768B988A">
      <w:pPr>
        <w:keepNext w:val="0"/>
        <w:keepLines w:val="0"/>
        <w:pageBreakBefore w:val="0"/>
        <w:widowControl w:val="0"/>
        <w:kinsoku/>
        <w:wordWrap/>
        <w:overflowPunct/>
        <w:topLinePunct w:val="0"/>
        <w:autoSpaceDE/>
        <w:autoSpaceDN/>
        <w:bidi w:val="0"/>
        <w:snapToGrid/>
        <w:spacing w:line="360" w:lineRule="auto"/>
        <w:ind w:left="0" w:leftChars="0" w:right="0" w:rightChars="0" w:firstLine="56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3.3.3 承包人无正当理由拒绝撤换主要施工管理人员的违约责任：</w:t>
      </w:r>
      <w:r>
        <w:rPr>
          <w:rFonts w:hint="eastAsia" w:ascii="仿宋" w:hAnsi="仿宋" w:eastAsia="仿宋" w:cs="仿宋"/>
          <w:color w:val="000000" w:themeColor="text1"/>
          <w:spacing w:val="-2"/>
          <w:sz w:val="24"/>
          <w:szCs w:val="24"/>
          <w:highlight w:val="none"/>
          <w:u w:val="single"/>
          <w14:textFill>
            <w14:solidFill>
              <w14:schemeClr w14:val="tx1"/>
            </w14:solidFill>
          </w14:textFill>
        </w:rPr>
        <w:t>发包人有</w:t>
      </w:r>
      <w:r>
        <w:rPr>
          <w:rFonts w:hint="eastAsia" w:ascii="仿宋" w:hAnsi="仿宋" w:eastAsia="仿宋" w:cs="仿宋"/>
          <w:color w:val="000000" w:themeColor="text1"/>
          <w:spacing w:val="6"/>
          <w:sz w:val="24"/>
          <w:szCs w:val="24"/>
          <w:highlight w:val="none"/>
          <w:u w:val="single"/>
          <w14:textFill>
            <w14:solidFill>
              <w14:schemeClr w14:val="tx1"/>
            </w14:solidFill>
          </w14:textFill>
        </w:rPr>
        <w:t>权要求承包人配备的项目管理机构及施工现场管理人员中能力水平不满足本项</w:t>
      </w:r>
      <w:r>
        <w:rPr>
          <w:rFonts w:hint="eastAsia" w:ascii="仿宋" w:hAnsi="仿宋" w:eastAsia="仿宋" w:cs="仿宋"/>
          <w:color w:val="000000" w:themeColor="text1"/>
          <w:spacing w:val="-2"/>
          <w:sz w:val="24"/>
          <w:szCs w:val="24"/>
          <w:highlight w:val="none"/>
          <w:u w:val="single"/>
          <w14:textFill>
            <w14:solidFill>
              <w14:schemeClr w14:val="tx1"/>
            </w14:solidFill>
          </w14:textFill>
        </w:rPr>
        <w:t>目实施的人员进行更换，且拟更换人员资历及信誉不得低于原投标人员。包括商</w:t>
      </w:r>
      <w:r>
        <w:rPr>
          <w:rFonts w:hint="eastAsia" w:ascii="仿宋" w:hAnsi="仿宋" w:eastAsia="仿宋" w:cs="仿宋"/>
          <w:color w:val="000000" w:themeColor="text1"/>
          <w:spacing w:val="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务标中约定的（技术负责人、施工员、质量管理员、安全管理员、材料管理员、</w:t>
      </w:r>
      <w:r>
        <w:rPr>
          <w:rFonts w:hint="eastAsia" w:ascii="仿宋" w:hAnsi="仿宋" w:eastAsia="仿宋" w:cs="仿宋"/>
          <w:color w:val="000000" w:themeColor="text1"/>
          <w:spacing w:val="2"/>
          <w:sz w:val="24"/>
          <w:szCs w:val="24"/>
          <w:highlight w:val="none"/>
          <w:u w:val="single"/>
          <w14:textFill>
            <w14:solidFill>
              <w14:schemeClr w14:val="tx1"/>
            </w14:solidFill>
          </w14:textFill>
        </w:rPr>
        <w:t>标准员、测量员、机械员、试验员、劳务员、造价人员、资料</w:t>
      </w:r>
      <w:r>
        <w:rPr>
          <w:rFonts w:hint="eastAsia" w:ascii="仿宋" w:hAnsi="仿宋" w:eastAsia="仿宋" w:cs="仿宋"/>
          <w:color w:val="000000" w:themeColor="text1"/>
          <w:spacing w:val="1"/>
          <w:sz w:val="24"/>
          <w:szCs w:val="24"/>
          <w:highlight w:val="none"/>
          <w:u w:val="single"/>
          <w14:textFill>
            <w14:solidFill>
              <w14:schemeClr w14:val="tx1"/>
            </w14:solidFill>
          </w14:textFill>
        </w:rPr>
        <w:t>管理员</w:t>
      </w:r>
      <w:r>
        <w:rPr>
          <w:rFonts w:hint="eastAsia" w:ascii="仿宋" w:hAnsi="仿宋" w:eastAsia="仿宋" w:cs="仿宋"/>
          <w:color w:val="000000" w:themeColor="text1"/>
          <w:spacing w:val="-61"/>
          <w:sz w:val="24"/>
          <w:szCs w:val="24"/>
          <w:highlight w:val="none"/>
          <w:u w:val="single"/>
          <w14:textFill>
            <w14:solidFill>
              <w14:schemeClr w14:val="tx1"/>
            </w14:solidFill>
          </w14:textFill>
        </w:rPr>
        <w:t>），</w:t>
      </w:r>
      <w:r>
        <w:rPr>
          <w:rFonts w:hint="eastAsia" w:ascii="仿宋" w:hAnsi="仿宋" w:eastAsia="仿宋" w:cs="仿宋"/>
          <w:color w:val="000000" w:themeColor="text1"/>
          <w:spacing w:val="1"/>
          <w:sz w:val="24"/>
          <w:szCs w:val="24"/>
          <w:highlight w:val="none"/>
          <w:u w:val="single"/>
          <w14:textFill>
            <w14:solidFill>
              <w14:schemeClr w14:val="tx1"/>
            </w14:solidFill>
          </w14:textFill>
        </w:rPr>
        <w:t>承包人</w:t>
      </w:r>
      <w:r>
        <w:rPr>
          <w:rFonts w:hint="eastAsia" w:ascii="仿宋" w:hAnsi="仿宋" w:eastAsia="仿宋" w:cs="仿宋"/>
          <w:color w:val="000000" w:themeColor="text1"/>
          <w:spacing w:val="-3"/>
          <w:sz w:val="24"/>
          <w:szCs w:val="24"/>
          <w:highlight w:val="none"/>
          <w:u w:val="single"/>
          <w14:textFill>
            <w14:solidFill>
              <w14:schemeClr w14:val="tx1"/>
            </w14:solidFill>
          </w14:textFill>
        </w:rPr>
        <w:t>无正当理由拒绝撤换的需缴纳</w:t>
      </w:r>
      <w:r>
        <w:rPr>
          <w:rFonts w:hint="eastAsia" w:ascii="仿宋" w:hAnsi="仿宋" w:eastAsia="仿宋" w:cs="仿宋"/>
          <w:color w:val="000000" w:themeColor="text1"/>
          <w:spacing w:val="-3"/>
          <w:sz w:val="24"/>
          <w:szCs w:val="24"/>
          <w:highlight w:val="none"/>
          <w:u w:val="single"/>
          <w:lang w:val="en-US" w:eastAsia="zh-CN"/>
          <w14:textFill>
            <w14:solidFill>
              <w14:schemeClr w14:val="tx1"/>
            </w14:solidFill>
          </w14:textFill>
        </w:rPr>
        <w:t>0.5</w:t>
      </w:r>
      <w:r>
        <w:rPr>
          <w:rFonts w:hint="eastAsia" w:ascii="仿宋" w:hAnsi="仿宋" w:eastAsia="仿宋" w:cs="仿宋"/>
          <w:color w:val="000000" w:themeColor="text1"/>
          <w:spacing w:val="-3"/>
          <w:sz w:val="24"/>
          <w:szCs w:val="24"/>
          <w:highlight w:val="none"/>
          <w:u w:val="single"/>
          <w14:textFill>
            <w14:solidFill>
              <w14:schemeClr w14:val="tx1"/>
            </w14:solidFill>
          </w14:textFill>
        </w:rPr>
        <w:t>万元/人/次违约金，承包人承担上述违约给发包</w:t>
      </w:r>
      <w:r>
        <w:rPr>
          <w:rFonts w:hint="eastAsia" w:ascii="仿宋" w:hAnsi="仿宋" w:eastAsia="仿宋" w:cs="仿宋"/>
          <w:color w:val="000000" w:themeColor="text1"/>
          <w:spacing w:val="-1"/>
          <w:sz w:val="24"/>
          <w:szCs w:val="24"/>
          <w:highlight w:val="none"/>
          <w:u w:val="single"/>
          <w14:textFill>
            <w14:solidFill>
              <w14:schemeClr w14:val="tx1"/>
            </w14:solidFill>
          </w14:textFill>
        </w:rPr>
        <w:t>人造成的一切损失</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3475C58A">
      <w:pPr>
        <w:keepNext w:val="0"/>
        <w:keepLines w:val="0"/>
        <w:pageBreakBefore w:val="0"/>
        <w:widowControl w:val="0"/>
        <w:kinsoku/>
        <w:wordWrap/>
        <w:overflowPunct/>
        <w:topLinePunct w:val="0"/>
        <w:autoSpaceDE/>
        <w:autoSpaceDN/>
        <w:bidi w:val="0"/>
        <w:snapToGrid/>
        <w:spacing w:line="360" w:lineRule="auto"/>
        <w:ind w:left="0" w:leftChars="0" w:right="0" w:rightChars="0" w:firstLine="56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3.3.4 承包人主要施工管理人员离开施工现</w:t>
      </w:r>
      <w:r>
        <w:rPr>
          <w:rFonts w:hint="eastAsia" w:ascii="仿宋" w:hAnsi="仿宋" w:eastAsia="仿宋" w:cs="仿宋"/>
          <w:color w:val="000000" w:themeColor="text1"/>
          <w:spacing w:val="1"/>
          <w:sz w:val="24"/>
          <w:szCs w:val="24"/>
          <w:highlight w:val="none"/>
          <w14:textFill>
            <w14:solidFill>
              <w14:schemeClr w14:val="tx1"/>
            </w14:solidFill>
          </w14:textFill>
        </w:rPr>
        <w:t>场的批准要求：</w:t>
      </w:r>
      <w:r>
        <w:rPr>
          <w:rFonts w:hint="eastAsia" w:ascii="仿宋" w:hAnsi="仿宋" w:eastAsia="仿宋" w:cs="仿宋"/>
          <w:color w:val="000000" w:themeColor="text1"/>
          <w:spacing w:val="-126"/>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14:textFill>
            <w14:solidFill>
              <w14:schemeClr w14:val="tx1"/>
            </w14:solidFill>
          </w14:textFill>
        </w:rPr>
        <w:t>主要项目管</w:t>
      </w:r>
      <w:r>
        <w:rPr>
          <w:rFonts w:hint="eastAsia" w:ascii="仿宋" w:hAnsi="仿宋" w:eastAsia="仿宋" w:cs="仿宋"/>
          <w:color w:val="000000" w:themeColor="text1"/>
          <w:spacing w:val="-7"/>
          <w:sz w:val="24"/>
          <w:szCs w:val="24"/>
          <w:highlight w:val="none"/>
          <w:u w:val="single"/>
          <w14:textFill>
            <w14:solidFill>
              <w14:schemeClr w14:val="tx1"/>
            </w14:solidFill>
          </w14:textFill>
        </w:rPr>
        <w:t>理人员（技术负责人、施工员、质量管理员、安全管理员、材料管理员、标准员、</w:t>
      </w:r>
      <w:r>
        <w:rPr>
          <w:rFonts w:hint="eastAsia" w:ascii="仿宋" w:hAnsi="仿宋" w:eastAsia="仿宋" w:cs="仿宋"/>
          <w:color w:val="000000" w:themeColor="text1"/>
          <w:spacing w:val="-2"/>
          <w:sz w:val="24"/>
          <w:szCs w:val="24"/>
          <w:highlight w:val="none"/>
          <w:u w:val="single"/>
          <w14:textFill>
            <w14:solidFill>
              <w14:schemeClr w14:val="tx1"/>
            </w14:solidFill>
          </w14:textFill>
        </w:rPr>
        <w:t>测量员、机械员、试验员、劳务员、造价人员、资料管理员）不得擅自离场，确</w:t>
      </w:r>
      <w:r>
        <w:rPr>
          <w:rFonts w:hint="eastAsia" w:ascii="仿宋" w:hAnsi="仿宋" w:eastAsia="仿宋" w:cs="仿宋"/>
          <w:color w:val="000000" w:themeColor="text1"/>
          <w:spacing w:val="-4"/>
          <w:sz w:val="24"/>
          <w:szCs w:val="24"/>
          <w:highlight w:val="none"/>
          <w:u w:val="single"/>
          <w14:textFill>
            <w14:solidFill>
              <w14:schemeClr w14:val="tx1"/>
            </w14:solidFill>
          </w14:textFill>
        </w:rPr>
        <w:t>需特殊原因离场的，应提前</w:t>
      </w:r>
      <w:r>
        <w:rPr>
          <w:rFonts w:hint="eastAsia" w:ascii="仿宋" w:hAnsi="仿宋" w:eastAsia="仿宋" w:cs="仿宋"/>
          <w:color w:val="000000" w:themeColor="text1"/>
          <w:spacing w:val="-24"/>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u w:val="single"/>
          <w14:textFill>
            <w14:solidFill>
              <w14:schemeClr w14:val="tx1"/>
            </w14:solidFill>
          </w14:textFill>
        </w:rPr>
        <w:t>1 日向现场监理及甲方代表提出书面申请</w:t>
      </w:r>
      <w:r>
        <w:rPr>
          <w:rFonts w:hint="eastAsia" w:ascii="仿宋" w:hAnsi="仿宋" w:eastAsia="仿宋" w:cs="仿宋"/>
          <w:color w:val="000000" w:themeColor="text1"/>
          <w:spacing w:val="-4"/>
          <w:sz w:val="24"/>
          <w:szCs w:val="24"/>
          <w:highlight w:val="none"/>
          <w14:textFill>
            <w14:solidFill>
              <w14:schemeClr w14:val="tx1"/>
            </w14:solidFill>
          </w14:textFill>
        </w:rPr>
        <w:t>。</w:t>
      </w:r>
    </w:p>
    <w:p w14:paraId="20F8C840">
      <w:pPr>
        <w:keepNext w:val="0"/>
        <w:keepLines w:val="0"/>
        <w:pageBreakBefore w:val="0"/>
        <w:widowControl w:val="0"/>
        <w:kinsoku/>
        <w:wordWrap/>
        <w:overflowPunct/>
        <w:topLinePunct w:val="0"/>
        <w:autoSpaceDE/>
        <w:autoSpaceDN/>
        <w:bidi w:val="0"/>
        <w:snapToGrid/>
        <w:spacing w:line="360" w:lineRule="auto"/>
        <w:ind w:left="0" w:leftChars="0" w:right="0" w:rightChars="0" w:firstLine="56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8"/>
          <w:sz w:val="24"/>
          <w:szCs w:val="24"/>
          <w:highlight w:val="none"/>
          <w14:textFill>
            <w14:solidFill>
              <w14:schemeClr w14:val="tx1"/>
            </w14:solidFill>
          </w14:textFill>
        </w:rPr>
        <w:t>3.3.5</w:t>
      </w:r>
      <w:r>
        <w:rPr>
          <w:rFonts w:hint="eastAsia" w:ascii="仿宋" w:hAnsi="仿宋" w:eastAsia="仿宋" w:cs="仿宋"/>
          <w:color w:val="000000" w:themeColor="text1"/>
          <w:spacing w:val="-5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14:textFill>
            <w14:solidFill>
              <w14:schemeClr w14:val="tx1"/>
            </w14:solidFill>
          </w14:textFill>
        </w:rPr>
        <w:t>承包人擅自更换主要施工管理人员</w:t>
      </w:r>
      <w:r>
        <w:rPr>
          <w:rFonts w:hint="eastAsia" w:ascii="仿宋" w:hAnsi="仿宋" w:eastAsia="仿宋" w:cs="仿宋"/>
          <w:color w:val="000000" w:themeColor="text1"/>
          <w:spacing w:val="-9"/>
          <w:sz w:val="24"/>
          <w:szCs w:val="24"/>
          <w:highlight w:val="none"/>
          <w14:textFill>
            <w14:solidFill>
              <w14:schemeClr w14:val="tx1"/>
            </w14:solidFill>
          </w14:textFill>
        </w:rPr>
        <w:t>的违约责任：</w:t>
      </w:r>
      <w:r>
        <w:rPr>
          <w:rFonts w:hint="eastAsia" w:ascii="仿宋" w:hAnsi="仿宋" w:eastAsia="仿宋" w:cs="仿宋"/>
          <w:color w:val="000000" w:themeColor="text1"/>
          <w:spacing w:val="-9"/>
          <w:sz w:val="24"/>
          <w:szCs w:val="24"/>
          <w:highlight w:val="none"/>
          <w:u w:val="single"/>
          <w14:textFill>
            <w14:solidFill>
              <w14:schemeClr w14:val="tx1"/>
            </w14:solidFill>
          </w14:textFill>
        </w:rPr>
        <w:t>主要项目管理人员（技</w:t>
      </w:r>
      <w:r>
        <w:rPr>
          <w:rFonts w:hint="eastAsia" w:ascii="仿宋" w:hAnsi="仿宋" w:eastAsia="仿宋" w:cs="仿宋"/>
          <w:color w:val="000000" w:themeColor="text1"/>
          <w:spacing w:val="-2"/>
          <w:sz w:val="24"/>
          <w:szCs w:val="24"/>
          <w:highlight w:val="none"/>
          <w:u w:val="single"/>
          <w14:textFill>
            <w14:solidFill>
              <w14:schemeClr w14:val="tx1"/>
            </w14:solidFill>
          </w14:textFill>
        </w:rPr>
        <w:t>术负责人、施工员、质量管理员、安全管理员、材料管理员、标准员、测量员、机械员、试验员、劳务员、造价人员、施工资料管理员原则上不准更换，确需特</w:t>
      </w:r>
      <w:r>
        <w:rPr>
          <w:rFonts w:hint="eastAsia" w:ascii="仿宋" w:hAnsi="仿宋" w:eastAsia="仿宋" w:cs="仿宋"/>
          <w:color w:val="000000" w:themeColor="text1"/>
          <w:spacing w:val="-4"/>
          <w:sz w:val="24"/>
          <w:szCs w:val="24"/>
          <w:highlight w:val="none"/>
          <w:u w:val="single"/>
          <w14:textFill>
            <w14:solidFill>
              <w14:schemeClr w14:val="tx1"/>
            </w14:solidFill>
          </w14:textFill>
        </w:rPr>
        <w:t>殊原因更换的，需提前</w:t>
      </w:r>
      <w:r>
        <w:rPr>
          <w:rFonts w:hint="eastAsia" w:ascii="仿宋" w:hAnsi="仿宋" w:eastAsia="仿宋" w:cs="仿宋"/>
          <w:color w:val="000000" w:themeColor="text1"/>
          <w:spacing w:val="-5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u w:val="single"/>
          <w14:textFill>
            <w14:solidFill>
              <w14:schemeClr w14:val="tx1"/>
            </w14:solidFill>
          </w14:textFill>
        </w:rPr>
        <w:t>7 日向建设方提出书面申请，且拟更</w:t>
      </w:r>
      <w:r>
        <w:rPr>
          <w:rFonts w:hint="eastAsia" w:ascii="仿宋" w:hAnsi="仿宋" w:eastAsia="仿宋" w:cs="仿宋"/>
          <w:color w:val="000000" w:themeColor="text1"/>
          <w:spacing w:val="-5"/>
          <w:sz w:val="24"/>
          <w:szCs w:val="24"/>
          <w:highlight w:val="none"/>
          <w:u w:val="single"/>
          <w14:textFill>
            <w14:solidFill>
              <w14:schemeClr w14:val="tx1"/>
            </w14:solidFill>
          </w14:textFill>
        </w:rPr>
        <w:t>换人员资历及信誉不</w:t>
      </w:r>
      <w:r>
        <w:rPr>
          <w:rFonts w:hint="eastAsia" w:ascii="仿宋" w:hAnsi="仿宋" w:eastAsia="仿宋" w:cs="仿宋"/>
          <w:color w:val="000000" w:themeColor="text1"/>
          <w:spacing w:val="6"/>
          <w:sz w:val="24"/>
          <w:szCs w:val="24"/>
          <w:highlight w:val="none"/>
          <w:u w:val="single"/>
          <w14:textFill>
            <w14:solidFill>
              <w14:schemeClr w14:val="tx1"/>
            </w14:solidFill>
          </w14:textFill>
        </w:rPr>
        <w:t>得低于原投标人员，同时发包人有权按照合同金额的千分之五/人/次扣除违约</w:t>
      </w:r>
      <w:r>
        <w:rPr>
          <w:rFonts w:hint="eastAsia" w:ascii="仿宋" w:hAnsi="仿宋" w:eastAsia="仿宋" w:cs="仿宋"/>
          <w:color w:val="000000" w:themeColor="text1"/>
          <w:spacing w:val="1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u w:val="single"/>
          <w14:textFill>
            <w14:solidFill>
              <w14:schemeClr w14:val="tx1"/>
            </w14:solidFill>
          </w14:textFill>
        </w:rPr>
        <w:t>金。</w:t>
      </w:r>
    </w:p>
    <w:p w14:paraId="0BB0A8BE">
      <w:pPr>
        <w:keepNext w:val="0"/>
        <w:keepLines w:val="0"/>
        <w:pageBreakBefore w:val="0"/>
        <w:widowControl w:val="0"/>
        <w:tabs>
          <w:tab w:val="left" w:pos="187"/>
        </w:tabs>
        <w:kinsoku/>
        <w:wordWrap/>
        <w:overflowPunct/>
        <w:topLinePunct w:val="0"/>
        <w:autoSpaceDE/>
        <w:autoSpaceDN/>
        <w:bidi w:val="0"/>
        <w:snapToGrid/>
        <w:spacing w:line="360" w:lineRule="auto"/>
        <w:ind w:left="0" w:leftChars="0" w:right="0" w:rightChars="0" w:firstLine="57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承包人主要施工管理人员擅自离开施工现场的违约责任：</w:t>
      </w:r>
      <w:r>
        <w:rPr>
          <w:rFonts w:hint="eastAsia" w:ascii="仿宋" w:hAnsi="仿宋" w:eastAsia="仿宋" w:cs="仿宋"/>
          <w:color w:val="000000" w:themeColor="text1"/>
          <w:spacing w:val="-2"/>
          <w:sz w:val="24"/>
          <w:szCs w:val="24"/>
          <w:highlight w:val="none"/>
          <w:u w:val="single"/>
          <w14:textFill>
            <w14:solidFill>
              <w14:schemeClr w14:val="tx1"/>
            </w14:solidFill>
          </w14:textFill>
        </w:rPr>
        <w:t>主要项目管理人员</w:t>
      </w:r>
      <w:r>
        <w:rPr>
          <w:rFonts w:hint="eastAsia" w:ascii="仿宋" w:hAnsi="仿宋" w:eastAsia="仿宋" w:cs="仿宋"/>
          <w:color w:val="000000" w:themeColor="text1"/>
          <w:spacing w:val="-6"/>
          <w:sz w:val="24"/>
          <w:szCs w:val="24"/>
          <w:highlight w:val="none"/>
          <w:u w:val="single"/>
          <w14:textFill>
            <w14:solidFill>
              <w14:schemeClr w14:val="tx1"/>
            </w14:solidFill>
          </w14:textFill>
        </w:rPr>
        <w:t>（技术负责人、施工员、质量管理员、安全管理员、材料管理员、标准员、测量</w:t>
      </w:r>
      <w:r>
        <w:rPr>
          <w:rFonts w:hint="eastAsia" w:ascii="仿宋" w:hAnsi="仿宋" w:eastAsia="仿宋" w:cs="仿宋"/>
          <w:color w:val="000000" w:themeColor="text1"/>
          <w:spacing w:val="-1"/>
          <w:sz w:val="24"/>
          <w:szCs w:val="24"/>
          <w:highlight w:val="none"/>
          <w:u w:val="single"/>
          <w14:textFill>
            <w14:solidFill>
              <w14:schemeClr w14:val="tx1"/>
            </w14:solidFill>
          </w14:textFill>
        </w:rPr>
        <w:t>员、机械员、试验员、劳务员、造价人员、</w:t>
      </w:r>
      <w:r>
        <w:rPr>
          <w:rFonts w:hint="eastAsia" w:ascii="仿宋" w:hAnsi="仿宋" w:eastAsia="仿宋" w:cs="仿宋"/>
          <w:color w:val="000000" w:themeColor="text1"/>
          <w:spacing w:val="-2"/>
          <w:sz w:val="24"/>
          <w:szCs w:val="24"/>
          <w:highlight w:val="none"/>
          <w:u w:val="single"/>
          <w14:textFill>
            <w14:solidFill>
              <w14:schemeClr w14:val="tx1"/>
            </w14:solidFill>
          </w14:textFill>
        </w:rPr>
        <w:t>施工资料管理员，资料员）未经批准</w:t>
      </w:r>
      <w:r>
        <w:rPr>
          <w:rFonts w:hint="eastAsia" w:ascii="仿宋" w:hAnsi="仿宋" w:eastAsia="仿宋" w:cs="仿宋"/>
          <w:color w:val="000000" w:themeColor="text1"/>
          <w:spacing w:val="2"/>
          <w:sz w:val="24"/>
          <w:szCs w:val="24"/>
          <w:highlight w:val="none"/>
          <w:u w:val="single"/>
          <w14:textFill>
            <w14:solidFill>
              <w14:schemeClr w14:val="tx1"/>
            </w14:solidFill>
          </w14:textFill>
        </w:rPr>
        <w:t>擅自离场的需缴纳</w:t>
      </w:r>
      <w:r>
        <w:rPr>
          <w:rFonts w:hint="eastAsia" w:ascii="仿宋" w:hAnsi="仿宋" w:eastAsia="仿宋" w:cs="仿宋"/>
          <w:color w:val="000000" w:themeColor="text1"/>
          <w:spacing w:val="2"/>
          <w:sz w:val="24"/>
          <w:szCs w:val="24"/>
          <w:highlight w:val="none"/>
          <w:u w:val="single"/>
          <w:lang w:val="en-US" w:eastAsia="zh-CN"/>
          <w14:textFill>
            <w14:solidFill>
              <w14:schemeClr w14:val="tx1"/>
            </w14:solidFill>
          </w14:textFill>
        </w:rPr>
        <w:t>1000</w:t>
      </w:r>
      <w:r>
        <w:rPr>
          <w:rFonts w:hint="eastAsia" w:ascii="仿宋" w:hAnsi="仿宋" w:eastAsia="仿宋" w:cs="仿宋"/>
          <w:color w:val="000000" w:themeColor="text1"/>
          <w:spacing w:val="2"/>
          <w:sz w:val="24"/>
          <w:szCs w:val="24"/>
          <w:highlight w:val="none"/>
          <w:u w:val="single"/>
          <w14:textFill>
            <w14:solidFill>
              <w14:schemeClr w14:val="tx1"/>
            </w14:solidFill>
          </w14:textFill>
        </w:rPr>
        <w:t>元/人/天违约金</w:t>
      </w:r>
      <w:r>
        <w:rPr>
          <w:rFonts w:hint="eastAsia" w:ascii="仿宋" w:hAnsi="仿宋" w:eastAsia="仿宋" w:cs="仿宋"/>
          <w:color w:val="000000" w:themeColor="text1"/>
          <w:spacing w:val="2"/>
          <w:sz w:val="24"/>
          <w:szCs w:val="24"/>
          <w:highlight w:val="none"/>
          <w14:textFill>
            <w14:solidFill>
              <w14:schemeClr w14:val="tx1"/>
            </w14:solidFill>
          </w14:textFill>
        </w:rPr>
        <w:t>。</w:t>
      </w:r>
    </w:p>
    <w:p w14:paraId="1F1BA07E">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3.3.6</w:t>
      </w:r>
      <w:r>
        <w:rPr>
          <w:rFonts w:hint="eastAsia" w:ascii="仿宋" w:hAnsi="仿宋" w:eastAsia="仿宋" w:cs="仿宋"/>
          <w:color w:val="000000" w:themeColor="text1"/>
          <w:spacing w:val="-5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现场劳动用工</w:t>
      </w:r>
    </w:p>
    <w:p w14:paraId="6B103F89">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合同当事人对建筑工人工资清偿事宜和违约责任的约定：</w:t>
      </w:r>
    </w:p>
    <w:p w14:paraId="1ECA22AF">
      <w:pPr>
        <w:keepNext w:val="0"/>
        <w:keepLines w:val="0"/>
        <w:pageBreakBefore w:val="0"/>
        <w:widowControl w:val="0"/>
        <w:tabs>
          <w:tab w:val="left" w:pos="746"/>
        </w:tabs>
        <w:kinsoku/>
        <w:wordWrap/>
        <w:overflowPunct/>
        <w:topLinePunct w:val="0"/>
        <w:autoSpaceDE/>
        <w:autoSpaceDN/>
        <w:bidi w:val="0"/>
        <w:snapToGrid/>
        <w:spacing w:line="360" w:lineRule="auto"/>
        <w:ind w:left="0" w:leftChars="0" w:right="0" w:rightChars="0" w:firstLine="54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pacing w:val="-2"/>
          <w:sz w:val="24"/>
          <w:szCs w:val="24"/>
          <w:highlight w:val="none"/>
          <w:u w:val="single"/>
          <w14:textFill>
            <w14:solidFill>
              <w14:schemeClr w14:val="tx1"/>
            </w14:solidFill>
          </w14:textFill>
        </w:rPr>
        <w:t>（1）承包人应按国家及新疆地区现行有关农民工工资发放有关</w:t>
      </w:r>
      <w:r>
        <w:rPr>
          <w:rFonts w:hint="eastAsia" w:ascii="仿宋" w:hAnsi="仿宋" w:eastAsia="仿宋" w:cs="仿宋"/>
          <w:color w:val="000000" w:themeColor="text1"/>
          <w:spacing w:val="-3"/>
          <w:sz w:val="24"/>
          <w:szCs w:val="24"/>
          <w:highlight w:val="none"/>
          <w:u w:val="single"/>
          <w14:textFill>
            <w14:solidFill>
              <w14:schemeClr w14:val="tx1"/>
            </w14:solidFill>
          </w14:textFill>
        </w:rPr>
        <w:t>政策及时、</w:t>
      </w:r>
      <w:r>
        <w:rPr>
          <w:rFonts w:hint="eastAsia" w:ascii="仿宋" w:hAnsi="仿宋" w:eastAsia="仿宋" w:cs="仿宋"/>
          <w:color w:val="000000" w:themeColor="text1"/>
          <w:spacing w:val="-2"/>
          <w:sz w:val="24"/>
          <w:szCs w:val="24"/>
          <w:highlight w:val="none"/>
          <w:u w:val="single"/>
          <w14:textFill>
            <w14:solidFill>
              <w14:schemeClr w14:val="tx1"/>
            </w14:solidFill>
          </w14:textFill>
        </w:rPr>
        <w:t>足额支付农民工工资，若因拖欠农民工工资导致的上访、聚众闹事、阻断交通、</w:t>
      </w:r>
      <w:r>
        <w:rPr>
          <w:rFonts w:hint="eastAsia" w:ascii="仿宋" w:hAnsi="仿宋" w:eastAsia="仿宋" w:cs="仿宋"/>
          <w:color w:val="000000" w:themeColor="text1"/>
          <w:spacing w:val="-1"/>
          <w:sz w:val="24"/>
          <w:szCs w:val="24"/>
          <w:highlight w:val="none"/>
          <w:u w:val="single"/>
          <w14:textFill>
            <w14:solidFill>
              <w14:schemeClr w14:val="tx1"/>
            </w14:solidFill>
          </w14:textFill>
        </w:rPr>
        <w:t>妨害社会秩序等行为，由其负责处理并承担由此造成的一切责任和经济损失。</w:t>
      </w:r>
      <w:r>
        <w:rPr>
          <w:rFonts w:hint="eastAsia" w:ascii="仿宋" w:hAnsi="仿宋" w:eastAsia="仿宋" w:cs="仿宋"/>
          <w:color w:val="000000" w:themeColor="text1"/>
          <w:spacing w:val="9"/>
          <w:sz w:val="24"/>
          <w:szCs w:val="24"/>
          <w:highlight w:val="none"/>
          <w:u w:val="single"/>
          <w14:textFill>
            <w14:solidFill>
              <w14:schemeClr w14:val="tx1"/>
            </w14:solidFill>
          </w14:textFill>
        </w:rPr>
        <w:t xml:space="preserve">  </w:t>
      </w:r>
    </w:p>
    <w:p w14:paraId="0C0E8104">
      <w:pPr>
        <w:keepNext w:val="0"/>
        <w:keepLines w:val="0"/>
        <w:pageBreakBefore w:val="0"/>
        <w:widowControl w:val="0"/>
        <w:tabs>
          <w:tab w:val="left" w:pos="746"/>
        </w:tabs>
        <w:kinsoku/>
        <w:wordWrap/>
        <w:overflowPunct/>
        <w:topLinePunct w:val="0"/>
        <w:autoSpaceDE/>
        <w:autoSpaceDN/>
        <w:bidi w:val="0"/>
        <w:snapToGrid/>
        <w:spacing w:line="360" w:lineRule="auto"/>
        <w:ind w:left="0" w:leftChars="0" w:right="0" w:rightChars="0" w:firstLine="54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pacing w:val="-13"/>
          <w:sz w:val="24"/>
          <w:szCs w:val="24"/>
          <w:highlight w:val="none"/>
          <w:u w:val="single"/>
          <w14:textFill>
            <w14:solidFill>
              <w14:schemeClr w14:val="tx1"/>
            </w14:solidFill>
          </w14:textFill>
        </w:rPr>
        <w:t>（2）按照《建筑工人实名制管理办法（试行）》（建市〔2019〕18 号）及项</w:t>
      </w:r>
      <w:r>
        <w:rPr>
          <w:rFonts w:hint="eastAsia" w:ascii="仿宋" w:hAnsi="仿宋" w:eastAsia="仿宋" w:cs="仿宋"/>
          <w:color w:val="000000" w:themeColor="text1"/>
          <w:spacing w:val="-2"/>
          <w:sz w:val="24"/>
          <w:szCs w:val="24"/>
          <w:highlight w:val="none"/>
          <w:u w:val="single"/>
          <w14:textFill>
            <w14:solidFill>
              <w14:schemeClr w14:val="tx1"/>
            </w14:solidFill>
          </w14:textFill>
        </w:rPr>
        <w:t>目所在地相关规定实施建筑工人实名制管理的相关内容，落实建筑工人实名制管</w:t>
      </w:r>
      <w:r>
        <w:rPr>
          <w:rFonts w:hint="eastAsia" w:ascii="仿宋" w:hAnsi="仿宋" w:eastAsia="仿宋" w:cs="仿宋"/>
          <w:color w:val="000000" w:themeColor="text1"/>
          <w:spacing w:val="-4"/>
          <w:sz w:val="24"/>
          <w:szCs w:val="24"/>
          <w:highlight w:val="none"/>
          <w:u w:val="single"/>
          <w14:textFill>
            <w14:solidFill>
              <w14:schemeClr w14:val="tx1"/>
            </w14:solidFill>
          </w14:textFill>
        </w:rPr>
        <w:t>理的各项措施。并在专用账户开设完毕后</w:t>
      </w:r>
      <w:r>
        <w:rPr>
          <w:rFonts w:hint="eastAsia" w:ascii="仿宋" w:hAnsi="仿宋" w:eastAsia="仿宋" w:cs="仿宋"/>
          <w:color w:val="000000" w:themeColor="text1"/>
          <w:spacing w:val="-37"/>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u w:val="single"/>
          <w14:textFill>
            <w14:solidFill>
              <w14:schemeClr w14:val="tx1"/>
            </w14:solidFill>
          </w14:textFill>
        </w:rPr>
        <w:t>10</w:t>
      </w:r>
      <w:r>
        <w:rPr>
          <w:rFonts w:hint="eastAsia" w:ascii="仿宋" w:hAnsi="仿宋" w:eastAsia="仿宋" w:cs="仿宋"/>
          <w:color w:val="000000" w:themeColor="text1"/>
          <w:spacing w:val="-58"/>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u w:val="single"/>
          <w14:textFill>
            <w14:solidFill>
              <w14:schemeClr w14:val="tx1"/>
            </w14:solidFill>
          </w14:textFill>
        </w:rPr>
        <w:t>个工作日内完成实名制</w:t>
      </w:r>
      <w:r>
        <w:rPr>
          <w:rFonts w:hint="eastAsia" w:ascii="仿宋" w:hAnsi="仿宋" w:eastAsia="仿宋" w:cs="仿宋"/>
          <w:color w:val="000000" w:themeColor="text1"/>
          <w:spacing w:val="-5"/>
          <w:sz w:val="24"/>
          <w:szCs w:val="24"/>
          <w:highlight w:val="none"/>
          <w:u w:val="single"/>
          <w14:textFill>
            <w14:solidFill>
              <w14:schemeClr w14:val="tx1"/>
            </w14:solidFill>
          </w14:textFill>
        </w:rPr>
        <w:t>考勤机安装，</w:t>
      </w:r>
      <w:r>
        <w:rPr>
          <w:rFonts w:hint="eastAsia" w:ascii="仿宋" w:hAnsi="仿宋" w:eastAsia="仿宋" w:cs="仿宋"/>
          <w:color w:val="000000" w:themeColor="text1"/>
          <w:spacing w:val="-4"/>
          <w:sz w:val="24"/>
          <w:szCs w:val="24"/>
          <w:highlight w:val="none"/>
          <w:u w:val="single"/>
          <w14:textFill>
            <w14:solidFill>
              <w14:schemeClr w14:val="tx1"/>
            </w14:solidFill>
          </w14:textFill>
        </w:rPr>
        <w:t>录入新薪通系统，逾期完成，发包人有权要求承包人承担</w:t>
      </w:r>
      <w:r>
        <w:rPr>
          <w:rFonts w:hint="eastAsia" w:ascii="仿宋" w:hAnsi="仿宋" w:eastAsia="仿宋" w:cs="仿宋"/>
          <w:color w:val="000000" w:themeColor="text1"/>
          <w:spacing w:val="-36"/>
          <w:sz w:val="24"/>
          <w:szCs w:val="24"/>
          <w:highlight w:val="none"/>
          <w:u w:val="single"/>
          <w:lang w:val="en-US" w:eastAsia="zh-CN"/>
          <w14:textFill>
            <w14:solidFill>
              <w14:schemeClr w14:val="tx1"/>
            </w14:solidFill>
          </w14:textFill>
        </w:rPr>
        <w:t>1000</w:t>
      </w:r>
      <w:r>
        <w:rPr>
          <w:rFonts w:hint="eastAsia" w:ascii="仿宋" w:hAnsi="仿宋" w:eastAsia="仿宋" w:cs="仿宋"/>
          <w:color w:val="000000" w:themeColor="text1"/>
          <w:spacing w:val="-4"/>
          <w:sz w:val="24"/>
          <w:szCs w:val="24"/>
          <w:highlight w:val="none"/>
          <w:u w:val="single"/>
          <w14:textFill>
            <w14:solidFill>
              <w14:schemeClr w14:val="tx1"/>
            </w14:solidFill>
          </w14:textFill>
        </w:rPr>
        <w:t>元/天的违约金。</w:t>
      </w:r>
    </w:p>
    <w:p w14:paraId="1C3FEE23">
      <w:pPr>
        <w:keepNext w:val="0"/>
        <w:keepLines w:val="0"/>
        <w:pageBreakBefore w:val="0"/>
        <w:widowControl w:val="0"/>
        <w:tabs>
          <w:tab w:val="left" w:pos="746"/>
        </w:tabs>
        <w:kinsoku/>
        <w:wordWrap/>
        <w:overflowPunct/>
        <w:topLinePunct w:val="0"/>
        <w:autoSpaceDE/>
        <w:autoSpaceDN/>
        <w:bidi w:val="0"/>
        <w:snapToGrid/>
        <w:spacing w:line="360" w:lineRule="auto"/>
        <w:ind w:left="0" w:leftChars="0" w:right="0" w:rightChars="0" w:firstLine="54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pacing w:val="-2"/>
          <w:sz w:val="24"/>
          <w:szCs w:val="24"/>
          <w:highlight w:val="none"/>
          <w:u w:val="single"/>
          <w14:textFill>
            <w14:solidFill>
              <w14:schemeClr w14:val="tx1"/>
            </w14:solidFill>
          </w14:textFill>
        </w:rPr>
        <w:t>（3）承包人按照《新疆维吾尔自治区工程建设领域</w:t>
      </w:r>
      <w:r>
        <w:rPr>
          <w:rFonts w:hint="eastAsia" w:ascii="仿宋" w:hAnsi="仿宋" w:eastAsia="仿宋" w:cs="仿宋"/>
          <w:color w:val="000000" w:themeColor="text1"/>
          <w:spacing w:val="-3"/>
          <w:sz w:val="24"/>
          <w:szCs w:val="24"/>
          <w:highlight w:val="none"/>
          <w:u w:val="single"/>
          <w14:textFill>
            <w14:solidFill>
              <w14:schemeClr w14:val="tx1"/>
            </w14:solidFill>
          </w14:textFill>
        </w:rPr>
        <w:t>农民工工资保证金管理</w:t>
      </w:r>
      <w:r>
        <w:rPr>
          <w:rFonts w:hint="eastAsia" w:ascii="仿宋" w:hAnsi="仿宋" w:eastAsia="仿宋" w:cs="仿宋"/>
          <w:color w:val="000000" w:themeColor="text1"/>
          <w:spacing w:val="-1"/>
          <w:sz w:val="24"/>
          <w:szCs w:val="24"/>
          <w:highlight w:val="none"/>
          <w:u w:val="single"/>
          <w14:textFill>
            <w14:solidFill>
              <w14:schemeClr w14:val="tx1"/>
            </w14:solidFill>
          </w14:textFill>
        </w:rPr>
        <w:t>实施细则》</w:t>
      </w:r>
      <w:r>
        <w:rPr>
          <w:rFonts w:hint="eastAsia" w:ascii="仿宋" w:hAnsi="仿宋" w:eastAsia="仿宋" w:cs="仿宋"/>
          <w:color w:val="000000" w:themeColor="text1"/>
          <w:spacing w:val="-45"/>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14:textFill>
            <w14:solidFill>
              <w14:schemeClr w14:val="tx1"/>
            </w14:solidFill>
          </w14:textFill>
        </w:rPr>
        <w:t>在合同签订之日起</w:t>
      </w:r>
      <w:r>
        <w:rPr>
          <w:rFonts w:hint="eastAsia" w:ascii="仿宋" w:hAnsi="仿宋" w:eastAsia="仿宋" w:cs="仿宋"/>
          <w:color w:val="000000" w:themeColor="text1"/>
          <w:spacing w:val="-58"/>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14:textFill>
            <w14:solidFill>
              <w14:schemeClr w14:val="tx1"/>
            </w14:solidFill>
          </w14:textFill>
        </w:rPr>
        <w:t>20</w:t>
      </w:r>
      <w:r>
        <w:rPr>
          <w:rFonts w:hint="eastAsia" w:ascii="仿宋" w:hAnsi="仿宋" w:eastAsia="仿宋" w:cs="仿宋"/>
          <w:color w:val="000000" w:themeColor="text1"/>
          <w:spacing w:val="-58"/>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14:textFill>
            <w14:solidFill>
              <w14:schemeClr w14:val="tx1"/>
            </w14:solidFill>
          </w14:textFill>
        </w:rPr>
        <w:t>个工作日内完成</w:t>
      </w:r>
      <w:r>
        <w:rPr>
          <w:rFonts w:hint="eastAsia" w:ascii="仿宋" w:hAnsi="仿宋" w:eastAsia="仿宋" w:cs="仿宋"/>
          <w:color w:val="000000" w:themeColor="text1"/>
          <w:spacing w:val="-2"/>
          <w:sz w:val="24"/>
          <w:szCs w:val="24"/>
          <w:highlight w:val="none"/>
          <w:u w:val="single"/>
          <w14:textFill>
            <w14:solidFill>
              <w14:schemeClr w14:val="tx1"/>
            </w14:solidFill>
          </w14:textFill>
        </w:rPr>
        <w:t>农民工工资保证金所有事宜办理。逾期完成发包人有权要求承包人承担</w:t>
      </w:r>
      <w:r>
        <w:rPr>
          <w:rFonts w:hint="eastAsia" w:ascii="仿宋" w:hAnsi="仿宋" w:eastAsia="仿宋" w:cs="仿宋"/>
          <w:color w:val="000000" w:themeColor="text1"/>
          <w:spacing w:val="-36"/>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lang w:val="en-US" w:eastAsia="zh-CN"/>
          <w14:textFill>
            <w14:solidFill>
              <w14:schemeClr w14:val="tx1"/>
            </w14:solidFill>
          </w14:textFill>
        </w:rPr>
        <w:t>1000</w:t>
      </w:r>
      <w:r>
        <w:rPr>
          <w:rFonts w:hint="eastAsia" w:ascii="仿宋" w:hAnsi="仿宋" w:eastAsia="仿宋" w:cs="仿宋"/>
          <w:color w:val="000000" w:themeColor="text1"/>
          <w:spacing w:val="-2"/>
          <w:sz w:val="24"/>
          <w:szCs w:val="24"/>
          <w:highlight w:val="none"/>
          <w:u w:val="single"/>
          <w14:textFill>
            <w14:solidFill>
              <w14:schemeClr w14:val="tx1"/>
            </w14:solidFill>
          </w14:textFill>
        </w:rPr>
        <w:t>元/天的违约金。</w:t>
      </w:r>
    </w:p>
    <w:p w14:paraId="47001AA9">
      <w:pPr>
        <w:keepNext w:val="0"/>
        <w:keepLines w:val="0"/>
        <w:pageBreakBefore w:val="0"/>
        <w:widowControl w:val="0"/>
        <w:tabs>
          <w:tab w:val="left" w:pos="746"/>
        </w:tabs>
        <w:kinsoku/>
        <w:wordWrap/>
        <w:overflowPunct/>
        <w:topLinePunct w:val="0"/>
        <w:autoSpaceDE/>
        <w:autoSpaceDN/>
        <w:bidi w:val="0"/>
        <w:snapToGrid/>
        <w:spacing w:line="360" w:lineRule="auto"/>
        <w:ind w:left="0" w:leftChars="0" w:right="0" w:rightChars="0" w:firstLine="5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pacing w:val="-2"/>
          <w:sz w:val="24"/>
          <w:szCs w:val="24"/>
          <w:highlight w:val="none"/>
          <w:u w:val="single"/>
          <w14:textFill>
            <w14:solidFill>
              <w14:schemeClr w14:val="tx1"/>
            </w14:solidFill>
          </w14:textFill>
        </w:rPr>
        <w:t>（4）承包人按照《新疆维吾尔自治区工程建设领域</w:t>
      </w:r>
      <w:r>
        <w:rPr>
          <w:rFonts w:hint="eastAsia" w:ascii="仿宋" w:hAnsi="仿宋" w:eastAsia="仿宋" w:cs="仿宋"/>
          <w:color w:val="000000" w:themeColor="text1"/>
          <w:spacing w:val="-3"/>
          <w:sz w:val="24"/>
          <w:szCs w:val="24"/>
          <w:highlight w:val="none"/>
          <w:u w:val="single"/>
          <w14:textFill>
            <w14:solidFill>
              <w14:schemeClr w14:val="tx1"/>
            </w14:solidFill>
          </w14:textFill>
        </w:rPr>
        <w:t>农民工工资专用账户管</w:t>
      </w:r>
      <w:r>
        <w:rPr>
          <w:rFonts w:hint="eastAsia" w:ascii="仿宋" w:hAnsi="仿宋" w:eastAsia="仿宋" w:cs="仿宋"/>
          <w:color w:val="000000" w:themeColor="text1"/>
          <w:spacing w:val="-6"/>
          <w:sz w:val="24"/>
          <w:szCs w:val="24"/>
          <w:highlight w:val="none"/>
          <w:u w:val="single"/>
          <w14:textFill>
            <w14:solidFill>
              <w14:schemeClr w14:val="tx1"/>
            </w14:solidFill>
          </w14:textFill>
        </w:rPr>
        <w:t>理实施细则》在合同签订之日起</w:t>
      </w:r>
      <w:r>
        <w:rPr>
          <w:rFonts w:hint="eastAsia" w:ascii="仿宋" w:hAnsi="仿宋" w:eastAsia="仿宋" w:cs="仿宋"/>
          <w:color w:val="000000" w:themeColor="text1"/>
          <w:spacing w:val="-2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u w:val="single"/>
          <w14:textFill>
            <w14:solidFill>
              <w14:schemeClr w14:val="tx1"/>
            </w14:solidFill>
          </w14:textFill>
        </w:rPr>
        <w:t>10 日内完成农民工工资专用账户所有事宜办理。</w:t>
      </w:r>
      <w:r>
        <w:rPr>
          <w:rFonts w:hint="eastAsia" w:ascii="仿宋" w:hAnsi="仿宋" w:eastAsia="仿宋" w:cs="仿宋"/>
          <w:color w:val="000000" w:themeColor="text1"/>
          <w:spacing w:val="-2"/>
          <w:sz w:val="24"/>
          <w:szCs w:val="24"/>
          <w:highlight w:val="none"/>
          <w:u w:val="single"/>
          <w14:textFill>
            <w14:solidFill>
              <w14:schemeClr w14:val="tx1"/>
            </w14:solidFill>
          </w14:textFill>
        </w:rPr>
        <w:t>逾期发包人有权要求承包人承担</w:t>
      </w:r>
      <w:r>
        <w:rPr>
          <w:rFonts w:hint="eastAsia" w:ascii="仿宋" w:hAnsi="仿宋" w:eastAsia="仿宋" w:cs="仿宋"/>
          <w:color w:val="000000" w:themeColor="text1"/>
          <w:spacing w:val="-36"/>
          <w:sz w:val="24"/>
          <w:szCs w:val="24"/>
          <w:highlight w:val="none"/>
          <w:u w:val="single"/>
          <w:lang w:val="en-US" w:eastAsia="zh-CN"/>
          <w14:textFill>
            <w14:solidFill>
              <w14:schemeClr w14:val="tx1"/>
            </w14:solidFill>
          </w14:textFill>
        </w:rPr>
        <w:t>1000</w:t>
      </w:r>
      <w:r>
        <w:rPr>
          <w:rFonts w:hint="eastAsia" w:ascii="仿宋" w:hAnsi="仿宋" w:eastAsia="仿宋" w:cs="仿宋"/>
          <w:color w:val="000000" w:themeColor="text1"/>
          <w:spacing w:val="-2"/>
          <w:sz w:val="24"/>
          <w:szCs w:val="24"/>
          <w:highlight w:val="none"/>
          <w:u w:val="single"/>
          <w14:textFill>
            <w14:solidFill>
              <w14:schemeClr w14:val="tx1"/>
            </w14:solidFill>
          </w14:textFill>
        </w:rPr>
        <w:t>元/天的违约金。</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59D58DC8">
      <w:pPr>
        <w:keepNext w:val="0"/>
        <w:keepLines w:val="0"/>
        <w:pageBreakBefore w:val="0"/>
        <w:widowControl w:val="0"/>
        <w:tabs>
          <w:tab w:val="left" w:pos="746"/>
        </w:tabs>
        <w:kinsoku/>
        <w:wordWrap/>
        <w:overflowPunct/>
        <w:topLinePunct w:val="0"/>
        <w:autoSpaceDE/>
        <w:autoSpaceDN/>
        <w:bidi w:val="0"/>
        <w:snapToGrid/>
        <w:spacing w:line="360" w:lineRule="auto"/>
        <w:ind w:left="0" w:leftChars="0" w:right="0" w:rightChars="0" w:firstLine="54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pacing w:val="-2"/>
          <w:sz w:val="24"/>
          <w:szCs w:val="24"/>
          <w:highlight w:val="none"/>
          <w:u w:val="single"/>
          <w14:textFill>
            <w14:solidFill>
              <w14:schemeClr w14:val="tx1"/>
            </w14:solidFill>
          </w14:textFill>
        </w:rPr>
        <w:t>（5）应遵守和执行国家和地方关于农民工工资发放</w:t>
      </w:r>
      <w:r>
        <w:rPr>
          <w:rFonts w:hint="eastAsia" w:ascii="仿宋" w:hAnsi="仿宋" w:eastAsia="仿宋" w:cs="仿宋"/>
          <w:color w:val="000000" w:themeColor="text1"/>
          <w:spacing w:val="-3"/>
          <w:sz w:val="24"/>
          <w:szCs w:val="24"/>
          <w:highlight w:val="none"/>
          <w:u w:val="single"/>
          <w14:textFill>
            <w14:solidFill>
              <w14:schemeClr w14:val="tx1"/>
            </w14:solidFill>
          </w14:textFill>
        </w:rPr>
        <w:t>的有关政策规定，按时</w:t>
      </w:r>
      <w:r>
        <w:rPr>
          <w:rFonts w:hint="eastAsia" w:ascii="仿宋" w:hAnsi="仿宋" w:eastAsia="仿宋" w:cs="仿宋"/>
          <w:color w:val="000000" w:themeColor="text1"/>
          <w:spacing w:val="-2"/>
          <w:sz w:val="24"/>
          <w:szCs w:val="24"/>
          <w:highlight w:val="none"/>
          <w:u w:val="single"/>
          <w14:textFill>
            <w14:solidFill>
              <w14:schemeClr w14:val="tx1"/>
            </w14:solidFill>
          </w14:textFill>
        </w:rPr>
        <w:t>足额发放农民工工资，凡是因工资问题造成的农民工上访、堵路、闹事等行为，</w:t>
      </w:r>
      <w:r>
        <w:rPr>
          <w:rFonts w:hint="eastAsia" w:ascii="仿宋" w:hAnsi="仿宋" w:eastAsia="仿宋" w:cs="仿宋"/>
          <w:color w:val="000000" w:themeColor="text1"/>
          <w:spacing w:val="-3"/>
          <w:sz w:val="24"/>
          <w:szCs w:val="24"/>
          <w:highlight w:val="none"/>
          <w:u w:val="single"/>
          <w14:textFill>
            <w14:solidFill>
              <w14:schemeClr w14:val="tx1"/>
            </w14:solidFill>
          </w14:textFill>
        </w:rPr>
        <w:t>视情节发包人有权要求承包人承担承担</w:t>
      </w:r>
      <w:r>
        <w:rPr>
          <w:rFonts w:hint="eastAsia" w:ascii="仿宋" w:hAnsi="仿宋" w:eastAsia="仿宋" w:cs="仿宋"/>
          <w:color w:val="000000" w:themeColor="text1"/>
          <w:spacing w:val="-23"/>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u w:val="single"/>
          <w14:textFill>
            <w14:solidFill>
              <w14:schemeClr w14:val="tx1"/>
            </w14:solidFill>
          </w14:textFill>
        </w:rPr>
        <w:t>10</w:t>
      </w:r>
      <w:r>
        <w:rPr>
          <w:rFonts w:hint="eastAsia" w:ascii="仿宋" w:hAnsi="仿宋" w:eastAsia="仿宋" w:cs="仿宋"/>
          <w:color w:val="000000" w:themeColor="text1"/>
          <w:spacing w:val="-54"/>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u w:val="single"/>
          <w14:textFill>
            <w14:solidFill>
              <w14:schemeClr w14:val="tx1"/>
            </w14:solidFill>
          </w14:textFill>
        </w:rPr>
        <w:t>万～100</w:t>
      </w:r>
      <w:r>
        <w:rPr>
          <w:rFonts w:hint="eastAsia" w:ascii="仿宋" w:hAnsi="仿宋" w:eastAsia="仿宋" w:cs="仿宋"/>
          <w:color w:val="000000" w:themeColor="text1"/>
          <w:spacing w:val="-5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u w:val="single"/>
          <w14:textFill>
            <w14:solidFill>
              <w14:schemeClr w14:val="tx1"/>
            </w14:solidFill>
          </w14:textFill>
        </w:rPr>
        <w:t>万的违约金。</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25EC4668">
      <w:pPr>
        <w:keepNext w:val="0"/>
        <w:keepLines w:val="0"/>
        <w:pageBreakBefore w:val="0"/>
        <w:widowControl w:val="0"/>
        <w:tabs>
          <w:tab w:val="left" w:pos="746"/>
        </w:tabs>
        <w:kinsoku/>
        <w:wordWrap/>
        <w:overflowPunct/>
        <w:topLinePunct w:val="0"/>
        <w:autoSpaceDE/>
        <w:autoSpaceDN/>
        <w:bidi w:val="0"/>
        <w:snapToGrid/>
        <w:spacing w:line="360" w:lineRule="auto"/>
        <w:ind w:left="0" w:leftChars="0" w:right="0" w:rightChars="0" w:firstLine="54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pacing w:val="-2"/>
          <w:sz w:val="24"/>
          <w:szCs w:val="24"/>
          <w:highlight w:val="none"/>
          <w:u w:val="single"/>
          <w14:textFill>
            <w14:solidFill>
              <w14:schemeClr w14:val="tx1"/>
            </w14:solidFill>
          </w14:textFill>
        </w:rPr>
        <w:t>（6）安排专人负责农民工工资的相关事宜。每月末</w:t>
      </w:r>
      <w:r>
        <w:rPr>
          <w:rFonts w:hint="eastAsia" w:ascii="仿宋" w:hAnsi="仿宋" w:eastAsia="仿宋" w:cs="仿宋"/>
          <w:color w:val="000000" w:themeColor="text1"/>
          <w:spacing w:val="-3"/>
          <w:sz w:val="24"/>
          <w:szCs w:val="24"/>
          <w:highlight w:val="none"/>
          <w:u w:val="single"/>
          <w14:textFill>
            <w14:solidFill>
              <w14:schemeClr w14:val="tx1"/>
            </w14:solidFill>
          </w14:textFill>
        </w:rPr>
        <w:t>向监理人、咨询人或发</w:t>
      </w:r>
      <w:r>
        <w:rPr>
          <w:rFonts w:hint="eastAsia" w:ascii="仿宋" w:hAnsi="仿宋" w:eastAsia="仿宋" w:cs="仿宋"/>
          <w:color w:val="000000" w:themeColor="text1"/>
          <w:spacing w:val="-2"/>
          <w:sz w:val="24"/>
          <w:szCs w:val="24"/>
          <w:highlight w:val="none"/>
          <w:u w:val="single"/>
          <w14:textFill>
            <w14:solidFill>
              <w14:schemeClr w14:val="tx1"/>
            </w14:solidFill>
          </w14:textFill>
        </w:rPr>
        <w:t>包人上报本月的农民工工资发放册（农民工本人签字确认）。监理人、咨询人或者发包人有权对上报的农民工工资发放册进行抽查复核，方式不限于询问农民工本人，查询银行转账记录等。若发生农民工工资发放不到位的情况，发包人有权</w:t>
      </w:r>
      <w:r>
        <w:rPr>
          <w:rFonts w:hint="eastAsia" w:ascii="仿宋" w:hAnsi="仿宋" w:eastAsia="仿宋" w:cs="仿宋"/>
          <w:color w:val="000000" w:themeColor="text1"/>
          <w:spacing w:val="-1"/>
          <w:sz w:val="24"/>
          <w:szCs w:val="24"/>
          <w:highlight w:val="none"/>
          <w:u w:val="single"/>
          <w14:textFill>
            <w14:solidFill>
              <w14:schemeClr w14:val="tx1"/>
            </w14:solidFill>
          </w14:textFill>
        </w:rPr>
        <w:t>要求承包人承担</w:t>
      </w:r>
      <w:r>
        <w:rPr>
          <w:rFonts w:hint="eastAsia" w:ascii="仿宋" w:hAnsi="仿宋" w:eastAsia="仿宋" w:cs="仿宋"/>
          <w:color w:val="000000" w:themeColor="text1"/>
          <w:spacing w:val="-1"/>
          <w:sz w:val="24"/>
          <w:szCs w:val="24"/>
          <w:highlight w:val="none"/>
          <w:u w:val="single"/>
          <w:lang w:val="en-US" w:eastAsia="zh-CN"/>
          <w14:textFill>
            <w14:solidFill>
              <w14:schemeClr w14:val="tx1"/>
            </w14:solidFill>
          </w14:textFill>
        </w:rPr>
        <w:t>1000</w:t>
      </w:r>
      <w:r>
        <w:rPr>
          <w:rFonts w:hint="eastAsia" w:ascii="仿宋" w:hAnsi="仿宋" w:eastAsia="仿宋" w:cs="仿宋"/>
          <w:color w:val="000000" w:themeColor="text1"/>
          <w:spacing w:val="-1"/>
          <w:sz w:val="24"/>
          <w:szCs w:val="24"/>
          <w:highlight w:val="none"/>
          <w:u w:val="single"/>
          <w14:textFill>
            <w14:solidFill>
              <w14:schemeClr w14:val="tx1"/>
            </w14:solidFill>
          </w14:textFill>
        </w:rPr>
        <w:t>元/人/次的违约金。</w:t>
      </w:r>
    </w:p>
    <w:p w14:paraId="337A3D15">
      <w:pPr>
        <w:keepNext w:val="0"/>
        <w:keepLines w:val="0"/>
        <w:pageBreakBefore w:val="0"/>
        <w:widowControl w:val="0"/>
        <w:tabs>
          <w:tab w:val="left" w:pos="746"/>
        </w:tabs>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none"/>
          <w14:textFill>
            <w14:solidFill>
              <w14:schemeClr w14:val="tx1"/>
            </w14:solidFill>
          </w14:textFill>
        </w:rPr>
        <w:tab/>
      </w:r>
      <w:r>
        <w:rPr>
          <w:rFonts w:hint="eastAsia" w:ascii="仿宋" w:hAnsi="仿宋" w:eastAsia="仿宋" w:cs="仿宋"/>
          <w:color w:val="000000" w:themeColor="text1"/>
          <w:spacing w:val="-7"/>
          <w:sz w:val="24"/>
          <w:szCs w:val="24"/>
          <w:highlight w:val="none"/>
          <w:u w:val="single"/>
          <w14:textFill>
            <w14:solidFill>
              <w14:schemeClr w14:val="tx1"/>
            </w14:solidFill>
          </w14:textFill>
        </w:rPr>
        <w:t>（7）农民工工资专用账户支付约定:</w:t>
      </w:r>
    </w:p>
    <w:p w14:paraId="2459F5CD">
      <w:pPr>
        <w:keepNext w:val="0"/>
        <w:keepLines w:val="0"/>
        <w:pageBreakBefore w:val="0"/>
        <w:widowControl w:val="0"/>
        <w:kinsoku/>
        <w:wordWrap/>
        <w:overflowPunct/>
        <w:topLinePunct w:val="0"/>
        <w:autoSpaceDE/>
        <w:autoSpaceDN/>
        <w:bidi w:val="0"/>
        <w:snapToGrid/>
        <w:spacing w:line="360" w:lineRule="auto"/>
        <w:ind w:left="0" w:leftChars="0" w:right="0" w:rightChars="0" w:firstLine="57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u w:val="single"/>
          <w14:textFill>
            <w14:solidFill>
              <w14:schemeClr w14:val="tx1"/>
            </w14:solidFill>
          </w14:textFill>
        </w:rPr>
        <w:t>1.发包人按照合同约定支付工程款时须按照本协议约定的支付比例向承包</w:t>
      </w:r>
      <w:r>
        <w:rPr>
          <w:rFonts w:hint="eastAsia" w:ascii="仿宋" w:hAnsi="仿宋" w:eastAsia="仿宋" w:cs="仿宋"/>
          <w:color w:val="000000" w:themeColor="text1"/>
          <w:spacing w:val="-1"/>
          <w:sz w:val="24"/>
          <w:szCs w:val="24"/>
          <w:highlight w:val="none"/>
          <w:u w:val="single"/>
          <w14:textFill>
            <w14:solidFill>
              <w14:schemeClr w14:val="tx1"/>
            </w14:solidFill>
          </w14:textFill>
        </w:rPr>
        <w:t>人开设的农民工工资专户拨付相应工程款专项用于农民工工资支付；</w:t>
      </w:r>
    </w:p>
    <w:p w14:paraId="50C49B4B">
      <w:pPr>
        <w:keepNext w:val="0"/>
        <w:keepLines w:val="0"/>
        <w:pageBreakBefore w:val="0"/>
        <w:widowControl w:val="0"/>
        <w:kinsoku/>
        <w:wordWrap/>
        <w:overflowPunct/>
        <w:topLinePunct w:val="0"/>
        <w:autoSpaceDE/>
        <w:autoSpaceDN/>
        <w:bidi w:val="0"/>
        <w:snapToGrid/>
        <w:spacing w:line="360" w:lineRule="auto"/>
        <w:ind w:left="0" w:leftChars="0" w:right="0" w:rightChars="0" w:firstLine="5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u w:val="single"/>
          <w14:textFill>
            <w14:solidFill>
              <w14:schemeClr w14:val="tx1"/>
            </w14:solidFill>
          </w14:textFill>
        </w:rPr>
        <w:t>2.承包人须每月通过新薪通系统按时足额支付农民工工资，不得转</w:t>
      </w:r>
      <w:r>
        <w:rPr>
          <w:rFonts w:hint="eastAsia" w:ascii="仿宋" w:hAnsi="仿宋" w:eastAsia="仿宋" w:cs="仿宋"/>
          <w:color w:val="000000" w:themeColor="text1"/>
          <w:spacing w:val="-3"/>
          <w:sz w:val="24"/>
          <w:szCs w:val="24"/>
          <w:highlight w:val="none"/>
          <w:u w:val="single"/>
          <w14:textFill>
            <w14:solidFill>
              <w14:schemeClr w14:val="tx1"/>
            </w14:solidFill>
          </w14:textFill>
        </w:rPr>
        <w:t>交劳务分</w:t>
      </w:r>
      <w:r>
        <w:rPr>
          <w:rFonts w:hint="eastAsia" w:ascii="仿宋" w:hAnsi="仿宋" w:eastAsia="仿宋" w:cs="仿宋"/>
          <w:color w:val="000000" w:themeColor="text1"/>
          <w:spacing w:val="-1"/>
          <w:sz w:val="24"/>
          <w:szCs w:val="24"/>
          <w:highlight w:val="none"/>
          <w:u w:val="single"/>
          <w14:textFill>
            <w14:solidFill>
              <w14:schemeClr w14:val="tx1"/>
            </w14:solidFill>
          </w14:textFill>
        </w:rPr>
        <w:t>包单位以及私人等任何非总承包单位代付；</w:t>
      </w:r>
    </w:p>
    <w:p w14:paraId="7CA92EF3">
      <w:pPr>
        <w:keepNext w:val="0"/>
        <w:keepLines w:val="0"/>
        <w:pageBreakBefore w:val="0"/>
        <w:widowControl w:val="0"/>
        <w:kinsoku/>
        <w:wordWrap/>
        <w:overflowPunct/>
        <w:topLinePunct w:val="0"/>
        <w:autoSpaceDE/>
        <w:autoSpaceDN/>
        <w:bidi w:val="0"/>
        <w:snapToGrid/>
        <w:spacing w:line="360" w:lineRule="auto"/>
        <w:ind w:left="0" w:leftChars="0" w:right="0" w:rightChars="0" w:firstLine="5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u w:val="single"/>
          <w14:textFill>
            <w14:solidFill>
              <w14:schemeClr w14:val="tx1"/>
            </w14:solidFill>
          </w14:textFill>
        </w:rPr>
        <w:t>3.因特殊原因发包人未能向农民工工资专户拨付工程款时，承包人</w:t>
      </w:r>
      <w:r>
        <w:rPr>
          <w:rFonts w:hint="eastAsia" w:ascii="仿宋" w:hAnsi="仿宋" w:eastAsia="仿宋" w:cs="仿宋"/>
          <w:color w:val="000000" w:themeColor="text1"/>
          <w:spacing w:val="-3"/>
          <w:sz w:val="24"/>
          <w:szCs w:val="24"/>
          <w:highlight w:val="none"/>
          <w:u w:val="single"/>
          <w14:textFill>
            <w14:solidFill>
              <w14:schemeClr w14:val="tx1"/>
            </w14:solidFill>
          </w14:textFill>
        </w:rPr>
        <w:t>须根据本</w:t>
      </w:r>
      <w:r>
        <w:rPr>
          <w:rFonts w:hint="eastAsia" w:ascii="仿宋" w:hAnsi="仿宋" w:eastAsia="仿宋" w:cs="仿宋"/>
          <w:color w:val="000000" w:themeColor="text1"/>
          <w:spacing w:val="-2"/>
          <w:sz w:val="24"/>
          <w:szCs w:val="24"/>
          <w:highlight w:val="none"/>
          <w:u w:val="single"/>
          <w14:textFill>
            <w14:solidFill>
              <w14:schemeClr w14:val="tx1"/>
            </w14:solidFill>
          </w14:textFill>
        </w:rPr>
        <w:t>项目农民工工资支付实际及时向农民工工资专户足额储存资金，确保农民工工资</w:t>
      </w:r>
      <w:r>
        <w:rPr>
          <w:rFonts w:hint="eastAsia" w:ascii="仿宋" w:hAnsi="仿宋" w:eastAsia="仿宋" w:cs="仿宋"/>
          <w:color w:val="000000" w:themeColor="text1"/>
          <w:spacing w:val="-1"/>
          <w:sz w:val="24"/>
          <w:szCs w:val="24"/>
          <w:highlight w:val="none"/>
          <w:u w:val="single"/>
          <w14:textFill>
            <w14:solidFill>
              <w14:schemeClr w14:val="tx1"/>
            </w14:solidFill>
          </w14:textFill>
        </w:rPr>
        <w:t>按时足额发放，如因工资问题造成的农民工上访、堵路、闹事等行为，按</w:t>
      </w:r>
      <w:r>
        <w:rPr>
          <w:rFonts w:hint="eastAsia" w:ascii="仿宋" w:hAnsi="仿宋" w:eastAsia="仿宋" w:cs="仿宋"/>
          <w:color w:val="000000" w:themeColor="text1"/>
          <w:spacing w:val="-3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14:textFill>
            <w14:solidFill>
              <w14:schemeClr w14:val="tx1"/>
            </w14:solidFill>
          </w14:textFill>
        </w:rPr>
        <w:t>3.3.6</w:t>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pacing w:val="-15"/>
          <w:sz w:val="24"/>
          <w:szCs w:val="24"/>
          <w:highlight w:val="none"/>
          <w:u w:val="single"/>
          <w14:textFill>
            <w14:solidFill>
              <w14:schemeClr w14:val="tx1"/>
            </w14:solidFill>
          </w14:textFill>
        </w:rPr>
        <w:t>（5）约定处理。</w:t>
      </w:r>
    </w:p>
    <w:p w14:paraId="706D5866">
      <w:pPr>
        <w:keepNext w:val="0"/>
        <w:keepLines w:val="0"/>
        <w:pageBreakBefore w:val="0"/>
        <w:widowControl w:val="0"/>
        <w:tabs>
          <w:tab w:val="left" w:pos="746"/>
        </w:tabs>
        <w:kinsoku/>
        <w:wordWrap/>
        <w:overflowPunct/>
        <w:topLinePunct w:val="0"/>
        <w:autoSpaceDE/>
        <w:autoSpaceDN/>
        <w:bidi w:val="0"/>
        <w:snapToGrid/>
        <w:spacing w:line="360" w:lineRule="auto"/>
        <w:ind w:left="0" w:leftChars="0" w:right="0" w:rightChars="0" w:firstLine="54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pacing w:val="-6"/>
          <w:sz w:val="24"/>
          <w:szCs w:val="24"/>
          <w:highlight w:val="none"/>
          <w:u w:val="single"/>
          <w14:textFill>
            <w14:solidFill>
              <w14:schemeClr w14:val="tx1"/>
            </w14:solidFill>
          </w14:textFill>
        </w:rPr>
        <w:t>（8）农民工工资支付所需材料事项约定:承包人每期申请</w:t>
      </w:r>
      <w:r>
        <w:rPr>
          <w:rFonts w:hint="eastAsia" w:ascii="仿宋" w:hAnsi="仿宋" w:eastAsia="仿宋" w:cs="仿宋"/>
          <w:color w:val="000000" w:themeColor="text1"/>
          <w:spacing w:val="-7"/>
          <w:sz w:val="24"/>
          <w:szCs w:val="24"/>
          <w:highlight w:val="none"/>
          <w:u w:val="single"/>
          <w14:textFill>
            <w14:solidFill>
              <w14:schemeClr w14:val="tx1"/>
            </w14:solidFill>
          </w14:textFill>
        </w:rPr>
        <w:t>进度款时均须按照</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14:textFill>
            <w14:solidFill>
              <w14:schemeClr w14:val="tx1"/>
            </w14:solidFill>
          </w14:textFill>
        </w:rPr>
        <w:t>发包人要求提供农民工工资支付相关材料。</w:t>
      </w:r>
    </w:p>
    <w:p w14:paraId="00461C5B">
      <w:pPr>
        <w:keepNext w:val="0"/>
        <w:keepLines w:val="0"/>
        <w:pageBreakBefore w:val="0"/>
        <w:widowControl w:val="0"/>
        <w:tabs>
          <w:tab w:val="left" w:pos="746"/>
        </w:tabs>
        <w:kinsoku/>
        <w:wordWrap/>
        <w:overflowPunct/>
        <w:topLinePunct w:val="0"/>
        <w:autoSpaceDE/>
        <w:autoSpaceDN/>
        <w:bidi w:val="0"/>
        <w:snapToGrid/>
        <w:spacing w:line="360" w:lineRule="auto"/>
        <w:ind w:left="0" w:leftChars="0" w:right="0" w:rightChars="0" w:firstLine="54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pacing w:val="-6"/>
          <w:sz w:val="24"/>
          <w:szCs w:val="24"/>
          <w:highlight w:val="none"/>
          <w:u w:val="single"/>
          <w14:textFill>
            <w14:solidFill>
              <w14:schemeClr w14:val="tx1"/>
            </w14:solidFill>
          </w14:textFill>
        </w:rPr>
        <w:t>（9）农民工工资专用账户支付比例:发包人按每期应支付</w:t>
      </w:r>
      <w:r>
        <w:rPr>
          <w:rFonts w:hint="eastAsia" w:ascii="仿宋" w:hAnsi="仿宋" w:eastAsia="仿宋" w:cs="仿宋"/>
          <w:color w:val="000000" w:themeColor="text1"/>
          <w:spacing w:val="-7"/>
          <w:sz w:val="24"/>
          <w:szCs w:val="24"/>
          <w:highlight w:val="none"/>
          <w:u w:val="single"/>
          <w14:textFill>
            <w14:solidFill>
              <w14:schemeClr w14:val="tx1"/>
            </w14:solidFill>
          </w14:textFill>
        </w:rPr>
        <w:t>进度款的（原则上</w:t>
      </w:r>
      <w:r>
        <w:rPr>
          <w:rFonts w:hint="eastAsia" w:ascii="仿宋" w:hAnsi="仿宋" w:eastAsia="仿宋" w:cs="仿宋"/>
          <w:color w:val="000000" w:themeColor="text1"/>
          <w:spacing w:val="-2"/>
          <w:sz w:val="24"/>
          <w:szCs w:val="24"/>
          <w:highlight w:val="none"/>
          <w:u w:val="single"/>
          <w14:textFill>
            <w14:solidFill>
              <w14:schemeClr w14:val="tx1"/>
            </w14:solidFill>
          </w14:textFill>
        </w:rPr>
        <w:t>不低于市政工程按 15%，房建工程按 25%，如因赶工等特殊情况双方协商调整）</w:t>
      </w:r>
      <w:r>
        <w:rPr>
          <w:rFonts w:hint="eastAsia" w:ascii="仿宋" w:hAnsi="仿宋" w:eastAsia="仿宋" w:cs="仿宋"/>
          <w:color w:val="000000" w:themeColor="text1"/>
          <w:spacing w:val="-1"/>
          <w:sz w:val="24"/>
          <w:szCs w:val="24"/>
          <w:highlight w:val="none"/>
          <w:u w:val="single"/>
          <w14:textFill>
            <w14:solidFill>
              <w14:schemeClr w14:val="tx1"/>
            </w14:solidFill>
          </w14:textFill>
        </w:rPr>
        <w:t>支付到承包人开设的农民工工资专户。</w:t>
      </w:r>
    </w:p>
    <w:p w14:paraId="4D1B31C4">
      <w:pPr>
        <w:keepNext w:val="0"/>
        <w:keepLines w:val="0"/>
        <w:pageBreakBefore w:val="0"/>
        <w:widowControl w:val="0"/>
        <w:tabs>
          <w:tab w:val="left" w:pos="746"/>
        </w:tabs>
        <w:kinsoku/>
        <w:wordWrap/>
        <w:overflowPunct/>
        <w:topLinePunct w:val="0"/>
        <w:autoSpaceDE/>
        <w:autoSpaceDN/>
        <w:bidi w:val="0"/>
        <w:snapToGrid/>
        <w:spacing w:line="360" w:lineRule="auto"/>
        <w:ind w:left="0" w:leftChars="0" w:right="0" w:rightChars="0" w:firstLine="54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pacing w:val="-6"/>
          <w:sz w:val="24"/>
          <w:szCs w:val="24"/>
          <w:highlight w:val="none"/>
          <w:u w:val="single"/>
          <w14:textFill>
            <w14:solidFill>
              <w14:schemeClr w14:val="tx1"/>
            </w14:solidFill>
          </w14:textFill>
        </w:rPr>
        <w:t>（10）承包人必须与专户开立银行（项目所在地网点）签订监管</w:t>
      </w:r>
      <w:r>
        <w:rPr>
          <w:rFonts w:hint="eastAsia" w:ascii="仿宋" w:hAnsi="仿宋" w:eastAsia="仿宋" w:cs="仿宋"/>
          <w:color w:val="000000" w:themeColor="text1"/>
          <w:spacing w:val="-7"/>
          <w:sz w:val="24"/>
          <w:szCs w:val="24"/>
          <w:highlight w:val="none"/>
          <w:u w:val="single"/>
          <w14:textFill>
            <w14:solidFill>
              <w14:schemeClr w14:val="tx1"/>
            </w14:solidFill>
          </w14:textFill>
        </w:rPr>
        <w:t>协议，确保</w:t>
      </w:r>
      <w:r>
        <w:rPr>
          <w:rFonts w:hint="eastAsia" w:ascii="仿宋" w:hAnsi="仿宋" w:eastAsia="仿宋" w:cs="仿宋"/>
          <w:color w:val="000000" w:themeColor="text1"/>
          <w:spacing w:val="-2"/>
          <w:sz w:val="24"/>
          <w:szCs w:val="24"/>
          <w:highlight w:val="none"/>
          <w:u w:val="single"/>
          <w14:textFill>
            <w14:solidFill>
              <w14:schemeClr w14:val="tx1"/>
            </w14:solidFill>
          </w14:textFill>
        </w:rPr>
        <w:t>专户资金用于支付农民工工资、存储工资保证金、使用工资保证金支付拖欠农民工工资等，不得挪作他用。剩余部分可在工程竣工验收时，经主管部门确认无拖</w:t>
      </w:r>
      <w:r>
        <w:rPr>
          <w:rFonts w:hint="eastAsia" w:ascii="仿宋" w:hAnsi="仿宋" w:eastAsia="仿宋" w:cs="仿宋"/>
          <w:color w:val="000000" w:themeColor="text1"/>
          <w:spacing w:val="-1"/>
          <w:sz w:val="24"/>
          <w:szCs w:val="24"/>
          <w:highlight w:val="none"/>
          <w:u w:val="single"/>
          <w14:textFill>
            <w14:solidFill>
              <w14:schemeClr w14:val="tx1"/>
            </w14:solidFill>
          </w14:textFill>
        </w:rPr>
        <w:t>欠农民工工资问题后，用于工程款结算。</w:t>
      </w:r>
    </w:p>
    <w:p w14:paraId="0BB3B978">
      <w:pPr>
        <w:keepNext w:val="0"/>
        <w:keepLines w:val="0"/>
        <w:pageBreakBefore w:val="0"/>
        <w:widowControl w:val="0"/>
        <w:tabs>
          <w:tab w:val="left" w:pos="746"/>
        </w:tabs>
        <w:kinsoku/>
        <w:wordWrap/>
        <w:overflowPunct/>
        <w:topLinePunct w:val="0"/>
        <w:autoSpaceDE/>
        <w:autoSpaceDN/>
        <w:bidi w:val="0"/>
        <w:snapToGrid/>
        <w:spacing w:line="360" w:lineRule="auto"/>
        <w:ind w:left="0" w:leftChars="0" w:right="0" w:rightChars="0" w:firstLine="54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pacing w:val="-6"/>
          <w:sz w:val="24"/>
          <w:szCs w:val="24"/>
          <w:highlight w:val="none"/>
          <w:u w:val="single"/>
          <w14:textFill>
            <w14:solidFill>
              <w14:schemeClr w14:val="tx1"/>
            </w14:solidFill>
          </w14:textFill>
        </w:rPr>
        <w:t>（11）承包人必须遵守国家有关法律、行政法</w:t>
      </w:r>
      <w:r>
        <w:rPr>
          <w:rFonts w:hint="eastAsia" w:ascii="仿宋" w:hAnsi="仿宋" w:eastAsia="仿宋" w:cs="仿宋"/>
          <w:color w:val="000000" w:themeColor="text1"/>
          <w:spacing w:val="-7"/>
          <w:sz w:val="24"/>
          <w:szCs w:val="24"/>
          <w:highlight w:val="none"/>
          <w:u w:val="single"/>
          <w14:textFill>
            <w14:solidFill>
              <w14:schemeClr w14:val="tx1"/>
            </w14:solidFill>
          </w14:textFill>
        </w:rPr>
        <w:t>规规定，自行办理和完善各种</w:t>
      </w:r>
      <w:r>
        <w:rPr>
          <w:rFonts w:hint="eastAsia" w:ascii="仿宋" w:hAnsi="仿宋" w:eastAsia="仿宋" w:cs="仿宋"/>
          <w:color w:val="000000" w:themeColor="text1"/>
          <w:spacing w:val="-2"/>
          <w:sz w:val="24"/>
          <w:szCs w:val="24"/>
          <w:highlight w:val="none"/>
          <w:u w:val="single"/>
          <w14:textFill>
            <w14:solidFill>
              <w14:schemeClr w14:val="tx1"/>
            </w14:solidFill>
          </w14:textFill>
        </w:rPr>
        <w:t>手续，合法使用农民工，保护农民工合法权益，向甲方提供的农民工工资支付相</w:t>
      </w:r>
      <w:r>
        <w:rPr>
          <w:rFonts w:hint="eastAsia" w:ascii="仿宋" w:hAnsi="仿宋" w:eastAsia="仿宋" w:cs="仿宋"/>
          <w:color w:val="000000" w:themeColor="text1"/>
          <w:spacing w:val="-1"/>
          <w:sz w:val="24"/>
          <w:szCs w:val="24"/>
          <w:highlight w:val="none"/>
          <w:u w:val="single"/>
          <w14:textFill>
            <w14:solidFill>
              <w14:schemeClr w14:val="tx1"/>
            </w14:solidFill>
          </w14:textFill>
        </w:rPr>
        <w:t>关材料的真实性及准确性由承包人负责。</w:t>
      </w:r>
    </w:p>
    <w:p w14:paraId="329E5465">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3.5</w:t>
      </w:r>
      <w:r>
        <w:rPr>
          <w:rFonts w:hint="eastAsia" w:ascii="仿宋" w:hAnsi="仿宋" w:eastAsia="仿宋" w:cs="仿宋"/>
          <w:color w:val="000000" w:themeColor="text1"/>
          <w:spacing w:val="1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分包</w:t>
      </w:r>
    </w:p>
    <w:p w14:paraId="4DDDDB06">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3.5.1 分包的一般约定</w:t>
      </w:r>
    </w:p>
    <w:p w14:paraId="5E9D9DCD">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禁止分包的工程包括：</w:t>
      </w:r>
      <w:r>
        <w:rPr>
          <w:rFonts w:hint="eastAsia" w:ascii="仿宋" w:hAnsi="仿宋" w:eastAsia="仿宋" w:cs="仿宋"/>
          <w:color w:val="000000" w:themeColor="text1"/>
          <w:spacing w:val="-1"/>
          <w:sz w:val="24"/>
          <w:szCs w:val="24"/>
          <w:highlight w:val="none"/>
          <w:u w:val="single"/>
          <w14:textFill>
            <w14:solidFill>
              <w14:schemeClr w14:val="tx1"/>
            </w14:solidFill>
          </w14:textFill>
        </w:rPr>
        <w:t>主体结构和关键性工作不得分包</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6120CF2A">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主体结构、关键性工作的范围：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676EBF5F">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3.5.2</w:t>
      </w:r>
      <w:r>
        <w:rPr>
          <w:rFonts w:hint="eastAsia" w:ascii="仿宋" w:hAnsi="仿宋" w:eastAsia="仿宋" w:cs="仿宋"/>
          <w:color w:val="000000" w:themeColor="text1"/>
          <w:spacing w:val="-4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分包的确定</w:t>
      </w:r>
    </w:p>
    <w:p w14:paraId="513A2019">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允许分包的专业工程包括：</w:t>
      </w:r>
      <w:r>
        <w:rPr>
          <w:rFonts w:hint="eastAsia" w:ascii="仿宋" w:hAnsi="仿宋" w:eastAsia="仿宋" w:cs="仿宋"/>
          <w:color w:val="000000" w:themeColor="text1"/>
          <w:sz w:val="24"/>
          <w:szCs w:val="24"/>
          <w:highlight w:val="none"/>
          <w:u w:val="single"/>
          <w14:textFill>
            <w14:solidFill>
              <w14:schemeClr w14:val="tx1"/>
            </w14:solidFill>
          </w14:textFill>
        </w:rPr>
        <w:t xml:space="preserve">       劳务</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分包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62FDA56D">
      <w:pPr>
        <w:keepNext w:val="0"/>
        <w:keepLines w:val="0"/>
        <w:pageBreakBefore w:val="0"/>
        <w:widowControl w:val="0"/>
        <w:kinsoku/>
        <w:wordWrap/>
        <w:overflowPunct/>
        <w:topLinePunct w:val="0"/>
        <w:autoSpaceDE/>
        <w:autoSpaceDN/>
        <w:bidi w:val="0"/>
        <w:snapToGrid/>
        <w:spacing w:line="360" w:lineRule="auto"/>
        <w:ind w:left="0" w:leftChars="0" w:right="0" w:rightChars="0" w:hanging="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其他关于分包的约定：</w:t>
      </w:r>
      <w:r>
        <w:rPr>
          <w:rFonts w:hint="eastAsia" w:ascii="仿宋" w:hAnsi="仿宋" w:eastAsia="仿宋" w:cs="仿宋"/>
          <w:color w:val="000000" w:themeColor="text1"/>
          <w:spacing w:val="-2"/>
          <w:sz w:val="24"/>
          <w:szCs w:val="24"/>
          <w:highlight w:val="none"/>
          <w:u w:val="single"/>
          <w14:textFill>
            <w14:solidFill>
              <w14:schemeClr w14:val="tx1"/>
            </w14:solidFill>
          </w14:textFill>
        </w:rPr>
        <w:t>确实因专业或特殊情况要分包时，必须征得发包人的书面同意批准后才能分包。分承包的单位必须满足国家的相关资质规定，同时要</w:t>
      </w:r>
      <w:r>
        <w:rPr>
          <w:rFonts w:hint="eastAsia" w:ascii="仿宋" w:hAnsi="仿宋" w:eastAsia="仿宋" w:cs="仿宋"/>
          <w:color w:val="000000" w:themeColor="text1"/>
          <w:spacing w:val="-3"/>
          <w:sz w:val="24"/>
          <w:szCs w:val="24"/>
          <w:highlight w:val="none"/>
          <w:u w:val="single"/>
          <w14:textFill>
            <w14:solidFill>
              <w14:schemeClr w14:val="tx1"/>
            </w14:solidFill>
          </w14:textFill>
        </w:rPr>
        <w:t>有相</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14:textFill>
            <w14:solidFill>
              <w14:schemeClr w14:val="tx1"/>
            </w14:solidFill>
          </w14:textFill>
        </w:rPr>
        <w:t>关的业绩及承接本项目相应的资质及实力</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4F2EC7CE">
      <w:pPr>
        <w:keepNext w:val="0"/>
        <w:keepLines w:val="0"/>
        <w:pageBreakBefore w:val="0"/>
        <w:widowControl w:val="0"/>
        <w:kinsoku/>
        <w:wordWrap/>
        <w:overflowPunct/>
        <w:topLinePunct w:val="0"/>
        <w:autoSpaceDE/>
        <w:autoSpaceDN/>
        <w:bidi w:val="0"/>
        <w:snapToGrid/>
        <w:spacing w:line="360" w:lineRule="auto"/>
        <w:ind w:left="0" w:leftChars="0" w:right="0" w:rightChars="0" w:firstLine="56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总承包单位应按照本工程质量、安全、进度、投资等</w:t>
      </w:r>
      <w:r>
        <w:rPr>
          <w:rFonts w:hint="eastAsia" w:ascii="仿宋" w:hAnsi="仿宋" w:eastAsia="仿宋" w:cs="仿宋"/>
          <w:color w:val="000000" w:themeColor="text1"/>
          <w:spacing w:val="-3"/>
          <w:sz w:val="24"/>
          <w:szCs w:val="24"/>
          <w:highlight w:val="none"/>
          <w14:textFill>
            <w14:solidFill>
              <w14:schemeClr w14:val="tx1"/>
            </w14:solidFill>
          </w14:textFill>
        </w:rPr>
        <w:t>方面的总体要求对分包</w:t>
      </w:r>
      <w:r>
        <w:rPr>
          <w:rFonts w:hint="eastAsia" w:ascii="仿宋" w:hAnsi="仿宋" w:eastAsia="仿宋" w:cs="仿宋"/>
          <w:color w:val="000000" w:themeColor="text1"/>
          <w:spacing w:val="-2"/>
          <w:sz w:val="24"/>
          <w:szCs w:val="24"/>
          <w:highlight w:val="none"/>
          <w14:textFill>
            <w14:solidFill>
              <w14:schemeClr w14:val="tx1"/>
            </w14:solidFill>
          </w14:textFill>
        </w:rPr>
        <w:t>单位（包括发包人招标分包单位）进行管理，该项管理内容及费用已包含在施工单位管理费中。若由于总承包单位管理和组织不力，造成总体工程（包括发包人分包专业工程）的质量、安全、进度、投资控制等方面不能满足总承包合同及分包合同约定的，总承包单位要承担由此造成的连带责任和经济损失，并接受发包</w:t>
      </w:r>
      <w:r>
        <w:rPr>
          <w:rFonts w:hint="eastAsia" w:ascii="仿宋" w:hAnsi="仿宋" w:eastAsia="仿宋" w:cs="仿宋"/>
          <w:color w:val="000000" w:themeColor="text1"/>
          <w:spacing w:val="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人的违约处罚。同时发包方认为总承包单位分包的专业分包单位在施工、材料供</w:t>
      </w:r>
      <w:r>
        <w:rPr>
          <w:rFonts w:hint="eastAsia" w:ascii="仿宋" w:hAnsi="仿宋" w:eastAsia="仿宋" w:cs="仿宋"/>
          <w:color w:val="000000" w:themeColor="text1"/>
          <w:spacing w:val="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应组织管理等方面影响工程质量、安全、进度、投资控制等，不能满足整体工程建设需要时，或弄虚作假，违反国家法律规定的，发包人有权更换分包单位，所造成的一切损失与责任，由总承包单位承担。</w:t>
      </w:r>
    </w:p>
    <w:p w14:paraId="59CE549D">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本协议签订之日起，发包人有权审核分包单位的资质及施工能力，并有权要求更</w:t>
      </w:r>
      <w:r>
        <w:rPr>
          <w:rFonts w:hint="eastAsia" w:ascii="仿宋" w:hAnsi="仿宋" w:eastAsia="仿宋" w:cs="仿宋"/>
          <w:color w:val="000000" w:themeColor="text1"/>
          <w:spacing w:val="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换不能满足要求的分包人，承包人必须及时执行，并在接到发包人要求更换的通</w:t>
      </w:r>
      <w:r>
        <w:rPr>
          <w:rFonts w:hint="eastAsia" w:ascii="仿宋" w:hAnsi="仿宋" w:eastAsia="仿宋" w:cs="仿宋"/>
          <w:color w:val="000000" w:themeColor="text1"/>
          <w:spacing w:val="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知后</w:t>
      </w:r>
      <w:r>
        <w:rPr>
          <w:rFonts w:hint="eastAsia" w:ascii="仿宋" w:hAnsi="仿宋" w:eastAsia="仿宋" w:cs="仿宋"/>
          <w:color w:val="000000" w:themeColor="text1"/>
          <w:spacing w:val="-5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3</w:t>
      </w:r>
      <w:r>
        <w:rPr>
          <w:rFonts w:hint="eastAsia" w:ascii="仿宋" w:hAnsi="仿宋" w:eastAsia="仿宋" w:cs="仿宋"/>
          <w:color w:val="000000" w:themeColor="text1"/>
          <w:spacing w:val="-5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天内完成更换，延迟更换发包人有权要求承包人承担</w:t>
      </w:r>
      <w:r>
        <w:rPr>
          <w:rFonts w:hint="eastAsia" w:ascii="仿宋" w:hAnsi="仿宋" w:eastAsia="仿宋" w:cs="仿宋"/>
          <w:color w:val="000000" w:themeColor="text1"/>
          <w:spacing w:val="-3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10</w:t>
      </w:r>
      <w:r>
        <w:rPr>
          <w:rFonts w:hint="eastAsia" w:ascii="仿宋" w:hAnsi="仿宋" w:eastAsia="仿宋" w:cs="仿宋"/>
          <w:color w:val="000000" w:themeColor="text1"/>
          <w:spacing w:val="-5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万元/天违约金，</w:t>
      </w:r>
      <w:r>
        <w:rPr>
          <w:rFonts w:hint="eastAsia" w:ascii="仿宋" w:hAnsi="仿宋" w:eastAsia="仿宋" w:cs="仿宋"/>
          <w:color w:val="000000" w:themeColor="text1"/>
          <w:spacing w:val="-4"/>
          <w:sz w:val="24"/>
          <w:szCs w:val="24"/>
          <w:highlight w:val="none"/>
          <w14:textFill>
            <w14:solidFill>
              <w14:schemeClr w14:val="tx1"/>
            </w14:solidFill>
          </w14:textFill>
        </w:rPr>
        <w:t>超过</w:t>
      </w:r>
      <w:r>
        <w:rPr>
          <w:rFonts w:hint="eastAsia" w:ascii="仿宋" w:hAnsi="仿宋" w:eastAsia="仿宋" w:cs="仿宋"/>
          <w:color w:val="000000" w:themeColor="text1"/>
          <w:spacing w:val="-2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10</w:t>
      </w:r>
      <w:r>
        <w:rPr>
          <w:rFonts w:hint="eastAsia" w:ascii="仿宋" w:hAnsi="仿宋" w:eastAsia="仿宋" w:cs="仿宋"/>
          <w:color w:val="000000" w:themeColor="text1"/>
          <w:spacing w:val="-5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天或拒绝更换的扣除分包合同金额</w:t>
      </w:r>
      <w:r>
        <w:rPr>
          <w:rFonts w:hint="eastAsia" w:ascii="仿宋" w:hAnsi="仿宋" w:eastAsia="仿宋" w:cs="仿宋"/>
          <w:color w:val="000000" w:themeColor="text1"/>
          <w:spacing w:val="-5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20%的违约金。</w:t>
      </w:r>
    </w:p>
    <w:p w14:paraId="71285494">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3.5.4 分包合同价款</w:t>
      </w:r>
    </w:p>
    <w:p w14:paraId="0134D2BC">
      <w:pPr>
        <w:keepNext w:val="0"/>
        <w:keepLines w:val="0"/>
        <w:pageBreakBefore w:val="0"/>
        <w:widowControl w:val="0"/>
        <w:kinsoku/>
        <w:wordWrap/>
        <w:overflowPunct/>
        <w:topLinePunct w:val="0"/>
        <w:autoSpaceDE/>
        <w:autoSpaceDN/>
        <w:bidi w:val="0"/>
        <w:snapToGrid/>
        <w:spacing w:line="360" w:lineRule="auto"/>
        <w:ind w:left="0" w:leftChars="0" w:right="0" w:rightChars="0" w:firstLine="56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关于分包合同价款支付的约定</w:t>
      </w:r>
      <w:r>
        <w:rPr>
          <w:rFonts w:hint="eastAsia" w:ascii="仿宋" w:hAnsi="仿宋" w:eastAsia="仿宋" w:cs="仿宋"/>
          <w:color w:val="000000" w:themeColor="text1"/>
          <w:spacing w:val="-64"/>
          <w:sz w:val="24"/>
          <w:szCs w:val="24"/>
          <w:highlight w:val="none"/>
          <w14:textFill>
            <w14:solidFill>
              <w14:schemeClr w14:val="tx1"/>
            </w14:solidFill>
          </w14:textFill>
        </w:rPr>
        <w:t>：</w:t>
      </w:r>
      <w:r>
        <w:rPr>
          <w:rFonts w:hint="eastAsia" w:ascii="仿宋" w:hAnsi="仿宋" w:eastAsia="仿宋" w:cs="仿宋"/>
          <w:color w:val="000000" w:themeColor="text1"/>
          <w:spacing w:val="0"/>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0"/>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pacing w:val="0"/>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0"/>
          <w:sz w:val="24"/>
          <w:szCs w:val="24"/>
          <w:highlight w:val="none"/>
          <w:u w:val="single"/>
          <w14:textFill>
            <w14:solidFill>
              <w14:schemeClr w14:val="tx1"/>
            </w14:solidFill>
          </w14:textFill>
        </w:rPr>
        <w:t>承包人应按分包合同约定，按时支付分包人劳务费。无正当理由，发包人不得以任何</w:t>
      </w:r>
      <w:r>
        <w:rPr>
          <w:rFonts w:hint="eastAsia" w:ascii="仿宋" w:hAnsi="仿宋" w:eastAsia="仿宋" w:cs="仿宋"/>
          <w:color w:val="000000" w:themeColor="text1"/>
          <w:spacing w:val="-1"/>
          <w:sz w:val="24"/>
          <w:szCs w:val="24"/>
          <w:highlight w:val="none"/>
          <w:u w:val="single"/>
          <w14:textFill>
            <w14:solidFill>
              <w14:schemeClr w14:val="tx1"/>
            </w14:solidFill>
          </w14:textFill>
        </w:rPr>
        <w:t>形式向分包人支付任何款项。</w:t>
      </w:r>
    </w:p>
    <w:p w14:paraId="78E8B61A">
      <w:pPr>
        <w:keepNext w:val="0"/>
        <w:keepLines w:val="0"/>
        <w:pageBreakBefore w:val="0"/>
        <w:widowControl w:val="0"/>
        <w:tabs>
          <w:tab w:val="left" w:pos="746"/>
        </w:tabs>
        <w:kinsoku/>
        <w:wordWrap/>
        <w:overflowPunct/>
        <w:topLinePunct w:val="0"/>
        <w:autoSpaceDE/>
        <w:autoSpaceDN/>
        <w:bidi w:val="0"/>
        <w:snapToGrid/>
        <w:spacing w:line="360" w:lineRule="auto"/>
        <w:ind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u w:val="single"/>
          <w14:textFill>
            <w14:solidFill>
              <w14:schemeClr w14:val="tx1"/>
            </w14:solidFill>
          </w14:textFill>
        </w:rPr>
        <w:t>（2）承包人应对分包人的资金进行监管，建立资金专用账户，确保资金专</w:t>
      </w:r>
      <w:r>
        <w:rPr>
          <w:rFonts w:hint="eastAsia" w:ascii="仿宋" w:hAnsi="仿宋" w:eastAsia="仿宋" w:cs="仿宋"/>
          <w:color w:val="000000" w:themeColor="text1"/>
          <w:spacing w:val="-1"/>
          <w:sz w:val="24"/>
          <w:szCs w:val="24"/>
          <w:highlight w:val="none"/>
          <w:u w:val="single"/>
          <w14:textFill>
            <w14:solidFill>
              <w14:schemeClr w14:val="tx1"/>
            </w14:solidFill>
          </w14:textFill>
        </w:rPr>
        <w:t>款专用，分包人不得挪作他用</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61EE838A">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3.6 工程照管与成品、半成品保护</w:t>
      </w:r>
    </w:p>
    <w:p w14:paraId="640DB963">
      <w:pPr>
        <w:keepNext w:val="0"/>
        <w:keepLines w:val="0"/>
        <w:pageBreakBefore w:val="0"/>
        <w:widowControl w:val="0"/>
        <w:kinsoku/>
        <w:wordWrap/>
        <w:overflowPunct/>
        <w:topLinePunct w:val="0"/>
        <w:autoSpaceDE/>
        <w:autoSpaceDN/>
        <w:bidi w:val="0"/>
        <w:snapToGrid/>
        <w:spacing w:line="360" w:lineRule="auto"/>
        <w:ind w:left="0" w:leftChars="0" w:right="0" w:rightChars="0" w:firstLine="56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承包人负责照管工程及工程相关的材料、工程设备的起始时间：</w:t>
      </w:r>
      <w:r>
        <w:rPr>
          <w:rFonts w:hint="eastAsia" w:ascii="仿宋" w:hAnsi="仿宋" w:eastAsia="仿宋" w:cs="仿宋"/>
          <w:color w:val="000000" w:themeColor="text1"/>
          <w:spacing w:val="-2"/>
          <w:sz w:val="24"/>
          <w:szCs w:val="24"/>
          <w:highlight w:val="none"/>
          <w:u w:val="single"/>
          <w14:textFill>
            <w14:solidFill>
              <w14:schemeClr w14:val="tx1"/>
            </w14:solidFill>
          </w14:textFill>
        </w:rPr>
        <w:t>设备、人员进场至竣工验收并交付使用前由承包人负责保修，无其它特殊要求的，费用由承</w:t>
      </w:r>
      <w:r>
        <w:rPr>
          <w:rFonts w:hint="eastAsia" w:ascii="仿宋" w:hAnsi="仿宋" w:eastAsia="仿宋" w:cs="仿宋"/>
          <w:color w:val="000000" w:themeColor="text1"/>
          <w:spacing w:val="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包人承担</w:t>
      </w:r>
      <w:r>
        <w:rPr>
          <w:rFonts w:hint="eastAsia" w:ascii="仿宋" w:hAnsi="仿宋" w:eastAsia="仿宋" w:cs="仿宋"/>
          <w:color w:val="000000" w:themeColor="text1"/>
          <w:spacing w:val="-2"/>
          <w:sz w:val="24"/>
          <w:szCs w:val="24"/>
          <w:highlight w:val="none"/>
          <w14:textFill>
            <w14:solidFill>
              <w14:schemeClr w14:val="tx1"/>
            </w14:solidFill>
          </w14:textFill>
        </w:rPr>
        <w:t>。</w:t>
      </w:r>
    </w:p>
    <w:p w14:paraId="0D016050">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3.7</w:t>
      </w:r>
      <w:r>
        <w:rPr>
          <w:rFonts w:hint="eastAsia" w:ascii="仿宋" w:hAnsi="仿宋" w:eastAsia="仿宋" w:cs="仿宋"/>
          <w:color w:val="000000" w:themeColor="text1"/>
          <w:spacing w:val="2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履约担保</w:t>
      </w:r>
    </w:p>
    <w:p w14:paraId="6B47A22B">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承包人是否提供履约担保：</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提供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54EAAF44">
      <w:pPr>
        <w:keepNext w:val="0"/>
        <w:keepLines w:val="0"/>
        <w:pageBreakBefore w:val="0"/>
        <w:widowControl w:val="0"/>
        <w:kinsoku/>
        <w:wordWrap/>
        <w:overflowPunct/>
        <w:topLinePunct w:val="0"/>
        <w:autoSpaceDE/>
        <w:autoSpaceDN/>
        <w:bidi w:val="0"/>
        <w:snapToGrid/>
        <w:spacing w:line="360" w:lineRule="auto"/>
        <w:ind w:left="0" w:leftChars="0" w:right="0" w:rightChars="0" w:firstLine="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承包人提供履约担保的形式、金额及期限的：</w:t>
      </w:r>
      <w:r>
        <w:rPr>
          <w:rFonts w:hint="eastAsia" w:ascii="仿宋" w:hAnsi="仿宋" w:eastAsia="仿宋" w:cs="仿宋"/>
          <w:color w:val="000000" w:themeColor="text1"/>
          <w:spacing w:val="-5"/>
          <w:sz w:val="24"/>
          <w:szCs w:val="24"/>
          <w:highlight w:val="none"/>
          <w:u w:val="single"/>
          <w14:textFill>
            <w14:solidFill>
              <w14:schemeClr w14:val="tx1"/>
            </w14:solidFill>
          </w14:textFill>
        </w:rPr>
        <w:t>承包人应当在取得中标通知书后</w:t>
      </w:r>
      <w:r>
        <w:rPr>
          <w:rFonts w:hint="eastAsia" w:ascii="仿宋" w:hAnsi="仿宋" w:eastAsia="仿宋" w:cs="仿宋"/>
          <w:color w:val="000000" w:themeColor="text1"/>
          <w:spacing w:val="-23"/>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u w:val="single"/>
          <w14:textFill>
            <w14:solidFill>
              <w14:schemeClr w14:val="tx1"/>
            </w14:solidFill>
          </w14:textFill>
        </w:rPr>
        <w:t>10</w:t>
      </w:r>
      <w:r>
        <w:rPr>
          <w:rFonts w:hint="eastAsia" w:ascii="仿宋" w:hAnsi="仿宋" w:eastAsia="仿宋" w:cs="仿宋"/>
          <w:color w:val="000000" w:themeColor="text1"/>
          <w:spacing w:val="-1"/>
          <w:sz w:val="24"/>
          <w:szCs w:val="24"/>
          <w:highlight w:val="none"/>
          <w:u w:val="single"/>
          <w14:textFill>
            <w14:solidFill>
              <w14:schemeClr w14:val="tx1"/>
            </w14:solidFill>
          </w14:textFill>
        </w:rPr>
        <w:t>个工作日内提供真实有效且经发包人审查认可、金额为中标合同总价</w:t>
      </w:r>
      <w:r>
        <w:rPr>
          <w:rFonts w:hint="eastAsia" w:ascii="仿宋" w:hAnsi="仿宋" w:eastAsia="仿宋" w:cs="仿宋"/>
          <w:color w:val="000000" w:themeColor="text1"/>
          <w:spacing w:val="-38"/>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10%的履约</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u w:val="single"/>
          <w14:textFill>
            <w14:solidFill>
              <w14:schemeClr w14:val="tx1"/>
            </w14:solidFill>
          </w14:textFill>
        </w:rPr>
        <w:t>担保(①现金电汇或银行转账的方式提交；</w:t>
      </w:r>
      <w:r>
        <w:rPr>
          <w:rFonts w:hint="eastAsia" w:ascii="仿宋" w:hAnsi="仿宋" w:eastAsia="仿宋" w:cs="仿宋"/>
          <w:color w:val="000000" w:themeColor="text1"/>
          <w:spacing w:val="-4"/>
          <w:sz w:val="24"/>
          <w:szCs w:val="24"/>
          <w:highlight w:val="none"/>
          <w:u w:val="single"/>
          <w14:textFill>
            <w14:solidFill>
              <w14:schemeClr w14:val="tx1"/>
            </w14:solidFill>
          </w14:textFill>
        </w:rPr>
        <w:t>②银行保函。）否则承包人不得进场，</w:t>
      </w:r>
      <w:r>
        <w:rPr>
          <w:rFonts w:hint="eastAsia" w:ascii="仿宋" w:hAnsi="仿宋" w:eastAsia="仿宋" w:cs="仿宋"/>
          <w:color w:val="000000" w:themeColor="text1"/>
          <w:spacing w:val="-2"/>
          <w:sz w:val="24"/>
          <w:szCs w:val="24"/>
          <w:highlight w:val="none"/>
          <w:u w:val="single"/>
          <w14:textFill>
            <w14:solidFill>
              <w14:schemeClr w14:val="tx1"/>
            </w14:solidFill>
          </w14:textFill>
        </w:rPr>
        <w:t>所造成的工期延误由承包人承担责任和损失。工程竣工验收合格后一次性无息退</w:t>
      </w:r>
      <w:bookmarkStart w:id="141" w:name="bookmark139"/>
      <w:bookmarkEnd w:id="141"/>
      <w:r>
        <w:rPr>
          <w:rFonts w:hint="eastAsia" w:ascii="仿宋" w:hAnsi="仿宋" w:eastAsia="仿宋" w:cs="仿宋"/>
          <w:color w:val="000000" w:themeColor="text1"/>
          <w:spacing w:val="-5"/>
          <w:sz w:val="24"/>
          <w:szCs w:val="24"/>
          <w:highlight w:val="none"/>
          <w:u w:val="single"/>
          <w14:textFill>
            <w14:solidFill>
              <w14:schemeClr w14:val="tx1"/>
            </w14:solidFill>
          </w14:textFill>
        </w:rPr>
        <w:t>还</w:t>
      </w:r>
      <w:r>
        <w:rPr>
          <w:rFonts w:hint="eastAsia" w:ascii="仿宋" w:hAnsi="仿宋" w:eastAsia="仿宋" w:cs="仿宋"/>
          <w:color w:val="000000" w:themeColor="text1"/>
          <w:spacing w:val="-5"/>
          <w:sz w:val="24"/>
          <w:szCs w:val="24"/>
          <w:highlight w:val="none"/>
          <w14:textFill>
            <w14:solidFill>
              <w14:schemeClr w14:val="tx1"/>
            </w14:solidFill>
          </w14:textFill>
        </w:rPr>
        <w:t>。</w:t>
      </w:r>
    </w:p>
    <w:p w14:paraId="12CBF7FB">
      <w:pPr>
        <w:keepNext w:val="0"/>
        <w:keepLines w:val="0"/>
        <w:pageBreakBefore w:val="0"/>
        <w:widowControl w:val="0"/>
        <w:kinsoku/>
        <w:wordWrap/>
        <w:overflowPunct/>
        <w:topLinePunct w:val="0"/>
        <w:autoSpaceDE/>
        <w:autoSpaceDN/>
        <w:bidi w:val="0"/>
        <w:snapToGrid/>
        <w:spacing w:line="360" w:lineRule="auto"/>
        <w:ind w:left="0" w:leftChars="0" w:right="0" w:rightChars="0"/>
        <w:outlineLvl w:val="2"/>
        <w:rPr>
          <w:rFonts w:hint="eastAsia" w:ascii="仿宋" w:hAnsi="仿宋" w:eastAsia="仿宋" w:cs="仿宋"/>
          <w:color w:val="000000" w:themeColor="text1"/>
          <w:sz w:val="24"/>
          <w:szCs w:val="24"/>
          <w:highlight w:val="none"/>
          <w14:textFill>
            <w14:solidFill>
              <w14:schemeClr w14:val="tx1"/>
            </w14:solidFill>
          </w14:textFill>
        </w:rPr>
      </w:pPr>
      <w:bookmarkStart w:id="142" w:name="bookmark219"/>
      <w:bookmarkEnd w:id="142"/>
      <w:bookmarkStart w:id="143" w:name="_Toc1148"/>
      <w:r>
        <w:rPr>
          <w:rFonts w:hint="eastAsia" w:ascii="仿宋" w:hAnsi="仿宋" w:eastAsia="仿宋" w:cs="仿宋"/>
          <w:color w:val="000000" w:themeColor="text1"/>
          <w:spacing w:val="-4"/>
          <w:sz w:val="24"/>
          <w:szCs w:val="24"/>
          <w:highlight w:val="none"/>
          <w14:textFill>
            <w14:solidFill>
              <w14:schemeClr w14:val="tx1"/>
            </w14:solidFill>
          </w14:textFill>
        </w:rPr>
        <w:t>4.</w:t>
      </w:r>
      <w:r>
        <w:rPr>
          <w:rFonts w:hint="eastAsia" w:ascii="仿宋" w:hAnsi="仿宋" w:eastAsia="仿宋" w:cs="仿宋"/>
          <w:color w:val="000000" w:themeColor="text1"/>
          <w:spacing w:val="1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监理人</w:t>
      </w:r>
      <w:bookmarkEnd w:id="143"/>
    </w:p>
    <w:p w14:paraId="0C234434">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4.1</w:t>
      </w:r>
      <w:r>
        <w:rPr>
          <w:rFonts w:hint="eastAsia" w:ascii="仿宋" w:hAnsi="仿宋" w:eastAsia="仿宋" w:cs="仿宋"/>
          <w:color w:val="000000" w:themeColor="text1"/>
          <w:spacing w:val="-5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监理人的一般规定</w:t>
      </w:r>
    </w:p>
    <w:p w14:paraId="4B77A850">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关于监理人的监理内容：</w:t>
      </w:r>
      <w:r>
        <w:rPr>
          <w:rFonts w:hint="eastAsia" w:ascii="仿宋" w:hAnsi="仿宋" w:eastAsia="仿宋" w:cs="仿宋"/>
          <w:color w:val="000000" w:themeColor="text1"/>
          <w:spacing w:val="-1"/>
          <w:sz w:val="24"/>
          <w:szCs w:val="24"/>
          <w:highlight w:val="none"/>
          <w:u w:val="single"/>
          <w14:textFill>
            <w14:solidFill>
              <w14:schemeClr w14:val="tx1"/>
            </w14:solidFill>
          </w14:textFill>
        </w:rPr>
        <w:t>按监理合同执行</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39829402">
      <w:pPr>
        <w:keepNext w:val="0"/>
        <w:keepLines w:val="0"/>
        <w:pageBreakBefore w:val="0"/>
        <w:widowControl w:val="0"/>
        <w:kinsoku/>
        <w:wordWrap/>
        <w:overflowPunct/>
        <w:topLinePunct w:val="0"/>
        <w:autoSpaceDE/>
        <w:autoSpaceDN/>
        <w:bidi w:val="0"/>
        <w:snapToGrid/>
        <w:spacing w:line="360" w:lineRule="auto"/>
        <w:ind w:left="0" w:leftChars="0" w:right="0" w:rightChars="0" w:firstLine="5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8"/>
          <w:sz w:val="24"/>
          <w:szCs w:val="24"/>
          <w:highlight w:val="none"/>
          <w14:textFill>
            <w14:solidFill>
              <w14:schemeClr w14:val="tx1"/>
            </w14:solidFill>
          </w14:textFill>
        </w:rPr>
        <w:t>工作范围：按发包人委托项目管理或监理的范围、内容、职权权限，代表发</w:t>
      </w:r>
      <w:r>
        <w:rPr>
          <w:rFonts w:hint="eastAsia" w:ascii="仿宋" w:hAnsi="仿宋" w:eastAsia="仿宋" w:cs="仿宋"/>
          <w:color w:val="000000" w:themeColor="text1"/>
          <w:spacing w:val="-2"/>
          <w:sz w:val="24"/>
          <w:szCs w:val="24"/>
          <w:highlight w:val="none"/>
          <w14:textFill>
            <w14:solidFill>
              <w14:schemeClr w14:val="tx1"/>
            </w14:solidFill>
          </w14:textFill>
        </w:rPr>
        <w:t>包人对承包人实施监督。向承包人发出的通知，以书面形式由工程总监签字后送</w:t>
      </w:r>
      <w:r>
        <w:rPr>
          <w:rFonts w:hint="eastAsia" w:ascii="仿宋" w:hAnsi="仿宋" w:eastAsia="仿宋" w:cs="仿宋"/>
          <w:color w:val="000000" w:themeColor="text1"/>
          <w:spacing w:val="-3"/>
          <w:sz w:val="24"/>
          <w:szCs w:val="24"/>
          <w:highlight w:val="none"/>
          <w14:textFill>
            <w14:solidFill>
              <w14:schemeClr w14:val="tx1"/>
            </w14:solidFill>
          </w14:textFill>
        </w:rPr>
        <w:t>交承包人实施，并抄送发包人。</w:t>
      </w:r>
    </w:p>
    <w:p w14:paraId="55E6773B">
      <w:pPr>
        <w:keepNext w:val="0"/>
        <w:keepLines w:val="0"/>
        <w:pageBreakBefore w:val="0"/>
        <w:widowControl w:val="0"/>
        <w:kinsoku/>
        <w:wordWrap/>
        <w:overflowPunct/>
        <w:topLinePunct w:val="0"/>
        <w:autoSpaceDE/>
        <w:autoSpaceDN/>
        <w:bidi w:val="0"/>
        <w:snapToGrid/>
        <w:spacing w:line="360" w:lineRule="auto"/>
        <w:ind w:left="0" w:leftChars="0" w:right="0" w:rightChars="0" w:firstLine="56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工作内容：组织设计单位进行工程设计优化、技术经济方案</w:t>
      </w:r>
      <w:r>
        <w:rPr>
          <w:rFonts w:hint="eastAsia" w:ascii="仿宋" w:hAnsi="仿宋" w:eastAsia="仿宋" w:cs="仿宋"/>
          <w:color w:val="000000" w:themeColor="text1"/>
          <w:spacing w:val="-3"/>
          <w:sz w:val="24"/>
          <w:szCs w:val="24"/>
          <w:highlight w:val="none"/>
          <w14:textFill>
            <w14:solidFill>
              <w14:schemeClr w14:val="tx1"/>
            </w14:solidFill>
          </w14:textFill>
        </w:rPr>
        <w:t>比选并进行投资</w:t>
      </w:r>
      <w:r>
        <w:rPr>
          <w:rFonts w:hint="eastAsia" w:ascii="仿宋" w:hAnsi="仿宋" w:eastAsia="仿宋" w:cs="仿宋"/>
          <w:color w:val="000000" w:themeColor="text1"/>
          <w:spacing w:val="-2"/>
          <w:sz w:val="24"/>
          <w:szCs w:val="24"/>
          <w:highlight w:val="none"/>
          <w14:textFill>
            <w14:solidFill>
              <w14:schemeClr w14:val="tx1"/>
            </w14:solidFill>
          </w14:textFill>
        </w:rPr>
        <w:t>控制、组织项目实施阶段工程、服务、设备采购招标；协助业主方与工程项目总承包企业或承包人及建筑材料、设备、构配件供应等企业签订合同并监督实施、提出工程实施用款计划，进行工程竣工结算和工程决算，处理工程索赔，组织竣工验收，向业主方移交竣工档案资料、生产试运行及工程保修期管理，组织项目</w:t>
      </w:r>
      <w:r>
        <w:rPr>
          <w:rFonts w:hint="eastAsia" w:ascii="仿宋" w:hAnsi="仿宋" w:eastAsia="仿宋" w:cs="仿宋"/>
          <w:color w:val="000000" w:themeColor="text1"/>
          <w:spacing w:val="-5"/>
          <w:sz w:val="24"/>
          <w:szCs w:val="24"/>
          <w:highlight w:val="none"/>
          <w14:textFill>
            <w14:solidFill>
              <w14:schemeClr w14:val="tx1"/>
            </w14:solidFill>
          </w14:textFill>
        </w:rPr>
        <w:t>后评估等）和施工监理工作（包括项目实施</w:t>
      </w:r>
      <w:r>
        <w:rPr>
          <w:rFonts w:hint="eastAsia" w:ascii="仿宋" w:hAnsi="仿宋" w:eastAsia="仿宋" w:cs="仿宋"/>
          <w:color w:val="000000" w:themeColor="text1"/>
          <w:spacing w:val="-6"/>
          <w:sz w:val="24"/>
          <w:szCs w:val="24"/>
          <w:highlight w:val="none"/>
          <w14:textFill>
            <w14:solidFill>
              <w14:schemeClr w14:val="tx1"/>
            </w14:solidFill>
          </w14:textFill>
        </w:rPr>
        <w:t>阶段和缺陷责任期的监理）。</w:t>
      </w:r>
    </w:p>
    <w:p w14:paraId="15304FCF">
      <w:pPr>
        <w:keepNext w:val="0"/>
        <w:keepLines w:val="0"/>
        <w:pageBreakBefore w:val="0"/>
        <w:widowControl w:val="0"/>
        <w:kinsoku/>
        <w:wordWrap/>
        <w:overflowPunct/>
        <w:topLinePunct w:val="0"/>
        <w:autoSpaceDE/>
        <w:autoSpaceDN/>
        <w:bidi w:val="0"/>
        <w:snapToGrid/>
        <w:spacing w:line="360" w:lineRule="auto"/>
        <w:ind w:left="0" w:leftChars="0" w:right="0" w:rightChars="0" w:firstLine="56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7"/>
          <w:sz w:val="24"/>
          <w:szCs w:val="24"/>
          <w:highlight w:val="none"/>
          <w14:textFill>
            <w14:solidFill>
              <w14:schemeClr w14:val="tx1"/>
            </w14:solidFill>
          </w14:textFill>
        </w:rPr>
        <w:t>工程质量控制、进度控制、现场安全生产、文明施</w:t>
      </w:r>
      <w:r>
        <w:rPr>
          <w:rFonts w:hint="eastAsia" w:ascii="仿宋" w:hAnsi="仿宋" w:eastAsia="仿宋" w:cs="仿宋"/>
          <w:color w:val="000000" w:themeColor="text1"/>
          <w:spacing w:val="-8"/>
          <w:sz w:val="24"/>
          <w:szCs w:val="24"/>
          <w:highlight w:val="none"/>
          <w14:textFill>
            <w14:solidFill>
              <w14:schemeClr w14:val="tx1"/>
            </w14:solidFill>
          </w14:textFill>
        </w:rPr>
        <w:t>工管理、造价及合同管理、</w:t>
      </w:r>
      <w:r>
        <w:rPr>
          <w:rFonts w:hint="eastAsia" w:ascii="仿宋" w:hAnsi="仿宋" w:eastAsia="仿宋" w:cs="仿宋"/>
          <w:color w:val="000000" w:themeColor="text1"/>
          <w:spacing w:val="-2"/>
          <w:sz w:val="24"/>
          <w:szCs w:val="24"/>
          <w:highlight w:val="none"/>
          <w14:textFill>
            <w14:solidFill>
              <w14:schemeClr w14:val="tx1"/>
            </w14:solidFill>
          </w14:textFill>
        </w:rPr>
        <w:t>信息管理和施工现场的组织协调，以及法律法规规章、监理合同和监理规范等文</w:t>
      </w:r>
      <w:r>
        <w:rPr>
          <w:rFonts w:hint="eastAsia" w:ascii="仿宋" w:hAnsi="仿宋" w:eastAsia="仿宋" w:cs="仿宋"/>
          <w:color w:val="000000" w:themeColor="text1"/>
          <w:spacing w:val="-1"/>
          <w:sz w:val="24"/>
          <w:szCs w:val="24"/>
          <w:highlight w:val="none"/>
          <w14:textFill>
            <w14:solidFill>
              <w14:schemeClr w14:val="tx1"/>
            </w14:solidFill>
          </w14:textFill>
        </w:rPr>
        <w:t>件的相关规定执行</w:t>
      </w:r>
    </w:p>
    <w:p w14:paraId="183080DD">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关于监理人的监理权限：</w:t>
      </w:r>
    </w:p>
    <w:p w14:paraId="56859AED">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按照监理规范要求，进行投资控制、质量控制、进度控制，合同管理</w:t>
      </w:r>
      <w:r>
        <w:rPr>
          <w:rFonts w:hint="eastAsia" w:ascii="仿宋" w:hAnsi="仿宋" w:eastAsia="仿宋" w:cs="仿宋"/>
          <w:color w:val="000000" w:themeColor="text1"/>
          <w:spacing w:val="-3"/>
          <w:sz w:val="24"/>
          <w:szCs w:val="24"/>
          <w:highlight w:val="none"/>
          <w14:textFill>
            <w14:solidFill>
              <w14:schemeClr w14:val="tx1"/>
            </w14:solidFill>
          </w14:textFill>
        </w:rPr>
        <w:t>、信息</w:t>
      </w:r>
      <w:r>
        <w:rPr>
          <w:rFonts w:hint="eastAsia" w:ascii="仿宋" w:hAnsi="仿宋" w:eastAsia="仿宋" w:cs="仿宋"/>
          <w:color w:val="000000" w:themeColor="text1"/>
          <w:spacing w:val="-2"/>
          <w:sz w:val="24"/>
          <w:szCs w:val="24"/>
          <w:highlight w:val="none"/>
          <w14:textFill>
            <w14:solidFill>
              <w14:schemeClr w14:val="tx1"/>
            </w14:solidFill>
          </w14:textFill>
        </w:rPr>
        <w:t>管理，对工程项目进行过程的组织协调及安全管理的监理工作，具体以发包人与监理公司签订的《监理合同》授权为准。涉及设计变更、工期顺延、材料价格、用材、追加工程款、索赔的处理等可能影响工程价款或工期的签证，必须经发包</w:t>
      </w:r>
      <w:r>
        <w:rPr>
          <w:rFonts w:hint="eastAsia" w:ascii="仿宋" w:hAnsi="仿宋" w:eastAsia="仿宋" w:cs="仿宋"/>
          <w:color w:val="000000" w:themeColor="text1"/>
          <w:spacing w:val="-1"/>
          <w:sz w:val="24"/>
          <w:szCs w:val="24"/>
          <w:highlight w:val="none"/>
          <w14:textFill>
            <w14:solidFill>
              <w14:schemeClr w14:val="tx1"/>
            </w14:solidFill>
          </w14:textFill>
        </w:rPr>
        <w:t>人书面同意签字盖章才有效。需要取得发包人批准才能行使的职权详见本工程</w:t>
      </w:r>
      <w:r>
        <w:rPr>
          <w:rFonts w:hint="eastAsia" w:ascii="仿宋" w:hAnsi="仿宋" w:eastAsia="仿宋" w:cs="仿宋"/>
          <w:color w:val="000000" w:themeColor="text1"/>
          <w:spacing w:val="-13"/>
          <w:sz w:val="24"/>
          <w:szCs w:val="24"/>
          <w:highlight w:val="none"/>
          <w14:textFill>
            <w14:solidFill>
              <w14:schemeClr w14:val="tx1"/>
            </w14:solidFill>
          </w14:textFill>
        </w:rPr>
        <w:t>《建设工程委托监理合同》。</w:t>
      </w:r>
    </w:p>
    <w:p w14:paraId="08115CB2">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pacing w:val="-8"/>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（1）对工程建设有关事项包括工程规模、设计标准和使用功能要求，向发</w:t>
      </w:r>
      <w:r>
        <w:rPr>
          <w:rFonts w:hint="eastAsia" w:ascii="仿宋" w:hAnsi="仿宋" w:eastAsia="仿宋" w:cs="仿宋"/>
          <w:color w:val="000000" w:themeColor="text1"/>
          <w:spacing w:val="-8"/>
          <w:sz w:val="24"/>
          <w:szCs w:val="24"/>
          <w:highlight w:val="none"/>
          <w14:textFill>
            <w14:solidFill>
              <w14:schemeClr w14:val="tx1"/>
            </w14:solidFill>
          </w14:textFill>
        </w:rPr>
        <w:t>包人的建议权；</w:t>
      </w:r>
    </w:p>
    <w:p w14:paraId="1795DE4D">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（2）对工程设计中的技术问题，按照安全和优化的原则，向承包人提出建</w:t>
      </w:r>
      <w:r>
        <w:rPr>
          <w:rFonts w:hint="eastAsia" w:ascii="仿宋" w:hAnsi="仿宋" w:eastAsia="仿宋" w:cs="仿宋"/>
          <w:color w:val="000000" w:themeColor="text1"/>
          <w:spacing w:val="-2"/>
          <w:sz w:val="24"/>
          <w:szCs w:val="24"/>
          <w:highlight w:val="none"/>
          <w14:textFill>
            <w14:solidFill>
              <w14:schemeClr w14:val="tx1"/>
            </w14:solidFill>
          </w14:textFill>
        </w:rPr>
        <w:t>议；如果拟提出的建议可能会提高工程造价，或延长工期，应当事先对造价、工期进行评估，呈报书面材料征得发包人的同意。当发现工程设计不符合国家颁布</w:t>
      </w:r>
      <w:r>
        <w:rPr>
          <w:rFonts w:hint="eastAsia" w:ascii="仿宋" w:hAnsi="仿宋" w:eastAsia="仿宋" w:cs="仿宋"/>
          <w:color w:val="000000" w:themeColor="text1"/>
          <w:spacing w:val="-3"/>
          <w:sz w:val="24"/>
          <w:szCs w:val="24"/>
          <w:highlight w:val="none"/>
          <w14:textFill>
            <w14:solidFill>
              <w14:schemeClr w14:val="tx1"/>
            </w14:solidFill>
          </w14:textFill>
        </w:rPr>
        <w:t>的建设工程质量标准或涉及合同约定的质量标准时，监理单位应当书面报告发包</w:t>
      </w:r>
      <w:r>
        <w:rPr>
          <w:rFonts w:hint="eastAsia" w:ascii="仿宋" w:hAnsi="仿宋" w:eastAsia="仿宋" w:cs="仿宋"/>
          <w:color w:val="000000" w:themeColor="text1"/>
          <w:spacing w:val="-5"/>
          <w:sz w:val="24"/>
          <w:szCs w:val="24"/>
          <w:highlight w:val="none"/>
          <w14:textFill>
            <w14:solidFill>
              <w14:schemeClr w14:val="tx1"/>
            </w14:solidFill>
          </w14:textFill>
        </w:rPr>
        <w:t>人并要求承包人更正；</w:t>
      </w:r>
    </w:p>
    <w:p w14:paraId="182B5711">
      <w:pPr>
        <w:keepNext w:val="0"/>
        <w:keepLines w:val="0"/>
        <w:pageBreakBefore w:val="0"/>
        <w:widowControl w:val="0"/>
        <w:kinsoku/>
        <w:wordWrap/>
        <w:overflowPunct/>
        <w:topLinePunct w:val="0"/>
        <w:autoSpaceDE/>
        <w:autoSpaceDN/>
        <w:bidi w:val="0"/>
        <w:snapToGrid/>
        <w:spacing w:line="360" w:lineRule="auto"/>
        <w:ind w:left="0" w:leftChars="0" w:right="0" w:rightChars="0" w:firstLine="54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（3）审批工程施工组织设计和技术方案，按照保质量、保工期和降低成本</w:t>
      </w:r>
      <w:r>
        <w:rPr>
          <w:rFonts w:hint="eastAsia" w:ascii="仿宋" w:hAnsi="仿宋" w:eastAsia="仿宋" w:cs="仿宋"/>
          <w:color w:val="000000" w:themeColor="text1"/>
          <w:spacing w:val="-2"/>
          <w:sz w:val="24"/>
          <w:szCs w:val="24"/>
          <w:highlight w:val="none"/>
          <w14:textFill>
            <w14:solidFill>
              <w14:schemeClr w14:val="tx1"/>
            </w14:solidFill>
          </w14:textFill>
        </w:rPr>
        <w:t>的原则，向承包人提出建议，并向发包人提出书面报告；</w:t>
      </w:r>
    </w:p>
    <w:p w14:paraId="3CDD6528">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（4）督促承包人建立健全施工管理制度和质量保证体系，并监督其实施；</w:t>
      </w:r>
    </w:p>
    <w:p w14:paraId="42B3BC84">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（5）严格检查放线与施工测量，并编写有关记录；</w:t>
      </w:r>
    </w:p>
    <w:p w14:paraId="3E9FF14A">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（6）主持工程建设有关协作单位的协调会议，重要协调事项应当事先向发</w:t>
      </w:r>
      <w:r>
        <w:rPr>
          <w:rFonts w:hint="eastAsia" w:ascii="仿宋" w:hAnsi="仿宋" w:eastAsia="仿宋" w:cs="仿宋"/>
          <w:color w:val="000000" w:themeColor="text1"/>
          <w:spacing w:val="-2"/>
          <w:sz w:val="24"/>
          <w:szCs w:val="24"/>
          <w:highlight w:val="none"/>
          <w14:textFill>
            <w14:solidFill>
              <w14:schemeClr w14:val="tx1"/>
            </w14:solidFill>
          </w14:textFill>
        </w:rPr>
        <w:t>包人报告；</w:t>
      </w:r>
    </w:p>
    <w:p w14:paraId="3BE4722E">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（7）征得发包人同意，监理单位有权发布开工令、停工令、复工</w:t>
      </w:r>
      <w:r>
        <w:rPr>
          <w:rFonts w:hint="eastAsia" w:ascii="仿宋" w:hAnsi="仿宋" w:eastAsia="仿宋" w:cs="仿宋"/>
          <w:color w:val="000000" w:themeColor="text1"/>
          <w:spacing w:val="-2"/>
          <w:sz w:val="24"/>
          <w:szCs w:val="24"/>
          <w:highlight w:val="none"/>
          <w14:textFill>
            <w14:solidFill>
              <w14:schemeClr w14:val="tx1"/>
            </w14:solidFill>
          </w14:textFill>
        </w:rPr>
        <w:t>令，如在紧急情况下未能实现报告时，则应在24小时内向发包人作出书面报告；</w:t>
      </w:r>
    </w:p>
    <w:p w14:paraId="0BB291E7">
      <w:pPr>
        <w:keepNext w:val="0"/>
        <w:keepLines w:val="0"/>
        <w:pageBreakBefore w:val="0"/>
        <w:widowControl w:val="0"/>
        <w:kinsoku/>
        <w:wordWrap/>
        <w:overflowPunct/>
        <w:topLinePunct w:val="0"/>
        <w:autoSpaceDE/>
        <w:autoSpaceDN/>
        <w:bidi w:val="0"/>
        <w:snapToGrid/>
        <w:spacing w:line="360" w:lineRule="auto"/>
        <w:ind w:left="0" w:leftChars="0" w:right="0" w:rightChars="0" w:firstLine="56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（8）进场材料设备和施工质量的检验权。对于不符合设计要求和合同约定</w:t>
      </w:r>
      <w:r>
        <w:rPr>
          <w:rFonts w:hint="eastAsia" w:ascii="仿宋" w:hAnsi="仿宋" w:eastAsia="仿宋" w:cs="仿宋"/>
          <w:color w:val="000000" w:themeColor="text1"/>
          <w:spacing w:val="1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14:textFill>
            <w14:solidFill>
              <w14:schemeClr w14:val="tx1"/>
            </w14:solidFill>
          </w14:textFill>
        </w:rPr>
        <w:t>及国家质量标准的材料、结构配件、设备，有权通知承包人停止使用；对于不符</w:t>
      </w:r>
      <w:r>
        <w:rPr>
          <w:rFonts w:hint="eastAsia" w:ascii="仿宋" w:hAnsi="仿宋" w:eastAsia="仿宋" w:cs="仿宋"/>
          <w:color w:val="000000" w:themeColor="text1"/>
          <w:spacing w:val="-2"/>
          <w:sz w:val="24"/>
          <w:szCs w:val="24"/>
          <w:highlight w:val="none"/>
          <w14:textFill>
            <w14:solidFill>
              <w14:schemeClr w14:val="tx1"/>
            </w14:solidFill>
          </w14:textFill>
        </w:rPr>
        <w:t>合规范和质量标准的工序、分部、分项工程和不安全施工作业，有权通知承包人停工整改、返工。承包人得到监理单位复工令后才能复工；</w:t>
      </w:r>
    </w:p>
    <w:p w14:paraId="017F879B">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（9）工程进度的检查、监督权、以及工程实际竣工日期提前或超过合同规</w:t>
      </w:r>
      <w:r>
        <w:rPr>
          <w:rFonts w:hint="eastAsia" w:ascii="仿宋" w:hAnsi="仿宋" w:eastAsia="仿宋" w:cs="仿宋"/>
          <w:color w:val="000000" w:themeColor="text1"/>
          <w:spacing w:val="-6"/>
          <w:sz w:val="24"/>
          <w:szCs w:val="24"/>
          <w:highlight w:val="none"/>
          <w14:textFill>
            <w14:solidFill>
              <w14:schemeClr w14:val="tx1"/>
            </w14:solidFill>
          </w14:textFill>
        </w:rPr>
        <w:t>定的竣工期限的签认权；</w:t>
      </w:r>
    </w:p>
    <w:p w14:paraId="20EF9824">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（10）在合同约定的合同价格范围内，合同价款支付的审核和签认权。</w:t>
      </w:r>
    </w:p>
    <w:p w14:paraId="3AB0540C">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（11）当监理单位认为出现了危及生命、工程或毗邻财</w:t>
      </w:r>
      <w:r>
        <w:rPr>
          <w:rFonts w:hint="eastAsia" w:ascii="仿宋" w:hAnsi="仿宋" w:eastAsia="仿宋" w:cs="仿宋"/>
          <w:color w:val="000000" w:themeColor="text1"/>
          <w:spacing w:val="-3"/>
          <w:sz w:val="24"/>
          <w:szCs w:val="24"/>
          <w:highlight w:val="none"/>
          <w14:textFill>
            <w14:solidFill>
              <w14:schemeClr w14:val="tx1"/>
            </w14:solidFill>
          </w14:textFill>
        </w:rPr>
        <w:t>产等安全的紧急事件</w:t>
      </w:r>
      <w:r>
        <w:rPr>
          <w:rFonts w:hint="eastAsia" w:ascii="仿宋" w:hAnsi="仿宋" w:eastAsia="仿宋" w:cs="仿宋"/>
          <w:color w:val="000000" w:themeColor="text1"/>
          <w:spacing w:val="-2"/>
          <w:sz w:val="24"/>
          <w:szCs w:val="24"/>
          <w:highlight w:val="none"/>
          <w14:textFill>
            <w14:solidFill>
              <w14:schemeClr w14:val="tx1"/>
            </w14:solidFill>
          </w14:textFill>
        </w:rPr>
        <w:t>时，在不免除合同规定的承包人责任的情况下，监理单位可以指示承包人实施为消除或减少这种危险所必须进行的工作，即使未经发包人的事先批准，承包人也应立即遵照执行并在事件发生后2日内形成书面材料报发包人审批；</w:t>
      </w:r>
    </w:p>
    <w:p w14:paraId="083B553A">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12）监理单位应公正地履行职责，在按合同要求由监理单位发出指示、表示意见、审批文件、确定价格以及采取可能涉及发包人或承包人的义务和权利的行动时，应认真查清事实，并与双方充分协商后作出公正的决定；</w:t>
      </w:r>
    </w:p>
    <w:p w14:paraId="43961FD0">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需要取得发包人批准才能行使的职权：</w:t>
      </w:r>
    </w:p>
    <w:p w14:paraId="1C1520B8">
      <w:pPr>
        <w:keepNext w:val="0"/>
        <w:keepLines w:val="0"/>
        <w:pageBreakBefore w:val="0"/>
        <w:widowControl w:val="0"/>
        <w:kinsoku/>
        <w:wordWrap/>
        <w:overflowPunct/>
        <w:topLinePunct w:val="0"/>
        <w:autoSpaceDE/>
        <w:autoSpaceDN/>
        <w:bidi w:val="0"/>
        <w:snapToGrid/>
        <w:spacing w:line="360" w:lineRule="auto"/>
        <w:ind w:left="0" w:leftChars="0" w:right="0" w:rightChars="0" w:firstLine="45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7"/>
          <w:sz w:val="24"/>
          <w:szCs w:val="24"/>
          <w:highlight w:val="none"/>
          <w14:textFill>
            <w14:solidFill>
              <w14:schemeClr w14:val="tx1"/>
            </w14:solidFill>
          </w14:textFill>
        </w:rPr>
        <w:t>（1）设计变更；</w:t>
      </w:r>
    </w:p>
    <w:p w14:paraId="3376D622">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（2）工期延误索赔或签证，工程量及费用增</w:t>
      </w:r>
      <w:r>
        <w:rPr>
          <w:rFonts w:hint="eastAsia" w:ascii="仿宋" w:hAnsi="仿宋" w:eastAsia="仿宋" w:cs="仿宋"/>
          <w:color w:val="000000" w:themeColor="text1"/>
          <w:spacing w:val="-3"/>
          <w:sz w:val="24"/>
          <w:szCs w:val="24"/>
          <w:highlight w:val="none"/>
          <w14:textFill>
            <w14:solidFill>
              <w14:schemeClr w14:val="tx1"/>
            </w14:solidFill>
          </w14:textFill>
        </w:rPr>
        <w:t>减的索赔或签证；</w:t>
      </w:r>
    </w:p>
    <w:p w14:paraId="2AA53587">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（3）合同价款支付；</w:t>
      </w:r>
    </w:p>
    <w:p w14:paraId="08AE4FFA">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（4）施工组织设计、总进度计划的审定；</w:t>
      </w:r>
    </w:p>
    <w:p w14:paraId="3A1BF5F6">
      <w:pPr>
        <w:keepNext w:val="0"/>
        <w:keepLines w:val="0"/>
        <w:pageBreakBefore w:val="0"/>
        <w:widowControl w:val="0"/>
        <w:kinsoku/>
        <w:wordWrap/>
        <w:overflowPunct/>
        <w:topLinePunct w:val="0"/>
        <w:autoSpaceDE/>
        <w:autoSpaceDN/>
        <w:bidi w:val="0"/>
        <w:snapToGrid/>
        <w:spacing w:line="360" w:lineRule="auto"/>
        <w:ind w:left="0" w:leftChars="0" w:right="0" w:rightChars="0" w:firstLine="45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（5）主要材料的认质认价；</w:t>
      </w:r>
    </w:p>
    <w:p w14:paraId="39E621FA">
      <w:pPr>
        <w:keepNext w:val="0"/>
        <w:keepLines w:val="0"/>
        <w:pageBreakBefore w:val="0"/>
        <w:widowControl w:val="0"/>
        <w:kinsoku/>
        <w:wordWrap/>
        <w:overflowPunct/>
        <w:topLinePunct w:val="0"/>
        <w:autoSpaceDE/>
        <w:autoSpaceDN/>
        <w:bidi w:val="0"/>
        <w:snapToGrid/>
        <w:spacing w:line="360" w:lineRule="auto"/>
        <w:ind w:left="0" w:leftChars="0" w:right="0" w:rightChars="0" w:firstLine="46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（6）停工、复工通知；</w:t>
      </w:r>
    </w:p>
    <w:p w14:paraId="6CD56E59">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（7）其他重要突发事件处理决定见本工程建设监理合同约定权限以及发包</w:t>
      </w:r>
      <w:r>
        <w:rPr>
          <w:rFonts w:hint="eastAsia" w:ascii="仿宋" w:hAnsi="仿宋" w:eastAsia="仿宋" w:cs="仿宋"/>
          <w:color w:val="000000" w:themeColor="text1"/>
          <w:spacing w:val="-4"/>
          <w:sz w:val="24"/>
          <w:szCs w:val="24"/>
          <w:highlight w:val="none"/>
          <w14:textFill>
            <w14:solidFill>
              <w14:schemeClr w14:val="tx1"/>
            </w14:solidFill>
          </w14:textFill>
        </w:rPr>
        <w:t>人以书面形式通知监理工程师的其他权限；</w:t>
      </w:r>
    </w:p>
    <w:p w14:paraId="4D3A7351">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（8）发包人认为须取得批准方可实施的其它重要事项。</w:t>
      </w:r>
    </w:p>
    <w:p w14:paraId="7B2F9D6A">
      <w:pPr>
        <w:keepNext w:val="0"/>
        <w:keepLines w:val="0"/>
        <w:pageBreakBefore w:val="0"/>
        <w:widowControl w:val="0"/>
        <w:kinsoku/>
        <w:wordWrap/>
        <w:overflowPunct/>
        <w:topLinePunct w:val="0"/>
        <w:autoSpaceDE/>
        <w:autoSpaceDN/>
        <w:bidi w:val="0"/>
        <w:snapToGrid/>
        <w:spacing w:line="360" w:lineRule="auto"/>
        <w:ind w:left="0" w:leftChars="0" w:right="0" w:rightChars="0" w:firstLine="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关于监理人在施工现场的办公场所、生活场所的提供和费用承担的约定： 由承</w:t>
      </w:r>
      <w:r>
        <w:rPr>
          <w:rFonts w:hint="eastAsia" w:ascii="仿宋" w:hAnsi="仿宋" w:eastAsia="仿宋" w:cs="仿宋"/>
          <w:color w:val="000000" w:themeColor="text1"/>
          <w:spacing w:val="-1"/>
          <w:sz w:val="24"/>
          <w:szCs w:val="24"/>
          <w:highlight w:val="none"/>
          <w14:textFill>
            <w14:solidFill>
              <w14:schemeClr w14:val="tx1"/>
            </w14:solidFill>
          </w14:textFill>
        </w:rPr>
        <w:t>包人提供，费用包含在合同价中。</w:t>
      </w:r>
    </w:p>
    <w:p w14:paraId="4887C997">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4.2 监理人员</w:t>
      </w:r>
    </w:p>
    <w:p w14:paraId="76783EAE">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9"/>
          <w:sz w:val="24"/>
          <w:szCs w:val="24"/>
          <w:highlight w:val="none"/>
          <w14:textFill>
            <w14:solidFill>
              <w14:schemeClr w14:val="tx1"/>
            </w14:solidFill>
          </w14:textFill>
        </w:rPr>
        <w:t>总监理工程师：</w:t>
      </w:r>
    </w:p>
    <w:p w14:paraId="66DC8187">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9"/>
          <w:sz w:val="24"/>
          <w:szCs w:val="24"/>
          <w:highlight w:val="none"/>
          <w14:textFill>
            <w14:solidFill>
              <w14:schemeClr w14:val="tx1"/>
            </w14:solidFill>
          </w14:textFill>
        </w:rPr>
        <w:t>姓</w:t>
      </w:r>
      <w:r>
        <w:rPr>
          <w:rFonts w:hint="eastAsia" w:ascii="仿宋" w:hAnsi="仿宋" w:eastAsia="仿宋" w:cs="仿宋"/>
          <w:color w:val="000000" w:themeColor="text1"/>
          <w:spacing w:val="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9"/>
          <w:sz w:val="24"/>
          <w:szCs w:val="24"/>
          <w:highlight w:val="none"/>
          <w14:textFill>
            <w14:solidFill>
              <w14:schemeClr w14:val="tx1"/>
            </w14:solidFill>
          </w14:textFill>
        </w:rPr>
        <w:t>名</w:t>
      </w:r>
      <w:r>
        <w:rPr>
          <w:rFonts w:hint="eastAsia" w:ascii="仿宋" w:hAnsi="仿宋" w:eastAsia="仿宋" w:cs="仿宋"/>
          <w:color w:val="000000" w:themeColor="text1"/>
          <w:spacing w:val="-4"/>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w:t>
      </w:r>
    </w:p>
    <w:p w14:paraId="178B75B2">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0"/>
          <w:sz w:val="24"/>
          <w:szCs w:val="24"/>
          <w:highlight w:val="none"/>
          <w14:textFill>
            <w14:solidFill>
              <w14:schemeClr w14:val="tx1"/>
            </w14:solidFill>
          </w14:textFill>
        </w:rPr>
        <w:t>职</w:t>
      </w:r>
      <w:r>
        <w:rPr>
          <w:rFonts w:hint="eastAsia" w:ascii="仿宋" w:hAnsi="仿宋" w:eastAsia="仿宋" w:cs="仿宋"/>
          <w:color w:val="000000" w:themeColor="text1"/>
          <w:spacing w:val="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0"/>
          <w:sz w:val="24"/>
          <w:szCs w:val="24"/>
          <w:highlight w:val="none"/>
          <w14:textFill>
            <w14:solidFill>
              <w14:schemeClr w14:val="tx1"/>
            </w14:solidFill>
          </w14:textFill>
        </w:rPr>
        <w:t>务</w:t>
      </w:r>
      <w:r>
        <w:rPr>
          <w:rFonts w:hint="eastAsia" w:ascii="仿宋" w:hAnsi="仿宋" w:eastAsia="仿宋" w:cs="仿宋"/>
          <w:color w:val="000000" w:themeColor="text1"/>
          <w:spacing w:val="-4"/>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w:t>
      </w:r>
    </w:p>
    <w:p w14:paraId="2D6C9404">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监理工程师执业资格证书号</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0A6198A0">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联系电话</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00387C38">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电子信箱：</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eastAsia="zh-CN"/>
          <w14:textFill>
            <w14:solidFill>
              <w14:schemeClr w14:val="tx1"/>
            </w14:solidFill>
          </w14:textFill>
        </w:rPr>
        <w:t>；</w:t>
      </w:r>
    </w:p>
    <w:p w14:paraId="78AA2979">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pacing w:val="3"/>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通信地址：</w:t>
      </w:r>
      <w:r>
        <w:rPr>
          <w:rFonts w:hint="eastAsia" w:ascii="仿宋" w:hAnsi="仿宋" w:eastAsia="仿宋" w:cs="仿宋"/>
          <w:color w:val="000000" w:themeColor="text1"/>
          <w:spacing w:val="3"/>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u w:val="none"/>
          <w14:textFill>
            <w14:solidFill>
              <w14:schemeClr w14:val="tx1"/>
            </w14:solidFill>
          </w14:textFill>
        </w:rPr>
        <w:t>；</w:t>
      </w:r>
    </w:p>
    <w:p w14:paraId="5A0B301E">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关于监理人的其他约定：</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4555764B">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4.4</w:t>
      </w:r>
      <w:r>
        <w:rPr>
          <w:rFonts w:hint="eastAsia" w:ascii="仿宋" w:hAnsi="仿宋" w:eastAsia="仿宋" w:cs="仿宋"/>
          <w:color w:val="000000" w:themeColor="text1"/>
          <w:spacing w:val="1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商定或确定</w:t>
      </w:r>
    </w:p>
    <w:p w14:paraId="65B4143C">
      <w:pPr>
        <w:keepNext w:val="0"/>
        <w:keepLines w:val="0"/>
        <w:pageBreakBefore w:val="0"/>
        <w:widowControl w:val="0"/>
        <w:kinsoku/>
        <w:wordWrap/>
        <w:overflowPunct/>
        <w:topLinePunct w:val="0"/>
        <w:autoSpaceDE/>
        <w:autoSpaceDN/>
        <w:bidi w:val="0"/>
        <w:snapToGrid/>
        <w:spacing w:line="360" w:lineRule="auto"/>
        <w:ind w:left="0" w:leftChars="0" w:right="0" w:rightChars="0" w:firstLine="55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在发包人和承包人不能通过协商达成一致意见时，发包人授权监理人对</w:t>
      </w:r>
      <w:r>
        <w:rPr>
          <w:rFonts w:hint="eastAsia" w:ascii="仿宋" w:hAnsi="仿宋" w:eastAsia="仿宋" w:cs="仿宋"/>
          <w:color w:val="000000" w:themeColor="text1"/>
          <w:spacing w:val="-3"/>
          <w:sz w:val="24"/>
          <w:szCs w:val="24"/>
          <w:highlight w:val="none"/>
          <w14:textFill>
            <w14:solidFill>
              <w14:schemeClr w14:val="tx1"/>
            </w14:solidFill>
          </w14:textFill>
        </w:rPr>
        <w:t>以下</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14:textFill>
            <w14:solidFill>
              <w14:schemeClr w14:val="tx1"/>
            </w14:solidFill>
          </w14:textFill>
        </w:rPr>
        <w:t>事项进行确定：</w:t>
      </w:r>
    </w:p>
    <w:p w14:paraId="0F1EF445">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u w:val="singl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w:t>
      </w:r>
    </w:p>
    <w:p w14:paraId="0B622C1E">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u w:val="singl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w:t>
      </w:r>
    </w:p>
    <w:p w14:paraId="20297001">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u w:val="singl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w:t>
      </w:r>
    </w:p>
    <w:p w14:paraId="07487568">
      <w:pPr>
        <w:keepNext w:val="0"/>
        <w:keepLines w:val="0"/>
        <w:pageBreakBefore w:val="0"/>
        <w:widowControl w:val="0"/>
        <w:kinsoku/>
        <w:wordWrap/>
        <w:overflowPunct/>
        <w:topLinePunct w:val="0"/>
        <w:autoSpaceDE/>
        <w:autoSpaceDN/>
        <w:bidi w:val="0"/>
        <w:snapToGrid/>
        <w:spacing w:line="360" w:lineRule="auto"/>
        <w:ind w:left="0" w:leftChars="0" w:right="0" w:rightChars="0"/>
        <w:outlineLvl w:val="2"/>
        <w:rPr>
          <w:rFonts w:hint="eastAsia" w:ascii="仿宋" w:hAnsi="仿宋" w:eastAsia="仿宋" w:cs="仿宋"/>
          <w:color w:val="000000" w:themeColor="text1"/>
          <w:sz w:val="24"/>
          <w:szCs w:val="24"/>
          <w:highlight w:val="none"/>
          <w14:textFill>
            <w14:solidFill>
              <w14:schemeClr w14:val="tx1"/>
            </w14:solidFill>
          </w14:textFill>
        </w:rPr>
      </w:pPr>
      <w:bookmarkStart w:id="144" w:name="bookmark140"/>
      <w:bookmarkEnd w:id="144"/>
      <w:bookmarkStart w:id="145" w:name="_Toc166"/>
      <w:r>
        <w:rPr>
          <w:rFonts w:hint="eastAsia" w:ascii="仿宋" w:hAnsi="仿宋" w:eastAsia="仿宋" w:cs="仿宋"/>
          <w:color w:val="000000" w:themeColor="text1"/>
          <w:spacing w:val="-5"/>
          <w:sz w:val="24"/>
          <w:szCs w:val="24"/>
          <w:highlight w:val="none"/>
          <w14:textFill>
            <w14:solidFill>
              <w14:schemeClr w14:val="tx1"/>
            </w14:solidFill>
          </w14:textFill>
        </w:rPr>
        <w:t>5.</w:t>
      </w:r>
      <w:r>
        <w:rPr>
          <w:rFonts w:hint="eastAsia" w:ascii="仿宋" w:hAnsi="仿宋" w:eastAsia="仿宋" w:cs="仿宋"/>
          <w:color w:val="000000" w:themeColor="text1"/>
          <w:spacing w:val="1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工程质量</w:t>
      </w:r>
      <w:bookmarkEnd w:id="145"/>
    </w:p>
    <w:p w14:paraId="46C4D78F">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5.1 质量要求</w:t>
      </w:r>
    </w:p>
    <w:p w14:paraId="600E6603">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5.1.1 特殊质量标准和要求：</w:t>
      </w:r>
      <w:r>
        <w:rPr>
          <w:rFonts w:hint="eastAsia" w:ascii="仿宋" w:hAnsi="仿宋" w:eastAsia="仿宋" w:cs="仿宋"/>
          <w:color w:val="000000" w:themeColor="text1"/>
          <w:spacing w:val="-1"/>
          <w:sz w:val="24"/>
          <w:szCs w:val="24"/>
          <w:highlight w:val="none"/>
          <w:u w:val="single"/>
          <w14:textFill>
            <w14:solidFill>
              <w14:schemeClr w14:val="tx1"/>
            </w14:solidFill>
          </w14:textFill>
        </w:rPr>
        <w:t>/</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34B868B5">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5.3</w:t>
      </w:r>
      <w:r>
        <w:rPr>
          <w:rFonts w:hint="eastAsia" w:ascii="仿宋" w:hAnsi="仿宋" w:eastAsia="仿宋" w:cs="仿宋"/>
          <w:color w:val="000000" w:themeColor="text1"/>
          <w:spacing w:val="3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隐蔽工程检查</w:t>
      </w:r>
    </w:p>
    <w:p w14:paraId="6DB47CAB">
      <w:pPr>
        <w:keepNext w:val="0"/>
        <w:keepLines w:val="0"/>
        <w:pageBreakBefore w:val="0"/>
        <w:widowControl w:val="0"/>
        <w:kinsoku/>
        <w:wordWrap/>
        <w:overflowPunct/>
        <w:topLinePunct w:val="0"/>
        <w:autoSpaceDE/>
        <w:autoSpaceDN/>
        <w:bidi w:val="0"/>
        <w:snapToGrid/>
        <w:spacing w:line="360" w:lineRule="auto"/>
        <w:ind w:left="0" w:leftChars="0" w:right="0" w:rightChars="0" w:firstLine="5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5.3.2</w:t>
      </w:r>
      <w:r>
        <w:rPr>
          <w:rFonts w:hint="eastAsia" w:ascii="仿宋" w:hAnsi="仿宋" w:eastAsia="仿宋" w:cs="仿宋"/>
          <w:color w:val="000000" w:themeColor="text1"/>
          <w:spacing w:val="-5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承包人提前通知监理人隐蔽工程检查的期限的约定：</w:t>
      </w:r>
      <w:r>
        <w:rPr>
          <w:rFonts w:hint="eastAsia" w:ascii="仿宋" w:hAnsi="仿宋" w:eastAsia="仿宋" w:cs="仿宋"/>
          <w:color w:val="000000" w:themeColor="text1"/>
          <w:spacing w:val="-1"/>
          <w:sz w:val="24"/>
          <w:szCs w:val="24"/>
          <w:highlight w:val="none"/>
          <w:u w:val="single"/>
          <w14:textFill>
            <w14:solidFill>
              <w14:schemeClr w14:val="tx1"/>
            </w14:solidFill>
          </w14:textFill>
        </w:rPr>
        <w:t>共同检查</w:t>
      </w:r>
      <w:r>
        <w:rPr>
          <w:rFonts w:hint="eastAsia" w:ascii="仿宋" w:hAnsi="仿宋" w:eastAsia="仿宋" w:cs="仿宋"/>
          <w:color w:val="000000" w:themeColor="text1"/>
          <w:spacing w:val="-2"/>
          <w:sz w:val="24"/>
          <w:szCs w:val="24"/>
          <w:highlight w:val="none"/>
          <w:u w:val="single"/>
          <w14:textFill>
            <w14:solidFill>
              <w14:schemeClr w14:val="tx1"/>
            </w14:solidFill>
          </w14:textFill>
        </w:rPr>
        <w:t>前</w:t>
      </w:r>
      <w:r>
        <w:rPr>
          <w:rFonts w:hint="eastAsia" w:ascii="仿宋" w:hAnsi="仿宋" w:eastAsia="仿宋" w:cs="仿宋"/>
          <w:color w:val="000000" w:themeColor="text1"/>
          <w:spacing w:val="-6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48小时书面通知监理人</w:t>
      </w:r>
      <w:r>
        <w:rPr>
          <w:rFonts w:hint="eastAsia" w:ascii="仿宋" w:hAnsi="仿宋" w:eastAsia="仿宋" w:cs="仿宋"/>
          <w:color w:val="000000" w:themeColor="text1"/>
          <w:spacing w:val="-2"/>
          <w:sz w:val="24"/>
          <w:szCs w:val="24"/>
          <w:highlight w:val="none"/>
          <w14:textFill>
            <w14:solidFill>
              <w14:schemeClr w14:val="tx1"/>
            </w14:solidFill>
          </w14:textFill>
        </w:rPr>
        <w:t>。</w:t>
      </w:r>
    </w:p>
    <w:p w14:paraId="7AD99B72">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监理人不能按时进行检查时，应提前</w:t>
      </w:r>
      <w:r>
        <w:rPr>
          <w:rFonts w:hint="eastAsia" w:ascii="仿宋" w:hAnsi="仿宋" w:eastAsia="仿宋" w:cs="仿宋"/>
          <w:color w:val="000000" w:themeColor="text1"/>
          <w:spacing w:val="-2"/>
          <w:sz w:val="24"/>
          <w:szCs w:val="24"/>
          <w:highlight w:val="none"/>
          <w:u w:val="single"/>
          <w14:textFill>
            <w14:solidFill>
              <w14:schemeClr w14:val="tx1"/>
            </w14:solidFill>
          </w14:textFill>
        </w:rPr>
        <w:t xml:space="preserve">  24   </w:t>
      </w:r>
      <w:r>
        <w:rPr>
          <w:rFonts w:hint="eastAsia" w:ascii="仿宋" w:hAnsi="仿宋" w:eastAsia="仿宋" w:cs="仿宋"/>
          <w:color w:val="000000" w:themeColor="text1"/>
          <w:spacing w:val="-10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小时提交书面延期要求。</w:t>
      </w:r>
    </w:p>
    <w:p w14:paraId="5E62B52B">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关于延期最长不得超过：</w:t>
      </w:r>
      <w:r>
        <w:rPr>
          <w:rFonts w:hint="eastAsia" w:ascii="仿宋" w:hAnsi="仿宋" w:eastAsia="仿宋" w:cs="仿宋"/>
          <w:color w:val="000000" w:themeColor="text1"/>
          <w:spacing w:val="-2"/>
          <w:sz w:val="24"/>
          <w:szCs w:val="24"/>
          <w:highlight w:val="none"/>
          <w:u w:val="single"/>
          <w14:textFill>
            <w14:solidFill>
              <w14:schemeClr w14:val="tx1"/>
            </w14:solidFill>
          </w14:textFill>
        </w:rPr>
        <w:t xml:space="preserve">  48   </w:t>
      </w:r>
      <w:r>
        <w:rPr>
          <w:rFonts w:hint="eastAsia" w:ascii="仿宋" w:hAnsi="仿宋" w:eastAsia="仿宋" w:cs="仿宋"/>
          <w:color w:val="000000" w:themeColor="text1"/>
          <w:spacing w:val="-11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小时。</w:t>
      </w:r>
    </w:p>
    <w:p w14:paraId="26E5AEF7">
      <w:pPr>
        <w:pStyle w:val="9"/>
        <w:keepNext w:val="0"/>
        <w:keepLines w:val="0"/>
        <w:pageBreakBefore w:val="0"/>
        <w:widowControl w:val="0"/>
        <w:kinsoku/>
        <w:wordWrap/>
        <w:overflowPunct/>
        <w:topLinePunct w:val="0"/>
        <w:autoSpaceDE/>
        <w:autoSpaceDN/>
        <w:bidi w:val="0"/>
        <w:snapToGrid/>
        <w:spacing w:after="0"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p>
    <w:p w14:paraId="703101AB">
      <w:pPr>
        <w:keepNext w:val="0"/>
        <w:keepLines w:val="0"/>
        <w:pageBreakBefore w:val="0"/>
        <w:widowControl w:val="0"/>
        <w:kinsoku/>
        <w:wordWrap/>
        <w:overflowPunct/>
        <w:topLinePunct w:val="0"/>
        <w:autoSpaceDE/>
        <w:autoSpaceDN/>
        <w:bidi w:val="0"/>
        <w:snapToGrid/>
        <w:spacing w:line="360" w:lineRule="auto"/>
        <w:ind w:left="0" w:leftChars="0" w:right="0" w:rightChars="0"/>
        <w:outlineLvl w:val="2"/>
        <w:rPr>
          <w:rFonts w:hint="eastAsia" w:ascii="仿宋" w:hAnsi="仿宋" w:eastAsia="仿宋" w:cs="仿宋"/>
          <w:color w:val="000000" w:themeColor="text1"/>
          <w:sz w:val="24"/>
          <w:szCs w:val="24"/>
          <w:highlight w:val="none"/>
          <w14:textFill>
            <w14:solidFill>
              <w14:schemeClr w14:val="tx1"/>
            </w14:solidFill>
          </w14:textFill>
        </w:rPr>
      </w:pPr>
      <w:bookmarkStart w:id="146" w:name="bookmark141"/>
      <w:bookmarkEnd w:id="146"/>
      <w:bookmarkStart w:id="147" w:name="_Toc15757"/>
      <w:r>
        <w:rPr>
          <w:rFonts w:hint="eastAsia" w:ascii="仿宋" w:hAnsi="仿宋" w:eastAsia="仿宋" w:cs="仿宋"/>
          <w:color w:val="000000" w:themeColor="text1"/>
          <w:spacing w:val="-1"/>
          <w:sz w:val="24"/>
          <w:szCs w:val="24"/>
          <w:highlight w:val="none"/>
          <w14:textFill>
            <w14:solidFill>
              <w14:schemeClr w14:val="tx1"/>
            </w14:solidFill>
          </w14:textFill>
        </w:rPr>
        <w:t>6. 安全文明施工与环境保护</w:t>
      </w:r>
      <w:bookmarkEnd w:id="147"/>
    </w:p>
    <w:p w14:paraId="5B2295EF">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6.1</w:t>
      </w:r>
      <w:r>
        <w:rPr>
          <w:rFonts w:hint="eastAsia" w:ascii="仿宋" w:hAnsi="仿宋" w:eastAsia="仿宋" w:cs="仿宋"/>
          <w:color w:val="000000" w:themeColor="text1"/>
          <w:spacing w:val="-4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安全文明施工</w:t>
      </w:r>
    </w:p>
    <w:p w14:paraId="621D4393">
      <w:pPr>
        <w:keepNext w:val="0"/>
        <w:keepLines w:val="0"/>
        <w:pageBreakBefore w:val="0"/>
        <w:widowControl w:val="0"/>
        <w:kinsoku/>
        <w:wordWrap/>
        <w:overflowPunct/>
        <w:topLinePunct w:val="0"/>
        <w:autoSpaceDE/>
        <w:autoSpaceDN/>
        <w:bidi w:val="0"/>
        <w:snapToGrid/>
        <w:spacing w:line="360" w:lineRule="auto"/>
        <w:ind w:left="0" w:leftChars="0" w:right="0" w:rightChars="0" w:hanging="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6.1.1 项目安全生产的达标目标及相应事项的约定：</w:t>
      </w:r>
      <w:r>
        <w:rPr>
          <w:rFonts w:hint="eastAsia" w:ascii="仿宋" w:hAnsi="仿宋" w:eastAsia="仿宋" w:cs="仿宋"/>
          <w:color w:val="000000" w:themeColor="text1"/>
          <w:spacing w:val="-2"/>
          <w:sz w:val="24"/>
          <w:szCs w:val="24"/>
          <w:highlight w:val="none"/>
          <w:u w:val="single"/>
          <w14:textFill>
            <w14:solidFill>
              <w14:schemeClr w14:val="tx1"/>
            </w14:solidFill>
          </w14:textFill>
        </w:rPr>
        <w:t>要求达到《建筑施工安全检</w:t>
      </w:r>
      <w:r>
        <w:rPr>
          <w:rFonts w:hint="eastAsia" w:ascii="仿宋" w:hAnsi="仿宋" w:eastAsia="仿宋" w:cs="仿宋"/>
          <w:color w:val="000000" w:themeColor="text1"/>
          <w:spacing w:val="-4"/>
          <w:sz w:val="24"/>
          <w:szCs w:val="24"/>
          <w:highlight w:val="none"/>
          <w:u w:val="single"/>
          <w14:textFill>
            <w14:solidFill>
              <w14:schemeClr w14:val="tx1"/>
            </w14:solidFill>
          </w14:textFill>
        </w:rPr>
        <w:t>查标准》（JGJ59-2011）标准；承包人应切实抓好本工程安全施工工作，确保不</w:t>
      </w:r>
      <w:r>
        <w:rPr>
          <w:rFonts w:hint="eastAsia" w:ascii="仿宋" w:hAnsi="仿宋" w:eastAsia="仿宋" w:cs="仿宋"/>
          <w:color w:val="000000" w:themeColor="text1"/>
          <w:spacing w:val="-1"/>
          <w:sz w:val="24"/>
          <w:szCs w:val="24"/>
          <w:highlight w:val="none"/>
          <w:u w:val="single"/>
          <w14:textFill>
            <w14:solidFill>
              <w14:schemeClr w14:val="tx1"/>
            </w14:solidFill>
          </w14:textFill>
        </w:rPr>
        <w:t>发生一起安全事故，并应提前做好施工人员及机械设备保险办理工作</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6DE7EB57">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6.1.4 关于治安保卫的特别约定：</w:t>
      </w:r>
      <w:r>
        <w:rPr>
          <w:rFonts w:hint="eastAsia" w:ascii="仿宋" w:hAnsi="仿宋" w:eastAsia="仿宋" w:cs="仿宋"/>
          <w:color w:val="000000" w:themeColor="text1"/>
          <w:sz w:val="24"/>
          <w:szCs w:val="24"/>
          <w:highlight w:val="none"/>
          <w:u w:val="single"/>
          <w14:textFill>
            <w14:solidFill>
              <w14:schemeClr w14:val="tx1"/>
            </w14:solidFill>
          </w14:textFill>
        </w:rPr>
        <w:t>由承包</w:t>
      </w:r>
      <w:r>
        <w:rPr>
          <w:rFonts w:hint="eastAsia" w:ascii="仿宋" w:hAnsi="仿宋" w:eastAsia="仿宋" w:cs="仿宋"/>
          <w:color w:val="000000" w:themeColor="text1"/>
          <w:spacing w:val="-1"/>
          <w:sz w:val="24"/>
          <w:szCs w:val="24"/>
          <w:highlight w:val="none"/>
          <w:u w:val="single"/>
          <w14:textFill>
            <w14:solidFill>
              <w14:schemeClr w14:val="tx1"/>
            </w14:solidFill>
          </w14:textFill>
        </w:rPr>
        <w:t>人负责协调并履行治安保卫职责</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21628EF0">
      <w:pPr>
        <w:keepNext w:val="0"/>
        <w:keepLines w:val="0"/>
        <w:pageBreakBefore w:val="0"/>
        <w:widowControl w:val="0"/>
        <w:kinsoku/>
        <w:wordWrap/>
        <w:overflowPunct/>
        <w:topLinePunct w:val="0"/>
        <w:autoSpaceDE/>
        <w:autoSpaceDN/>
        <w:bidi w:val="0"/>
        <w:snapToGrid/>
        <w:spacing w:line="360" w:lineRule="auto"/>
        <w:ind w:left="0" w:leftChars="0" w:right="0" w:rightChars="0" w:firstLine="55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关于编制施工场地治安管理计划的约定：</w:t>
      </w:r>
      <w:r>
        <w:rPr>
          <w:rFonts w:hint="eastAsia" w:ascii="仿宋" w:hAnsi="仿宋" w:eastAsia="仿宋" w:cs="仿宋"/>
          <w:color w:val="000000" w:themeColor="text1"/>
          <w:spacing w:val="-2"/>
          <w:sz w:val="24"/>
          <w:szCs w:val="24"/>
          <w:highlight w:val="none"/>
          <w:u w:val="single"/>
          <w14:textFill>
            <w14:solidFill>
              <w14:schemeClr w14:val="tx1"/>
            </w14:solidFill>
          </w14:textFill>
        </w:rPr>
        <w:t>承包人开工前三天提</w:t>
      </w:r>
      <w:r>
        <w:rPr>
          <w:rFonts w:hint="eastAsia" w:ascii="仿宋" w:hAnsi="仿宋" w:eastAsia="仿宋" w:cs="仿宋"/>
          <w:color w:val="000000" w:themeColor="text1"/>
          <w:spacing w:val="-3"/>
          <w:sz w:val="24"/>
          <w:szCs w:val="24"/>
          <w:highlight w:val="none"/>
          <w:u w:val="single"/>
          <w14:textFill>
            <w14:solidFill>
              <w14:schemeClr w14:val="tx1"/>
            </w14:solidFill>
          </w14:textFill>
        </w:rPr>
        <w:t>供施工场地治</w:t>
      </w:r>
      <w:r>
        <w:rPr>
          <w:rFonts w:hint="eastAsia" w:ascii="仿宋" w:hAnsi="仿宋" w:eastAsia="仿宋" w:cs="仿宋"/>
          <w:color w:val="000000" w:themeColor="text1"/>
          <w:spacing w:val="-2"/>
          <w:sz w:val="24"/>
          <w:szCs w:val="24"/>
          <w:highlight w:val="none"/>
          <w:u w:val="single"/>
          <w14:textFill>
            <w14:solidFill>
              <w14:schemeClr w14:val="tx1"/>
            </w14:solidFill>
          </w14:textFill>
        </w:rPr>
        <w:t>安管理计划，施工场地治安管理计划和突发治安事件紧急预案的编制由承</w:t>
      </w:r>
      <w:r>
        <w:rPr>
          <w:rFonts w:hint="eastAsia" w:ascii="仿宋" w:hAnsi="仿宋" w:eastAsia="仿宋" w:cs="仿宋"/>
          <w:color w:val="000000" w:themeColor="text1"/>
          <w:spacing w:val="-3"/>
          <w:sz w:val="24"/>
          <w:szCs w:val="24"/>
          <w:highlight w:val="none"/>
          <w:u w:val="single"/>
          <w14:textFill>
            <w14:solidFill>
              <w14:schemeClr w14:val="tx1"/>
            </w14:solidFill>
          </w14:textFill>
        </w:rPr>
        <w:t>包人负</w:t>
      </w:r>
      <w:r>
        <w:rPr>
          <w:rFonts w:hint="eastAsia" w:ascii="仿宋" w:hAnsi="仿宋" w:eastAsia="仿宋" w:cs="仿宋"/>
          <w:color w:val="000000" w:themeColor="text1"/>
          <w:spacing w:val="-8"/>
          <w:sz w:val="24"/>
          <w:szCs w:val="24"/>
          <w:highlight w:val="none"/>
          <w:u w:val="single"/>
          <w14:textFill>
            <w14:solidFill>
              <w14:schemeClr w14:val="tx1"/>
            </w14:solidFill>
          </w14:textFill>
        </w:rPr>
        <w:t>责</w:t>
      </w:r>
      <w:r>
        <w:rPr>
          <w:rFonts w:hint="eastAsia" w:ascii="仿宋" w:hAnsi="仿宋" w:eastAsia="仿宋" w:cs="仿宋"/>
          <w:color w:val="000000" w:themeColor="text1"/>
          <w:spacing w:val="-8"/>
          <w:sz w:val="24"/>
          <w:szCs w:val="24"/>
          <w:highlight w:val="none"/>
          <w14:textFill>
            <w14:solidFill>
              <w14:schemeClr w14:val="tx1"/>
            </w14:solidFill>
          </w14:textFill>
        </w:rPr>
        <w:t>。</w:t>
      </w:r>
    </w:p>
    <w:p w14:paraId="4921ACA9">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合同当事人对安全施工的其他要求：</w:t>
      </w:r>
    </w:p>
    <w:p w14:paraId="6ECA785A">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承包人应按《建筑承包人安全生产管理机构设置及专职安全生产管理</w:t>
      </w:r>
      <w:r>
        <w:rPr>
          <w:rFonts w:hint="eastAsia" w:ascii="仿宋" w:hAnsi="仿宋" w:eastAsia="仿宋" w:cs="仿宋"/>
          <w:color w:val="000000" w:themeColor="text1"/>
          <w:spacing w:val="-3"/>
          <w:sz w:val="24"/>
          <w:szCs w:val="24"/>
          <w:highlight w:val="none"/>
          <w14:textFill>
            <w14:solidFill>
              <w14:schemeClr w14:val="tx1"/>
            </w14:solidFill>
          </w14:textFill>
        </w:rPr>
        <w:t>人员配</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备办法》（建质【2008】91 号）设置专职安全生产管理人员，</w:t>
      </w:r>
      <w:r>
        <w:rPr>
          <w:rFonts w:hint="eastAsia" w:ascii="仿宋" w:hAnsi="仿宋" w:eastAsia="仿宋" w:cs="仿宋"/>
          <w:color w:val="000000" w:themeColor="text1"/>
          <w:spacing w:val="-6"/>
          <w:sz w:val="24"/>
          <w:szCs w:val="24"/>
          <w:highlight w:val="none"/>
          <w14:textFill>
            <w14:solidFill>
              <w14:schemeClr w14:val="tx1"/>
            </w14:solidFill>
          </w14:textFill>
        </w:rPr>
        <w:t>并按照相关内容和</w:t>
      </w:r>
      <w:r>
        <w:rPr>
          <w:rFonts w:hint="eastAsia" w:ascii="仿宋" w:hAnsi="仿宋" w:eastAsia="仿宋" w:cs="仿宋"/>
          <w:color w:val="000000" w:themeColor="text1"/>
          <w:spacing w:val="-1"/>
          <w:sz w:val="24"/>
          <w:szCs w:val="24"/>
          <w:highlight w:val="none"/>
          <w14:textFill>
            <w14:solidFill>
              <w14:schemeClr w14:val="tx1"/>
            </w14:solidFill>
          </w14:textFill>
        </w:rPr>
        <w:t>国家行业规范要求采取有效的安全措施，以保证自身及第三人和周边环境的安</w:t>
      </w:r>
      <w:r>
        <w:rPr>
          <w:rFonts w:hint="eastAsia" w:ascii="仿宋" w:hAnsi="仿宋" w:eastAsia="仿宋" w:cs="仿宋"/>
          <w:color w:val="000000" w:themeColor="text1"/>
          <w:spacing w:val="-13"/>
          <w:sz w:val="24"/>
          <w:szCs w:val="24"/>
          <w:highlight w:val="none"/>
          <w14:textFill>
            <w14:solidFill>
              <w14:schemeClr w14:val="tx1"/>
            </w14:solidFill>
          </w14:textFill>
        </w:rPr>
        <w:t>全。</w:t>
      </w:r>
    </w:p>
    <w:p w14:paraId="678E2B80">
      <w:pPr>
        <w:keepNext w:val="0"/>
        <w:keepLines w:val="0"/>
        <w:pageBreakBefore w:val="0"/>
        <w:widowControl w:val="0"/>
        <w:kinsoku/>
        <w:wordWrap/>
        <w:overflowPunct/>
        <w:topLinePunct w:val="0"/>
        <w:autoSpaceDE/>
        <w:autoSpaceDN/>
        <w:bidi w:val="0"/>
        <w:snapToGrid/>
        <w:spacing w:line="360" w:lineRule="auto"/>
        <w:ind w:left="0" w:leftChars="0" w:right="0" w:rightChars="0" w:firstLine="55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提交健康、安全、环境、防疫管理计划的份数和时间：一式四份；开工前三</w:t>
      </w:r>
      <w:r>
        <w:rPr>
          <w:rFonts w:hint="eastAsia" w:ascii="仿宋" w:hAnsi="仿宋" w:eastAsia="仿宋" w:cs="仿宋"/>
          <w:color w:val="000000" w:themeColor="text1"/>
          <w:spacing w:val="-11"/>
          <w:sz w:val="24"/>
          <w:szCs w:val="24"/>
          <w:highlight w:val="none"/>
          <w14:textFill>
            <w14:solidFill>
              <w14:schemeClr w14:val="tx1"/>
            </w14:solidFill>
          </w14:textFill>
        </w:rPr>
        <w:t>天提供。</w:t>
      </w:r>
    </w:p>
    <w:p w14:paraId="4ADEA9A4">
      <w:pPr>
        <w:keepNext w:val="0"/>
        <w:keepLines w:val="0"/>
        <w:pageBreakBefore w:val="0"/>
        <w:widowControl w:val="0"/>
        <w:kinsoku/>
        <w:wordWrap/>
        <w:overflowPunct/>
        <w:topLinePunct w:val="0"/>
        <w:autoSpaceDE/>
        <w:autoSpaceDN/>
        <w:bidi w:val="0"/>
        <w:snapToGrid/>
        <w:spacing w:line="360" w:lineRule="auto"/>
        <w:ind w:left="0" w:leftChars="0" w:right="0" w:rightChars="0" w:firstLine="55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本工程的安全文明施工经政府相关职能部门评定不合格时，发包人</w:t>
      </w:r>
      <w:r>
        <w:rPr>
          <w:rFonts w:hint="eastAsia" w:ascii="仿宋" w:hAnsi="仿宋" w:eastAsia="仿宋" w:cs="仿宋"/>
          <w:color w:val="000000" w:themeColor="text1"/>
          <w:spacing w:val="-3"/>
          <w:sz w:val="24"/>
          <w:szCs w:val="24"/>
          <w:highlight w:val="none"/>
          <w14:textFill>
            <w14:solidFill>
              <w14:schemeClr w14:val="tx1"/>
            </w14:solidFill>
          </w14:textFill>
        </w:rPr>
        <w:t>不向承包</w:t>
      </w:r>
      <w:r>
        <w:rPr>
          <w:rFonts w:hint="eastAsia" w:ascii="仿宋" w:hAnsi="仿宋" w:eastAsia="仿宋" w:cs="仿宋"/>
          <w:color w:val="000000" w:themeColor="text1"/>
          <w:spacing w:val="-2"/>
          <w:sz w:val="24"/>
          <w:szCs w:val="24"/>
          <w:highlight w:val="none"/>
          <w14:textFill>
            <w14:solidFill>
              <w14:schemeClr w14:val="tx1"/>
            </w14:solidFill>
          </w14:textFill>
        </w:rPr>
        <w:t>人支付安全文明施工措施费，已支付的安全文明施工专项费在结算中扣除，承包</w:t>
      </w:r>
      <w:r>
        <w:rPr>
          <w:rFonts w:hint="eastAsia" w:ascii="仿宋" w:hAnsi="仿宋" w:eastAsia="仿宋" w:cs="仿宋"/>
          <w:color w:val="000000" w:themeColor="text1"/>
          <w:spacing w:val="-1"/>
          <w:sz w:val="24"/>
          <w:szCs w:val="24"/>
          <w:highlight w:val="none"/>
          <w14:textFill>
            <w14:solidFill>
              <w14:schemeClr w14:val="tx1"/>
            </w14:solidFill>
          </w14:textFill>
        </w:rPr>
        <w:t>人另行向发包人支付招标文件规定的安全文明施工费 50</w:t>
      </w:r>
      <w:r>
        <w:rPr>
          <w:rFonts w:hint="eastAsia" w:ascii="仿宋" w:hAnsi="仿宋" w:eastAsia="仿宋" w:cs="仿宋"/>
          <w:color w:val="000000" w:themeColor="text1"/>
          <w:spacing w:val="-2"/>
          <w:sz w:val="24"/>
          <w:szCs w:val="24"/>
          <w:highlight w:val="none"/>
          <w14:textFill>
            <w14:solidFill>
              <w14:schemeClr w14:val="tx1"/>
            </w14:solidFill>
          </w14:textFill>
        </w:rPr>
        <w:t>%的违约金。</w:t>
      </w:r>
    </w:p>
    <w:p w14:paraId="3099EC00">
      <w:pPr>
        <w:keepNext w:val="0"/>
        <w:keepLines w:val="0"/>
        <w:pageBreakBefore w:val="0"/>
        <w:widowControl w:val="0"/>
        <w:kinsoku/>
        <w:wordWrap/>
        <w:overflowPunct/>
        <w:topLinePunct w:val="0"/>
        <w:autoSpaceDE/>
        <w:autoSpaceDN/>
        <w:bidi w:val="0"/>
        <w:snapToGrid/>
        <w:spacing w:line="360" w:lineRule="auto"/>
        <w:ind w:left="0" w:leftChars="0" w:right="0" w:rightChars="0" w:firstLine="55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在行政主管部门或发包人或监理人、咨询人的例行安全文明施工检查中</w:t>
      </w:r>
      <w:r>
        <w:rPr>
          <w:rFonts w:hint="eastAsia" w:ascii="仿宋" w:hAnsi="仿宋" w:eastAsia="仿宋" w:cs="仿宋"/>
          <w:color w:val="000000" w:themeColor="text1"/>
          <w:spacing w:val="-3"/>
          <w:sz w:val="24"/>
          <w:szCs w:val="24"/>
          <w:highlight w:val="none"/>
          <w14:textFill>
            <w14:solidFill>
              <w14:schemeClr w14:val="tx1"/>
            </w14:solidFill>
          </w14:textFill>
        </w:rPr>
        <w:t>，达</w:t>
      </w:r>
      <w:r>
        <w:rPr>
          <w:rFonts w:hint="eastAsia" w:ascii="仿宋" w:hAnsi="仿宋" w:eastAsia="仿宋" w:cs="仿宋"/>
          <w:color w:val="000000" w:themeColor="text1"/>
          <w:sz w:val="24"/>
          <w:szCs w:val="24"/>
          <w:highlight w:val="none"/>
          <w14:textFill>
            <w14:solidFill>
              <w14:schemeClr w14:val="tx1"/>
            </w14:solidFill>
          </w14:textFill>
        </w:rPr>
        <w:t>不到合同约定的合格标准，发包人有权要求承包人承担 5</w:t>
      </w:r>
      <w:r>
        <w:rPr>
          <w:rFonts w:hint="eastAsia" w:ascii="仿宋" w:hAnsi="仿宋" w:eastAsia="仿宋" w:cs="仿宋"/>
          <w:color w:val="000000" w:themeColor="text1"/>
          <w:spacing w:val="-1"/>
          <w:sz w:val="24"/>
          <w:szCs w:val="24"/>
          <w:highlight w:val="none"/>
          <w14:textFill>
            <w14:solidFill>
              <w14:schemeClr w14:val="tx1"/>
            </w14:solidFill>
          </w14:textFill>
        </w:rPr>
        <w:t>000-10000 元/次的违约金。连续发生三次达不到合格标准，发包人有权要求承包人承担30</w:t>
      </w:r>
      <w:r>
        <w:rPr>
          <w:rFonts w:hint="eastAsia" w:ascii="仿宋" w:hAnsi="仿宋" w:eastAsia="仿宋" w:cs="仿宋"/>
          <w:color w:val="000000" w:themeColor="text1"/>
          <w:spacing w:val="-4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万元的违</w:t>
      </w:r>
      <w:r>
        <w:rPr>
          <w:rFonts w:hint="eastAsia" w:ascii="仿宋" w:hAnsi="仿宋" w:eastAsia="仿宋" w:cs="仿宋"/>
          <w:color w:val="000000" w:themeColor="text1"/>
          <w:spacing w:val="-13"/>
          <w:sz w:val="24"/>
          <w:szCs w:val="24"/>
          <w:highlight w:val="none"/>
          <w14:textFill>
            <w14:solidFill>
              <w14:schemeClr w14:val="tx1"/>
            </w14:solidFill>
          </w14:textFill>
        </w:rPr>
        <w:t>约金。</w:t>
      </w:r>
    </w:p>
    <w:p w14:paraId="1A29979C">
      <w:pPr>
        <w:keepNext w:val="0"/>
        <w:keepLines w:val="0"/>
        <w:pageBreakBefore w:val="0"/>
        <w:widowControl w:val="0"/>
        <w:kinsoku/>
        <w:wordWrap/>
        <w:overflowPunct/>
        <w:topLinePunct w:val="0"/>
        <w:autoSpaceDE/>
        <w:autoSpaceDN/>
        <w:bidi w:val="0"/>
        <w:snapToGrid/>
        <w:spacing w:line="360" w:lineRule="auto"/>
        <w:ind w:left="0" w:leftChars="0" w:right="0" w:rightChars="0" w:firstLine="58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因安全文明施工问题导致被主管部门提出停工整改或通报时，每发生一次发</w:t>
      </w:r>
      <w:r>
        <w:rPr>
          <w:rFonts w:hint="eastAsia" w:ascii="仿宋" w:hAnsi="仿宋" w:eastAsia="仿宋" w:cs="仿宋"/>
          <w:color w:val="000000" w:themeColor="text1"/>
          <w:spacing w:val="-4"/>
          <w:sz w:val="24"/>
          <w:szCs w:val="24"/>
          <w:highlight w:val="none"/>
          <w14:textFill>
            <w14:solidFill>
              <w14:schemeClr w14:val="tx1"/>
            </w14:solidFill>
          </w14:textFill>
        </w:rPr>
        <w:t>包人有权要求承包人承担</w:t>
      </w:r>
      <w:r>
        <w:rPr>
          <w:rFonts w:hint="eastAsia" w:ascii="仿宋" w:hAnsi="仿宋" w:eastAsia="仿宋" w:cs="仿宋"/>
          <w:color w:val="000000" w:themeColor="text1"/>
          <w:spacing w:val="-4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5</w:t>
      </w:r>
      <w:r>
        <w:rPr>
          <w:rFonts w:hint="eastAsia" w:ascii="仿宋" w:hAnsi="仿宋" w:eastAsia="仿宋" w:cs="仿宋"/>
          <w:color w:val="000000" w:themeColor="text1"/>
          <w:spacing w:val="-5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万元的违约金。</w:t>
      </w:r>
    </w:p>
    <w:p w14:paraId="57E5D2D7">
      <w:pPr>
        <w:keepNext w:val="0"/>
        <w:keepLines w:val="0"/>
        <w:pageBreakBefore w:val="0"/>
        <w:widowControl w:val="0"/>
        <w:kinsoku/>
        <w:wordWrap/>
        <w:overflowPunct/>
        <w:topLinePunct w:val="0"/>
        <w:autoSpaceDE/>
        <w:autoSpaceDN/>
        <w:bidi w:val="0"/>
        <w:snapToGrid/>
        <w:spacing w:line="360" w:lineRule="auto"/>
        <w:ind w:left="0" w:leftChars="0" w:right="0" w:rightChars="0" w:firstLine="55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承包人发生安全生产事故或安全生产伤亡事故，承包人应自行负责妥善处理并承担由此发生的一切损失，同时每发生一次视情况发包人有权要求承</w:t>
      </w:r>
      <w:r>
        <w:rPr>
          <w:rFonts w:hint="eastAsia" w:ascii="仿宋" w:hAnsi="仿宋" w:eastAsia="仿宋" w:cs="仿宋"/>
          <w:color w:val="000000" w:themeColor="text1"/>
          <w:spacing w:val="-3"/>
          <w:sz w:val="24"/>
          <w:szCs w:val="24"/>
          <w:highlight w:val="none"/>
          <w14:textFill>
            <w14:solidFill>
              <w14:schemeClr w14:val="tx1"/>
            </w14:solidFill>
          </w14:textFill>
        </w:rPr>
        <w:t>包人承担</w:t>
      </w:r>
      <w:r>
        <w:rPr>
          <w:rFonts w:hint="eastAsia" w:ascii="仿宋" w:hAnsi="仿宋" w:eastAsia="仿宋" w:cs="仿宋"/>
          <w:color w:val="000000" w:themeColor="text1"/>
          <w:spacing w:val="-5"/>
          <w:sz w:val="24"/>
          <w:szCs w:val="24"/>
          <w:highlight w:val="none"/>
          <w14:textFill>
            <w14:solidFill>
              <w14:schemeClr w14:val="tx1"/>
            </w14:solidFill>
          </w14:textFill>
        </w:rPr>
        <w:t>10-</w:t>
      </w:r>
      <w:r>
        <w:rPr>
          <w:rFonts w:hint="eastAsia" w:ascii="仿宋" w:hAnsi="仿宋" w:eastAsia="仿宋" w:cs="仿宋"/>
          <w:color w:val="000000" w:themeColor="text1"/>
          <w:spacing w:val="-5"/>
          <w:sz w:val="24"/>
          <w:szCs w:val="24"/>
          <w:highlight w:val="none"/>
          <w:lang w:val="en-US" w:eastAsia="zh-CN"/>
          <w14:textFill>
            <w14:solidFill>
              <w14:schemeClr w14:val="tx1"/>
            </w14:solidFill>
          </w14:textFill>
        </w:rPr>
        <w:t>50</w:t>
      </w:r>
      <w:r>
        <w:rPr>
          <w:rFonts w:hint="eastAsia" w:ascii="仿宋" w:hAnsi="仿宋" w:eastAsia="仿宋" w:cs="仿宋"/>
          <w:color w:val="000000" w:themeColor="text1"/>
          <w:spacing w:val="-5"/>
          <w:sz w:val="24"/>
          <w:szCs w:val="24"/>
          <w:highlight w:val="none"/>
          <w14:textFill>
            <w14:solidFill>
              <w14:schemeClr w14:val="tx1"/>
            </w14:solidFill>
          </w14:textFill>
        </w:rPr>
        <w:t>万元的违约金。</w:t>
      </w:r>
    </w:p>
    <w:p w14:paraId="2F97D8E7">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6.1.5 文明施工</w:t>
      </w:r>
    </w:p>
    <w:p w14:paraId="59C76620">
      <w:pPr>
        <w:keepNext w:val="0"/>
        <w:keepLines w:val="0"/>
        <w:pageBreakBefore w:val="0"/>
        <w:widowControl w:val="0"/>
        <w:tabs>
          <w:tab w:val="left" w:pos="187"/>
        </w:tabs>
        <w:kinsoku/>
        <w:wordWrap/>
        <w:overflowPunct/>
        <w:topLinePunct w:val="0"/>
        <w:autoSpaceDE/>
        <w:autoSpaceDN/>
        <w:bidi w:val="0"/>
        <w:snapToGrid/>
        <w:spacing w:line="360" w:lineRule="auto"/>
        <w:ind w:left="0" w:leftChars="0" w:right="0" w:rightChars="0" w:firstLine="485" w:firstLineChars="20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合同当事人对文明施工的要求：</w:t>
      </w:r>
      <w:r>
        <w:rPr>
          <w:rFonts w:hint="eastAsia" w:ascii="仿宋" w:hAnsi="仿宋" w:eastAsia="仿宋" w:cs="仿宋"/>
          <w:color w:val="000000" w:themeColor="text1"/>
          <w:spacing w:val="-1"/>
          <w:sz w:val="24"/>
          <w:szCs w:val="24"/>
          <w:highlight w:val="none"/>
          <w:u w:val="single"/>
          <w14:textFill>
            <w14:solidFill>
              <w14:schemeClr w14:val="tx1"/>
            </w14:solidFill>
          </w14:textFill>
        </w:rPr>
        <w:t>达到《建筑施工现场环境与卫生标准》</w:t>
      </w:r>
      <w:r>
        <w:rPr>
          <w:rFonts w:hint="eastAsia" w:ascii="仿宋" w:hAnsi="仿宋" w:eastAsia="仿宋" w:cs="仿宋"/>
          <w:color w:val="000000" w:themeColor="text1"/>
          <w:spacing w:val="-9"/>
          <w:sz w:val="24"/>
          <w:szCs w:val="24"/>
          <w:highlight w:val="none"/>
          <w:u w:val="single"/>
          <w14:textFill>
            <w14:solidFill>
              <w14:schemeClr w14:val="tx1"/>
            </w14:solidFill>
          </w14:textFill>
        </w:rPr>
        <w:t>（JGJ146-2013</w:t>
      </w:r>
      <w:r>
        <w:rPr>
          <w:rFonts w:hint="eastAsia" w:ascii="仿宋" w:hAnsi="仿宋" w:eastAsia="仿宋" w:cs="仿宋"/>
          <w:color w:val="000000" w:themeColor="text1"/>
          <w:spacing w:val="-59"/>
          <w:sz w:val="24"/>
          <w:szCs w:val="24"/>
          <w:highlight w:val="none"/>
          <w:u w:val="single"/>
          <w14:textFill>
            <w14:solidFill>
              <w14:schemeClr w14:val="tx1"/>
            </w14:solidFill>
          </w14:textFill>
        </w:rPr>
        <w:t>），</w:t>
      </w:r>
      <w:r>
        <w:rPr>
          <w:rFonts w:hint="eastAsia" w:ascii="仿宋" w:hAnsi="仿宋" w:eastAsia="仿宋" w:cs="仿宋"/>
          <w:color w:val="000000" w:themeColor="text1"/>
          <w:spacing w:val="-9"/>
          <w:sz w:val="24"/>
          <w:szCs w:val="24"/>
          <w:highlight w:val="none"/>
          <w:u w:val="single"/>
          <w14:textFill>
            <w14:solidFill>
              <w14:schemeClr w14:val="tx1"/>
            </w14:solidFill>
          </w14:textFill>
        </w:rPr>
        <w:t>并执行通用条款</w:t>
      </w:r>
      <w:r>
        <w:rPr>
          <w:rFonts w:hint="eastAsia" w:ascii="仿宋" w:hAnsi="仿宋" w:eastAsia="仿宋" w:cs="仿宋"/>
          <w:color w:val="000000" w:themeColor="text1"/>
          <w:spacing w:val="-9"/>
          <w:sz w:val="24"/>
          <w:szCs w:val="24"/>
          <w:highlight w:val="none"/>
          <w14:textFill>
            <w14:solidFill>
              <w14:schemeClr w14:val="tx1"/>
            </w14:solidFill>
          </w14:textFill>
        </w:rPr>
        <w:t>。</w:t>
      </w:r>
    </w:p>
    <w:p w14:paraId="55943B9B">
      <w:pPr>
        <w:keepNext w:val="0"/>
        <w:keepLines w:val="0"/>
        <w:pageBreakBefore w:val="0"/>
        <w:widowControl w:val="0"/>
        <w:kinsoku/>
        <w:wordWrap/>
        <w:overflowPunct/>
        <w:topLinePunct w:val="0"/>
        <w:autoSpaceDE/>
        <w:autoSpaceDN/>
        <w:bidi w:val="0"/>
        <w:snapToGrid/>
        <w:spacing w:line="360" w:lineRule="auto"/>
        <w:ind w:left="0" w:leftChars="0" w:right="0" w:rightChars="0" w:firstLine="55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①承包人必须按照现行国家及地区相关文件规定进行施工现场文明施工管</w:t>
      </w:r>
      <w:r>
        <w:rPr>
          <w:rFonts w:hint="eastAsia" w:ascii="仿宋" w:hAnsi="仿宋" w:eastAsia="仿宋" w:cs="仿宋"/>
          <w:color w:val="000000" w:themeColor="text1"/>
          <w:spacing w:val="-14"/>
          <w:sz w:val="24"/>
          <w:szCs w:val="24"/>
          <w:highlight w:val="none"/>
          <w14:textFill>
            <w14:solidFill>
              <w14:schemeClr w14:val="tx1"/>
            </w14:solidFill>
          </w14:textFill>
        </w:rPr>
        <w:t>理。</w:t>
      </w:r>
    </w:p>
    <w:p w14:paraId="41F92AAB">
      <w:pPr>
        <w:keepNext w:val="0"/>
        <w:keepLines w:val="0"/>
        <w:pageBreakBefore w:val="0"/>
        <w:widowControl w:val="0"/>
        <w:kinsoku/>
        <w:wordWrap/>
        <w:overflowPunct/>
        <w:topLinePunct w:val="0"/>
        <w:autoSpaceDE/>
        <w:autoSpaceDN/>
        <w:bidi w:val="0"/>
        <w:snapToGrid/>
        <w:spacing w:line="360" w:lineRule="auto"/>
        <w:ind w:left="0" w:leftChars="0" w:right="0" w:rightChars="0" w:firstLine="55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②承包人必须做好施工现场的安全围护栏（网）等防护性措施，并设置必要的警示牌，做到文明施工，安全施工，建立重大事故报告制度，加强安全教育，采取必要的一切防护措施，必须消除一切不安全隐患的存在和发生，处理好和周</w:t>
      </w:r>
      <w:r>
        <w:rPr>
          <w:rFonts w:hint="eastAsia" w:ascii="仿宋" w:hAnsi="仿宋" w:eastAsia="仿宋" w:cs="仿宋"/>
          <w:color w:val="000000" w:themeColor="text1"/>
          <w:spacing w:val="-5"/>
          <w:sz w:val="24"/>
          <w:szCs w:val="24"/>
          <w:highlight w:val="none"/>
          <w14:textFill>
            <w14:solidFill>
              <w14:schemeClr w14:val="tx1"/>
            </w14:solidFill>
          </w14:textFill>
        </w:rPr>
        <w:t>围住户的关系。</w:t>
      </w:r>
    </w:p>
    <w:p w14:paraId="16E0D4A6">
      <w:pPr>
        <w:keepNext w:val="0"/>
        <w:keepLines w:val="0"/>
        <w:pageBreakBefore w:val="0"/>
        <w:widowControl w:val="0"/>
        <w:kinsoku/>
        <w:wordWrap/>
        <w:overflowPunct/>
        <w:topLinePunct w:val="0"/>
        <w:autoSpaceDE/>
        <w:autoSpaceDN/>
        <w:bidi w:val="0"/>
        <w:snapToGrid/>
        <w:spacing w:line="360" w:lineRule="auto"/>
        <w:ind w:left="0" w:leftChars="0" w:right="0" w:rightChars="0" w:firstLine="5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③承包方根据有关建筑施工安全生产条例及发包人的有关管理要求，确保安全生产，同时做好社会治安综合治理工作，严格执行地区文明施工、标准化管理规定，明确具体措施，积极落实各项安全生产工作。项目区域发生打架斗殴、聚众闹事而影响项目正常生产和办公的，发包人视情况有权要求承包人支付违约金</w:t>
      </w:r>
      <w:r>
        <w:rPr>
          <w:rFonts w:hint="eastAsia" w:ascii="仿宋" w:hAnsi="仿宋" w:eastAsia="仿宋" w:cs="仿宋"/>
          <w:color w:val="000000" w:themeColor="text1"/>
          <w:spacing w:val="-7"/>
          <w:sz w:val="24"/>
          <w:szCs w:val="24"/>
          <w:highlight w:val="none"/>
          <w14:textFill>
            <w14:solidFill>
              <w14:schemeClr w14:val="tx1"/>
            </w14:solidFill>
          </w14:textFill>
        </w:rPr>
        <w:t>1 -10</w:t>
      </w:r>
      <w:r>
        <w:rPr>
          <w:rFonts w:hint="eastAsia" w:ascii="仿宋" w:hAnsi="仿宋" w:eastAsia="仿宋" w:cs="仿宋"/>
          <w:color w:val="000000" w:themeColor="text1"/>
          <w:spacing w:val="-5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14:textFill>
            <w14:solidFill>
              <w14:schemeClr w14:val="tx1"/>
            </w14:solidFill>
          </w14:textFill>
        </w:rPr>
        <w:t>万元/次。</w:t>
      </w:r>
    </w:p>
    <w:p w14:paraId="4AB71031">
      <w:pPr>
        <w:keepNext w:val="0"/>
        <w:keepLines w:val="0"/>
        <w:pageBreakBefore w:val="0"/>
        <w:widowControl w:val="0"/>
        <w:kinsoku/>
        <w:wordWrap/>
        <w:overflowPunct/>
        <w:topLinePunct w:val="0"/>
        <w:autoSpaceDE/>
        <w:autoSpaceDN/>
        <w:bidi w:val="0"/>
        <w:snapToGrid/>
        <w:spacing w:line="360" w:lineRule="auto"/>
        <w:ind w:left="0" w:leftChars="0" w:right="0" w:rightChars="0" w:firstLine="56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下列情形每发生一次，承包人依约定向发包人支付相应违约金：施工现场</w:t>
      </w:r>
      <w:r>
        <w:rPr>
          <w:rFonts w:hint="eastAsia" w:ascii="仿宋" w:hAnsi="仿宋" w:eastAsia="仿宋" w:cs="仿宋"/>
          <w:color w:val="000000" w:themeColor="text1"/>
          <w:spacing w:val="-2"/>
          <w:sz w:val="24"/>
          <w:szCs w:val="24"/>
          <w:highlight w:val="none"/>
          <w14:textFill>
            <w14:solidFill>
              <w14:schemeClr w14:val="tx1"/>
            </w14:solidFill>
          </w14:textFill>
        </w:rPr>
        <w:t>内居住非值班或保安人员时，每天的违约金为 500 元； 施工现场内发现或有人投诉发现大小便，每次每天的违约金为200 元；施工现场内在非指定区域存放垃</w:t>
      </w:r>
      <w:r>
        <w:rPr>
          <w:rFonts w:hint="eastAsia" w:ascii="仿宋" w:hAnsi="仿宋" w:eastAsia="仿宋" w:cs="仿宋"/>
          <w:color w:val="000000" w:themeColor="text1"/>
          <w:sz w:val="24"/>
          <w:szCs w:val="24"/>
          <w:highlight w:val="none"/>
          <w14:textFill>
            <w14:solidFill>
              <w14:schemeClr w14:val="tx1"/>
            </w14:solidFill>
          </w14:textFill>
        </w:rPr>
        <w:t>圾超过 24 小时，处每天的违约金为 500 元；高空</w:t>
      </w:r>
      <w:r>
        <w:rPr>
          <w:rFonts w:hint="eastAsia" w:ascii="仿宋" w:hAnsi="仿宋" w:eastAsia="仿宋" w:cs="仿宋"/>
          <w:color w:val="000000" w:themeColor="text1"/>
          <w:spacing w:val="-1"/>
          <w:sz w:val="24"/>
          <w:szCs w:val="24"/>
          <w:highlight w:val="none"/>
          <w14:textFill>
            <w14:solidFill>
              <w14:schemeClr w14:val="tx1"/>
            </w14:solidFill>
          </w14:textFill>
        </w:rPr>
        <w:t>抛物每发生一次，承包人支</w:t>
      </w:r>
      <w:r>
        <w:rPr>
          <w:rFonts w:hint="eastAsia" w:ascii="仿宋" w:hAnsi="仿宋" w:eastAsia="仿宋" w:cs="仿宋"/>
          <w:color w:val="000000" w:themeColor="text1"/>
          <w:spacing w:val="-5"/>
          <w:sz w:val="24"/>
          <w:szCs w:val="24"/>
          <w:highlight w:val="none"/>
          <w14:textFill>
            <w14:solidFill>
              <w14:schemeClr w14:val="tx1"/>
            </w14:solidFill>
          </w14:textFill>
        </w:rPr>
        <w:t>付发包人</w:t>
      </w:r>
      <w:r>
        <w:rPr>
          <w:rFonts w:hint="eastAsia" w:ascii="仿宋" w:hAnsi="仿宋" w:eastAsia="仿宋" w:cs="仿宋"/>
          <w:color w:val="000000" w:themeColor="text1"/>
          <w:spacing w:val="-3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1000 元的违约金。</w:t>
      </w:r>
    </w:p>
    <w:p w14:paraId="756F58D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72"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6.1.6 关于安全文明施工费支付比例和支付期限的约定：</w:t>
      </w:r>
      <w:r>
        <w:rPr>
          <w:rFonts w:hint="eastAsia" w:ascii="仿宋" w:hAnsi="仿宋" w:eastAsia="仿宋" w:cs="仿宋"/>
          <w:color w:val="000000" w:themeColor="text1"/>
          <w:spacing w:val="-2"/>
          <w:sz w:val="24"/>
          <w:szCs w:val="24"/>
          <w:highlight w:val="none"/>
          <w:u w:val="single"/>
          <w14:textFill>
            <w14:solidFill>
              <w14:schemeClr w14:val="tx1"/>
            </w14:solidFill>
          </w14:textFill>
        </w:rPr>
        <w:t>工程预付款中已包含安</w:t>
      </w:r>
      <w:r>
        <w:rPr>
          <w:rFonts w:hint="eastAsia" w:ascii="仿宋" w:hAnsi="仿宋" w:eastAsia="仿宋" w:cs="仿宋"/>
          <w:color w:val="000000" w:themeColor="text1"/>
          <w:spacing w:val="-1"/>
          <w:sz w:val="24"/>
          <w:szCs w:val="24"/>
          <w:highlight w:val="none"/>
          <w:u w:val="single"/>
          <w14:textFill>
            <w14:solidFill>
              <w14:schemeClr w14:val="tx1"/>
            </w14:solidFill>
          </w14:textFill>
        </w:rPr>
        <w:t>全文明施工费（合同工期一年以内的包含安全文明施工费总额的</w:t>
      </w:r>
      <w:r>
        <w:rPr>
          <w:rFonts w:hint="eastAsia" w:ascii="仿宋" w:hAnsi="仿宋" w:eastAsia="仿宋" w:cs="仿宋"/>
          <w:color w:val="000000" w:themeColor="text1"/>
          <w:spacing w:val="-45"/>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14:textFill>
            <w14:solidFill>
              <w14:schemeClr w14:val="tx1"/>
            </w14:solidFill>
          </w14:textFill>
        </w:rPr>
        <w:t>50%，合同工期</w:t>
      </w:r>
      <w:r>
        <w:rPr>
          <w:rFonts w:hint="eastAsia" w:ascii="仿宋" w:hAnsi="仿宋" w:eastAsia="仿宋" w:cs="仿宋"/>
          <w:color w:val="000000" w:themeColor="text1"/>
          <w:spacing w:val="-8"/>
          <w:sz w:val="24"/>
          <w:szCs w:val="24"/>
          <w:highlight w:val="none"/>
          <w:u w:val="single"/>
          <w14:textFill>
            <w14:solidFill>
              <w14:schemeClr w14:val="tx1"/>
            </w14:solidFill>
          </w14:textFill>
        </w:rPr>
        <w:t>一年以上的包含安全文明施工费总额的</w:t>
      </w:r>
      <w:r>
        <w:rPr>
          <w:rFonts w:hint="eastAsia" w:ascii="仿宋" w:hAnsi="仿宋" w:eastAsia="仿宋" w:cs="仿宋"/>
          <w:color w:val="000000" w:themeColor="text1"/>
          <w:spacing w:val="-49"/>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u w:val="single"/>
          <w14:textFill>
            <w14:solidFill>
              <w14:schemeClr w14:val="tx1"/>
            </w14:solidFill>
          </w14:textFill>
        </w:rPr>
        <w:t>30%）。剩余安全文明施工费在进度款中支</w:t>
      </w:r>
      <w:bookmarkStart w:id="148" w:name="bookmark142"/>
      <w:bookmarkEnd w:id="148"/>
      <w:r>
        <w:rPr>
          <w:rFonts w:hint="eastAsia" w:ascii="仿宋" w:hAnsi="仿宋" w:eastAsia="仿宋" w:cs="仿宋"/>
          <w:color w:val="000000" w:themeColor="text1"/>
          <w:spacing w:val="-6"/>
          <w:sz w:val="24"/>
          <w:szCs w:val="24"/>
          <w:highlight w:val="none"/>
          <w:u w:val="single"/>
          <w14:textFill>
            <w14:solidFill>
              <w14:schemeClr w14:val="tx1"/>
            </w14:solidFill>
          </w14:textFill>
        </w:rPr>
        <w:t>付</w:t>
      </w:r>
      <w:r>
        <w:rPr>
          <w:rFonts w:hint="eastAsia" w:ascii="仿宋" w:hAnsi="仿宋" w:eastAsia="仿宋" w:cs="仿宋"/>
          <w:color w:val="000000" w:themeColor="text1"/>
          <w:spacing w:val="-6"/>
          <w:sz w:val="24"/>
          <w:szCs w:val="24"/>
          <w:highlight w:val="none"/>
          <w14:textFill>
            <w14:solidFill>
              <w14:schemeClr w14:val="tx1"/>
            </w14:solidFill>
          </w14:textFill>
        </w:rPr>
        <w:t>。</w:t>
      </w:r>
    </w:p>
    <w:p w14:paraId="32E071AB">
      <w:pPr>
        <w:keepNext w:val="0"/>
        <w:keepLines w:val="0"/>
        <w:pageBreakBefore w:val="0"/>
        <w:widowControl w:val="0"/>
        <w:kinsoku/>
        <w:wordWrap/>
        <w:overflowPunct/>
        <w:topLinePunct w:val="0"/>
        <w:autoSpaceDE/>
        <w:autoSpaceDN/>
        <w:bidi w:val="0"/>
        <w:snapToGrid/>
        <w:spacing w:line="360" w:lineRule="auto"/>
        <w:ind w:left="0" w:leftChars="0" w:right="0" w:rightChars="0"/>
        <w:outlineLvl w:val="2"/>
        <w:rPr>
          <w:rFonts w:hint="eastAsia" w:ascii="仿宋" w:hAnsi="仿宋" w:eastAsia="仿宋" w:cs="仿宋"/>
          <w:color w:val="000000" w:themeColor="text1"/>
          <w:sz w:val="24"/>
          <w:szCs w:val="24"/>
          <w:highlight w:val="none"/>
          <w14:textFill>
            <w14:solidFill>
              <w14:schemeClr w14:val="tx1"/>
            </w14:solidFill>
          </w14:textFill>
        </w:rPr>
      </w:pPr>
      <w:bookmarkStart w:id="149" w:name="bookmark220"/>
      <w:bookmarkEnd w:id="149"/>
      <w:bookmarkStart w:id="150" w:name="_Toc12756"/>
      <w:r>
        <w:rPr>
          <w:rFonts w:hint="eastAsia" w:ascii="仿宋" w:hAnsi="仿宋" w:eastAsia="仿宋" w:cs="仿宋"/>
          <w:color w:val="000000" w:themeColor="text1"/>
          <w:spacing w:val="-5"/>
          <w:sz w:val="24"/>
          <w:szCs w:val="24"/>
          <w:highlight w:val="none"/>
          <w14:textFill>
            <w14:solidFill>
              <w14:schemeClr w14:val="tx1"/>
            </w14:solidFill>
          </w14:textFill>
        </w:rPr>
        <w:t>7.</w:t>
      </w:r>
      <w:r>
        <w:rPr>
          <w:rFonts w:hint="eastAsia" w:ascii="仿宋" w:hAnsi="仿宋" w:eastAsia="仿宋" w:cs="仿宋"/>
          <w:color w:val="000000" w:themeColor="text1"/>
          <w:spacing w:val="1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工期和进度</w:t>
      </w:r>
      <w:bookmarkEnd w:id="150"/>
    </w:p>
    <w:p w14:paraId="3FE2A50C">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7.1 施工组织设计</w:t>
      </w:r>
    </w:p>
    <w:p w14:paraId="75DDE740">
      <w:pPr>
        <w:keepNext w:val="0"/>
        <w:keepLines w:val="0"/>
        <w:pageBreakBefore w:val="0"/>
        <w:widowControl w:val="0"/>
        <w:kinsoku/>
        <w:wordWrap/>
        <w:overflowPunct/>
        <w:topLinePunct w:val="0"/>
        <w:autoSpaceDE/>
        <w:autoSpaceDN/>
        <w:bidi w:val="0"/>
        <w:snapToGrid/>
        <w:spacing w:line="360" w:lineRule="auto"/>
        <w:ind w:left="0" w:leftChars="0" w:right="0" w:rightChars="0" w:firstLine="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7.1.1 合同当事人约定的施工组织设计应包括的其他内容：</w:t>
      </w:r>
      <w:r>
        <w:rPr>
          <w:rFonts w:hint="eastAsia" w:ascii="仿宋" w:hAnsi="仿宋" w:eastAsia="仿宋" w:cs="仿宋"/>
          <w:color w:val="000000" w:themeColor="text1"/>
          <w:spacing w:val="-2"/>
          <w:sz w:val="24"/>
          <w:szCs w:val="24"/>
          <w:highlight w:val="none"/>
          <w:u w:val="single"/>
          <w14:textFill>
            <w14:solidFill>
              <w14:schemeClr w14:val="tx1"/>
            </w14:solidFill>
          </w14:textFill>
        </w:rPr>
        <w:t>承包人应结合项目进度计划同步编制提交劳动用工、大宗材料、主要机械设备使用计划，明确到场时间。人材机未按计划到场时间进场的，发包人视情况有权要求承包人支付违约金1万元/天</w:t>
      </w:r>
      <w:r>
        <w:rPr>
          <w:rFonts w:hint="eastAsia" w:ascii="仿宋" w:hAnsi="仿宋" w:eastAsia="仿宋" w:cs="仿宋"/>
          <w:color w:val="000000" w:themeColor="text1"/>
          <w:spacing w:val="-2"/>
          <w:sz w:val="24"/>
          <w:szCs w:val="24"/>
          <w:highlight w:val="none"/>
          <w14:textFill>
            <w14:solidFill>
              <w14:schemeClr w14:val="tx1"/>
            </w14:solidFill>
          </w14:textFill>
        </w:rPr>
        <w:t>。</w:t>
      </w:r>
    </w:p>
    <w:p w14:paraId="1B8C65FB">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7.1.2 施工组织设计的提交和修改</w:t>
      </w:r>
    </w:p>
    <w:p w14:paraId="59B65BE5">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承包人提交详细施工组织设计的期限的约定：开工前三天。</w:t>
      </w:r>
    </w:p>
    <w:p w14:paraId="126DE0D1">
      <w:pPr>
        <w:keepNext w:val="0"/>
        <w:keepLines w:val="0"/>
        <w:pageBreakBefore w:val="0"/>
        <w:widowControl w:val="0"/>
        <w:kinsoku/>
        <w:wordWrap/>
        <w:overflowPunct/>
        <w:topLinePunct w:val="0"/>
        <w:autoSpaceDE/>
        <w:autoSpaceDN/>
        <w:bidi w:val="0"/>
        <w:snapToGrid/>
        <w:spacing w:line="360" w:lineRule="auto"/>
        <w:ind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发包人和监理人在收到详细的施工组织设计后确认或提出修改意见的期限：</w:t>
      </w:r>
      <w:r>
        <w:rPr>
          <w:rFonts w:hint="eastAsia" w:ascii="仿宋" w:hAnsi="仿宋" w:eastAsia="仿宋" w:cs="仿宋"/>
          <w:color w:val="000000" w:themeColor="text1"/>
          <w:spacing w:val="-8"/>
          <w:sz w:val="24"/>
          <w:szCs w:val="24"/>
          <w:highlight w:val="none"/>
          <w:u w:val="single"/>
          <w14:textFill>
            <w14:solidFill>
              <w14:schemeClr w14:val="tx1"/>
            </w14:solidFill>
          </w14:textFill>
        </w:rPr>
        <w:t>收到后</w:t>
      </w:r>
      <w:r>
        <w:rPr>
          <w:rFonts w:hint="eastAsia" w:ascii="仿宋" w:hAnsi="仿宋" w:eastAsia="仿宋" w:cs="仿宋"/>
          <w:color w:val="000000" w:themeColor="text1"/>
          <w:spacing w:val="-48"/>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u w:val="single"/>
          <w14:textFill>
            <w14:solidFill>
              <w14:schemeClr w14:val="tx1"/>
            </w14:solidFill>
          </w14:textFill>
        </w:rPr>
        <w:t>7</w:t>
      </w:r>
      <w:r>
        <w:rPr>
          <w:rFonts w:hint="eastAsia" w:ascii="仿宋" w:hAnsi="仿宋" w:eastAsia="仿宋" w:cs="仿宋"/>
          <w:color w:val="000000" w:themeColor="text1"/>
          <w:spacing w:val="-55"/>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u w:val="single"/>
          <w14:textFill>
            <w14:solidFill>
              <w14:schemeClr w14:val="tx1"/>
            </w14:solidFill>
          </w14:textFill>
        </w:rPr>
        <w:t>天内</w:t>
      </w:r>
      <w:r>
        <w:rPr>
          <w:rFonts w:hint="eastAsia" w:ascii="仿宋" w:hAnsi="仿宋" w:eastAsia="仿宋" w:cs="仿宋"/>
          <w:color w:val="000000" w:themeColor="text1"/>
          <w:spacing w:val="-8"/>
          <w:sz w:val="24"/>
          <w:szCs w:val="24"/>
          <w:highlight w:val="none"/>
          <w14:textFill>
            <w14:solidFill>
              <w14:schemeClr w14:val="tx1"/>
            </w14:solidFill>
          </w14:textFill>
        </w:rPr>
        <w:t>。</w:t>
      </w:r>
    </w:p>
    <w:p w14:paraId="41B8D9AD">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7.2 施工进度计划</w:t>
      </w:r>
    </w:p>
    <w:p w14:paraId="4F2DF8AB">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7.2.2 施工进度计划的修订</w:t>
      </w:r>
    </w:p>
    <w:p w14:paraId="3E100B69">
      <w:pPr>
        <w:keepNext w:val="0"/>
        <w:keepLines w:val="0"/>
        <w:pageBreakBefore w:val="0"/>
        <w:widowControl w:val="0"/>
        <w:kinsoku/>
        <w:wordWrap/>
        <w:overflowPunct/>
        <w:topLinePunct w:val="0"/>
        <w:autoSpaceDE/>
        <w:autoSpaceDN/>
        <w:bidi w:val="0"/>
        <w:snapToGrid/>
        <w:spacing w:line="360" w:lineRule="auto"/>
        <w:ind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发包人和监理人在收到修订的施工进度计划后确认或提出修改意见的期限：</w:t>
      </w:r>
      <w:r>
        <w:rPr>
          <w:rFonts w:hint="eastAsia" w:ascii="仿宋" w:hAnsi="仿宋" w:eastAsia="仿宋" w:cs="仿宋"/>
          <w:color w:val="000000" w:themeColor="text1"/>
          <w:spacing w:val="-8"/>
          <w:sz w:val="24"/>
          <w:szCs w:val="24"/>
          <w:highlight w:val="none"/>
          <w:u w:val="single"/>
          <w14:textFill>
            <w14:solidFill>
              <w14:schemeClr w14:val="tx1"/>
            </w14:solidFill>
          </w14:textFill>
        </w:rPr>
        <w:t>收到后</w:t>
      </w:r>
      <w:r>
        <w:rPr>
          <w:rFonts w:hint="eastAsia" w:ascii="仿宋" w:hAnsi="仿宋" w:eastAsia="仿宋" w:cs="仿宋"/>
          <w:color w:val="000000" w:themeColor="text1"/>
          <w:spacing w:val="-48"/>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u w:val="single"/>
          <w14:textFill>
            <w14:solidFill>
              <w14:schemeClr w14:val="tx1"/>
            </w14:solidFill>
          </w14:textFill>
        </w:rPr>
        <w:t>7</w:t>
      </w:r>
      <w:r>
        <w:rPr>
          <w:rFonts w:hint="eastAsia" w:ascii="仿宋" w:hAnsi="仿宋" w:eastAsia="仿宋" w:cs="仿宋"/>
          <w:color w:val="000000" w:themeColor="text1"/>
          <w:spacing w:val="-55"/>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u w:val="single"/>
          <w14:textFill>
            <w14:solidFill>
              <w14:schemeClr w14:val="tx1"/>
            </w14:solidFill>
          </w14:textFill>
        </w:rPr>
        <w:t>天内</w:t>
      </w:r>
      <w:r>
        <w:rPr>
          <w:rFonts w:hint="eastAsia" w:ascii="仿宋" w:hAnsi="仿宋" w:eastAsia="仿宋" w:cs="仿宋"/>
          <w:color w:val="000000" w:themeColor="text1"/>
          <w:spacing w:val="-8"/>
          <w:sz w:val="24"/>
          <w:szCs w:val="24"/>
          <w:highlight w:val="none"/>
          <w14:textFill>
            <w14:solidFill>
              <w14:schemeClr w14:val="tx1"/>
            </w14:solidFill>
          </w14:textFill>
        </w:rPr>
        <w:t>。</w:t>
      </w:r>
    </w:p>
    <w:p w14:paraId="1F4BAE17">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7.3</w:t>
      </w:r>
      <w:r>
        <w:rPr>
          <w:rFonts w:hint="eastAsia" w:ascii="仿宋" w:hAnsi="仿宋" w:eastAsia="仿宋" w:cs="仿宋"/>
          <w:color w:val="000000" w:themeColor="text1"/>
          <w:spacing w:val="1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开工</w:t>
      </w:r>
    </w:p>
    <w:p w14:paraId="7DA6D898">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7.3.1 开工准备</w:t>
      </w:r>
    </w:p>
    <w:p w14:paraId="6AD4D6F1">
      <w:pPr>
        <w:keepNext w:val="0"/>
        <w:keepLines w:val="0"/>
        <w:pageBreakBefore w:val="0"/>
        <w:widowControl w:val="0"/>
        <w:kinsoku/>
        <w:wordWrap/>
        <w:overflowPunct/>
        <w:topLinePunct w:val="0"/>
        <w:autoSpaceDE/>
        <w:autoSpaceDN/>
        <w:bidi w:val="0"/>
        <w:snapToGrid/>
        <w:spacing w:line="360" w:lineRule="auto"/>
        <w:ind w:right="0" w:rightChars="0" w:firstLine="46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关于承包人提交工程开工报审表的期限：</w:t>
      </w:r>
      <w:r>
        <w:rPr>
          <w:rFonts w:hint="eastAsia" w:ascii="仿宋" w:hAnsi="仿宋" w:eastAsia="仿宋" w:cs="仿宋"/>
          <w:color w:val="000000" w:themeColor="text1"/>
          <w:spacing w:val="-5"/>
          <w:sz w:val="24"/>
          <w:szCs w:val="24"/>
          <w:highlight w:val="none"/>
          <w:u w:val="single"/>
          <w14:textFill>
            <w14:solidFill>
              <w14:schemeClr w14:val="tx1"/>
            </w14:solidFill>
          </w14:textFill>
        </w:rPr>
        <w:t>合同签订后、开工之前</w:t>
      </w:r>
      <w:r>
        <w:rPr>
          <w:rFonts w:hint="eastAsia" w:ascii="仿宋" w:hAnsi="仿宋" w:eastAsia="仿宋" w:cs="仿宋"/>
          <w:color w:val="000000" w:themeColor="text1"/>
          <w:spacing w:val="-36"/>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u w:val="single"/>
          <w14:textFill>
            <w14:solidFill>
              <w14:schemeClr w14:val="tx1"/>
            </w14:solidFill>
          </w14:textFill>
        </w:rPr>
        <w:t>7 日</w:t>
      </w:r>
      <w:r>
        <w:rPr>
          <w:rFonts w:hint="eastAsia" w:ascii="仿宋" w:hAnsi="仿宋" w:eastAsia="仿宋" w:cs="仿宋"/>
          <w:color w:val="000000" w:themeColor="text1"/>
          <w:spacing w:val="-5"/>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09B1815C">
      <w:pPr>
        <w:keepNext w:val="0"/>
        <w:keepLines w:val="0"/>
        <w:pageBreakBefore w:val="0"/>
        <w:widowControl w:val="0"/>
        <w:kinsoku/>
        <w:wordWrap/>
        <w:overflowPunct/>
        <w:topLinePunct w:val="0"/>
        <w:autoSpaceDE/>
        <w:autoSpaceDN/>
        <w:bidi w:val="0"/>
        <w:snapToGrid/>
        <w:spacing w:line="360" w:lineRule="auto"/>
        <w:ind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关于发包人应完成的其他开工准备工作及期限：</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4E33EB65">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关于承包人应完成的其他开工准备工作及期限：</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7FB37B0A">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pacing w:val="-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 xml:space="preserve">7.3.2 </w:t>
      </w:r>
      <w:r>
        <w:rPr>
          <w:rFonts w:hint="eastAsia" w:ascii="仿宋" w:hAnsi="仿宋" w:eastAsia="仿宋" w:cs="仿宋"/>
          <w:color w:val="000000" w:themeColor="text1"/>
          <w:spacing w:val="-2"/>
          <w:sz w:val="24"/>
          <w:szCs w:val="24"/>
          <w:highlight w:val="none"/>
          <w14:textFill>
            <w14:solidFill>
              <w14:schemeClr w14:val="tx1"/>
            </w14:solidFill>
          </w14:textFill>
        </w:rPr>
        <w:t>开工</w:t>
      </w:r>
      <w:r>
        <w:rPr>
          <w:rFonts w:hint="eastAsia" w:ascii="仿宋" w:hAnsi="仿宋" w:eastAsia="仿宋" w:cs="仿宋"/>
          <w:color w:val="000000" w:themeColor="text1"/>
          <w:spacing w:val="-1"/>
          <w:sz w:val="24"/>
          <w:szCs w:val="24"/>
          <w:highlight w:val="none"/>
          <w14:textFill>
            <w14:solidFill>
              <w14:schemeClr w14:val="tx1"/>
            </w14:solidFill>
          </w14:textFill>
        </w:rPr>
        <w:t>通知</w:t>
      </w:r>
    </w:p>
    <w:p w14:paraId="48DFF7F9">
      <w:pPr>
        <w:keepNext w:val="0"/>
        <w:keepLines w:val="0"/>
        <w:pageBreakBefore w:val="0"/>
        <w:widowControl w:val="0"/>
        <w:kinsoku/>
        <w:wordWrap/>
        <w:overflowPunct/>
        <w:topLinePunct w:val="0"/>
        <w:autoSpaceDE/>
        <w:autoSpaceDN/>
        <w:bidi w:val="0"/>
        <w:snapToGrid/>
        <w:spacing w:line="360" w:lineRule="auto"/>
        <w:ind w:left="0" w:leftChars="0" w:right="0" w:rightChars="0" w:firstLine="64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因发包人原因</w:t>
      </w:r>
      <w:r>
        <w:rPr>
          <w:rFonts w:hint="eastAsia" w:ascii="仿宋" w:hAnsi="仿宋" w:eastAsia="仿宋" w:cs="仿宋"/>
          <w:color w:val="000000" w:themeColor="text1"/>
          <w:spacing w:val="-5"/>
          <w:sz w:val="24"/>
          <w:szCs w:val="24"/>
          <w:highlight w:val="none"/>
          <w14:textFill>
            <w14:solidFill>
              <w14:schemeClr w14:val="tx1"/>
            </w14:solidFill>
          </w14:textFill>
        </w:rPr>
        <w:t>造成</w:t>
      </w:r>
      <w:r>
        <w:rPr>
          <w:rFonts w:hint="eastAsia" w:ascii="仿宋" w:hAnsi="仿宋" w:eastAsia="仿宋" w:cs="仿宋"/>
          <w:color w:val="000000" w:themeColor="text1"/>
          <w:spacing w:val="-1"/>
          <w:sz w:val="24"/>
          <w:szCs w:val="24"/>
          <w:highlight w:val="none"/>
          <w14:textFill>
            <w14:solidFill>
              <w14:schemeClr w14:val="tx1"/>
            </w14:solidFill>
          </w14:textFill>
        </w:rPr>
        <w:t>监理人未能在计划开工日期之日</w:t>
      </w:r>
      <w:r>
        <w:rPr>
          <w:rFonts w:hint="eastAsia" w:ascii="仿宋" w:hAnsi="仿宋" w:eastAsia="仿宋" w:cs="仿宋"/>
          <w:color w:val="000000" w:themeColor="text1"/>
          <w:spacing w:val="-2"/>
          <w:sz w:val="24"/>
          <w:szCs w:val="24"/>
          <w:highlight w:val="none"/>
          <w14:textFill>
            <w14:solidFill>
              <w14:schemeClr w14:val="tx1"/>
            </w14:solidFill>
          </w14:textFill>
        </w:rPr>
        <w:t>起</w:t>
      </w:r>
      <w:r>
        <w:rPr>
          <w:rFonts w:hint="eastAsia" w:ascii="仿宋" w:hAnsi="仿宋" w:eastAsia="仿宋" w:cs="仿宋"/>
          <w:color w:val="000000" w:themeColor="text1"/>
          <w:spacing w:val="-2"/>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pacing w:val="-12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天内发出开工</w:t>
      </w:r>
      <w:r>
        <w:rPr>
          <w:rFonts w:hint="eastAsia" w:ascii="仿宋" w:hAnsi="仿宋" w:eastAsia="仿宋" w:cs="仿宋"/>
          <w:color w:val="000000" w:themeColor="text1"/>
          <w:spacing w:val="-1"/>
          <w:sz w:val="24"/>
          <w:szCs w:val="24"/>
          <w:highlight w:val="none"/>
          <w14:textFill>
            <w14:solidFill>
              <w14:schemeClr w14:val="tx1"/>
            </w14:solidFill>
          </w14:textFill>
        </w:rPr>
        <w:t>通知的，承包人有权提出价格调整要求，或者解除合同。</w:t>
      </w:r>
    </w:p>
    <w:p w14:paraId="304F982A">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7.4</w:t>
      </w:r>
      <w:r>
        <w:rPr>
          <w:rFonts w:hint="eastAsia" w:ascii="仿宋" w:hAnsi="仿宋" w:eastAsia="仿宋" w:cs="仿宋"/>
          <w:color w:val="000000" w:themeColor="text1"/>
          <w:spacing w:val="1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测量放线</w:t>
      </w:r>
    </w:p>
    <w:p w14:paraId="518AB9AA">
      <w:pPr>
        <w:keepNext w:val="0"/>
        <w:keepLines w:val="0"/>
        <w:pageBreakBefore w:val="0"/>
        <w:widowControl w:val="0"/>
        <w:kinsoku/>
        <w:wordWrap/>
        <w:overflowPunct/>
        <w:topLinePunct w:val="0"/>
        <w:autoSpaceDE/>
        <w:autoSpaceDN/>
        <w:bidi w:val="0"/>
        <w:snapToGrid/>
        <w:spacing w:line="360" w:lineRule="auto"/>
        <w:ind w:left="0" w:leftChars="0" w:right="0" w:rightChars="0" w:firstLine="56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7.4.1</w:t>
      </w:r>
      <w:r>
        <w:rPr>
          <w:rFonts w:hint="eastAsia" w:ascii="仿宋" w:hAnsi="仿宋" w:eastAsia="仿宋" w:cs="仿宋"/>
          <w:color w:val="000000" w:themeColor="text1"/>
          <w:spacing w:val="-5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发包人通过监理人向承包人提供测量基准点、基准线和水准点及</w:t>
      </w:r>
      <w:r>
        <w:rPr>
          <w:rFonts w:hint="eastAsia" w:ascii="仿宋" w:hAnsi="仿宋" w:eastAsia="仿宋" w:cs="仿宋"/>
          <w:color w:val="000000" w:themeColor="text1"/>
          <w:spacing w:val="-2"/>
          <w:sz w:val="24"/>
          <w:szCs w:val="24"/>
          <w:highlight w:val="none"/>
          <w14:textFill>
            <w14:solidFill>
              <w14:schemeClr w14:val="tx1"/>
            </w14:solidFill>
          </w14:textFill>
        </w:rPr>
        <w:t>其书面资料的期限：</w:t>
      </w:r>
      <w:r>
        <w:rPr>
          <w:rFonts w:hint="eastAsia" w:ascii="仿宋" w:hAnsi="仿宋" w:eastAsia="仿宋" w:cs="仿宋"/>
          <w:color w:val="000000" w:themeColor="text1"/>
          <w:spacing w:val="-2"/>
          <w:sz w:val="24"/>
          <w:szCs w:val="24"/>
          <w:highlight w:val="none"/>
          <w:u w:val="single"/>
          <w14:textFill>
            <w14:solidFill>
              <w14:schemeClr w14:val="tx1"/>
            </w14:solidFill>
          </w14:textFill>
        </w:rPr>
        <w:t>开工三日内在施工现场进行交验，由承包方做好校验和保护；</w:t>
      </w:r>
      <w:r>
        <w:rPr>
          <w:rFonts w:hint="eastAsia" w:ascii="仿宋" w:hAnsi="仿宋" w:eastAsia="仿宋" w:cs="仿宋"/>
          <w:color w:val="000000" w:themeColor="text1"/>
          <w:spacing w:val="-2"/>
          <w:sz w:val="24"/>
          <w:szCs w:val="24"/>
          <w:highlight w:val="none"/>
          <w14:textFill>
            <w14:solidFill>
              <w14:schemeClr w14:val="tx1"/>
            </w14:solidFill>
          </w14:textFill>
        </w:rPr>
        <w:t>承</w:t>
      </w:r>
      <w:r>
        <w:rPr>
          <w:rFonts w:hint="eastAsia" w:ascii="仿宋" w:hAnsi="仿宋" w:eastAsia="仿宋" w:cs="仿宋"/>
          <w:color w:val="000000" w:themeColor="text1"/>
          <w:spacing w:val="-1"/>
          <w:sz w:val="24"/>
          <w:szCs w:val="24"/>
          <w:highlight w:val="none"/>
          <w:u w:val="single"/>
          <w14:textFill>
            <w14:solidFill>
              <w14:schemeClr w14:val="tx1"/>
            </w14:solidFill>
          </w14:textFill>
        </w:rPr>
        <w:t>包人应根据国家测绘基准，测绘系统和工程测量技术规范，按上述基准点（线）</w:t>
      </w:r>
      <w:r>
        <w:rPr>
          <w:rFonts w:hint="eastAsia" w:ascii="仿宋" w:hAnsi="仿宋" w:eastAsia="仿宋" w:cs="仿宋"/>
          <w:color w:val="000000" w:themeColor="text1"/>
          <w:spacing w:val="-2"/>
          <w:sz w:val="24"/>
          <w:szCs w:val="24"/>
          <w:highlight w:val="none"/>
          <w:u w:val="single"/>
          <w14:textFill>
            <w14:solidFill>
              <w14:schemeClr w14:val="tx1"/>
            </w14:solidFill>
          </w14:textFill>
        </w:rPr>
        <w:t>以及合同工程精度要求，测设施工控制网，并在开工前，将施工控制网资料报送发包人和监理人审批</w:t>
      </w:r>
      <w:r>
        <w:rPr>
          <w:rFonts w:hint="eastAsia" w:ascii="仿宋" w:hAnsi="仿宋" w:eastAsia="仿宋" w:cs="仿宋"/>
          <w:color w:val="000000" w:themeColor="text1"/>
          <w:spacing w:val="-2"/>
          <w:sz w:val="24"/>
          <w:szCs w:val="24"/>
          <w:highlight w:val="none"/>
          <w14:textFill>
            <w14:solidFill>
              <w14:schemeClr w14:val="tx1"/>
            </w14:solidFill>
          </w14:textFill>
        </w:rPr>
        <w:t>。</w:t>
      </w:r>
    </w:p>
    <w:p w14:paraId="181FFDD6">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7.5</w:t>
      </w:r>
      <w:r>
        <w:rPr>
          <w:rFonts w:hint="eastAsia" w:ascii="仿宋" w:hAnsi="仿宋" w:eastAsia="仿宋" w:cs="仿宋"/>
          <w:color w:val="000000" w:themeColor="text1"/>
          <w:spacing w:val="1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工期延误</w:t>
      </w:r>
    </w:p>
    <w:p w14:paraId="655032D4">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7.5.1 因发包人原因导致工期延误</w:t>
      </w:r>
    </w:p>
    <w:p w14:paraId="2E62897F">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（7）因发包人原因导致工期延误的其他情形：</w:t>
      </w:r>
      <w:r>
        <w:rPr>
          <w:rFonts w:hint="eastAsia" w:ascii="仿宋" w:hAnsi="仿宋" w:eastAsia="仿宋" w:cs="仿宋"/>
          <w:color w:val="000000" w:themeColor="text1"/>
          <w:spacing w:val="-1"/>
          <w:sz w:val="24"/>
          <w:szCs w:val="24"/>
          <w:highlight w:val="none"/>
          <w:u w:val="single"/>
          <w14:textFill>
            <w14:solidFill>
              <w14:schemeClr w14:val="tx1"/>
            </w14:solidFill>
          </w14:textFill>
        </w:rPr>
        <w:t>因重大设计变更、政策原因或项</w:t>
      </w:r>
      <w:r>
        <w:rPr>
          <w:rFonts w:hint="eastAsia" w:ascii="仿宋" w:hAnsi="仿宋" w:eastAsia="仿宋" w:cs="仿宋"/>
          <w:color w:val="000000" w:themeColor="text1"/>
          <w:spacing w:val="-2"/>
          <w:sz w:val="24"/>
          <w:szCs w:val="24"/>
          <w:highlight w:val="none"/>
          <w:u w:val="single"/>
          <w14:textFill>
            <w14:solidFill>
              <w14:schemeClr w14:val="tx1"/>
            </w14:solidFill>
          </w14:textFill>
        </w:rPr>
        <w:t>目计划调整或不可抗力原因影响工程进度，需在发生后七日内办理签证，逾期发</w:t>
      </w:r>
      <w:r>
        <w:rPr>
          <w:rFonts w:hint="eastAsia" w:ascii="仿宋" w:hAnsi="仿宋" w:eastAsia="仿宋" w:cs="仿宋"/>
          <w:color w:val="000000" w:themeColor="text1"/>
          <w:spacing w:val="-1"/>
          <w:sz w:val="24"/>
          <w:szCs w:val="24"/>
          <w:highlight w:val="none"/>
          <w:u w:val="single"/>
          <w14:textFill>
            <w14:solidFill>
              <w14:schemeClr w14:val="tx1"/>
            </w14:solidFill>
          </w14:textFill>
        </w:rPr>
        <w:t>包人不承担责任</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7535B753">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7.5.2 因承包人原因导致工期延误</w:t>
      </w:r>
    </w:p>
    <w:p w14:paraId="32EA34E4">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因承包人原因造成工期延误，逾期竣工违约金的计算方法为：</w:t>
      </w:r>
    </w:p>
    <w:p w14:paraId="63E8C6DF">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u w:val="single"/>
          <w14:textFill>
            <w14:solidFill>
              <w14:schemeClr w14:val="tx1"/>
            </w14:solidFill>
          </w14:textFill>
        </w:rPr>
        <w:t>按照合同工期，总工期每推延一天，缴纳违约金为合同价的</w:t>
      </w:r>
      <w:r>
        <w:rPr>
          <w:rFonts w:hint="eastAsia" w:ascii="仿宋" w:hAnsi="仿宋" w:eastAsia="仿宋" w:cs="仿宋"/>
          <w:color w:val="000000" w:themeColor="text1"/>
          <w:spacing w:val="-46"/>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14:textFill>
            <w14:solidFill>
              <w14:schemeClr w14:val="tx1"/>
            </w14:solidFill>
          </w14:textFill>
        </w:rPr>
        <w:t>1‰/天，同时扣除</w:t>
      </w:r>
      <w:r>
        <w:rPr>
          <w:rFonts w:hint="eastAsia" w:ascii="仿宋" w:hAnsi="仿宋" w:eastAsia="仿宋" w:cs="仿宋"/>
          <w:color w:val="000000" w:themeColor="text1"/>
          <w:spacing w:val="-4"/>
          <w:sz w:val="24"/>
          <w:szCs w:val="24"/>
          <w:highlight w:val="none"/>
          <w:u w:val="single"/>
          <w14:textFill>
            <w14:solidFill>
              <w14:schemeClr w14:val="tx1"/>
            </w14:solidFill>
          </w14:textFill>
        </w:rPr>
        <w:t>已计取的赶工措施费，给发包人造成损失的赔偿损失；开工前</w:t>
      </w:r>
      <w:r>
        <w:rPr>
          <w:rFonts w:hint="eastAsia" w:ascii="仿宋" w:hAnsi="仿宋" w:eastAsia="仿宋" w:cs="仿宋"/>
          <w:color w:val="000000" w:themeColor="text1"/>
          <w:spacing w:val="-52"/>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u w:val="single"/>
          <w14:textFill>
            <w14:solidFill>
              <w14:schemeClr w14:val="tx1"/>
            </w14:solidFill>
          </w14:textFill>
        </w:rPr>
        <w:t xml:space="preserve">3 </w:t>
      </w:r>
      <w:r>
        <w:rPr>
          <w:rFonts w:hint="eastAsia" w:ascii="仿宋" w:hAnsi="仿宋" w:eastAsia="仿宋" w:cs="仿宋"/>
          <w:color w:val="000000" w:themeColor="text1"/>
          <w:spacing w:val="-5"/>
          <w:sz w:val="24"/>
          <w:szCs w:val="24"/>
          <w:highlight w:val="none"/>
          <w:u w:val="single"/>
          <w14:textFill>
            <w14:solidFill>
              <w14:schemeClr w14:val="tx1"/>
            </w14:solidFill>
          </w14:textFill>
        </w:rPr>
        <w:t>日内上报施工进</w:t>
      </w:r>
      <w:r>
        <w:rPr>
          <w:rFonts w:hint="eastAsia" w:ascii="仿宋" w:hAnsi="仿宋" w:eastAsia="仿宋" w:cs="仿宋"/>
          <w:color w:val="000000" w:themeColor="text1"/>
          <w:spacing w:val="-2"/>
          <w:sz w:val="24"/>
          <w:szCs w:val="24"/>
          <w:highlight w:val="none"/>
          <w:u w:val="single"/>
          <w14:textFill>
            <w14:solidFill>
              <w14:schemeClr w14:val="tx1"/>
            </w14:solidFill>
          </w14:textFill>
        </w:rPr>
        <w:t>度计划，以天为单位制定项目施工进度计划、关键节点工期，按照经批准的项目施工进度计划、关键节点工期进行进度考核（工程节点工期逾期发包人有权要求</w:t>
      </w:r>
      <w:r>
        <w:rPr>
          <w:rFonts w:hint="eastAsia" w:ascii="仿宋" w:hAnsi="仿宋" w:eastAsia="仿宋" w:cs="仿宋"/>
          <w:color w:val="000000" w:themeColor="text1"/>
          <w:spacing w:val="-1"/>
          <w:sz w:val="24"/>
          <w:szCs w:val="24"/>
          <w:highlight w:val="none"/>
          <w:u w:val="single"/>
          <w14:textFill>
            <w14:solidFill>
              <w14:schemeClr w14:val="tx1"/>
            </w14:solidFill>
          </w14:textFill>
        </w:rPr>
        <w:t>承包人承担</w:t>
      </w:r>
      <w:r>
        <w:rPr>
          <w:rFonts w:hint="eastAsia" w:ascii="仿宋" w:hAnsi="仿宋" w:eastAsia="仿宋" w:cs="仿宋"/>
          <w:color w:val="000000" w:themeColor="text1"/>
          <w:spacing w:val="-1"/>
          <w:sz w:val="24"/>
          <w:szCs w:val="24"/>
          <w:highlight w:val="none"/>
          <w:u w:val="single"/>
          <w:lang w:val="en-US" w:eastAsia="zh-CN"/>
          <w14:textFill>
            <w14:solidFill>
              <w14:schemeClr w14:val="tx1"/>
            </w14:solidFill>
          </w14:textFill>
        </w:rPr>
        <w:t>5000</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元/日违约金</w:t>
      </w:r>
      <w:r>
        <w:rPr>
          <w:rFonts w:hint="eastAsia" w:ascii="仿宋" w:hAnsi="仿宋" w:eastAsia="仿宋" w:cs="仿宋"/>
          <w:color w:val="000000" w:themeColor="text1"/>
          <w:spacing w:val="-64"/>
          <w:sz w:val="24"/>
          <w:szCs w:val="24"/>
          <w:highlight w:val="none"/>
          <w:u w:val="single"/>
          <w14:textFill>
            <w14:solidFill>
              <w14:schemeClr w14:val="tx1"/>
            </w14:solidFill>
          </w14:textFill>
        </w:rPr>
        <w:t>），</w:t>
      </w:r>
      <w:r>
        <w:rPr>
          <w:rFonts w:hint="eastAsia" w:ascii="仿宋" w:hAnsi="仿宋" w:eastAsia="仿宋" w:cs="仿宋"/>
          <w:color w:val="000000" w:themeColor="text1"/>
          <w:spacing w:val="-1"/>
          <w:sz w:val="24"/>
          <w:szCs w:val="24"/>
          <w:highlight w:val="none"/>
          <w:u w:val="single"/>
          <w14:textFill>
            <w14:solidFill>
              <w14:schemeClr w14:val="tx1"/>
            </w14:solidFill>
          </w14:textFill>
        </w:rPr>
        <w:t>项目按期完</w:t>
      </w:r>
      <w:r>
        <w:rPr>
          <w:rFonts w:hint="eastAsia" w:ascii="仿宋" w:hAnsi="仿宋" w:eastAsia="仿宋" w:cs="仿宋"/>
          <w:color w:val="000000" w:themeColor="text1"/>
          <w:spacing w:val="-2"/>
          <w:sz w:val="24"/>
          <w:szCs w:val="24"/>
          <w:highlight w:val="none"/>
          <w:u w:val="single"/>
          <w14:textFill>
            <w14:solidFill>
              <w14:schemeClr w14:val="tx1"/>
            </w14:solidFill>
          </w14:textFill>
        </w:rPr>
        <w:t>工，返还所有工期延误违约金。</w:t>
      </w:r>
    </w:p>
    <w:p w14:paraId="40227A62">
      <w:pPr>
        <w:pStyle w:val="9"/>
        <w:keepNext w:val="0"/>
        <w:keepLines w:val="0"/>
        <w:pageBreakBefore w:val="0"/>
        <w:widowControl w:val="0"/>
        <w:kinsoku/>
        <w:wordWrap/>
        <w:overflowPunct/>
        <w:topLinePunct w:val="0"/>
        <w:autoSpaceDE/>
        <w:autoSpaceDN/>
        <w:bidi w:val="0"/>
        <w:snapToGrid/>
        <w:spacing w:after="0" w:line="360" w:lineRule="auto"/>
        <w:ind w:left="0" w:leftChars="0" w:right="0" w:rightChars="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因承包人原因造成工期延误，逾期竣工违约金的上限：</w:t>
      </w:r>
      <w:r>
        <w:rPr>
          <w:rFonts w:hint="eastAsia" w:ascii="仿宋" w:hAnsi="仿宋" w:eastAsia="仿宋" w:cs="仿宋"/>
          <w:color w:val="000000" w:themeColor="text1"/>
          <w:spacing w:val="-3"/>
          <w:sz w:val="24"/>
          <w:szCs w:val="24"/>
          <w:highlight w:val="none"/>
          <w:u w:val="single"/>
          <w14:textFill>
            <w14:solidFill>
              <w14:schemeClr w14:val="tx1"/>
            </w14:solidFill>
          </w14:textFill>
        </w:rPr>
        <w:t>总额不超过合同价款</w:t>
      </w:r>
      <w:r>
        <w:rPr>
          <w:rFonts w:hint="eastAsia" w:ascii="仿宋" w:hAnsi="仿宋" w:eastAsia="仿宋" w:cs="仿宋"/>
          <w:color w:val="000000" w:themeColor="text1"/>
          <w:spacing w:val="-10"/>
          <w:sz w:val="24"/>
          <w:szCs w:val="24"/>
          <w:highlight w:val="none"/>
          <w:u w:val="single"/>
          <w14:textFill>
            <w14:solidFill>
              <w14:schemeClr w14:val="tx1"/>
            </w14:solidFill>
          </w14:textFill>
        </w:rPr>
        <w:t>的</w:t>
      </w:r>
      <w:r>
        <w:rPr>
          <w:rFonts w:hint="eastAsia" w:ascii="仿宋" w:hAnsi="仿宋" w:eastAsia="仿宋" w:cs="仿宋"/>
          <w:color w:val="000000" w:themeColor="text1"/>
          <w:spacing w:val="-53"/>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0"/>
          <w:sz w:val="24"/>
          <w:szCs w:val="24"/>
          <w:highlight w:val="none"/>
          <w:u w:val="single"/>
          <w14:textFill>
            <w14:solidFill>
              <w14:schemeClr w14:val="tx1"/>
            </w14:solidFill>
          </w14:textFill>
        </w:rPr>
        <w:t>20%</w:t>
      </w:r>
      <w:r>
        <w:rPr>
          <w:rFonts w:hint="eastAsia" w:ascii="仿宋" w:hAnsi="仿宋" w:eastAsia="仿宋" w:cs="仿宋"/>
          <w:color w:val="000000" w:themeColor="text1"/>
          <w:spacing w:val="-10"/>
          <w:sz w:val="24"/>
          <w:szCs w:val="24"/>
          <w:highlight w:val="none"/>
          <w14:textFill>
            <w14:solidFill>
              <w14:schemeClr w14:val="tx1"/>
            </w14:solidFill>
          </w14:textFill>
        </w:rPr>
        <w:t>。</w:t>
      </w:r>
    </w:p>
    <w:p w14:paraId="7908250C">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7.6 不利物质条件</w:t>
      </w:r>
    </w:p>
    <w:p w14:paraId="21FEA06F">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不利物质条件的其他情形和有关约定：</w:t>
      </w:r>
      <w:r>
        <w:rPr>
          <w:rFonts w:hint="eastAsia" w:ascii="仿宋" w:hAnsi="仿宋" w:eastAsia="仿宋" w:cs="仿宋"/>
          <w:color w:val="000000" w:themeColor="text1"/>
          <w:spacing w:val="-1"/>
          <w:sz w:val="24"/>
          <w:szCs w:val="24"/>
          <w:highlight w:val="none"/>
          <w:u w:val="single"/>
          <w14:textFill>
            <w14:solidFill>
              <w14:schemeClr w14:val="tx1"/>
            </w14:solidFill>
          </w14:textFill>
        </w:rPr>
        <w:t>执行通用条款</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759E86F7">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7.7</w:t>
      </w:r>
      <w:r>
        <w:rPr>
          <w:rFonts w:hint="eastAsia" w:ascii="仿宋" w:hAnsi="仿宋" w:eastAsia="仿宋" w:cs="仿宋"/>
          <w:color w:val="000000" w:themeColor="text1"/>
          <w:spacing w:val="-5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异常恶劣的气候条件</w:t>
      </w:r>
    </w:p>
    <w:p w14:paraId="3B61722F">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发包人和承包人同意以下情形视为异常恶劣的气候条件：</w:t>
      </w:r>
    </w:p>
    <w:p w14:paraId="10DC1F91">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u w:val="singl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w:t>
      </w:r>
    </w:p>
    <w:p w14:paraId="55D50072">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u w:val="singl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w:t>
      </w:r>
    </w:p>
    <w:p w14:paraId="49A92020">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u w:val="singl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w:t>
      </w:r>
    </w:p>
    <w:p w14:paraId="5B7A3804">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7.9 提前竣工的奖励</w:t>
      </w:r>
    </w:p>
    <w:p w14:paraId="0EADA1F6">
      <w:pPr>
        <w:keepNext w:val="0"/>
        <w:keepLines w:val="0"/>
        <w:pageBreakBefore w:val="0"/>
        <w:widowControl w:val="0"/>
        <w:kinsoku/>
        <w:wordWrap/>
        <w:overflowPunct/>
        <w:topLinePunct w:val="0"/>
        <w:autoSpaceDE/>
        <w:autoSpaceDN/>
        <w:bidi w:val="0"/>
        <w:snapToGrid/>
        <w:spacing w:line="360" w:lineRule="auto"/>
        <w:ind w:left="0" w:leftChars="0" w:right="0" w:rightChars="0" w:firstLine="56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7.9.2</w:t>
      </w:r>
      <w:r>
        <w:rPr>
          <w:rFonts w:hint="eastAsia" w:ascii="仿宋" w:hAnsi="仿宋" w:eastAsia="仿宋" w:cs="仿宋"/>
          <w:color w:val="000000" w:themeColor="text1"/>
          <w:spacing w:val="-5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提前竣工的奖励：</w:t>
      </w:r>
      <w:r>
        <w:rPr>
          <w:rFonts w:hint="eastAsia" w:ascii="仿宋" w:hAnsi="仿宋" w:eastAsia="仿宋" w:cs="仿宋"/>
          <w:color w:val="000000" w:themeColor="text1"/>
          <w:spacing w:val="-1"/>
          <w:sz w:val="24"/>
          <w:szCs w:val="24"/>
          <w:highlight w:val="none"/>
          <w:u w:val="single"/>
          <w14:textFill>
            <w14:solidFill>
              <w14:schemeClr w14:val="tx1"/>
            </w14:solidFill>
          </w14:textFill>
        </w:rPr>
        <w:t>/</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6BB90877">
      <w:pPr>
        <w:keepNext w:val="0"/>
        <w:keepLines w:val="0"/>
        <w:pageBreakBefore w:val="0"/>
        <w:widowControl w:val="0"/>
        <w:kinsoku/>
        <w:wordWrap/>
        <w:overflowPunct/>
        <w:topLinePunct w:val="0"/>
        <w:autoSpaceDE/>
        <w:autoSpaceDN/>
        <w:bidi w:val="0"/>
        <w:snapToGrid/>
        <w:spacing w:line="360" w:lineRule="auto"/>
        <w:ind w:left="0" w:leftChars="0" w:right="0" w:rightChars="0"/>
        <w:outlineLvl w:val="2"/>
        <w:rPr>
          <w:rFonts w:hint="eastAsia" w:ascii="仿宋" w:hAnsi="仿宋" w:eastAsia="仿宋" w:cs="仿宋"/>
          <w:color w:val="000000" w:themeColor="text1"/>
          <w:sz w:val="24"/>
          <w:szCs w:val="24"/>
          <w:highlight w:val="none"/>
          <w14:textFill>
            <w14:solidFill>
              <w14:schemeClr w14:val="tx1"/>
            </w14:solidFill>
          </w14:textFill>
        </w:rPr>
      </w:pPr>
      <w:bookmarkStart w:id="151" w:name="bookmark221"/>
      <w:bookmarkEnd w:id="151"/>
      <w:bookmarkStart w:id="152" w:name="_Toc22133"/>
      <w:r>
        <w:rPr>
          <w:rFonts w:hint="eastAsia" w:ascii="仿宋" w:hAnsi="仿宋" w:eastAsia="仿宋" w:cs="仿宋"/>
          <w:color w:val="000000" w:themeColor="text1"/>
          <w:spacing w:val="-2"/>
          <w:sz w:val="24"/>
          <w:szCs w:val="24"/>
          <w:highlight w:val="none"/>
          <w14:textFill>
            <w14:solidFill>
              <w14:schemeClr w14:val="tx1"/>
            </w14:solidFill>
          </w14:textFill>
        </w:rPr>
        <w:t>8. 材料与设备</w:t>
      </w:r>
      <w:bookmarkEnd w:id="152"/>
    </w:p>
    <w:p w14:paraId="1E25F5CA">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8.2</w:t>
      </w:r>
      <w:r>
        <w:rPr>
          <w:rFonts w:hint="eastAsia" w:ascii="仿宋" w:hAnsi="仿宋" w:eastAsia="仿宋" w:cs="仿宋"/>
          <w:color w:val="000000" w:themeColor="text1"/>
          <w:spacing w:val="-5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承包人采购材料和工程设备</w:t>
      </w:r>
    </w:p>
    <w:p w14:paraId="34D2BEF5">
      <w:pPr>
        <w:keepNext w:val="0"/>
        <w:keepLines w:val="0"/>
        <w:pageBreakBefore w:val="0"/>
        <w:widowControl w:val="0"/>
        <w:kinsoku/>
        <w:wordWrap/>
        <w:overflowPunct/>
        <w:topLinePunct w:val="0"/>
        <w:autoSpaceDE/>
        <w:autoSpaceDN/>
        <w:bidi w:val="0"/>
        <w:snapToGrid/>
        <w:spacing w:line="360" w:lineRule="auto"/>
        <w:ind w:left="0" w:leftChars="0" w:right="0" w:rightChars="0" w:firstLine="564"/>
        <w:rPr>
          <w:rFonts w:hint="eastAsia" w:ascii="仿宋" w:hAnsi="仿宋" w:eastAsia="仿宋" w:cs="仿宋"/>
          <w:color w:val="000000" w:themeColor="text1"/>
          <w:spacing w:val="-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承包人负责采购材料、设备等的，应按照设计和有关标准要求采购，提供产品合格证明、出厂证明、相关的检验、运输等，并对材料、设备等质量负责。承包人在材料订货前 50 日，承包人必须将拟采购材料厂家报发包人和监理人，必须经发包人监理人确认后方可进行订货，并办理相关采购手续，否则发包人和监理人不予以认可，由此而产生的各项费用、工期以及影响工程整体进度而造成的损失，均由承包人承担。合同约定由承包人采购的材料、设备等，所有的采购手续必须由承包人办理。清单与图纸、技术要求描述不一致的，需提前30天书面报业主确认后方可实施。否则由此造成的损失由施工单位承担，并按管理规定进 行处罚。</w:t>
      </w:r>
    </w:p>
    <w:p w14:paraId="3DE01784">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8.4</w:t>
      </w:r>
      <w:r>
        <w:rPr>
          <w:rFonts w:hint="eastAsia" w:ascii="仿宋" w:hAnsi="仿宋" w:eastAsia="仿宋" w:cs="仿宋"/>
          <w:color w:val="000000" w:themeColor="text1"/>
          <w:spacing w:val="-4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材料与工程设备的保管与使用</w:t>
      </w:r>
    </w:p>
    <w:p w14:paraId="1915A0B4">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8.4.1</w:t>
      </w:r>
      <w:r>
        <w:rPr>
          <w:rFonts w:hint="eastAsia" w:ascii="仿宋" w:hAnsi="仿宋" w:eastAsia="仿宋" w:cs="仿宋"/>
          <w:color w:val="000000" w:themeColor="text1"/>
          <w:spacing w:val="-4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发包人供应的材料设备的保管费用的承担：</w:t>
      </w:r>
      <w:r>
        <w:rPr>
          <w:rFonts w:hint="eastAsia" w:ascii="仿宋" w:hAnsi="仿宋" w:eastAsia="仿宋" w:cs="仿宋"/>
          <w:color w:val="000000" w:themeColor="text1"/>
          <w:spacing w:val="-1"/>
          <w:sz w:val="24"/>
          <w:szCs w:val="24"/>
          <w:highlight w:val="none"/>
          <w:u w:val="single"/>
          <w14:textFill>
            <w14:solidFill>
              <w14:schemeClr w14:val="tx1"/>
            </w14:solidFill>
          </w14:textFill>
        </w:rPr>
        <w:t>由承包人承担，费用含在合同</w:t>
      </w:r>
      <w:r>
        <w:rPr>
          <w:rFonts w:hint="eastAsia" w:ascii="仿宋" w:hAnsi="仿宋" w:eastAsia="仿宋" w:cs="仿宋"/>
          <w:color w:val="000000" w:themeColor="text1"/>
          <w:spacing w:val="-4"/>
          <w:sz w:val="24"/>
          <w:szCs w:val="24"/>
          <w:highlight w:val="none"/>
          <w:u w:val="single"/>
          <w14:textFill>
            <w14:solidFill>
              <w14:schemeClr w14:val="tx1"/>
            </w14:solidFill>
          </w14:textFill>
        </w:rPr>
        <w:t>价中</w:t>
      </w:r>
      <w:r>
        <w:rPr>
          <w:rFonts w:hint="eastAsia" w:ascii="仿宋" w:hAnsi="仿宋" w:eastAsia="仿宋" w:cs="仿宋"/>
          <w:color w:val="000000" w:themeColor="text1"/>
          <w:spacing w:val="-4"/>
          <w:sz w:val="24"/>
          <w:szCs w:val="24"/>
          <w:highlight w:val="none"/>
          <w14:textFill>
            <w14:solidFill>
              <w14:schemeClr w14:val="tx1"/>
            </w14:solidFill>
          </w14:textFill>
        </w:rPr>
        <w:t>。</w:t>
      </w:r>
    </w:p>
    <w:p w14:paraId="350BDA56">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8.6</w:t>
      </w:r>
      <w:r>
        <w:rPr>
          <w:rFonts w:hint="eastAsia" w:ascii="仿宋" w:hAnsi="仿宋" w:eastAsia="仿宋" w:cs="仿宋"/>
          <w:color w:val="000000" w:themeColor="text1"/>
          <w:spacing w:val="1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样品</w:t>
      </w:r>
    </w:p>
    <w:p w14:paraId="565C77A6">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8.6.1   样品的报送与封存</w:t>
      </w:r>
    </w:p>
    <w:p w14:paraId="44328239">
      <w:pPr>
        <w:keepNext w:val="0"/>
        <w:keepLines w:val="0"/>
        <w:pageBreakBefore w:val="0"/>
        <w:widowControl w:val="0"/>
        <w:kinsoku/>
        <w:wordWrap/>
        <w:overflowPunct/>
        <w:topLinePunct w:val="0"/>
        <w:autoSpaceDE/>
        <w:autoSpaceDN/>
        <w:bidi w:val="0"/>
        <w:snapToGrid/>
        <w:spacing w:line="360" w:lineRule="auto"/>
        <w:ind w:left="0" w:leftChars="0" w:right="0" w:rightChars="0" w:firstLine="479" w:firstLineChars="20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需要承包人报送样品的材料或工程设备，样品的种类、名称、规格、数量要求：</w:t>
      </w:r>
      <w:r>
        <w:rPr>
          <w:rFonts w:hint="eastAsia" w:ascii="仿宋" w:hAnsi="仿宋" w:eastAsia="仿宋" w:cs="仿宋"/>
          <w:color w:val="000000" w:themeColor="text1"/>
          <w:spacing w:val="-1"/>
          <w:sz w:val="24"/>
          <w:szCs w:val="24"/>
          <w:highlight w:val="none"/>
          <w:u w:val="single"/>
          <w14:textFill>
            <w14:solidFill>
              <w14:schemeClr w14:val="tx1"/>
            </w14:solidFill>
          </w14:textFill>
        </w:rPr>
        <w:t>按管理部门要求和发包人需求确定</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09DBF69D">
      <w:pPr>
        <w:keepNext w:val="0"/>
        <w:keepLines w:val="0"/>
        <w:pageBreakBefore w:val="0"/>
        <w:widowControl w:val="0"/>
        <w:kinsoku/>
        <w:wordWrap/>
        <w:overflowPunct/>
        <w:topLinePunct w:val="0"/>
        <w:autoSpaceDE/>
        <w:autoSpaceDN/>
        <w:bidi w:val="0"/>
        <w:snapToGrid/>
        <w:spacing w:line="360" w:lineRule="auto"/>
        <w:ind w:left="0" w:leftChars="0" w:right="0" w:rightChars="0" w:firstLine="55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所有材料设备，在进场前 7日内，都必须需要承包人报送样品，经发包人、</w:t>
      </w:r>
      <w:r>
        <w:rPr>
          <w:rFonts w:hint="eastAsia" w:ascii="仿宋" w:hAnsi="仿宋" w:eastAsia="仿宋" w:cs="仿宋"/>
          <w:color w:val="000000" w:themeColor="text1"/>
          <w:spacing w:val="-4"/>
          <w:sz w:val="24"/>
          <w:szCs w:val="24"/>
          <w:highlight w:val="none"/>
          <w14:textFill>
            <w14:solidFill>
              <w14:schemeClr w14:val="tx1"/>
            </w14:solidFill>
          </w14:textFill>
        </w:rPr>
        <w:t>监理人确认后，方可使用。</w:t>
      </w:r>
    </w:p>
    <w:p w14:paraId="35211875">
      <w:pPr>
        <w:keepNext w:val="0"/>
        <w:keepLines w:val="0"/>
        <w:pageBreakBefore w:val="0"/>
        <w:widowControl w:val="0"/>
        <w:kinsoku/>
        <w:wordWrap/>
        <w:overflowPunct/>
        <w:topLinePunct w:val="0"/>
        <w:autoSpaceDE/>
        <w:autoSpaceDN/>
        <w:bidi w:val="0"/>
        <w:snapToGrid/>
        <w:spacing w:line="360" w:lineRule="auto"/>
        <w:ind w:left="0" w:leftChars="0" w:right="0" w:rightChars="0" w:firstLine="55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（1）样品范围由发包人、监理人共同确定，一旦样品经过发包人和监理人审批，经审批同意的样品将成为检验相关工程的标</w:t>
      </w:r>
      <w:r>
        <w:rPr>
          <w:rFonts w:hint="eastAsia" w:ascii="仿宋" w:hAnsi="仿宋" w:eastAsia="仿宋" w:cs="仿宋"/>
          <w:color w:val="000000" w:themeColor="text1"/>
          <w:spacing w:val="-2"/>
          <w:sz w:val="24"/>
          <w:szCs w:val="24"/>
          <w:highlight w:val="none"/>
          <w14:textFill>
            <w14:solidFill>
              <w14:schemeClr w14:val="tx1"/>
            </w14:solidFill>
          </w14:textFill>
        </w:rPr>
        <w:t>准之一。</w:t>
      </w:r>
    </w:p>
    <w:p w14:paraId="01525A13">
      <w:pPr>
        <w:keepNext w:val="0"/>
        <w:keepLines w:val="0"/>
        <w:pageBreakBefore w:val="0"/>
        <w:widowControl w:val="0"/>
        <w:kinsoku/>
        <w:wordWrap/>
        <w:overflowPunct/>
        <w:topLinePunct w:val="0"/>
        <w:autoSpaceDE/>
        <w:autoSpaceDN/>
        <w:bidi w:val="0"/>
        <w:snapToGrid/>
        <w:spacing w:line="360" w:lineRule="auto"/>
        <w:ind w:left="0" w:leftChars="0" w:right="0" w:rightChars="0" w:firstLine="56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（2）承包人应在批量加工前，或如为工厂制造产品，应在加工或定货前且</w:t>
      </w:r>
      <w:r>
        <w:rPr>
          <w:rFonts w:hint="eastAsia" w:ascii="仿宋" w:hAnsi="仿宋" w:eastAsia="仿宋" w:cs="仿宋"/>
          <w:color w:val="000000" w:themeColor="text1"/>
          <w:spacing w:val="-2"/>
          <w:sz w:val="24"/>
          <w:szCs w:val="24"/>
          <w:highlight w:val="none"/>
          <w14:textFill>
            <w14:solidFill>
              <w14:schemeClr w14:val="tx1"/>
            </w14:solidFill>
          </w14:textFill>
        </w:rPr>
        <w:t>在依照设备、材料报批和采购计划并给予发包人和监理人足够的审批时间的前提下，将有关样品报发包人和监理人审批；样品的数量应合理满足为确定所报批的样品是否能达到可以接受的标准的需要；需提供一套及以上的经审批同意的样品</w:t>
      </w:r>
      <w:r>
        <w:rPr>
          <w:rFonts w:hint="eastAsia" w:ascii="仿宋" w:hAnsi="仿宋" w:eastAsia="仿宋" w:cs="仿宋"/>
          <w:color w:val="000000" w:themeColor="text1"/>
          <w:spacing w:val="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需存放在现场的样品间。</w:t>
      </w:r>
    </w:p>
    <w:p w14:paraId="5127B48C">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（3）所有样品都应贴有标明其产品名称或类别、厂家名称、型号、品名、</w:t>
      </w:r>
      <w:r>
        <w:rPr>
          <w:rFonts w:hint="eastAsia" w:ascii="仿宋" w:hAnsi="仿宋" w:eastAsia="仿宋" w:cs="仿宋"/>
          <w:color w:val="000000" w:themeColor="text1"/>
          <w:spacing w:val="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供应商的名称和出产国等的样品标签。</w:t>
      </w:r>
    </w:p>
    <w:p w14:paraId="05DBC39A">
      <w:pPr>
        <w:keepNext w:val="0"/>
        <w:keepLines w:val="0"/>
        <w:pageBreakBefore w:val="0"/>
        <w:widowControl w:val="0"/>
        <w:kinsoku/>
        <w:wordWrap/>
        <w:overflowPunct/>
        <w:topLinePunct w:val="0"/>
        <w:autoSpaceDE/>
        <w:autoSpaceDN/>
        <w:bidi w:val="0"/>
        <w:snapToGrid/>
        <w:spacing w:line="360" w:lineRule="auto"/>
        <w:ind w:left="0" w:leftChars="0" w:right="0" w:rightChars="0" w:firstLine="56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（4）在每次呈报样品时，承包人都应附上一份申报单，其中应列出上述的</w:t>
      </w:r>
      <w:r>
        <w:rPr>
          <w:rFonts w:hint="eastAsia" w:ascii="仿宋" w:hAnsi="仿宋" w:eastAsia="仿宋" w:cs="仿宋"/>
          <w:color w:val="000000" w:themeColor="text1"/>
          <w:spacing w:val="-2"/>
          <w:sz w:val="24"/>
          <w:szCs w:val="24"/>
          <w:highlight w:val="none"/>
          <w14:textFill>
            <w14:solidFill>
              <w14:schemeClr w14:val="tx1"/>
            </w14:solidFill>
          </w14:textFill>
        </w:rPr>
        <w:t>样品数据和资料，并写明每一样品所对应的图纸号和合同价格组成明细单中的对应项目编号，并预留发包人和监理人的批复意见栏；申报单一式四份，以便发包人和监理人批复后，有关各方都能得到一份原始记录；申报单的格式应经过发包人和监理人批准。</w:t>
      </w:r>
    </w:p>
    <w:p w14:paraId="2C846505">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（5）发包人和监理人对任何样品的认可仅是对在批复意见中指明的特征或用途有效；对某一样品的认可不能被理解为对合同文件中任何约定的改变或修改。一旦某一样品被认可，将不允许在品牌</w:t>
      </w:r>
      <w:r>
        <w:rPr>
          <w:rFonts w:hint="eastAsia" w:ascii="仿宋" w:hAnsi="仿宋" w:eastAsia="仿宋" w:cs="仿宋"/>
          <w:color w:val="000000" w:themeColor="text1"/>
          <w:spacing w:val="-2"/>
          <w:sz w:val="24"/>
          <w:szCs w:val="24"/>
          <w:highlight w:val="none"/>
          <w14:textFill>
            <w14:solidFill>
              <w14:schemeClr w14:val="tx1"/>
            </w14:solidFill>
          </w14:textFill>
        </w:rPr>
        <w:t>、质地等方面作任何改变。</w:t>
      </w:r>
    </w:p>
    <w:p w14:paraId="62ED0FDA">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（6）如果发包人和监理人认为承包人呈报的样品不能满足合同约定的</w:t>
      </w:r>
      <w:r>
        <w:rPr>
          <w:rFonts w:hint="eastAsia" w:ascii="仿宋" w:hAnsi="仿宋" w:eastAsia="仿宋" w:cs="仿宋"/>
          <w:color w:val="000000" w:themeColor="text1"/>
          <w:spacing w:val="-5"/>
          <w:sz w:val="24"/>
          <w:szCs w:val="24"/>
          <w:highlight w:val="none"/>
          <w14:textFill>
            <w14:solidFill>
              <w14:schemeClr w14:val="tx1"/>
            </w14:solidFill>
          </w14:textFill>
        </w:rPr>
        <w:t>要求，</w:t>
      </w:r>
      <w:r>
        <w:rPr>
          <w:rFonts w:hint="eastAsia" w:ascii="仿宋" w:hAnsi="仿宋" w:eastAsia="仿宋" w:cs="仿宋"/>
          <w:color w:val="000000" w:themeColor="text1"/>
          <w:sz w:val="24"/>
          <w:szCs w:val="24"/>
          <w:highlight w:val="none"/>
          <w14:textFill>
            <w14:solidFill>
              <w14:schemeClr w14:val="tx1"/>
            </w14:solidFill>
          </w14:textFill>
        </w:rPr>
        <w:t xml:space="preserve"> 承包人应在收到相应 批复后7天内按合同约定</w:t>
      </w:r>
      <w:r>
        <w:rPr>
          <w:rFonts w:hint="eastAsia" w:ascii="仿宋" w:hAnsi="仿宋" w:eastAsia="仿宋" w:cs="仿宋"/>
          <w:color w:val="000000" w:themeColor="text1"/>
          <w:spacing w:val="-1"/>
          <w:sz w:val="24"/>
          <w:szCs w:val="24"/>
          <w:highlight w:val="none"/>
          <w14:textFill>
            <w14:solidFill>
              <w14:schemeClr w14:val="tx1"/>
            </w14:solidFill>
          </w14:textFill>
        </w:rPr>
        <w:t>的要求重新准备并向发包人和监</w:t>
      </w:r>
      <w:r>
        <w:rPr>
          <w:rFonts w:hint="eastAsia" w:ascii="仿宋" w:hAnsi="仿宋" w:eastAsia="仿宋" w:cs="仿宋"/>
          <w:color w:val="000000" w:themeColor="text1"/>
          <w:spacing w:val="-2"/>
          <w:sz w:val="24"/>
          <w:szCs w:val="24"/>
          <w:highlight w:val="none"/>
          <w14:textFill>
            <w14:solidFill>
              <w14:schemeClr w14:val="tx1"/>
            </w14:solidFill>
          </w14:textFill>
        </w:rPr>
        <w:t>理人提交有关样品。在承包人再次提交的样品仍被发包人和监理人认为不符合合</w:t>
      </w:r>
      <w:r>
        <w:rPr>
          <w:rFonts w:hint="eastAsia" w:ascii="仿宋" w:hAnsi="仿宋" w:eastAsia="仿宋" w:cs="仿宋"/>
          <w:color w:val="000000" w:themeColor="text1"/>
          <w:spacing w:val="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同约定的要求时，在不解除承包人任何合同责任的前提下，发包人和监理人可向承包人推荐其认为能够满足合同要求的材料设备，以保证工程的进度不致受到影</w:t>
      </w:r>
      <w:r>
        <w:rPr>
          <w:rFonts w:hint="eastAsia" w:ascii="仿宋" w:hAnsi="仿宋" w:eastAsia="仿宋" w:cs="仿宋"/>
          <w:color w:val="000000" w:themeColor="text1"/>
          <w:spacing w:val="-1"/>
          <w:sz w:val="24"/>
          <w:szCs w:val="24"/>
          <w:highlight w:val="none"/>
          <w14:textFill>
            <w14:solidFill>
              <w14:schemeClr w14:val="tx1"/>
            </w14:solidFill>
          </w14:textFill>
        </w:rPr>
        <w:t>响，而承包人应相应地根据发包人和监理人的推荐意见选择并提交有关样</w:t>
      </w:r>
      <w:r>
        <w:rPr>
          <w:rFonts w:hint="eastAsia" w:ascii="仿宋" w:hAnsi="仿宋" w:eastAsia="仿宋" w:cs="仿宋"/>
          <w:color w:val="000000" w:themeColor="text1"/>
          <w:spacing w:val="-2"/>
          <w:sz w:val="24"/>
          <w:szCs w:val="24"/>
          <w:highlight w:val="none"/>
          <w14:textFill>
            <w14:solidFill>
              <w14:schemeClr w14:val="tx1"/>
            </w14:solidFill>
          </w14:textFill>
        </w:rPr>
        <w:t>品。</w:t>
      </w:r>
    </w:p>
    <w:p w14:paraId="294317A5">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（7）发包人和监理人有权决定是否将某一或某些样品本身用于永久工程。</w:t>
      </w:r>
      <w:r>
        <w:rPr>
          <w:rFonts w:hint="eastAsia" w:ascii="仿宋" w:hAnsi="仿宋" w:eastAsia="仿宋" w:cs="仿宋"/>
          <w:color w:val="000000" w:themeColor="text1"/>
          <w:spacing w:val="-2"/>
          <w:sz w:val="24"/>
          <w:szCs w:val="24"/>
          <w:highlight w:val="none"/>
          <w14:textFill>
            <w14:solidFill>
              <w14:schemeClr w14:val="tx1"/>
            </w14:solidFill>
          </w14:textFill>
        </w:rPr>
        <w:t>如果发包人和监理人决定将某一或某些样品本身用于永久工程，承包人应确</w:t>
      </w:r>
      <w:r>
        <w:rPr>
          <w:rFonts w:hint="eastAsia" w:ascii="仿宋" w:hAnsi="仿宋" w:eastAsia="仿宋" w:cs="仿宋"/>
          <w:color w:val="000000" w:themeColor="text1"/>
          <w:spacing w:val="-3"/>
          <w:sz w:val="24"/>
          <w:szCs w:val="24"/>
          <w:highlight w:val="none"/>
          <w14:textFill>
            <w14:solidFill>
              <w14:schemeClr w14:val="tx1"/>
            </w14:solidFill>
          </w14:textFill>
        </w:rPr>
        <w:t>保此</w:t>
      </w:r>
      <w:r>
        <w:rPr>
          <w:rFonts w:hint="eastAsia" w:ascii="仿宋" w:hAnsi="仿宋" w:eastAsia="仿宋" w:cs="仿宋"/>
          <w:color w:val="000000" w:themeColor="text1"/>
          <w:spacing w:val="-1"/>
          <w:sz w:val="24"/>
          <w:szCs w:val="24"/>
          <w:highlight w:val="none"/>
          <w14:textFill>
            <w14:solidFill>
              <w14:schemeClr w14:val="tx1"/>
            </w14:solidFill>
          </w14:textFill>
        </w:rPr>
        <w:t>类样品的使用具备良好的条件并带有明显的识别标志。</w:t>
      </w:r>
    </w:p>
    <w:p w14:paraId="2F4E9554">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（8）承包人所呈报的所有样品，包括其包装、运输等的费用由承包人自行承担。经审批同意的样品需妥善陈列在现场的样品间。</w:t>
      </w:r>
    </w:p>
    <w:p w14:paraId="334C6CC7">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（9）确定需提供样品的材料、设备等，样品经监理人、发包人确认后方可</w:t>
      </w:r>
      <w:r>
        <w:rPr>
          <w:rFonts w:hint="eastAsia" w:ascii="仿宋" w:hAnsi="仿宋" w:eastAsia="仿宋" w:cs="仿宋"/>
          <w:color w:val="000000" w:themeColor="text1"/>
          <w:spacing w:val="-8"/>
          <w:sz w:val="24"/>
          <w:szCs w:val="24"/>
          <w:highlight w:val="none"/>
          <w14:textFill>
            <w14:solidFill>
              <w14:schemeClr w14:val="tx1"/>
            </w14:solidFill>
          </w14:textFill>
        </w:rPr>
        <w:t>用于本工程。如应提供样品，承包人未予提供，直接将材料、设备等用于工程中，</w:t>
      </w:r>
      <w:r>
        <w:rPr>
          <w:rFonts w:hint="eastAsia" w:ascii="仿宋" w:hAnsi="仿宋" w:eastAsia="仿宋" w:cs="仿宋"/>
          <w:color w:val="000000" w:themeColor="text1"/>
          <w:spacing w:val="-2"/>
          <w:sz w:val="24"/>
          <w:szCs w:val="24"/>
          <w:highlight w:val="none"/>
          <w14:textFill>
            <w14:solidFill>
              <w14:schemeClr w14:val="tx1"/>
            </w14:solidFill>
          </w14:textFill>
        </w:rPr>
        <w:t>则发包人有权不予支付该材料、设备相关工序的进度款，直至承包人提供符合要求的样品，并证明已施工使用的材料、设备达到或高于所提供的样品并能够满足发包人的使用要求。</w:t>
      </w:r>
    </w:p>
    <w:p w14:paraId="0CEF3BC0">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（10）如因承包人未提供样品，提供样品不及时，样品达不到招标</w:t>
      </w:r>
      <w:r>
        <w:rPr>
          <w:rFonts w:hint="eastAsia" w:ascii="仿宋" w:hAnsi="仿宋" w:eastAsia="仿宋" w:cs="仿宋"/>
          <w:color w:val="000000" w:themeColor="text1"/>
          <w:spacing w:val="-3"/>
          <w:sz w:val="24"/>
          <w:szCs w:val="24"/>
          <w:highlight w:val="none"/>
          <w14:textFill>
            <w14:solidFill>
              <w14:schemeClr w14:val="tx1"/>
            </w14:solidFill>
          </w14:textFill>
        </w:rPr>
        <w:t>文件、合同、清单、设计文件、相关规范等的标准或不满足发包人在招标文件、合同等约</w:t>
      </w:r>
      <w:r>
        <w:rPr>
          <w:rFonts w:hint="eastAsia" w:ascii="仿宋" w:hAnsi="仿宋" w:eastAsia="仿宋" w:cs="仿宋"/>
          <w:color w:val="000000" w:themeColor="text1"/>
          <w:spacing w:val="-2"/>
          <w:sz w:val="24"/>
          <w:szCs w:val="24"/>
          <w:highlight w:val="none"/>
          <w14:textFill>
            <w14:solidFill>
              <w14:schemeClr w14:val="tx1"/>
            </w14:solidFill>
          </w14:textFill>
        </w:rPr>
        <w:t>定范围内的要求而导致返工、工期延误等所有情况，责任及相关费用由</w:t>
      </w:r>
      <w:r>
        <w:rPr>
          <w:rFonts w:hint="eastAsia" w:ascii="仿宋" w:hAnsi="仿宋" w:eastAsia="仿宋" w:cs="仿宋"/>
          <w:color w:val="000000" w:themeColor="text1"/>
          <w:spacing w:val="-3"/>
          <w:sz w:val="24"/>
          <w:szCs w:val="24"/>
          <w:highlight w:val="none"/>
          <w14:textFill>
            <w14:solidFill>
              <w14:schemeClr w14:val="tx1"/>
            </w14:solidFill>
          </w14:textFill>
        </w:rPr>
        <w:t>承包人自</w:t>
      </w:r>
      <w:r>
        <w:rPr>
          <w:rFonts w:hint="eastAsia" w:ascii="仿宋" w:hAnsi="仿宋" w:eastAsia="仿宋" w:cs="仿宋"/>
          <w:color w:val="000000" w:themeColor="text1"/>
          <w:spacing w:val="-11"/>
          <w:sz w:val="24"/>
          <w:szCs w:val="24"/>
          <w:highlight w:val="none"/>
          <w14:textFill>
            <w14:solidFill>
              <w14:schemeClr w14:val="tx1"/>
            </w14:solidFill>
          </w14:textFill>
        </w:rPr>
        <w:t>行承担。</w:t>
      </w:r>
    </w:p>
    <w:p w14:paraId="4B59E1F4">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8.8 施工设备和临时设施</w:t>
      </w:r>
    </w:p>
    <w:p w14:paraId="40564F53">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8.8.1 承包人提供的施工设备和临时设施</w:t>
      </w:r>
    </w:p>
    <w:p w14:paraId="22F289F0">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关于修建临时设施费用承担的约定：</w:t>
      </w:r>
      <w:r>
        <w:rPr>
          <w:rFonts w:hint="eastAsia" w:ascii="仿宋" w:hAnsi="仿宋" w:eastAsia="仿宋" w:cs="仿宋"/>
          <w:color w:val="000000" w:themeColor="text1"/>
          <w:spacing w:val="-1"/>
          <w:sz w:val="24"/>
          <w:szCs w:val="24"/>
          <w:highlight w:val="none"/>
          <w:u w:val="single"/>
          <w14:textFill>
            <w14:solidFill>
              <w14:schemeClr w14:val="tx1"/>
            </w14:solidFill>
          </w14:textFill>
        </w:rPr>
        <w:t>由承包人承担，费用包含在合同价中</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7990407F">
      <w:pPr>
        <w:keepNext w:val="0"/>
        <w:keepLines w:val="0"/>
        <w:pageBreakBefore w:val="0"/>
        <w:widowControl w:val="0"/>
        <w:kinsoku/>
        <w:wordWrap/>
        <w:overflowPunct/>
        <w:topLinePunct w:val="0"/>
        <w:autoSpaceDE/>
        <w:autoSpaceDN/>
        <w:bidi w:val="0"/>
        <w:snapToGrid/>
        <w:spacing w:line="360" w:lineRule="auto"/>
        <w:ind w:left="0" w:leftChars="0" w:right="0" w:rightChars="0"/>
        <w:outlineLvl w:val="2"/>
        <w:rPr>
          <w:rFonts w:hint="eastAsia" w:ascii="仿宋" w:hAnsi="仿宋" w:eastAsia="仿宋" w:cs="仿宋"/>
          <w:color w:val="000000" w:themeColor="text1"/>
          <w:sz w:val="24"/>
          <w:szCs w:val="24"/>
          <w:highlight w:val="none"/>
          <w14:textFill>
            <w14:solidFill>
              <w14:schemeClr w14:val="tx1"/>
            </w14:solidFill>
          </w14:textFill>
        </w:rPr>
      </w:pPr>
      <w:bookmarkStart w:id="153" w:name="bookmark144"/>
      <w:bookmarkEnd w:id="153"/>
      <w:bookmarkStart w:id="154" w:name="_Toc7392"/>
      <w:r>
        <w:rPr>
          <w:rFonts w:hint="eastAsia" w:ascii="仿宋" w:hAnsi="仿宋" w:eastAsia="仿宋" w:cs="仿宋"/>
          <w:color w:val="000000" w:themeColor="text1"/>
          <w:spacing w:val="-2"/>
          <w:sz w:val="24"/>
          <w:szCs w:val="24"/>
          <w:highlight w:val="none"/>
          <w14:textFill>
            <w14:solidFill>
              <w14:schemeClr w14:val="tx1"/>
            </w14:solidFill>
          </w14:textFill>
        </w:rPr>
        <w:t>9. 试验与检验</w:t>
      </w:r>
      <w:bookmarkEnd w:id="154"/>
    </w:p>
    <w:p w14:paraId="47EE1E4E">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9.1</w:t>
      </w:r>
      <w:r>
        <w:rPr>
          <w:rFonts w:hint="eastAsia" w:ascii="仿宋" w:hAnsi="仿宋" w:eastAsia="仿宋" w:cs="仿宋"/>
          <w:color w:val="000000" w:themeColor="text1"/>
          <w:spacing w:val="-5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试验设备与试验人员</w:t>
      </w:r>
    </w:p>
    <w:p w14:paraId="0E92922B">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9.1.2 试验设备</w:t>
      </w:r>
    </w:p>
    <w:p w14:paraId="591FA0AE">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施工现场需要配置的试验场所：</w:t>
      </w:r>
      <w:r>
        <w:rPr>
          <w:rFonts w:hint="eastAsia" w:ascii="仿宋" w:hAnsi="仿宋" w:eastAsia="仿宋" w:cs="仿宋"/>
          <w:color w:val="000000" w:themeColor="text1"/>
          <w:spacing w:val="-2"/>
          <w:sz w:val="24"/>
          <w:szCs w:val="24"/>
          <w:highlight w:val="none"/>
          <w:u w:val="single"/>
          <w14:textFill>
            <w14:solidFill>
              <w14:schemeClr w14:val="tx1"/>
            </w14:solidFill>
          </w14:textFill>
        </w:rPr>
        <w:t>标准养护室(箱)，相关费用已综合考虑在工</w:t>
      </w:r>
      <w:r>
        <w:rPr>
          <w:rFonts w:hint="eastAsia" w:ascii="仿宋" w:hAnsi="仿宋" w:eastAsia="仿宋" w:cs="仿宋"/>
          <w:color w:val="000000" w:themeColor="text1"/>
          <w:spacing w:val="-1"/>
          <w:sz w:val="24"/>
          <w:szCs w:val="24"/>
          <w:highlight w:val="none"/>
          <w:u w:val="single"/>
          <w14:textFill>
            <w14:solidFill>
              <w14:schemeClr w14:val="tx1"/>
            </w14:solidFill>
          </w14:textFill>
        </w:rPr>
        <w:t>程费投标报价中，不另行计价</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2C7C295F">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施工现场需要配备的试验设备：</w:t>
      </w:r>
      <w:r>
        <w:rPr>
          <w:rFonts w:hint="eastAsia" w:ascii="仿宋" w:hAnsi="仿宋" w:eastAsia="仿宋" w:cs="仿宋"/>
          <w:color w:val="000000" w:themeColor="text1"/>
          <w:spacing w:val="-2"/>
          <w:sz w:val="24"/>
          <w:szCs w:val="24"/>
          <w:highlight w:val="none"/>
          <w:u w:val="single"/>
          <w14:textFill>
            <w14:solidFill>
              <w14:schemeClr w14:val="tx1"/>
            </w14:solidFill>
          </w14:textFill>
        </w:rPr>
        <w:t>温度计、混凝士振捣台试模、塌落度筒、振捣棒、钢卷尺</w:t>
      </w:r>
      <w:r>
        <w:rPr>
          <w:rFonts w:hint="eastAsia" w:ascii="仿宋" w:hAnsi="仿宋" w:eastAsia="仿宋" w:cs="仿宋"/>
          <w:color w:val="000000" w:themeColor="text1"/>
          <w:spacing w:val="-2"/>
          <w:sz w:val="24"/>
          <w:szCs w:val="24"/>
          <w:highlight w:val="none"/>
          <w14:textFill>
            <w14:solidFill>
              <w14:schemeClr w14:val="tx1"/>
            </w14:solidFill>
          </w14:textFill>
        </w:rPr>
        <w:t>。</w:t>
      </w:r>
    </w:p>
    <w:p w14:paraId="41ABBD9A">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施工现场需要具备的其他试验条件：</w:t>
      </w:r>
      <w:r>
        <w:rPr>
          <w:rFonts w:hint="eastAsia" w:ascii="仿宋" w:hAnsi="仿宋" w:eastAsia="仿宋" w:cs="仿宋"/>
          <w:color w:val="000000" w:themeColor="text1"/>
          <w:spacing w:val="-2"/>
          <w:sz w:val="24"/>
          <w:szCs w:val="24"/>
          <w:highlight w:val="none"/>
          <w:u w:val="single"/>
          <w14:textFill>
            <w14:solidFill>
              <w14:schemeClr w14:val="tx1"/>
            </w14:solidFill>
          </w14:textFill>
        </w:rPr>
        <w:t>现场标养室(箱)应满足《建筑工程检测</w:t>
      </w:r>
      <w:r>
        <w:rPr>
          <w:rFonts w:hint="eastAsia" w:ascii="仿宋" w:hAnsi="仿宋" w:eastAsia="仿宋" w:cs="仿宋"/>
          <w:color w:val="000000" w:themeColor="text1"/>
          <w:spacing w:val="-8"/>
          <w:sz w:val="24"/>
          <w:szCs w:val="24"/>
          <w:highlight w:val="none"/>
          <w:u w:val="single"/>
          <w14:textFill>
            <w14:solidFill>
              <w14:schemeClr w14:val="tx1"/>
            </w14:solidFill>
          </w14:textFill>
        </w:rPr>
        <w:t>试验技术管理规范</w:t>
      </w:r>
      <w:r>
        <w:rPr>
          <w:rFonts w:hint="eastAsia" w:ascii="仿宋" w:hAnsi="仿宋" w:eastAsia="仿宋" w:cs="仿宋"/>
          <w:color w:val="000000" w:themeColor="text1"/>
          <w:spacing w:val="-63"/>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u w:val="single"/>
          <w14:textFill>
            <w14:solidFill>
              <w14:schemeClr w14:val="tx1"/>
            </w14:solidFill>
          </w14:textFill>
        </w:rPr>
        <w:t>JGJ1902010》要求，实验</w:t>
      </w:r>
      <w:r>
        <w:rPr>
          <w:rFonts w:hint="eastAsia" w:ascii="仿宋" w:hAnsi="仿宋" w:eastAsia="仿宋" w:cs="仿宋"/>
          <w:color w:val="000000" w:themeColor="text1"/>
          <w:spacing w:val="-9"/>
          <w:sz w:val="24"/>
          <w:szCs w:val="24"/>
          <w:highlight w:val="none"/>
          <w:u w:val="single"/>
          <w14:textFill>
            <w14:solidFill>
              <w14:schemeClr w14:val="tx1"/>
            </w14:solidFill>
          </w14:textFill>
        </w:rPr>
        <w:t>人员根据规模和试验工作的需要配备，</w:t>
      </w:r>
      <w:r>
        <w:rPr>
          <w:rFonts w:hint="eastAsia" w:ascii="仿宋" w:hAnsi="仿宋" w:eastAsia="仿宋" w:cs="仿宋"/>
          <w:color w:val="000000" w:themeColor="text1"/>
          <w:spacing w:val="-2"/>
          <w:sz w:val="24"/>
          <w:szCs w:val="24"/>
          <w:highlight w:val="none"/>
          <w:u w:val="single"/>
          <w14:textFill>
            <w14:solidFill>
              <w14:schemeClr w14:val="tx1"/>
            </w14:solidFill>
          </w14:textFill>
        </w:rPr>
        <w:t>并持证上岗，仪器设备应配备温度计、混凝士振捣台试模、塌落度筒、振捣棒、</w:t>
      </w:r>
      <w:r>
        <w:rPr>
          <w:rFonts w:hint="eastAsia" w:ascii="仿宋" w:hAnsi="仿宋" w:eastAsia="仿宋" w:cs="仿宋"/>
          <w:color w:val="000000" w:themeColor="text1"/>
          <w:spacing w:val="-1"/>
          <w:sz w:val="24"/>
          <w:szCs w:val="24"/>
          <w:highlight w:val="none"/>
          <w:u w:val="single"/>
          <w14:textFill>
            <w14:solidFill>
              <w14:schemeClr w14:val="tx1"/>
            </w14:solidFill>
          </w14:textFill>
        </w:rPr>
        <w:t>钢卷尺，标养室温、湿度应满足有关要求，并做好记录，标</w:t>
      </w:r>
      <w:r>
        <w:rPr>
          <w:rFonts w:hint="eastAsia" w:ascii="仿宋" w:hAnsi="仿宋" w:eastAsia="仿宋" w:cs="仿宋"/>
          <w:color w:val="000000" w:themeColor="text1"/>
          <w:spacing w:val="-2"/>
          <w:sz w:val="24"/>
          <w:szCs w:val="24"/>
          <w:highlight w:val="none"/>
          <w:u w:val="single"/>
          <w14:textFill>
            <w14:solidFill>
              <w14:schemeClr w14:val="tx1"/>
            </w14:solidFill>
          </w14:textFill>
        </w:rPr>
        <w:t>养室面积不小于</w:t>
      </w:r>
      <w:r>
        <w:rPr>
          <w:rFonts w:hint="eastAsia" w:ascii="仿宋" w:hAnsi="仿宋" w:eastAsia="仿宋" w:cs="仿宋"/>
          <w:color w:val="000000" w:themeColor="text1"/>
          <w:spacing w:val="-35"/>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15</w:t>
      </w:r>
      <w:r>
        <w:rPr>
          <w:rFonts w:hint="eastAsia" w:ascii="仿宋" w:hAnsi="仿宋" w:eastAsia="仿宋" w:cs="仿宋"/>
          <w:color w:val="000000" w:themeColor="text1"/>
          <w:spacing w:val="-1"/>
          <w:sz w:val="24"/>
          <w:szCs w:val="24"/>
          <w:highlight w:val="none"/>
          <w:u w:val="single"/>
          <w14:textFill>
            <w14:solidFill>
              <w14:schemeClr w14:val="tx1"/>
            </w14:solidFill>
          </w14:textFill>
        </w:rPr>
        <w:t>平方米，标养箱的数量应满足实际工程量的需要。</w:t>
      </w:r>
    </w:p>
    <w:p w14:paraId="3A732963">
      <w:pPr>
        <w:keepNext w:val="0"/>
        <w:keepLines w:val="0"/>
        <w:pageBreakBefore w:val="0"/>
        <w:widowControl w:val="0"/>
        <w:kinsoku/>
        <w:wordWrap/>
        <w:overflowPunct/>
        <w:topLinePunct w:val="0"/>
        <w:autoSpaceDE/>
        <w:autoSpaceDN/>
        <w:bidi w:val="0"/>
        <w:snapToGrid/>
        <w:spacing w:line="360" w:lineRule="auto"/>
        <w:ind w:left="0" w:leftChars="0" w:right="0" w:rightChars="0" w:firstLine="452" w:firstLineChars="2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7"/>
          <w:sz w:val="24"/>
          <w:szCs w:val="24"/>
          <w:highlight w:val="none"/>
          <w:u w:val="single"/>
          <w14:textFill>
            <w14:solidFill>
              <w14:schemeClr w14:val="tx1"/>
            </w14:solidFill>
          </w14:textFill>
        </w:rPr>
        <w:t>试验的内容、时间和地点：满足设计、相关规范规程及监督</w:t>
      </w:r>
      <w:r>
        <w:rPr>
          <w:rFonts w:hint="eastAsia" w:ascii="仿宋" w:hAnsi="仿宋" w:eastAsia="仿宋" w:cs="仿宋"/>
          <w:color w:val="000000" w:themeColor="text1"/>
          <w:spacing w:val="-8"/>
          <w:sz w:val="24"/>
          <w:szCs w:val="24"/>
          <w:highlight w:val="none"/>
          <w:u w:val="single"/>
          <w14:textFill>
            <w14:solidFill>
              <w14:schemeClr w14:val="tx1"/>
            </w14:solidFill>
          </w14:textFill>
        </w:rPr>
        <w:t>管理部门的要求。</w:t>
      </w:r>
    </w:p>
    <w:p w14:paraId="1D7DA75F">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u w:val="single"/>
          <w14:textFill>
            <w14:solidFill>
              <w14:schemeClr w14:val="tx1"/>
            </w14:solidFill>
          </w14:textFill>
        </w:rPr>
        <w:t>试验和检验费用的计价原则：与本项目相关的检验检测工作及费用由承</w:t>
      </w:r>
      <w:r>
        <w:rPr>
          <w:rFonts w:hint="eastAsia" w:ascii="仿宋" w:hAnsi="仿宋" w:eastAsia="仿宋" w:cs="仿宋"/>
          <w:color w:val="000000" w:themeColor="text1"/>
          <w:spacing w:val="-3"/>
          <w:sz w:val="24"/>
          <w:szCs w:val="24"/>
          <w:highlight w:val="none"/>
          <w:u w:val="single"/>
          <w14:textFill>
            <w14:solidFill>
              <w14:schemeClr w14:val="tx1"/>
            </w14:solidFill>
          </w14:textFill>
        </w:rPr>
        <w:t>包人</w:t>
      </w:r>
      <w:r>
        <w:rPr>
          <w:rFonts w:hint="eastAsia" w:ascii="仿宋" w:hAnsi="仿宋" w:eastAsia="仿宋" w:cs="仿宋"/>
          <w:color w:val="000000" w:themeColor="text1"/>
          <w:spacing w:val="-2"/>
          <w:sz w:val="24"/>
          <w:szCs w:val="24"/>
          <w:highlight w:val="none"/>
          <w14:textFill>
            <w14:solidFill>
              <w14:schemeClr w14:val="tx1"/>
            </w14:solidFill>
          </w14:textFill>
        </w:rPr>
        <w:t>承担，质量检测单位由发包人委托，发包人委托的第三方试验检测机构试验检测</w:t>
      </w:r>
      <w:r>
        <w:rPr>
          <w:rFonts w:hint="eastAsia" w:ascii="仿宋" w:hAnsi="仿宋" w:eastAsia="仿宋" w:cs="仿宋"/>
          <w:color w:val="000000" w:themeColor="text1"/>
          <w:spacing w:val="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u w:val="single"/>
          <w14:textFill>
            <w14:solidFill>
              <w14:schemeClr w14:val="tx1"/>
            </w14:solidFill>
          </w14:textFill>
        </w:rPr>
        <w:t>所需的试件、取样、制作、送检，试件制作需要提供的材料以及检测、试验的配</w:t>
      </w:r>
      <w:r>
        <w:rPr>
          <w:rFonts w:hint="eastAsia" w:ascii="仿宋" w:hAnsi="仿宋" w:eastAsia="仿宋" w:cs="仿宋"/>
          <w:color w:val="000000" w:themeColor="text1"/>
          <w:spacing w:val="-2"/>
          <w:sz w:val="24"/>
          <w:szCs w:val="24"/>
          <w:highlight w:val="none"/>
          <w:u w:val="single"/>
          <w14:textFill>
            <w14:solidFill>
              <w14:schemeClr w14:val="tx1"/>
            </w14:solidFill>
          </w14:textFill>
        </w:rPr>
        <w:t>合工作由承包人负责完成并承担由此产生的相关费用，已综合考虑在工程费投标</w:t>
      </w:r>
      <w:r>
        <w:rPr>
          <w:rFonts w:hint="eastAsia" w:ascii="仿宋" w:hAnsi="仿宋" w:eastAsia="仿宋" w:cs="仿宋"/>
          <w:color w:val="000000" w:themeColor="text1"/>
          <w:spacing w:val="3"/>
          <w:sz w:val="24"/>
          <w:szCs w:val="24"/>
          <w:highlight w:val="none"/>
          <w:u w:val="single"/>
          <w14:textFill>
            <w14:solidFill>
              <w14:schemeClr w14:val="tx1"/>
            </w14:solidFill>
          </w14:textFill>
        </w:rPr>
        <w:t>报价中，不另行计价。</w:t>
      </w:r>
    </w:p>
    <w:p w14:paraId="4405D76E">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9.4 现场工艺试验</w:t>
      </w:r>
    </w:p>
    <w:p w14:paraId="7C118938">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现场工艺试验的有关约定：</w:t>
      </w:r>
      <w:r>
        <w:rPr>
          <w:rFonts w:hint="eastAsia" w:ascii="仿宋" w:hAnsi="仿宋" w:eastAsia="仿宋" w:cs="仿宋"/>
          <w:color w:val="000000" w:themeColor="text1"/>
          <w:spacing w:val="-1"/>
          <w:sz w:val="24"/>
          <w:szCs w:val="24"/>
          <w:highlight w:val="none"/>
          <w:u w:val="single"/>
          <w14:textFill>
            <w14:solidFill>
              <w14:schemeClr w14:val="tx1"/>
            </w14:solidFill>
          </w14:textFill>
        </w:rPr>
        <w:t>按通用条款执行</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57121C7B">
      <w:pPr>
        <w:keepNext w:val="0"/>
        <w:keepLines w:val="0"/>
        <w:pageBreakBefore w:val="0"/>
        <w:widowControl w:val="0"/>
        <w:kinsoku/>
        <w:wordWrap/>
        <w:overflowPunct/>
        <w:topLinePunct w:val="0"/>
        <w:autoSpaceDE/>
        <w:autoSpaceDN/>
        <w:bidi w:val="0"/>
        <w:snapToGrid/>
        <w:spacing w:line="360" w:lineRule="auto"/>
        <w:ind w:left="0" w:leftChars="0" w:right="0" w:rightChars="0"/>
        <w:outlineLvl w:val="2"/>
        <w:rPr>
          <w:rFonts w:hint="eastAsia" w:ascii="仿宋" w:hAnsi="仿宋" w:eastAsia="仿宋" w:cs="仿宋"/>
          <w:color w:val="000000" w:themeColor="text1"/>
          <w:sz w:val="24"/>
          <w:szCs w:val="24"/>
          <w:highlight w:val="none"/>
          <w14:textFill>
            <w14:solidFill>
              <w14:schemeClr w14:val="tx1"/>
            </w14:solidFill>
          </w14:textFill>
        </w:rPr>
      </w:pPr>
      <w:bookmarkStart w:id="155" w:name="bookmark145"/>
      <w:bookmarkEnd w:id="155"/>
      <w:bookmarkStart w:id="156" w:name="_Toc17067"/>
      <w:r>
        <w:rPr>
          <w:rFonts w:hint="eastAsia" w:ascii="仿宋" w:hAnsi="仿宋" w:eastAsia="仿宋" w:cs="仿宋"/>
          <w:color w:val="000000" w:themeColor="text1"/>
          <w:spacing w:val="-8"/>
          <w:sz w:val="24"/>
          <w:szCs w:val="24"/>
          <w:highlight w:val="none"/>
          <w14:textFill>
            <w14:solidFill>
              <w14:schemeClr w14:val="tx1"/>
            </w14:solidFill>
          </w14:textFill>
        </w:rPr>
        <w:t>10.</w:t>
      </w:r>
      <w:r>
        <w:rPr>
          <w:rFonts w:hint="eastAsia" w:ascii="仿宋" w:hAnsi="仿宋" w:eastAsia="仿宋" w:cs="仿宋"/>
          <w:color w:val="000000" w:themeColor="text1"/>
          <w:spacing w:val="1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14:textFill>
            <w14:solidFill>
              <w14:schemeClr w14:val="tx1"/>
            </w14:solidFill>
          </w14:textFill>
        </w:rPr>
        <w:t>变更</w:t>
      </w:r>
      <w:bookmarkEnd w:id="156"/>
    </w:p>
    <w:p w14:paraId="70A0BC1C">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10.1</w:t>
      </w:r>
      <w:r>
        <w:rPr>
          <w:rFonts w:hint="eastAsia" w:ascii="仿宋" w:hAnsi="仿宋" w:eastAsia="仿宋" w:cs="仿宋"/>
          <w:color w:val="000000" w:themeColor="text1"/>
          <w:spacing w:val="-5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变更的范围</w:t>
      </w:r>
    </w:p>
    <w:p w14:paraId="3ECF63BF">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关于变更的范围的约定：</w:t>
      </w:r>
      <w:r>
        <w:rPr>
          <w:rFonts w:hint="eastAsia" w:ascii="仿宋" w:hAnsi="仿宋" w:eastAsia="仿宋" w:cs="仿宋"/>
          <w:color w:val="000000" w:themeColor="text1"/>
          <w:spacing w:val="-2"/>
          <w:sz w:val="24"/>
          <w:szCs w:val="24"/>
          <w:highlight w:val="none"/>
          <w:u w:val="single"/>
          <w14:textFill>
            <w14:solidFill>
              <w14:schemeClr w14:val="tx1"/>
            </w14:solidFill>
          </w14:textFill>
        </w:rPr>
        <w:t>工程设计变更或因发包人原因增加的工</w:t>
      </w:r>
      <w:r>
        <w:rPr>
          <w:rFonts w:hint="eastAsia" w:ascii="仿宋" w:hAnsi="仿宋" w:eastAsia="仿宋" w:cs="仿宋"/>
          <w:color w:val="000000" w:themeColor="text1"/>
          <w:spacing w:val="-3"/>
          <w:sz w:val="24"/>
          <w:szCs w:val="24"/>
          <w:highlight w:val="none"/>
          <w:u w:val="single"/>
          <w14:textFill>
            <w14:solidFill>
              <w14:schemeClr w14:val="tx1"/>
            </w14:solidFill>
          </w14:textFill>
        </w:rPr>
        <w:t>程量确认须</w:t>
      </w:r>
      <w:r>
        <w:rPr>
          <w:rFonts w:hint="eastAsia" w:ascii="仿宋" w:hAnsi="仿宋" w:eastAsia="仿宋" w:cs="仿宋"/>
          <w:color w:val="000000" w:themeColor="text1"/>
          <w:spacing w:val="-7"/>
          <w:sz w:val="24"/>
          <w:szCs w:val="24"/>
          <w:highlight w:val="none"/>
          <w:u w:val="single"/>
          <w14:textFill>
            <w14:solidFill>
              <w14:schemeClr w14:val="tx1"/>
            </w14:solidFill>
          </w14:textFill>
        </w:rPr>
        <w:t>设计人、监理人、发包人、承包人同时签字确认并加盖公章方可有效，否则无效</w:t>
      </w:r>
      <w:r>
        <w:rPr>
          <w:rFonts w:hint="eastAsia" w:ascii="仿宋" w:hAnsi="仿宋" w:eastAsia="仿宋" w:cs="仿宋"/>
          <w:color w:val="000000" w:themeColor="text1"/>
          <w:spacing w:val="-7"/>
          <w:sz w:val="24"/>
          <w:szCs w:val="24"/>
          <w:highlight w:val="none"/>
          <w14:textFill>
            <w14:solidFill>
              <w14:schemeClr w14:val="tx1"/>
            </w14:solidFill>
          </w14:textFill>
        </w:rPr>
        <w:t>。</w:t>
      </w:r>
    </w:p>
    <w:p w14:paraId="608EA896">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10.4 变更估价</w:t>
      </w:r>
    </w:p>
    <w:p w14:paraId="0C19207E">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10.4.1 变更估价原则</w:t>
      </w:r>
    </w:p>
    <w:p w14:paraId="1B5EAE79">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关于变更估价的约定:</w:t>
      </w:r>
      <w:r>
        <w:rPr>
          <w:rFonts w:hint="eastAsia" w:ascii="仿宋" w:hAnsi="仿宋" w:eastAsia="仿宋" w:cs="仿宋"/>
          <w:color w:val="000000" w:themeColor="text1"/>
          <w:spacing w:val="-2"/>
          <w:sz w:val="24"/>
          <w:szCs w:val="24"/>
          <w:highlight w:val="none"/>
          <w:u w:val="single"/>
          <w14:textFill>
            <w14:solidFill>
              <w14:schemeClr w14:val="tx1"/>
            </w14:solidFill>
          </w14:textFill>
        </w:rPr>
        <w:t>（1）已标价工程量清单中有适用于变更工程项目的，应采用该项目的单价；但当工程变更导致该清单项目的工程数量发生变化，且工程量偏差超过</w:t>
      </w:r>
      <w:r>
        <w:rPr>
          <w:rFonts w:hint="eastAsia" w:ascii="仿宋" w:hAnsi="仿宋" w:eastAsia="仿宋" w:cs="仿宋"/>
          <w:color w:val="000000" w:themeColor="text1"/>
          <w:spacing w:val="-38"/>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15%时，该项目执行详见</w:t>
      </w:r>
      <w:r>
        <w:rPr>
          <w:rFonts w:hint="eastAsia" w:ascii="仿宋" w:hAnsi="仿宋" w:eastAsia="仿宋" w:cs="仿宋"/>
          <w:color w:val="000000" w:themeColor="text1"/>
          <w:spacing w:val="-4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1.</w:t>
      </w:r>
      <w:r>
        <w:rPr>
          <w:rFonts w:hint="eastAsia" w:ascii="仿宋" w:hAnsi="仿宋" w:eastAsia="仿宋" w:cs="仿宋"/>
          <w:color w:val="000000" w:themeColor="text1"/>
          <w:spacing w:val="-3"/>
          <w:sz w:val="24"/>
          <w:szCs w:val="24"/>
          <w:highlight w:val="none"/>
          <w:u w:val="single"/>
          <w14:textFill>
            <w14:solidFill>
              <w14:schemeClr w14:val="tx1"/>
            </w14:solidFill>
          </w14:textFill>
        </w:rPr>
        <w:t>13</w:t>
      </w:r>
      <w:r>
        <w:rPr>
          <w:rFonts w:hint="eastAsia" w:ascii="仿宋" w:hAnsi="仿宋" w:eastAsia="仿宋" w:cs="仿宋"/>
          <w:color w:val="000000" w:themeColor="text1"/>
          <w:spacing w:val="-55"/>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u w:val="single"/>
          <w14:textFill>
            <w14:solidFill>
              <w14:schemeClr w14:val="tx1"/>
            </w14:solidFill>
          </w14:textFill>
        </w:rPr>
        <w:t>条工程量清单错误的修正。</w:t>
      </w:r>
    </w:p>
    <w:p w14:paraId="356B63D0">
      <w:pPr>
        <w:keepNext w:val="0"/>
        <w:keepLines w:val="0"/>
        <w:pageBreakBefore w:val="0"/>
        <w:widowControl w:val="0"/>
        <w:tabs>
          <w:tab w:val="left" w:pos="187"/>
        </w:tabs>
        <w:kinsoku/>
        <w:wordWrap/>
        <w:overflowPunct/>
        <w:topLinePunct w:val="0"/>
        <w:autoSpaceDE/>
        <w:autoSpaceDN/>
        <w:bidi w:val="0"/>
        <w:snapToGrid/>
        <w:spacing w:line="360" w:lineRule="auto"/>
        <w:ind w:left="0" w:leftChars="0" w:right="0" w:rightChars="0" w:hanging="4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pacing w:val="-5"/>
          <w:sz w:val="24"/>
          <w:szCs w:val="24"/>
          <w:highlight w:val="none"/>
          <w:u w:val="single"/>
          <w14:textFill>
            <w14:solidFill>
              <w14:schemeClr w14:val="tx1"/>
            </w14:solidFill>
          </w14:textFill>
        </w:rPr>
        <w:t>（2）已标价工程量清单中没有适用但有类似于变更工程项目的，可在合理范围内参照类似项目的单价。</w:t>
      </w:r>
    </w:p>
    <w:p w14:paraId="15223395">
      <w:pPr>
        <w:keepNext w:val="0"/>
        <w:keepLines w:val="0"/>
        <w:pageBreakBefore w:val="0"/>
        <w:widowControl w:val="0"/>
        <w:tabs>
          <w:tab w:val="left" w:pos="187"/>
        </w:tabs>
        <w:kinsoku/>
        <w:wordWrap/>
        <w:overflowPunct/>
        <w:topLinePunct w:val="0"/>
        <w:autoSpaceDE/>
        <w:autoSpaceDN/>
        <w:bidi w:val="0"/>
        <w:snapToGrid/>
        <w:spacing w:line="360" w:lineRule="auto"/>
        <w:ind w:left="0" w:leftChars="0" w:right="0" w:rightChars="0" w:hanging="8"/>
        <w:rPr>
          <w:rFonts w:hint="eastAsia" w:ascii="仿宋" w:hAnsi="仿宋" w:eastAsia="仿宋" w:cs="仿宋"/>
          <w:color w:val="000000" w:themeColor="text1"/>
          <w:spacing w:val="-7"/>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pacing w:val="-5"/>
          <w:sz w:val="24"/>
          <w:szCs w:val="24"/>
          <w:highlight w:val="none"/>
          <w:u w:val="single"/>
          <w14:textFill>
            <w14:solidFill>
              <w14:schemeClr w14:val="tx1"/>
            </w14:solidFill>
          </w14:textFill>
        </w:rPr>
        <w:t>（3）已标价工程量清单中没有适用也没有类似于变更工程项目的，应由承包人</w:t>
      </w:r>
      <w:r>
        <w:rPr>
          <w:rFonts w:hint="eastAsia" w:ascii="仿宋" w:hAnsi="仿宋" w:eastAsia="仿宋" w:cs="仿宋"/>
          <w:color w:val="000000" w:themeColor="text1"/>
          <w:spacing w:val="-2"/>
          <w:sz w:val="24"/>
          <w:szCs w:val="24"/>
          <w:highlight w:val="none"/>
          <w:u w:val="single"/>
          <w14:textFill>
            <w14:solidFill>
              <w14:schemeClr w14:val="tx1"/>
            </w14:solidFill>
          </w14:textFill>
        </w:rPr>
        <w:t>提出，监理工程师审核，其相应部分的变更造价根据变更工程资料、计量规则和现行的相关定额、本地区的估价表，工程造价管理机构发布的信息价格和承包人报价浮动率提出变更工程项目的单价，并应报发包人确认后调整。承包人报价浮</w:t>
      </w:r>
      <w:r>
        <w:rPr>
          <w:rFonts w:hint="eastAsia" w:ascii="仿宋" w:hAnsi="仿宋" w:eastAsia="仿宋" w:cs="仿宋"/>
          <w:color w:val="000000" w:themeColor="text1"/>
          <w:spacing w:val="-6"/>
          <w:sz w:val="24"/>
          <w:szCs w:val="24"/>
          <w:highlight w:val="none"/>
          <w:u w:val="single"/>
          <w14:textFill>
            <w14:solidFill>
              <w14:schemeClr w14:val="tx1"/>
            </w14:solidFill>
          </w14:textFill>
        </w:rPr>
        <w:t>动率可按下列公式计算：承包人报价浮动</w:t>
      </w:r>
      <w:r>
        <w:rPr>
          <w:rFonts w:hint="eastAsia" w:ascii="仿宋" w:hAnsi="仿宋" w:eastAsia="仿宋" w:cs="仿宋"/>
          <w:color w:val="000000" w:themeColor="text1"/>
          <w:spacing w:val="-6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u w:val="single"/>
          <w14:textFill>
            <w14:solidFill>
              <w14:schemeClr w14:val="tx1"/>
            </w14:solidFill>
          </w14:textFill>
        </w:rPr>
        <w:t>L</w:t>
      </w:r>
      <w:r>
        <w:rPr>
          <w:rFonts w:hint="eastAsia" w:ascii="仿宋" w:hAnsi="仿宋" w:eastAsia="仿宋" w:cs="仿宋"/>
          <w:color w:val="000000" w:themeColor="text1"/>
          <w:spacing w:val="-64"/>
          <w:sz w:val="24"/>
          <w:szCs w:val="24"/>
          <w:highlight w:val="none"/>
          <w:u w:val="single"/>
          <w14:textFill>
            <w14:solidFill>
              <w14:schemeClr w14:val="tx1"/>
            </w14:solidFill>
          </w14:textFill>
        </w:rPr>
        <w:t>＝（</w:t>
      </w:r>
      <w:r>
        <w:rPr>
          <w:rFonts w:hint="eastAsia" w:ascii="仿宋" w:hAnsi="仿宋" w:eastAsia="仿宋" w:cs="仿宋"/>
          <w:color w:val="000000" w:themeColor="text1"/>
          <w:spacing w:val="-64"/>
          <w:sz w:val="24"/>
          <w:szCs w:val="24"/>
          <w:highlight w:val="none"/>
          <w:u w:val="single"/>
          <w:lang w:val="en-US" w:eastAsia="zh-CN"/>
          <w14:textFill>
            <w14:solidFill>
              <w14:schemeClr w14:val="tx1"/>
            </w14:solidFill>
          </w14:textFill>
        </w:rPr>
        <w:t xml:space="preserve">   1     </w:t>
      </w:r>
      <w:r>
        <w:rPr>
          <w:rFonts w:hint="eastAsia" w:ascii="仿宋" w:hAnsi="仿宋" w:eastAsia="仿宋" w:cs="仿宋"/>
          <w:color w:val="000000" w:themeColor="text1"/>
          <w:spacing w:val="-6"/>
          <w:sz w:val="24"/>
          <w:szCs w:val="24"/>
          <w:highlight w:val="none"/>
          <w:u w:val="single"/>
          <w14:textFill>
            <w14:solidFill>
              <w14:schemeClr w14:val="tx1"/>
            </w14:solidFill>
          </w14:textFill>
        </w:rPr>
        <w:t>－中标价／招标控制价）×</w:t>
      </w:r>
      <w:r>
        <w:rPr>
          <w:rFonts w:hint="eastAsia" w:ascii="仿宋" w:hAnsi="仿宋" w:eastAsia="仿宋" w:cs="仿宋"/>
          <w:color w:val="000000" w:themeColor="text1"/>
          <w:spacing w:val="-11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u w:val="single"/>
          <w14:textFill>
            <w14:solidFill>
              <w14:schemeClr w14:val="tx1"/>
            </w14:solidFill>
          </w14:textFill>
        </w:rPr>
        <w:t>1</w:t>
      </w:r>
      <w:r>
        <w:rPr>
          <w:rFonts w:hint="eastAsia" w:ascii="仿宋" w:hAnsi="仿宋" w:eastAsia="仿宋" w:cs="仿宋"/>
          <w:color w:val="000000" w:themeColor="text1"/>
          <w:spacing w:val="-7"/>
          <w:sz w:val="24"/>
          <w:szCs w:val="24"/>
          <w:highlight w:val="none"/>
          <w:u w:val="single"/>
          <w14:textFill>
            <w14:solidFill>
              <w14:schemeClr w14:val="tx1"/>
            </w14:solidFill>
          </w14:textFill>
        </w:rPr>
        <w:t>00%</w:t>
      </w:r>
      <w:r>
        <w:rPr>
          <w:rFonts w:hint="eastAsia" w:ascii="仿宋" w:hAnsi="仿宋" w:eastAsia="仿宋" w:cs="仿宋"/>
          <w:color w:val="000000" w:themeColor="text1"/>
          <w:spacing w:val="-7"/>
          <w:sz w:val="24"/>
          <w:szCs w:val="24"/>
          <w:highlight w:val="none"/>
          <w14:textFill>
            <w14:solidFill>
              <w14:schemeClr w14:val="tx1"/>
            </w14:solidFill>
          </w14:textFill>
        </w:rPr>
        <w:t>。</w:t>
      </w:r>
    </w:p>
    <w:p w14:paraId="2351C9D1">
      <w:pPr>
        <w:keepNext w:val="0"/>
        <w:keepLines w:val="0"/>
        <w:pageBreakBefore w:val="0"/>
        <w:widowControl w:val="0"/>
        <w:tabs>
          <w:tab w:val="left" w:pos="187"/>
        </w:tabs>
        <w:kinsoku/>
        <w:wordWrap/>
        <w:overflowPunct/>
        <w:topLinePunct w:val="0"/>
        <w:autoSpaceDE/>
        <w:autoSpaceDN/>
        <w:bidi w:val="0"/>
        <w:snapToGrid/>
        <w:spacing w:line="360" w:lineRule="auto"/>
        <w:ind w:left="0" w:leftChars="0" w:right="0" w:rightChars="0" w:hanging="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10.5</w:t>
      </w:r>
      <w:r>
        <w:rPr>
          <w:rFonts w:hint="eastAsia" w:ascii="仿宋" w:hAnsi="仿宋" w:eastAsia="仿宋" w:cs="仿宋"/>
          <w:color w:val="000000" w:themeColor="text1"/>
          <w:spacing w:val="-6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承包人的合理化建议</w:t>
      </w:r>
    </w:p>
    <w:p w14:paraId="35BD028C">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监理人审查承包人合理化建议的期限：</w:t>
      </w:r>
      <w:r>
        <w:rPr>
          <w:rFonts w:hint="eastAsia" w:ascii="仿宋" w:hAnsi="仿宋" w:eastAsia="仿宋" w:cs="仿宋"/>
          <w:color w:val="000000" w:themeColor="text1"/>
          <w:spacing w:val="-1"/>
          <w:sz w:val="24"/>
          <w:szCs w:val="24"/>
          <w:highlight w:val="none"/>
          <w:u w:val="single"/>
          <w14:textFill>
            <w14:solidFill>
              <w14:schemeClr w14:val="tx1"/>
            </w14:solidFill>
          </w14:textFill>
        </w:rPr>
        <w:t>理化</w:t>
      </w:r>
      <w:r>
        <w:rPr>
          <w:rFonts w:hint="eastAsia" w:ascii="仿宋" w:hAnsi="仿宋" w:eastAsia="仿宋" w:cs="仿宋"/>
          <w:color w:val="000000" w:themeColor="text1"/>
          <w:spacing w:val="-2"/>
          <w:sz w:val="24"/>
          <w:szCs w:val="24"/>
          <w:highlight w:val="none"/>
          <w:u w:val="single"/>
          <w14:textFill>
            <w14:solidFill>
              <w14:schemeClr w14:val="tx1"/>
            </w14:solidFill>
          </w14:textFill>
        </w:rPr>
        <w:t>建议提出后</w:t>
      </w:r>
      <w:r>
        <w:rPr>
          <w:rFonts w:hint="eastAsia" w:ascii="仿宋" w:hAnsi="仿宋" w:eastAsia="仿宋" w:cs="仿宋"/>
          <w:color w:val="000000" w:themeColor="text1"/>
          <w:spacing w:val="-56"/>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3</w:t>
      </w:r>
      <w:r>
        <w:rPr>
          <w:rFonts w:hint="eastAsia" w:ascii="仿宋" w:hAnsi="仿宋" w:eastAsia="仿宋" w:cs="仿宋"/>
          <w:color w:val="000000" w:themeColor="text1"/>
          <w:spacing w:val="-53"/>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天内。</w:t>
      </w:r>
    </w:p>
    <w:p w14:paraId="561F530E">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发包人审批承包人合理化建议的期限：</w:t>
      </w:r>
      <w:r>
        <w:rPr>
          <w:rFonts w:hint="eastAsia" w:ascii="仿宋" w:hAnsi="仿宋" w:eastAsia="仿宋" w:cs="仿宋"/>
          <w:color w:val="000000" w:themeColor="text1"/>
          <w:spacing w:val="-2"/>
          <w:sz w:val="24"/>
          <w:szCs w:val="24"/>
          <w:highlight w:val="none"/>
          <w:u w:val="single"/>
          <w14:textFill>
            <w14:solidFill>
              <w14:schemeClr w14:val="tx1"/>
            </w14:solidFill>
          </w14:textFill>
        </w:rPr>
        <w:t>理化建议提出后</w:t>
      </w:r>
      <w:r>
        <w:rPr>
          <w:rFonts w:hint="eastAsia" w:ascii="仿宋" w:hAnsi="仿宋" w:eastAsia="仿宋" w:cs="仿宋"/>
          <w:color w:val="000000" w:themeColor="text1"/>
          <w:spacing w:val="-45"/>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3</w:t>
      </w:r>
      <w:r>
        <w:rPr>
          <w:rFonts w:hint="eastAsia" w:ascii="仿宋" w:hAnsi="仿宋" w:eastAsia="仿宋" w:cs="仿宋"/>
          <w:color w:val="000000" w:themeColor="text1"/>
          <w:spacing w:val="-53"/>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天内</w:t>
      </w:r>
      <w:r>
        <w:rPr>
          <w:rFonts w:hint="eastAsia" w:ascii="仿宋" w:hAnsi="仿宋" w:eastAsia="仿宋" w:cs="仿宋"/>
          <w:color w:val="000000" w:themeColor="text1"/>
          <w:spacing w:val="-2"/>
          <w:sz w:val="24"/>
          <w:szCs w:val="24"/>
          <w:highlight w:val="none"/>
          <w14:textFill>
            <w14:solidFill>
              <w14:schemeClr w14:val="tx1"/>
            </w14:solidFill>
          </w14:textFill>
        </w:rPr>
        <w:t>。</w:t>
      </w:r>
    </w:p>
    <w:p w14:paraId="382254BA">
      <w:pPr>
        <w:keepNext w:val="0"/>
        <w:keepLines w:val="0"/>
        <w:pageBreakBefore w:val="0"/>
        <w:widowControl w:val="0"/>
        <w:kinsoku/>
        <w:wordWrap/>
        <w:overflowPunct/>
        <w:topLinePunct w:val="0"/>
        <w:autoSpaceDE/>
        <w:autoSpaceDN/>
        <w:bidi w:val="0"/>
        <w:snapToGrid/>
        <w:spacing w:line="360" w:lineRule="auto"/>
        <w:ind w:left="0" w:leftChars="0" w:right="0" w:rightChars="0" w:hanging="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承包人提出的合理化建议降低了合同价格或者提高了工程经济效益的奖励的方</w:t>
      </w:r>
      <w:r>
        <w:rPr>
          <w:rFonts w:hint="eastAsia" w:ascii="仿宋" w:hAnsi="仿宋" w:eastAsia="仿宋" w:cs="仿宋"/>
          <w:color w:val="000000" w:themeColor="text1"/>
          <w:spacing w:val="1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法和金额为：</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71C2B394">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7"/>
          <w:sz w:val="24"/>
          <w:szCs w:val="24"/>
          <w:highlight w:val="none"/>
          <w14:textFill>
            <w14:solidFill>
              <w14:schemeClr w14:val="tx1"/>
            </w14:solidFill>
          </w14:textFill>
        </w:rPr>
        <w:t>10.7</w:t>
      </w:r>
      <w:r>
        <w:rPr>
          <w:rFonts w:hint="eastAsia" w:ascii="仿宋" w:hAnsi="仿宋" w:eastAsia="仿宋" w:cs="仿宋"/>
          <w:color w:val="000000" w:themeColor="text1"/>
          <w:spacing w:val="2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14:textFill>
            <w14:solidFill>
              <w14:schemeClr w14:val="tx1"/>
            </w14:solidFill>
          </w14:textFill>
        </w:rPr>
        <w:t>暂估价</w:t>
      </w:r>
    </w:p>
    <w:p w14:paraId="487E60B4">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暂估价材料和工程设备的明细详见附件</w:t>
      </w:r>
      <w:r>
        <w:rPr>
          <w:rFonts w:hint="eastAsia" w:ascii="仿宋" w:hAnsi="仿宋" w:eastAsia="仿宋" w:cs="仿宋"/>
          <w:color w:val="000000" w:themeColor="text1"/>
          <w:spacing w:val="-3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11：《暂估价一览表》。</w:t>
      </w:r>
    </w:p>
    <w:p w14:paraId="37558E75">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10.7.1 依法必须招标的暂估价项目</w:t>
      </w:r>
    </w:p>
    <w:p w14:paraId="3EAF6E21">
      <w:pPr>
        <w:keepNext w:val="0"/>
        <w:keepLines w:val="0"/>
        <w:pageBreakBefore w:val="0"/>
        <w:widowControl w:val="0"/>
        <w:kinsoku/>
        <w:wordWrap/>
        <w:overflowPunct/>
        <w:topLinePunct w:val="0"/>
        <w:autoSpaceDE/>
        <w:autoSpaceDN/>
        <w:bidi w:val="0"/>
        <w:snapToGrid/>
        <w:spacing w:line="360" w:lineRule="auto"/>
        <w:ind w:left="0" w:leftChars="0" w:right="0" w:rightChars="0" w:firstLine="5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对于依法必须招标的暂估价项目的确认和批准采取</w:t>
      </w:r>
      <w:r>
        <w:rPr>
          <w:rFonts w:hint="eastAsia" w:ascii="仿宋" w:hAnsi="仿宋" w:eastAsia="仿宋" w:cs="仿宋"/>
          <w:color w:val="000000" w:themeColor="text1"/>
          <w:spacing w:val="-2"/>
          <w:sz w:val="24"/>
          <w:szCs w:val="24"/>
          <w:highlight w:val="none"/>
          <w:u w:val="single"/>
          <w14:textFill>
            <w14:solidFill>
              <w14:schemeClr w14:val="tx1"/>
            </w14:solidFill>
          </w14:textFill>
        </w:rPr>
        <w:t>通用条款</w:t>
      </w:r>
      <w:r>
        <w:rPr>
          <w:rFonts w:hint="eastAsia" w:ascii="仿宋" w:hAnsi="仿宋" w:eastAsia="仿宋" w:cs="仿宋"/>
          <w:color w:val="000000" w:themeColor="text1"/>
          <w:spacing w:val="-38"/>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10</w:t>
      </w:r>
      <w:r>
        <w:rPr>
          <w:rFonts w:hint="eastAsia" w:ascii="仿宋" w:hAnsi="仿宋" w:eastAsia="仿宋" w:cs="仿宋"/>
          <w:color w:val="000000" w:themeColor="text1"/>
          <w:spacing w:val="-3"/>
          <w:sz w:val="24"/>
          <w:szCs w:val="24"/>
          <w:highlight w:val="none"/>
          <w:u w:val="single"/>
          <w14:textFill>
            <w14:solidFill>
              <w14:schemeClr w14:val="tx1"/>
            </w14:solidFill>
          </w14:textFill>
        </w:rPr>
        <w:t>.7.1</w:t>
      </w:r>
      <w:r>
        <w:rPr>
          <w:rFonts w:hint="eastAsia" w:ascii="仿宋" w:hAnsi="仿宋" w:eastAsia="仿宋" w:cs="仿宋"/>
          <w:color w:val="000000" w:themeColor="text1"/>
          <w:spacing w:val="-57"/>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u w:val="single"/>
          <w14:textFill>
            <w14:solidFill>
              <w14:schemeClr w14:val="tx1"/>
            </w14:solidFill>
          </w14:textFill>
        </w:rPr>
        <w:t>第</w:t>
      </w:r>
      <w:r>
        <w:rPr>
          <w:rFonts w:hint="eastAsia" w:ascii="仿宋" w:hAnsi="仿宋" w:eastAsia="仿宋" w:cs="仿宋"/>
          <w:color w:val="000000" w:themeColor="text1"/>
          <w:spacing w:val="-59"/>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u w:val="single"/>
          <w14:textFill>
            <w14:solidFill>
              <w14:schemeClr w14:val="tx1"/>
            </w14:solidFill>
          </w14:textFill>
        </w:rPr>
        <w:t>2</w:t>
      </w:r>
      <w:r>
        <w:rPr>
          <w:rFonts w:hint="eastAsia" w:ascii="仿宋" w:hAnsi="仿宋" w:eastAsia="仿宋" w:cs="仿宋"/>
          <w:color w:val="000000" w:themeColor="text1"/>
          <w:spacing w:val="-58"/>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u w:val="single"/>
          <w14:textFill>
            <w14:solidFill>
              <w14:schemeClr w14:val="tx1"/>
            </w14:solidFill>
          </w14:textFill>
        </w:rPr>
        <w:t>种</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方式确定。</w:t>
      </w:r>
    </w:p>
    <w:p w14:paraId="49EEFE7A">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10.7.2 不属于依法必须招标的暂估价项目</w:t>
      </w:r>
    </w:p>
    <w:p w14:paraId="4F3F25F4">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对于不属于依法必须招标的暂估价项目的确认和</w:t>
      </w:r>
      <w:r>
        <w:rPr>
          <w:rFonts w:hint="eastAsia" w:ascii="仿宋" w:hAnsi="仿宋" w:eastAsia="仿宋" w:cs="仿宋"/>
          <w:color w:val="000000" w:themeColor="text1"/>
          <w:spacing w:val="-1"/>
          <w:sz w:val="24"/>
          <w:szCs w:val="24"/>
          <w:highlight w:val="none"/>
          <w14:textFill>
            <w14:solidFill>
              <w14:schemeClr w14:val="tx1"/>
            </w14:solidFill>
          </w14:textFill>
        </w:rPr>
        <w:t>批准采取第</w:t>
      </w:r>
      <w:r>
        <w:rPr>
          <w:rFonts w:hint="eastAsia" w:ascii="仿宋" w:hAnsi="仿宋" w:eastAsia="仿宋" w:cs="仿宋"/>
          <w:color w:val="000000" w:themeColor="text1"/>
          <w:spacing w:val="-1"/>
          <w:sz w:val="24"/>
          <w:szCs w:val="24"/>
          <w:highlight w:val="none"/>
          <w:u w:val="single"/>
          <w14:textFill>
            <w14:solidFill>
              <w14:schemeClr w14:val="tx1"/>
            </w14:solidFill>
          </w14:textFill>
        </w:rPr>
        <w:t>通用条款</w:t>
      </w:r>
    </w:p>
    <w:p w14:paraId="446BCBE4">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7"/>
          <w:sz w:val="24"/>
          <w:szCs w:val="24"/>
          <w:highlight w:val="none"/>
          <w:u w:val="single"/>
          <w14:textFill>
            <w14:solidFill>
              <w14:schemeClr w14:val="tx1"/>
            </w14:solidFill>
          </w14:textFill>
        </w:rPr>
        <w:t>10.7.1</w:t>
      </w:r>
      <w:r>
        <w:rPr>
          <w:rFonts w:hint="eastAsia" w:ascii="仿宋" w:hAnsi="仿宋" w:eastAsia="仿宋" w:cs="仿宋"/>
          <w:color w:val="000000" w:themeColor="text1"/>
          <w:spacing w:val="-52"/>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u w:val="single"/>
          <w14:textFill>
            <w14:solidFill>
              <w14:schemeClr w14:val="tx1"/>
            </w14:solidFill>
          </w14:textFill>
        </w:rPr>
        <w:t>第</w:t>
      </w:r>
      <w:r>
        <w:rPr>
          <w:rFonts w:hint="eastAsia" w:ascii="仿宋" w:hAnsi="仿宋" w:eastAsia="仿宋" w:cs="仿宋"/>
          <w:color w:val="000000" w:themeColor="text1"/>
          <w:spacing w:val="-56"/>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u w:val="single"/>
          <w14:textFill>
            <w14:solidFill>
              <w14:schemeClr w14:val="tx1"/>
            </w14:solidFill>
          </w14:textFill>
        </w:rPr>
        <w:t>2</w:t>
      </w:r>
      <w:r>
        <w:rPr>
          <w:rFonts w:hint="eastAsia" w:ascii="仿宋" w:hAnsi="仿宋" w:eastAsia="仿宋" w:cs="仿宋"/>
          <w:color w:val="000000" w:themeColor="text1"/>
          <w:spacing w:val="-6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u w:val="single"/>
          <w14:textFill>
            <w14:solidFill>
              <w14:schemeClr w14:val="tx1"/>
            </w14:solidFill>
          </w14:textFill>
        </w:rPr>
        <w:t>种</w:t>
      </w:r>
      <w:r>
        <w:rPr>
          <w:rFonts w:hint="eastAsia" w:ascii="仿宋" w:hAnsi="仿宋" w:eastAsia="仿宋" w:cs="仿宋"/>
          <w:color w:val="000000" w:themeColor="text1"/>
          <w:spacing w:val="-7"/>
          <w:sz w:val="24"/>
          <w:szCs w:val="24"/>
          <w:highlight w:val="none"/>
          <w14:textFill>
            <w14:solidFill>
              <w14:schemeClr w14:val="tx1"/>
            </w14:solidFill>
          </w14:textFill>
        </w:rPr>
        <w:t>方式确定。</w:t>
      </w:r>
    </w:p>
    <w:p w14:paraId="7B0349DC">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第</w:t>
      </w:r>
      <w:r>
        <w:rPr>
          <w:rFonts w:hint="eastAsia" w:ascii="仿宋" w:hAnsi="仿宋" w:eastAsia="仿宋" w:cs="仿宋"/>
          <w:color w:val="000000" w:themeColor="text1"/>
          <w:spacing w:val="-3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3</w:t>
      </w:r>
      <w:r>
        <w:rPr>
          <w:rFonts w:hint="eastAsia" w:ascii="仿宋" w:hAnsi="仿宋" w:eastAsia="仿宋" w:cs="仿宋"/>
          <w:color w:val="000000" w:themeColor="text1"/>
          <w:spacing w:val="-5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种方式：承包人直接实施的暂估价项目</w:t>
      </w:r>
    </w:p>
    <w:p w14:paraId="0D301A08">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 xml:space="preserve">承包人直接实施的暂估价项目的约定： </w:t>
      </w:r>
      <w:r>
        <w:rPr>
          <w:rFonts w:hint="eastAsia" w:ascii="仿宋" w:hAnsi="仿宋" w:eastAsia="仿宋" w:cs="仿宋"/>
          <w:color w:val="000000" w:themeColor="text1"/>
          <w:spacing w:val="-118"/>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14:textFill>
            <w14:solidFill>
              <w14:schemeClr w14:val="tx1"/>
            </w14:solidFill>
          </w14:textFill>
        </w:rPr>
        <w:t>在总承包资质范围许可的专业工程</w:t>
      </w:r>
      <w:r>
        <w:rPr>
          <w:rFonts w:hint="eastAsia" w:ascii="仿宋" w:hAnsi="仿宋" w:eastAsia="仿宋" w:cs="仿宋"/>
          <w:color w:val="000000" w:themeColor="text1"/>
          <w:spacing w:val="-2"/>
          <w:sz w:val="24"/>
          <w:szCs w:val="24"/>
          <w:highlight w:val="none"/>
          <w:u w:val="single"/>
          <w14:textFill>
            <w14:solidFill>
              <w14:schemeClr w14:val="tx1"/>
            </w14:solidFill>
          </w14:textFill>
        </w:rPr>
        <w:t>暂估项，经双方协商同意，可以由总承包实施，价格确认按 10.4 变更估价原则</w:t>
      </w:r>
      <w:r>
        <w:rPr>
          <w:rFonts w:hint="eastAsia" w:ascii="仿宋" w:hAnsi="仿宋" w:eastAsia="仿宋" w:cs="仿宋"/>
          <w:color w:val="000000" w:themeColor="text1"/>
          <w:spacing w:val="-1"/>
          <w:sz w:val="24"/>
          <w:szCs w:val="24"/>
          <w:highlight w:val="none"/>
          <w:u w:val="single"/>
          <w14:textFill>
            <w14:solidFill>
              <w14:schemeClr w14:val="tx1"/>
            </w14:solidFill>
          </w14:textFill>
        </w:rPr>
        <w:t>执行，经发包人确认后予以调整</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3586334E">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7"/>
          <w:sz w:val="24"/>
          <w:szCs w:val="24"/>
          <w:highlight w:val="none"/>
          <w14:textFill>
            <w14:solidFill>
              <w14:schemeClr w14:val="tx1"/>
            </w14:solidFill>
          </w14:textFill>
        </w:rPr>
        <w:t>10.8</w:t>
      </w:r>
      <w:r>
        <w:rPr>
          <w:rFonts w:hint="eastAsia" w:ascii="仿宋" w:hAnsi="仿宋" w:eastAsia="仿宋" w:cs="仿宋"/>
          <w:color w:val="000000" w:themeColor="text1"/>
          <w:spacing w:val="2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14:textFill>
            <w14:solidFill>
              <w14:schemeClr w14:val="tx1"/>
            </w14:solidFill>
          </w14:textFill>
        </w:rPr>
        <w:t>暂列金额</w:t>
      </w:r>
    </w:p>
    <w:p w14:paraId="4A97D97E">
      <w:pPr>
        <w:pStyle w:val="9"/>
        <w:keepNext w:val="0"/>
        <w:keepLines w:val="0"/>
        <w:pageBreakBefore w:val="0"/>
        <w:widowControl w:val="0"/>
        <w:kinsoku/>
        <w:wordWrap/>
        <w:overflowPunct/>
        <w:topLinePunct w:val="0"/>
        <w:autoSpaceDE/>
        <w:autoSpaceDN/>
        <w:bidi w:val="0"/>
        <w:snapToGrid/>
        <w:spacing w:after="0" w:line="360" w:lineRule="auto"/>
        <w:ind w:left="0" w:leftChars="0" w:right="0" w:rightChars="0" w:firstLine="472" w:firstLineChars="200"/>
        <w:jc w:val="left"/>
        <w:rPr>
          <w:rFonts w:hint="eastAsia" w:ascii="仿宋" w:hAnsi="仿宋" w:eastAsia="仿宋" w:cs="仿宋"/>
          <w:color w:val="000000" w:themeColor="text1"/>
          <w:spacing w:val="-2"/>
          <w:sz w:val="24"/>
          <w:szCs w:val="24"/>
          <w:highlight w:val="none"/>
          <w:u w:val="single"/>
          <w14:textFill>
            <w14:solidFill>
              <w14:schemeClr w14:val="tx1"/>
            </w14:solidFill>
          </w14:textFill>
        </w:rPr>
      </w:pPr>
      <w:r>
        <w:rPr>
          <w:rFonts w:hint="eastAsia" w:ascii="仿宋" w:hAnsi="仿宋" w:eastAsia="仿宋" w:cs="仿宋"/>
          <w:color w:val="000000" w:themeColor="text1"/>
          <w:spacing w:val="-2"/>
          <w:sz w:val="24"/>
          <w:szCs w:val="24"/>
          <w:highlight w:val="none"/>
          <w:u w:val="single"/>
          <w14:textFill>
            <w14:solidFill>
              <w14:schemeClr w14:val="tx1"/>
            </w14:solidFill>
          </w14:textFill>
        </w:rPr>
        <w:t>合同当事人关于暂列金额使用的约定：暂列金是指发包人为可能发生工程变 更而暂列的金额，包括因发包人提供的工程量清单漏项、清单有误引起的工程数量增加和施工过程中设计变更引起新的清单项目或工程数量增加等需要增加的金额。暂列金是招标人自行确定设立的，承包商无权使用此笔费用。此费用按实际发生经招标人签证后确定全部使用、部分使用或不使用。</w:t>
      </w:r>
    </w:p>
    <w:p w14:paraId="37942336">
      <w:pPr>
        <w:keepNext w:val="0"/>
        <w:keepLines w:val="0"/>
        <w:pageBreakBefore w:val="0"/>
        <w:widowControl w:val="0"/>
        <w:kinsoku/>
        <w:wordWrap/>
        <w:overflowPunct/>
        <w:topLinePunct w:val="0"/>
        <w:autoSpaceDE/>
        <w:autoSpaceDN/>
        <w:bidi w:val="0"/>
        <w:snapToGrid/>
        <w:spacing w:line="360" w:lineRule="auto"/>
        <w:ind w:left="0" w:leftChars="0" w:right="0" w:rightChars="0"/>
        <w:outlineLvl w:val="2"/>
        <w:rPr>
          <w:rFonts w:hint="eastAsia" w:ascii="仿宋" w:hAnsi="仿宋" w:eastAsia="仿宋" w:cs="仿宋"/>
          <w:color w:val="000000" w:themeColor="text1"/>
          <w:sz w:val="24"/>
          <w:szCs w:val="24"/>
          <w:highlight w:val="none"/>
          <w14:textFill>
            <w14:solidFill>
              <w14:schemeClr w14:val="tx1"/>
            </w14:solidFill>
          </w14:textFill>
        </w:rPr>
      </w:pPr>
      <w:bookmarkStart w:id="157" w:name="bookmark146"/>
      <w:bookmarkEnd w:id="157"/>
      <w:bookmarkStart w:id="158" w:name="_Toc25692"/>
      <w:r>
        <w:rPr>
          <w:rFonts w:hint="eastAsia" w:ascii="仿宋" w:hAnsi="仿宋" w:eastAsia="仿宋" w:cs="仿宋"/>
          <w:color w:val="000000" w:themeColor="text1"/>
          <w:spacing w:val="-6"/>
          <w:sz w:val="24"/>
          <w:szCs w:val="24"/>
          <w:highlight w:val="none"/>
          <w14:textFill>
            <w14:solidFill>
              <w14:schemeClr w14:val="tx1"/>
            </w14:solidFill>
          </w14:textFill>
        </w:rPr>
        <w:t>11.</w:t>
      </w:r>
      <w:r>
        <w:rPr>
          <w:rFonts w:hint="eastAsia" w:ascii="仿宋" w:hAnsi="仿宋" w:eastAsia="仿宋" w:cs="仿宋"/>
          <w:color w:val="000000" w:themeColor="text1"/>
          <w:spacing w:val="1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价格调整</w:t>
      </w:r>
      <w:bookmarkEnd w:id="158"/>
    </w:p>
    <w:p w14:paraId="0E09B3E2">
      <w:pPr>
        <w:pStyle w:val="9"/>
        <w:keepNext w:val="0"/>
        <w:keepLines w:val="0"/>
        <w:pageBreakBefore w:val="0"/>
        <w:widowControl w:val="0"/>
        <w:kinsoku/>
        <w:wordWrap/>
        <w:overflowPunct/>
        <w:topLinePunct w:val="0"/>
        <w:autoSpaceDE/>
        <w:autoSpaceDN/>
        <w:bidi w:val="0"/>
        <w:snapToGrid/>
        <w:spacing w:after="0"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p>
    <w:p w14:paraId="11A80FB5">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11.1 市场价格波动引起的调整</w:t>
      </w:r>
    </w:p>
    <w:p w14:paraId="5E2180A3">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市场价格波动是否调整合同价格的约定：</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调整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2ABDA23A">
      <w:pPr>
        <w:keepNext w:val="0"/>
        <w:keepLines w:val="0"/>
        <w:pageBreakBefore w:val="0"/>
        <w:widowControl w:val="0"/>
        <w:kinsoku/>
        <w:wordWrap/>
        <w:overflowPunct/>
        <w:topLinePunct w:val="0"/>
        <w:autoSpaceDE/>
        <w:autoSpaceDN/>
        <w:bidi w:val="0"/>
        <w:snapToGrid/>
        <w:spacing w:line="360" w:lineRule="auto"/>
        <w:ind w:left="0" w:leftChars="0" w:right="0" w:rightChars="0" w:firstLine="5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因市场价格波动调整合同价格，采用以下第</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2  </w:t>
      </w:r>
      <w:r>
        <w:rPr>
          <w:rFonts w:hint="eastAsia" w:ascii="仿宋" w:hAnsi="仿宋" w:eastAsia="仿宋" w:cs="仿宋"/>
          <w:color w:val="000000" w:themeColor="text1"/>
          <w:spacing w:val="-12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种方</w:t>
      </w:r>
      <w:r>
        <w:rPr>
          <w:rFonts w:hint="eastAsia" w:ascii="仿宋" w:hAnsi="仿宋" w:eastAsia="仿宋" w:cs="仿宋"/>
          <w:color w:val="000000" w:themeColor="text1"/>
          <w:spacing w:val="-2"/>
          <w:sz w:val="24"/>
          <w:szCs w:val="24"/>
          <w:highlight w:val="none"/>
          <w14:textFill>
            <w14:solidFill>
              <w14:schemeClr w14:val="tx1"/>
            </w14:solidFill>
          </w14:textFill>
        </w:rPr>
        <w:t>式对合同价格进行调</w:t>
      </w:r>
      <w:r>
        <w:rPr>
          <w:rFonts w:hint="eastAsia" w:ascii="仿宋" w:hAnsi="仿宋" w:eastAsia="仿宋" w:cs="仿宋"/>
          <w:color w:val="000000" w:themeColor="text1"/>
          <w:spacing w:val="-19"/>
          <w:sz w:val="24"/>
          <w:szCs w:val="24"/>
          <w:highlight w:val="none"/>
          <w14:textFill>
            <w14:solidFill>
              <w14:schemeClr w14:val="tx1"/>
            </w14:solidFill>
          </w14:textFill>
        </w:rPr>
        <w:t>整：</w:t>
      </w:r>
    </w:p>
    <w:p w14:paraId="5B08F3F0">
      <w:pPr>
        <w:keepNext w:val="0"/>
        <w:keepLines w:val="0"/>
        <w:pageBreakBefore w:val="0"/>
        <w:widowControl w:val="0"/>
        <w:kinsoku/>
        <w:wordWrap/>
        <w:overflowPunct/>
        <w:topLinePunct w:val="0"/>
        <w:autoSpaceDE/>
        <w:autoSpaceDN/>
        <w:bidi w:val="0"/>
        <w:snapToGrid/>
        <w:spacing w:line="360" w:lineRule="auto"/>
        <w:ind w:left="0" w:leftChars="0" w:right="0" w:rightChars="0" w:firstLine="46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第</w:t>
      </w:r>
      <w:r>
        <w:rPr>
          <w:rFonts w:hint="eastAsia" w:ascii="仿宋" w:hAnsi="仿宋" w:eastAsia="仿宋" w:cs="仿宋"/>
          <w:color w:val="000000" w:themeColor="text1"/>
          <w:spacing w:val="-2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1</w:t>
      </w:r>
      <w:r>
        <w:rPr>
          <w:rFonts w:hint="eastAsia" w:ascii="仿宋" w:hAnsi="仿宋" w:eastAsia="仿宋" w:cs="仿宋"/>
          <w:color w:val="000000" w:themeColor="text1"/>
          <w:spacing w:val="-5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种方式：采用价格指数进行价格调整。</w:t>
      </w:r>
    </w:p>
    <w:p w14:paraId="7F9951F2">
      <w:pPr>
        <w:keepNext w:val="0"/>
        <w:keepLines w:val="0"/>
        <w:pageBreakBefore w:val="0"/>
        <w:widowControl w:val="0"/>
        <w:kinsoku/>
        <w:wordWrap/>
        <w:overflowPunct/>
        <w:topLinePunct w:val="0"/>
        <w:autoSpaceDE/>
        <w:autoSpaceDN/>
        <w:bidi w:val="0"/>
        <w:snapToGrid/>
        <w:spacing w:line="360" w:lineRule="auto"/>
        <w:ind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关于各可调因子、定值和变值权重，以及基本价格指数及其来源的约定：</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w:t>
      </w:r>
      <w:r>
        <w:rPr>
          <w:rFonts w:hint="eastAsia" w:ascii="仿宋" w:hAnsi="仿宋" w:eastAsia="仿宋" w:cs="仿宋"/>
          <w:color w:val="000000" w:themeColor="text1"/>
          <w:spacing w:val="-5"/>
          <w:sz w:val="24"/>
          <w:szCs w:val="24"/>
          <w:highlight w:val="none"/>
          <w14:textFill>
            <w14:solidFill>
              <w14:schemeClr w14:val="tx1"/>
            </w14:solidFill>
          </w14:textFill>
        </w:rPr>
        <w:t>；</w:t>
      </w:r>
    </w:p>
    <w:p w14:paraId="66A44B53">
      <w:pPr>
        <w:keepNext w:val="0"/>
        <w:keepLines w:val="0"/>
        <w:pageBreakBefore w:val="0"/>
        <w:widowControl w:val="0"/>
        <w:kinsoku/>
        <w:wordWrap/>
        <w:overflowPunct/>
        <w:topLinePunct w:val="0"/>
        <w:autoSpaceDE/>
        <w:autoSpaceDN/>
        <w:bidi w:val="0"/>
        <w:snapToGrid/>
        <w:spacing w:line="360" w:lineRule="auto"/>
        <w:ind w:left="0" w:leftChars="0" w:right="0" w:rightChars="0" w:firstLine="464"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第</w:t>
      </w:r>
      <w:r>
        <w:rPr>
          <w:rFonts w:hint="eastAsia" w:ascii="仿宋" w:hAnsi="仿宋" w:eastAsia="仿宋" w:cs="仿宋"/>
          <w:color w:val="000000" w:themeColor="text1"/>
          <w:spacing w:val="-4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2</w:t>
      </w:r>
      <w:r>
        <w:rPr>
          <w:rFonts w:hint="eastAsia" w:ascii="仿宋" w:hAnsi="仿宋" w:eastAsia="仿宋" w:cs="仿宋"/>
          <w:color w:val="000000" w:themeColor="text1"/>
          <w:spacing w:val="-5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种方式：采用造价信息进行价格调整。</w:t>
      </w:r>
    </w:p>
    <w:p w14:paraId="6CD2E629">
      <w:pPr>
        <w:keepNext w:val="0"/>
        <w:keepLines w:val="0"/>
        <w:pageBreakBefore w:val="0"/>
        <w:widowControl w:val="0"/>
        <w:kinsoku/>
        <w:wordWrap/>
        <w:overflowPunct/>
        <w:topLinePunct w:val="0"/>
        <w:autoSpaceDE/>
        <w:autoSpaceDN/>
        <w:bidi w:val="0"/>
        <w:snapToGrid/>
        <w:spacing w:line="360" w:lineRule="auto"/>
        <w:ind w:left="0" w:leftChars="0" w:right="0" w:rightChars="0" w:firstLine="56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（2）关于基准价格的约定：</w:t>
      </w:r>
      <w:r>
        <w:rPr>
          <w:rFonts w:hint="eastAsia" w:ascii="仿宋" w:hAnsi="仿宋" w:eastAsia="仿宋" w:cs="仿宋"/>
          <w:color w:val="000000" w:themeColor="text1"/>
          <w:spacing w:val="-1"/>
          <w:sz w:val="24"/>
          <w:szCs w:val="24"/>
          <w:highlight w:val="none"/>
          <w:u w:val="single"/>
          <w14:textFill>
            <w14:solidFill>
              <w14:schemeClr w14:val="tx1"/>
            </w14:solidFill>
          </w14:textFill>
        </w:rPr>
        <w:t>人工费按</w:t>
      </w:r>
      <w:r>
        <w:rPr>
          <w:rFonts w:hint="eastAsia" w:ascii="仿宋" w:hAnsi="仿宋" w:eastAsia="仿宋" w:cs="仿宋"/>
          <w:color w:val="000000" w:themeColor="text1"/>
          <w:spacing w:val="-1"/>
          <w:sz w:val="24"/>
          <w:szCs w:val="24"/>
          <w:highlight w:val="none"/>
          <w:u w:val="single"/>
          <w:lang w:val="en-US" w:eastAsia="zh-CN"/>
          <w14:textFill>
            <w14:solidFill>
              <w14:schemeClr w14:val="tx1"/>
            </w14:solidFill>
          </w14:textFill>
        </w:rPr>
        <w:t>乌鲁木齐市</w:t>
      </w:r>
      <w:r>
        <w:rPr>
          <w:rFonts w:hint="eastAsia" w:ascii="仿宋" w:hAnsi="仿宋" w:eastAsia="仿宋" w:cs="仿宋"/>
          <w:color w:val="000000" w:themeColor="text1"/>
          <w:spacing w:val="-1"/>
          <w:sz w:val="24"/>
          <w:szCs w:val="24"/>
          <w:highlight w:val="none"/>
          <w:u w:val="single"/>
          <w14:textFill>
            <w14:solidFill>
              <w14:schemeClr w14:val="tx1"/>
            </w14:solidFill>
          </w14:textFill>
        </w:rPr>
        <w:t>工程造价管理机构发布的</w:t>
      </w:r>
      <w:r>
        <w:rPr>
          <w:rFonts w:hint="eastAsia" w:ascii="仿宋" w:hAnsi="仿宋" w:eastAsia="仿宋" w:cs="仿宋"/>
          <w:color w:val="000000" w:themeColor="text1"/>
          <w:spacing w:val="-1"/>
          <w:sz w:val="24"/>
          <w:szCs w:val="24"/>
          <w:highlight w:val="none"/>
          <w:u w:val="single"/>
          <w:lang w:val="en-US" w:eastAsia="zh-CN"/>
          <w14:textFill>
            <w14:solidFill>
              <w14:schemeClr w14:val="tx1"/>
            </w14:solidFill>
          </w14:textFill>
        </w:rPr>
        <w:t>乌鲁木齐</w:t>
      </w:r>
      <w:r>
        <w:rPr>
          <w:rFonts w:hint="eastAsia" w:ascii="仿宋" w:hAnsi="仿宋" w:eastAsia="仿宋" w:cs="仿宋"/>
          <w:color w:val="000000" w:themeColor="text1"/>
          <w:spacing w:val="-2"/>
          <w:sz w:val="24"/>
          <w:szCs w:val="24"/>
          <w:highlight w:val="none"/>
          <w:u w:val="single"/>
          <w:lang w:val="en-US" w:eastAsia="zh-CN"/>
          <w14:textFill>
            <w14:solidFill>
              <w14:schemeClr w14:val="tx1"/>
            </w14:solidFill>
          </w14:textFill>
        </w:rPr>
        <w:t>市</w:t>
      </w:r>
      <w:r>
        <w:rPr>
          <w:rFonts w:hint="eastAsia" w:ascii="仿宋" w:hAnsi="仿宋" w:eastAsia="仿宋" w:cs="仿宋"/>
          <w:color w:val="000000" w:themeColor="text1"/>
          <w:spacing w:val="-49"/>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202</w:t>
      </w:r>
      <w:r>
        <w:rPr>
          <w:rFonts w:hint="eastAsia" w:ascii="仿宋" w:hAnsi="仿宋" w:eastAsia="仿宋" w:cs="仿宋"/>
          <w:color w:val="000000" w:themeColor="text1"/>
          <w:spacing w:val="-2"/>
          <w:sz w:val="24"/>
          <w:szCs w:val="24"/>
          <w:highlight w:val="none"/>
          <w:u w:val="single"/>
          <w:lang w:val="en-US" w:eastAsia="zh-CN"/>
          <w14:textFill>
            <w14:solidFill>
              <w14:schemeClr w14:val="tx1"/>
            </w14:solidFill>
          </w14:textFill>
        </w:rPr>
        <w:t>6</w:t>
      </w:r>
      <w:r>
        <w:rPr>
          <w:rFonts w:hint="eastAsia" w:ascii="仿宋" w:hAnsi="仿宋" w:eastAsia="仿宋" w:cs="仿宋"/>
          <w:color w:val="000000" w:themeColor="text1"/>
          <w:spacing w:val="-2"/>
          <w:sz w:val="24"/>
          <w:szCs w:val="24"/>
          <w:highlight w:val="none"/>
          <w:u w:val="single"/>
          <w14:textFill>
            <w14:solidFill>
              <w14:schemeClr w14:val="tx1"/>
            </w14:solidFill>
          </w14:textFill>
        </w:rPr>
        <w:t>年</w:t>
      </w:r>
      <w:r>
        <w:rPr>
          <w:rFonts w:hint="eastAsia" w:ascii="仿宋" w:hAnsi="仿宋" w:eastAsia="仿宋" w:cs="仿宋"/>
          <w:color w:val="000000" w:themeColor="text1"/>
          <w:spacing w:val="-63"/>
          <w:sz w:val="24"/>
          <w:szCs w:val="24"/>
          <w:highlight w:val="none"/>
          <w:u w:val="single"/>
          <w:lang w:val="en-US" w:eastAsia="zh-CN"/>
          <w14:textFill>
            <w14:solidFill>
              <w14:schemeClr w14:val="tx1"/>
            </w14:solidFill>
          </w14:textFill>
        </w:rPr>
        <w:t>3</w:t>
      </w:r>
      <w:r>
        <w:rPr>
          <w:rFonts w:hint="eastAsia" w:ascii="仿宋" w:hAnsi="仿宋" w:eastAsia="仿宋" w:cs="仿宋"/>
          <w:color w:val="000000" w:themeColor="text1"/>
          <w:spacing w:val="-2"/>
          <w:sz w:val="24"/>
          <w:szCs w:val="24"/>
          <w:highlight w:val="none"/>
          <w:u w:val="single"/>
          <w14:textFill>
            <w14:solidFill>
              <w14:schemeClr w14:val="tx1"/>
            </w14:solidFill>
          </w14:textFill>
        </w:rPr>
        <w:t>月建设工程综合价格信息编制说明为基准价，材料费按</w:t>
      </w:r>
      <w:r>
        <w:rPr>
          <w:rFonts w:hint="eastAsia" w:ascii="仿宋" w:hAnsi="仿宋" w:eastAsia="仿宋" w:cs="仿宋"/>
          <w:color w:val="000000" w:themeColor="text1"/>
          <w:spacing w:val="-1"/>
          <w:sz w:val="24"/>
          <w:szCs w:val="24"/>
          <w:highlight w:val="none"/>
          <w:u w:val="single"/>
          <w:lang w:val="en-US" w:eastAsia="zh-CN"/>
          <w14:textFill>
            <w14:solidFill>
              <w14:schemeClr w14:val="tx1"/>
            </w14:solidFill>
          </w14:textFill>
        </w:rPr>
        <w:t>乌鲁木齐</w:t>
      </w:r>
      <w:r>
        <w:rPr>
          <w:rFonts w:hint="eastAsia" w:ascii="仿宋" w:hAnsi="仿宋" w:eastAsia="仿宋" w:cs="仿宋"/>
          <w:color w:val="000000" w:themeColor="text1"/>
          <w:spacing w:val="-2"/>
          <w:sz w:val="24"/>
          <w:szCs w:val="24"/>
          <w:highlight w:val="none"/>
          <w:u w:val="single"/>
          <w:lang w:val="en-US" w:eastAsia="zh-CN"/>
          <w14:textFill>
            <w14:solidFill>
              <w14:schemeClr w14:val="tx1"/>
            </w14:solidFill>
          </w14:textFill>
        </w:rPr>
        <w:t>市</w:t>
      </w:r>
      <w:r>
        <w:rPr>
          <w:rFonts w:hint="eastAsia" w:ascii="仿宋" w:hAnsi="仿宋" w:eastAsia="仿宋" w:cs="仿宋"/>
          <w:color w:val="000000" w:themeColor="text1"/>
          <w:spacing w:val="-2"/>
          <w:sz w:val="24"/>
          <w:szCs w:val="24"/>
          <w:highlight w:val="none"/>
          <w:u w:val="single"/>
          <w14:textFill>
            <w14:solidFill>
              <w14:schemeClr w14:val="tx1"/>
            </w14:solidFill>
          </w14:textFill>
        </w:rPr>
        <w:t>工程造价管理机构发布的</w:t>
      </w:r>
      <w:r>
        <w:rPr>
          <w:rFonts w:hint="eastAsia" w:ascii="仿宋" w:hAnsi="仿宋" w:eastAsia="仿宋" w:cs="仿宋"/>
          <w:color w:val="000000" w:themeColor="text1"/>
          <w:spacing w:val="-1"/>
          <w:sz w:val="24"/>
          <w:szCs w:val="24"/>
          <w:highlight w:val="none"/>
          <w:u w:val="single"/>
          <w:lang w:val="en-US" w:eastAsia="zh-CN"/>
          <w14:textFill>
            <w14:solidFill>
              <w14:schemeClr w14:val="tx1"/>
            </w14:solidFill>
          </w14:textFill>
        </w:rPr>
        <w:t>乌鲁木齐</w:t>
      </w:r>
      <w:r>
        <w:rPr>
          <w:rFonts w:hint="eastAsia" w:ascii="仿宋" w:hAnsi="仿宋" w:eastAsia="仿宋" w:cs="仿宋"/>
          <w:color w:val="000000" w:themeColor="text1"/>
          <w:spacing w:val="-2"/>
          <w:sz w:val="24"/>
          <w:szCs w:val="24"/>
          <w:highlight w:val="none"/>
          <w:u w:val="single"/>
          <w:lang w:val="en-US" w:eastAsia="zh-CN"/>
          <w14:textFill>
            <w14:solidFill>
              <w14:schemeClr w14:val="tx1"/>
            </w14:solidFill>
          </w14:textFill>
        </w:rPr>
        <w:t>市</w:t>
      </w:r>
      <w:r>
        <w:rPr>
          <w:rFonts w:hint="eastAsia" w:ascii="仿宋" w:hAnsi="仿宋" w:eastAsia="仿宋" w:cs="仿宋"/>
          <w:color w:val="000000" w:themeColor="text1"/>
          <w:spacing w:val="-2"/>
          <w:sz w:val="24"/>
          <w:szCs w:val="24"/>
          <w:highlight w:val="none"/>
          <w:u w:val="single"/>
          <w14:textFill>
            <w14:solidFill>
              <w14:schemeClr w14:val="tx1"/>
            </w14:solidFill>
          </w14:textFill>
        </w:rPr>
        <w:t>202</w:t>
      </w:r>
      <w:r>
        <w:rPr>
          <w:rFonts w:hint="eastAsia" w:ascii="仿宋" w:hAnsi="仿宋" w:eastAsia="仿宋" w:cs="仿宋"/>
          <w:color w:val="000000" w:themeColor="text1"/>
          <w:spacing w:val="-2"/>
          <w:sz w:val="24"/>
          <w:szCs w:val="24"/>
          <w:highlight w:val="none"/>
          <w:u w:val="single"/>
          <w:lang w:val="en-US" w:eastAsia="zh-CN"/>
          <w14:textFill>
            <w14:solidFill>
              <w14:schemeClr w14:val="tx1"/>
            </w14:solidFill>
          </w14:textFill>
        </w:rPr>
        <w:t>6</w:t>
      </w:r>
      <w:r>
        <w:rPr>
          <w:rFonts w:hint="eastAsia" w:ascii="仿宋" w:hAnsi="仿宋" w:eastAsia="仿宋" w:cs="仿宋"/>
          <w:color w:val="000000" w:themeColor="text1"/>
          <w:spacing w:val="-2"/>
          <w:sz w:val="24"/>
          <w:szCs w:val="24"/>
          <w:highlight w:val="none"/>
          <w:u w:val="single"/>
          <w14:textFill>
            <w14:solidFill>
              <w14:schemeClr w14:val="tx1"/>
            </w14:solidFill>
          </w14:textFill>
        </w:rPr>
        <w:t>年</w:t>
      </w:r>
      <w:r>
        <w:rPr>
          <w:rFonts w:hint="eastAsia" w:ascii="仿宋" w:hAnsi="仿宋" w:eastAsia="仿宋" w:cs="仿宋"/>
          <w:color w:val="000000" w:themeColor="text1"/>
          <w:spacing w:val="-63"/>
          <w:sz w:val="24"/>
          <w:szCs w:val="24"/>
          <w:highlight w:val="none"/>
          <w:u w:val="single"/>
          <w:lang w:val="en-US" w:eastAsia="zh-CN"/>
          <w14:textFill>
            <w14:solidFill>
              <w14:schemeClr w14:val="tx1"/>
            </w14:solidFill>
          </w14:textFill>
        </w:rPr>
        <w:t>3</w:t>
      </w:r>
      <w:r>
        <w:rPr>
          <w:rFonts w:hint="eastAsia" w:ascii="仿宋" w:hAnsi="仿宋" w:eastAsia="仿宋" w:cs="仿宋"/>
          <w:color w:val="000000" w:themeColor="text1"/>
          <w:spacing w:val="-2"/>
          <w:sz w:val="24"/>
          <w:szCs w:val="24"/>
          <w:highlight w:val="none"/>
          <w:u w:val="single"/>
          <w14:textFill>
            <w14:solidFill>
              <w14:schemeClr w14:val="tx1"/>
            </w14:solidFill>
          </w14:textFill>
        </w:rPr>
        <w:t>月建设工程除税综合价格信息为基准价</w:t>
      </w:r>
      <w:r>
        <w:rPr>
          <w:rFonts w:hint="eastAsia" w:ascii="仿宋" w:hAnsi="仿宋" w:eastAsia="仿宋" w:cs="仿宋"/>
          <w:color w:val="000000" w:themeColor="text1"/>
          <w:spacing w:val="-2"/>
          <w:sz w:val="24"/>
          <w:szCs w:val="24"/>
          <w:highlight w:val="none"/>
          <w14:textFill>
            <w14:solidFill>
              <w14:schemeClr w14:val="tx1"/>
            </w14:solidFill>
          </w14:textFill>
        </w:rPr>
        <w:t>。</w:t>
      </w:r>
    </w:p>
    <w:p w14:paraId="09992E54">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专用合同条款①承包人在已标价工程量清单或预算书中载明的材料单价低</w:t>
      </w:r>
      <w:r>
        <w:rPr>
          <w:rFonts w:hint="eastAsia" w:ascii="仿宋" w:hAnsi="仿宋" w:eastAsia="仿宋" w:cs="仿宋"/>
          <w:color w:val="000000" w:themeColor="text1"/>
          <w:spacing w:val="-2"/>
          <w:sz w:val="24"/>
          <w:szCs w:val="24"/>
          <w:highlight w:val="none"/>
          <w14:textFill>
            <w14:solidFill>
              <w14:schemeClr w14:val="tx1"/>
            </w14:solidFill>
          </w14:textFill>
        </w:rPr>
        <w:t>于基准价格的：专用合同条款合同履行期间材料单价涨幅以基准价格为基础超过</w:t>
      </w:r>
      <w:r>
        <w:rPr>
          <w:rFonts w:hint="eastAsia" w:ascii="仿宋" w:hAnsi="仿宋" w:eastAsia="仿宋" w:cs="仿宋"/>
          <w:color w:val="000000" w:themeColor="text1"/>
          <w:sz w:val="24"/>
          <w:szCs w:val="24"/>
          <w:highlight w:val="none"/>
          <w:u w:val="single"/>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%时，或材料单价跌幅以已标价工程量清单</w:t>
      </w:r>
      <w:r>
        <w:rPr>
          <w:rFonts w:hint="eastAsia" w:ascii="仿宋" w:hAnsi="仿宋" w:eastAsia="仿宋" w:cs="仿宋"/>
          <w:color w:val="000000" w:themeColor="text1"/>
          <w:spacing w:val="-1"/>
          <w:sz w:val="24"/>
          <w:szCs w:val="24"/>
          <w:highlight w:val="none"/>
          <w14:textFill>
            <w14:solidFill>
              <w14:schemeClr w14:val="tx1"/>
            </w14:solidFill>
          </w14:textFill>
        </w:rPr>
        <w:t>或预算书中载明材料单价为基础超</w:t>
      </w:r>
      <w:r>
        <w:rPr>
          <w:rFonts w:hint="eastAsia" w:ascii="仿宋" w:hAnsi="仿宋" w:eastAsia="仿宋" w:cs="仿宋"/>
          <w:color w:val="000000" w:themeColor="text1"/>
          <w:spacing w:val="-3"/>
          <w:sz w:val="24"/>
          <w:szCs w:val="24"/>
          <w:highlight w:val="none"/>
          <w14:textFill>
            <w14:solidFill>
              <w14:schemeClr w14:val="tx1"/>
            </w14:solidFill>
          </w14:textFill>
        </w:rPr>
        <w:t>过</w:t>
      </w:r>
      <w:r>
        <w:rPr>
          <w:rFonts w:hint="eastAsia" w:ascii="仿宋" w:hAnsi="仿宋" w:eastAsia="仿宋" w:cs="仿宋"/>
          <w:color w:val="000000" w:themeColor="text1"/>
          <w:spacing w:val="-6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09"/>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u w:val="single"/>
          <w14:textFill>
            <w14:solidFill>
              <w14:schemeClr w14:val="tx1"/>
            </w14:solidFill>
          </w14:textFill>
        </w:rPr>
        <w:t>10</w:t>
      </w:r>
      <w:r>
        <w:rPr>
          <w:rFonts w:hint="eastAsia" w:ascii="仿宋" w:hAnsi="仿宋" w:eastAsia="仿宋" w:cs="仿宋"/>
          <w:color w:val="000000" w:themeColor="text1"/>
          <w:spacing w:val="-3"/>
          <w:sz w:val="24"/>
          <w:szCs w:val="24"/>
          <w:highlight w:val="none"/>
          <w14:textFill>
            <w14:solidFill>
              <w14:schemeClr w14:val="tx1"/>
            </w14:solidFill>
          </w14:textFill>
        </w:rPr>
        <w:t>%时，其超过部分据实调整。</w:t>
      </w:r>
    </w:p>
    <w:p w14:paraId="06DA141D">
      <w:pPr>
        <w:keepNext w:val="0"/>
        <w:keepLines w:val="0"/>
        <w:pageBreakBefore w:val="0"/>
        <w:widowControl w:val="0"/>
        <w:kinsoku/>
        <w:wordWrap/>
        <w:overflowPunct/>
        <w:topLinePunct w:val="0"/>
        <w:autoSpaceDE/>
        <w:autoSpaceDN/>
        <w:bidi w:val="0"/>
        <w:snapToGrid/>
        <w:spacing w:line="360" w:lineRule="auto"/>
        <w:ind w:left="0" w:leftChars="0" w:right="0" w:rightChars="0" w:firstLine="55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②承包人在已标价工程量清单或预算书中载明的材</w:t>
      </w:r>
      <w:r>
        <w:rPr>
          <w:rFonts w:hint="eastAsia" w:ascii="仿宋" w:hAnsi="仿宋" w:eastAsia="仿宋" w:cs="仿宋"/>
          <w:color w:val="000000" w:themeColor="text1"/>
          <w:spacing w:val="-3"/>
          <w:sz w:val="24"/>
          <w:szCs w:val="24"/>
          <w:highlight w:val="none"/>
          <w14:textFill>
            <w14:solidFill>
              <w14:schemeClr w14:val="tx1"/>
            </w14:solidFill>
          </w14:textFill>
        </w:rPr>
        <w:t>料单价高于基准价格的：</w:t>
      </w:r>
      <w:r>
        <w:rPr>
          <w:rFonts w:hint="eastAsia" w:ascii="仿宋" w:hAnsi="仿宋" w:eastAsia="仿宋" w:cs="仿宋"/>
          <w:color w:val="000000" w:themeColor="text1"/>
          <w:spacing w:val="-1"/>
          <w:sz w:val="24"/>
          <w:szCs w:val="24"/>
          <w:highlight w:val="none"/>
          <w14:textFill>
            <w14:solidFill>
              <w14:schemeClr w14:val="tx1"/>
            </w14:solidFill>
          </w14:textFill>
        </w:rPr>
        <w:t>专用合同条款合同履行期间材料单价跌幅以基准价格为基础超过</w:t>
      </w:r>
      <w:r>
        <w:rPr>
          <w:rFonts w:hint="eastAsia" w:ascii="仿宋" w:hAnsi="仿宋" w:eastAsia="仿宋" w:cs="仿宋"/>
          <w:color w:val="000000" w:themeColor="text1"/>
          <w:spacing w:val="-7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08"/>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10</w:t>
      </w:r>
      <w:r>
        <w:rPr>
          <w:rFonts w:hint="eastAsia" w:ascii="仿宋" w:hAnsi="仿宋" w:eastAsia="仿宋" w:cs="仿宋"/>
          <w:color w:val="000000" w:themeColor="text1"/>
          <w:spacing w:val="-2"/>
          <w:sz w:val="24"/>
          <w:szCs w:val="24"/>
          <w:highlight w:val="none"/>
          <w14:textFill>
            <w14:solidFill>
              <w14:schemeClr w14:val="tx1"/>
            </w14:solidFill>
          </w14:textFill>
        </w:rPr>
        <w:t>%时，材料单</w:t>
      </w:r>
      <w:r>
        <w:rPr>
          <w:rFonts w:hint="eastAsia" w:ascii="仿宋" w:hAnsi="仿宋" w:eastAsia="仿宋" w:cs="仿宋"/>
          <w:color w:val="000000" w:themeColor="text1"/>
          <w:spacing w:val="-1"/>
          <w:sz w:val="24"/>
          <w:szCs w:val="24"/>
          <w:highlight w:val="none"/>
          <w14:textFill>
            <w14:solidFill>
              <w14:schemeClr w14:val="tx1"/>
            </w14:solidFill>
          </w14:textFill>
        </w:rPr>
        <w:t>价涨幅以已标价工程量清单或预算书中载明材料单价为基础超过</w:t>
      </w:r>
      <w:r>
        <w:rPr>
          <w:rFonts w:hint="eastAsia" w:ascii="仿宋" w:hAnsi="仿宋" w:eastAsia="仿宋" w:cs="仿宋"/>
          <w:color w:val="000000" w:themeColor="text1"/>
          <w:spacing w:val="-7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08"/>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10</w:t>
      </w:r>
      <w:r>
        <w:rPr>
          <w:rFonts w:hint="eastAsia" w:ascii="仿宋" w:hAnsi="仿宋" w:eastAsia="仿宋" w:cs="仿宋"/>
          <w:color w:val="000000" w:themeColor="text1"/>
          <w:spacing w:val="-2"/>
          <w:sz w:val="24"/>
          <w:szCs w:val="24"/>
          <w:highlight w:val="none"/>
          <w14:textFill>
            <w14:solidFill>
              <w14:schemeClr w14:val="tx1"/>
            </w14:solidFill>
          </w14:textFill>
        </w:rPr>
        <w:t>%时，其超过</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部分据实调整。</w:t>
      </w:r>
    </w:p>
    <w:p w14:paraId="4E0A96E7">
      <w:pPr>
        <w:pStyle w:val="9"/>
        <w:keepNext w:val="0"/>
        <w:keepLines w:val="0"/>
        <w:pageBreakBefore w:val="0"/>
        <w:widowControl w:val="0"/>
        <w:kinsoku/>
        <w:wordWrap/>
        <w:overflowPunct/>
        <w:topLinePunct w:val="0"/>
        <w:autoSpaceDE/>
        <w:autoSpaceDN/>
        <w:bidi w:val="0"/>
        <w:snapToGrid/>
        <w:spacing w:after="0" w:line="360" w:lineRule="auto"/>
        <w:ind w:left="0" w:leftChars="0" w:right="0" w:rightChars="0" w:firstLine="476" w:firstLineChars="200"/>
        <w:jc w:val="both"/>
        <w:rPr>
          <w:rFonts w:hint="eastAsia" w:ascii="仿宋" w:hAnsi="仿宋" w:eastAsia="仿宋" w:cs="仿宋"/>
          <w:color w:val="000000" w:themeColor="text1"/>
          <w:spacing w:val="-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③承包人在已标价工程量清单或预算书中载明的材料单价等于基准单价的：</w:t>
      </w:r>
    </w:p>
    <w:p w14:paraId="01623EBB">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专用合同条款合同履行期间材料单价涨跌幅以基准单价为基础超过±</w:t>
      </w:r>
      <w:r>
        <w:rPr>
          <w:rFonts w:hint="eastAsia" w:ascii="仿宋" w:hAnsi="仿宋" w:eastAsia="仿宋" w:cs="仿宋"/>
          <w:color w:val="000000" w:themeColor="text1"/>
          <w:spacing w:val="-92"/>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10</w:t>
      </w:r>
      <w:r>
        <w:rPr>
          <w:rFonts w:hint="eastAsia" w:ascii="仿宋" w:hAnsi="仿宋" w:eastAsia="仿宋" w:cs="仿宋"/>
          <w:color w:val="000000" w:themeColor="text1"/>
          <w:spacing w:val="-2"/>
          <w:sz w:val="24"/>
          <w:szCs w:val="24"/>
          <w:highlight w:val="none"/>
          <w14:textFill>
            <w14:solidFill>
              <w14:schemeClr w14:val="tx1"/>
            </w14:solidFill>
          </w14:textFill>
        </w:rPr>
        <w:t>%时，其</w:t>
      </w:r>
      <w:r>
        <w:rPr>
          <w:rFonts w:hint="eastAsia" w:ascii="仿宋" w:hAnsi="仿宋" w:eastAsia="仿宋" w:cs="仿宋"/>
          <w:color w:val="000000" w:themeColor="text1"/>
          <w:spacing w:val="-1"/>
          <w:sz w:val="24"/>
          <w:szCs w:val="24"/>
          <w:highlight w:val="none"/>
          <w14:textFill>
            <w14:solidFill>
              <w14:schemeClr w14:val="tx1"/>
            </w14:solidFill>
          </w14:textFill>
        </w:rPr>
        <w:t>超过部分据实调整。</w:t>
      </w:r>
    </w:p>
    <w:p w14:paraId="25283E3A">
      <w:pPr>
        <w:keepNext w:val="0"/>
        <w:keepLines w:val="0"/>
        <w:pageBreakBefore w:val="0"/>
        <w:widowControl w:val="0"/>
        <w:kinsoku/>
        <w:wordWrap/>
        <w:overflowPunct/>
        <w:topLinePunct w:val="0"/>
        <w:autoSpaceDE/>
        <w:autoSpaceDN/>
        <w:bidi w:val="0"/>
        <w:snapToGrid/>
        <w:spacing w:line="360" w:lineRule="auto"/>
        <w:ind w:left="0" w:leftChars="0" w:right="0" w:rightChars="0" w:firstLine="64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合同履行期间，因人工、材料、工程设备和机械台班价格波动影响合同价格</w:t>
      </w:r>
      <w:r>
        <w:rPr>
          <w:rFonts w:hint="eastAsia" w:ascii="仿宋" w:hAnsi="仿宋" w:eastAsia="仿宋" w:cs="仿宋"/>
          <w:color w:val="000000" w:themeColor="text1"/>
          <w:spacing w:val="-2"/>
          <w:sz w:val="24"/>
          <w:szCs w:val="24"/>
          <w:highlight w:val="none"/>
          <w14:textFill>
            <w14:solidFill>
              <w14:schemeClr w14:val="tx1"/>
            </w14:solidFill>
          </w14:textFill>
        </w:rPr>
        <w:t>时，人工、机械使用费按照国家、自治区、</w:t>
      </w: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乌鲁木齐市</w:t>
      </w:r>
      <w:r>
        <w:rPr>
          <w:rFonts w:hint="eastAsia" w:ascii="仿宋" w:hAnsi="仿宋" w:eastAsia="仿宋" w:cs="仿宋"/>
          <w:color w:val="000000" w:themeColor="text1"/>
          <w:spacing w:val="-2"/>
          <w:sz w:val="24"/>
          <w:szCs w:val="24"/>
          <w:highlight w:val="none"/>
          <w14:textFill>
            <w14:solidFill>
              <w14:schemeClr w14:val="tx1"/>
            </w14:solidFill>
          </w14:textFill>
        </w:rPr>
        <w:t>建设行政管理部门、行业建设管理部门或其授权的工程造价管理机构发布的人工、机械使用费系数进行调整；需要进行价格调整的材料，其单价和采购数量应由发包人（建设方）审批，发包</w:t>
      </w:r>
      <w:r>
        <w:rPr>
          <w:rFonts w:hint="eastAsia" w:ascii="仿宋" w:hAnsi="仿宋" w:eastAsia="仿宋" w:cs="仿宋"/>
          <w:color w:val="000000" w:themeColor="text1"/>
          <w:sz w:val="24"/>
          <w:szCs w:val="24"/>
          <w:highlight w:val="none"/>
          <w14:textFill>
            <w14:solidFill>
              <w14:schemeClr w14:val="tx1"/>
            </w14:solidFill>
          </w14:textFill>
        </w:rPr>
        <w:t>人（建设方）确认需调整的材料单价及数量，</w:t>
      </w:r>
      <w:r>
        <w:rPr>
          <w:rFonts w:hint="eastAsia" w:ascii="仿宋" w:hAnsi="仿宋" w:eastAsia="仿宋" w:cs="仿宋"/>
          <w:color w:val="000000" w:themeColor="text1"/>
          <w:spacing w:val="-1"/>
          <w:sz w:val="24"/>
          <w:szCs w:val="24"/>
          <w:highlight w:val="none"/>
          <w14:textFill>
            <w14:solidFill>
              <w14:schemeClr w14:val="tx1"/>
            </w14:solidFill>
          </w14:textFill>
        </w:rPr>
        <w:t>作为调整合同价格的依据 。</w:t>
      </w:r>
    </w:p>
    <w:p w14:paraId="271E39B8">
      <w:pPr>
        <w:keepNext w:val="0"/>
        <w:keepLines w:val="0"/>
        <w:pageBreakBefore w:val="0"/>
        <w:widowControl w:val="0"/>
        <w:kinsoku/>
        <w:wordWrap/>
        <w:overflowPunct/>
        <w:topLinePunct w:val="0"/>
        <w:autoSpaceDE/>
        <w:autoSpaceDN/>
        <w:bidi w:val="0"/>
        <w:snapToGrid/>
        <w:spacing w:line="360" w:lineRule="auto"/>
        <w:ind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人工单价发生变化且符合自治区或</w:t>
      </w: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乌鲁木齐市</w:t>
      </w:r>
      <w:r>
        <w:rPr>
          <w:rFonts w:hint="eastAsia" w:ascii="仿宋" w:hAnsi="仿宋" w:eastAsia="仿宋" w:cs="仿宋"/>
          <w:color w:val="000000" w:themeColor="text1"/>
          <w:spacing w:val="-1"/>
          <w:sz w:val="24"/>
          <w:szCs w:val="24"/>
          <w:highlight w:val="none"/>
          <w14:textFill>
            <w14:solidFill>
              <w14:schemeClr w14:val="tx1"/>
            </w14:solidFill>
          </w14:textFill>
        </w:rPr>
        <w:t>行业建设主管部门发布的人工费</w:t>
      </w:r>
      <w:r>
        <w:rPr>
          <w:rFonts w:hint="eastAsia" w:ascii="仿宋" w:hAnsi="仿宋" w:eastAsia="仿宋" w:cs="仿宋"/>
          <w:color w:val="000000" w:themeColor="text1"/>
          <w:spacing w:val="-2"/>
          <w:sz w:val="24"/>
          <w:szCs w:val="24"/>
          <w:highlight w:val="none"/>
          <w14:textFill>
            <w14:solidFill>
              <w14:schemeClr w14:val="tx1"/>
            </w14:solidFill>
          </w14:textFill>
        </w:rPr>
        <w:t>调整规定，合同当事人应按自治区、</w:t>
      </w: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乌鲁木齐市</w:t>
      </w:r>
      <w:r>
        <w:rPr>
          <w:rFonts w:hint="eastAsia" w:ascii="仿宋" w:hAnsi="仿宋" w:eastAsia="仿宋" w:cs="仿宋"/>
          <w:color w:val="000000" w:themeColor="text1"/>
          <w:spacing w:val="-2"/>
          <w:sz w:val="24"/>
          <w:szCs w:val="24"/>
          <w:highlight w:val="none"/>
          <w14:textFill>
            <w14:solidFill>
              <w14:schemeClr w14:val="tx1"/>
            </w14:solidFill>
          </w14:textFill>
        </w:rPr>
        <w:t>建设主管部门或其授权的工程造价管理机构发布的人工费等文件调整合同价格，但承包人对人工费或人工单价的报价高于发布价格的除外。在分项工程施工期间，本项目的人工费调整按</w:t>
      </w: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乌鲁木齐市</w:t>
      </w:r>
      <w:r>
        <w:rPr>
          <w:rFonts w:hint="eastAsia" w:ascii="仿宋" w:hAnsi="仿宋" w:eastAsia="仿宋" w:cs="仿宋"/>
          <w:color w:val="000000" w:themeColor="text1"/>
          <w:spacing w:val="-2"/>
          <w:sz w:val="24"/>
          <w:szCs w:val="24"/>
          <w:highlight w:val="none"/>
          <w14:textFill>
            <w14:solidFill>
              <w14:schemeClr w14:val="tx1"/>
            </w14:solidFill>
          </w14:textFill>
        </w:rPr>
        <w:t>建设</w:t>
      </w:r>
      <w:r>
        <w:rPr>
          <w:rFonts w:hint="eastAsia" w:ascii="仿宋" w:hAnsi="仿宋" w:eastAsia="仿宋" w:cs="仿宋"/>
          <w:color w:val="000000" w:themeColor="text1"/>
          <w:spacing w:val="-3"/>
          <w:sz w:val="24"/>
          <w:szCs w:val="24"/>
          <w:highlight w:val="none"/>
          <w14:textFill>
            <w14:solidFill>
              <w14:schemeClr w14:val="tx1"/>
            </w14:solidFill>
          </w14:textFill>
        </w:rPr>
        <w:t>行政主管部门发布的信息价调整。</w:t>
      </w:r>
    </w:p>
    <w:p w14:paraId="52765F88">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bookmarkStart w:id="159" w:name="bookmark147"/>
      <w:bookmarkEnd w:id="159"/>
      <w:r>
        <w:rPr>
          <w:rFonts w:hint="eastAsia" w:ascii="仿宋" w:hAnsi="仿宋" w:eastAsia="仿宋" w:cs="仿宋"/>
          <w:color w:val="000000" w:themeColor="text1"/>
          <w:spacing w:val="-2"/>
          <w:sz w:val="24"/>
          <w:szCs w:val="24"/>
          <w:highlight w:val="none"/>
          <w14:textFill>
            <w14:solidFill>
              <w14:schemeClr w14:val="tx1"/>
            </w14:solidFill>
          </w14:textFill>
        </w:rPr>
        <w:t>第</w:t>
      </w:r>
      <w:r>
        <w:rPr>
          <w:rFonts w:hint="eastAsia" w:ascii="仿宋" w:hAnsi="仿宋" w:eastAsia="仿宋" w:cs="仿宋"/>
          <w:color w:val="000000" w:themeColor="text1"/>
          <w:spacing w:val="-5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3</w:t>
      </w:r>
      <w:r>
        <w:rPr>
          <w:rFonts w:hint="eastAsia" w:ascii="仿宋" w:hAnsi="仿宋" w:eastAsia="仿宋" w:cs="仿宋"/>
          <w:color w:val="000000" w:themeColor="text1"/>
          <w:spacing w:val="-5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种方式：其他价格调整方式：</w:t>
      </w:r>
      <w:r>
        <w:rPr>
          <w:rFonts w:hint="eastAsia" w:ascii="仿宋" w:hAnsi="仿宋" w:eastAsia="仿宋" w:cs="仿宋"/>
          <w:color w:val="000000" w:themeColor="text1"/>
          <w:spacing w:val="-2"/>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pacing w:val="-2"/>
          <w:sz w:val="24"/>
          <w:szCs w:val="24"/>
          <w:highlight w:val="none"/>
          <w14:textFill>
            <w14:solidFill>
              <w14:schemeClr w14:val="tx1"/>
            </w14:solidFill>
          </w14:textFill>
        </w:rPr>
        <w:t>。</w:t>
      </w:r>
    </w:p>
    <w:p w14:paraId="7FEE3DF7">
      <w:pPr>
        <w:keepNext w:val="0"/>
        <w:keepLines w:val="0"/>
        <w:pageBreakBefore w:val="0"/>
        <w:widowControl w:val="0"/>
        <w:kinsoku/>
        <w:wordWrap/>
        <w:overflowPunct/>
        <w:topLinePunct w:val="0"/>
        <w:autoSpaceDE/>
        <w:autoSpaceDN/>
        <w:bidi w:val="0"/>
        <w:snapToGrid/>
        <w:spacing w:line="360" w:lineRule="auto"/>
        <w:ind w:left="0" w:leftChars="0" w:right="0" w:rightChars="0"/>
        <w:outlineLvl w:val="2"/>
        <w:rPr>
          <w:rFonts w:hint="eastAsia" w:ascii="仿宋" w:hAnsi="仿宋" w:eastAsia="仿宋" w:cs="仿宋"/>
          <w:color w:val="000000" w:themeColor="text1"/>
          <w:sz w:val="24"/>
          <w:szCs w:val="24"/>
          <w:highlight w:val="none"/>
          <w14:textFill>
            <w14:solidFill>
              <w14:schemeClr w14:val="tx1"/>
            </w14:solidFill>
          </w14:textFill>
        </w:rPr>
      </w:pPr>
      <w:bookmarkStart w:id="160" w:name="bookmark222"/>
      <w:bookmarkEnd w:id="160"/>
      <w:bookmarkStart w:id="161" w:name="_Toc2944"/>
      <w:r>
        <w:rPr>
          <w:rFonts w:hint="eastAsia" w:ascii="仿宋" w:hAnsi="仿宋" w:eastAsia="仿宋" w:cs="仿宋"/>
          <w:color w:val="000000" w:themeColor="text1"/>
          <w:spacing w:val="-3"/>
          <w:sz w:val="24"/>
          <w:szCs w:val="24"/>
          <w:highlight w:val="none"/>
          <w14:textFill>
            <w14:solidFill>
              <w14:schemeClr w14:val="tx1"/>
            </w14:solidFill>
          </w14:textFill>
        </w:rPr>
        <w:t>12. 合同价格、计量与支付</w:t>
      </w:r>
      <w:bookmarkEnd w:id="161"/>
    </w:p>
    <w:p w14:paraId="7198A544">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12.1 合同价格形式</w:t>
      </w:r>
    </w:p>
    <w:p w14:paraId="2B1C3999">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1、单价合同。</w:t>
      </w:r>
    </w:p>
    <w:p w14:paraId="5F00F8C8">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综合单价包含的风险范围：</w:t>
      </w:r>
      <w:r>
        <w:rPr>
          <w:rFonts w:hint="eastAsia" w:ascii="仿宋" w:hAnsi="仿宋" w:eastAsia="仿宋" w:cs="仿宋"/>
          <w:color w:val="000000" w:themeColor="text1"/>
          <w:spacing w:val="-2"/>
          <w:sz w:val="24"/>
          <w:szCs w:val="24"/>
          <w:highlight w:val="none"/>
          <w:u w:val="single"/>
          <w14:textFill>
            <w14:solidFill>
              <w14:schemeClr w14:val="tx1"/>
            </w14:solidFill>
          </w14:textFill>
        </w:rPr>
        <w:t>1.承包人使用机械设备、施工技术以及</w:t>
      </w:r>
      <w:r>
        <w:rPr>
          <w:rFonts w:hint="eastAsia" w:ascii="仿宋" w:hAnsi="仿宋" w:eastAsia="仿宋" w:cs="仿宋"/>
          <w:color w:val="000000" w:themeColor="text1"/>
          <w:spacing w:val="-3"/>
          <w:sz w:val="24"/>
          <w:szCs w:val="24"/>
          <w:highlight w:val="none"/>
          <w:u w:val="single"/>
          <w14:textFill>
            <w14:solidFill>
              <w14:schemeClr w14:val="tx1"/>
            </w14:solidFill>
          </w14:textFill>
        </w:rPr>
        <w:t>组织管理</w:t>
      </w:r>
      <w:r>
        <w:rPr>
          <w:rFonts w:hint="eastAsia" w:ascii="仿宋" w:hAnsi="仿宋" w:eastAsia="仿宋" w:cs="仿宋"/>
          <w:color w:val="000000" w:themeColor="text1"/>
          <w:spacing w:val="-1"/>
          <w:sz w:val="24"/>
          <w:szCs w:val="24"/>
          <w:highlight w:val="none"/>
          <w:u w:val="single"/>
          <w14:textFill>
            <w14:solidFill>
              <w14:schemeClr w14:val="tx1"/>
            </w14:solidFill>
          </w14:textFill>
        </w:rPr>
        <w:t>水平等自身原因造成施工费用增加的承包人全部承担。</w:t>
      </w:r>
    </w:p>
    <w:p w14:paraId="76D57335">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u w:val="single"/>
          <w14:textFill>
            <w14:solidFill>
              <w14:schemeClr w14:val="tx1"/>
            </w14:solidFill>
          </w14:textFill>
        </w:rPr>
        <w:t>2.对于承包人自身技术水平、管理、经营状况能够自主控制的风险，如承包人的管理费、利润的风险，承包人应结合市场情况、自身实际合理自主报价，该部分风险由承包人全部承担。除合同约定的可调整的风险费用外，本承包工程内容范围内的约定的风险，已包含在投标报价的综合单价中，无需再计算</w:t>
      </w:r>
      <w:r>
        <w:rPr>
          <w:rFonts w:hint="eastAsia" w:ascii="仿宋" w:hAnsi="仿宋" w:eastAsia="仿宋" w:cs="仿宋"/>
          <w:color w:val="000000" w:themeColor="text1"/>
          <w:spacing w:val="-2"/>
          <w:sz w:val="24"/>
          <w:szCs w:val="24"/>
          <w:highlight w:val="none"/>
          <w14:textFill>
            <w14:solidFill>
              <w14:schemeClr w14:val="tx1"/>
            </w14:solidFill>
          </w14:textFill>
        </w:rPr>
        <w:t>。</w:t>
      </w:r>
    </w:p>
    <w:p w14:paraId="10EEC348">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风险费用的计算方法：</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1254B9DE">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风险范围以外合同价格的调整方法：材料、施工</w:t>
      </w:r>
      <w:r>
        <w:rPr>
          <w:rFonts w:hint="eastAsia" w:ascii="仿宋" w:hAnsi="仿宋" w:eastAsia="仿宋" w:cs="仿宋"/>
          <w:color w:val="000000" w:themeColor="text1"/>
          <w:spacing w:val="-2"/>
          <w:sz w:val="24"/>
          <w:szCs w:val="24"/>
          <w:highlight w:val="none"/>
          <w14:textFill>
            <w14:solidFill>
              <w14:schemeClr w14:val="tx1"/>
            </w14:solidFill>
          </w14:textFill>
        </w:rPr>
        <w:t>机械价格的风险约定。</w:t>
      </w:r>
    </w:p>
    <w:p w14:paraId="69FF1B58">
      <w:pPr>
        <w:keepNext w:val="0"/>
        <w:keepLines w:val="0"/>
        <w:pageBreakBefore w:val="0"/>
        <w:widowControl w:val="0"/>
        <w:kinsoku/>
        <w:wordWrap/>
        <w:overflowPunct/>
        <w:topLinePunct w:val="0"/>
        <w:autoSpaceDE/>
        <w:autoSpaceDN/>
        <w:bidi w:val="0"/>
        <w:snapToGrid/>
        <w:spacing w:line="360" w:lineRule="auto"/>
        <w:ind w:left="0" w:leftChars="0" w:right="0" w:rightChars="0" w:firstLine="56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按照自治区或乌鲁木齐市建设主管部门或其授权的工程造价管理机构发布的材</w:t>
      </w:r>
      <w:r>
        <w:rPr>
          <w:rFonts w:hint="eastAsia" w:ascii="仿宋" w:hAnsi="仿宋" w:eastAsia="仿宋" w:cs="仿宋"/>
          <w:color w:val="000000" w:themeColor="text1"/>
          <w:spacing w:val="-2"/>
          <w:sz w:val="24"/>
          <w:szCs w:val="24"/>
          <w:highlight w:val="none"/>
          <w14:textFill>
            <w14:solidFill>
              <w14:schemeClr w14:val="tx1"/>
            </w14:solidFill>
          </w14:textFill>
        </w:rPr>
        <w:t>料信息价中有的材料价格变化幅度在±10%以内、施工机械变化幅度在±10%以内</w:t>
      </w:r>
      <w:r>
        <w:rPr>
          <w:rFonts w:hint="eastAsia" w:ascii="仿宋" w:hAnsi="仿宋" w:eastAsia="仿宋" w:cs="仿宋"/>
          <w:color w:val="000000" w:themeColor="text1"/>
          <w:spacing w:val="-3"/>
          <w:sz w:val="24"/>
          <w:szCs w:val="24"/>
          <w:highlight w:val="none"/>
          <w14:textFill>
            <w14:solidFill>
              <w14:schemeClr w14:val="tx1"/>
            </w14:solidFill>
          </w14:textFill>
        </w:rPr>
        <w:t>的不予调整，超过部分给予调整。</w:t>
      </w:r>
    </w:p>
    <w:p w14:paraId="6A8D3387">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综合单价未按特征描述的内容进行组价的，应为承包人的风险；</w:t>
      </w:r>
    </w:p>
    <w:p w14:paraId="046D1FF4">
      <w:pPr>
        <w:keepNext w:val="0"/>
        <w:keepLines w:val="0"/>
        <w:pageBreakBefore w:val="0"/>
        <w:widowControl w:val="0"/>
        <w:kinsoku/>
        <w:wordWrap/>
        <w:overflowPunct/>
        <w:topLinePunct w:val="0"/>
        <w:autoSpaceDE/>
        <w:autoSpaceDN/>
        <w:bidi w:val="0"/>
        <w:snapToGrid/>
        <w:spacing w:line="360" w:lineRule="auto"/>
        <w:ind w:left="0" w:leftChars="0" w:right="0" w:rightChars="0" w:firstLine="56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因天气、地形、地质等自然条件的变化，采取的临时措施，应为承包人的风</w:t>
      </w:r>
      <w:r>
        <w:rPr>
          <w:rFonts w:hint="eastAsia" w:ascii="仿宋" w:hAnsi="仿宋" w:eastAsia="仿宋" w:cs="仿宋"/>
          <w:color w:val="000000" w:themeColor="text1"/>
          <w:spacing w:val="-23"/>
          <w:sz w:val="24"/>
          <w:szCs w:val="24"/>
          <w:highlight w:val="none"/>
          <w14:textFill>
            <w14:solidFill>
              <w14:schemeClr w14:val="tx1"/>
            </w14:solidFill>
          </w14:textFill>
        </w:rPr>
        <w:t>险；</w:t>
      </w:r>
    </w:p>
    <w:p w14:paraId="1D854390">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按合同工期完成所采取的赶工措施，应为承包人的风险。</w:t>
      </w:r>
    </w:p>
    <w:p w14:paraId="4738E7DA">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工程量偏差的价格调整：执行本合同专用条款</w:t>
      </w:r>
      <w:r>
        <w:rPr>
          <w:rFonts w:hint="eastAsia" w:ascii="仿宋" w:hAnsi="仿宋" w:eastAsia="仿宋" w:cs="仿宋"/>
          <w:color w:val="000000" w:themeColor="text1"/>
          <w:spacing w:val="-3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1.13</w:t>
      </w:r>
      <w:r>
        <w:rPr>
          <w:rFonts w:hint="eastAsia" w:ascii="仿宋" w:hAnsi="仿宋" w:eastAsia="仿宋" w:cs="仿宋"/>
          <w:color w:val="000000" w:themeColor="text1"/>
          <w:spacing w:val="-5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条。</w:t>
      </w:r>
    </w:p>
    <w:p w14:paraId="6267C4BE">
      <w:pPr>
        <w:keepNext w:val="0"/>
        <w:keepLines w:val="0"/>
        <w:pageBreakBefore w:val="0"/>
        <w:widowControl w:val="0"/>
        <w:kinsoku/>
        <w:wordWrap/>
        <w:overflowPunct/>
        <w:topLinePunct w:val="0"/>
        <w:autoSpaceDE/>
        <w:autoSpaceDN/>
        <w:bidi w:val="0"/>
        <w:snapToGrid/>
        <w:spacing w:line="360" w:lineRule="auto"/>
        <w:ind w:left="0" w:leftChars="0" w:right="0" w:rightChars="0" w:firstLine="5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材料暂估价以发包人提供工程量清单单价为准，结算时，若发生变动</w:t>
      </w:r>
      <w:r>
        <w:rPr>
          <w:rFonts w:hint="eastAsia" w:ascii="仿宋" w:hAnsi="仿宋" w:eastAsia="仿宋" w:cs="仿宋"/>
          <w:color w:val="000000" w:themeColor="text1"/>
          <w:spacing w:val="-3"/>
          <w:sz w:val="24"/>
          <w:szCs w:val="24"/>
          <w:highlight w:val="none"/>
          <w14:textFill>
            <w14:solidFill>
              <w14:schemeClr w14:val="tx1"/>
            </w14:solidFill>
          </w14:textFill>
        </w:rPr>
        <w:t>按发包人签字确认的单价给予找差，差价部分只计取税金；</w:t>
      </w:r>
    </w:p>
    <w:p w14:paraId="7E742133">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发包人约定由承包人提供的暂估材料必须经发包人确认后方可进入结算；</w:t>
      </w:r>
    </w:p>
    <w:p w14:paraId="5FE5C5DA">
      <w:pPr>
        <w:keepNext w:val="0"/>
        <w:keepLines w:val="0"/>
        <w:pageBreakBefore w:val="0"/>
        <w:widowControl w:val="0"/>
        <w:kinsoku/>
        <w:wordWrap/>
        <w:overflowPunct/>
        <w:topLinePunct w:val="0"/>
        <w:autoSpaceDE/>
        <w:autoSpaceDN/>
        <w:bidi w:val="0"/>
        <w:snapToGrid/>
        <w:spacing w:line="360" w:lineRule="auto"/>
        <w:ind w:left="0" w:leftChars="0" w:right="0" w:rightChars="0" w:firstLine="54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如施工期间政府部门新出台的需发包人代为承包人缴纳的税、费，此类税、费按实际金额在进度款中适时扣回。</w:t>
      </w:r>
    </w:p>
    <w:p w14:paraId="00CD8BB7">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暂列金额结算时按实际发生的计取，发生多少计取多少</w:t>
      </w:r>
      <w:r>
        <w:rPr>
          <w:rFonts w:hint="eastAsia" w:ascii="仿宋" w:hAnsi="仿宋" w:eastAsia="仿宋" w:cs="仿宋"/>
          <w:color w:val="000000" w:themeColor="text1"/>
          <w:spacing w:val="-3"/>
          <w:sz w:val="24"/>
          <w:szCs w:val="24"/>
          <w:highlight w:val="none"/>
          <w14:textFill>
            <w14:solidFill>
              <w14:schemeClr w14:val="tx1"/>
            </w14:solidFill>
          </w14:textFill>
        </w:rPr>
        <w:t>，不发生不计取，剩</w:t>
      </w:r>
      <w:r>
        <w:rPr>
          <w:rFonts w:hint="eastAsia" w:ascii="仿宋" w:hAnsi="仿宋" w:eastAsia="仿宋" w:cs="仿宋"/>
          <w:color w:val="000000" w:themeColor="text1"/>
          <w:spacing w:val="-1"/>
          <w:sz w:val="24"/>
          <w:szCs w:val="24"/>
          <w:highlight w:val="none"/>
          <w14:textFill>
            <w14:solidFill>
              <w14:schemeClr w14:val="tx1"/>
            </w14:solidFill>
          </w14:textFill>
        </w:rPr>
        <w:t>余部分仍归发包人所有，结算时扣回。</w:t>
      </w:r>
    </w:p>
    <w:p w14:paraId="022F7869">
      <w:pPr>
        <w:keepNext w:val="0"/>
        <w:keepLines w:val="0"/>
        <w:pageBreakBefore w:val="0"/>
        <w:widowControl w:val="0"/>
        <w:kinsoku/>
        <w:wordWrap/>
        <w:overflowPunct/>
        <w:topLinePunct w:val="0"/>
        <w:autoSpaceDE/>
        <w:autoSpaceDN/>
        <w:bidi w:val="0"/>
        <w:snapToGrid/>
        <w:spacing w:line="360" w:lineRule="auto"/>
        <w:ind w:left="0" w:leftChars="0" w:right="0" w:rightChars="0" w:firstLine="55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计日工是按完成图纸以外的零星项目或工作，按合</w:t>
      </w:r>
      <w:r>
        <w:rPr>
          <w:rFonts w:hint="eastAsia" w:ascii="仿宋" w:hAnsi="仿宋" w:eastAsia="仿宋" w:cs="仿宋"/>
          <w:color w:val="000000" w:themeColor="text1"/>
          <w:spacing w:val="-3"/>
          <w:sz w:val="24"/>
          <w:szCs w:val="24"/>
          <w:highlight w:val="none"/>
          <w14:textFill>
            <w14:solidFill>
              <w14:schemeClr w14:val="tx1"/>
            </w14:solidFill>
          </w14:textFill>
        </w:rPr>
        <w:t>同约定的综合单价执行，</w:t>
      </w:r>
      <w:r>
        <w:rPr>
          <w:rFonts w:hint="eastAsia" w:ascii="仿宋" w:hAnsi="仿宋" w:eastAsia="仿宋" w:cs="仿宋"/>
          <w:color w:val="000000" w:themeColor="text1"/>
          <w:spacing w:val="-2"/>
          <w:sz w:val="24"/>
          <w:szCs w:val="24"/>
          <w:highlight w:val="none"/>
          <w14:textFill>
            <w14:solidFill>
              <w14:schemeClr w14:val="tx1"/>
            </w14:solidFill>
          </w14:textFill>
        </w:rPr>
        <w:t>发生多少计取多少，没有发生不计取，结算时</w:t>
      </w:r>
      <w:r>
        <w:rPr>
          <w:rFonts w:hint="eastAsia" w:ascii="仿宋" w:hAnsi="仿宋" w:eastAsia="仿宋" w:cs="仿宋"/>
          <w:color w:val="000000" w:themeColor="text1"/>
          <w:spacing w:val="-3"/>
          <w:sz w:val="24"/>
          <w:szCs w:val="24"/>
          <w:highlight w:val="none"/>
          <w14:textFill>
            <w14:solidFill>
              <w14:schemeClr w14:val="tx1"/>
            </w14:solidFill>
          </w14:textFill>
        </w:rPr>
        <w:t>扣回。</w:t>
      </w:r>
    </w:p>
    <w:p w14:paraId="66B0C604">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清单中列示的清单项，但实际施工过程中没有发生该项目清单，结算</w:t>
      </w:r>
      <w:r>
        <w:rPr>
          <w:rFonts w:hint="eastAsia" w:ascii="仿宋" w:hAnsi="仿宋" w:eastAsia="仿宋" w:cs="仿宋"/>
          <w:color w:val="000000" w:themeColor="text1"/>
          <w:spacing w:val="-3"/>
          <w:sz w:val="24"/>
          <w:szCs w:val="24"/>
          <w:highlight w:val="none"/>
          <w14:textFill>
            <w14:solidFill>
              <w14:schemeClr w14:val="tx1"/>
            </w14:solidFill>
          </w14:textFill>
        </w:rPr>
        <w:t>时将其</w:t>
      </w:r>
      <w:r>
        <w:rPr>
          <w:rFonts w:hint="eastAsia" w:ascii="仿宋" w:hAnsi="仿宋" w:eastAsia="仿宋" w:cs="仿宋"/>
          <w:color w:val="000000" w:themeColor="text1"/>
          <w:spacing w:val="-5"/>
          <w:sz w:val="24"/>
          <w:szCs w:val="24"/>
          <w:highlight w:val="none"/>
          <w14:textFill>
            <w14:solidFill>
              <w14:schemeClr w14:val="tx1"/>
            </w14:solidFill>
          </w14:textFill>
        </w:rPr>
        <w:t>清单项扣除。</w:t>
      </w:r>
    </w:p>
    <w:p w14:paraId="4747C622">
      <w:pPr>
        <w:keepNext w:val="0"/>
        <w:keepLines w:val="0"/>
        <w:pageBreakBefore w:val="0"/>
        <w:widowControl w:val="0"/>
        <w:kinsoku/>
        <w:wordWrap/>
        <w:overflowPunct/>
        <w:topLinePunct w:val="0"/>
        <w:autoSpaceDE/>
        <w:autoSpaceDN/>
        <w:bidi w:val="0"/>
        <w:snapToGrid/>
        <w:spacing w:line="360" w:lineRule="auto"/>
        <w:ind w:left="0" w:leftChars="0" w:right="0" w:rightChars="0" w:firstLine="55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总承包服务费对专业工程进行总承包管理和协调，</w:t>
      </w:r>
      <w:r>
        <w:rPr>
          <w:rFonts w:hint="eastAsia" w:ascii="仿宋" w:hAnsi="仿宋" w:eastAsia="仿宋" w:cs="仿宋"/>
          <w:color w:val="000000" w:themeColor="text1"/>
          <w:spacing w:val="-3"/>
          <w:sz w:val="24"/>
          <w:szCs w:val="24"/>
          <w:highlight w:val="none"/>
          <w14:textFill>
            <w14:solidFill>
              <w14:schemeClr w14:val="tx1"/>
            </w14:solidFill>
          </w14:textFill>
        </w:rPr>
        <w:t>并同时要求提供配合服务</w:t>
      </w:r>
      <w:r>
        <w:rPr>
          <w:rFonts w:hint="eastAsia" w:ascii="仿宋" w:hAnsi="仿宋" w:eastAsia="仿宋" w:cs="仿宋"/>
          <w:color w:val="000000" w:themeColor="text1"/>
          <w:spacing w:val="-2"/>
          <w:sz w:val="24"/>
          <w:szCs w:val="24"/>
          <w:highlight w:val="none"/>
          <w14:textFill>
            <w14:solidFill>
              <w14:schemeClr w14:val="tx1"/>
            </w14:solidFill>
          </w14:textFill>
        </w:rPr>
        <w:t>时，按投标文件载明费率进行结算。</w:t>
      </w:r>
    </w:p>
    <w:p w14:paraId="7FFF4299">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2、总价合同。</w:t>
      </w:r>
    </w:p>
    <w:p w14:paraId="785221D4">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总价包含的风险范围：</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5CB3F125">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风险费用的计算方法：</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71BE31E7">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风险范围以外合同价格的调整方法：</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0948B339">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3、其他价格方式：</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5E9533F1">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12.2</w:t>
      </w:r>
      <w:r>
        <w:rPr>
          <w:rFonts w:hint="eastAsia" w:ascii="仿宋" w:hAnsi="仿宋" w:eastAsia="仿宋" w:cs="仿宋"/>
          <w:color w:val="000000" w:themeColor="text1"/>
          <w:spacing w:val="1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预付款</w:t>
      </w:r>
    </w:p>
    <w:p w14:paraId="0B5E188C">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12.2.1 预付款的支付</w:t>
      </w:r>
    </w:p>
    <w:p w14:paraId="35CFD6BD">
      <w:pPr>
        <w:keepNext w:val="0"/>
        <w:keepLines w:val="0"/>
        <w:pageBreakBefore w:val="0"/>
        <w:widowControl w:val="0"/>
        <w:kinsoku/>
        <w:wordWrap/>
        <w:overflowPunct/>
        <w:topLinePunct w:val="0"/>
        <w:autoSpaceDE/>
        <w:autoSpaceDN/>
        <w:bidi w:val="0"/>
        <w:snapToGrid/>
        <w:spacing w:line="360" w:lineRule="auto"/>
        <w:ind w:right="0" w:rightChars="0" w:firstLine="46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（1）预付款支付比例或金额：</w:t>
      </w:r>
      <w:r>
        <w:rPr>
          <w:rFonts w:hint="eastAsia" w:ascii="仿宋" w:hAnsi="仿宋" w:eastAsia="仿宋" w:cs="仿宋"/>
          <w:color w:val="000000" w:themeColor="text1"/>
          <w:spacing w:val="-5"/>
          <w:sz w:val="24"/>
          <w:szCs w:val="24"/>
          <w:highlight w:val="none"/>
          <w:u w:val="single"/>
          <w14:textFill>
            <w14:solidFill>
              <w14:schemeClr w14:val="tx1"/>
            </w14:solidFill>
          </w14:textFill>
        </w:rPr>
        <w:t>支付合同总价（不含暂列金）的</w:t>
      </w:r>
      <w:r>
        <w:rPr>
          <w:rFonts w:hint="eastAsia" w:ascii="仿宋" w:hAnsi="仿宋" w:eastAsia="仿宋" w:cs="仿宋"/>
          <w:color w:val="000000" w:themeColor="text1"/>
          <w:spacing w:val="-37"/>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u w:val="single"/>
          <w:lang w:val="en-US" w:eastAsia="zh-CN"/>
          <w14:textFill>
            <w14:solidFill>
              <w14:schemeClr w14:val="tx1"/>
            </w14:solidFill>
          </w14:textFill>
        </w:rPr>
        <w:t>3</w:t>
      </w:r>
      <w:r>
        <w:rPr>
          <w:rFonts w:hint="eastAsia" w:ascii="仿宋" w:hAnsi="仿宋" w:eastAsia="仿宋" w:cs="仿宋"/>
          <w:color w:val="000000" w:themeColor="text1"/>
          <w:spacing w:val="-5"/>
          <w:sz w:val="24"/>
          <w:szCs w:val="24"/>
          <w:highlight w:val="none"/>
          <w:u w:val="single"/>
          <w14:textFill>
            <w14:solidFill>
              <w14:schemeClr w14:val="tx1"/>
            </w14:solidFill>
          </w14:textFill>
        </w:rPr>
        <w:t>0%，预付款</w:t>
      </w:r>
      <w:r>
        <w:rPr>
          <w:rFonts w:hint="eastAsia" w:ascii="仿宋" w:hAnsi="仿宋" w:eastAsia="仿宋" w:cs="仿宋"/>
          <w:color w:val="000000" w:themeColor="text1"/>
          <w:spacing w:val="-6"/>
          <w:sz w:val="24"/>
          <w:szCs w:val="24"/>
          <w:highlight w:val="none"/>
          <w:u w:val="single"/>
          <w14:textFill>
            <w14:solidFill>
              <w14:schemeClr w14:val="tx1"/>
            </w14:solidFill>
          </w14:textFill>
        </w:rPr>
        <w:t>中包含安全文明施工费。</w:t>
      </w:r>
    </w:p>
    <w:p w14:paraId="1AD7A6C5">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（2）预付款扣回的方式：当发包人应当支付给承包人的工程进度款累计达到当年支付预付款金额时，一次性扣回；未达到时，不予支付工程进度款。</w:t>
      </w:r>
    </w:p>
    <w:p w14:paraId="304BA255">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12.2.2 预付款担保</w:t>
      </w:r>
    </w:p>
    <w:p w14:paraId="3470C6C0">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预付款担保：预付款等额的担保。</w:t>
      </w:r>
    </w:p>
    <w:p w14:paraId="343B002A">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提供预付款担保期限：预付款支付前。</w:t>
      </w:r>
    </w:p>
    <w:p w14:paraId="7DB0B27D">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预付款担保形式：银行保函。</w:t>
      </w:r>
    </w:p>
    <w:p w14:paraId="1D5D35DF">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7"/>
          <w:sz w:val="24"/>
          <w:szCs w:val="24"/>
          <w:highlight w:val="none"/>
          <w14:textFill>
            <w14:solidFill>
              <w14:schemeClr w14:val="tx1"/>
            </w14:solidFill>
          </w14:textFill>
        </w:rPr>
        <w:t>12.3</w:t>
      </w:r>
      <w:r>
        <w:rPr>
          <w:rFonts w:hint="eastAsia" w:ascii="仿宋" w:hAnsi="仿宋" w:eastAsia="仿宋" w:cs="仿宋"/>
          <w:color w:val="000000" w:themeColor="text1"/>
          <w:spacing w:val="1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14:textFill>
            <w14:solidFill>
              <w14:schemeClr w14:val="tx1"/>
            </w14:solidFill>
          </w14:textFill>
        </w:rPr>
        <w:t>计量</w:t>
      </w:r>
    </w:p>
    <w:p w14:paraId="4315130F">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12.3.1 计量原则</w:t>
      </w:r>
    </w:p>
    <w:p w14:paraId="40FE97F7">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工程量计算规则：</w:t>
      </w:r>
      <w:r>
        <w:rPr>
          <w:rFonts w:hint="eastAsia" w:ascii="仿宋" w:hAnsi="仿宋" w:eastAsia="仿宋" w:cs="仿宋"/>
          <w:color w:val="000000" w:themeColor="text1"/>
          <w:spacing w:val="-5"/>
          <w:sz w:val="24"/>
          <w:szCs w:val="24"/>
          <w:highlight w:val="none"/>
          <w:u w:val="single"/>
          <w14:textFill>
            <w14:solidFill>
              <w14:schemeClr w14:val="tx1"/>
            </w14:solidFill>
          </w14:textFill>
        </w:rPr>
        <w:t>《建设工程量清单计价规范》GB50500-2013</w:t>
      </w:r>
      <w:r>
        <w:rPr>
          <w:rFonts w:hint="eastAsia" w:ascii="仿宋" w:hAnsi="仿宋" w:eastAsia="仿宋" w:cs="仿宋"/>
          <w:color w:val="000000" w:themeColor="text1"/>
          <w:spacing w:val="-5"/>
          <w:sz w:val="24"/>
          <w:szCs w:val="24"/>
          <w:highlight w:val="none"/>
          <w14:textFill>
            <w14:solidFill>
              <w14:schemeClr w14:val="tx1"/>
            </w14:solidFill>
          </w14:textFill>
        </w:rPr>
        <w:t>。</w:t>
      </w:r>
    </w:p>
    <w:p w14:paraId="48285A3B">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12.3.2 计量周期</w:t>
      </w:r>
    </w:p>
    <w:p w14:paraId="39B0A7D6">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关于计量周期的约定：</w:t>
      </w:r>
      <w:r>
        <w:rPr>
          <w:rFonts w:hint="eastAsia" w:ascii="仿宋" w:hAnsi="仿宋" w:eastAsia="仿宋" w:cs="仿宋"/>
          <w:color w:val="000000" w:themeColor="text1"/>
          <w:spacing w:val="-5"/>
          <w:sz w:val="24"/>
          <w:szCs w:val="24"/>
          <w:highlight w:val="none"/>
          <w:u w:val="single"/>
          <w14:textFill>
            <w14:solidFill>
              <w14:schemeClr w14:val="tx1"/>
            </w14:solidFill>
          </w14:textFill>
        </w:rPr>
        <w:t>每月</w:t>
      </w:r>
      <w:r>
        <w:rPr>
          <w:rFonts w:hint="eastAsia" w:ascii="仿宋" w:hAnsi="仿宋" w:eastAsia="仿宋" w:cs="仿宋"/>
          <w:color w:val="000000" w:themeColor="text1"/>
          <w:spacing w:val="-5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u w:val="single"/>
          <w14:textFill>
            <w14:solidFill>
              <w14:schemeClr w14:val="tx1"/>
            </w14:solidFill>
          </w14:textFill>
        </w:rPr>
        <w:t>25 日按月计量</w:t>
      </w:r>
      <w:r>
        <w:rPr>
          <w:rFonts w:hint="eastAsia" w:ascii="仿宋" w:hAnsi="仿宋" w:eastAsia="仿宋" w:cs="仿宋"/>
          <w:color w:val="000000" w:themeColor="text1"/>
          <w:spacing w:val="-5"/>
          <w:sz w:val="24"/>
          <w:szCs w:val="24"/>
          <w:highlight w:val="none"/>
          <w14:textFill>
            <w14:solidFill>
              <w14:schemeClr w14:val="tx1"/>
            </w14:solidFill>
          </w14:textFill>
        </w:rPr>
        <w:t>。</w:t>
      </w:r>
    </w:p>
    <w:p w14:paraId="1E2AB7FD">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12.3.3 单价合同的计量</w:t>
      </w:r>
    </w:p>
    <w:p w14:paraId="09F88D13">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关于单价合同计量的约定：</w:t>
      </w:r>
      <w:r>
        <w:rPr>
          <w:rFonts w:hint="eastAsia" w:ascii="仿宋" w:hAnsi="仿宋" w:eastAsia="仿宋" w:cs="仿宋"/>
          <w:color w:val="000000" w:themeColor="text1"/>
          <w:spacing w:val="-2"/>
          <w:sz w:val="24"/>
          <w:szCs w:val="24"/>
          <w:highlight w:val="none"/>
          <w:u w:val="single"/>
          <w14:textFill>
            <w14:solidFill>
              <w14:schemeClr w14:val="tx1"/>
            </w14:solidFill>
          </w14:textFill>
        </w:rPr>
        <w:t>执行通用条款</w:t>
      </w:r>
      <w:r>
        <w:rPr>
          <w:rFonts w:hint="eastAsia" w:ascii="仿宋" w:hAnsi="仿宋" w:eastAsia="仿宋" w:cs="仿宋"/>
          <w:color w:val="000000" w:themeColor="text1"/>
          <w:spacing w:val="-36"/>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12.3.3</w:t>
      </w:r>
      <w:r>
        <w:rPr>
          <w:rFonts w:hint="eastAsia" w:ascii="仿宋" w:hAnsi="仿宋" w:eastAsia="仿宋" w:cs="仿宋"/>
          <w:color w:val="000000" w:themeColor="text1"/>
          <w:spacing w:val="-2"/>
          <w:sz w:val="24"/>
          <w:szCs w:val="24"/>
          <w:highlight w:val="none"/>
          <w14:textFill>
            <w14:solidFill>
              <w14:schemeClr w14:val="tx1"/>
            </w14:solidFill>
          </w14:textFill>
        </w:rPr>
        <w:t>。</w:t>
      </w:r>
    </w:p>
    <w:p w14:paraId="2443C769">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12.3.4 总价合同的计量</w:t>
      </w:r>
    </w:p>
    <w:p w14:paraId="4485CB6A">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关于总价合同计量的约定：</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7D6DE2B2">
      <w:pPr>
        <w:keepNext w:val="0"/>
        <w:keepLines w:val="0"/>
        <w:pageBreakBefore w:val="0"/>
        <w:widowControl w:val="0"/>
        <w:kinsoku/>
        <w:wordWrap/>
        <w:overflowPunct/>
        <w:topLinePunct w:val="0"/>
        <w:autoSpaceDE/>
        <w:autoSpaceDN/>
        <w:bidi w:val="0"/>
        <w:snapToGrid/>
        <w:spacing w:line="360" w:lineRule="auto"/>
        <w:ind w:left="0" w:leftChars="0" w:right="0" w:rightChars="0" w:firstLine="57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12.3.5</w:t>
      </w:r>
      <w:r>
        <w:rPr>
          <w:rFonts w:hint="eastAsia" w:ascii="仿宋" w:hAnsi="仿宋" w:eastAsia="仿宋" w:cs="仿宋"/>
          <w:color w:val="000000" w:themeColor="text1"/>
          <w:spacing w:val="-4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总价合同采用支付分解表计量支付的，是否适用第</w:t>
      </w:r>
      <w:r>
        <w:rPr>
          <w:rFonts w:hint="eastAsia" w:ascii="仿宋" w:hAnsi="仿宋" w:eastAsia="仿宋" w:cs="仿宋"/>
          <w:color w:val="000000" w:themeColor="text1"/>
          <w:spacing w:val="-3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12.3.4 项〔总价</w:t>
      </w:r>
      <w:r>
        <w:rPr>
          <w:rFonts w:hint="eastAsia" w:ascii="仿宋" w:hAnsi="仿宋" w:eastAsia="仿宋" w:cs="仿宋"/>
          <w:color w:val="000000" w:themeColor="text1"/>
          <w:sz w:val="24"/>
          <w:szCs w:val="24"/>
          <w:highlight w:val="none"/>
          <w14:textFill>
            <w14:solidFill>
              <w14:schemeClr w14:val="tx1"/>
            </w14:solidFill>
          </w14:textFill>
        </w:rPr>
        <w:t>合同的计量〕约定进行计量：</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0CE5C76D">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12.3.6 其他价格形式合同的计量</w:t>
      </w:r>
    </w:p>
    <w:p w14:paraId="48ED2474">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其他价格形式的计量方式和程序：</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62C8F614">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12.4 工程进度款支付</w:t>
      </w:r>
    </w:p>
    <w:p w14:paraId="299FEAC5">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12.4.1 付款周期</w:t>
      </w:r>
    </w:p>
    <w:p w14:paraId="241AE6C3">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关于付款周期的约定：</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按月支付进度款，预付款</w:t>
      </w:r>
      <w:r>
        <w:rPr>
          <w:rFonts w:hint="eastAsia" w:ascii="仿宋" w:hAnsi="仿宋" w:eastAsia="仿宋" w:cs="仿宋"/>
          <w:color w:val="000000" w:themeColor="text1"/>
          <w:spacing w:val="-1"/>
          <w:sz w:val="24"/>
          <w:szCs w:val="24"/>
          <w:highlight w:val="none"/>
          <w:u w:val="single"/>
          <w:lang w:val="en-US" w:eastAsia="zh-CN"/>
          <w14:textFill>
            <w14:solidFill>
              <w14:schemeClr w14:val="tx1"/>
            </w14:solidFill>
          </w14:textFill>
        </w:rPr>
        <w:t>3</w:t>
      </w:r>
      <w:r>
        <w:rPr>
          <w:rFonts w:hint="eastAsia" w:ascii="仿宋" w:hAnsi="仿宋" w:eastAsia="仿宋" w:cs="仿宋"/>
          <w:color w:val="000000" w:themeColor="text1"/>
          <w:spacing w:val="-1"/>
          <w:sz w:val="24"/>
          <w:szCs w:val="24"/>
          <w:highlight w:val="none"/>
          <w:u w:val="single"/>
          <w14:textFill>
            <w14:solidFill>
              <w14:schemeClr w14:val="tx1"/>
            </w14:solidFill>
          </w14:textFill>
        </w:rPr>
        <w:t>0%</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308E8292">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12.4.2 进度付款申请单的编制</w:t>
      </w:r>
    </w:p>
    <w:p w14:paraId="6C009F0D">
      <w:pPr>
        <w:keepNext w:val="0"/>
        <w:keepLines w:val="0"/>
        <w:pageBreakBefore w:val="0"/>
        <w:widowControl w:val="0"/>
        <w:kinsoku/>
        <w:wordWrap/>
        <w:overflowPunct/>
        <w:topLinePunct w:val="0"/>
        <w:autoSpaceDE/>
        <w:autoSpaceDN/>
        <w:bidi w:val="0"/>
        <w:snapToGrid/>
        <w:spacing w:line="360" w:lineRule="auto"/>
        <w:ind w:left="0" w:leftChars="0" w:right="0" w:rightChars="0" w:firstLine="556"/>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pacing w:val="-1"/>
          <w:sz w:val="24"/>
          <w:szCs w:val="24"/>
          <w:highlight w:val="none"/>
          <w:u w:val="single"/>
          <w14:textFill>
            <w14:solidFill>
              <w14:schemeClr w14:val="tx1"/>
            </w14:solidFill>
          </w14:textFill>
        </w:rPr>
        <w:t>(1)开工前，发包人按签约合同价的</w:t>
      </w:r>
      <w:r>
        <w:rPr>
          <w:rFonts w:hint="eastAsia" w:ascii="仿宋" w:hAnsi="仿宋" w:eastAsia="仿宋" w:cs="仿宋"/>
          <w:color w:val="000000" w:themeColor="text1"/>
          <w:spacing w:val="-1"/>
          <w:sz w:val="24"/>
          <w:szCs w:val="24"/>
          <w:highlight w:val="none"/>
          <w:u w:val="single"/>
          <w:lang w:val="en-US" w:eastAsia="zh-CN"/>
          <w14:textFill>
            <w14:solidFill>
              <w14:schemeClr w14:val="tx1"/>
            </w14:solidFill>
          </w14:textFill>
        </w:rPr>
        <w:t>3</w:t>
      </w:r>
      <w:r>
        <w:rPr>
          <w:rFonts w:hint="eastAsia" w:ascii="仿宋" w:hAnsi="仿宋" w:eastAsia="仿宋" w:cs="仿宋"/>
          <w:color w:val="000000" w:themeColor="text1"/>
          <w:spacing w:val="-1"/>
          <w:sz w:val="24"/>
          <w:szCs w:val="24"/>
          <w:highlight w:val="none"/>
          <w:u w:val="single"/>
          <w14:textFill>
            <w14:solidFill>
              <w14:schemeClr w14:val="tx1"/>
            </w14:solidFill>
          </w14:textFill>
        </w:rPr>
        <w:t>0%作为预付款支付给承包人，预付款在第2-4个月平均扣回。(2)进度款按月结算支付，按达到要求的工程量进度(</w:t>
      </w:r>
      <w:r>
        <w:rPr>
          <w:rFonts w:hint="eastAsia" w:ascii="仿宋" w:hAnsi="仿宋" w:eastAsia="仿宋" w:cs="仿宋"/>
          <w:color w:val="000000" w:themeColor="text1"/>
          <w:spacing w:val="-1"/>
          <w:sz w:val="24"/>
          <w:szCs w:val="24"/>
          <w:highlight w:val="none"/>
          <w:u w:val="single"/>
          <w:lang w:val="en-US" w:eastAsia="zh-CN"/>
          <w14:textFill>
            <w14:solidFill>
              <w14:schemeClr w14:val="tx1"/>
            </w14:solidFill>
          </w14:textFill>
        </w:rPr>
        <w:t>780</w:t>
      </w:r>
      <w:r>
        <w:rPr>
          <w:rFonts w:hint="eastAsia" w:ascii="仿宋" w:hAnsi="仿宋" w:eastAsia="仿宋" w:cs="仿宋"/>
          <w:color w:val="000000" w:themeColor="text1"/>
          <w:spacing w:val="-1"/>
          <w:sz w:val="24"/>
          <w:szCs w:val="24"/>
          <w:highlight w:val="none"/>
          <w:u w:val="single"/>
          <w14:textFill>
            <w14:solidFill>
              <w14:schemeClr w14:val="tx1"/>
            </w14:solidFill>
          </w14:textFill>
        </w:rPr>
        <w:t>万元)支付工程的90%支付。(3)建设单位每个月签发的付款凭证最低限额是</w:t>
      </w:r>
      <w:r>
        <w:rPr>
          <w:rFonts w:hint="eastAsia" w:ascii="仿宋" w:hAnsi="仿宋" w:eastAsia="仿宋" w:cs="仿宋"/>
          <w:color w:val="000000" w:themeColor="text1"/>
          <w:spacing w:val="-1"/>
          <w:sz w:val="24"/>
          <w:szCs w:val="24"/>
          <w:highlight w:val="none"/>
          <w:u w:val="single"/>
          <w:lang w:val="en-US" w:eastAsia="zh-CN"/>
          <w14:textFill>
            <w14:solidFill>
              <w14:schemeClr w14:val="tx1"/>
            </w14:solidFill>
          </w14:textFill>
        </w:rPr>
        <w:t>780</w:t>
      </w:r>
      <w:r>
        <w:rPr>
          <w:rFonts w:hint="eastAsia" w:ascii="仿宋" w:hAnsi="仿宋" w:eastAsia="仿宋" w:cs="仿宋"/>
          <w:color w:val="000000" w:themeColor="text1"/>
          <w:spacing w:val="-1"/>
          <w:sz w:val="24"/>
          <w:szCs w:val="24"/>
          <w:highlight w:val="none"/>
          <w:u w:val="single"/>
          <w14:textFill>
            <w14:solidFill>
              <w14:schemeClr w14:val="tx1"/>
            </w14:solidFill>
          </w14:textFill>
        </w:rPr>
        <w:t>万元，若未完成每月要求工程量，当月不予付款，累计至下月支付。(4)工程款支付至合同价的80%，停止支付，待竣工决算完成后并提交竣工资料，支付至结算价的97%，剩余3%一次性扣留作为质量保证金。</w:t>
      </w:r>
    </w:p>
    <w:p w14:paraId="654CC712">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12.4.3 进度付款申请单的提交</w:t>
      </w:r>
    </w:p>
    <w:p w14:paraId="661A6E02">
      <w:pPr>
        <w:keepNext w:val="0"/>
        <w:keepLines w:val="0"/>
        <w:pageBreakBefore w:val="0"/>
        <w:widowControl w:val="0"/>
        <w:tabs>
          <w:tab w:val="left" w:pos="8850"/>
        </w:tabs>
        <w:kinsoku/>
        <w:wordWrap/>
        <w:overflowPunct/>
        <w:topLinePunct w:val="0"/>
        <w:autoSpaceDE/>
        <w:autoSpaceDN/>
        <w:bidi w:val="0"/>
        <w:snapToGrid/>
        <w:spacing w:line="360" w:lineRule="auto"/>
        <w:ind w:left="0" w:leftChars="0"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（1）单价合同进度付款申请单提交的约定：</w:t>
      </w:r>
      <w:r>
        <w:rPr>
          <w:rFonts w:hint="eastAsia" w:ascii="仿宋" w:hAnsi="仿宋" w:eastAsia="仿宋" w:cs="仿宋"/>
          <w:color w:val="000000" w:themeColor="text1"/>
          <w:spacing w:val="-3"/>
          <w:sz w:val="24"/>
          <w:szCs w:val="24"/>
          <w:highlight w:val="none"/>
          <w:u w:val="single"/>
          <w14:textFill>
            <w14:solidFill>
              <w14:schemeClr w14:val="tx1"/>
            </w14:solidFill>
          </w14:textFill>
        </w:rPr>
        <w:t xml:space="preserve">  每月</w:t>
      </w:r>
      <w:r>
        <w:rPr>
          <w:rFonts w:hint="eastAsia" w:ascii="仿宋" w:hAnsi="仿宋" w:eastAsia="仿宋" w:cs="仿宋"/>
          <w:color w:val="000000" w:themeColor="text1"/>
          <w:spacing w:val="-57"/>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u w:val="single"/>
          <w14:textFill>
            <w14:solidFill>
              <w14:schemeClr w14:val="tx1"/>
            </w14:solidFill>
          </w14:textFill>
        </w:rPr>
        <w:t>2</w:t>
      </w:r>
      <w:r>
        <w:rPr>
          <w:rFonts w:hint="eastAsia" w:ascii="仿宋" w:hAnsi="仿宋" w:eastAsia="仿宋" w:cs="仿宋"/>
          <w:color w:val="000000" w:themeColor="text1"/>
          <w:spacing w:val="-4"/>
          <w:sz w:val="24"/>
          <w:szCs w:val="24"/>
          <w:highlight w:val="none"/>
          <w:u w:val="single"/>
          <w14:textFill>
            <w14:solidFill>
              <w14:schemeClr w14:val="tx1"/>
            </w14:solidFill>
          </w14:textFill>
        </w:rPr>
        <w:t xml:space="preserve">5日前 </w:t>
      </w:r>
      <w:r>
        <w:rPr>
          <w:rFonts w:hint="eastAsia" w:ascii="仿宋" w:hAnsi="仿宋" w:eastAsia="仿宋" w:cs="仿宋"/>
          <w:color w:val="000000" w:themeColor="text1"/>
          <w:spacing w:val="-4"/>
          <w:sz w:val="24"/>
          <w:szCs w:val="24"/>
          <w:highlight w:val="none"/>
          <w14:textFill>
            <w14:solidFill>
              <w14:schemeClr w14:val="tx1"/>
            </w14:solidFill>
          </w14:textFill>
        </w:rPr>
        <w:t>。</w:t>
      </w:r>
      <w:r>
        <w:rPr>
          <w:rFonts w:hint="eastAsia" w:ascii="仿宋" w:hAnsi="仿宋" w:eastAsia="仿宋" w:cs="仿宋"/>
          <w:color w:val="000000" w:themeColor="text1"/>
          <w:spacing w:val="-4"/>
          <w:sz w:val="24"/>
          <w:szCs w:val="24"/>
          <w:highlight w:val="none"/>
          <w14:textFill>
            <w14:solidFill>
              <w14:schemeClr w14:val="tx1"/>
            </w14:solidFill>
          </w14:textFill>
        </w:rPr>
        <w:tab/>
      </w:r>
    </w:p>
    <w:p w14:paraId="63D2D3F5">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（2）总价合同进度付款申请单提交的约定</w:t>
      </w:r>
      <w:r>
        <w:rPr>
          <w:rFonts w:hint="eastAsia" w:ascii="仿宋" w:hAnsi="仿宋" w:eastAsia="仿宋" w:cs="仿宋"/>
          <w:color w:val="000000" w:themeColor="text1"/>
          <w:spacing w:val="-1"/>
          <w:sz w:val="24"/>
          <w:szCs w:val="24"/>
          <w:highlight w:val="none"/>
          <w14:textFill>
            <w14:solidFill>
              <w14:schemeClr w14:val="tx1"/>
            </w14:solidFill>
          </w14:textFill>
        </w:rPr>
        <w:t>：</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7124387D">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（3）其他价格形式合同进度付款申请单提交的约定：</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142679AB">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12.4.4 进度款审核和支付</w:t>
      </w:r>
    </w:p>
    <w:p w14:paraId="0B18EE66">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（1）监理人审查并报送发包人的期限：</w:t>
      </w:r>
      <w:r>
        <w:rPr>
          <w:rFonts w:hint="eastAsia" w:ascii="仿宋" w:hAnsi="仿宋" w:eastAsia="仿宋" w:cs="仿宋"/>
          <w:color w:val="000000" w:themeColor="text1"/>
          <w:spacing w:val="-2"/>
          <w:sz w:val="24"/>
          <w:szCs w:val="24"/>
          <w:highlight w:val="none"/>
          <w:u w:val="single"/>
          <w14:textFill>
            <w14:solidFill>
              <w14:schemeClr w14:val="tx1"/>
            </w14:solidFill>
          </w14:textFill>
        </w:rPr>
        <w:t xml:space="preserve"> 收到申请</w:t>
      </w:r>
      <w:r>
        <w:rPr>
          <w:rFonts w:hint="eastAsia" w:ascii="仿宋" w:hAnsi="仿宋" w:eastAsia="仿宋" w:cs="仿宋"/>
          <w:color w:val="000000" w:themeColor="text1"/>
          <w:spacing w:val="-48"/>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7</w:t>
      </w:r>
      <w:r>
        <w:rPr>
          <w:rFonts w:hint="eastAsia" w:ascii="仿宋" w:hAnsi="仿宋" w:eastAsia="仿宋" w:cs="仿宋"/>
          <w:color w:val="000000" w:themeColor="text1"/>
          <w:spacing w:val="-53"/>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 xml:space="preserve">天内 </w:t>
      </w:r>
      <w:r>
        <w:rPr>
          <w:rFonts w:hint="eastAsia" w:ascii="仿宋" w:hAnsi="仿宋" w:eastAsia="仿宋" w:cs="仿宋"/>
          <w:color w:val="000000" w:themeColor="text1"/>
          <w:spacing w:val="-2"/>
          <w:sz w:val="24"/>
          <w:szCs w:val="24"/>
          <w:highlight w:val="none"/>
          <w14:textFill>
            <w14:solidFill>
              <w14:schemeClr w14:val="tx1"/>
            </w14:solidFill>
          </w14:textFill>
        </w:rPr>
        <w:t>。</w:t>
      </w:r>
    </w:p>
    <w:p w14:paraId="513FAF6D">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发包人完成审批并签发进度款支付证书的期限：</w:t>
      </w:r>
      <w:r>
        <w:rPr>
          <w:rFonts w:hint="eastAsia" w:ascii="仿宋" w:hAnsi="仿宋" w:eastAsia="仿宋" w:cs="仿宋"/>
          <w:color w:val="000000" w:themeColor="text1"/>
          <w:spacing w:val="-2"/>
          <w:sz w:val="24"/>
          <w:szCs w:val="24"/>
          <w:highlight w:val="none"/>
          <w:u w:val="single"/>
          <w14:textFill>
            <w14:solidFill>
              <w14:schemeClr w14:val="tx1"/>
            </w14:solidFill>
          </w14:textFill>
        </w:rPr>
        <w:t xml:space="preserve"> 收到申请</w:t>
      </w:r>
      <w:r>
        <w:rPr>
          <w:rFonts w:hint="eastAsia" w:ascii="仿宋" w:hAnsi="仿宋" w:eastAsia="仿宋" w:cs="仿宋"/>
          <w:color w:val="000000" w:themeColor="text1"/>
          <w:spacing w:val="-39"/>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7</w:t>
      </w:r>
      <w:r>
        <w:rPr>
          <w:rFonts w:hint="eastAsia" w:ascii="仿宋" w:hAnsi="仿宋" w:eastAsia="仿宋" w:cs="仿宋"/>
          <w:color w:val="000000" w:themeColor="text1"/>
          <w:spacing w:val="-52"/>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 xml:space="preserve">天内 </w:t>
      </w:r>
      <w:r>
        <w:rPr>
          <w:rFonts w:hint="eastAsia" w:ascii="仿宋" w:hAnsi="仿宋" w:eastAsia="仿宋" w:cs="仿宋"/>
          <w:color w:val="000000" w:themeColor="text1"/>
          <w:spacing w:val="-2"/>
          <w:sz w:val="24"/>
          <w:szCs w:val="24"/>
          <w:highlight w:val="none"/>
          <w14:textFill>
            <w14:solidFill>
              <w14:schemeClr w14:val="tx1"/>
            </w14:solidFill>
          </w14:textFill>
        </w:rPr>
        <w:t>。</w:t>
      </w:r>
    </w:p>
    <w:p w14:paraId="2CB45137">
      <w:pPr>
        <w:keepNext w:val="0"/>
        <w:keepLines w:val="0"/>
        <w:pageBreakBefore w:val="0"/>
        <w:widowControl w:val="0"/>
        <w:numPr>
          <w:ilvl w:val="0"/>
          <w:numId w:val="3"/>
        </w:numPr>
        <w:kinsoku/>
        <w:wordWrap/>
        <w:overflowPunct/>
        <w:topLinePunct w:val="0"/>
        <w:autoSpaceDE/>
        <w:autoSpaceDN/>
        <w:bidi w:val="0"/>
        <w:snapToGrid/>
        <w:spacing w:line="360" w:lineRule="auto"/>
        <w:ind w:left="0" w:leftChars="0" w:right="0" w:rightChars="0" w:firstLine="563"/>
        <w:rPr>
          <w:rFonts w:hint="eastAsia" w:ascii="仿宋" w:hAnsi="仿宋" w:eastAsia="仿宋" w:cs="仿宋"/>
          <w:color w:val="000000" w:themeColor="text1"/>
          <w:spacing w:val="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发包人支付进度款的期限：</w:t>
      </w:r>
      <w:r>
        <w:rPr>
          <w:rFonts w:hint="eastAsia" w:ascii="仿宋" w:hAnsi="仿宋" w:eastAsia="仿宋" w:cs="仿宋"/>
          <w:color w:val="000000" w:themeColor="text1"/>
          <w:spacing w:val="-2"/>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pacing w:val="-2"/>
          <w:sz w:val="24"/>
          <w:szCs w:val="24"/>
          <w:highlight w:val="none"/>
          <w14:textFill>
            <w14:solidFill>
              <w14:schemeClr w14:val="tx1"/>
            </w14:solidFill>
          </w14:textFill>
        </w:rPr>
        <w:t>。</w:t>
      </w:r>
      <w:r>
        <w:rPr>
          <w:rFonts w:hint="eastAsia" w:ascii="仿宋" w:hAnsi="仿宋" w:eastAsia="仿宋" w:cs="仿宋"/>
          <w:color w:val="000000" w:themeColor="text1"/>
          <w:spacing w:val="1"/>
          <w:sz w:val="24"/>
          <w:szCs w:val="24"/>
          <w:highlight w:val="none"/>
          <w14:textFill>
            <w14:solidFill>
              <w14:schemeClr w14:val="tx1"/>
            </w14:solidFill>
          </w14:textFill>
        </w:rPr>
        <w:t xml:space="preserve"> </w:t>
      </w:r>
    </w:p>
    <w:p w14:paraId="47005B6C">
      <w:pPr>
        <w:keepNext w:val="0"/>
        <w:keepLines w:val="0"/>
        <w:pageBreakBefore w:val="0"/>
        <w:widowControl w:val="0"/>
        <w:numPr>
          <w:ilvl w:val="0"/>
          <w:numId w:val="3"/>
        </w:numPr>
        <w:kinsoku/>
        <w:wordWrap/>
        <w:overflowPunct/>
        <w:topLinePunct w:val="0"/>
        <w:autoSpaceDE/>
        <w:autoSpaceDN/>
        <w:bidi w:val="0"/>
        <w:snapToGrid/>
        <w:spacing w:line="360" w:lineRule="auto"/>
        <w:ind w:left="0" w:leftChars="0" w:right="0" w:rightChars="0" w:firstLine="5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发包人逾期支付进度款的违约金的计算方式：</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21B79436">
      <w:pPr>
        <w:keepNext w:val="0"/>
        <w:keepLines w:val="0"/>
        <w:pageBreakBefore w:val="0"/>
        <w:widowControl w:val="0"/>
        <w:kinsoku/>
        <w:wordWrap/>
        <w:overflowPunct/>
        <w:topLinePunct w:val="0"/>
        <w:autoSpaceDE/>
        <w:autoSpaceDN/>
        <w:bidi w:val="0"/>
        <w:snapToGrid/>
        <w:spacing w:line="360" w:lineRule="auto"/>
        <w:ind w:left="0" w:leftChars="0" w:right="0" w:rightChars="0" w:firstLine="55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（3）承包人每月</w:t>
      </w:r>
      <w:r>
        <w:rPr>
          <w:rFonts w:hint="eastAsia" w:ascii="仿宋" w:hAnsi="仿宋" w:eastAsia="仿宋" w:cs="仿宋"/>
          <w:color w:val="000000" w:themeColor="text1"/>
          <w:spacing w:val="-5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25 日填报进度付款申</w:t>
      </w:r>
      <w:r>
        <w:rPr>
          <w:rFonts w:hint="eastAsia" w:ascii="仿宋" w:hAnsi="仿宋" w:eastAsia="仿宋" w:cs="仿宋"/>
          <w:color w:val="000000" w:themeColor="text1"/>
          <w:spacing w:val="-5"/>
          <w:sz w:val="24"/>
          <w:szCs w:val="24"/>
          <w:highlight w:val="none"/>
          <w14:textFill>
            <w14:solidFill>
              <w14:schemeClr w14:val="tx1"/>
            </w14:solidFill>
          </w14:textFill>
        </w:rPr>
        <w:t>请单，一式肆份。进度款根据监理公</w:t>
      </w:r>
      <w:r>
        <w:rPr>
          <w:rFonts w:hint="eastAsia" w:ascii="仿宋" w:hAnsi="仿宋" w:eastAsia="仿宋" w:cs="仿宋"/>
          <w:color w:val="000000" w:themeColor="text1"/>
          <w:spacing w:val="-2"/>
          <w:sz w:val="24"/>
          <w:szCs w:val="24"/>
          <w:highlight w:val="none"/>
          <w14:textFill>
            <w14:solidFill>
              <w14:schemeClr w14:val="tx1"/>
            </w14:solidFill>
          </w14:textFill>
        </w:rPr>
        <w:t>司、建设单位、审计单位等几方审核确认的工程进度报表支付。</w:t>
      </w:r>
    </w:p>
    <w:p w14:paraId="3D5877BB">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12.4.6 支付分解表的编制</w:t>
      </w:r>
    </w:p>
    <w:p w14:paraId="53A08FD6">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1、总价合同支付分解表的编制与审批：</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pacing w:val="-2"/>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w:t>
      </w:r>
    </w:p>
    <w:p w14:paraId="73ED9440">
      <w:pPr>
        <w:pStyle w:val="9"/>
        <w:keepNext w:val="0"/>
        <w:keepLines w:val="0"/>
        <w:pageBreakBefore w:val="0"/>
        <w:widowControl w:val="0"/>
        <w:kinsoku/>
        <w:wordWrap/>
        <w:overflowPunct/>
        <w:topLinePunct w:val="0"/>
        <w:autoSpaceDE/>
        <w:autoSpaceDN/>
        <w:bidi w:val="0"/>
        <w:snapToGrid/>
        <w:spacing w:after="0" w:line="360" w:lineRule="auto"/>
        <w:ind w:right="0" w:rightChars="0" w:firstLine="464" w:firstLineChars="200"/>
        <w:jc w:val="both"/>
        <w:rPr>
          <w:rFonts w:hint="eastAsia" w:ascii="仿宋" w:hAnsi="仿宋" w:eastAsia="仿宋" w:cs="仿宋"/>
          <w:color w:val="000000" w:themeColor="text1"/>
          <w:spacing w:val="-4"/>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2、单价合同的总价项目支付分解表的编制与审批： 执行通用条款  。</w:t>
      </w:r>
    </w:p>
    <w:p w14:paraId="69D1FABF">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12.6 施工过程结算</w:t>
      </w:r>
    </w:p>
    <w:p w14:paraId="03EBFFC3">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12.6.1 过程结算周期（节点）</w:t>
      </w:r>
    </w:p>
    <w:p w14:paraId="42C2A3BA">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关于施工过程结算周期（节点）划分的约定：</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1E094152">
      <w:pPr>
        <w:keepNext w:val="0"/>
        <w:keepLines w:val="0"/>
        <w:pageBreakBefore w:val="0"/>
        <w:widowControl w:val="0"/>
        <w:tabs>
          <w:tab w:val="left" w:pos="8015"/>
        </w:tabs>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w:t>
      </w:r>
    </w:p>
    <w:p w14:paraId="57A9B62A">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12.6.2 过程结算计量与计价</w:t>
      </w:r>
    </w:p>
    <w:p w14:paraId="019BABC6">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关于施工过程结算计量计价的约定：</w:t>
      </w:r>
    </w:p>
    <w:p w14:paraId="21BB0726">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（1）分阶段对质量合格的已完成分部分项工程和单价措施项目进行</w:t>
      </w:r>
      <w:r>
        <w:rPr>
          <w:rFonts w:hint="eastAsia" w:ascii="仿宋" w:hAnsi="仿宋" w:eastAsia="仿宋" w:cs="仿宋"/>
          <w:color w:val="000000" w:themeColor="text1"/>
          <w:spacing w:val="1"/>
          <w:sz w:val="24"/>
          <w:szCs w:val="24"/>
          <w:highlight w:val="none"/>
          <w14:textFill>
            <w14:solidFill>
              <w14:schemeClr w14:val="tx1"/>
            </w14:solidFill>
          </w14:textFill>
        </w:rPr>
        <w:t>价款结</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算（含价差调整、变更、签证、索赔等）的约定：</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pacing w:val="-2"/>
          <w:sz w:val="24"/>
          <w:szCs w:val="24"/>
          <w:highlight w:val="none"/>
          <w:u w:val="single"/>
          <w14:textFill>
            <w14:solidFill>
              <w14:schemeClr w14:val="tx1"/>
            </w14:solidFill>
          </w14:textFill>
        </w:rPr>
        <w:t xml:space="preserve">                   </w:t>
      </w:r>
    </w:p>
    <w:p w14:paraId="54689A28">
      <w:pPr>
        <w:keepNext w:val="0"/>
        <w:keepLines w:val="0"/>
        <w:pageBreakBefore w:val="0"/>
        <w:widowControl w:val="0"/>
        <w:tabs>
          <w:tab w:val="left" w:pos="8015"/>
        </w:tabs>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w:t>
      </w:r>
    </w:p>
    <w:p w14:paraId="32000467">
      <w:pPr>
        <w:keepNext w:val="0"/>
        <w:keepLines w:val="0"/>
        <w:pageBreakBefore w:val="0"/>
        <w:widowControl w:val="0"/>
        <w:kinsoku/>
        <w:wordWrap/>
        <w:overflowPunct/>
        <w:topLinePunct w:val="0"/>
        <w:autoSpaceDE/>
        <w:autoSpaceDN/>
        <w:bidi w:val="0"/>
        <w:snapToGrid/>
        <w:spacing w:line="360" w:lineRule="auto"/>
        <w:ind w:left="0" w:leftChars="0" w:right="0" w:rightChars="0" w:firstLine="5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（2）总价措施项目费的过程结算，采用以下第</w:t>
      </w:r>
      <w:r>
        <w:rPr>
          <w:rFonts w:hint="eastAsia" w:ascii="仿宋" w:hAnsi="仿宋" w:eastAsia="仿宋" w:cs="仿宋"/>
          <w:color w:val="000000" w:themeColor="text1"/>
          <w:spacing w:val="-3"/>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2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种方式对总价措施项目进</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14:textFill>
            <w14:solidFill>
              <w14:schemeClr w14:val="tx1"/>
            </w14:solidFill>
          </w14:textFill>
        </w:rPr>
        <w:t>行过程结算：</w:t>
      </w:r>
    </w:p>
    <w:p w14:paraId="33D0C678">
      <w:pPr>
        <w:keepNext w:val="0"/>
        <w:keepLines w:val="0"/>
        <w:pageBreakBefore w:val="0"/>
        <w:widowControl w:val="0"/>
        <w:kinsoku/>
        <w:wordWrap/>
        <w:overflowPunct/>
        <w:topLinePunct w:val="0"/>
        <w:autoSpaceDE/>
        <w:autoSpaceDN/>
        <w:bidi w:val="0"/>
        <w:snapToGrid/>
        <w:spacing w:line="360" w:lineRule="auto"/>
        <w:ind w:left="0" w:leftChars="0" w:right="0" w:rightChars="0" w:firstLine="5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第</w:t>
      </w:r>
      <w:r>
        <w:rPr>
          <w:rFonts w:hint="eastAsia" w:ascii="仿宋" w:hAnsi="仿宋" w:eastAsia="仿宋" w:cs="仿宋"/>
          <w:color w:val="000000" w:themeColor="text1"/>
          <w:spacing w:val="-3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1</w:t>
      </w:r>
      <w:r>
        <w:rPr>
          <w:rFonts w:hint="eastAsia" w:ascii="仿宋" w:hAnsi="仿宋" w:eastAsia="仿宋" w:cs="仿宋"/>
          <w:color w:val="000000" w:themeColor="text1"/>
          <w:spacing w:val="-5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种方式：按当期已完成分部分项工程费占全部分部分项工程费的比例计</w:t>
      </w:r>
      <w:r>
        <w:rPr>
          <w:rFonts w:hint="eastAsia" w:ascii="仿宋" w:hAnsi="仿宋" w:eastAsia="仿宋" w:cs="仿宋"/>
          <w:color w:val="000000" w:themeColor="text1"/>
          <w:spacing w:val="-20"/>
          <w:sz w:val="24"/>
          <w:szCs w:val="24"/>
          <w:highlight w:val="none"/>
          <w14:textFill>
            <w14:solidFill>
              <w14:schemeClr w14:val="tx1"/>
            </w14:solidFill>
          </w14:textFill>
        </w:rPr>
        <w:t>算；</w:t>
      </w:r>
    </w:p>
    <w:p w14:paraId="593CFDA1">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第</w:t>
      </w:r>
      <w:r>
        <w:rPr>
          <w:rFonts w:hint="eastAsia" w:ascii="仿宋" w:hAnsi="仿宋" w:eastAsia="仿宋" w:cs="仿宋"/>
          <w:color w:val="000000" w:themeColor="text1"/>
          <w:spacing w:val="-4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2</w:t>
      </w:r>
      <w:r>
        <w:rPr>
          <w:rFonts w:hint="eastAsia" w:ascii="仿宋" w:hAnsi="仿宋" w:eastAsia="仿宋" w:cs="仿宋"/>
          <w:color w:val="000000" w:themeColor="text1"/>
          <w:spacing w:val="-5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种方式：按当期已完成工程内容对应金额计算；</w:t>
      </w:r>
    </w:p>
    <w:p w14:paraId="30ABB78C">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第</w:t>
      </w:r>
      <w:r>
        <w:rPr>
          <w:rFonts w:hint="eastAsia" w:ascii="仿宋" w:hAnsi="仿宋" w:eastAsia="仿宋" w:cs="仿宋"/>
          <w:color w:val="000000" w:themeColor="text1"/>
          <w:spacing w:val="-4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3</w:t>
      </w:r>
      <w:r>
        <w:rPr>
          <w:rFonts w:hint="eastAsia" w:ascii="仿宋" w:hAnsi="仿宋" w:eastAsia="仿宋" w:cs="仿宋"/>
          <w:color w:val="000000" w:themeColor="text1"/>
          <w:spacing w:val="-5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种方式：其他过程结算方式：</w:t>
      </w:r>
      <w:r>
        <w:rPr>
          <w:rFonts w:hint="eastAsia" w:ascii="仿宋" w:hAnsi="仿宋" w:eastAsia="仿宋" w:cs="仿宋"/>
          <w:color w:val="000000" w:themeColor="text1"/>
          <w:spacing w:val="-2"/>
          <w:sz w:val="24"/>
          <w:szCs w:val="24"/>
          <w:highlight w:val="none"/>
          <w:u w:val="single"/>
          <w14:textFill>
            <w14:solidFill>
              <w14:schemeClr w14:val="tx1"/>
            </w14:solidFill>
          </w14:textFill>
        </w:rPr>
        <w:t xml:space="preserve">         /                          </w:t>
      </w:r>
    </w:p>
    <w:p w14:paraId="662838BD">
      <w:pPr>
        <w:keepNext w:val="0"/>
        <w:keepLines w:val="0"/>
        <w:pageBreakBefore w:val="0"/>
        <w:widowControl w:val="0"/>
        <w:tabs>
          <w:tab w:val="left" w:pos="8015"/>
        </w:tabs>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w:t>
      </w:r>
    </w:p>
    <w:p w14:paraId="45EE2D5D">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（3）其他项目费的过程结算方式：</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pacing w:val="-2"/>
          <w:sz w:val="24"/>
          <w:szCs w:val="24"/>
          <w:highlight w:val="none"/>
          <w:u w:val="single"/>
          <w14:textFill>
            <w14:solidFill>
              <w14:schemeClr w14:val="tx1"/>
            </w14:solidFill>
          </w14:textFill>
        </w:rPr>
        <w:t xml:space="preserve">                     </w:t>
      </w:r>
    </w:p>
    <w:p w14:paraId="56F8FFC2">
      <w:pPr>
        <w:keepNext w:val="0"/>
        <w:keepLines w:val="0"/>
        <w:pageBreakBefore w:val="0"/>
        <w:widowControl w:val="0"/>
        <w:tabs>
          <w:tab w:val="left" w:pos="7874"/>
        </w:tabs>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w:t>
      </w:r>
    </w:p>
    <w:p w14:paraId="01D9B896">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12.6.3 过程结算申请与资料</w:t>
      </w:r>
    </w:p>
    <w:p w14:paraId="51D72985">
      <w:pPr>
        <w:keepNext w:val="0"/>
        <w:keepLines w:val="0"/>
        <w:pageBreakBefore w:val="0"/>
        <w:widowControl w:val="0"/>
        <w:kinsoku/>
        <w:wordWrap/>
        <w:overflowPunct/>
        <w:topLinePunct w:val="0"/>
        <w:autoSpaceDE/>
        <w:autoSpaceDN/>
        <w:bidi w:val="0"/>
        <w:snapToGrid/>
        <w:spacing w:line="360" w:lineRule="auto"/>
        <w:ind w:left="0" w:leftChars="0" w:right="0" w:rightChars="0" w:firstLine="61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 xml:space="preserve">施工过程结算节点工程验收合格后，承包人应在  日内向发包人提交施工过程结算申请单，并提交施工过程结算资料，包括（但不限于施工合同、补充 协议、施工图纸、施工方案、工程量计算依据、单价及费用计价依据以及经确认 的工程变更、现场签证、工程索赔）：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u w:val="single"/>
          <w14:textFill>
            <w14:solidFill>
              <w14:schemeClr w14:val="tx1"/>
            </w14:solidFill>
          </w14:textFill>
        </w:rPr>
        <w:t xml:space="preserve">/            </w:t>
      </w:r>
    </w:p>
    <w:p w14:paraId="4208E411">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12.6.4 过程结算审核与支付</w:t>
      </w:r>
    </w:p>
    <w:p w14:paraId="51B78B8F">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发包人应在</w:t>
      </w:r>
      <w:r>
        <w:rPr>
          <w:rFonts w:hint="eastAsia" w:ascii="仿宋" w:hAnsi="仿宋" w:eastAsia="仿宋" w:cs="仿宋"/>
          <w:color w:val="000000" w:themeColor="text1"/>
          <w:spacing w:val="-3"/>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pacing w:val="-8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日内完成施工过程结算的核对并确</w:t>
      </w:r>
      <w:r>
        <w:rPr>
          <w:rFonts w:hint="eastAsia" w:ascii="仿宋" w:hAnsi="仿宋" w:eastAsia="仿宋" w:cs="仿宋"/>
          <w:color w:val="000000" w:themeColor="text1"/>
          <w:spacing w:val="-4"/>
          <w:sz w:val="24"/>
          <w:szCs w:val="24"/>
          <w:highlight w:val="none"/>
          <w14:textFill>
            <w14:solidFill>
              <w14:schemeClr w14:val="tx1"/>
            </w14:solidFill>
          </w14:textFill>
        </w:rPr>
        <w:t>认。</w:t>
      </w:r>
    </w:p>
    <w:p w14:paraId="5B923D6E">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发包人审批付款申请单的期限：</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13CA7EBB">
      <w:pPr>
        <w:keepNext w:val="0"/>
        <w:keepLines w:val="0"/>
        <w:pageBreakBefore w:val="0"/>
        <w:widowControl w:val="0"/>
        <w:kinsoku/>
        <w:wordWrap/>
        <w:overflowPunct/>
        <w:topLinePunct w:val="0"/>
        <w:autoSpaceDE/>
        <w:autoSpaceDN/>
        <w:bidi w:val="0"/>
        <w:snapToGrid/>
        <w:spacing w:line="360" w:lineRule="auto"/>
        <w:ind w:left="0" w:leftChars="0" w:right="0" w:rightChars="0" w:firstLine="61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9"/>
          <w:sz w:val="24"/>
          <w:szCs w:val="24"/>
          <w:highlight w:val="none"/>
          <w14:textFill>
            <w14:solidFill>
              <w14:schemeClr w14:val="tx1"/>
            </w14:solidFill>
          </w14:textFill>
        </w:rPr>
        <w:t>发包人向承包人支付施工过程结算价款（含价差调整、变更、签证、</w:t>
      </w:r>
      <w:r>
        <w:rPr>
          <w:rFonts w:hint="eastAsia" w:ascii="仿宋" w:hAnsi="仿宋" w:eastAsia="仿宋" w:cs="仿宋"/>
          <w:color w:val="000000" w:themeColor="text1"/>
          <w:spacing w:val="-10"/>
          <w:sz w:val="24"/>
          <w:szCs w:val="24"/>
          <w:highlight w:val="none"/>
          <w14:textFill>
            <w14:solidFill>
              <w14:schemeClr w14:val="tx1"/>
            </w14:solidFill>
          </w14:textFill>
        </w:rPr>
        <w:t>索赔等）</w:t>
      </w:r>
      <w:r>
        <w:rPr>
          <w:rFonts w:hint="eastAsia" w:ascii="仿宋" w:hAnsi="仿宋" w:eastAsia="仿宋" w:cs="仿宋"/>
          <w:color w:val="000000" w:themeColor="text1"/>
          <w:spacing w:val="-11"/>
          <w:sz w:val="24"/>
          <w:szCs w:val="24"/>
          <w:highlight w:val="none"/>
          <w14:textFill>
            <w14:solidFill>
              <w14:schemeClr w14:val="tx1"/>
            </w14:solidFill>
          </w14:textFill>
        </w:rPr>
        <w:t>比例为：</w:t>
      </w:r>
      <w:r>
        <w:rPr>
          <w:rFonts w:hint="eastAsia" w:ascii="仿宋" w:hAnsi="仿宋" w:eastAsia="仿宋" w:cs="仿宋"/>
          <w:color w:val="000000" w:themeColor="text1"/>
          <w:spacing w:val="2"/>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1"/>
          <w:sz w:val="24"/>
          <w:szCs w:val="24"/>
          <w:highlight w:val="none"/>
          <w:u w:val="singl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5"/>
          <w:sz w:val="24"/>
          <w:szCs w:val="24"/>
          <w:highlight w:val="none"/>
          <w14:textFill>
            <w14:solidFill>
              <w14:schemeClr w14:val="tx1"/>
            </w14:solidFill>
          </w14:textFill>
        </w:rPr>
        <w:t>（＞</w:t>
      </w:r>
      <w:r>
        <w:rPr>
          <w:rFonts w:hint="eastAsia" w:ascii="仿宋" w:hAnsi="仿宋" w:eastAsia="仿宋" w:cs="仿宋"/>
          <w:color w:val="000000" w:themeColor="text1"/>
          <w:spacing w:val="-11"/>
          <w:sz w:val="24"/>
          <w:szCs w:val="24"/>
          <w:highlight w:val="none"/>
          <w14:textFill>
            <w14:solidFill>
              <w14:schemeClr w14:val="tx1"/>
            </w14:solidFill>
          </w14:textFill>
        </w:rPr>
        <w:t>80%）。</w:t>
      </w:r>
    </w:p>
    <w:p w14:paraId="5420E0F1">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发包人完成施工过程结算付款的期限：</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23F03897">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发包人逾期支付施工过程结算价款的违约金的计算方式：</w:t>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w:t>
      </w:r>
    </w:p>
    <w:p w14:paraId="686B6C8C">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12.6.5 过程结算争议处理</w:t>
      </w:r>
    </w:p>
    <w:p w14:paraId="0AC3BEBD">
      <w:pPr>
        <w:keepNext w:val="0"/>
        <w:keepLines w:val="0"/>
        <w:pageBreakBefore w:val="0"/>
        <w:widowControl w:val="0"/>
        <w:tabs>
          <w:tab w:val="left" w:pos="91"/>
        </w:tabs>
        <w:kinsoku/>
        <w:wordWrap/>
        <w:overflowPunct/>
        <w:topLinePunct w:val="0"/>
        <w:autoSpaceDE/>
        <w:autoSpaceDN/>
        <w:bidi w:val="0"/>
        <w:snapToGrid/>
        <w:spacing w:line="360" w:lineRule="auto"/>
        <w:ind w:left="0" w:leftChars="0" w:right="0" w:rightChars="0" w:firstLine="55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施工过程结算中，对计量计价有争议时，应先对无争议部分办理结算，对有</w:t>
      </w:r>
      <w:r>
        <w:rPr>
          <w:rFonts w:hint="eastAsia" w:ascii="仿宋" w:hAnsi="仿宋" w:eastAsia="仿宋" w:cs="仿宋"/>
          <w:color w:val="000000" w:themeColor="text1"/>
          <w:spacing w:val="-1"/>
          <w:sz w:val="24"/>
          <w:szCs w:val="24"/>
          <w:highlight w:val="none"/>
          <w14:textFill>
            <w14:solidFill>
              <w14:schemeClr w14:val="tx1"/>
            </w14:solidFill>
          </w14:textFill>
        </w:rPr>
        <w:t>争议部分处理方式的约定：</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7F144EFB">
      <w:pPr>
        <w:keepNext w:val="0"/>
        <w:keepLines w:val="0"/>
        <w:pageBreakBefore w:val="0"/>
        <w:widowControl w:val="0"/>
        <w:kinsoku/>
        <w:wordWrap/>
        <w:overflowPunct/>
        <w:topLinePunct w:val="0"/>
        <w:autoSpaceDE/>
        <w:autoSpaceDN/>
        <w:bidi w:val="0"/>
        <w:snapToGrid/>
        <w:spacing w:line="360" w:lineRule="auto"/>
        <w:ind w:left="0" w:leftChars="0" w:right="0" w:rightChars="0"/>
        <w:outlineLvl w:val="2"/>
        <w:rPr>
          <w:rFonts w:hint="eastAsia" w:ascii="仿宋" w:hAnsi="仿宋" w:eastAsia="仿宋" w:cs="仿宋"/>
          <w:color w:val="000000" w:themeColor="text1"/>
          <w:sz w:val="24"/>
          <w:szCs w:val="24"/>
          <w:highlight w:val="none"/>
          <w14:textFill>
            <w14:solidFill>
              <w14:schemeClr w14:val="tx1"/>
            </w14:solidFill>
          </w14:textFill>
        </w:rPr>
      </w:pPr>
      <w:bookmarkStart w:id="162" w:name="bookmark148"/>
      <w:bookmarkEnd w:id="162"/>
      <w:bookmarkStart w:id="163" w:name="_Toc24860"/>
      <w:r>
        <w:rPr>
          <w:rFonts w:hint="eastAsia" w:ascii="仿宋" w:hAnsi="仿宋" w:eastAsia="仿宋" w:cs="仿宋"/>
          <w:color w:val="000000" w:themeColor="text1"/>
          <w:spacing w:val="-3"/>
          <w:sz w:val="24"/>
          <w:szCs w:val="24"/>
          <w:highlight w:val="none"/>
          <w14:textFill>
            <w14:solidFill>
              <w14:schemeClr w14:val="tx1"/>
            </w14:solidFill>
          </w14:textFill>
        </w:rPr>
        <w:t>13. 验收和工程试车</w:t>
      </w:r>
      <w:bookmarkEnd w:id="163"/>
    </w:p>
    <w:p w14:paraId="09A3C753">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13.1 分部分项工程验收</w:t>
      </w:r>
    </w:p>
    <w:p w14:paraId="3C0CAA9C">
      <w:pPr>
        <w:keepNext w:val="0"/>
        <w:keepLines w:val="0"/>
        <w:pageBreakBefore w:val="0"/>
        <w:widowControl w:val="0"/>
        <w:kinsoku/>
        <w:wordWrap/>
        <w:overflowPunct/>
        <w:topLinePunct w:val="0"/>
        <w:autoSpaceDE/>
        <w:autoSpaceDN/>
        <w:bidi w:val="0"/>
        <w:snapToGrid/>
        <w:spacing w:line="360" w:lineRule="auto"/>
        <w:ind w:left="0" w:leftChars="0" w:right="0" w:rightChars="0" w:firstLine="1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13.1.2</w:t>
      </w:r>
      <w:r>
        <w:rPr>
          <w:rFonts w:hint="eastAsia" w:ascii="仿宋" w:hAnsi="仿宋" w:eastAsia="仿宋" w:cs="仿宋"/>
          <w:color w:val="000000" w:themeColor="text1"/>
          <w:spacing w:val="-4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监理人不能按时进行验收时，应提前</w:t>
      </w:r>
      <w:r>
        <w:rPr>
          <w:rFonts w:hint="eastAsia" w:ascii="仿宋" w:hAnsi="仿宋" w:eastAsia="仿宋" w:cs="仿宋"/>
          <w:color w:val="000000" w:themeColor="text1"/>
          <w:spacing w:val="-6"/>
          <w:sz w:val="24"/>
          <w:szCs w:val="24"/>
          <w:highlight w:val="none"/>
          <w:u w:val="single"/>
          <w14:textFill>
            <w14:solidFill>
              <w14:schemeClr w14:val="tx1"/>
            </w14:solidFill>
          </w14:textFill>
        </w:rPr>
        <w:t xml:space="preserve">   24  </w:t>
      </w:r>
      <w:r>
        <w:rPr>
          <w:rFonts w:hint="eastAsia" w:ascii="仿宋" w:hAnsi="仿宋" w:eastAsia="仿宋" w:cs="仿宋"/>
          <w:color w:val="000000" w:themeColor="text1"/>
          <w:spacing w:val="-12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小时提交书面延期要求。</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关于延期最长不得超过：</w:t>
      </w:r>
      <w:r>
        <w:rPr>
          <w:rFonts w:hint="eastAsia" w:ascii="仿宋" w:hAnsi="仿宋" w:eastAsia="仿宋" w:cs="仿宋"/>
          <w:color w:val="000000" w:themeColor="text1"/>
          <w:spacing w:val="-2"/>
          <w:sz w:val="24"/>
          <w:szCs w:val="24"/>
          <w:highlight w:val="none"/>
          <w:u w:val="single"/>
          <w14:textFill>
            <w14:solidFill>
              <w14:schemeClr w14:val="tx1"/>
            </w14:solidFill>
          </w14:textFill>
        </w:rPr>
        <w:t xml:space="preserve">   48  </w:t>
      </w:r>
      <w:r>
        <w:rPr>
          <w:rFonts w:hint="eastAsia" w:ascii="仿宋" w:hAnsi="仿宋" w:eastAsia="仿宋" w:cs="仿宋"/>
          <w:color w:val="000000" w:themeColor="text1"/>
          <w:spacing w:val="-11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小时。</w:t>
      </w:r>
    </w:p>
    <w:p w14:paraId="26BB37D1">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13.2 竣工验收</w:t>
      </w:r>
    </w:p>
    <w:p w14:paraId="48148965">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13.2.2</w:t>
      </w:r>
      <w:r>
        <w:rPr>
          <w:rFonts w:hint="eastAsia" w:ascii="仿宋" w:hAnsi="仿宋" w:eastAsia="仿宋" w:cs="仿宋"/>
          <w:color w:val="000000" w:themeColor="text1"/>
          <w:spacing w:val="-5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竣工验收程序</w:t>
      </w:r>
    </w:p>
    <w:p w14:paraId="52A78E05">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关于竣工验收程序的约定：</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按通用条款执行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1294D55E">
      <w:pPr>
        <w:keepNext w:val="0"/>
        <w:keepLines w:val="0"/>
        <w:pageBreakBefore w:val="0"/>
        <w:widowControl w:val="0"/>
        <w:kinsoku/>
        <w:wordWrap/>
        <w:overflowPunct/>
        <w:topLinePunct w:val="0"/>
        <w:autoSpaceDE/>
        <w:autoSpaceDN/>
        <w:bidi w:val="0"/>
        <w:snapToGrid/>
        <w:spacing w:line="360" w:lineRule="auto"/>
        <w:ind w:left="0" w:leftChars="0" w:right="0" w:rightChars="0" w:firstLine="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发包人不按照本项约定组织竣工验收、颁发工程</w:t>
      </w:r>
      <w:r>
        <w:rPr>
          <w:rFonts w:hint="eastAsia" w:ascii="仿宋" w:hAnsi="仿宋" w:eastAsia="仿宋" w:cs="仿宋"/>
          <w:color w:val="000000" w:themeColor="text1"/>
          <w:spacing w:val="-3"/>
          <w:sz w:val="24"/>
          <w:szCs w:val="24"/>
          <w:highlight w:val="none"/>
          <w14:textFill>
            <w14:solidFill>
              <w14:schemeClr w14:val="tx1"/>
            </w14:solidFill>
          </w14:textFill>
        </w:rPr>
        <w:t>接收证书的违约金的计算方法：</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u w:val="singl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w:t>
      </w:r>
    </w:p>
    <w:p w14:paraId="3FCD5C73">
      <w:pPr>
        <w:pStyle w:val="9"/>
        <w:keepNext w:val="0"/>
        <w:keepLines w:val="0"/>
        <w:pageBreakBefore w:val="0"/>
        <w:widowControl w:val="0"/>
        <w:kinsoku/>
        <w:wordWrap/>
        <w:overflowPunct/>
        <w:topLinePunct w:val="0"/>
        <w:autoSpaceDE/>
        <w:autoSpaceDN/>
        <w:bidi w:val="0"/>
        <w:snapToGrid/>
        <w:spacing w:after="0" w:line="360" w:lineRule="auto"/>
        <w:ind w:left="0" w:leftChars="0" w:right="0" w:rightChars="0" w:firstLine="472" w:firstLineChars="200"/>
        <w:jc w:val="both"/>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13.2.5 移交、接收全部与部分工程</w:t>
      </w:r>
    </w:p>
    <w:p w14:paraId="33846898">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承包人向发包人移交工程的期限：</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按照发包人约定执行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52E989BE">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发包人未按本合同约定接收全部或部分工程的，违约金的计算方法为：</w:t>
      </w:r>
      <w:r>
        <w:rPr>
          <w:rFonts w:hint="eastAsia" w:ascii="仿宋" w:hAnsi="仿宋" w:eastAsia="仿宋" w:cs="仿宋"/>
          <w:color w:val="000000" w:themeColor="text1"/>
          <w:spacing w:val="34"/>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u w:val="singl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w:t>
      </w:r>
    </w:p>
    <w:p w14:paraId="1319D363">
      <w:pPr>
        <w:keepNext w:val="0"/>
        <w:keepLines w:val="0"/>
        <w:pageBreakBefore w:val="0"/>
        <w:widowControl w:val="0"/>
        <w:kinsoku/>
        <w:wordWrap/>
        <w:overflowPunct/>
        <w:topLinePunct w:val="0"/>
        <w:autoSpaceDE/>
        <w:autoSpaceDN/>
        <w:bidi w:val="0"/>
        <w:snapToGrid/>
        <w:spacing w:line="360" w:lineRule="auto"/>
        <w:ind w:left="0" w:leftChars="0" w:right="0" w:rightChars="0" w:firstLine="55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承包人未按时移交工程的，违约金的计算方法为：</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扣除全部履约保证金和</w:t>
      </w:r>
      <w:r>
        <w:rPr>
          <w:rFonts w:hint="eastAsia" w:ascii="仿宋" w:hAnsi="仿宋" w:eastAsia="仿宋" w:cs="仿宋"/>
          <w:color w:val="000000" w:themeColor="text1"/>
          <w:spacing w:val="-2"/>
          <w:sz w:val="24"/>
          <w:szCs w:val="24"/>
          <w:highlight w:val="none"/>
          <w:u w:val="single"/>
          <w14:textFill>
            <w14:solidFill>
              <w14:schemeClr w14:val="tx1"/>
            </w14:solidFill>
          </w14:textFill>
        </w:rPr>
        <w:t xml:space="preserve">工程质保金  </w:t>
      </w:r>
      <w:r>
        <w:rPr>
          <w:rFonts w:hint="eastAsia" w:ascii="仿宋" w:hAnsi="仿宋" w:eastAsia="仿宋" w:cs="仿宋"/>
          <w:color w:val="000000" w:themeColor="text1"/>
          <w:spacing w:val="-2"/>
          <w:sz w:val="24"/>
          <w:szCs w:val="24"/>
          <w:highlight w:val="none"/>
          <w14:textFill>
            <w14:solidFill>
              <w14:schemeClr w14:val="tx1"/>
            </w14:solidFill>
          </w14:textFill>
        </w:rPr>
        <w:t>。</w:t>
      </w:r>
    </w:p>
    <w:p w14:paraId="60C60BBB">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13.3</w:t>
      </w:r>
      <w:r>
        <w:rPr>
          <w:rFonts w:hint="eastAsia" w:ascii="仿宋" w:hAnsi="仿宋" w:eastAsia="仿宋" w:cs="仿宋"/>
          <w:color w:val="000000" w:themeColor="text1"/>
          <w:spacing w:val="1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工程试车</w:t>
      </w:r>
    </w:p>
    <w:p w14:paraId="38E25A47">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13.3.1 试车程序</w:t>
      </w:r>
    </w:p>
    <w:p w14:paraId="0C8E2F63">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工程试车内容：</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按实际情况确定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7FB90F18">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（1）单机无负荷试车费用由</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承包人承担、费用含在合同价中承担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24717B54">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（2）无负荷联动试车费用由</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pacing w:val="-11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承担。</w:t>
      </w:r>
    </w:p>
    <w:p w14:paraId="4C6C2469">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13.3.3 投料试车</w:t>
      </w:r>
    </w:p>
    <w:p w14:paraId="7620C72C">
      <w:pPr>
        <w:keepNext w:val="0"/>
        <w:keepLines w:val="0"/>
        <w:pageBreakBefore w:val="0"/>
        <w:widowControl w:val="0"/>
        <w:kinsoku/>
        <w:wordWrap/>
        <w:overflowPunct/>
        <w:topLinePunct w:val="0"/>
        <w:autoSpaceDE/>
        <w:autoSpaceDN/>
        <w:bidi w:val="0"/>
        <w:snapToGrid/>
        <w:spacing w:line="360" w:lineRule="auto"/>
        <w:ind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关于投料试车相关事项的约定：</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3A159B74">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13.6 竣工退场</w:t>
      </w:r>
    </w:p>
    <w:p w14:paraId="447A527C">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13.6.1 竣工退场</w:t>
      </w:r>
    </w:p>
    <w:p w14:paraId="1BDBABBD">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承包人完成竣工退场的期限：</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按照发包人要求执行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71EE04C9">
      <w:pPr>
        <w:pStyle w:val="9"/>
        <w:keepNext w:val="0"/>
        <w:keepLines w:val="0"/>
        <w:pageBreakBefore w:val="0"/>
        <w:widowControl w:val="0"/>
        <w:kinsoku/>
        <w:wordWrap/>
        <w:overflowPunct/>
        <w:topLinePunct w:val="0"/>
        <w:autoSpaceDE/>
        <w:autoSpaceDN/>
        <w:bidi w:val="0"/>
        <w:snapToGrid/>
        <w:spacing w:after="0"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p>
    <w:p w14:paraId="7E39FBD5">
      <w:pPr>
        <w:keepNext w:val="0"/>
        <w:keepLines w:val="0"/>
        <w:pageBreakBefore w:val="0"/>
        <w:widowControl w:val="0"/>
        <w:kinsoku/>
        <w:wordWrap/>
        <w:overflowPunct/>
        <w:topLinePunct w:val="0"/>
        <w:autoSpaceDE/>
        <w:autoSpaceDN/>
        <w:bidi w:val="0"/>
        <w:snapToGrid/>
        <w:spacing w:line="360" w:lineRule="auto"/>
        <w:ind w:left="0" w:leftChars="0" w:right="0" w:rightChars="0"/>
        <w:outlineLvl w:val="2"/>
        <w:rPr>
          <w:rFonts w:hint="eastAsia" w:ascii="仿宋" w:hAnsi="仿宋" w:eastAsia="仿宋" w:cs="仿宋"/>
          <w:color w:val="000000" w:themeColor="text1"/>
          <w:sz w:val="24"/>
          <w:szCs w:val="24"/>
          <w:highlight w:val="none"/>
          <w14:textFill>
            <w14:solidFill>
              <w14:schemeClr w14:val="tx1"/>
            </w14:solidFill>
          </w14:textFill>
        </w:rPr>
      </w:pPr>
      <w:bookmarkStart w:id="164" w:name="bookmark149"/>
      <w:bookmarkEnd w:id="164"/>
      <w:bookmarkStart w:id="165" w:name="_Toc28705"/>
      <w:r>
        <w:rPr>
          <w:rFonts w:hint="eastAsia" w:ascii="仿宋" w:hAnsi="仿宋" w:eastAsia="仿宋" w:cs="仿宋"/>
          <w:color w:val="000000" w:themeColor="text1"/>
          <w:spacing w:val="-6"/>
          <w:sz w:val="24"/>
          <w:szCs w:val="24"/>
          <w:highlight w:val="none"/>
          <w14:textFill>
            <w14:solidFill>
              <w14:schemeClr w14:val="tx1"/>
            </w14:solidFill>
          </w14:textFill>
        </w:rPr>
        <w:t>14.</w:t>
      </w:r>
      <w:r>
        <w:rPr>
          <w:rFonts w:hint="eastAsia" w:ascii="仿宋" w:hAnsi="仿宋" w:eastAsia="仿宋" w:cs="仿宋"/>
          <w:color w:val="000000" w:themeColor="text1"/>
          <w:spacing w:val="1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竣工结算</w:t>
      </w:r>
      <w:bookmarkEnd w:id="165"/>
    </w:p>
    <w:p w14:paraId="5B2242AC">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14.1 竣工结算申请</w:t>
      </w:r>
    </w:p>
    <w:p w14:paraId="6211171C">
      <w:pPr>
        <w:keepNext w:val="0"/>
        <w:keepLines w:val="0"/>
        <w:pageBreakBefore w:val="0"/>
        <w:widowControl w:val="0"/>
        <w:tabs>
          <w:tab w:val="left" w:pos="746"/>
        </w:tabs>
        <w:kinsoku/>
        <w:wordWrap/>
        <w:overflowPunct/>
        <w:topLinePunct w:val="0"/>
        <w:autoSpaceDE/>
        <w:autoSpaceDN/>
        <w:bidi w:val="0"/>
        <w:snapToGrid/>
        <w:spacing w:line="360" w:lineRule="auto"/>
        <w:ind w:left="0" w:leftChars="0" w:right="0" w:rightChars="0" w:firstLine="452" w:firstLineChars="200"/>
        <w:rPr>
          <w:rFonts w:hint="eastAsia" w:ascii="仿宋" w:hAnsi="仿宋" w:eastAsia="仿宋" w:cs="仿宋"/>
          <w:color w:val="000000" w:themeColor="text1"/>
          <w:spacing w:val="-7"/>
          <w:sz w:val="24"/>
          <w:szCs w:val="24"/>
          <w:highlight w:val="none"/>
          <w:u w:val="single"/>
          <w14:textFill>
            <w14:solidFill>
              <w14:schemeClr w14:val="tx1"/>
            </w14:solidFill>
          </w14:textFill>
        </w:rPr>
      </w:pPr>
      <w:r>
        <w:rPr>
          <w:rFonts w:hint="eastAsia" w:ascii="仿宋" w:hAnsi="仿宋" w:eastAsia="仿宋" w:cs="仿宋"/>
          <w:color w:val="000000" w:themeColor="text1"/>
          <w:spacing w:val="-7"/>
          <w:sz w:val="24"/>
          <w:szCs w:val="24"/>
          <w:highlight w:val="none"/>
          <w:u w:val="single"/>
          <w14:textFill>
            <w14:solidFill>
              <w14:schemeClr w14:val="tx1"/>
            </w14:solidFill>
          </w14:textFill>
        </w:rPr>
        <w:t>承包人提交竣工结算申请单的期限：承包人应在提交竣工验收申请的同时 向发包人提交竣工结算文件。承包人未在合同约定时间内提交竣工结算文件，经发包人催告后 14 天内仍未提交或没有明确答复的，发包人有权根据已有资料编制竣工结算文件，作为办理竣工结算和支付结算款的依据，承包人应予以认可。</w:t>
      </w:r>
    </w:p>
    <w:p w14:paraId="51761D33">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竣工结算申请单应包括的内容：</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除通用条款约定外还需</w:t>
      </w:r>
      <w:r>
        <w:rPr>
          <w:rFonts w:hint="eastAsia" w:ascii="仿宋" w:hAnsi="仿宋" w:eastAsia="仿宋" w:cs="仿宋"/>
          <w:color w:val="000000" w:themeColor="text1"/>
          <w:sz w:val="24"/>
          <w:szCs w:val="24"/>
          <w:highlight w:val="none"/>
          <w:u w:val="single"/>
          <w14:textFill>
            <w14:solidFill>
              <w14:schemeClr w14:val="tx1"/>
            </w14:solidFill>
          </w14:textFill>
        </w:rPr>
        <w:t>提供以下资料：</w:t>
      </w:r>
    </w:p>
    <w:p w14:paraId="12009EE5">
      <w:pPr>
        <w:keepNext w:val="0"/>
        <w:keepLines w:val="0"/>
        <w:pageBreakBefore w:val="0"/>
        <w:widowControl w:val="0"/>
        <w:tabs>
          <w:tab w:val="left" w:pos="746"/>
        </w:tabs>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none"/>
          <w14:textFill>
            <w14:solidFill>
              <w14:schemeClr w14:val="tx1"/>
            </w14:solidFill>
          </w14:textFill>
        </w:rPr>
        <w:tab/>
      </w:r>
      <w:r>
        <w:rPr>
          <w:rFonts w:hint="eastAsia" w:ascii="仿宋" w:hAnsi="仿宋" w:eastAsia="仿宋" w:cs="仿宋"/>
          <w:color w:val="000000" w:themeColor="text1"/>
          <w:spacing w:val="-7"/>
          <w:sz w:val="24"/>
          <w:szCs w:val="24"/>
          <w:highlight w:val="none"/>
          <w:u w:val="single"/>
          <w14:textFill>
            <w14:solidFill>
              <w14:schemeClr w14:val="tx1"/>
            </w14:solidFill>
          </w14:textFill>
        </w:rPr>
        <w:t>（1）工程结算书纸质版两份，完整电子软件版一份；</w:t>
      </w:r>
    </w:p>
    <w:p w14:paraId="3094FE3F">
      <w:pPr>
        <w:keepNext w:val="0"/>
        <w:keepLines w:val="0"/>
        <w:pageBreakBefore w:val="0"/>
        <w:widowControl w:val="0"/>
        <w:tabs>
          <w:tab w:val="left" w:pos="746"/>
        </w:tabs>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none"/>
          <w14:textFill>
            <w14:solidFill>
              <w14:schemeClr w14:val="tx1"/>
            </w14:solidFill>
          </w14:textFill>
        </w:rPr>
        <w:tab/>
      </w:r>
      <w:r>
        <w:rPr>
          <w:rFonts w:hint="eastAsia" w:ascii="仿宋" w:hAnsi="仿宋" w:eastAsia="仿宋" w:cs="仿宋"/>
          <w:color w:val="000000" w:themeColor="text1"/>
          <w:spacing w:val="-7"/>
          <w:sz w:val="24"/>
          <w:szCs w:val="24"/>
          <w:highlight w:val="none"/>
          <w:u w:val="single"/>
          <w14:textFill>
            <w14:solidFill>
              <w14:schemeClr w14:val="tx1"/>
            </w14:solidFill>
          </w14:textFill>
        </w:rPr>
        <w:t>（2）本项目完整的施工图、工程变更、签证及竣工图；</w:t>
      </w:r>
    </w:p>
    <w:p w14:paraId="04E4466E">
      <w:pPr>
        <w:keepNext w:val="0"/>
        <w:keepLines w:val="0"/>
        <w:pageBreakBefore w:val="0"/>
        <w:widowControl w:val="0"/>
        <w:tabs>
          <w:tab w:val="left" w:pos="746"/>
        </w:tabs>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none"/>
          <w14:textFill>
            <w14:solidFill>
              <w14:schemeClr w14:val="tx1"/>
            </w14:solidFill>
          </w14:textFill>
        </w:rPr>
        <w:tab/>
      </w:r>
      <w:r>
        <w:rPr>
          <w:rFonts w:hint="eastAsia" w:ascii="仿宋" w:hAnsi="仿宋" w:eastAsia="仿宋" w:cs="仿宋"/>
          <w:color w:val="000000" w:themeColor="text1"/>
          <w:spacing w:val="-6"/>
          <w:sz w:val="24"/>
          <w:szCs w:val="24"/>
          <w:highlight w:val="none"/>
          <w:u w:val="single"/>
          <w14:textFill>
            <w14:solidFill>
              <w14:schemeClr w14:val="tx1"/>
            </w14:solidFill>
          </w14:textFill>
        </w:rPr>
        <w:t>（3）与工程价款确定相关的会议纪要、联系函等其它证据资料。</w:t>
      </w:r>
    </w:p>
    <w:p w14:paraId="3737C8A0">
      <w:pPr>
        <w:keepNext w:val="0"/>
        <w:keepLines w:val="0"/>
        <w:pageBreakBefore w:val="0"/>
        <w:widowControl w:val="0"/>
        <w:tabs>
          <w:tab w:val="left" w:pos="746"/>
        </w:tabs>
        <w:kinsoku/>
        <w:wordWrap/>
        <w:overflowPunct/>
        <w:topLinePunct w:val="0"/>
        <w:autoSpaceDE/>
        <w:autoSpaceDN/>
        <w:bidi w:val="0"/>
        <w:snapToGrid/>
        <w:spacing w:line="360" w:lineRule="auto"/>
        <w:ind w:left="0" w:leftChars="0" w:right="0" w:rightChars="0" w:firstLine="54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none"/>
          <w14:textFill>
            <w14:solidFill>
              <w14:schemeClr w14:val="tx1"/>
            </w14:solidFill>
          </w14:textFill>
        </w:rPr>
        <w:tab/>
      </w:r>
      <w:r>
        <w:rPr>
          <w:rFonts w:hint="eastAsia" w:ascii="仿宋" w:hAnsi="仿宋" w:eastAsia="仿宋" w:cs="仿宋"/>
          <w:color w:val="000000" w:themeColor="text1"/>
          <w:spacing w:val="-5"/>
          <w:sz w:val="24"/>
          <w:szCs w:val="24"/>
          <w:highlight w:val="none"/>
          <w:u w:val="single"/>
          <w14:textFill>
            <w14:solidFill>
              <w14:schemeClr w14:val="tx1"/>
            </w14:solidFill>
          </w14:textFill>
        </w:rPr>
        <w:t>（4）承包人应该实事求是地报送本工程合同相关竣工结算金额，如果承包</w:t>
      </w:r>
      <w:r>
        <w:rPr>
          <w:rFonts w:hint="eastAsia" w:ascii="仿宋" w:hAnsi="仿宋" w:eastAsia="仿宋" w:cs="仿宋"/>
          <w:color w:val="000000" w:themeColor="text1"/>
          <w:spacing w:val="-2"/>
          <w:sz w:val="24"/>
          <w:szCs w:val="24"/>
          <w:highlight w:val="none"/>
          <w:u w:val="single"/>
          <w14:textFill>
            <w14:solidFill>
              <w14:schemeClr w14:val="tx1"/>
            </w14:solidFill>
          </w14:textFill>
        </w:rPr>
        <w:t>人所报送金额经发包人、发包人委托的工程造价咨询机构或发包人上级部门审查</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u w:val="single"/>
          <w14:textFill>
            <w14:solidFill>
              <w14:schemeClr w14:val="tx1"/>
            </w14:solidFill>
          </w14:textFill>
        </w:rPr>
        <w:t>时，审减率超过</w:t>
      </w:r>
      <w:r>
        <w:rPr>
          <w:rFonts w:hint="eastAsia" w:ascii="仿宋" w:hAnsi="仿宋" w:eastAsia="仿宋" w:cs="仿宋"/>
          <w:color w:val="000000" w:themeColor="text1"/>
          <w:spacing w:val="-5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u w:val="single"/>
          <w14:textFill>
            <w14:solidFill>
              <w14:schemeClr w14:val="tx1"/>
            </w14:solidFill>
          </w14:textFill>
        </w:rPr>
        <w:t>5%（不含</w:t>
      </w:r>
      <w:r>
        <w:rPr>
          <w:rFonts w:hint="eastAsia" w:ascii="仿宋" w:hAnsi="仿宋" w:eastAsia="仿宋" w:cs="仿宋"/>
          <w:color w:val="000000" w:themeColor="text1"/>
          <w:spacing w:val="-4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u w:val="single"/>
          <w14:textFill>
            <w14:solidFill>
              <w14:schemeClr w14:val="tx1"/>
            </w14:solidFill>
          </w14:textFill>
        </w:rPr>
        <w:t>5%）时，发包人有权按超过部分的审减金额的 5%从结</w:t>
      </w:r>
      <w:r>
        <w:rPr>
          <w:rFonts w:hint="eastAsia" w:ascii="仿宋" w:hAnsi="仿宋" w:eastAsia="仿宋" w:cs="仿宋"/>
          <w:color w:val="000000" w:themeColor="text1"/>
          <w:spacing w:val="-2"/>
          <w:sz w:val="24"/>
          <w:szCs w:val="24"/>
          <w:highlight w:val="none"/>
          <w:u w:val="single"/>
          <w14:textFill>
            <w14:solidFill>
              <w14:schemeClr w14:val="tx1"/>
            </w14:solidFill>
          </w14:textFill>
        </w:rPr>
        <w:t>算工程款中扣除。</w:t>
      </w:r>
    </w:p>
    <w:p w14:paraId="5271AE9C">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14.2 竣工结算审核</w:t>
      </w:r>
    </w:p>
    <w:p w14:paraId="0F8DCCEE">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发包人审批竣工付款申请单的期限：</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588FFFF3">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发包人完成竣工付款的期限：</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06AB5580">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关于竣工付款证书异议部分复核的方式和程序：</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按通用条款执行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2DA886BA">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14.4</w:t>
      </w:r>
      <w:r>
        <w:rPr>
          <w:rFonts w:hint="eastAsia" w:ascii="仿宋" w:hAnsi="仿宋" w:eastAsia="仿宋" w:cs="仿宋"/>
          <w:color w:val="000000" w:themeColor="text1"/>
          <w:spacing w:val="1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最终结清</w:t>
      </w:r>
    </w:p>
    <w:p w14:paraId="4A630BE2">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14.4.1 最终结清申请单</w:t>
      </w:r>
    </w:p>
    <w:p w14:paraId="12A2254F">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承包人提交最终结清申请单的份数：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八份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0EBD81DA">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承包人提交最终结算申请单的期限：</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21B66800">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14.4.2 最终结清证书和支付</w:t>
      </w:r>
    </w:p>
    <w:p w14:paraId="11B8A107">
      <w:pPr>
        <w:keepNext w:val="0"/>
        <w:keepLines w:val="0"/>
        <w:pageBreakBefore w:val="0"/>
        <w:widowControl w:val="0"/>
        <w:kinsoku/>
        <w:wordWrap/>
        <w:overflowPunct/>
        <w:topLinePunct w:val="0"/>
        <w:autoSpaceDE/>
        <w:autoSpaceDN/>
        <w:bidi w:val="0"/>
        <w:snapToGrid/>
        <w:spacing w:line="360" w:lineRule="auto"/>
        <w:ind w:left="0" w:leftChars="0" w:right="0" w:rightChars="0" w:firstLine="56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（1）发包人完成最终结清申请单的审批并颁发最终结清证书的期限：</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工</w:t>
      </w:r>
      <w:r>
        <w:rPr>
          <w:rFonts w:hint="eastAsia" w:ascii="仿宋" w:hAnsi="仿宋" w:eastAsia="仿宋" w:cs="仿宋"/>
          <w:color w:val="000000" w:themeColor="text1"/>
          <w:spacing w:val="-2"/>
          <w:sz w:val="24"/>
          <w:szCs w:val="24"/>
          <w:highlight w:val="none"/>
          <w:u w:val="single"/>
          <w14:textFill>
            <w14:solidFill>
              <w14:schemeClr w14:val="tx1"/>
            </w14:solidFill>
          </w14:textFill>
        </w:rPr>
        <w:t>程竣工结算经审计定案后，支付至最终结算额</w:t>
      </w:r>
      <w:r>
        <w:rPr>
          <w:rFonts w:hint="eastAsia" w:ascii="仿宋" w:hAnsi="仿宋" w:eastAsia="仿宋" w:cs="仿宋"/>
          <w:color w:val="000000" w:themeColor="text1"/>
          <w:spacing w:val="-3"/>
          <w:sz w:val="24"/>
          <w:szCs w:val="24"/>
          <w:highlight w:val="none"/>
          <w:u w:val="single"/>
          <w14:textFill>
            <w14:solidFill>
              <w14:schemeClr w14:val="tx1"/>
            </w14:solidFill>
          </w14:textFill>
        </w:rPr>
        <w:t>的</w:t>
      </w:r>
      <w:r>
        <w:rPr>
          <w:rFonts w:hint="eastAsia" w:ascii="仿宋" w:hAnsi="仿宋" w:eastAsia="仿宋" w:cs="仿宋"/>
          <w:color w:val="000000" w:themeColor="text1"/>
          <w:spacing w:val="-58"/>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u w:val="single"/>
          <w14:textFill>
            <w14:solidFill>
              <w14:schemeClr w14:val="tx1"/>
            </w14:solidFill>
          </w14:textFill>
        </w:rPr>
        <w:t>97%，扣留</w:t>
      </w:r>
      <w:r>
        <w:rPr>
          <w:rFonts w:hint="eastAsia" w:ascii="仿宋" w:hAnsi="仿宋" w:eastAsia="仿宋" w:cs="仿宋"/>
          <w:color w:val="000000" w:themeColor="text1"/>
          <w:spacing w:val="-54"/>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u w:val="single"/>
          <w14:textFill>
            <w14:solidFill>
              <w14:schemeClr w14:val="tx1"/>
            </w14:solidFill>
          </w14:textFill>
        </w:rPr>
        <w:t>3%作为工程质保金，</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质保金在质保期内不计息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3B84A9D9">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pacing w:val="-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（2）发包人完成支付的期限：</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1C4BC9E4">
      <w:pPr>
        <w:keepNext w:val="0"/>
        <w:keepLines w:val="0"/>
        <w:pageBreakBefore w:val="0"/>
        <w:widowControl w:val="0"/>
        <w:kinsoku/>
        <w:wordWrap/>
        <w:overflowPunct/>
        <w:topLinePunct w:val="0"/>
        <w:autoSpaceDE/>
        <w:autoSpaceDN/>
        <w:bidi w:val="0"/>
        <w:snapToGrid/>
        <w:spacing w:line="360" w:lineRule="auto"/>
        <w:ind w:left="0" w:leftChars="0" w:right="0" w:rightChars="0" w:firstLine="568"/>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补充条款：</w:t>
      </w:r>
      <w:r>
        <w:rPr>
          <w:rFonts w:hint="eastAsia" w:ascii="仿宋" w:hAnsi="仿宋" w:eastAsia="仿宋" w:cs="仿宋"/>
          <w:color w:val="000000" w:themeColor="text1"/>
          <w:spacing w:val="-1"/>
          <w:sz w:val="24"/>
          <w:szCs w:val="24"/>
          <w:highlight w:val="none"/>
          <w:u w:val="single"/>
          <w14:textFill>
            <w14:solidFill>
              <w14:schemeClr w14:val="tx1"/>
            </w14:solidFill>
          </w14:textFill>
        </w:rPr>
        <w:t>依据《关于印发&lt;关于在房屋建筑和市政基础设施工程中推行施工过程结算的实施意见&gt;的通知》（新建规[2023]11 号）本项目采取施工过程结算，发承包双方另行签定补充协议约定结算周期或节点划分，分阶段对质量合格的已完成工程进行价款计算（含变更、签证、索赔等）。</w:t>
      </w:r>
    </w:p>
    <w:p w14:paraId="068606F6">
      <w:pPr>
        <w:keepNext w:val="0"/>
        <w:keepLines w:val="0"/>
        <w:pageBreakBefore w:val="0"/>
        <w:widowControl w:val="0"/>
        <w:kinsoku/>
        <w:wordWrap/>
        <w:overflowPunct/>
        <w:topLinePunct w:val="0"/>
        <w:autoSpaceDE/>
        <w:autoSpaceDN/>
        <w:bidi w:val="0"/>
        <w:snapToGrid/>
        <w:spacing w:line="360" w:lineRule="auto"/>
        <w:ind w:left="0" w:leftChars="0" w:right="0" w:rightChars="0"/>
        <w:outlineLvl w:val="2"/>
        <w:rPr>
          <w:rFonts w:hint="eastAsia" w:ascii="仿宋" w:hAnsi="仿宋" w:eastAsia="仿宋" w:cs="仿宋"/>
          <w:color w:val="000000" w:themeColor="text1"/>
          <w:sz w:val="24"/>
          <w:szCs w:val="24"/>
          <w:highlight w:val="none"/>
          <w14:textFill>
            <w14:solidFill>
              <w14:schemeClr w14:val="tx1"/>
            </w14:solidFill>
          </w14:textFill>
        </w:rPr>
      </w:pPr>
      <w:bookmarkStart w:id="166" w:name="bookmark150"/>
      <w:bookmarkEnd w:id="166"/>
      <w:bookmarkStart w:id="167" w:name="_Toc181"/>
      <w:r>
        <w:rPr>
          <w:rFonts w:hint="eastAsia" w:ascii="仿宋" w:hAnsi="仿宋" w:eastAsia="仿宋" w:cs="仿宋"/>
          <w:color w:val="000000" w:themeColor="text1"/>
          <w:spacing w:val="-3"/>
          <w:sz w:val="24"/>
          <w:szCs w:val="24"/>
          <w:highlight w:val="none"/>
          <w14:textFill>
            <w14:solidFill>
              <w14:schemeClr w14:val="tx1"/>
            </w14:solidFill>
          </w14:textFill>
        </w:rPr>
        <w:t>15. 缺陷责任期与保修</w:t>
      </w:r>
      <w:bookmarkEnd w:id="167"/>
    </w:p>
    <w:p w14:paraId="6CE06C43">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15.2</w:t>
      </w:r>
      <w:r>
        <w:rPr>
          <w:rFonts w:hint="eastAsia" w:ascii="仿宋" w:hAnsi="仿宋" w:eastAsia="仿宋" w:cs="仿宋"/>
          <w:color w:val="000000" w:themeColor="text1"/>
          <w:spacing w:val="-5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缺陷责任期</w:t>
      </w:r>
    </w:p>
    <w:p w14:paraId="32672A2F">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缺陷责任期的具体期限：</w:t>
      </w:r>
      <w:r>
        <w:rPr>
          <w:rFonts w:hint="eastAsia" w:ascii="仿宋" w:hAnsi="仿宋" w:eastAsia="仿宋" w:cs="仿宋"/>
          <w:color w:val="000000" w:themeColor="text1"/>
          <w:spacing w:val="-2"/>
          <w:sz w:val="24"/>
          <w:szCs w:val="24"/>
          <w:highlight w:val="none"/>
          <w:u w:val="single"/>
          <w14:textFill>
            <w14:solidFill>
              <w14:schemeClr w14:val="tx1"/>
            </w14:solidFill>
          </w14:textFill>
        </w:rPr>
        <w:t xml:space="preserve"> 竣工验收合格后起算，具体期限详见工程质量保</w:t>
      </w:r>
      <w:r>
        <w:rPr>
          <w:rFonts w:hint="eastAsia" w:ascii="仿宋" w:hAnsi="仿宋" w:eastAsia="仿宋" w:cs="仿宋"/>
          <w:color w:val="000000" w:themeColor="text1"/>
          <w:spacing w:val="-3"/>
          <w:sz w:val="24"/>
          <w:szCs w:val="24"/>
          <w:highlight w:val="none"/>
          <w:u w:val="single"/>
          <w14:textFill>
            <w14:solidFill>
              <w14:schemeClr w14:val="tx1"/>
            </w14:solidFill>
          </w14:textFill>
        </w:rPr>
        <w:t xml:space="preserve">修书 </w:t>
      </w:r>
      <w:r>
        <w:rPr>
          <w:rFonts w:hint="eastAsia" w:ascii="仿宋" w:hAnsi="仿宋" w:eastAsia="仿宋" w:cs="仿宋"/>
          <w:color w:val="000000" w:themeColor="text1"/>
          <w:spacing w:val="-3"/>
          <w:sz w:val="24"/>
          <w:szCs w:val="24"/>
          <w:highlight w:val="none"/>
          <w14:textFill>
            <w14:solidFill>
              <w14:schemeClr w14:val="tx1"/>
            </w14:solidFill>
          </w14:textFill>
        </w:rPr>
        <w:t>。</w:t>
      </w:r>
    </w:p>
    <w:p w14:paraId="77390B7A">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15.3 质量保证金</w:t>
      </w:r>
    </w:p>
    <w:p w14:paraId="016EDCA7">
      <w:pPr>
        <w:keepNext w:val="0"/>
        <w:keepLines w:val="0"/>
        <w:pageBreakBefore w:val="0"/>
        <w:widowControl w:val="0"/>
        <w:kinsoku/>
        <w:wordWrap/>
        <w:overflowPunct/>
        <w:topLinePunct w:val="0"/>
        <w:autoSpaceDE/>
        <w:autoSpaceDN/>
        <w:bidi w:val="0"/>
        <w:snapToGrid/>
        <w:spacing w:line="360" w:lineRule="auto"/>
        <w:ind w:left="0" w:leftChars="0" w:right="0" w:rightChars="0" w:firstLine="56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关于是否扣留质量保证金的约定：</w:t>
      </w:r>
      <w:r>
        <w:rPr>
          <w:rFonts w:hint="eastAsia" w:ascii="仿宋" w:hAnsi="仿宋" w:eastAsia="仿宋" w:cs="仿宋"/>
          <w:color w:val="000000" w:themeColor="text1"/>
          <w:spacing w:val="-4"/>
          <w:sz w:val="24"/>
          <w:szCs w:val="24"/>
          <w:highlight w:val="none"/>
          <w:u w:val="single"/>
          <w14:textFill>
            <w14:solidFill>
              <w14:schemeClr w14:val="tx1"/>
            </w14:solidFill>
          </w14:textFill>
        </w:rPr>
        <w:t xml:space="preserve"> 扣留工程终</w:t>
      </w:r>
      <w:r>
        <w:rPr>
          <w:rFonts w:hint="eastAsia" w:ascii="仿宋" w:hAnsi="仿宋" w:eastAsia="仿宋" w:cs="仿宋"/>
          <w:color w:val="000000" w:themeColor="text1"/>
          <w:spacing w:val="-5"/>
          <w:sz w:val="24"/>
          <w:szCs w:val="24"/>
          <w:highlight w:val="none"/>
          <w:u w:val="single"/>
          <w14:textFill>
            <w14:solidFill>
              <w14:schemeClr w14:val="tx1"/>
            </w14:solidFill>
          </w14:textFill>
        </w:rPr>
        <w:t>审价格的</w:t>
      </w:r>
      <w:r>
        <w:rPr>
          <w:rFonts w:hint="eastAsia" w:ascii="仿宋" w:hAnsi="仿宋" w:eastAsia="仿宋" w:cs="仿宋"/>
          <w:color w:val="000000" w:themeColor="text1"/>
          <w:spacing w:val="-55"/>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u w:val="single"/>
          <w14:textFill>
            <w14:solidFill>
              <w14:schemeClr w14:val="tx1"/>
            </w14:solidFill>
          </w14:textFill>
        </w:rPr>
        <w:t>3%作为工程质量保</w:t>
      </w:r>
      <w:r>
        <w:rPr>
          <w:rFonts w:hint="eastAsia" w:ascii="仿宋" w:hAnsi="仿宋" w:eastAsia="仿宋" w:cs="仿宋"/>
          <w:color w:val="000000" w:themeColor="text1"/>
          <w:spacing w:val="-2"/>
          <w:sz w:val="24"/>
          <w:szCs w:val="24"/>
          <w:highlight w:val="none"/>
          <w:u w:val="single"/>
          <w14:textFill>
            <w14:solidFill>
              <w14:schemeClr w14:val="tx1"/>
            </w14:solidFill>
          </w14:textFill>
        </w:rPr>
        <w:t xml:space="preserve">证金 </w:t>
      </w:r>
      <w:r>
        <w:rPr>
          <w:rFonts w:hint="eastAsia" w:ascii="仿宋" w:hAnsi="仿宋" w:eastAsia="仿宋" w:cs="仿宋"/>
          <w:color w:val="000000" w:themeColor="text1"/>
          <w:spacing w:val="-2"/>
          <w:sz w:val="24"/>
          <w:szCs w:val="24"/>
          <w:highlight w:val="none"/>
          <w14:textFill>
            <w14:solidFill>
              <w14:schemeClr w14:val="tx1"/>
            </w14:solidFill>
          </w14:textFill>
        </w:rPr>
        <w:t>。</w:t>
      </w:r>
    </w:p>
    <w:p w14:paraId="6118A8DD">
      <w:pPr>
        <w:keepNext w:val="0"/>
        <w:keepLines w:val="0"/>
        <w:pageBreakBefore w:val="0"/>
        <w:widowControl w:val="0"/>
        <w:kinsoku/>
        <w:wordWrap/>
        <w:overflowPunct/>
        <w:topLinePunct w:val="0"/>
        <w:autoSpaceDE/>
        <w:autoSpaceDN/>
        <w:bidi w:val="0"/>
        <w:snapToGrid/>
        <w:spacing w:line="360" w:lineRule="auto"/>
        <w:ind w:left="0" w:leftChars="0" w:right="0" w:rightChars="0" w:firstLine="55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在工程项目竣工前，承包人按专用合同条款第</w:t>
      </w:r>
      <w:r>
        <w:rPr>
          <w:rFonts w:hint="eastAsia" w:ascii="仿宋" w:hAnsi="仿宋" w:eastAsia="仿宋" w:cs="仿宋"/>
          <w:color w:val="000000" w:themeColor="text1"/>
          <w:spacing w:val="-4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3.7</w:t>
      </w:r>
      <w:r>
        <w:rPr>
          <w:rFonts w:hint="eastAsia" w:ascii="仿宋" w:hAnsi="仿宋" w:eastAsia="仿宋" w:cs="仿宋"/>
          <w:color w:val="000000" w:themeColor="text1"/>
          <w:spacing w:val="-5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条提供履约担保的，发包人不得同时预留工程质量保证金。</w:t>
      </w:r>
    </w:p>
    <w:p w14:paraId="58F81F5C">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15.3.1 承包人提供质量保证金的方式</w:t>
      </w:r>
    </w:p>
    <w:p w14:paraId="3D87F744">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质量保证金采用以下第</w:t>
      </w:r>
      <w:r>
        <w:rPr>
          <w:rFonts w:hint="eastAsia" w:ascii="仿宋" w:hAnsi="仿宋" w:eastAsia="仿宋" w:cs="仿宋"/>
          <w:color w:val="000000" w:themeColor="text1"/>
          <w:spacing w:val="-2"/>
          <w:sz w:val="24"/>
          <w:szCs w:val="24"/>
          <w:highlight w:val="none"/>
          <w:u w:val="single"/>
          <w14:textFill>
            <w14:solidFill>
              <w14:schemeClr w14:val="tx1"/>
            </w14:solidFill>
          </w14:textFill>
        </w:rPr>
        <w:t xml:space="preserve">  2   </w:t>
      </w:r>
      <w:r>
        <w:rPr>
          <w:rFonts w:hint="eastAsia" w:ascii="仿宋" w:hAnsi="仿宋" w:eastAsia="仿宋" w:cs="仿宋"/>
          <w:color w:val="000000" w:themeColor="text1"/>
          <w:spacing w:val="-11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种方式：</w:t>
      </w:r>
    </w:p>
    <w:p w14:paraId="29848636">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（1）质量保证金保函，保证金额为：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234467A1">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w:t>
      </w:r>
      <w:r>
        <w:rPr>
          <w:rFonts w:hint="eastAsia" w:ascii="仿宋" w:hAnsi="仿宋" w:eastAsia="仿宋" w:cs="仿宋"/>
          <w:color w:val="000000" w:themeColor="text1"/>
          <w:spacing w:val="5"/>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u w:val="single"/>
          <w14:textFill>
            <w14:solidFill>
              <w14:schemeClr w14:val="tx1"/>
            </w14:solidFill>
          </w14:textFill>
        </w:rPr>
        <w:t xml:space="preserve">3   </w:t>
      </w:r>
      <w:r>
        <w:rPr>
          <w:rFonts w:hint="eastAsia" w:ascii="仿宋" w:hAnsi="仿宋" w:eastAsia="仿宋" w:cs="仿宋"/>
          <w:color w:val="000000" w:themeColor="text1"/>
          <w:spacing w:val="-6"/>
          <w:sz w:val="24"/>
          <w:szCs w:val="24"/>
          <w:highlight w:val="none"/>
          <w14:textFill>
            <w14:solidFill>
              <w14:schemeClr w14:val="tx1"/>
            </w14:solidFill>
          </w14:textFill>
        </w:rPr>
        <w:t>%的工程款；</w:t>
      </w:r>
    </w:p>
    <w:p w14:paraId="688A6377">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（3）其他方式:</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0C6DC419">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15.3.2 质量保证金的扣留</w:t>
      </w:r>
    </w:p>
    <w:p w14:paraId="46CCA995">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质量保证金的扣留采取以下第</w:t>
      </w:r>
      <w:r>
        <w:rPr>
          <w:rFonts w:hint="eastAsia" w:ascii="仿宋" w:hAnsi="仿宋" w:eastAsia="仿宋" w:cs="仿宋"/>
          <w:color w:val="000000" w:themeColor="text1"/>
          <w:spacing w:val="-3"/>
          <w:sz w:val="24"/>
          <w:szCs w:val="24"/>
          <w:highlight w:val="none"/>
          <w:u w:val="single"/>
          <w14:textFill>
            <w14:solidFill>
              <w14:schemeClr w14:val="tx1"/>
            </w14:solidFill>
          </w14:textFill>
        </w:rPr>
        <w:t xml:space="preserve">  2  </w:t>
      </w:r>
      <w:r>
        <w:rPr>
          <w:rFonts w:hint="eastAsia" w:ascii="仿宋" w:hAnsi="仿宋" w:eastAsia="仿宋" w:cs="仿宋"/>
          <w:color w:val="000000" w:themeColor="text1"/>
          <w:spacing w:val="-3"/>
          <w:sz w:val="24"/>
          <w:szCs w:val="24"/>
          <w:highlight w:val="none"/>
          <w14:textFill>
            <w14:solidFill>
              <w14:schemeClr w14:val="tx1"/>
            </w14:solidFill>
          </w14:textFill>
        </w:rPr>
        <w:t>种方式：</w:t>
      </w:r>
    </w:p>
    <w:p w14:paraId="34269FCB">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pacing w:val="-3"/>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（1）在</w:t>
      </w:r>
      <w:r>
        <w:rPr>
          <w:rFonts w:hint="eastAsia" w:ascii="仿宋" w:hAnsi="仿宋" w:eastAsia="仿宋" w:cs="仿宋"/>
          <w:color w:val="000000" w:themeColor="text1"/>
          <w:spacing w:val="-1"/>
          <w:sz w:val="24"/>
          <w:szCs w:val="24"/>
          <w:highlight w:val="none"/>
          <w14:textFill>
            <w14:solidFill>
              <w14:schemeClr w14:val="tx1"/>
            </w14:solidFill>
          </w14:textFill>
        </w:rPr>
        <w:t>支付</w:t>
      </w:r>
      <w:r>
        <w:rPr>
          <w:rFonts w:hint="eastAsia" w:ascii="仿宋" w:hAnsi="仿宋" w:eastAsia="仿宋" w:cs="仿宋"/>
          <w:color w:val="000000" w:themeColor="text1"/>
          <w:spacing w:val="-3"/>
          <w:sz w:val="24"/>
          <w:szCs w:val="24"/>
          <w:highlight w:val="none"/>
          <w14:textFill>
            <w14:solidFill>
              <w14:schemeClr w14:val="tx1"/>
            </w14:solidFill>
          </w14:textFill>
        </w:rPr>
        <w:t>工程进度款时逐次扣留，在此情形下，质量保证金的计算基数不包括预付款的支付、扣回以及价格调整的金额；</w:t>
      </w:r>
    </w:p>
    <w:p w14:paraId="03D09294">
      <w:pPr>
        <w:keepNext w:val="0"/>
        <w:keepLines w:val="0"/>
        <w:pageBreakBefore w:val="0"/>
        <w:widowControl w:val="0"/>
        <w:kinsoku/>
        <w:wordWrap/>
        <w:overflowPunct/>
        <w:topLinePunct w:val="0"/>
        <w:autoSpaceDE/>
        <w:autoSpaceDN/>
        <w:bidi w:val="0"/>
        <w:snapToGrid/>
        <w:spacing w:line="360" w:lineRule="auto"/>
        <w:ind w:left="0" w:leftChars="0" w:right="0" w:rightChars="0" w:firstLine="464"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（2）工程竣工结算时一次性扣留质量保证金；</w:t>
      </w:r>
    </w:p>
    <w:p w14:paraId="627F6D1A">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（3）其他扣留方式:</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6333A77B">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关于质量保证金的补充约定：</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工程整体竣工验收合格移交使用单位后，待</w:t>
      </w:r>
      <w:r>
        <w:rPr>
          <w:rFonts w:hint="eastAsia" w:ascii="仿宋" w:hAnsi="仿宋" w:eastAsia="仿宋" w:cs="仿宋"/>
          <w:color w:val="000000" w:themeColor="text1"/>
          <w:spacing w:val="1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缺陷责任期满后，保修期限期满后，由监理单位、建设单位、使用单位验收合格</w:t>
      </w:r>
      <w:r>
        <w:rPr>
          <w:rFonts w:hint="eastAsia" w:ascii="仿宋" w:hAnsi="仿宋" w:eastAsia="仿宋" w:cs="仿宋"/>
          <w:color w:val="000000" w:themeColor="text1"/>
          <w:sz w:val="24"/>
          <w:szCs w:val="24"/>
          <w:highlight w:val="none"/>
          <w:u w:val="single"/>
          <w14:textFill>
            <w14:solidFill>
              <w14:schemeClr w14:val="tx1"/>
            </w14:solidFill>
          </w14:textFill>
        </w:rPr>
        <w:t>共同确认后返还质保金。保修期限为附件 3工程质量</w:t>
      </w:r>
      <w:r>
        <w:rPr>
          <w:rFonts w:hint="eastAsia" w:ascii="仿宋" w:hAnsi="仿宋" w:eastAsia="仿宋" w:cs="仿宋"/>
          <w:color w:val="000000" w:themeColor="text1"/>
          <w:spacing w:val="-1"/>
          <w:sz w:val="24"/>
          <w:szCs w:val="24"/>
          <w:highlight w:val="none"/>
          <w:u w:val="single"/>
          <w14:textFill>
            <w14:solidFill>
              <w14:schemeClr w14:val="tx1"/>
            </w14:solidFill>
          </w14:textFill>
        </w:rPr>
        <w:t>保修书及国家、地方相关</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法律、法规及政策性文件所规定的保修期限。发包人</w:t>
      </w:r>
      <w:r>
        <w:rPr>
          <w:rFonts w:hint="eastAsia" w:ascii="仿宋" w:hAnsi="仿宋" w:eastAsia="仿宋" w:cs="仿宋"/>
          <w:color w:val="000000" w:themeColor="text1"/>
          <w:spacing w:val="-1"/>
          <w:sz w:val="24"/>
          <w:szCs w:val="24"/>
          <w:highlight w:val="none"/>
          <w:u w:val="single"/>
          <w14:textFill>
            <w14:solidFill>
              <w14:schemeClr w14:val="tx1"/>
            </w14:solidFill>
          </w14:textFill>
        </w:rPr>
        <w:t>有权按照通用条款及质量</w:t>
      </w:r>
      <w:r>
        <w:rPr>
          <w:rFonts w:hint="eastAsia" w:ascii="仿宋" w:hAnsi="仿宋" w:eastAsia="仿宋" w:cs="仿宋"/>
          <w:color w:val="000000" w:themeColor="text1"/>
          <w:sz w:val="24"/>
          <w:szCs w:val="24"/>
          <w:highlight w:val="none"/>
          <w:u w:val="single"/>
          <w14:textFill>
            <w14:solidFill>
              <w14:schemeClr w14:val="tx1"/>
            </w14:solidFill>
          </w14:textFill>
        </w:rPr>
        <w:t>保修书等相关规定从保修金中按本合同约定扣</w:t>
      </w:r>
      <w:r>
        <w:rPr>
          <w:rFonts w:hint="eastAsia" w:ascii="仿宋" w:hAnsi="仿宋" w:eastAsia="仿宋" w:cs="仿宋"/>
          <w:color w:val="000000" w:themeColor="text1"/>
          <w:spacing w:val="-1"/>
          <w:sz w:val="24"/>
          <w:szCs w:val="24"/>
          <w:highlight w:val="none"/>
          <w:u w:val="single"/>
          <w14:textFill>
            <w14:solidFill>
              <w14:schemeClr w14:val="tx1"/>
            </w14:solidFill>
          </w14:textFill>
        </w:rPr>
        <w:t>除有关保修费用及其他相关违约</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金、损害赔偿金等费用。质量保证金返还时不计</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利息等其他费用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2AD64AD9">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15.4</w:t>
      </w:r>
      <w:r>
        <w:rPr>
          <w:rFonts w:hint="eastAsia" w:ascii="仿宋" w:hAnsi="仿宋" w:eastAsia="仿宋" w:cs="仿宋"/>
          <w:color w:val="000000" w:themeColor="text1"/>
          <w:spacing w:val="-5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保修</w:t>
      </w:r>
    </w:p>
    <w:p w14:paraId="1560DECD">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15.4.1 保修责任</w:t>
      </w:r>
    </w:p>
    <w:p w14:paraId="23CC0F73">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工程保修期为：</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见工程质量保修书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208FDFDA">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15.4.3 修复通知</w:t>
      </w:r>
    </w:p>
    <w:p w14:paraId="57E7AB1B">
      <w:pPr>
        <w:keepNext w:val="0"/>
        <w:keepLines w:val="0"/>
        <w:pageBreakBefore w:val="0"/>
        <w:widowControl w:val="0"/>
        <w:kinsoku/>
        <w:wordWrap/>
        <w:overflowPunct/>
        <w:topLinePunct w:val="0"/>
        <w:autoSpaceDE/>
        <w:autoSpaceDN/>
        <w:bidi w:val="0"/>
        <w:snapToGrid/>
        <w:spacing w:line="360" w:lineRule="auto"/>
        <w:ind w:left="0" w:leftChars="0" w:right="0" w:rightChars="0" w:firstLine="464" w:firstLineChars="200"/>
        <w:jc w:val="left"/>
        <w:rPr>
          <w:rFonts w:hint="eastAsia" w:ascii="仿宋" w:hAnsi="仿宋" w:eastAsia="仿宋" w:cs="仿宋"/>
          <w:color w:val="000000" w:themeColor="text1"/>
          <w:spacing w:val="-4"/>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承包人收到保修通知并到达工程现场的合理时间：</w:t>
      </w:r>
      <w:r>
        <w:rPr>
          <w:rFonts w:hint="eastAsia" w:ascii="仿宋" w:hAnsi="仿宋" w:eastAsia="仿宋" w:cs="仿宋"/>
          <w:color w:val="000000" w:themeColor="text1"/>
          <w:spacing w:val="-4"/>
          <w:sz w:val="24"/>
          <w:szCs w:val="24"/>
          <w:highlight w:val="none"/>
          <w:u w:val="single"/>
          <w14:textFill>
            <w14:solidFill>
              <w14:schemeClr w14:val="tx1"/>
            </w14:solidFill>
          </w14:textFill>
        </w:rPr>
        <w:t xml:space="preserve"> 收到通知后</w:t>
      </w:r>
      <w:r>
        <w:rPr>
          <w:rFonts w:hint="eastAsia" w:ascii="仿宋" w:hAnsi="仿宋" w:eastAsia="仿宋" w:cs="仿宋"/>
          <w:color w:val="000000" w:themeColor="text1"/>
          <w:spacing w:val="-55"/>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u w:val="single"/>
          <w14:textFill>
            <w14:solidFill>
              <w14:schemeClr w14:val="tx1"/>
            </w14:solidFill>
          </w14:textFill>
        </w:rPr>
        <w:t>24</w:t>
      </w:r>
      <w:r>
        <w:rPr>
          <w:rFonts w:hint="eastAsia" w:ascii="仿宋" w:hAnsi="仿宋" w:eastAsia="仿宋" w:cs="仿宋"/>
          <w:color w:val="000000" w:themeColor="text1"/>
          <w:spacing w:val="-5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u w:val="single"/>
          <w14:textFill>
            <w14:solidFill>
              <w14:schemeClr w14:val="tx1"/>
            </w14:solidFill>
          </w14:textFill>
        </w:rPr>
        <w:t xml:space="preserve">小时内 </w:t>
      </w:r>
      <w:r>
        <w:rPr>
          <w:rFonts w:hint="eastAsia" w:ascii="仿宋" w:hAnsi="仿宋" w:eastAsia="仿宋" w:cs="仿宋"/>
          <w:color w:val="000000" w:themeColor="text1"/>
          <w:spacing w:val="-4"/>
          <w:sz w:val="24"/>
          <w:szCs w:val="24"/>
          <w:highlight w:val="none"/>
          <w14:textFill>
            <w14:solidFill>
              <w14:schemeClr w14:val="tx1"/>
            </w14:solidFill>
          </w14:textFill>
        </w:rPr>
        <w:t>。</w:t>
      </w:r>
    </w:p>
    <w:p w14:paraId="08D6AC51">
      <w:pPr>
        <w:keepNext w:val="0"/>
        <w:keepLines w:val="0"/>
        <w:pageBreakBefore w:val="0"/>
        <w:widowControl w:val="0"/>
        <w:kinsoku/>
        <w:wordWrap/>
        <w:overflowPunct/>
        <w:topLinePunct w:val="0"/>
        <w:autoSpaceDE/>
        <w:autoSpaceDN/>
        <w:bidi w:val="0"/>
        <w:snapToGrid/>
        <w:spacing w:line="360" w:lineRule="auto"/>
        <w:ind w:left="0" w:leftChars="0" w:right="0" w:rightChars="0" w:firstLine="496"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u w:val="single"/>
          <w14:textFill>
            <w14:solidFill>
              <w14:schemeClr w14:val="tx1"/>
            </w14:solidFill>
          </w14:textFill>
        </w:rPr>
        <w:t>1、属于保修范围和内容的项目，承包人应在接到修理通知之日后7</w:t>
      </w:r>
      <w:r>
        <w:rPr>
          <w:rFonts w:hint="eastAsia" w:ascii="仿宋" w:hAnsi="仿宋" w:eastAsia="仿宋" w:cs="仿宋"/>
          <w:color w:val="000000" w:themeColor="text1"/>
          <w:spacing w:val="3"/>
          <w:sz w:val="24"/>
          <w:szCs w:val="24"/>
          <w:highlight w:val="none"/>
          <w:u w:val="single"/>
          <w14:textFill>
            <w14:solidFill>
              <w14:schemeClr w14:val="tx1"/>
            </w14:solidFill>
          </w14:textFill>
        </w:rPr>
        <w:t>天内派</w:t>
      </w:r>
      <w:r>
        <w:rPr>
          <w:rFonts w:hint="eastAsia" w:ascii="仿宋" w:hAnsi="仿宋" w:eastAsia="仿宋" w:cs="仿宋"/>
          <w:color w:val="000000" w:themeColor="text1"/>
          <w:spacing w:val="-2"/>
          <w:sz w:val="24"/>
          <w:szCs w:val="24"/>
          <w:highlight w:val="none"/>
          <w:u w:val="single"/>
          <w14:textFill>
            <w14:solidFill>
              <w14:schemeClr w14:val="tx1"/>
            </w14:solidFill>
          </w14:textFill>
        </w:rPr>
        <w:t>人修理完毕。承包人不在约定期限内派人修理，发包人可委托其他人员修理，保</w:t>
      </w:r>
      <w:r>
        <w:rPr>
          <w:rFonts w:hint="eastAsia" w:ascii="仿宋" w:hAnsi="仿宋" w:eastAsia="仿宋" w:cs="仿宋"/>
          <w:color w:val="000000" w:themeColor="text1"/>
          <w:spacing w:val="-1"/>
          <w:sz w:val="24"/>
          <w:szCs w:val="24"/>
          <w:highlight w:val="none"/>
          <w:u w:val="single"/>
          <w14:textFill>
            <w14:solidFill>
              <w14:schemeClr w14:val="tx1"/>
            </w14:solidFill>
          </w14:textFill>
        </w:rPr>
        <w:t>修费用从质量保修金内扣除。</w:t>
      </w:r>
    </w:p>
    <w:p w14:paraId="2F0177E8">
      <w:pPr>
        <w:keepNext w:val="0"/>
        <w:keepLines w:val="0"/>
        <w:pageBreakBefore w:val="0"/>
        <w:widowControl w:val="0"/>
        <w:kinsoku/>
        <w:wordWrap/>
        <w:overflowPunct/>
        <w:topLinePunct w:val="0"/>
        <w:autoSpaceDE/>
        <w:autoSpaceDN/>
        <w:bidi w:val="0"/>
        <w:snapToGrid/>
        <w:spacing w:line="360" w:lineRule="auto"/>
        <w:ind w:left="0" w:leftChars="0" w:right="0" w:rightChars="0" w:firstLine="633"/>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2、发生须紧急抢修事故（如上水跑水、暖气漏水漏气、燃气漏气等</w:t>
      </w:r>
      <w:r>
        <w:rPr>
          <w:rFonts w:hint="eastAsia" w:ascii="仿宋" w:hAnsi="仿宋" w:eastAsia="仿宋" w:cs="仿宋"/>
          <w:color w:val="000000" w:themeColor="text1"/>
          <w:spacing w:val="-5"/>
          <w:sz w:val="24"/>
          <w:szCs w:val="24"/>
          <w:highlight w:val="none"/>
          <w:u w:val="singl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承</w:t>
      </w:r>
      <w:r>
        <w:rPr>
          <w:rFonts w:hint="eastAsia" w:ascii="仿宋" w:hAnsi="仿宋" w:eastAsia="仿宋" w:cs="仿宋"/>
          <w:color w:val="000000" w:themeColor="text1"/>
          <w:spacing w:val="-1"/>
          <w:sz w:val="24"/>
          <w:szCs w:val="24"/>
          <w:highlight w:val="none"/>
          <w:u w:val="single"/>
          <w14:textFill>
            <w14:solidFill>
              <w14:schemeClr w14:val="tx1"/>
            </w14:solidFill>
          </w14:textFill>
        </w:rPr>
        <w:t>包人接到事故通知后，应立即到达事故现场抢修。</w:t>
      </w:r>
    </w:p>
    <w:p w14:paraId="4E24CDCE">
      <w:pPr>
        <w:keepNext w:val="0"/>
        <w:keepLines w:val="0"/>
        <w:pageBreakBefore w:val="0"/>
        <w:widowControl w:val="0"/>
        <w:kinsoku/>
        <w:wordWrap/>
        <w:overflowPunct/>
        <w:topLinePunct w:val="0"/>
        <w:autoSpaceDE/>
        <w:autoSpaceDN/>
        <w:bidi w:val="0"/>
        <w:snapToGrid/>
        <w:spacing w:line="360" w:lineRule="auto"/>
        <w:ind w:left="0" w:leftChars="0" w:right="0" w:rightChars="0" w:firstLine="626"/>
        <w:jc w:val="left"/>
        <w:rPr>
          <w:rFonts w:hint="eastAsia" w:ascii="仿宋" w:hAnsi="仿宋" w:eastAsia="仿宋" w:cs="仿宋"/>
          <w:color w:val="000000" w:themeColor="text1"/>
          <w:spacing w:val="-1"/>
          <w:sz w:val="24"/>
          <w:szCs w:val="24"/>
          <w:highlight w:val="none"/>
          <w:u w:val="single"/>
          <w14:textFill>
            <w14:solidFill>
              <w14:schemeClr w14:val="tx1"/>
            </w14:solidFill>
          </w14:textFill>
        </w:rPr>
      </w:pPr>
      <w:r>
        <w:rPr>
          <w:rFonts w:hint="eastAsia" w:ascii="仿宋" w:hAnsi="仿宋" w:eastAsia="仿宋" w:cs="仿宋"/>
          <w:color w:val="000000" w:themeColor="text1"/>
          <w:spacing w:val="-4"/>
          <w:sz w:val="24"/>
          <w:szCs w:val="24"/>
          <w:highlight w:val="none"/>
          <w:u w:val="single"/>
          <w14:textFill>
            <w14:solidFill>
              <w14:schemeClr w14:val="tx1"/>
            </w14:solidFill>
          </w14:textFill>
        </w:rPr>
        <w:t>3、对于涉及结构安全的质量问题，应当按照《</w:t>
      </w:r>
      <w:r>
        <w:rPr>
          <w:rFonts w:hint="eastAsia" w:ascii="仿宋" w:hAnsi="仿宋" w:eastAsia="仿宋" w:cs="仿宋"/>
          <w:color w:val="000000" w:themeColor="text1"/>
          <w:spacing w:val="-5"/>
          <w:sz w:val="24"/>
          <w:szCs w:val="24"/>
          <w:highlight w:val="none"/>
          <w:u w:val="single"/>
          <w14:textFill>
            <w14:solidFill>
              <w14:schemeClr w14:val="tx1"/>
            </w14:solidFill>
          </w14:textFill>
        </w:rPr>
        <w:t>房屋建筑工程质量保修办法》</w:t>
      </w:r>
      <w:r>
        <w:rPr>
          <w:rFonts w:hint="eastAsia" w:ascii="仿宋" w:hAnsi="仿宋" w:eastAsia="仿宋" w:cs="仿宋"/>
          <w:color w:val="000000" w:themeColor="text1"/>
          <w:spacing w:val="-2"/>
          <w:sz w:val="24"/>
          <w:szCs w:val="24"/>
          <w:highlight w:val="none"/>
          <w:u w:val="single"/>
          <w14:textFill>
            <w14:solidFill>
              <w14:schemeClr w14:val="tx1"/>
            </w14:solidFill>
          </w14:textFill>
        </w:rPr>
        <w:t>的规定，立即向当地建设行政主管部门报告，采取安全防范措施；由原设计单位</w:t>
      </w:r>
      <w:r>
        <w:rPr>
          <w:rFonts w:hint="eastAsia" w:ascii="仿宋" w:hAnsi="仿宋" w:eastAsia="仿宋" w:cs="仿宋"/>
          <w:color w:val="000000" w:themeColor="text1"/>
          <w:spacing w:val="-1"/>
          <w:sz w:val="24"/>
          <w:szCs w:val="24"/>
          <w:highlight w:val="none"/>
          <w:u w:val="single"/>
          <w14:textFill>
            <w14:solidFill>
              <w14:schemeClr w14:val="tx1"/>
            </w14:solidFill>
          </w14:textFill>
        </w:rPr>
        <w:t>或具有相应资质等级的设计单位提出保修方案，承包人实施保修。</w:t>
      </w:r>
    </w:p>
    <w:p w14:paraId="74B6F4FD">
      <w:pPr>
        <w:keepNext w:val="0"/>
        <w:keepLines w:val="0"/>
        <w:pageBreakBefore w:val="0"/>
        <w:widowControl w:val="0"/>
        <w:kinsoku/>
        <w:wordWrap/>
        <w:overflowPunct/>
        <w:topLinePunct w:val="0"/>
        <w:autoSpaceDE/>
        <w:autoSpaceDN/>
        <w:bidi w:val="0"/>
        <w:snapToGrid/>
        <w:spacing w:line="360" w:lineRule="auto"/>
        <w:ind w:left="0" w:leftChars="0" w:right="0" w:rightChars="0" w:firstLine="626"/>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4、质量保修完成后，由发包人、监理单位</w:t>
      </w:r>
      <w:r>
        <w:rPr>
          <w:rFonts w:hint="eastAsia" w:ascii="仿宋" w:hAnsi="仿宋" w:eastAsia="仿宋" w:cs="仿宋"/>
          <w:color w:val="000000" w:themeColor="text1"/>
          <w:spacing w:val="-1"/>
          <w:sz w:val="24"/>
          <w:szCs w:val="24"/>
          <w:highlight w:val="none"/>
          <w:u w:val="single"/>
          <w14:textFill>
            <w14:solidFill>
              <w14:schemeClr w14:val="tx1"/>
            </w14:solidFill>
          </w14:textFill>
        </w:rPr>
        <w:t>和使用单位组织验收。</w:t>
      </w:r>
    </w:p>
    <w:p w14:paraId="507AC0C0">
      <w:pPr>
        <w:keepNext w:val="0"/>
        <w:keepLines w:val="0"/>
        <w:pageBreakBefore w:val="0"/>
        <w:widowControl w:val="0"/>
        <w:kinsoku/>
        <w:wordWrap/>
        <w:overflowPunct/>
        <w:topLinePunct w:val="0"/>
        <w:autoSpaceDE/>
        <w:autoSpaceDN/>
        <w:bidi w:val="0"/>
        <w:snapToGrid/>
        <w:spacing w:line="360" w:lineRule="auto"/>
        <w:ind w:left="0" w:leftChars="0" w:right="0" w:rightChars="0"/>
        <w:outlineLvl w:val="2"/>
        <w:rPr>
          <w:rFonts w:hint="eastAsia" w:ascii="仿宋" w:hAnsi="仿宋" w:eastAsia="仿宋" w:cs="仿宋"/>
          <w:color w:val="000000" w:themeColor="text1"/>
          <w:sz w:val="24"/>
          <w:szCs w:val="24"/>
          <w:highlight w:val="none"/>
          <w14:textFill>
            <w14:solidFill>
              <w14:schemeClr w14:val="tx1"/>
            </w14:solidFill>
          </w14:textFill>
        </w:rPr>
      </w:pPr>
      <w:bookmarkStart w:id="168" w:name="bookmark151"/>
      <w:bookmarkEnd w:id="168"/>
      <w:bookmarkStart w:id="169" w:name="_Toc3710"/>
      <w:r>
        <w:rPr>
          <w:rFonts w:hint="eastAsia" w:ascii="仿宋" w:hAnsi="仿宋" w:eastAsia="仿宋" w:cs="仿宋"/>
          <w:color w:val="000000" w:themeColor="text1"/>
          <w:spacing w:val="-8"/>
          <w:sz w:val="24"/>
          <w:szCs w:val="24"/>
          <w:highlight w:val="none"/>
          <w14:textFill>
            <w14:solidFill>
              <w14:schemeClr w14:val="tx1"/>
            </w14:solidFill>
          </w14:textFill>
        </w:rPr>
        <w:t>16.</w:t>
      </w:r>
      <w:r>
        <w:rPr>
          <w:rFonts w:hint="eastAsia" w:ascii="仿宋" w:hAnsi="仿宋" w:eastAsia="仿宋" w:cs="仿宋"/>
          <w:color w:val="000000" w:themeColor="text1"/>
          <w:spacing w:val="1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14:textFill>
            <w14:solidFill>
              <w14:schemeClr w14:val="tx1"/>
            </w14:solidFill>
          </w14:textFill>
        </w:rPr>
        <w:t>违约</w:t>
      </w:r>
      <w:bookmarkEnd w:id="169"/>
    </w:p>
    <w:p w14:paraId="351F1D5B">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16.1</w:t>
      </w:r>
      <w:r>
        <w:rPr>
          <w:rFonts w:hint="eastAsia" w:ascii="仿宋" w:hAnsi="仿宋" w:eastAsia="仿宋" w:cs="仿宋"/>
          <w:color w:val="000000" w:themeColor="text1"/>
          <w:spacing w:val="2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发包人违约</w:t>
      </w:r>
    </w:p>
    <w:p w14:paraId="2F7C1704">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16.1.1</w:t>
      </w:r>
      <w:r>
        <w:rPr>
          <w:rFonts w:hint="eastAsia" w:ascii="仿宋" w:hAnsi="仿宋" w:eastAsia="仿宋" w:cs="仿宋"/>
          <w:color w:val="000000" w:themeColor="text1"/>
          <w:spacing w:val="-4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发包人违约的情形</w:t>
      </w:r>
    </w:p>
    <w:p w14:paraId="3E274B35">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发包人违约的其他情形：</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11859967">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16.1.2 发包人违约的责任</w:t>
      </w:r>
    </w:p>
    <w:p w14:paraId="0E87935F">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发包人违约责任的承担方式和计算方法：</w:t>
      </w:r>
    </w:p>
    <w:p w14:paraId="0F8B2DEA">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（1）因发包人原因未能在计划开工日期前</w:t>
      </w:r>
      <w:r>
        <w:rPr>
          <w:rFonts w:hint="eastAsia" w:ascii="仿宋" w:hAnsi="仿宋" w:eastAsia="仿宋" w:cs="仿宋"/>
          <w:color w:val="000000" w:themeColor="text1"/>
          <w:spacing w:val="-5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7</w:t>
      </w:r>
      <w:r>
        <w:rPr>
          <w:rFonts w:hint="eastAsia" w:ascii="仿宋" w:hAnsi="仿宋" w:eastAsia="仿宋" w:cs="仿宋"/>
          <w:color w:val="000000" w:themeColor="text1"/>
          <w:spacing w:val="-5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天内下达开工通知的</w:t>
      </w:r>
      <w:r>
        <w:rPr>
          <w:rFonts w:hint="eastAsia" w:ascii="仿宋" w:hAnsi="仿宋" w:eastAsia="仿宋" w:cs="仿宋"/>
          <w:color w:val="000000" w:themeColor="text1"/>
          <w:spacing w:val="-6"/>
          <w:sz w:val="24"/>
          <w:szCs w:val="24"/>
          <w:highlight w:val="none"/>
          <w14:textFill>
            <w14:solidFill>
              <w14:schemeClr w14:val="tx1"/>
            </w14:solidFill>
          </w14:textFill>
        </w:rPr>
        <w:t>违约责任：</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执行通用条款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7C7D8042">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（2）因发包人原因未能按合同约定支付合同价款的违约责任：</w:t>
      </w:r>
      <w:r>
        <w:rPr>
          <w:rFonts w:hint="eastAsia" w:ascii="仿宋" w:hAnsi="仿宋" w:eastAsia="仿宋" w:cs="仿宋"/>
          <w:color w:val="000000" w:themeColor="text1"/>
          <w:spacing w:val="-2"/>
          <w:sz w:val="24"/>
          <w:szCs w:val="24"/>
          <w:highlight w:val="none"/>
          <w:u w:val="single"/>
          <w14:textFill>
            <w14:solidFill>
              <w14:schemeClr w14:val="tx1"/>
            </w14:solidFill>
          </w14:textFill>
        </w:rPr>
        <w:t xml:space="preserve"> 执行通用条款</w:t>
      </w:r>
      <w:r>
        <w:rPr>
          <w:rFonts w:hint="eastAsia" w:ascii="仿宋" w:hAnsi="仿宋" w:eastAsia="仿宋" w:cs="仿宋"/>
          <w:color w:val="000000" w:themeColor="text1"/>
          <w:spacing w:val="-2"/>
          <w:sz w:val="24"/>
          <w:szCs w:val="24"/>
          <w:highlight w:val="none"/>
          <w14:textFill>
            <w14:solidFill>
              <w14:schemeClr w14:val="tx1"/>
            </w14:solidFill>
          </w14:textFill>
        </w:rPr>
        <w:t>。</w:t>
      </w:r>
    </w:p>
    <w:p w14:paraId="3722E293">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（3）发包人违反第</w:t>
      </w:r>
      <w:r>
        <w:rPr>
          <w:rFonts w:hint="eastAsia" w:ascii="仿宋" w:hAnsi="仿宋" w:eastAsia="仿宋" w:cs="仿宋"/>
          <w:color w:val="000000" w:themeColor="text1"/>
          <w:spacing w:val="-4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10.1</w:t>
      </w:r>
      <w:r>
        <w:rPr>
          <w:rFonts w:hint="eastAsia" w:ascii="仿宋" w:hAnsi="仿宋" w:eastAsia="仿宋" w:cs="仿宋"/>
          <w:color w:val="000000" w:themeColor="text1"/>
          <w:spacing w:val="-5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款〔变更的范围〕第（2）项约定，自行</w:t>
      </w:r>
      <w:r>
        <w:rPr>
          <w:rFonts w:hint="eastAsia" w:ascii="仿宋" w:hAnsi="仿宋" w:eastAsia="仿宋" w:cs="仿宋"/>
          <w:color w:val="000000" w:themeColor="text1"/>
          <w:spacing w:val="-3"/>
          <w:sz w:val="24"/>
          <w:szCs w:val="24"/>
          <w:highlight w:val="none"/>
          <w14:textFill>
            <w14:solidFill>
              <w14:schemeClr w14:val="tx1"/>
            </w14:solidFill>
          </w14:textFill>
        </w:rPr>
        <w:t>实施被取消的</w:t>
      </w:r>
      <w:r>
        <w:rPr>
          <w:rFonts w:hint="eastAsia" w:ascii="仿宋" w:hAnsi="仿宋" w:eastAsia="仿宋" w:cs="仿宋"/>
          <w:color w:val="000000" w:themeColor="text1"/>
          <w:spacing w:val="-1"/>
          <w:sz w:val="24"/>
          <w:szCs w:val="24"/>
          <w:highlight w:val="none"/>
          <w14:textFill>
            <w14:solidFill>
              <w14:schemeClr w14:val="tx1"/>
            </w14:solidFill>
          </w14:textFill>
        </w:rPr>
        <w:t>工作或转由他人实施的违约责任：</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执行通用条款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0695F50E">
      <w:pPr>
        <w:keepNext w:val="0"/>
        <w:keepLines w:val="0"/>
        <w:pageBreakBefore w:val="0"/>
        <w:widowControl w:val="0"/>
        <w:kinsoku/>
        <w:wordWrap/>
        <w:overflowPunct/>
        <w:topLinePunct w:val="0"/>
        <w:autoSpaceDE/>
        <w:autoSpaceDN/>
        <w:bidi w:val="0"/>
        <w:snapToGrid/>
        <w:spacing w:line="360" w:lineRule="auto"/>
        <w:ind w:left="0" w:leftChars="0" w:right="0" w:rightChars="0" w:firstLine="564"/>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（4）发包人提供的材料、工程设备的规格、数量或质量不符合合同约定，</w:t>
      </w:r>
      <w:r>
        <w:rPr>
          <w:rFonts w:hint="eastAsia" w:ascii="仿宋" w:hAnsi="仿宋" w:eastAsia="仿宋" w:cs="仿宋"/>
          <w:color w:val="000000" w:themeColor="text1"/>
          <w:sz w:val="24"/>
          <w:szCs w:val="24"/>
          <w:highlight w:val="none"/>
          <w14:textFill>
            <w14:solidFill>
              <w14:schemeClr w14:val="tx1"/>
            </w14:solidFill>
          </w14:textFill>
        </w:rPr>
        <w:t>或因发包人原因导致交货日期延误或交货地点变更等</w:t>
      </w:r>
      <w:r>
        <w:rPr>
          <w:rFonts w:hint="eastAsia" w:ascii="仿宋" w:hAnsi="仿宋" w:eastAsia="仿宋" w:cs="仿宋"/>
          <w:color w:val="000000" w:themeColor="text1"/>
          <w:spacing w:val="-1"/>
          <w:sz w:val="24"/>
          <w:szCs w:val="24"/>
          <w:highlight w:val="none"/>
          <w14:textFill>
            <w14:solidFill>
              <w14:schemeClr w14:val="tx1"/>
            </w14:solidFill>
          </w14:textFill>
        </w:rPr>
        <w:t>情况的违约责任：</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执</w:t>
      </w:r>
      <w:r>
        <w:rPr>
          <w:rFonts w:hint="eastAsia" w:ascii="仿宋" w:hAnsi="仿宋" w:eastAsia="仿宋" w:cs="仿宋"/>
          <w:color w:val="000000" w:themeColor="text1"/>
          <w:spacing w:val="-2"/>
          <w:sz w:val="24"/>
          <w:szCs w:val="24"/>
          <w:highlight w:val="none"/>
          <w:u w:val="single"/>
          <w14:textFill>
            <w14:solidFill>
              <w14:schemeClr w14:val="tx1"/>
            </w14:solidFill>
          </w14:textFill>
        </w:rPr>
        <w:t>行通用条款</w:t>
      </w:r>
      <w:r>
        <w:rPr>
          <w:rFonts w:hint="eastAsia" w:ascii="仿宋" w:hAnsi="仿宋" w:eastAsia="仿宋" w:cs="仿宋"/>
          <w:color w:val="000000" w:themeColor="text1"/>
          <w:spacing w:val="-2"/>
          <w:sz w:val="24"/>
          <w:szCs w:val="24"/>
          <w:highlight w:val="none"/>
          <w14:textFill>
            <w14:solidFill>
              <w14:schemeClr w14:val="tx1"/>
            </w14:solidFill>
          </w14:textFill>
        </w:rPr>
        <w:t>。</w:t>
      </w:r>
    </w:p>
    <w:p w14:paraId="0161A943">
      <w:pPr>
        <w:keepNext w:val="0"/>
        <w:keepLines w:val="0"/>
        <w:pageBreakBefore w:val="0"/>
        <w:widowControl w:val="0"/>
        <w:kinsoku/>
        <w:wordWrap/>
        <w:overflowPunct/>
        <w:topLinePunct w:val="0"/>
        <w:autoSpaceDE/>
        <w:autoSpaceDN/>
        <w:bidi w:val="0"/>
        <w:snapToGrid/>
        <w:spacing w:line="360" w:lineRule="auto"/>
        <w:ind w:left="0" w:leftChars="0" w:right="0" w:rightChars="0" w:firstLine="56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（5）因发包人违反合同约定造成暂停施工的违约责任</w:t>
      </w:r>
      <w:r>
        <w:rPr>
          <w:rFonts w:hint="eastAsia" w:ascii="仿宋" w:hAnsi="仿宋" w:eastAsia="仿宋" w:cs="仿宋"/>
          <w:color w:val="000000" w:themeColor="text1"/>
          <w:spacing w:val="-1"/>
          <w:sz w:val="24"/>
          <w:szCs w:val="24"/>
          <w:highlight w:val="none"/>
          <w14:textFill>
            <w14:solidFill>
              <w14:schemeClr w14:val="tx1"/>
            </w14:solidFill>
          </w14:textFill>
        </w:rPr>
        <w:t>：</w:t>
      </w:r>
      <w:r>
        <w:rPr>
          <w:rFonts w:hint="eastAsia" w:ascii="仿宋" w:hAnsi="仿宋" w:eastAsia="仿宋" w:cs="仿宋"/>
          <w:color w:val="000000" w:themeColor="text1"/>
          <w:spacing w:val="-1"/>
          <w:sz w:val="24"/>
          <w:szCs w:val="24"/>
          <w:highlight w:val="none"/>
          <w:u w:val="single"/>
          <w14:textFill>
            <w14:solidFill>
              <w14:schemeClr w14:val="tx1"/>
            </w14:solidFill>
          </w14:textFill>
        </w:rPr>
        <w:t>执行通用条款</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4ACDBD27">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（6）发包人无正当理由没有在约定期限内发出复工指示，导致承包人无法复工的违约责任：</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执行通用条款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79F741C4">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（7）其他：</w:t>
      </w:r>
      <w:r>
        <w:rPr>
          <w:rFonts w:hint="eastAsia" w:ascii="仿宋" w:hAnsi="仿宋" w:eastAsia="仿宋" w:cs="仿宋"/>
          <w:color w:val="000000" w:themeColor="text1"/>
          <w:spacing w:val="-2"/>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8"/>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w:t>
      </w:r>
    </w:p>
    <w:p w14:paraId="36BE89D7">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16.1.3</w:t>
      </w:r>
      <w:r>
        <w:rPr>
          <w:rFonts w:hint="eastAsia" w:ascii="仿宋" w:hAnsi="仿宋" w:eastAsia="仿宋" w:cs="仿宋"/>
          <w:color w:val="000000" w:themeColor="text1"/>
          <w:spacing w:val="3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因发包人违约解除合同</w:t>
      </w:r>
    </w:p>
    <w:p w14:paraId="323C3EB8">
      <w:pPr>
        <w:keepNext w:val="0"/>
        <w:keepLines w:val="0"/>
        <w:pageBreakBefore w:val="0"/>
        <w:widowControl w:val="0"/>
        <w:kinsoku/>
        <w:wordWrap/>
        <w:overflowPunct/>
        <w:topLinePunct w:val="0"/>
        <w:autoSpaceDE/>
        <w:autoSpaceDN/>
        <w:bidi w:val="0"/>
        <w:snapToGrid/>
        <w:spacing w:line="360" w:lineRule="auto"/>
        <w:ind w:left="0" w:leftChars="0" w:right="0" w:rightChars="0"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承包人按16.1.1项〔发包人违约的情形〕约定暂停施工满</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z w:val="24"/>
          <w:szCs w:val="24"/>
          <w:highlight w:val="none"/>
          <w14:textFill>
            <w14:solidFill>
              <w14:schemeClr w14:val="tx1"/>
            </w14:solidFill>
          </w14:textFill>
        </w:rPr>
        <w:t>天后发包人仍不纠正其违约行为并致使合同目的不能实现的，承包人有权解除合同。</w:t>
      </w:r>
    </w:p>
    <w:p w14:paraId="7431CF13">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16.2 承包人违约</w:t>
      </w:r>
    </w:p>
    <w:p w14:paraId="678A9AE2">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16.2.1 承包人违约的情形</w:t>
      </w:r>
    </w:p>
    <w:p w14:paraId="22154808">
      <w:pPr>
        <w:keepNext w:val="0"/>
        <w:keepLines w:val="0"/>
        <w:pageBreakBefore w:val="0"/>
        <w:widowControl w:val="0"/>
        <w:kinsoku/>
        <w:wordWrap/>
        <w:overflowPunct/>
        <w:topLinePunct w:val="0"/>
        <w:autoSpaceDE/>
        <w:autoSpaceDN/>
        <w:bidi w:val="0"/>
        <w:snapToGrid/>
        <w:spacing w:line="360" w:lineRule="auto"/>
        <w:ind w:left="0" w:leftChars="0" w:right="0" w:rightChars="0" w:firstLine="46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承包人违约的其他情形：</w:t>
      </w:r>
    </w:p>
    <w:p w14:paraId="5BF63F1D">
      <w:pPr>
        <w:keepNext w:val="0"/>
        <w:keepLines w:val="0"/>
        <w:pageBreakBefore w:val="0"/>
        <w:widowControl w:val="0"/>
        <w:tabs>
          <w:tab w:val="left" w:pos="746"/>
        </w:tabs>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none"/>
          <w14:textFill>
            <w14:solidFill>
              <w14:schemeClr w14:val="tx1"/>
            </w14:solidFill>
          </w14:textFill>
        </w:rPr>
        <w:tab/>
      </w:r>
      <w:r>
        <w:rPr>
          <w:rFonts w:hint="eastAsia" w:ascii="仿宋" w:hAnsi="仿宋" w:eastAsia="仿宋" w:cs="仿宋"/>
          <w:color w:val="000000" w:themeColor="text1"/>
          <w:spacing w:val="-12"/>
          <w:sz w:val="24"/>
          <w:szCs w:val="24"/>
          <w:highlight w:val="none"/>
          <w:u w:val="single"/>
          <w14:textFill>
            <w14:solidFill>
              <w14:schemeClr w14:val="tx1"/>
            </w14:solidFill>
          </w14:textFill>
        </w:rPr>
        <w:t>（1）承包人未能按期开工的；</w:t>
      </w:r>
      <w:r>
        <w:rPr>
          <w:rFonts w:hint="eastAsia" w:ascii="仿宋" w:hAnsi="仿宋" w:eastAsia="仿宋" w:cs="仿宋"/>
          <w:color w:val="000000" w:themeColor="text1"/>
          <w:spacing w:val="4"/>
          <w:sz w:val="24"/>
          <w:szCs w:val="24"/>
          <w:highlight w:val="none"/>
          <w:u w:val="single"/>
          <w14:textFill>
            <w14:solidFill>
              <w14:schemeClr w14:val="tx1"/>
            </w14:solidFill>
          </w14:textFill>
        </w:rPr>
        <w:t xml:space="preserve">  </w:t>
      </w:r>
    </w:p>
    <w:p w14:paraId="5E509571">
      <w:pPr>
        <w:keepNext w:val="0"/>
        <w:keepLines w:val="0"/>
        <w:pageBreakBefore w:val="0"/>
        <w:widowControl w:val="0"/>
        <w:tabs>
          <w:tab w:val="left" w:pos="746"/>
        </w:tabs>
        <w:kinsoku/>
        <w:wordWrap/>
        <w:overflowPunct/>
        <w:topLinePunct w:val="0"/>
        <w:autoSpaceDE/>
        <w:autoSpaceDN/>
        <w:bidi w:val="0"/>
        <w:snapToGrid/>
        <w:spacing w:line="360" w:lineRule="auto"/>
        <w:ind w:left="0" w:leftChars="0" w:right="0" w:rightChars="0" w:firstLine="54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none"/>
          <w14:textFill>
            <w14:solidFill>
              <w14:schemeClr w14:val="tx1"/>
            </w14:solidFill>
          </w14:textFill>
        </w:rPr>
        <w:tab/>
      </w:r>
      <w:r>
        <w:rPr>
          <w:rFonts w:hint="eastAsia" w:ascii="仿宋" w:hAnsi="仿宋" w:eastAsia="仿宋" w:cs="仿宋"/>
          <w:color w:val="000000" w:themeColor="text1"/>
          <w:spacing w:val="-5"/>
          <w:sz w:val="24"/>
          <w:szCs w:val="24"/>
          <w:highlight w:val="none"/>
          <w:u w:val="single"/>
          <w14:textFill>
            <w14:solidFill>
              <w14:schemeClr w14:val="tx1"/>
            </w14:solidFill>
          </w14:textFill>
        </w:rPr>
        <w:t>（2）承包人未按投标文件或发包人、监理人的要</w:t>
      </w:r>
      <w:r>
        <w:rPr>
          <w:rFonts w:hint="eastAsia" w:ascii="仿宋" w:hAnsi="仿宋" w:eastAsia="仿宋" w:cs="仿宋"/>
          <w:color w:val="000000" w:themeColor="text1"/>
          <w:spacing w:val="-6"/>
          <w:sz w:val="24"/>
          <w:szCs w:val="24"/>
          <w:highlight w:val="none"/>
          <w:u w:val="single"/>
          <w14:textFill>
            <w14:solidFill>
              <w14:schemeClr w14:val="tx1"/>
            </w14:solidFill>
          </w14:textFill>
        </w:rPr>
        <w:t>求及时配备称职的主要管</w:t>
      </w:r>
      <w:r>
        <w:rPr>
          <w:rFonts w:hint="eastAsia" w:ascii="仿宋" w:hAnsi="仿宋" w:eastAsia="仿宋" w:cs="仿宋"/>
          <w:color w:val="000000" w:themeColor="text1"/>
          <w:spacing w:val="-1"/>
          <w:sz w:val="24"/>
          <w:szCs w:val="24"/>
          <w:highlight w:val="none"/>
          <w:u w:val="single"/>
          <w14:textFill>
            <w14:solidFill>
              <w14:schemeClr w14:val="tx1"/>
            </w14:solidFill>
          </w14:textFill>
        </w:rPr>
        <w:t>理人员、技术骨干或关键施工设备的；</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710F0E1D">
      <w:pPr>
        <w:keepNext w:val="0"/>
        <w:keepLines w:val="0"/>
        <w:pageBreakBefore w:val="0"/>
        <w:widowControl w:val="0"/>
        <w:tabs>
          <w:tab w:val="left" w:pos="746"/>
        </w:tabs>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none"/>
          <w14:textFill>
            <w14:solidFill>
              <w14:schemeClr w14:val="tx1"/>
            </w14:solidFill>
          </w14:textFill>
        </w:rPr>
        <w:tab/>
      </w:r>
      <w:r>
        <w:rPr>
          <w:rFonts w:hint="eastAsia" w:ascii="仿宋" w:hAnsi="仿宋" w:eastAsia="仿宋" w:cs="仿宋"/>
          <w:color w:val="000000" w:themeColor="text1"/>
          <w:spacing w:val="-6"/>
          <w:sz w:val="24"/>
          <w:szCs w:val="24"/>
          <w:highlight w:val="none"/>
          <w:u w:val="single"/>
          <w14:textFill>
            <w14:solidFill>
              <w14:schemeClr w14:val="tx1"/>
            </w14:solidFill>
          </w14:textFill>
        </w:rPr>
        <w:t>（3）承包人有安全问题或有违反安全管理规章制度</w:t>
      </w:r>
      <w:r>
        <w:rPr>
          <w:rFonts w:hint="eastAsia" w:ascii="仿宋" w:hAnsi="仿宋" w:eastAsia="仿宋" w:cs="仿宋"/>
          <w:color w:val="000000" w:themeColor="text1"/>
          <w:spacing w:val="-7"/>
          <w:sz w:val="24"/>
          <w:szCs w:val="24"/>
          <w:highlight w:val="none"/>
          <w:u w:val="single"/>
          <w14:textFill>
            <w14:solidFill>
              <w14:schemeClr w14:val="tx1"/>
            </w14:solidFill>
          </w14:textFill>
        </w:rPr>
        <w:t>情况；</w:t>
      </w:r>
    </w:p>
    <w:p w14:paraId="10DF6AF5">
      <w:pPr>
        <w:keepNext w:val="0"/>
        <w:keepLines w:val="0"/>
        <w:pageBreakBefore w:val="0"/>
        <w:widowControl w:val="0"/>
        <w:tabs>
          <w:tab w:val="left" w:pos="746"/>
        </w:tabs>
        <w:kinsoku/>
        <w:wordWrap/>
        <w:overflowPunct/>
        <w:topLinePunct w:val="0"/>
        <w:autoSpaceDE/>
        <w:autoSpaceDN/>
        <w:bidi w:val="0"/>
        <w:snapToGrid/>
        <w:spacing w:line="360" w:lineRule="auto"/>
        <w:ind w:left="0" w:leftChars="0" w:right="0" w:rightChars="0" w:firstLine="54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none"/>
          <w14:textFill>
            <w14:solidFill>
              <w14:schemeClr w14:val="tx1"/>
            </w14:solidFill>
          </w14:textFill>
        </w:rPr>
        <w:tab/>
      </w:r>
      <w:r>
        <w:rPr>
          <w:rFonts w:hint="eastAsia" w:ascii="仿宋" w:hAnsi="仿宋" w:eastAsia="仿宋" w:cs="仿宋"/>
          <w:color w:val="000000" w:themeColor="text1"/>
          <w:spacing w:val="-5"/>
          <w:sz w:val="24"/>
          <w:szCs w:val="24"/>
          <w:highlight w:val="none"/>
          <w:u w:val="single"/>
          <w14:textFill>
            <w14:solidFill>
              <w14:schemeClr w14:val="tx1"/>
            </w14:solidFill>
          </w14:textFill>
        </w:rPr>
        <w:t>（4）承包人收到发包人支付的工程款后，未及时支付或拖欠第三人工程材</w:t>
      </w:r>
      <w:r>
        <w:rPr>
          <w:rFonts w:hint="eastAsia" w:ascii="仿宋" w:hAnsi="仿宋" w:eastAsia="仿宋" w:cs="仿宋"/>
          <w:color w:val="000000" w:themeColor="text1"/>
          <w:spacing w:val="-2"/>
          <w:sz w:val="24"/>
          <w:szCs w:val="24"/>
          <w:highlight w:val="none"/>
          <w:u w:val="single"/>
          <w14:textFill>
            <w14:solidFill>
              <w14:schemeClr w14:val="tx1"/>
            </w14:solidFill>
          </w14:textFill>
        </w:rPr>
        <w:t>料款、劳务费、机械设备款、农民工工资等全部应支付的费用而导致其向有关部门投诉、控告（包括第三人将发包人列为共同被告的）、检举或以聚集等方式讨</w:t>
      </w:r>
      <w:r>
        <w:rPr>
          <w:rFonts w:hint="eastAsia" w:ascii="仿宋" w:hAnsi="仿宋" w:eastAsia="仿宋" w:cs="仿宋"/>
          <w:color w:val="000000" w:themeColor="text1"/>
          <w:spacing w:val="-3"/>
          <w:sz w:val="24"/>
          <w:szCs w:val="24"/>
          <w:highlight w:val="none"/>
          <w:u w:val="single"/>
          <w14:textFill>
            <w14:solidFill>
              <w14:schemeClr w14:val="tx1"/>
            </w14:solidFill>
          </w14:textFill>
        </w:rPr>
        <w:t>要的；</w:t>
      </w:r>
    </w:p>
    <w:p w14:paraId="0906C9C1">
      <w:pPr>
        <w:keepNext w:val="0"/>
        <w:keepLines w:val="0"/>
        <w:pageBreakBefore w:val="0"/>
        <w:widowControl w:val="0"/>
        <w:tabs>
          <w:tab w:val="left" w:pos="746"/>
        </w:tabs>
        <w:kinsoku/>
        <w:wordWrap/>
        <w:overflowPunct/>
        <w:topLinePunct w:val="0"/>
        <w:autoSpaceDE/>
        <w:autoSpaceDN/>
        <w:bidi w:val="0"/>
        <w:snapToGrid/>
        <w:spacing w:line="360" w:lineRule="auto"/>
        <w:ind w:left="0" w:leftChars="0" w:right="0" w:rightChars="0" w:firstLine="54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none"/>
          <w14:textFill>
            <w14:solidFill>
              <w14:schemeClr w14:val="tx1"/>
            </w14:solidFill>
          </w14:textFill>
        </w:rPr>
        <w:tab/>
      </w:r>
      <w:r>
        <w:rPr>
          <w:rFonts w:hint="eastAsia" w:ascii="仿宋" w:hAnsi="仿宋" w:eastAsia="仿宋" w:cs="仿宋"/>
          <w:color w:val="000000" w:themeColor="text1"/>
          <w:spacing w:val="-5"/>
          <w:sz w:val="24"/>
          <w:szCs w:val="24"/>
          <w:highlight w:val="none"/>
          <w:u w:val="single"/>
          <w14:textFill>
            <w14:solidFill>
              <w14:schemeClr w14:val="tx1"/>
            </w14:solidFill>
          </w14:textFill>
        </w:rPr>
        <w:t>（5）承包人不配合发包人、监理人、工程所在地</w:t>
      </w:r>
      <w:r>
        <w:rPr>
          <w:rFonts w:hint="eastAsia" w:ascii="仿宋" w:hAnsi="仿宋" w:eastAsia="仿宋" w:cs="仿宋"/>
          <w:color w:val="000000" w:themeColor="text1"/>
          <w:spacing w:val="-6"/>
          <w:sz w:val="24"/>
          <w:szCs w:val="24"/>
          <w:highlight w:val="none"/>
          <w:u w:val="single"/>
          <w14:textFill>
            <w14:solidFill>
              <w14:schemeClr w14:val="tx1"/>
            </w14:solidFill>
          </w14:textFill>
        </w:rPr>
        <w:t>或其上级政府主管部门工</w:t>
      </w:r>
      <w:r>
        <w:rPr>
          <w:rFonts w:hint="eastAsia" w:ascii="仿宋" w:hAnsi="仿宋" w:eastAsia="仿宋" w:cs="仿宋"/>
          <w:color w:val="000000" w:themeColor="text1"/>
          <w:spacing w:val="-3"/>
          <w:sz w:val="24"/>
          <w:szCs w:val="24"/>
          <w:highlight w:val="none"/>
          <w:u w:val="single"/>
          <w14:textFill>
            <w14:solidFill>
              <w14:schemeClr w14:val="tx1"/>
            </w14:solidFill>
          </w14:textFill>
        </w:rPr>
        <w:t>作的；</w:t>
      </w:r>
    </w:p>
    <w:p w14:paraId="05EB424A">
      <w:pPr>
        <w:keepNext w:val="0"/>
        <w:keepLines w:val="0"/>
        <w:pageBreakBefore w:val="0"/>
        <w:widowControl w:val="0"/>
        <w:tabs>
          <w:tab w:val="left" w:pos="746"/>
        </w:tabs>
        <w:kinsoku/>
        <w:wordWrap/>
        <w:overflowPunct/>
        <w:topLinePunct w:val="0"/>
        <w:autoSpaceDE/>
        <w:autoSpaceDN/>
        <w:bidi w:val="0"/>
        <w:snapToGrid/>
        <w:spacing w:line="360" w:lineRule="auto"/>
        <w:ind w:left="0" w:leftChars="0" w:right="0" w:rightChars="0" w:firstLine="54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none"/>
          <w14:textFill>
            <w14:solidFill>
              <w14:schemeClr w14:val="tx1"/>
            </w14:solidFill>
          </w14:textFill>
        </w:rPr>
        <w:tab/>
      </w:r>
      <w:r>
        <w:rPr>
          <w:rFonts w:hint="eastAsia" w:ascii="仿宋" w:hAnsi="仿宋" w:eastAsia="仿宋" w:cs="仿宋"/>
          <w:color w:val="000000" w:themeColor="text1"/>
          <w:spacing w:val="-5"/>
          <w:sz w:val="24"/>
          <w:szCs w:val="24"/>
          <w:highlight w:val="none"/>
          <w:u w:val="single"/>
          <w14:textFill>
            <w14:solidFill>
              <w14:schemeClr w14:val="tx1"/>
            </w14:solidFill>
          </w14:textFill>
        </w:rPr>
        <w:t>（6）因承包人原因造成工程质量不合格的，承包人应承担全部经济责任，</w:t>
      </w:r>
      <w:r>
        <w:rPr>
          <w:rFonts w:hint="eastAsia" w:ascii="仿宋" w:hAnsi="仿宋" w:eastAsia="仿宋" w:cs="仿宋"/>
          <w:color w:val="000000" w:themeColor="text1"/>
          <w:spacing w:val="-4"/>
          <w:sz w:val="24"/>
          <w:szCs w:val="24"/>
          <w:highlight w:val="none"/>
          <w:u w:val="single"/>
          <w14:textFill>
            <w14:solidFill>
              <w14:schemeClr w14:val="tx1"/>
            </w14:solidFill>
          </w14:textFill>
        </w:rPr>
        <w:t>扣除履约保证金的同时，并按终审价</w:t>
      </w:r>
      <w:r>
        <w:rPr>
          <w:rFonts w:hint="eastAsia" w:ascii="仿宋" w:hAnsi="仿宋" w:eastAsia="仿宋" w:cs="仿宋"/>
          <w:color w:val="000000" w:themeColor="text1"/>
          <w:spacing w:val="-55"/>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u w:val="single"/>
          <w14:textFill>
            <w14:solidFill>
              <w14:schemeClr w14:val="tx1"/>
            </w14:solidFill>
          </w14:textFill>
        </w:rPr>
        <w:t>5%向发包人支付违约金。</w:t>
      </w:r>
      <w:r>
        <w:rPr>
          <w:rFonts w:hint="eastAsia" w:ascii="仿宋" w:hAnsi="仿宋" w:eastAsia="仿宋" w:cs="仿宋"/>
          <w:color w:val="000000" w:themeColor="text1"/>
          <w:spacing w:val="-5"/>
          <w:sz w:val="24"/>
          <w:szCs w:val="24"/>
          <w:highlight w:val="none"/>
          <w:u w:val="single"/>
          <w14:textFill>
            <w14:solidFill>
              <w14:schemeClr w14:val="tx1"/>
            </w14:solidFill>
          </w14:textFill>
        </w:rPr>
        <w:t>承包人应按照施工</w:t>
      </w:r>
      <w:r>
        <w:rPr>
          <w:rFonts w:hint="eastAsia" w:ascii="仿宋" w:hAnsi="仿宋" w:eastAsia="仿宋" w:cs="仿宋"/>
          <w:color w:val="000000" w:themeColor="text1"/>
          <w:spacing w:val="-2"/>
          <w:sz w:val="24"/>
          <w:szCs w:val="24"/>
          <w:highlight w:val="none"/>
          <w:u w:val="single"/>
          <w14:textFill>
            <w14:solidFill>
              <w14:schemeClr w14:val="tx1"/>
            </w14:solidFill>
          </w14:textFill>
        </w:rPr>
        <w:t>图设计要求将不合格的工程返工至合格，返工费用由承包人承担。如果因承包人原因造成工期延误而遇不可抗力时，责任由承包人全部承担，并承担工程不能按期竣工的违约责任</w:t>
      </w:r>
      <w:r>
        <w:rPr>
          <w:rFonts w:hint="eastAsia" w:ascii="仿宋" w:hAnsi="仿宋" w:eastAsia="仿宋" w:cs="仿宋"/>
          <w:color w:val="000000" w:themeColor="text1"/>
          <w:spacing w:val="-2"/>
          <w:sz w:val="24"/>
          <w:szCs w:val="24"/>
          <w:highlight w:val="none"/>
          <w14:textFill>
            <w14:solidFill>
              <w14:schemeClr w14:val="tx1"/>
            </w14:solidFill>
          </w14:textFill>
        </w:rPr>
        <w:t>。</w:t>
      </w:r>
    </w:p>
    <w:p w14:paraId="1C2A0490">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16.2.2</w:t>
      </w:r>
      <w:r>
        <w:rPr>
          <w:rFonts w:hint="eastAsia" w:ascii="仿宋" w:hAnsi="仿宋" w:eastAsia="仿宋" w:cs="仿宋"/>
          <w:color w:val="000000" w:themeColor="text1"/>
          <w:spacing w:val="-5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承包人违约的责任</w:t>
      </w:r>
    </w:p>
    <w:p w14:paraId="42A528A4">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u w:val="none"/>
          <w14:textFill>
            <w14:solidFill>
              <w14:schemeClr w14:val="tx1"/>
            </w14:solidFill>
          </w14:textFill>
        </w:rPr>
      </w:pPr>
      <w:r>
        <w:rPr>
          <w:rFonts w:hint="eastAsia" w:ascii="仿宋" w:hAnsi="仿宋" w:eastAsia="仿宋" w:cs="仿宋"/>
          <w:color w:val="000000" w:themeColor="text1"/>
          <w:spacing w:val="-1"/>
          <w:sz w:val="24"/>
          <w:szCs w:val="24"/>
          <w:highlight w:val="none"/>
          <w:u w:val="none"/>
          <w14:textFill>
            <w14:solidFill>
              <w14:schemeClr w14:val="tx1"/>
            </w14:solidFill>
          </w14:textFill>
        </w:rPr>
        <w:t>承包人违约责任的承担方式和计算方法：</w:t>
      </w:r>
    </w:p>
    <w:p w14:paraId="25370FA2">
      <w:pPr>
        <w:keepNext w:val="0"/>
        <w:keepLines w:val="0"/>
        <w:pageBreakBefore w:val="0"/>
        <w:widowControl w:val="0"/>
        <w:tabs>
          <w:tab w:val="left" w:pos="746"/>
        </w:tabs>
        <w:kinsoku/>
        <w:wordWrap/>
        <w:overflowPunct/>
        <w:topLinePunct w:val="0"/>
        <w:autoSpaceDE/>
        <w:autoSpaceDN/>
        <w:bidi w:val="0"/>
        <w:snapToGrid/>
        <w:spacing w:line="360" w:lineRule="auto"/>
        <w:ind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u w:val="single"/>
          <w14:textFill>
            <w14:solidFill>
              <w14:schemeClr w14:val="tx1"/>
            </w14:solidFill>
          </w14:textFill>
        </w:rPr>
        <w:t>（1）承包人违反合同约定进行转包或违法分包的违</w:t>
      </w:r>
      <w:r>
        <w:rPr>
          <w:rFonts w:hint="eastAsia" w:ascii="仿宋" w:hAnsi="仿宋" w:eastAsia="仿宋" w:cs="仿宋"/>
          <w:color w:val="000000" w:themeColor="text1"/>
          <w:spacing w:val="-3"/>
          <w:sz w:val="24"/>
          <w:szCs w:val="24"/>
          <w:highlight w:val="none"/>
          <w:u w:val="single"/>
          <w14:textFill>
            <w14:solidFill>
              <w14:schemeClr w14:val="tx1"/>
            </w14:solidFill>
          </w14:textFill>
        </w:rPr>
        <w:t>约责任：若在合同实施</w:t>
      </w:r>
      <w:r>
        <w:rPr>
          <w:rFonts w:hint="eastAsia" w:ascii="仿宋" w:hAnsi="仿宋" w:eastAsia="仿宋" w:cs="仿宋"/>
          <w:color w:val="000000" w:themeColor="text1"/>
          <w:spacing w:val="-2"/>
          <w:sz w:val="24"/>
          <w:szCs w:val="24"/>
          <w:highlight w:val="none"/>
          <w:u w:val="single"/>
          <w14:textFill>
            <w14:solidFill>
              <w14:schemeClr w14:val="tx1"/>
            </w14:solidFill>
          </w14:textFill>
        </w:rPr>
        <w:t>期间发现承包人有转包、违法分包或投标文件中提供了虚假资料，发包人有权解</w:t>
      </w:r>
      <w:r>
        <w:rPr>
          <w:rFonts w:hint="eastAsia" w:ascii="仿宋" w:hAnsi="仿宋" w:eastAsia="仿宋" w:cs="仿宋"/>
          <w:color w:val="000000" w:themeColor="text1"/>
          <w:spacing w:val="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除合同并没收履约保证金，给发包人造成的损失由承包人赔偿；已完工程的工程</w:t>
      </w:r>
      <w:r>
        <w:rPr>
          <w:rFonts w:hint="eastAsia" w:ascii="仿宋" w:hAnsi="仿宋" w:eastAsia="仿宋" w:cs="仿宋"/>
          <w:color w:val="000000" w:themeColor="text1"/>
          <w:spacing w:val="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款按照结算价的 80%支付，剩余 20%作为应承担的违约金，承包人已进场的材料</w:t>
      </w:r>
      <w:r>
        <w:rPr>
          <w:rFonts w:hint="eastAsia" w:ascii="仿宋" w:hAnsi="仿宋" w:eastAsia="仿宋" w:cs="仿宋"/>
          <w:color w:val="000000" w:themeColor="text1"/>
          <w:spacing w:val="1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设备及已采购未进场的材料设备发包人均不认可，同时发包人将承包人上述行为</w:t>
      </w:r>
      <w:r>
        <w:rPr>
          <w:rFonts w:hint="eastAsia" w:ascii="仿宋" w:hAnsi="仿宋" w:eastAsia="仿宋" w:cs="仿宋"/>
          <w:color w:val="000000" w:themeColor="text1"/>
          <w:spacing w:val="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14:textFill>
            <w14:solidFill>
              <w14:schemeClr w14:val="tx1"/>
            </w14:solidFill>
          </w14:textFill>
        </w:rPr>
        <w:t>上报行政主管部门或纪检监察部门。</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w:t>
      </w:r>
    </w:p>
    <w:p w14:paraId="2A379F1F">
      <w:pPr>
        <w:pStyle w:val="9"/>
        <w:keepNext w:val="0"/>
        <w:keepLines w:val="0"/>
        <w:pageBreakBefore w:val="0"/>
        <w:widowControl w:val="0"/>
        <w:kinsoku/>
        <w:wordWrap/>
        <w:overflowPunct/>
        <w:topLinePunct w:val="0"/>
        <w:autoSpaceDE/>
        <w:autoSpaceDN/>
        <w:bidi w:val="0"/>
        <w:snapToGrid/>
        <w:spacing w:after="0" w:line="360" w:lineRule="auto"/>
        <w:ind w:right="0" w:rightChars="0" w:firstLine="472"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u w:val="single"/>
          <w14:textFill>
            <w14:solidFill>
              <w14:schemeClr w14:val="tx1"/>
            </w14:solidFill>
          </w14:textFill>
        </w:rPr>
        <w:t>(2)承包人违反合同约定采购和使用不合格的材料和工程设备的违约责任：</w:t>
      </w:r>
      <w:r>
        <w:rPr>
          <w:rFonts w:hint="eastAsia" w:ascii="仿宋" w:hAnsi="仿宋" w:eastAsia="仿宋" w:cs="仿宋"/>
          <w:color w:val="000000" w:themeColor="text1"/>
          <w:spacing w:val="-7"/>
          <w:sz w:val="24"/>
          <w:szCs w:val="24"/>
          <w:highlight w:val="none"/>
          <w:u w:val="single"/>
          <w14:textFill>
            <w14:solidFill>
              <w14:schemeClr w14:val="tx1"/>
            </w14:solidFill>
          </w14:textFill>
        </w:rPr>
        <w:t>违反合同约定采购或使用不合格的材料、或工程设备，发包人视情况按对应材料、</w:t>
      </w:r>
      <w:r>
        <w:rPr>
          <w:rFonts w:hint="eastAsia" w:ascii="仿宋" w:hAnsi="仿宋" w:eastAsia="仿宋" w:cs="仿宋"/>
          <w:color w:val="000000" w:themeColor="text1"/>
          <w:spacing w:val="-4"/>
          <w:sz w:val="24"/>
          <w:szCs w:val="24"/>
          <w:highlight w:val="none"/>
          <w:u w:val="single"/>
          <w14:textFill>
            <w14:solidFill>
              <w14:schemeClr w14:val="tx1"/>
            </w14:solidFill>
          </w14:textFill>
        </w:rPr>
        <w:t>设备投标报价总额的</w:t>
      </w:r>
      <w:r>
        <w:rPr>
          <w:rFonts w:hint="eastAsia" w:ascii="仿宋" w:hAnsi="仿宋" w:eastAsia="仿宋" w:cs="仿宋"/>
          <w:color w:val="000000" w:themeColor="text1"/>
          <w:spacing w:val="-38"/>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u w:val="single"/>
          <w14:textFill>
            <w14:solidFill>
              <w14:schemeClr w14:val="tx1"/>
            </w14:solidFill>
          </w14:textFill>
        </w:rPr>
        <w:t>1%-10%对承包人进行处罚</w:t>
      </w:r>
      <w:r>
        <w:rPr>
          <w:rFonts w:hint="eastAsia" w:ascii="仿宋" w:hAnsi="仿宋" w:eastAsia="仿宋" w:cs="仿宋"/>
          <w:color w:val="000000" w:themeColor="text1"/>
          <w:spacing w:val="-5"/>
          <w:sz w:val="24"/>
          <w:szCs w:val="24"/>
          <w:highlight w:val="none"/>
          <w:u w:val="single"/>
          <w14:textFill>
            <w14:solidFill>
              <w14:schemeClr w14:val="tx1"/>
            </w14:solidFill>
          </w14:textFill>
        </w:rPr>
        <w:t>，承包人承担由此造成的一切经济</w:t>
      </w:r>
      <w:r>
        <w:rPr>
          <w:rFonts w:hint="eastAsia" w:ascii="仿宋" w:hAnsi="仿宋" w:eastAsia="仿宋" w:cs="仿宋"/>
          <w:color w:val="000000" w:themeColor="text1"/>
          <w:spacing w:val="-4"/>
          <w:sz w:val="24"/>
          <w:szCs w:val="24"/>
          <w:highlight w:val="none"/>
          <w:u w:val="single"/>
          <w14:textFill>
            <w14:solidFill>
              <w14:schemeClr w14:val="tx1"/>
            </w14:solidFill>
          </w14:textFill>
        </w:rPr>
        <w:t>损失。</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051B20B6">
      <w:pPr>
        <w:keepNext w:val="0"/>
        <w:keepLines w:val="0"/>
        <w:pageBreakBefore w:val="0"/>
        <w:widowControl w:val="0"/>
        <w:tabs>
          <w:tab w:val="left" w:pos="746"/>
        </w:tabs>
        <w:kinsoku/>
        <w:wordWrap/>
        <w:overflowPunct/>
        <w:topLinePunct w:val="0"/>
        <w:autoSpaceDE/>
        <w:autoSpaceDN/>
        <w:bidi w:val="0"/>
        <w:snapToGrid/>
        <w:spacing w:line="360" w:lineRule="auto"/>
        <w:ind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u w:val="single"/>
          <w14:textFill>
            <w14:solidFill>
              <w14:schemeClr w14:val="tx1"/>
            </w14:solidFill>
          </w14:textFill>
        </w:rPr>
        <w:t>（3）因承包人原因导致工程质量不符合合同要求的</w:t>
      </w:r>
      <w:r>
        <w:rPr>
          <w:rFonts w:hint="eastAsia" w:ascii="仿宋" w:hAnsi="仿宋" w:eastAsia="仿宋" w:cs="仿宋"/>
          <w:color w:val="000000" w:themeColor="text1"/>
          <w:spacing w:val="-3"/>
          <w:sz w:val="24"/>
          <w:szCs w:val="24"/>
          <w:highlight w:val="none"/>
          <w:u w:val="single"/>
          <w14:textFill>
            <w14:solidFill>
              <w14:schemeClr w14:val="tx1"/>
            </w14:solidFill>
          </w14:textFill>
        </w:rPr>
        <w:t>违约责任：承包人退还已支付工程质量不符合合同要求工程的工程款，同时可以按照工程质量不符合合同要求工程相应合同金额的</w:t>
      </w:r>
      <w:r>
        <w:rPr>
          <w:rFonts w:hint="eastAsia" w:ascii="仿宋" w:hAnsi="仿宋" w:eastAsia="仿宋" w:cs="仿宋"/>
          <w:color w:val="000000" w:themeColor="text1"/>
          <w:spacing w:val="-32"/>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u w:val="single"/>
          <w14:textFill>
            <w14:solidFill>
              <w14:schemeClr w14:val="tx1"/>
            </w14:solidFill>
          </w14:textFill>
        </w:rPr>
        <w:t>10%向发包人支付违约金。</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3D7FE7EF">
      <w:pPr>
        <w:keepNext w:val="0"/>
        <w:keepLines w:val="0"/>
        <w:pageBreakBefore w:val="0"/>
        <w:widowControl w:val="0"/>
        <w:tabs>
          <w:tab w:val="left" w:pos="746"/>
        </w:tabs>
        <w:kinsoku/>
        <w:wordWrap/>
        <w:overflowPunct/>
        <w:topLinePunct w:val="0"/>
        <w:autoSpaceDE/>
        <w:autoSpaceDN/>
        <w:bidi w:val="0"/>
        <w:snapToGrid/>
        <w:spacing w:line="360" w:lineRule="auto"/>
        <w:ind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u w:val="single"/>
          <w14:textFill>
            <w14:solidFill>
              <w14:schemeClr w14:val="tx1"/>
            </w14:solidFill>
          </w14:textFill>
        </w:rPr>
        <w:t>（4）承包人违反〔材料与设备专用要求〕的约定，</w:t>
      </w:r>
      <w:r>
        <w:rPr>
          <w:rFonts w:hint="eastAsia" w:ascii="仿宋" w:hAnsi="仿宋" w:eastAsia="仿宋" w:cs="仿宋"/>
          <w:color w:val="000000" w:themeColor="text1"/>
          <w:spacing w:val="-3"/>
          <w:sz w:val="24"/>
          <w:szCs w:val="24"/>
          <w:highlight w:val="none"/>
          <w:u w:val="single"/>
          <w14:textFill>
            <w14:solidFill>
              <w14:schemeClr w14:val="tx1"/>
            </w14:solidFill>
          </w14:textFill>
        </w:rPr>
        <w:t>未经批准，私自将已按</w:t>
      </w:r>
      <w:r>
        <w:rPr>
          <w:rFonts w:hint="eastAsia" w:ascii="仿宋" w:hAnsi="仿宋" w:eastAsia="仿宋" w:cs="仿宋"/>
          <w:color w:val="000000" w:themeColor="text1"/>
          <w:spacing w:val="-2"/>
          <w:sz w:val="24"/>
          <w:szCs w:val="24"/>
          <w:highlight w:val="none"/>
          <w:u w:val="single"/>
          <w14:textFill>
            <w14:solidFill>
              <w14:schemeClr w14:val="tx1"/>
            </w14:solidFill>
          </w14:textFill>
        </w:rPr>
        <w:t>照合同约定进入施工现场的材料或设备撤离施工现场的违约责任：按照承包人擅自撤离施工现场材料和（或）设备相应签约合同价金额或监理人、咨询人、发包人审定价值的</w:t>
      </w:r>
      <w:r>
        <w:rPr>
          <w:rFonts w:hint="eastAsia" w:ascii="仿宋" w:hAnsi="仿宋" w:eastAsia="仿宋" w:cs="仿宋"/>
          <w:color w:val="000000" w:themeColor="text1"/>
          <w:spacing w:val="-45"/>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20%向发包人支付违约金。</w:t>
      </w:r>
    </w:p>
    <w:p w14:paraId="306BFEE7">
      <w:pPr>
        <w:keepNext w:val="0"/>
        <w:keepLines w:val="0"/>
        <w:pageBreakBefore w:val="0"/>
        <w:widowControl w:val="0"/>
        <w:tabs>
          <w:tab w:val="left" w:pos="746"/>
        </w:tabs>
        <w:kinsoku/>
        <w:wordWrap/>
        <w:overflowPunct/>
        <w:topLinePunct w:val="0"/>
        <w:autoSpaceDE/>
        <w:autoSpaceDN/>
        <w:bidi w:val="0"/>
        <w:snapToGrid/>
        <w:spacing w:line="360" w:lineRule="auto"/>
        <w:ind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u w:val="single"/>
          <w14:textFill>
            <w14:solidFill>
              <w14:schemeClr w14:val="tx1"/>
            </w14:solidFill>
          </w14:textFill>
        </w:rPr>
        <w:t>（5）承包人在缺陷责任期及保修期内，未能在合理期限对工程缺陷进行修</w:t>
      </w:r>
      <w:r>
        <w:rPr>
          <w:rFonts w:hint="eastAsia" w:ascii="仿宋" w:hAnsi="仿宋" w:eastAsia="仿宋" w:cs="仿宋"/>
          <w:color w:val="000000" w:themeColor="text1"/>
          <w:spacing w:val="-1"/>
          <w:sz w:val="24"/>
          <w:szCs w:val="24"/>
          <w:highlight w:val="none"/>
          <w:u w:val="single"/>
          <w14:textFill>
            <w14:solidFill>
              <w14:schemeClr w14:val="tx1"/>
            </w14:solidFill>
          </w14:textFill>
        </w:rPr>
        <w:t>复，或拒绝按发包人要求进行修复的违约责任：发包人有权扣除质保金。</w:t>
      </w:r>
      <w:r>
        <w:rPr>
          <w:rFonts w:hint="eastAsia" w:ascii="仿宋" w:hAnsi="仿宋" w:eastAsia="仿宋" w:cs="仿宋"/>
          <w:color w:val="000000" w:themeColor="text1"/>
          <w:spacing w:val="4"/>
          <w:sz w:val="24"/>
          <w:szCs w:val="24"/>
          <w:highlight w:val="none"/>
          <w:u w:val="single"/>
          <w14:textFill>
            <w14:solidFill>
              <w14:schemeClr w14:val="tx1"/>
            </w14:solidFill>
          </w14:textFill>
        </w:rPr>
        <w:t xml:space="preserve">  </w:t>
      </w:r>
    </w:p>
    <w:p w14:paraId="366EF6A4">
      <w:pPr>
        <w:keepNext w:val="0"/>
        <w:keepLines w:val="0"/>
        <w:pageBreakBefore w:val="0"/>
        <w:widowControl w:val="0"/>
        <w:tabs>
          <w:tab w:val="left" w:pos="746"/>
        </w:tabs>
        <w:kinsoku/>
        <w:wordWrap/>
        <w:overflowPunct/>
        <w:topLinePunct w:val="0"/>
        <w:autoSpaceDE/>
        <w:autoSpaceDN/>
        <w:bidi w:val="0"/>
        <w:snapToGrid/>
        <w:spacing w:line="360" w:lineRule="auto"/>
        <w:ind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u w:val="single"/>
          <w14:textFill>
            <w14:solidFill>
              <w14:schemeClr w14:val="tx1"/>
            </w14:solidFill>
          </w14:textFill>
        </w:rPr>
        <w:t>（6）承包人收到发包人支付的工程款后，未及时支</w:t>
      </w:r>
      <w:r>
        <w:rPr>
          <w:rFonts w:hint="eastAsia" w:ascii="仿宋" w:hAnsi="仿宋" w:eastAsia="仿宋" w:cs="仿宋"/>
          <w:color w:val="000000" w:themeColor="text1"/>
          <w:spacing w:val="-3"/>
          <w:sz w:val="24"/>
          <w:szCs w:val="24"/>
          <w:highlight w:val="none"/>
          <w:u w:val="single"/>
          <w14:textFill>
            <w14:solidFill>
              <w14:schemeClr w14:val="tx1"/>
            </w14:solidFill>
          </w14:textFill>
        </w:rPr>
        <w:t>付或拖欠第三人工程材</w:t>
      </w:r>
      <w:r>
        <w:rPr>
          <w:rFonts w:hint="eastAsia" w:ascii="仿宋" w:hAnsi="仿宋" w:eastAsia="仿宋" w:cs="仿宋"/>
          <w:color w:val="000000" w:themeColor="text1"/>
          <w:spacing w:val="-2"/>
          <w:sz w:val="24"/>
          <w:szCs w:val="24"/>
          <w:highlight w:val="none"/>
          <w:u w:val="single"/>
          <w14:textFill>
            <w14:solidFill>
              <w14:schemeClr w14:val="tx1"/>
            </w14:solidFill>
          </w14:textFill>
        </w:rPr>
        <w:t>料款、劳务费、机械设备款、农民工工资等全部应支付的费用而导致其向有关部门投诉、控告（包括第三人将发包人列为共同被告的）、检举或以聚集等方式讨</w:t>
      </w:r>
      <w:r>
        <w:rPr>
          <w:rFonts w:hint="eastAsia" w:ascii="仿宋" w:hAnsi="仿宋" w:eastAsia="仿宋" w:cs="仿宋"/>
          <w:color w:val="000000" w:themeColor="text1"/>
          <w:spacing w:val="-3"/>
          <w:sz w:val="24"/>
          <w:szCs w:val="24"/>
          <w:highlight w:val="none"/>
          <w:u w:val="single"/>
          <w14:textFill>
            <w14:solidFill>
              <w14:schemeClr w14:val="tx1"/>
            </w14:solidFill>
          </w14:textFill>
        </w:rPr>
        <w:t>要的违约责任：发包人有权要求承包人承担</w:t>
      </w:r>
      <w:r>
        <w:rPr>
          <w:rFonts w:hint="eastAsia" w:ascii="仿宋" w:hAnsi="仿宋" w:eastAsia="仿宋" w:cs="仿宋"/>
          <w:color w:val="000000" w:themeColor="text1"/>
          <w:spacing w:val="-46"/>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u w:val="single"/>
          <w14:textFill>
            <w14:solidFill>
              <w14:schemeClr w14:val="tx1"/>
            </w14:solidFill>
          </w14:textFill>
        </w:rPr>
        <w:t>50</w:t>
      </w:r>
      <w:r>
        <w:rPr>
          <w:rFonts w:hint="eastAsia" w:ascii="仿宋" w:hAnsi="仿宋" w:eastAsia="仿宋" w:cs="仿宋"/>
          <w:color w:val="000000" w:themeColor="text1"/>
          <w:spacing w:val="-5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u w:val="single"/>
          <w14:textFill>
            <w14:solidFill>
              <w14:schemeClr w14:val="tx1"/>
            </w14:solidFill>
          </w14:textFill>
        </w:rPr>
        <w:t>万元/次的违约金。同时承包人应</w:t>
      </w:r>
      <w:r>
        <w:rPr>
          <w:rFonts w:hint="eastAsia" w:ascii="仿宋" w:hAnsi="仿宋" w:eastAsia="仿宋" w:cs="仿宋"/>
          <w:color w:val="000000" w:themeColor="text1"/>
          <w:spacing w:val="-2"/>
          <w:sz w:val="24"/>
          <w:szCs w:val="24"/>
          <w:highlight w:val="none"/>
          <w:u w:val="single"/>
          <w14:textFill>
            <w14:solidFill>
              <w14:schemeClr w14:val="tx1"/>
            </w14:solidFill>
          </w14:textFill>
        </w:rPr>
        <w:t>当承担发包人因此遭受的损失，包括但不限于律师费、诉讼费等所有涉诉维权费</w:t>
      </w:r>
      <w:r>
        <w:rPr>
          <w:rFonts w:hint="eastAsia" w:ascii="仿宋" w:hAnsi="仿宋" w:eastAsia="仿宋" w:cs="仿宋"/>
          <w:color w:val="000000" w:themeColor="text1"/>
          <w:spacing w:val="-3"/>
          <w:sz w:val="24"/>
          <w:szCs w:val="24"/>
          <w:highlight w:val="none"/>
          <w:u w:val="single"/>
          <w14:textFill>
            <w14:solidFill>
              <w14:schemeClr w14:val="tx1"/>
            </w14:solidFill>
          </w14:textFill>
        </w:rPr>
        <w:t>用。</w:t>
      </w:r>
    </w:p>
    <w:p w14:paraId="7D40E423">
      <w:pPr>
        <w:keepNext w:val="0"/>
        <w:keepLines w:val="0"/>
        <w:pageBreakBefore w:val="0"/>
        <w:widowControl w:val="0"/>
        <w:tabs>
          <w:tab w:val="left" w:pos="746"/>
        </w:tabs>
        <w:kinsoku/>
        <w:wordWrap/>
        <w:overflowPunct/>
        <w:topLinePunct w:val="0"/>
        <w:autoSpaceDE/>
        <w:autoSpaceDN/>
        <w:bidi w:val="0"/>
        <w:snapToGrid/>
        <w:spacing w:line="360" w:lineRule="auto"/>
        <w:ind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u w:val="single"/>
          <w14:textFill>
            <w14:solidFill>
              <w14:schemeClr w14:val="tx1"/>
            </w14:solidFill>
          </w14:textFill>
        </w:rPr>
        <w:t>（7）承包人明确表示或者以其行为表明不履行合同主要义务的</w:t>
      </w:r>
      <w:r>
        <w:rPr>
          <w:rFonts w:hint="eastAsia" w:ascii="仿宋" w:hAnsi="仿宋" w:eastAsia="仿宋" w:cs="仿宋"/>
          <w:color w:val="000000" w:themeColor="text1"/>
          <w:spacing w:val="-3"/>
          <w:sz w:val="24"/>
          <w:szCs w:val="24"/>
          <w:highlight w:val="none"/>
          <w:u w:val="single"/>
          <w14:textFill>
            <w14:solidFill>
              <w14:schemeClr w14:val="tx1"/>
            </w14:solidFill>
          </w14:textFill>
        </w:rPr>
        <w:t>违约责任：</w:t>
      </w:r>
      <w:r>
        <w:rPr>
          <w:rFonts w:hint="eastAsia" w:ascii="仿宋" w:hAnsi="仿宋" w:eastAsia="仿宋" w:cs="仿宋"/>
          <w:color w:val="000000" w:themeColor="text1"/>
          <w:spacing w:val="-2"/>
          <w:sz w:val="24"/>
          <w:szCs w:val="24"/>
          <w:highlight w:val="none"/>
          <w:u w:val="single"/>
          <w14:textFill>
            <w14:solidFill>
              <w14:schemeClr w14:val="tx1"/>
            </w14:solidFill>
          </w14:textFill>
        </w:rPr>
        <w:t>发包方有权解除合同，同时可以没收履约保证金，承包人在接到解除合同通知后10天内与发包人、监理人、咨询人共同确认已完工程工程量并撤出现场，承包人逾期或者不参与工程量确认时，发包人、监理人、咨询人确认的工程量视为承包人认可，已完工程的工程款按照结算价的 80%支付，剩余 20%作为应承担的违约金，承包人已进场的材料设备及已采购未进场的材料设备发包人均不认可，由此</w:t>
      </w:r>
      <w:r>
        <w:rPr>
          <w:rFonts w:hint="eastAsia" w:ascii="仿宋" w:hAnsi="仿宋" w:eastAsia="仿宋" w:cs="仿宋"/>
          <w:color w:val="000000" w:themeColor="text1"/>
          <w:spacing w:val="-1"/>
          <w:sz w:val="24"/>
          <w:szCs w:val="24"/>
          <w:highlight w:val="none"/>
          <w:u w:val="single"/>
          <w14:textFill>
            <w14:solidFill>
              <w14:schemeClr w14:val="tx1"/>
            </w14:solidFill>
          </w14:textFill>
        </w:rPr>
        <w:t>造成的一切损失由承包人承担。</w:t>
      </w:r>
    </w:p>
    <w:p w14:paraId="66B21566">
      <w:pPr>
        <w:keepNext w:val="0"/>
        <w:keepLines w:val="0"/>
        <w:pageBreakBefore w:val="0"/>
        <w:widowControl w:val="0"/>
        <w:tabs>
          <w:tab w:val="left" w:pos="746"/>
        </w:tabs>
        <w:kinsoku/>
        <w:wordWrap/>
        <w:overflowPunct/>
        <w:topLinePunct w:val="0"/>
        <w:autoSpaceDE/>
        <w:autoSpaceDN/>
        <w:bidi w:val="0"/>
        <w:snapToGrid/>
        <w:spacing w:line="360" w:lineRule="auto"/>
        <w:ind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u w:val="single"/>
          <w14:textFill>
            <w14:solidFill>
              <w14:schemeClr w14:val="tx1"/>
            </w14:solidFill>
          </w14:textFill>
        </w:rPr>
        <w:t>（8）承包人未能按照合同约定按期提交施工组织设计的违约责</w:t>
      </w:r>
      <w:r>
        <w:rPr>
          <w:rFonts w:hint="eastAsia" w:ascii="仿宋" w:hAnsi="仿宋" w:eastAsia="仿宋" w:cs="仿宋"/>
          <w:color w:val="000000" w:themeColor="text1"/>
          <w:spacing w:val="-3"/>
          <w:sz w:val="24"/>
          <w:szCs w:val="24"/>
          <w:highlight w:val="none"/>
          <w:u w:val="single"/>
          <w14:textFill>
            <w14:solidFill>
              <w14:schemeClr w14:val="tx1"/>
            </w14:solidFill>
          </w14:textFill>
        </w:rPr>
        <w:t>任：发包人</w:t>
      </w:r>
      <w:r>
        <w:rPr>
          <w:rFonts w:hint="eastAsia" w:ascii="仿宋" w:hAnsi="仿宋" w:eastAsia="仿宋" w:cs="仿宋"/>
          <w:color w:val="000000" w:themeColor="text1"/>
          <w:spacing w:val="-2"/>
          <w:sz w:val="24"/>
          <w:szCs w:val="24"/>
          <w:highlight w:val="none"/>
          <w:u w:val="single"/>
          <w14:textFill>
            <w14:solidFill>
              <w14:schemeClr w14:val="tx1"/>
            </w14:solidFill>
          </w14:textFill>
        </w:rPr>
        <w:t>有权要求承包人承担 1万元/天的违约金。</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3E139B73">
      <w:pPr>
        <w:keepNext w:val="0"/>
        <w:keepLines w:val="0"/>
        <w:pageBreakBefore w:val="0"/>
        <w:widowControl w:val="0"/>
        <w:tabs>
          <w:tab w:val="left" w:pos="746"/>
        </w:tabs>
        <w:kinsoku/>
        <w:wordWrap/>
        <w:overflowPunct/>
        <w:topLinePunct w:val="0"/>
        <w:autoSpaceDE/>
        <w:autoSpaceDN/>
        <w:bidi w:val="0"/>
        <w:snapToGrid/>
        <w:spacing w:line="360" w:lineRule="auto"/>
        <w:ind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u w:val="single"/>
          <w14:textFill>
            <w14:solidFill>
              <w14:schemeClr w14:val="tx1"/>
            </w14:solidFill>
          </w14:textFill>
        </w:rPr>
        <w:t>（9）承包人未按期配合发包人办理质量安全监督等手续及施工</w:t>
      </w:r>
      <w:r>
        <w:rPr>
          <w:rFonts w:hint="eastAsia" w:ascii="仿宋" w:hAnsi="仿宋" w:eastAsia="仿宋" w:cs="仿宋"/>
          <w:color w:val="000000" w:themeColor="text1"/>
          <w:spacing w:val="-3"/>
          <w:sz w:val="24"/>
          <w:szCs w:val="24"/>
          <w:highlight w:val="none"/>
          <w:u w:val="single"/>
          <w14:textFill>
            <w14:solidFill>
              <w14:schemeClr w14:val="tx1"/>
            </w14:solidFill>
          </w14:textFill>
        </w:rPr>
        <w:t>许可的违约责任：合同签订后</w:t>
      </w:r>
      <w:r>
        <w:rPr>
          <w:rFonts w:hint="eastAsia" w:ascii="仿宋" w:hAnsi="仿宋" w:eastAsia="仿宋" w:cs="仿宋"/>
          <w:color w:val="000000" w:themeColor="text1"/>
          <w:spacing w:val="-45"/>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u w:val="single"/>
          <w14:textFill>
            <w14:solidFill>
              <w14:schemeClr w14:val="tx1"/>
            </w14:solidFill>
          </w14:textFill>
        </w:rPr>
        <w:t>5</w:t>
      </w:r>
      <w:r>
        <w:rPr>
          <w:rFonts w:hint="eastAsia" w:ascii="仿宋" w:hAnsi="仿宋" w:eastAsia="仿宋" w:cs="仿宋"/>
          <w:color w:val="000000" w:themeColor="text1"/>
          <w:spacing w:val="-59"/>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u w:val="single"/>
          <w14:textFill>
            <w14:solidFill>
              <w14:schemeClr w14:val="tx1"/>
            </w14:solidFill>
          </w14:textFill>
        </w:rPr>
        <w:t>个工作日完成建设云承接并提供办理施工许可证所需资料，</w:t>
      </w:r>
      <w:r>
        <w:rPr>
          <w:rFonts w:hint="eastAsia" w:ascii="仿宋" w:hAnsi="仿宋" w:eastAsia="仿宋" w:cs="仿宋"/>
          <w:color w:val="000000" w:themeColor="text1"/>
          <w:spacing w:val="-1"/>
          <w:sz w:val="24"/>
          <w:szCs w:val="24"/>
          <w:highlight w:val="none"/>
          <w:u w:val="single"/>
          <w14:textFill>
            <w14:solidFill>
              <w14:schemeClr w14:val="tx1"/>
            </w14:solidFill>
          </w14:textFill>
        </w:rPr>
        <w:t>发包人有权要求承包人承担 1 万元/天的违约金。</w:t>
      </w:r>
      <w:r>
        <w:rPr>
          <w:rFonts w:hint="eastAsia" w:ascii="仿宋" w:hAnsi="仿宋" w:eastAsia="仿宋" w:cs="仿宋"/>
          <w:color w:val="000000" w:themeColor="text1"/>
          <w:spacing w:val="4"/>
          <w:sz w:val="24"/>
          <w:szCs w:val="24"/>
          <w:highlight w:val="none"/>
          <w:u w:val="single"/>
          <w14:textFill>
            <w14:solidFill>
              <w14:schemeClr w14:val="tx1"/>
            </w14:solidFill>
          </w14:textFill>
        </w:rPr>
        <w:t xml:space="preserve">  </w:t>
      </w:r>
    </w:p>
    <w:p w14:paraId="6B0E4607">
      <w:pPr>
        <w:keepNext w:val="0"/>
        <w:keepLines w:val="0"/>
        <w:pageBreakBefore w:val="0"/>
        <w:widowControl w:val="0"/>
        <w:tabs>
          <w:tab w:val="left" w:pos="746"/>
        </w:tabs>
        <w:kinsoku/>
        <w:wordWrap/>
        <w:overflowPunct/>
        <w:topLinePunct w:val="0"/>
        <w:autoSpaceDE/>
        <w:autoSpaceDN/>
        <w:bidi w:val="0"/>
        <w:snapToGrid/>
        <w:spacing w:line="360" w:lineRule="auto"/>
        <w:ind w:right="0" w:rightChars="0" w:firstLine="45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7"/>
          <w:sz w:val="24"/>
          <w:szCs w:val="24"/>
          <w:highlight w:val="none"/>
          <w:u w:val="single"/>
          <w14:textFill>
            <w14:solidFill>
              <w14:schemeClr w14:val="tx1"/>
            </w14:solidFill>
          </w14:textFill>
        </w:rPr>
        <w:t>（10）承包人在收到中标通知书后</w:t>
      </w:r>
      <w:r>
        <w:rPr>
          <w:rFonts w:hint="eastAsia" w:ascii="仿宋" w:hAnsi="仿宋" w:eastAsia="仿宋" w:cs="仿宋"/>
          <w:color w:val="000000" w:themeColor="text1"/>
          <w:spacing w:val="-55"/>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u w:val="single"/>
          <w14:textFill>
            <w14:solidFill>
              <w14:schemeClr w14:val="tx1"/>
            </w14:solidFill>
          </w14:textFill>
        </w:rPr>
        <w:t>5</w:t>
      </w:r>
      <w:r>
        <w:rPr>
          <w:rFonts w:hint="eastAsia" w:ascii="仿宋" w:hAnsi="仿宋" w:eastAsia="仿宋" w:cs="仿宋"/>
          <w:color w:val="000000" w:themeColor="text1"/>
          <w:spacing w:val="-55"/>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u w:val="single"/>
          <w14:textFill>
            <w14:solidFill>
              <w14:schemeClr w14:val="tx1"/>
            </w14:solidFill>
          </w14:textFill>
        </w:rPr>
        <w:t>天内，应将签字并盖章</w:t>
      </w:r>
      <w:r>
        <w:rPr>
          <w:rFonts w:hint="eastAsia" w:ascii="仿宋" w:hAnsi="仿宋" w:eastAsia="仿宋" w:cs="仿宋"/>
          <w:color w:val="000000" w:themeColor="text1"/>
          <w:spacing w:val="-8"/>
          <w:sz w:val="24"/>
          <w:szCs w:val="24"/>
          <w:highlight w:val="none"/>
          <w:u w:val="single"/>
          <w14:textFill>
            <w14:solidFill>
              <w14:schemeClr w14:val="tx1"/>
            </w14:solidFill>
          </w14:textFill>
        </w:rPr>
        <w:t>的合同送到发包</w:t>
      </w:r>
      <w:r>
        <w:rPr>
          <w:rFonts w:hint="eastAsia" w:ascii="仿宋" w:hAnsi="仿宋" w:eastAsia="仿宋" w:cs="仿宋"/>
          <w:color w:val="000000" w:themeColor="text1"/>
          <w:spacing w:val="-2"/>
          <w:sz w:val="24"/>
          <w:szCs w:val="24"/>
          <w:highlight w:val="none"/>
          <w:u w:val="single"/>
          <w14:textFill>
            <w14:solidFill>
              <w14:schemeClr w14:val="tx1"/>
            </w14:solidFill>
          </w14:textFill>
        </w:rPr>
        <w:t>人处，发包人有权要求承包人承担 1 万元/天的违约金。中标通知书发出之日起30 日未签订合同，发包人有权没收投标保证金、</w:t>
      </w:r>
      <w:r>
        <w:rPr>
          <w:rFonts w:hint="eastAsia" w:ascii="仿宋" w:hAnsi="仿宋" w:eastAsia="仿宋" w:cs="仿宋"/>
          <w:color w:val="000000" w:themeColor="text1"/>
          <w:spacing w:val="-3"/>
          <w:sz w:val="24"/>
          <w:szCs w:val="24"/>
          <w:highlight w:val="none"/>
          <w:u w:val="single"/>
          <w14:textFill>
            <w14:solidFill>
              <w14:schemeClr w14:val="tx1"/>
            </w14:solidFill>
          </w14:textFill>
        </w:rPr>
        <w:t>失信行为上报行业主管部门。</w:t>
      </w:r>
    </w:p>
    <w:p w14:paraId="1D43AC47">
      <w:pPr>
        <w:keepNext w:val="0"/>
        <w:keepLines w:val="0"/>
        <w:pageBreakBefore w:val="0"/>
        <w:widowControl w:val="0"/>
        <w:tabs>
          <w:tab w:val="left" w:pos="746"/>
        </w:tabs>
        <w:kinsoku/>
        <w:wordWrap/>
        <w:overflowPunct/>
        <w:topLinePunct w:val="0"/>
        <w:autoSpaceDE/>
        <w:autoSpaceDN/>
        <w:bidi w:val="0"/>
        <w:snapToGrid/>
        <w:spacing w:line="360" w:lineRule="auto"/>
        <w:ind w:right="0" w:rightChars="0" w:firstLine="45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7"/>
          <w:sz w:val="24"/>
          <w:szCs w:val="24"/>
          <w:highlight w:val="none"/>
          <w:u w:val="single"/>
          <w14:textFill>
            <w14:solidFill>
              <w14:schemeClr w14:val="tx1"/>
            </w14:solidFill>
          </w14:textFill>
        </w:rPr>
        <w:t>（11）承包人未按照《建设工程文件归档规范》GB/T50328-2014</w:t>
      </w:r>
      <w:r>
        <w:rPr>
          <w:rFonts w:hint="eastAsia" w:ascii="仿宋" w:hAnsi="仿宋" w:eastAsia="仿宋" w:cs="仿宋"/>
          <w:color w:val="000000" w:themeColor="text1"/>
          <w:spacing w:val="-58"/>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u w:val="single"/>
          <w14:textFill>
            <w14:solidFill>
              <w14:schemeClr w14:val="tx1"/>
            </w14:solidFill>
          </w14:textFill>
        </w:rPr>
        <w:t>要</w:t>
      </w:r>
      <w:r>
        <w:rPr>
          <w:rFonts w:hint="eastAsia" w:ascii="仿宋" w:hAnsi="仿宋" w:eastAsia="仿宋" w:cs="仿宋"/>
          <w:color w:val="000000" w:themeColor="text1"/>
          <w:spacing w:val="-8"/>
          <w:sz w:val="24"/>
          <w:szCs w:val="24"/>
          <w:highlight w:val="none"/>
          <w:u w:val="single"/>
          <w14:textFill>
            <w14:solidFill>
              <w14:schemeClr w14:val="tx1"/>
            </w14:solidFill>
          </w14:textFill>
        </w:rPr>
        <w:t>求及时编</w:t>
      </w:r>
      <w:r>
        <w:rPr>
          <w:rFonts w:hint="eastAsia" w:ascii="仿宋" w:hAnsi="仿宋" w:eastAsia="仿宋" w:cs="仿宋"/>
          <w:color w:val="000000" w:themeColor="text1"/>
          <w:spacing w:val="-2"/>
          <w:sz w:val="24"/>
          <w:szCs w:val="24"/>
          <w:highlight w:val="none"/>
          <w:u w:val="single"/>
          <w14:textFill>
            <w14:solidFill>
              <w14:schemeClr w14:val="tx1"/>
            </w14:solidFill>
          </w14:textFill>
        </w:rPr>
        <w:t>制文件项目资料的违约责任：承包人在编制工程相关资料时，过程资料编制不及</w:t>
      </w:r>
      <w:r>
        <w:rPr>
          <w:rFonts w:hint="eastAsia" w:ascii="仿宋" w:hAnsi="仿宋" w:eastAsia="仿宋" w:cs="仿宋"/>
          <w:color w:val="000000" w:themeColor="text1"/>
          <w:spacing w:val="-3"/>
          <w:sz w:val="24"/>
          <w:szCs w:val="24"/>
          <w:highlight w:val="none"/>
          <w:u w:val="single"/>
          <w14:textFill>
            <w14:solidFill>
              <w14:schemeClr w14:val="tx1"/>
            </w14:solidFill>
          </w14:textFill>
        </w:rPr>
        <w:t>时或不符合规范要求按</w:t>
      </w:r>
      <w:r>
        <w:rPr>
          <w:rFonts w:hint="eastAsia" w:ascii="仿宋" w:hAnsi="仿宋" w:eastAsia="仿宋" w:cs="仿宋"/>
          <w:color w:val="000000" w:themeColor="text1"/>
          <w:spacing w:val="-26"/>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u w:val="single"/>
          <w14:textFill>
            <w14:solidFill>
              <w14:schemeClr w14:val="tx1"/>
            </w14:solidFill>
          </w14:textFill>
        </w:rPr>
        <w:t>1000</w:t>
      </w:r>
      <w:r>
        <w:rPr>
          <w:rFonts w:hint="eastAsia" w:ascii="仿宋" w:hAnsi="仿宋" w:eastAsia="仿宋" w:cs="仿宋"/>
          <w:color w:val="000000" w:themeColor="text1"/>
          <w:spacing w:val="-56"/>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u w:val="single"/>
          <w14:textFill>
            <w14:solidFill>
              <w14:schemeClr w14:val="tx1"/>
            </w14:solidFill>
          </w14:textFill>
        </w:rPr>
        <w:t>元/次支付违约金。</w:t>
      </w:r>
    </w:p>
    <w:p w14:paraId="6992E8D5">
      <w:pPr>
        <w:keepNext w:val="0"/>
        <w:keepLines w:val="0"/>
        <w:pageBreakBefore w:val="0"/>
        <w:widowControl w:val="0"/>
        <w:tabs>
          <w:tab w:val="left" w:pos="746"/>
        </w:tabs>
        <w:kinsoku/>
        <w:wordWrap/>
        <w:overflowPunct/>
        <w:topLinePunct w:val="0"/>
        <w:autoSpaceDE/>
        <w:autoSpaceDN/>
        <w:bidi w:val="0"/>
        <w:snapToGrid/>
        <w:spacing w:line="360" w:lineRule="auto"/>
        <w:ind w:right="0" w:rightChars="0" w:firstLine="45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u w:val="single"/>
          <w14:textFill>
            <w14:solidFill>
              <w14:schemeClr w14:val="tx1"/>
            </w14:solidFill>
          </w14:textFill>
        </w:rPr>
        <w:t>（12）承包人应高度尊重项目管理及监理单位</w:t>
      </w:r>
      <w:r>
        <w:rPr>
          <w:rFonts w:hint="eastAsia" w:ascii="仿宋" w:hAnsi="仿宋" w:eastAsia="仿宋" w:cs="仿宋"/>
          <w:color w:val="000000" w:themeColor="text1"/>
          <w:spacing w:val="-7"/>
          <w:sz w:val="24"/>
          <w:szCs w:val="24"/>
          <w:highlight w:val="none"/>
          <w:u w:val="single"/>
          <w14:textFill>
            <w14:solidFill>
              <w14:schemeClr w14:val="tx1"/>
            </w14:solidFill>
          </w14:textFill>
        </w:rPr>
        <w:t>履行职责，在施工过程中，承</w:t>
      </w:r>
      <w:r>
        <w:rPr>
          <w:rFonts w:hint="eastAsia" w:ascii="仿宋" w:hAnsi="仿宋" w:eastAsia="仿宋" w:cs="仿宋"/>
          <w:color w:val="000000" w:themeColor="text1"/>
          <w:spacing w:val="-2"/>
          <w:sz w:val="24"/>
          <w:szCs w:val="24"/>
          <w:highlight w:val="none"/>
          <w:u w:val="single"/>
          <w14:textFill>
            <w14:solidFill>
              <w14:schemeClr w14:val="tx1"/>
            </w14:solidFill>
          </w14:textFill>
        </w:rPr>
        <w:t>包人不服从发包人及项目管理监理单位的监督、协调管理，发包人有权要求承包人承担 1000</w:t>
      </w:r>
      <w:r>
        <w:rPr>
          <w:rFonts w:hint="eastAsia" w:ascii="仿宋" w:hAnsi="仿宋" w:eastAsia="仿宋" w:cs="仿宋"/>
          <w:color w:val="000000" w:themeColor="text1"/>
          <w:spacing w:val="-4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元至</w:t>
      </w:r>
      <w:r>
        <w:rPr>
          <w:rFonts w:hint="eastAsia" w:ascii="仿宋" w:hAnsi="仿宋" w:eastAsia="仿宋" w:cs="仿宋"/>
          <w:color w:val="000000" w:themeColor="text1"/>
          <w:spacing w:val="-36"/>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10000</w:t>
      </w:r>
      <w:r>
        <w:rPr>
          <w:rFonts w:hint="eastAsia" w:ascii="仿宋" w:hAnsi="仿宋" w:eastAsia="仿宋" w:cs="仿宋"/>
          <w:color w:val="000000" w:themeColor="text1"/>
          <w:spacing w:val="-53"/>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元的违约金，不合作的单位或个人，发包人将责令其无</w:t>
      </w:r>
      <w:r>
        <w:rPr>
          <w:rFonts w:hint="eastAsia" w:ascii="仿宋" w:hAnsi="仿宋" w:eastAsia="仿宋" w:cs="仿宋"/>
          <w:color w:val="000000" w:themeColor="text1"/>
          <w:spacing w:val="-1"/>
          <w:sz w:val="24"/>
          <w:szCs w:val="24"/>
          <w:highlight w:val="none"/>
          <w:u w:val="single"/>
          <w14:textFill>
            <w14:solidFill>
              <w14:schemeClr w14:val="tx1"/>
            </w14:solidFill>
          </w14:textFill>
        </w:rPr>
        <w:t>条件退出施工现场或中止施工合同，并执行</w:t>
      </w:r>
      <w:r>
        <w:rPr>
          <w:rFonts w:hint="eastAsia" w:ascii="仿宋" w:hAnsi="仿宋" w:eastAsia="仿宋" w:cs="仿宋"/>
          <w:color w:val="000000" w:themeColor="text1"/>
          <w:spacing w:val="-36"/>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14:textFill>
            <w14:solidFill>
              <w14:schemeClr w14:val="tx1"/>
            </w14:solidFill>
          </w14:textFill>
        </w:rPr>
        <w:t>1</w:t>
      </w:r>
      <w:r>
        <w:rPr>
          <w:rFonts w:hint="eastAsia" w:ascii="仿宋" w:hAnsi="仿宋" w:eastAsia="仿宋" w:cs="仿宋"/>
          <w:color w:val="000000" w:themeColor="text1"/>
          <w:spacing w:val="-2"/>
          <w:sz w:val="24"/>
          <w:szCs w:val="24"/>
          <w:highlight w:val="none"/>
          <w:u w:val="single"/>
          <w14:textFill>
            <w14:solidFill>
              <w14:schemeClr w14:val="tx1"/>
            </w14:solidFill>
          </w14:textFill>
        </w:rPr>
        <w:t>6.2.2（7）条。</w:t>
      </w:r>
    </w:p>
    <w:p w14:paraId="0264ED29">
      <w:pPr>
        <w:keepNext w:val="0"/>
        <w:keepLines w:val="0"/>
        <w:pageBreakBefore w:val="0"/>
        <w:widowControl w:val="0"/>
        <w:tabs>
          <w:tab w:val="left" w:pos="746"/>
        </w:tabs>
        <w:kinsoku/>
        <w:wordWrap/>
        <w:overflowPunct/>
        <w:topLinePunct w:val="0"/>
        <w:autoSpaceDE/>
        <w:autoSpaceDN/>
        <w:bidi w:val="0"/>
        <w:snapToGrid/>
        <w:spacing w:line="360" w:lineRule="auto"/>
        <w:ind w:left="0" w:leftChars="0" w:right="0" w:rightChars="0" w:firstLine="444"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9"/>
          <w:sz w:val="24"/>
          <w:szCs w:val="24"/>
          <w:highlight w:val="none"/>
          <w:u w:val="single"/>
          <w14:textFill>
            <w14:solidFill>
              <w14:schemeClr w14:val="tx1"/>
            </w14:solidFill>
          </w14:textFill>
        </w:rPr>
        <w:t>（13）本合同另有约定的，按照其约定。</w:t>
      </w:r>
    </w:p>
    <w:p w14:paraId="039443FF">
      <w:pPr>
        <w:keepNext w:val="0"/>
        <w:keepLines w:val="0"/>
        <w:pageBreakBefore w:val="0"/>
        <w:widowControl w:val="0"/>
        <w:tabs>
          <w:tab w:val="left" w:pos="746"/>
        </w:tabs>
        <w:kinsoku/>
        <w:wordWrap/>
        <w:overflowPunct/>
        <w:topLinePunct w:val="0"/>
        <w:autoSpaceDE/>
        <w:autoSpaceDN/>
        <w:bidi w:val="0"/>
        <w:snapToGrid/>
        <w:spacing w:line="360" w:lineRule="auto"/>
        <w:ind w:left="0" w:leftChars="0" w:right="0" w:rightChars="0" w:firstLine="54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u w:val="single"/>
          <w14:textFill>
            <w14:solidFill>
              <w14:schemeClr w14:val="tx1"/>
            </w14:solidFill>
          </w14:textFill>
        </w:rPr>
        <w:t>本合同因承包人过错导致解除的，发包人对承包人已完工程进行清算，</w:t>
      </w:r>
      <w:r>
        <w:rPr>
          <w:rFonts w:hint="eastAsia" w:ascii="仿宋" w:hAnsi="仿宋" w:eastAsia="仿宋" w:cs="仿宋"/>
          <w:color w:val="000000" w:themeColor="text1"/>
          <w:spacing w:val="-3"/>
          <w:sz w:val="24"/>
          <w:szCs w:val="24"/>
          <w:highlight w:val="none"/>
          <w:u w:val="single"/>
          <w14:textFill>
            <w14:solidFill>
              <w14:schemeClr w14:val="tx1"/>
            </w14:solidFill>
          </w14:textFill>
        </w:rPr>
        <w:t>验收</w:t>
      </w:r>
      <w:r>
        <w:rPr>
          <w:rFonts w:hint="eastAsia" w:ascii="仿宋" w:hAnsi="仿宋" w:eastAsia="仿宋" w:cs="仿宋"/>
          <w:color w:val="000000" w:themeColor="text1"/>
          <w:spacing w:val="-2"/>
          <w:sz w:val="24"/>
          <w:szCs w:val="24"/>
          <w:highlight w:val="none"/>
          <w:u w:val="single"/>
          <w14:textFill>
            <w14:solidFill>
              <w14:schemeClr w14:val="tx1"/>
            </w14:solidFill>
          </w14:textFill>
        </w:rPr>
        <w:t>符合合同要求的已完工程，并在扣除违约金、质保金及其他损失金额后，双方按</w:t>
      </w:r>
      <w:r>
        <w:rPr>
          <w:rFonts w:hint="eastAsia" w:ascii="仿宋" w:hAnsi="仿宋" w:eastAsia="仿宋" w:cs="仿宋"/>
          <w:color w:val="000000" w:themeColor="text1"/>
          <w:spacing w:val="-3"/>
          <w:sz w:val="24"/>
          <w:szCs w:val="24"/>
          <w:highlight w:val="none"/>
          <w:u w:val="single"/>
          <w14:textFill>
            <w14:solidFill>
              <w14:schemeClr w14:val="tx1"/>
            </w14:solidFill>
          </w14:textFill>
        </w:rPr>
        <w:t>照合同约定履行工程款结算事宜（承包人应提供验收合格已完工程竣工资料</w:t>
      </w:r>
      <w:r>
        <w:rPr>
          <w:rFonts w:hint="eastAsia" w:ascii="仿宋" w:hAnsi="仿宋" w:eastAsia="仿宋" w:cs="仿宋"/>
          <w:color w:val="000000" w:themeColor="text1"/>
          <w:spacing w:val="-60"/>
          <w:sz w:val="24"/>
          <w:szCs w:val="24"/>
          <w:highlight w:val="none"/>
          <w:u w:val="single"/>
          <w14:textFill>
            <w14:solidFill>
              <w14:schemeClr w14:val="tx1"/>
            </w14:solidFill>
          </w14:textFill>
        </w:rPr>
        <w:t>），</w:t>
      </w:r>
      <w:r>
        <w:rPr>
          <w:rFonts w:hint="eastAsia" w:ascii="仿宋" w:hAnsi="仿宋" w:eastAsia="仿宋" w:cs="仿宋"/>
          <w:color w:val="000000" w:themeColor="text1"/>
          <w:spacing w:val="-1"/>
          <w:sz w:val="24"/>
          <w:szCs w:val="24"/>
          <w:highlight w:val="none"/>
          <w:u w:val="single"/>
          <w14:textFill>
            <w14:solidFill>
              <w14:schemeClr w14:val="tx1"/>
            </w14:solidFill>
          </w14:textFill>
        </w:rPr>
        <w:t>承包人仍需承担已完成工程及修补缺陷的义务。</w:t>
      </w:r>
    </w:p>
    <w:p w14:paraId="39F9D66B">
      <w:pPr>
        <w:keepNext w:val="0"/>
        <w:keepLines w:val="0"/>
        <w:pageBreakBefore w:val="0"/>
        <w:widowControl w:val="0"/>
        <w:kinsoku/>
        <w:wordWrap/>
        <w:overflowPunct/>
        <w:topLinePunct w:val="0"/>
        <w:autoSpaceDE/>
        <w:autoSpaceDN/>
        <w:bidi w:val="0"/>
        <w:snapToGrid/>
        <w:spacing w:line="360" w:lineRule="auto"/>
        <w:ind w:left="0" w:leftChars="0" w:right="0" w:rightChars="0" w:firstLine="5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u w:val="single"/>
          <w14:textFill>
            <w14:solidFill>
              <w14:schemeClr w14:val="tx1"/>
            </w14:solidFill>
          </w14:textFill>
        </w:rPr>
        <w:t>承包人必须及时纠正违约行为，满足合同全部要求，纠正违约行为的</w:t>
      </w:r>
      <w:r>
        <w:rPr>
          <w:rFonts w:hint="eastAsia" w:ascii="仿宋" w:hAnsi="仿宋" w:eastAsia="仿宋" w:cs="仿宋"/>
          <w:color w:val="000000" w:themeColor="text1"/>
          <w:spacing w:val="-3"/>
          <w:sz w:val="24"/>
          <w:szCs w:val="24"/>
          <w:highlight w:val="none"/>
          <w:u w:val="single"/>
          <w14:textFill>
            <w14:solidFill>
              <w14:schemeClr w14:val="tx1"/>
            </w14:solidFill>
          </w14:textFill>
        </w:rPr>
        <w:t>费用或</w:t>
      </w:r>
      <w:r>
        <w:rPr>
          <w:rFonts w:hint="eastAsia" w:ascii="仿宋" w:hAnsi="仿宋" w:eastAsia="仿宋" w:cs="仿宋"/>
          <w:color w:val="000000" w:themeColor="text1"/>
          <w:spacing w:val="2"/>
          <w:sz w:val="24"/>
          <w:szCs w:val="24"/>
          <w:highlight w:val="none"/>
          <w:u w:val="single"/>
          <w14:textFill>
            <w14:solidFill>
              <w14:schemeClr w14:val="tx1"/>
            </w14:solidFill>
          </w14:textFill>
        </w:rPr>
        <w:t>损失自负，工期不予顺延，给发包人造成经济损失的，由承包人全额赔偿。承</w:t>
      </w:r>
      <w:r>
        <w:rPr>
          <w:rFonts w:hint="eastAsia" w:ascii="仿宋" w:hAnsi="仿宋" w:eastAsia="仿宋" w:cs="仿宋"/>
          <w:color w:val="000000" w:themeColor="text1"/>
          <w:spacing w:val="-2"/>
          <w:sz w:val="24"/>
          <w:szCs w:val="24"/>
          <w:highlight w:val="none"/>
          <w:u w:val="single"/>
          <w14:textFill>
            <w14:solidFill>
              <w14:schemeClr w14:val="tx1"/>
            </w14:solidFill>
          </w14:textFill>
        </w:rPr>
        <w:t>包人对承包范围的工程质量、安全、环保负全责。因承包人原因引起的一切事故</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由承包人负责处理，并承担一切法律和经济责任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10C66217">
      <w:pPr>
        <w:keepNext w:val="0"/>
        <w:keepLines w:val="0"/>
        <w:pageBreakBefore w:val="0"/>
        <w:widowControl w:val="0"/>
        <w:kinsoku/>
        <w:wordWrap/>
        <w:overflowPunct/>
        <w:topLinePunct w:val="0"/>
        <w:autoSpaceDE/>
        <w:autoSpaceDN/>
        <w:bidi w:val="0"/>
        <w:snapToGrid/>
        <w:spacing w:line="360" w:lineRule="auto"/>
        <w:ind w:left="0" w:leftChars="0" w:right="0" w:rightChars="0" w:firstLine="53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发包人继续使用承包人在施工现场的材料、设备、临时工程、</w:t>
      </w:r>
      <w:r>
        <w:rPr>
          <w:rFonts w:hint="eastAsia" w:ascii="仿宋" w:hAnsi="仿宋" w:eastAsia="仿宋" w:cs="仿宋"/>
          <w:color w:val="000000" w:themeColor="text1"/>
          <w:spacing w:val="-3"/>
          <w:sz w:val="24"/>
          <w:szCs w:val="24"/>
          <w:highlight w:val="none"/>
          <w14:textFill>
            <w14:solidFill>
              <w14:schemeClr w14:val="tx1"/>
            </w14:solidFill>
          </w14:textFill>
        </w:rPr>
        <w:t>承包人文件和</w:t>
      </w:r>
      <w:r>
        <w:rPr>
          <w:rFonts w:hint="eastAsia" w:ascii="仿宋" w:hAnsi="仿宋" w:eastAsia="仿宋" w:cs="仿宋"/>
          <w:color w:val="000000" w:themeColor="text1"/>
          <w:spacing w:val="-1"/>
          <w:sz w:val="24"/>
          <w:szCs w:val="24"/>
          <w:highlight w:val="none"/>
          <w14:textFill>
            <w14:solidFill>
              <w14:schemeClr w14:val="tx1"/>
            </w14:solidFill>
          </w14:textFill>
        </w:rPr>
        <w:t>由承包人或以其名义编制的其他文件的费用承担</w:t>
      </w:r>
      <w:r>
        <w:rPr>
          <w:rFonts w:hint="eastAsia" w:ascii="仿宋" w:hAnsi="仿宋" w:eastAsia="仿宋" w:cs="仿宋"/>
          <w:color w:val="000000" w:themeColor="text1"/>
          <w:spacing w:val="-2"/>
          <w:sz w:val="24"/>
          <w:szCs w:val="24"/>
          <w:highlight w:val="none"/>
          <w14:textFill>
            <w14:solidFill>
              <w14:schemeClr w14:val="tx1"/>
            </w14:solidFill>
          </w14:textFill>
        </w:rPr>
        <w:t>方式：</w:t>
      </w:r>
      <w:r>
        <w:rPr>
          <w:rFonts w:hint="eastAsia" w:ascii="仿宋" w:hAnsi="仿宋" w:eastAsia="仿宋" w:cs="仿宋"/>
          <w:color w:val="000000" w:themeColor="text1"/>
          <w:spacing w:val="-2"/>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w:t>
      </w:r>
    </w:p>
    <w:p w14:paraId="428EAB0F">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16.2.3</w:t>
      </w:r>
      <w:r>
        <w:rPr>
          <w:rFonts w:hint="eastAsia" w:ascii="仿宋" w:hAnsi="仿宋" w:eastAsia="仿宋" w:cs="仿宋"/>
          <w:color w:val="000000" w:themeColor="text1"/>
          <w:spacing w:val="3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因承包人违约解除合同</w:t>
      </w:r>
    </w:p>
    <w:p w14:paraId="377137B2">
      <w:pPr>
        <w:keepNext w:val="0"/>
        <w:keepLines w:val="0"/>
        <w:pageBreakBefore w:val="0"/>
        <w:widowControl w:val="0"/>
        <w:kinsoku/>
        <w:wordWrap/>
        <w:overflowPunct/>
        <w:topLinePunct w:val="0"/>
        <w:autoSpaceDE/>
        <w:autoSpaceDN/>
        <w:bidi w:val="0"/>
        <w:snapToGrid/>
        <w:spacing w:line="360" w:lineRule="auto"/>
        <w:ind w:left="0" w:leftChars="0"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关于承包人违约解除合同的特别约定：</w:t>
      </w:r>
    </w:p>
    <w:p w14:paraId="7DE5C239">
      <w:pPr>
        <w:keepNext w:val="0"/>
        <w:keepLines w:val="0"/>
        <w:pageBreakBefore w:val="0"/>
        <w:widowControl w:val="0"/>
        <w:kinsoku/>
        <w:wordWrap/>
        <w:overflowPunct/>
        <w:topLinePunct w:val="0"/>
        <w:autoSpaceDE/>
        <w:autoSpaceDN/>
        <w:bidi w:val="0"/>
        <w:snapToGrid/>
        <w:spacing w:line="360" w:lineRule="auto"/>
        <w:ind w:left="0" w:leftChars="0" w:right="0" w:rightChars="0" w:firstLine="5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承包人具有下列情形之一，发包方有权以书面形式通知承包人解除合</w:t>
      </w:r>
      <w:r>
        <w:rPr>
          <w:rFonts w:hint="eastAsia" w:ascii="仿宋" w:hAnsi="仿宋" w:eastAsia="仿宋" w:cs="仿宋"/>
          <w:color w:val="000000" w:themeColor="text1"/>
          <w:spacing w:val="-3"/>
          <w:sz w:val="24"/>
          <w:szCs w:val="24"/>
          <w:highlight w:val="none"/>
          <w14:textFill>
            <w14:solidFill>
              <w14:schemeClr w14:val="tx1"/>
            </w14:solidFill>
          </w14:textFill>
        </w:rPr>
        <w:t>同并没</w:t>
      </w:r>
      <w:r>
        <w:rPr>
          <w:rFonts w:hint="eastAsia" w:ascii="仿宋" w:hAnsi="仿宋" w:eastAsia="仿宋" w:cs="仿宋"/>
          <w:color w:val="000000" w:themeColor="text1"/>
          <w:spacing w:val="-2"/>
          <w:sz w:val="24"/>
          <w:szCs w:val="24"/>
          <w:highlight w:val="none"/>
          <w14:textFill>
            <w14:solidFill>
              <w14:schemeClr w14:val="tx1"/>
            </w14:solidFill>
          </w14:textFill>
        </w:rPr>
        <w:t>收履约保证金，承包人在接到解除合同通知后</w:t>
      </w:r>
      <w:r>
        <w:rPr>
          <w:rFonts w:hint="eastAsia" w:ascii="仿宋" w:hAnsi="仿宋" w:eastAsia="仿宋" w:cs="仿宋"/>
          <w:color w:val="000000" w:themeColor="text1"/>
          <w:spacing w:val="-3"/>
          <w:sz w:val="24"/>
          <w:szCs w:val="24"/>
          <w:highlight w:val="none"/>
          <w14:textFill>
            <w14:solidFill>
              <w14:schemeClr w14:val="tx1"/>
            </w14:solidFill>
          </w14:textFill>
        </w:rPr>
        <w:t>10天内与发包人、监理人、咨询</w:t>
      </w:r>
      <w:r>
        <w:rPr>
          <w:rFonts w:hint="eastAsia" w:ascii="仿宋" w:hAnsi="仿宋" w:eastAsia="仿宋" w:cs="仿宋"/>
          <w:color w:val="000000" w:themeColor="text1"/>
          <w:sz w:val="24"/>
          <w:szCs w:val="24"/>
          <w:highlight w:val="none"/>
          <w14:textFill>
            <w14:solidFill>
              <w14:schemeClr w14:val="tx1"/>
            </w14:solidFill>
          </w14:textFill>
        </w:rPr>
        <w:t>人共同确认已完工程工程量并撤出现场，承包</w:t>
      </w:r>
      <w:r>
        <w:rPr>
          <w:rFonts w:hint="eastAsia" w:ascii="仿宋" w:hAnsi="仿宋" w:eastAsia="仿宋" w:cs="仿宋"/>
          <w:color w:val="000000" w:themeColor="text1"/>
          <w:spacing w:val="-1"/>
          <w:sz w:val="24"/>
          <w:szCs w:val="24"/>
          <w:highlight w:val="none"/>
          <w14:textFill>
            <w14:solidFill>
              <w14:schemeClr w14:val="tx1"/>
            </w14:solidFill>
          </w14:textFill>
        </w:rPr>
        <w:t>人逾期或者不参与工程量确认时，</w:t>
      </w:r>
      <w:r>
        <w:rPr>
          <w:rFonts w:hint="eastAsia" w:ascii="仿宋" w:hAnsi="仿宋" w:eastAsia="仿宋" w:cs="仿宋"/>
          <w:color w:val="000000" w:themeColor="text1"/>
          <w:spacing w:val="-2"/>
          <w:sz w:val="24"/>
          <w:szCs w:val="24"/>
          <w:highlight w:val="none"/>
          <w14:textFill>
            <w14:solidFill>
              <w14:schemeClr w14:val="tx1"/>
            </w14:solidFill>
          </w14:textFill>
        </w:rPr>
        <w:t>发包人、监理人、咨询人确认的工程量承包人予以认可，已完工程的工程款按照结算价的 80%支付，剩余 20%作为应承担的违约金，承包人已进场的材料设备及</w:t>
      </w:r>
      <w:r>
        <w:rPr>
          <w:rFonts w:hint="eastAsia" w:ascii="仿宋" w:hAnsi="仿宋" w:eastAsia="仿宋" w:cs="仿宋"/>
          <w:color w:val="000000" w:themeColor="text1"/>
          <w:spacing w:val="4"/>
          <w:sz w:val="24"/>
          <w:szCs w:val="24"/>
          <w:highlight w:val="none"/>
          <w14:textFill>
            <w14:solidFill>
              <w14:schemeClr w14:val="tx1"/>
            </w14:solidFill>
          </w14:textFill>
        </w:rPr>
        <w:t>已采购未进场的材料设备发包人均不认可，</w:t>
      </w:r>
      <w:r>
        <w:rPr>
          <w:rFonts w:hint="eastAsia" w:ascii="仿宋" w:hAnsi="仿宋" w:eastAsia="仿宋" w:cs="仿宋"/>
          <w:color w:val="000000" w:themeColor="text1"/>
          <w:spacing w:val="-7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由此造成的一切损失由承包人承担</w:t>
      </w:r>
      <w:r>
        <w:rPr>
          <w:rFonts w:hint="eastAsia" w:ascii="仿宋" w:hAnsi="仿宋" w:eastAsia="仿宋" w:cs="仿宋"/>
          <w:color w:val="000000" w:themeColor="text1"/>
          <w:spacing w:val="-7"/>
          <w:sz w:val="24"/>
          <w:szCs w:val="24"/>
          <w:highlight w:val="none"/>
          <w14:textFill>
            <w14:solidFill>
              <w14:schemeClr w14:val="tx1"/>
            </w14:solidFill>
          </w14:textFill>
        </w:rPr>
        <w:t>（包括但不限于赔偿金、诉讼费、差旅费、律师费等全部直接损失、间接损失）。</w:t>
      </w:r>
    </w:p>
    <w:p w14:paraId="78428C04">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（1）承包人明确表示或者以其行为表明不履行合同主要义务的；</w:t>
      </w:r>
    </w:p>
    <w:p w14:paraId="608EC305">
      <w:pPr>
        <w:keepNext w:val="0"/>
        <w:keepLines w:val="0"/>
        <w:pageBreakBefore w:val="0"/>
        <w:widowControl w:val="0"/>
        <w:kinsoku/>
        <w:wordWrap/>
        <w:overflowPunct/>
        <w:topLinePunct w:val="0"/>
        <w:autoSpaceDE/>
        <w:autoSpaceDN/>
        <w:bidi w:val="0"/>
        <w:snapToGrid/>
        <w:spacing w:line="360" w:lineRule="auto"/>
        <w:ind w:left="0" w:leftChars="0" w:right="0" w:rightChars="0" w:firstLine="56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（2）因承包人原因造成工程质量达不到合同约定验收标准的，承包人拒绝</w:t>
      </w:r>
      <w:r>
        <w:rPr>
          <w:rFonts w:hint="eastAsia" w:ascii="仿宋" w:hAnsi="仿宋" w:eastAsia="仿宋" w:cs="仿宋"/>
          <w:color w:val="000000" w:themeColor="text1"/>
          <w:spacing w:val="-5"/>
          <w:sz w:val="24"/>
          <w:szCs w:val="24"/>
          <w:highlight w:val="none"/>
          <w14:textFill>
            <w14:solidFill>
              <w14:schemeClr w14:val="tx1"/>
            </w14:solidFill>
          </w14:textFill>
        </w:rPr>
        <w:t>修复或修复后仍不合格的；</w:t>
      </w:r>
    </w:p>
    <w:p w14:paraId="5F3389FF">
      <w:pPr>
        <w:keepNext w:val="0"/>
        <w:keepLines w:val="0"/>
        <w:pageBreakBefore w:val="0"/>
        <w:widowControl w:val="0"/>
        <w:kinsoku/>
        <w:wordWrap/>
        <w:overflowPunct/>
        <w:topLinePunct w:val="0"/>
        <w:autoSpaceDE/>
        <w:autoSpaceDN/>
        <w:bidi w:val="0"/>
        <w:snapToGrid/>
        <w:spacing w:line="360" w:lineRule="auto"/>
        <w:ind w:left="0" w:leftChars="0" w:right="0" w:rightChars="0" w:firstLine="56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（3）因承包人导致项目发生安全生产事故或安全生产伤亡事故，承包人已</w:t>
      </w:r>
      <w:r>
        <w:rPr>
          <w:rFonts w:hint="eastAsia" w:ascii="仿宋" w:hAnsi="仿宋" w:eastAsia="仿宋" w:cs="仿宋"/>
          <w:color w:val="000000" w:themeColor="text1"/>
          <w:spacing w:val="-6"/>
          <w:sz w:val="24"/>
          <w:szCs w:val="24"/>
          <w:highlight w:val="none"/>
          <w14:textFill>
            <w14:solidFill>
              <w14:schemeClr w14:val="tx1"/>
            </w14:solidFill>
          </w14:textFill>
        </w:rPr>
        <w:t>无法正常履行合同义务的；</w:t>
      </w:r>
    </w:p>
    <w:p w14:paraId="7AD234D6">
      <w:pPr>
        <w:keepNext w:val="0"/>
        <w:keepLines w:val="0"/>
        <w:pageBreakBefore w:val="0"/>
        <w:widowControl w:val="0"/>
        <w:kinsoku/>
        <w:wordWrap/>
        <w:overflowPunct/>
        <w:topLinePunct w:val="0"/>
        <w:autoSpaceDE/>
        <w:autoSpaceDN/>
        <w:bidi w:val="0"/>
        <w:snapToGrid/>
        <w:spacing w:line="360" w:lineRule="auto"/>
        <w:ind w:left="0" w:leftChars="0" w:right="0" w:rightChars="0" w:firstLine="56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（4）按照承包人上报的施工进度计划，因承包</w:t>
      </w:r>
      <w:r>
        <w:rPr>
          <w:rFonts w:hint="eastAsia" w:ascii="仿宋" w:hAnsi="仿宋" w:eastAsia="仿宋" w:cs="仿宋"/>
          <w:color w:val="000000" w:themeColor="text1"/>
          <w:spacing w:val="1"/>
          <w:sz w:val="24"/>
          <w:szCs w:val="24"/>
          <w:highlight w:val="none"/>
          <w14:textFill>
            <w14:solidFill>
              <w14:schemeClr w14:val="tx1"/>
            </w14:solidFill>
          </w14:textFill>
        </w:rPr>
        <w:t>人原因导致工期延误累计超</w:t>
      </w:r>
      <w:r>
        <w:rPr>
          <w:rFonts w:hint="eastAsia" w:ascii="仿宋" w:hAnsi="仿宋" w:eastAsia="仿宋" w:cs="仿宋"/>
          <w:color w:val="000000" w:themeColor="text1"/>
          <w:spacing w:val="-16"/>
          <w:sz w:val="24"/>
          <w:szCs w:val="24"/>
          <w:highlight w:val="none"/>
          <w14:textFill>
            <w14:solidFill>
              <w14:schemeClr w14:val="tx1"/>
            </w14:solidFill>
          </w14:textFill>
        </w:rPr>
        <w:t>过</w:t>
      </w:r>
      <w:r>
        <w:rPr>
          <w:rFonts w:hint="eastAsia" w:ascii="仿宋" w:hAnsi="仿宋" w:eastAsia="仿宋" w:cs="仿宋"/>
          <w:color w:val="000000" w:themeColor="text1"/>
          <w:spacing w:val="-3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14:textFill>
            <w14:solidFill>
              <w14:schemeClr w14:val="tx1"/>
            </w14:solidFill>
          </w14:textFill>
        </w:rPr>
        <w:t>15</w:t>
      </w:r>
      <w:r>
        <w:rPr>
          <w:rFonts w:hint="eastAsia" w:ascii="仿宋" w:hAnsi="仿宋" w:eastAsia="仿宋" w:cs="仿宋"/>
          <w:color w:val="000000" w:themeColor="text1"/>
          <w:spacing w:val="-5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14:textFill>
            <w14:solidFill>
              <w14:schemeClr w14:val="tx1"/>
            </w14:solidFill>
          </w14:textFill>
        </w:rPr>
        <w:t>天的；</w:t>
      </w:r>
    </w:p>
    <w:p w14:paraId="2492B83B">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（5）因承包人债权债务纠纷或其他纠纷导致本工程无法正常施工的；</w:t>
      </w:r>
    </w:p>
    <w:p w14:paraId="35EA87DB">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（6）项目实施过程中承包人出现违法分包、转包的。</w:t>
      </w:r>
    </w:p>
    <w:p w14:paraId="7B4E03A0">
      <w:pPr>
        <w:keepNext w:val="0"/>
        <w:keepLines w:val="0"/>
        <w:pageBreakBefore w:val="0"/>
        <w:widowControl w:val="0"/>
        <w:kinsoku/>
        <w:wordWrap/>
        <w:overflowPunct/>
        <w:topLinePunct w:val="0"/>
        <w:autoSpaceDE/>
        <w:autoSpaceDN/>
        <w:bidi w:val="0"/>
        <w:snapToGrid/>
        <w:spacing w:line="360" w:lineRule="auto"/>
        <w:ind w:left="0" w:leftChars="0" w:right="0" w:rightChars="0" w:firstLine="56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本合同因承包人过错导致合同解除的，发包人对承包人已完工程进行清算，验收符合合同要求的已完工程，并在扣除违约金、质保金及其他损失金额后，双</w:t>
      </w:r>
      <w:r>
        <w:rPr>
          <w:rFonts w:hint="eastAsia" w:ascii="仿宋" w:hAnsi="仿宋" w:eastAsia="仿宋" w:cs="仿宋"/>
          <w:color w:val="000000" w:themeColor="text1"/>
          <w:spacing w:val="6"/>
          <w:sz w:val="24"/>
          <w:szCs w:val="24"/>
          <w:highlight w:val="none"/>
          <w14:textFill>
            <w14:solidFill>
              <w14:schemeClr w14:val="tx1"/>
            </w14:solidFill>
          </w14:textFill>
        </w:rPr>
        <w:t>方按照合同约定履行工程款结算事宜（承包人应提供验收合格已完工程竣工资</w:t>
      </w:r>
      <w:r>
        <w:rPr>
          <w:rFonts w:hint="eastAsia" w:ascii="仿宋" w:hAnsi="仿宋" w:eastAsia="仿宋" w:cs="仿宋"/>
          <w:color w:val="000000" w:themeColor="text1"/>
          <w:spacing w:val="-1"/>
          <w:sz w:val="24"/>
          <w:szCs w:val="24"/>
          <w:highlight w:val="none"/>
          <w14:textFill>
            <w14:solidFill>
              <w14:schemeClr w14:val="tx1"/>
            </w14:solidFill>
          </w14:textFill>
        </w:rPr>
        <w:t>料</w:t>
      </w:r>
      <w:r>
        <w:rPr>
          <w:rFonts w:hint="eastAsia" w:ascii="仿宋" w:hAnsi="仿宋" w:eastAsia="仿宋" w:cs="仿宋"/>
          <w:color w:val="000000" w:themeColor="text1"/>
          <w:spacing w:val="5"/>
          <w:sz w:val="24"/>
          <w:szCs w:val="24"/>
          <w:highlight w:val="none"/>
          <w14:textFill>
            <w14:solidFill>
              <w14:schemeClr w14:val="tx1"/>
            </w14:solidFill>
          </w14:textFill>
        </w:rPr>
        <w:t>），</w:t>
      </w:r>
      <w:r>
        <w:rPr>
          <w:rFonts w:hint="eastAsia" w:ascii="仿宋" w:hAnsi="仿宋" w:eastAsia="仿宋" w:cs="仿宋"/>
          <w:color w:val="000000" w:themeColor="text1"/>
          <w:spacing w:val="-1"/>
          <w:sz w:val="24"/>
          <w:szCs w:val="24"/>
          <w:highlight w:val="none"/>
          <w14:textFill>
            <w14:solidFill>
              <w14:schemeClr w14:val="tx1"/>
            </w14:solidFill>
          </w14:textFill>
        </w:rPr>
        <w:t>承包人仍需承担已完成工程及修补缺陷的义务。</w:t>
      </w:r>
    </w:p>
    <w:p w14:paraId="0200A61F">
      <w:pPr>
        <w:keepNext w:val="0"/>
        <w:keepLines w:val="0"/>
        <w:pageBreakBefore w:val="0"/>
        <w:widowControl w:val="0"/>
        <w:kinsoku/>
        <w:wordWrap/>
        <w:overflowPunct/>
        <w:topLinePunct w:val="0"/>
        <w:autoSpaceDE/>
        <w:autoSpaceDN/>
        <w:bidi w:val="0"/>
        <w:snapToGrid/>
        <w:spacing w:line="360" w:lineRule="auto"/>
        <w:ind w:left="0" w:leftChars="0" w:right="0" w:rightChars="0"/>
        <w:outlineLvl w:val="2"/>
        <w:rPr>
          <w:rFonts w:hint="eastAsia" w:ascii="仿宋" w:hAnsi="仿宋" w:eastAsia="仿宋" w:cs="仿宋"/>
          <w:color w:val="000000" w:themeColor="text1"/>
          <w:sz w:val="24"/>
          <w:szCs w:val="24"/>
          <w:highlight w:val="none"/>
          <w14:textFill>
            <w14:solidFill>
              <w14:schemeClr w14:val="tx1"/>
            </w14:solidFill>
          </w14:textFill>
        </w:rPr>
      </w:pPr>
      <w:bookmarkStart w:id="170" w:name="bookmark152"/>
      <w:bookmarkEnd w:id="170"/>
      <w:bookmarkStart w:id="171" w:name="_Toc32066"/>
      <w:r>
        <w:rPr>
          <w:rFonts w:hint="eastAsia" w:ascii="仿宋" w:hAnsi="仿宋" w:eastAsia="仿宋" w:cs="仿宋"/>
          <w:color w:val="000000" w:themeColor="text1"/>
          <w:spacing w:val="-7"/>
          <w:sz w:val="24"/>
          <w:szCs w:val="24"/>
          <w:highlight w:val="none"/>
          <w14:textFill>
            <w14:solidFill>
              <w14:schemeClr w14:val="tx1"/>
            </w14:solidFill>
          </w14:textFill>
        </w:rPr>
        <w:t>17.</w:t>
      </w:r>
      <w:r>
        <w:rPr>
          <w:rFonts w:hint="eastAsia" w:ascii="仿宋" w:hAnsi="仿宋" w:eastAsia="仿宋" w:cs="仿宋"/>
          <w:color w:val="000000" w:themeColor="text1"/>
          <w:spacing w:val="1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14:textFill>
            <w14:solidFill>
              <w14:schemeClr w14:val="tx1"/>
            </w14:solidFill>
          </w14:textFill>
        </w:rPr>
        <w:t>不可抗力</w:t>
      </w:r>
      <w:bookmarkEnd w:id="171"/>
    </w:p>
    <w:p w14:paraId="124A2E8B">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17.1 不可抗力的确认</w:t>
      </w:r>
    </w:p>
    <w:p w14:paraId="175BB49A">
      <w:pPr>
        <w:keepNext w:val="0"/>
        <w:keepLines w:val="0"/>
        <w:pageBreakBefore w:val="0"/>
        <w:widowControl w:val="0"/>
        <w:kinsoku/>
        <w:wordWrap/>
        <w:overflowPunct/>
        <w:topLinePunct w:val="0"/>
        <w:autoSpaceDE/>
        <w:autoSpaceDN/>
        <w:bidi w:val="0"/>
        <w:snapToGrid/>
        <w:spacing w:line="360" w:lineRule="auto"/>
        <w:ind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除通用合同条款约定的不可抗力事件之外，视为不可抗力的其他情形：</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w:t>
      </w:r>
      <w:r>
        <w:rPr>
          <w:rFonts w:hint="eastAsia" w:ascii="仿宋" w:hAnsi="仿宋" w:eastAsia="仿宋" w:cs="仿宋"/>
          <w:color w:val="000000" w:themeColor="text1"/>
          <w:spacing w:val="-5"/>
          <w:sz w:val="24"/>
          <w:szCs w:val="24"/>
          <w:highlight w:val="none"/>
          <w14:textFill>
            <w14:solidFill>
              <w14:schemeClr w14:val="tx1"/>
            </w14:solidFill>
          </w14:textFill>
        </w:rPr>
        <w:t>。</w:t>
      </w:r>
    </w:p>
    <w:p w14:paraId="5C8258AF">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17.4</w:t>
      </w:r>
      <w:r>
        <w:rPr>
          <w:rFonts w:hint="eastAsia" w:ascii="仿宋" w:hAnsi="仿宋" w:eastAsia="仿宋" w:cs="仿宋"/>
          <w:color w:val="000000" w:themeColor="text1"/>
          <w:spacing w:val="3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因不可抗力解除合同</w:t>
      </w:r>
    </w:p>
    <w:p w14:paraId="29CE73A5">
      <w:pPr>
        <w:keepNext w:val="0"/>
        <w:keepLines w:val="0"/>
        <w:pageBreakBefore w:val="0"/>
        <w:widowControl w:val="0"/>
        <w:kinsoku/>
        <w:wordWrap/>
        <w:overflowPunct/>
        <w:topLinePunct w:val="0"/>
        <w:autoSpaceDE/>
        <w:autoSpaceDN/>
        <w:bidi w:val="0"/>
        <w:snapToGrid/>
        <w:spacing w:line="360" w:lineRule="auto"/>
        <w:ind w:right="0" w:rightChars="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合同解除后，发包人应在商定或确定发包人应支付款项</w:t>
      </w:r>
      <w:r>
        <w:rPr>
          <w:rFonts w:hint="eastAsia" w:ascii="仿宋" w:hAnsi="仿宋" w:eastAsia="仿宋" w:cs="仿宋"/>
          <w:color w:val="000000" w:themeColor="text1"/>
          <w:spacing w:val="-1"/>
          <w:sz w:val="24"/>
          <w:szCs w:val="24"/>
          <w:highlight w:val="none"/>
          <w14:textFill>
            <w14:solidFill>
              <w14:schemeClr w14:val="tx1"/>
            </w14:solidFill>
          </w14:textFill>
        </w:rPr>
        <w:t>后</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90 </w:t>
      </w:r>
      <w:r>
        <w:rPr>
          <w:rFonts w:hint="eastAsia" w:ascii="仿宋" w:hAnsi="仿宋" w:eastAsia="仿宋" w:cs="仿宋"/>
          <w:color w:val="000000" w:themeColor="text1"/>
          <w:spacing w:val="-1"/>
          <w:sz w:val="24"/>
          <w:szCs w:val="24"/>
          <w:highlight w:val="none"/>
          <w14:textFill>
            <w14:solidFill>
              <w14:schemeClr w14:val="tx1"/>
            </w14:solidFill>
          </w14:textFill>
        </w:rPr>
        <w:t>天内完成款</w:t>
      </w:r>
      <w:r>
        <w:rPr>
          <w:rFonts w:hint="eastAsia" w:ascii="仿宋" w:hAnsi="仿宋" w:eastAsia="仿宋" w:cs="仿宋"/>
          <w:color w:val="000000" w:themeColor="text1"/>
          <w:spacing w:val="-3"/>
          <w:sz w:val="24"/>
          <w:szCs w:val="24"/>
          <w:highlight w:val="none"/>
          <w14:textFill>
            <w14:solidFill>
              <w14:schemeClr w14:val="tx1"/>
            </w14:solidFill>
          </w14:textFill>
        </w:rPr>
        <w:t>项的支付。</w:t>
      </w:r>
    </w:p>
    <w:p w14:paraId="4CAA4CA2">
      <w:pPr>
        <w:keepNext w:val="0"/>
        <w:keepLines w:val="0"/>
        <w:pageBreakBefore w:val="0"/>
        <w:widowControl w:val="0"/>
        <w:kinsoku/>
        <w:wordWrap/>
        <w:overflowPunct/>
        <w:topLinePunct w:val="0"/>
        <w:autoSpaceDE/>
        <w:autoSpaceDN/>
        <w:bidi w:val="0"/>
        <w:snapToGrid/>
        <w:spacing w:line="360" w:lineRule="auto"/>
        <w:ind w:left="0" w:leftChars="0" w:right="0" w:rightChars="0"/>
        <w:outlineLvl w:val="2"/>
        <w:rPr>
          <w:rFonts w:hint="eastAsia" w:ascii="仿宋" w:hAnsi="仿宋" w:eastAsia="仿宋" w:cs="仿宋"/>
          <w:color w:val="000000" w:themeColor="text1"/>
          <w:sz w:val="24"/>
          <w:szCs w:val="24"/>
          <w:highlight w:val="none"/>
          <w14:textFill>
            <w14:solidFill>
              <w14:schemeClr w14:val="tx1"/>
            </w14:solidFill>
          </w14:textFill>
        </w:rPr>
      </w:pPr>
      <w:bookmarkStart w:id="172" w:name="bookmark153"/>
      <w:bookmarkEnd w:id="172"/>
      <w:bookmarkStart w:id="173" w:name="_Toc24611"/>
      <w:r>
        <w:rPr>
          <w:rFonts w:hint="eastAsia" w:ascii="仿宋" w:hAnsi="仿宋" w:eastAsia="仿宋" w:cs="仿宋"/>
          <w:color w:val="000000" w:themeColor="text1"/>
          <w:spacing w:val="-8"/>
          <w:sz w:val="24"/>
          <w:szCs w:val="24"/>
          <w:highlight w:val="none"/>
          <w14:textFill>
            <w14:solidFill>
              <w14:schemeClr w14:val="tx1"/>
            </w14:solidFill>
          </w14:textFill>
        </w:rPr>
        <w:t>18.</w:t>
      </w:r>
      <w:r>
        <w:rPr>
          <w:rFonts w:hint="eastAsia" w:ascii="仿宋" w:hAnsi="仿宋" w:eastAsia="仿宋" w:cs="仿宋"/>
          <w:color w:val="000000" w:themeColor="text1"/>
          <w:spacing w:val="1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14:textFill>
            <w14:solidFill>
              <w14:schemeClr w14:val="tx1"/>
            </w14:solidFill>
          </w14:textFill>
        </w:rPr>
        <w:t>保险</w:t>
      </w:r>
      <w:bookmarkEnd w:id="173"/>
    </w:p>
    <w:p w14:paraId="6F366063">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18.1</w:t>
      </w:r>
      <w:r>
        <w:rPr>
          <w:rFonts w:hint="eastAsia" w:ascii="仿宋" w:hAnsi="仿宋" w:eastAsia="仿宋" w:cs="仿宋"/>
          <w:color w:val="000000" w:themeColor="text1"/>
          <w:spacing w:val="1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工程保险</w:t>
      </w:r>
    </w:p>
    <w:p w14:paraId="02494367">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关于工程保险的特别约定：</w:t>
      </w:r>
      <w:r>
        <w:rPr>
          <w:rFonts w:hint="eastAsia" w:ascii="仿宋" w:hAnsi="仿宋" w:eastAsia="仿宋" w:cs="仿宋"/>
          <w:color w:val="000000" w:themeColor="text1"/>
          <w:spacing w:val="47"/>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由承包人投保，费用含在合同价</w:t>
      </w:r>
      <w:r>
        <w:rPr>
          <w:rFonts w:hint="eastAsia" w:ascii="仿宋" w:hAnsi="仿宋" w:eastAsia="仿宋" w:cs="仿宋"/>
          <w:color w:val="000000" w:themeColor="text1"/>
          <w:spacing w:val="-3"/>
          <w:sz w:val="24"/>
          <w:szCs w:val="24"/>
          <w:highlight w:val="none"/>
          <w:u w:val="single"/>
          <w14:textFill>
            <w14:solidFill>
              <w14:schemeClr w14:val="tx1"/>
            </w14:solidFill>
          </w14:textFill>
        </w:rPr>
        <w:t xml:space="preserve">中 </w:t>
      </w:r>
      <w:r>
        <w:rPr>
          <w:rFonts w:hint="eastAsia" w:ascii="仿宋" w:hAnsi="仿宋" w:eastAsia="仿宋" w:cs="仿宋"/>
          <w:color w:val="000000" w:themeColor="text1"/>
          <w:spacing w:val="-3"/>
          <w:sz w:val="24"/>
          <w:szCs w:val="24"/>
          <w:highlight w:val="none"/>
          <w14:textFill>
            <w14:solidFill>
              <w14:schemeClr w14:val="tx1"/>
            </w14:solidFill>
          </w14:textFill>
        </w:rPr>
        <w:t>。</w:t>
      </w:r>
    </w:p>
    <w:p w14:paraId="3F568EC2">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18.3 其他保险</w:t>
      </w:r>
    </w:p>
    <w:p w14:paraId="24A654EF">
      <w:pPr>
        <w:keepNext w:val="0"/>
        <w:keepLines w:val="0"/>
        <w:pageBreakBefore w:val="0"/>
        <w:widowControl w:val="0"/>
        <w:kinsoku/>
        <w:wordWrap/>
        <w:overflowPunct/>
        <w:topLinePunct w:val="0"/>
        <w:autoSpaceDE/>
        <w:autoSpaceDN/>
        <w:bidi w:val="0"/>
        <w:snapToGrid/>
        <w:spacing w:line="360" w:lineRule="auto"/>
        <w:ind w:left="0" w:leftChars="0" w:right="0" w:rightChars="0" w:firstLine="56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关于其他保险的约定：</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承包人应为施工现场的全部人员办理意外保险并支</w:t>
      </w:r>
      <w:r>
        <w:rPr>
          <w:rFonts w:hint="eastAsia" w:ascii="仿宋" w:hAnsi="仿宋" w:eastAsia="仿宋" w:cs="仿宋"/>
          <w:color w:val="000000" w:themeColor="text1"/>
          <w:spacing w:val="-2"/>
          <w:sz w:val="24"/>
          <w:szCs w:val="24"/>
          <w:highlight w:val="none"/>
          <w:u w:val="single"/>
          <w14:textFill>
            <w14:solidFill>
              <w14:schemeClr w14:val="tx1"/>
            </w14:solidFill>
          </w14:textFill>
        </w:rPr>
        <w:t xml:space="preserve">付保险费用  </w:t>
      </w:r>
      <w:r>
        <w:rPr>
          <w:rFonts w:hint="eastAsia" w:ascii="仿宋" w:hAnsi="仿宋" w:eastAsia="仿宋" w:cs="仿宋"/>
          <w:color w:val="000000" w:themeColor="text1"/>
          <w:spacing w:val="-2"/>
          <w:sz w:val="24"/>
          <w:szCs w:val="24"/>
          <w:highlight w:val="none"/>
          <w14:textFill>
            <w14:solidFill>
              <w14:schemeClr w14:val="tx1"/>
            </w14:solidFill>
          </w14:textFill>
        </w:rPr>
        <w:t>。</w:t>
      </w:r>
    </w:p>
    <w:p w14:paraId="193C3287">
      <w:pPr>
        <w:keepNext w:val="0"/>
        <w:keepLines w:val="0"/>
        <w:pageBreakBefore w:val="0"/>
        <w:widowControl w:val="0"/>
        <w:kinsoku/>
        <w:wordWrap/>
        <w:overflowPunct/>
        <w:topLinePunct w:val="0"/>
        <w:autoSpaceDE/>
        <w:autoSpaceDN/>
        <w:bidi w:val="0"/>
        <w:snapToGrid/>
        <w:spacing w:line="360" w:lineRule="auto"/>
        <w:ind w:left="0" w:leftChars="0" w:right="0" w:rightChars="0" w:firstLine="56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w:t>
      </w:r>
      <w:r>
        <w:rPr>
          <w:rFonts w:hint="eastAsia" w:ascii="仿宋" w:hAnsi="仿宋" w:eastAsia="仿宋" w:cs="仿宋"/>
          <w:color w:val="000000" w:themeColor="text1"/>
          <w:spacing w:val="-1"/>
          <w:sz w:val="24"/>
          <w:szCs w:val="24"/>
          <w:highlight w:val="none"/>
          <w14:textFill>
            <w14:solidFill>
              <w14:schemeClr w14:val="tx1"/>
            </w14:solidFill>
          </w14:textFill>
        </w:rPr>
        <w:t>是否</w:t>
      </w:r>
      <w:r>
        <w:rPr>
          <w:rFonts w:hint="eastAsia" w:ascii="仿宋" w:hAnsi="仿宋" w:eastAsia="仿宋" w:cs="仿宋"/>
          <w:color w:val="000000" w:themeColor="text1"/>
          <w:sz w:val="24"/>
          <w:szCs w:val="24"/>
          <w:highlight w:val="none"/>
          <w14:textFill>
            <w14:solidFill>
              <w14:schemeClr w14:val="tx1"/>
            </w14:solidFill>
          </w14:textFill>
        </w:rPr>
        <w:t>应为其施工设备等办理财产保险：</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按通用条款执行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3B0DC931">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18.7 通知义务</w:t>
      </w:r>
    </w:p>
    <w:p w14:paraId="3D376FB4">
      <w:pPr>
        <w:keepNext w:val="0"/>
        <w:keepLines w:val="0"/>
        <w:pageBreakBefore w:val="0"/>
        <w:widowControl w:val="0"/>
        <w:kinsoku/>
        <w:wordWrap/>
        <w:overflowPunct/>
        <w:topLinePunct w:val="0"/>
        <w:autoSpaceDE/>
        <w:autoSpaceDN/>
        <w:bidi w:val="0"/>
        <w:snapToGrid/>
        <w:spacing w:line="360" w:lineRule="auto"/>
        <w:ind w:left="0" w:leftChars="0" w:right="0" w:rightChars="0" w:firstLine="56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关于变更保险合同时的通知义务的约定：</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按通用条款执行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6EAE8882">
      <w:pPr>
        <w:keepNext w:val="0"/>
        <w:keepLines w:val="0"/>
        <w:pageBreakBefore w:val="0"/>
        <w:widowControl w:val="0"/>
        <w:kinsoku/>
        <w:wordWrap/>
        <w:overflowPunct/>
        <w:topLinePunct w:val="0"/>
        <w:autoSpaceDE/>
        <w:autoSpaceDN/>
        <w:bidi w:val="0"/>
        <w:snapToGrid/>
        <w:spacing w:line="360" w:lineRule="auto"/>
        <w:ind w:left="0" w:leftChars="0" w:right="0" w:rightChars="0"/>
        <w:outlineLvl w:val="2"/>
        <w:rPr>
          <w:rFonts w:hint="eastAsia" w:ascii="仿宋" w:hAnsi="仿宋" w:eastAsia="仿宋" w:cs="仿宋"/>
          <w:color w:val="000000" w:themeColor="text1"/>
          <w:sz w:val="24"/>
          <w:szCs w:val="24"/>
          <w:highlight w:val="none"/>
          <w14:textFill>
            <w14:solidFill>
              <w14:schemeClr w14:val="tx1"/>
            </w14:solidFill>
          </w14:textFill>
        </w:rPr>
      </w:pPr>
      <w:bookmarkStart w:id="174" w:name="bookmark154"/>
      <w:bookmarkEnd w:id="174"/>
      <w:bookmarkStart w:id="175" w:name="_Toc13434"/>
      <w:r>
        <w:rPr>
          <w:rFonts w:hint="eastAsia" w:ascii="仿宋" w:hAnsi="仿宋" w:eastAsia="仿宋" w:cs="仿宋"/>
          <w:color w:val="000000" w:themeColor="text1"/>
          <w:spacing w:val="-5"/>
          <w:sz w:val="24"/>
          <w:szCs w:val="24"/>
          <w:highlight w:val="none"/>
          <w14:textFill>
            <w14:solidFill>
              <w14:schemeClr w14:val="tx1"/>
            </w14:solidFill>
          </w14:textFill>
        </w:rPr>
        <w:t>20.</w:t>
      </w:r>
      <w:r>
        <w:rPr>
          <w:rFonts w:hint="eastAsia" w:ascii="仿宋" w:hAnsi="仿宋" w:eastAsia="仿宋" w:cs="仿宋"/>
          <w:color w:val="000000" w:themeColor="text1"/>
          <w:spacing w:val="2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争议解决</w:t>
      </w:r>
      <w:bookmarkEnd w:id="175"/>
    </w:p>
    <w:p w14:paraId="2D0211EB">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20.3</w:t>
      </w:r>
      <w:r>
        <w:rPr>
          <w:rFonts w:hint="eastAsia" w:ascii="仿宋" w:hAnsi="仿宋" w:eastAsia="仿宋" w:cs="仿宋"/>
          <w:color w:val="000000" w:themeColor="text1"/>
          <w:spacing w:val="1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争议评审</w:t>
      </w:r>
    </w:p>
    <w:p w14:paraId="428DF5BF">
      <w:pPr>
        <w:keepNext w:val="0"/>
        <w:keepLines w:val="0"/>
        <w:pageBreakBefore w:val="0"/>
        <w:widowControl w:val="0"/>
        <w:kinsoku/>
        <w:wordWrap/>
        <w:overflowPunct/>
        <w:topLinePunct w:val="0"/>
        <w:autoSpaceDE/>
        <w:autoSpaceDN/>
        <w:bidi w:val="0"/>
        <w:snapToGrid/>
        <w:spacing w:line="360" w:lineRule="auto"/>
        <w:ind w:right="0" w:rightChars="0" w:firstLine="47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合同当事人是否同意将工程争议提交争议评审小组决定：</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否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7EA2E72B">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20.3.1 争议评审小组的确定</w:t>
      </w:r>
    </w:p>
    <w:p w14:paraId="52D96833">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争议评审小组成员的确定：</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647A47C2">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选定争议评审员的期限：</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7242B0B6">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争议评审小组成员的报酬承担方式：</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01E9A36E">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其他事项的约定：</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30C83B30">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20.3.2 争议评审小组的决定</w:t>
      </w:r>
    </w:p>
    <w:p w14:paraId="5B184D38">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合同当事人关于本项的约定：</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pacing w:val="-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2200FA18">
      <w:pPr>
        <w:keepNext w:val="0"/>
        <w:keepLines w:val="0"/>
        <w:pageBreakBefore w:val="0"/>
        <w:widowControl w:val="0"/>
        <w:kinsoku/>
        <w:wordWrap/>
        <w:overflowPunct/>
        <w:topLinePunct w:val="0"/>
        <w:autoSpaceDE/>
        <w:autoSpaceDN/>
        <w:bidi w:val="0"/>
        <w:snapToGrid/>
        <w:spacing w:line="360" w:lineRule="auto"/>
        <w:ind w:left="0" w:leftChars="0" w:right="0" w:rightChars="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20.4</w:t>
      </w:r>
      <w:r>
        <w:rPr>
          <w:rFonts w:hint="eastAsia" w:ascii="仿宋" w:hAnsi="仿宋" w:eastAsia="仿宋" w:cs="仿宋"/>
          <w:color w:val="000000" w:themeColor="text1"/>
          <w:spacing w:val="-5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仲裁或诉讼</w:t>
      </w:r>
    </w:p>
    <w:p w14:paraId="7B776BE0">
      <w:pPr>
        <w:pStyle w:val="9"/>
        <w:keepNext w:val="0"/>
        <w:keepLines w:val="0"/>
        <w:pageBreakBefore w:val="0"/>
        <w:widowControl w:val="0"/>
        <w:kinsoku/>
        <w:wordWrap/>
        <w:overflowPunct/>
        <w:topLinePunct w:val="0"/>
        <w:autoSpaceDE/>
        <w:autoSpaceDN/>
        <w:bidi w:val="0"/>
        <w:snapToGrid/>
        <w:spacing w:after="0" w:line="360" w:lineRule="auto"/>
        <w:ind w:left="0" w:leftChars="0" w:right="0" w:rightChars="0" w:firstLine="472" w:firstLineChars="200"/>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 xml:space="preserve">因合同及合同有关事项发生的争议，按下列第 </w:t>
      </w:r>
      <w:r>
        <w:rPr>
          <w:rFonts w:hint="eastAsia" w:ascii="仿宋" w:hAnsi="仿宋" w:eastAsia="仿宋" w:cs="仿宋"/>
          <w:color w:val="000000" w:themeColor="text1"/>
          <w:spacing w:val="-2"/>
          <w:sz w:val="24"/>
          <w:szCs w:val="24"/>
          <w:highlight w:val="none"/>
          <w:u w:val="single"/>
          <w14:textFill>
            <w14:solidFill>
              <w14:schemeClr w14:val="tx1"/>
            </w14:solidFill>
          </w14:textFill>
        </w:rPr>
        <w:t xml:space="preserve"> (2)    </w:t>
      </w:r>
      <w:r>
        <w:rPr>
          <w:rFonts w:hint="eastAsia" w:ascii="仿宋" w:hAnsi="仿宋" w:eastAsia="仿宋" w:cs="仿宋"/>
          <w:color w:val="000000" w:themeColor="text1"/>
          <w:spacing w:val="-2"/>
          <w:sz w:val="24"/>
          <w:szCs w:val="24"/>
          <w:highlight w:val="none"/>
          <w14:textFill>
            <w14:solidFill>
              <w14:schemeClr w14:val="tx1"/>
            </w14:solidFill>
          </w14:textFill>
        </w:rPr>
        <w:t>种方式解决：</w:t>
      </w:r>
    </w:p>
    <w:p w14:paraId="6E899388">
      <w:pPr>
        <w:keepNext w:val="0"/>
        <w:keepLines w:val="0"/>
        <w:pageBreakBefore w:val="0"/>
        <w:widowControl w:val="0"/>
        <w:kinsoku/>
        <w:wordWrap/>
        <w:overflowPunct/>
        <w:topLinePunct w:val="0"/>
        <w:autoSpaceDE/>
        <w:autoSpaceDN/>
        <w:bidi w:val="0"/>
        <w:snapToGrid/>
        <w:spacing w:line="360" w:lineRule="auto"/>
        <w:ind w:left="0" w:leftChars="0" w:right="0" w:rightChars="0" w:firstLine="47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（1）向</w:t>
      </w:r>
      <w:r>
        <w:rPr>
          <w:rFonts w:hint="eastAsia" w:ascii="仿宋" w:hAnsi="仿宋" w:eastAsia="仿宋" w:cs="仿宋"/>
          <w:color w:val="000000" w:themeColor="text1"/>
          <w:spacing w:val="-9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pacing w:val="-13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仲裁委员会申请仲裁；</w:t>
      </w:r>
    </w:p>
    <w:p w14:paraId="6DB17E53">
      <w:pPr>
        <w:keepNext w:val="0"/>
        <w:keepLines w:val="0"/>
        <w:pageBreakBefore w:val="0"/>
        <w:widowControl w:val="0"/>
        <w:kinsoku/>
        <w:wordWrap/>
        <w:overflowPunct/>
        <w:topLinePunct w:val="0"/>
        <w:autoSpaceDE/>
        <w:autoSpaceDN/>
        <w:bidi w:val="0"/>
        <w:snapToGrid/>
        <w:spacing w:line="360" w:lineRule="auto"/>
        <w:ind w:left="0" w:leftChars="0" w:right="0" w:rightChars="0" w:firstLine="468"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（2）向</w:t>
      </w:r>
      <w:r>
        <w:rPr>
          <w:rFonts w:hint="eastAsia" w:ascii="仿宋" w:hAnsi="仿宋" w:eastAsia="仿宋" w:cs="仿宋"/>
          <w:color w:val="000000" w:themeColor="text1"/>
          <w:spacing w:val="-10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u w:val="single"/>
          <w14:textFill>
            <w14:solidFill>
              <w14:schemeClr w14:val="tx1"/>
            </w14:solidFill>
          </w14:textFill>
        </w:rPr>
        <w:t xml:space="preserve">       工程所在地       </w:t>
      </w:r>
      <w:r>
        <w:rPr>
          <w:rFonts w:hint="eastAsia" w:ascii="仿宋" w:hAnsi="仿宋" w:eastAsia="仿宋" w:cs="仿宋"/>
          <w:color w:val="000000" w:themeColor="text1"/>
          <w:spacing w:val="-12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人民法院起诉。</w:t>
      </w:r>
    </w:p>
    <w:p w14:paraId="0DEFEF51">
      <w:pPr>
        <w:spacing w:line="221" w:lineRule="auto"/>
        <w:rPr>
          <w:rFonts w:hint="eastAsia" w:ascii="仿宋" w:hAnsi="仿宋" w:eastAsia="仿宋" w:cs="仿宋"/>
          <w:color w:val="000000" w:themeColor="text1"/>
          <w:sz w:val="24"/>
          <w:szCs w:val="24"/>
          <w:highlight w:val="none"/>
          <w14:textFill>
            <w14:solidFill>
              <w14:schemeClr w14:val="tx1"/>
            </w14:solidFill>
          </w14:textFill>
        </w:rPr>
        <w:sectPr>
          <w:headerReference r:id="rId16" w:type="default"/>
          <w:footerReference r:id="rId17" w:type="default"/>
          <w:pgSz w:w="11907" w:h="16839"/>
          <w:pgMar w:top="1417" w:right="1417" w:bottom="1417" w:left="1417" w:header="1092" w:footer="946" w:gutter="0"/>
          <w:cols w:space="720" w:num="1"/>
          <w:rtlGutter w:val="0"/>
          <w:docGrid w:linePitch="0" w:charSpace="0"/>
        </w:sectPr>
      </w:pPr>
    </w:p>
    <w:p w14:paraId="7C82D993">
      <w:pPr>
        <w:pStyle w:val="57"/>
        <w:spacing w:line="360" w:lineRule="auto"/>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附件</w:t>
      </w:r>
    </w:p>
    <w:p w14:paraId="636CAE0A">
      <w:pPr>
        <w:pStyle w:val="57"/>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协议书附件：</w:t>
      </w:r>
    </w:p>
    <w:p w14:paraId="5B4DC178">
      <w:pPr>
        <w:pStyle w:val="57"/>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附件1：承包人承揽工程项目一览表</w:t>
      </w:r>
    </w:p>
    <w:p w14:paraId="003EBDF6">
      <w:pPr>
        <w:pStyle w:val="57"/>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专用合同条款附件：</w:t>
      </w:r>
    </w:p>
    <w:p w14:paraId="492094F3">
      <w:pPr>
        <w:pStyle w:val="57"/>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附件2：发包人供应材料设备一览表</w:t>
      </w:r>
    </w:p>
    <w:p w14:paraId="6E6C9EC7">
      <w:pPr>
        <w:pStyle w:val="57"/>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附件3：工程质量保修书</w:t>
      </w:r>
    </w:p>
    <w:p w14:paraId="5A9E636D">
      <w:pPr>
        <w:pStyle w:val="57"/>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附件4：主要建设工程文件目录</w:t>
      </w:r>
    </w:p>
    <w:p w14:paraId="64AC9FB9">
      <w:pPr>
        <w:pStyle w:val="57"/>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附件5：承包人用于本工程施工的机械设备表</w:t>
      </w:r>
    </w:p>
    <w:p w14:paraId="2382B798">
      <w:pPr>
        <w:pStyle w:val="57"/>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附件6：承包人主要施工管理人员表</w:t>
      </w:r>
    </w:p>
    <w:p w14:paraId="4F32B174">
      <w:pPr>
        <w:pStyle w:val="57"/>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附件7：分包人主要施工管理人员表</w:t>
      </w:r>
    </w:p>
    <w:p w14:paraId="0E3D6D6E">
      <w:pPr>
        <w:pStyle w:val="57"/>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附件8：履约担保格式</w:t>
      </w:r>
    </w:p>
    <w:p w14:paraId="791F385B">
      <w:pPr>
        <w:pStyle w:val="57"/>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附件9：预付款担保格式</w:t>
      </w:r>
    </w:p>
    <w:p w14:paraId="22E0EE35">
      <w:pPr>
        <w:pStyle w:val="57"/>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附件10：支付担保格式</w:t>
      </w:r>
    </w:p>
    <w:p w14:paraId="79A60FB5">
      <w:pPr>
        <w:pStyle w:val="57"/>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附件11：暂估价一览表</w:t>
      </w:r>
    </w:p>
    <w:p w14:paraId="02F41319">
      <w:pPr>
        <w:pStyle w:val="57"/>
        <w:spacing w:before="120" w:beforeLines="50" w:after="120" w:afterLines="50" w:line="440" w:lineRule="exact"/>
        <w:jc w:val="left"/>
        <w:outlineLvl w:val="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8"/>
          <w:sz w:val="24"/>
          <w:szCs w:val="24"/>
          <w:highlight w:val="none"/>
          <w14:textFill>
            <w14:solidFill>
              <w14:schemeClr w14:val="tx1"/>
            </w14:solidFill>
          </w14:textFill>
        </w:rPr>
        <w:br w:type="page"/>
      </w:r>
      <w:bookmarkStart w:id="176" w:name="_Toc4036"/>
      <w:r>
        <w:rPr>
          <w:rFonts w:hint="eastAsia" w:ascii="仿宋" w:hAnsi="仿宋" w:eastAsia="仿宋" w:cs="仿宋"/>
          <w:color w:val="000000" w:themeColor="text1"/>
          <w:sz w:val="24"/>
          <w:szCs w:val="24"/>
          <w:highlight w:val="none"/>
          <w14:textFill>
            <w14:solidFill>
              <w14:schemeClr w14:val="tx1"/>
            </w14:solidFill>
          </w14:textFill>
        </w:rPr>
        <w:t>附件1：</w:t>
      </w:r>
      <w:bookmarkEnd w:id="176"/>
    </w:p>
    <w:p w14:paraId="267088B6">
      <w:pPr>
        <w:pStyle w:val="57"/>
        <w:spacing w:before="120" w:beforeLines="50" w:after="120" w:afterLines="50"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承包人承揽工程项目一览表</w:t>
      </w:r>
    </w:p>
    <w:tbl>
      <w:tblPr>
        <w:tblStyle w:val="24"/>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788"/>
        <w:gridCol w:w="1138"/>
        <w:gridCol w:w="874"/>
        <w:gridCol w:w="1489"/>
        <w:gridCol w:w="522"/>
        <w:gridCol w:w="963"/>
        <w:gridCol w:w="1314"/>
        <w:gridCol w:w="903"/>
        <w:gridCol w:w="524"/>
        <w:gridCol w:w="523"/>
      </w:tblGrid>
      <w:tr w14:paraId="368920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37" w:type="pct"/>
            <w:tcBorders>
              <w:top w:val="single" w:color="auto" w:sz="12" w:space="0"/>
              <w:bottom w:val="double" w:color="auto" w:sz="6" w:space="0"/>
            </w:tcBorders>
            <w:noWrap w:val="0"/>
            <w:vAlign w:val="center"/>
          </w:tcPr>
          <w:p w14:paraId="41F0CBC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单位工程名称</w:t>
            </w:r>
          </w:p>
        </w:tc>
        <w:tc>
          <w:tcPr>
            <w:tcW w:w="631" w:type="pct"/>
            <w:tcBorders>
              <w:top w:val="single" w:color="auto" w:sz="12" w:space="0"/>
              <w:bottom w:val="double" w:color="auto" w:sz="6" w:space="0"/>
            </w:tcBorders>
            <w:noWrap w:val="0"/>
            <w:vAlign w:val="center"/>
          </w:tcPr>
          <w:p w14:paraId="0091A7F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建设规模</w:t>
            </w:r>
          </w:p>
        </w:tc>
        <w:tc>
          <w:tcPr>
            <w:tcW w:w="485" w:type="pct"/>
            <w:tcBorders>
              <w:top w:val="single" w:color="auto" w:sz="12" w:space="0"/>
              <w:bottom w:val="double" w:color="auto" w:sz="6" w:space="0"/>
            </w:tcBorders>
            <w:noWrap w:val="0"/>
            <w:vAlign w:val="center"/>
          </w:tcPr>
          <w:p w14:paraId="7961109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建筑面积(平方米)</w:t>
            </w:r>
          </w:p>
        </w:tc>
        <w:tc>
          <w:tcPr>
            <w:tcW w:w="825" w:type="pct"/>
            <w:tcBorders>
              <w:top w:val="single" w:color="auto" w:sz="12" w:space="0"/>
              <w:bottom w:val="double" w:color="auto" w:sz="6" w:space="0"/>
            </w:tcBorders>
            <w:noWrap w:val="0"/>
            <w:vAlign w:val="center"/>
          </w:tcPr>
          <w:p w14:paraId="5216A82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结构形式</w:t>
            </w:r>
          </w:p>
        </w:tc>
        <w:tc>
          <w:tcPr>
            <w:tcW w:w="290" w:type="pct"/>
            <w:tcBorders>
              <w:top w:val="single" w:color="auto" w:sz="12" w:space="0"/>
              <w:bottom w:val="double" w:color="auto" w:sz="6" w:space="0"/>
            </w:tcBorders>
            <w:noWrap w:val="0"/>
            <w:vAlign w:val="center"/>
          </w:tcPr>
          <w:p w14:paraId="54D17D6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层数</w:t>
            </w:r>
          </w:p>
        </w:tc>
        <w:tc>
          <w:tcPr>
            <w:tcW w:w="534" w:type="pct"/>
            <w:tcBorders>
              <w:top w:val="single" w:color="auto" w:sz="12" w:space="0"/>
              <w:bottom w:val="double" w:color="auto" w:sz="6" w:space="0"/>
            </w:tcBorders>
            <w:noWrap w:val="0"/>
            <w:vAlign w:val="center"/>
          </w:tcPr>
          <w:p w14:paraId="351984E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生产能力</w:t>
            </w:r>
          </w:p>
        </w:tc>
        <w:tc>
          <w:tcPr>
            <w:tcW w:w="728" w:type="pct"/>
            <w:tcBorders>
              <w:top w:val="single" w:color="auto" w:sz="12" w:space="0"/>
              <w:bottom w:val="double" w:color="auto" w:sz="6" w:space="0"/>
            </w:tcBorders>
            <w:noWrap w:val="0"/>
            <w:vAlign w:val="center"/>
          </w:tcPr>
          <w:p w14:paraId="1B46D1E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设备安装内容</w:t>
            </w:r>
          </w:p>
        </w:tc>
        <w:tc>
          <w:tcPr>
            <w:tcW w:w="485" w:type="pct"/>
            <w:tcBorders>
              <w:top w:val="single" w:color="auto" w:sz="12" w:space="0"/>
              <w:bottom w:val="double" w:color="auto" w:sz="6" w:space="0"/>
            </w:tcBorders>
            <w:noWrap w:val="0"/>
            <w:vAlign w:val="center"/>
          </w:tcPr>
          <w:p w14:paraId="34758E2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合同价格（元）</w:t>
            </w:r>
          </w:p>
        </w:tc>
        <w:tc>
          <w:tcPr>
            <w:tcW w:w="291" w:type="pct"/>
            <w:tcBorders>
              <w:top w:val="single" w:color="auto" w:sz="12" w:space="0"/>
              <w:bottom w:val="double" w:color="auto" w:sz="6" w:space="0"/>
            </w:tcBorders>
            <w:noWrap w:val="0"/>
            <w:vAlign w:val="center"/>
          </w:tcPr>
          <w:p w14:paraId="6BF34D8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开工日期</w:t>
            </w:r>
          </w:p>
        </w:tc>
        <w:tc>
          <w:tcPr>
            <w:tcW w:w="290" w:type="pct"/>
            <w:tcBorders>
              <w:top w:val="single" w:color="auto" w:sz="12" w:space="0"/>
              <w:bottom w:val="double" w:color="auto" w:sz="6" w:space="0"/>
            </w:tcBorders>
            <w:noWrap w:val="0"/>
            <w:vAlign w:val="center"/>
          </w:tcPr>
          <w:p w14:paraId="607DA24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竣工日期</w:t>
            </w:r>
          </w:p>
        </w:tc>
      </w:tr>
      <w:tr w14:paraId="2F3A31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double" w:color="auto" w:sz="6" w:space="0"/>
              <w:bottom w:val="single" w:color="auto" w:sz="6" w:space="0"/>
            </w:tcBorders>
            <w:noWrap w:val="0"/>
            <w:vAlign w:val="center"/>
          </w:tcPr>
          <w:p w14:paraId="2F90296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631" w:type="pct"/>
            <w:tcBorders>
              <w:top w:val="double" w:color="auto" w:sz="6" w:space="0"/>
              <w:bottom w:val="single" w:color="auto" w:sz="6" w:space="0"/>
            </w:tcBorders>
            <w:noWrap w:val="0"/>
            <w:vAlign w:val="center"/>
          </w:tcPr>
          <w:p w14:paraId="28168C5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85" w:type="pct"/>
            <w:tcBorders>
              <w:top w:val="double" w:color="auto" w:sz="6" w:space="0"/>
              <w:bottom w:val="single" w:color="auto" w:sz="6" w:space="0"/>
            </w:tcBorders>
            <w:noWrap w:val="0"/>
            <w:vAlign w:val="center"/>
          </w:tcPr>
          <w:p w14:paraId="081A090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25" w:type="pct"/>
            <w:tcBorders>
              <w:top w:val="double" w:color="auto" w:sz="6" w:space="0"/>
              <w:bottom w:val="single" w:color="auto" w:sz="6" w:space="0"/>
            </w:tcBorders>
            <w:noWrap w:val="0"/>
            <w:vAlign w:val="center"/>
          </w:tcPr>
          <w:p w14:paraId="627441C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290" w:type="pct"/>
            <w:tcBorders>
              <w:top w:val="double" w:color="auto" w:sz="6" w:space="0"/>
              <w:bottom w:val="single" w:color="auto" w:sz="6" w:space="0"/>
            </w:tcBorders>
            <w:noWrap w:val="0"/>
            <w:vAlign w:val="center"/>
          </w:tcPr>
          <w:p w14:paraId="5EE2875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534" w:type="pct"/>
            <w:tcBorders>
              <w:top w:val="double" w:color="auto" w:sz="6" w:space="0"/>
              <w:bottom w:val="single" w:color="auto" w:sz="6" w:space="0"/>
            </w:tcBorders>
            <w:noWrap w:val="0"/>
            <w:vAlign w:val="center"/>
          </w:tcPr>
          <w:p w14:paraId="527DF88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28" w:type="pct"/>
            <w:tcBorders>
              <w:top w:val="double" w:color="auto" w:sz="6" w:space="0"/>
              <w:bottom w:val="single" w:color="auto" w:sz="6" w:space="0"/>
            </w:tcBorders>
            <w:noWrap w:val="0"/>
            <w:vAlign w:val="center"/>
          </w:tcPr>
          <w:p w14:paraId="5D50B5A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85" w:type="pct"/>
            <w:tcBorders>
              <w:top w:val="double" w:color="auto" w:sz="6" w:space="0"/>
              <w:bottom w:val="single" w:color="auto" w:sz="6" w:space="0"/>
            </w:tcBorders>
            <w:noWrap w:val="0"/>
            <w:vAlign w:val="center"/>
          </w:tcPr>
          <w:p w14:paraId="61ADEAB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291" w:type="pct"/>
            <w:tcBorders>
              <w:top w:val="double" w:color="auto" w:sz="6" w:space="0"/>
              <w:bottom w:val="single" w:color="auto" w:sz="6" w:space="0"/>
            </w:tcBorders>
            <w:noWrap w:val="0"/>
            <w:vAlign w:val="center"/>
          </w:tcPr>
          <w:p w14:paraId="3781E78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290" w:type="pct"/>
            <w:tcBorders>
              <w:top w:val="double" w:color="auto" w:sz="6" w:space="0"/>
              <w:bottom w:val="single" w:color="auto" w:sz="6" w:space="0"/>
            </w:tcBorders>
            <w:noWrap w:val="0"/>
            <w:vAlign w:val="center"/>
          </w:tcPr>
          <w:p w14:paraId="1229E61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5F660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nil"/>
            </w:tcBorders>
            <w:noWrap w:val="0"/>
            <w:vAlign w:val="center"/>
          </w:tcPr>
          <w:p w14:paraId="6D950A9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631" w:type="pct"/>
            <w:tcBorders>
              <w:top w:val="nil"/>
            </w:tcBorders>
            <w:noWrap w:val="0"/>
            <w:vAlign w:val="center"/>
          </w:tcPr>
          <w:p w14:paraId="4EDB68D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85" w:type="pct"/>
            <w:tcBorders>
              <w:top w:val="nil"/>
            </w:tcBorders>
            <w:noWrap w:val="0"/>
            <w:vAlign w:val="center"/>
          </w:tcPr>
          <w:p w14:paraId="6F0F968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25" w:type="pct"/>
            <w:tcBorders>
              <w:top w:val="nil"/>
            </w:tcBorders>
            <w:noWrap w:val="0"/>
            <w:vAlign w:val="center"/>
          </w:tcPr>
          <w:p w14:paraId="444DE1E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290" w:type="pct"/>
            <w:tcBorders>
              <w:top w:val="nil"/>
            </w:tcBorders>
            <w:noWrap w:val="0"/>
            <w:vAlign w:val="center"/>
          </w:tcPr>
          <w:p w14:paraId="2D932F9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534" w:type="pct"/>
            <w:tcBorders>
              <w:top w:val="nil"/>
            </w:tcBorders>
            <w:noWrap w:val="0"/>
            <w:vAlign w:val="center"/>
          </w:tcPr>
          <w:p w14:paraId="04E3E76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28" w:type="pct"/>
            <w:tcBorders>
              <w:top w:val="nil"/>
            </w:tcBorders>
            <w:noWrap w:val="0"/>
            <w:vAlign w:val="center"/>
          </w:tcPr>
          <w:p w14:paraId="1861BD9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85" w:type="pct"/>
            <w:tcBorders>
              <w:top w:val="nil"/>
            </w:tcBorders>
            <w:noWrap w:val="0"/>
            <w:vAlign w:val="center"/>
          </w:tcPr>
          <w:p w14:paraId="68A24F3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291" w:type="pct"/>
            <w:tcBorders>
              <w:top w:val="nil"/>
            </w:tcBorders>
            <w:noWrap w:val="0"/>
            <w:vAlign w:val="center"/>
          </w:tcPr>
          <w:p w14:paraId="1FB4498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290" w:type="pct"/>
            <w:tcBorders>
              <w:top w:val="nil"/>
            </w:tcBorders>
            <w:noWrap w:val="0"/>
            <w:vAlign w:val="center"/>
          </w:tcPr>
          <w:p w14:paraId="75191FC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5745E4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nil"/>
            </w:tcBorders>
            <w:noWrap w:val="0"/>
            <w:vAlign w:val="center"/>
          </w:tcPr>
          <w:p w14:paraId="403086C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631" w:type="pct"/>
            <w:tcBorders>
              <w:top w:val="nil"/>
            </w:tcBorders>
            <w:noWrap w:val="0"/>
            <w:vAlign w:val="center"/>
          </w:tcPr>
          <w:p w14:paraId="029B4F1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85" w:type="pct"/>
            <w:tcBorders>
              <w:top w:val="nil"/>
            </w:tcBorders>
            <w:noWrap w:val="0"/>
            <w:vAlign w:val="center"/>
          </w:tcPr>
          <w:p w14:paraId="1E116C1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25" w:type="pct"/>
            <w:tcBorders>
              <w:top w:val="nil"/>
            </w:tcBorders>
            <w:noWrap w:val="0"/>
            <w:vAlign w:val="center"/>
          </w:tcPr>
          <w:p w14:paraId="1502C77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290" w:type="pct"/>
            <w:tcBorders>
              <w:top w:val="nil"/>
            </w:tcBorders>
            <w:noWrap w:val="0"/>
            <w:vAlign w:val="center"/>
          </w:tcPr>
          <w:p w14:paraId="769095F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534" w:type="pct"/>
            <w:tcBorders>
              <w:top w:val="nil"/>
            </w:tcBorders>
            <w:noWrap w:val="0"/>
            <w:vAlign w:val="center"/>
          </w:tcPr>
          <w:p w14:paraId="0911A71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28" w:type="pct"/>
            <w:tcBorders>
              <w:top w:val="nil"/>
            </w:tcBorders>
            <w:noWrap w:val="0"/>
            <w:vAlign w:val="center"/>
          </w:tcPr>
          <w:p w14:paraId="34F0DD7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85" w:type="pct"/>
            <w:tcBorders>
              <w:top w:val="nil"/>
            </w:tcBorders>
            <w:noWrap w:val="0"/>
            <w:vAlign w:val="center"/>
          </w:tcPr>
          <w:p w14:paraId="439F5C1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291" w:type="pct"/>
            <w:tcBorders>
              <w:top w:val="nil"/>
            </w:tcBorders>
            <w:noWrap w:val="0"/>
            <w:vAlign w:val="center"/>
          </w:tcPr>
          <w:p w14:paraId="6AE8821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290" w:type="pct"/>
            <w:tcBorders>
              <w:top w:val="nil"/>
            </w:tcBorders>
            <w:noWrap w:val="0"/>
            <w:vAlign w:val="center"/>
          </w:tcPr>
          <w:p w14:paraId="1FBDF5C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45825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noWrap w:val="0"/>
            <w:vAlign w:val="center"/>
          </w:tcPr>
          <w:p w14:paraId="2E44D4C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631" w:type="pct"/>
            <w:noWrap w:val="0"/>
            <w:vAlign w:val="center"/>
          </w:tcPr>
          <w:p w14:paraId="0F917CC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85" w:type="pct"/>
            <w:noWrap w:val="0"/>
            <w:vAlign w:val="center"/>
          </w:tcPr>
          <w:p w14:paraId="33554FA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25" w:type="pct"/>
            <w:noWrap w:val="0"/>
            <w:vAlign w:val="center"/>
          </w:tcPr>
          <w:p w14:paraId="08DC395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290" w:type="pct"/>
            <w:noWrap w:val="0"/>
            <w:vAlign w:val="center"/>
          </w:tcPr>
          <w:p w14:paraId="4E32434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534" w:type="pct"/>
            <w:noWrap w:val="0"/>
            <w:vAlign w:val="center"/>
          </w:tcPr>
          <w:p w14:paraId="616B6C6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28" w:type="pct"/>
            <w:noWrap w:val="0"/>
            <w:vAlign w:val="center"/>
          </w:tcPr>
          <w:p w14:paraId="39574BB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85" w:type="pct"/>
            <w:noWrap w:val="0"/>
            <w:vAlign w:val="center"/>
          </w:tcPr>
          <w:p w14:paraId="56A69CD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291" w:type="pct"/>
            <w:noWrap w:val="0"/>
            <w:vAlign w:val="center"/>
          </w:tcPr>
          <w:p w14:paraId="3406869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290" w:type="pct"/>
            <w:noWrap w:val="0"/>
            <w:vAlign w:val="center"/>
          </w:tcPr>
          <w:p w14:paraId="2E402D6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0A3FA0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nil"/>
            </w:tcBorders>
            <w:noWrap w:val="0"/>
            <w:vAlign w:val="center"/>
          </w:tcPr>
          <w:p w14:paraId="66D8BDF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631" w:type="pct"/>
            <w:tcBorders>
              <w:top w:val="nil"/>
            </w:tcBorders>
            <w:noWrap w:val="0"/>
            <w:vAlign w:val="center"/>
          </w:tcPr>
          <w:p w14:paraId="12A113D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85" w:type="pct"/>
            <w:tcBorders>
              <w:top w:val="nil"/>
            </w:tcBorders>
            <w:noWrap w:val="0"/>
            <w:vAlign w:val="center"/>
          </w:tcPr>
          <w:p w14:paraId="2B0328C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25" w:type="pct"/>
            <w:tcBorders>
              <w:top w:val="nil"/>
            </w:tcBorders>
            <w:noWrap w:val="0"/>
            <w:vAlign w:val="center"/>
          </w:tcPr>
          <w:p w14:paraId="04ECC91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290" w:type="pct"/>
            <w:tcBorders>
              <w:top w:val="nil"/>
            </w:tcBorders>
            <w:noWrap w:val="0"/>
            <w:vAlign w:val="center"/>
          </w:tcPr>
          <w:p w14:paraId="5A4A17A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534" w:type="pct"/>
            <w:tcBorders>
              <w:top w:val="nil"/>
            </w:tcBorders>
            <w:noWrap w:val="0"/>
            <w:vAlign w:val="center"/>
          </w:tcPr>
          <w:p w14:paraId="5F723C3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28" w:type="pct"/>
            <w:tcBorders>
              <w:top w:val="nil"/>
            </w:tcBorders>
            <w:noWrap w:val="0"/>
            <w:vAlign w:val="center"/>
          </w:tcPr>
          <w:p w14:paraId="74F3FD7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85" w:type="pct"/>
            <w:tcBorders>
              <w:top w:val="nil"/>
            </w:tcBorders>
            <w:noWrap w:val="0"/>
            <w:vAlign w:val="center"/>
          </w:tcPr>
          <w:p w14:paraId="26E592B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291" w:type="pct"/>
            <w:tcBorders>
              <w:top w:val="nil"/>
            </w:tcBorders>
            <w:noWrap w:val="0"/>
            <w:vAlign w:val="center"/>
          </w:tcPr>
          <w:p w14:paraId="535F6A7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290" w:type="pct"/>
            <w:tcBorders>
              <w:top w:val="nil"/>
            </w:tcBorders>
            <w:noWrap w:val="0"/>
            <w:vAlign w:val="center"/>
          </w:tcPr>
          <w:p w14:paraId="3023F4D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79D03F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noWrap w:val="0"/>
            <w:vAlign w:val="center"/>
          </w:tcPr>
          <w:p w14:paraId="56AEEFE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631" w:type="pct"/>
            <w:noWrap w:val="0"/>
            <w:vAlign w:val="center"/>
          </w:tcPr>
          <w:p w14:paraId="53EB7CA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85" w:type="pct"/>
            <w:noWrap w:val="0"/>
            <w:vAlign w:val="center"/>
          </w:tcPr>
          <w:p w14:paraId="26CF1FE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25" w:type="pct"/>
            <w:noWrap w:val="0"/>
            <w:vAlign w:val="center"/>
          </w:tcPr>
          <w:p w14:paraId="5EF5144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290" w:type="pct"/>
            <w:noWrap w:val="0"/>
            <w:vAlign w:val="center"/>
          </w:tcPr>
          <w:p w14:paraId="6B56E8F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534" w:type="pct"/>
            <w:noWrap w:val="0"/>
            <w:vAlign w:val="center"/>
          </w:tcPr>
          <w:p w14:paraId="2A309AF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28" w:type="pct"/>
            <w:noWrap w:val="0"/>
            <w:vAlign w:val="center"/>
          </w:tcPr>
          <w:p w14:paraId="2F5E569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85" w:type="pct"/>
            <w:noWrap w:val="0"/>
            <w:vAlign w:val="center"/>
          </w:tcPr>
          <w:p w14:paraId="6FA6AEF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291" w:type="pct"/>
            <w:noWrap w:val="0"/>
            <w:vAlign w:val="center"/>
          </w:tcPr>
          <w:p w14:paraId="6314AB5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290" w:type="pct"/>
            <w:noWrap w:val="0"/>
            <w:vAlign w:val="center"/>
          </w:tcPr>
          <w:p w14:paraId="1B089CC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52180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nil"/>
            </w:tcBorders>
            <w:noWrap w:val="0"/>
            <w:vAlign w:val="center"/>
          </w:tcPr>
          <w:p w14:paraId="0F95F7A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631" w:type="pct"/>
            <w:tcBorders>
              <w:top w:val="nil"/>
            </w:tcBorders>
            <w:noWrap w:val="0"/>
            <w:vAlign w:val="center"/>
          </w:tcPr>
          <w:p w14:paraId="55BB848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85" w:type="pct"/>
            <w:tcBorders>
              <w:top w:val="nil"/>
            </w:tcBorders>
            <w:noWrap w:val="0"/>
            <w:vAlign w:val="center"/>
          </w:tcPr>
          <w:p w14:paraId="08B5BA8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25" w:type="pct"/>
            <w:tcBorders>
              <w:top w:val="nil"/>
            </w:tcBorders>
            <w:noWrap w:val="0"/>
            <w:vAlign w:val="center"/>
          </w:tcPr>
          <w:p w14:paraId="6C629DB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290" w:type="pct"/>
            <w:tcBorders>
              <w:top w:val="nil"/>
            </w:tcBorders>
            <w:noWrap w:val="0"/>
            <w:vAlign w:val="center"/>
          </w:tcPr>
          <w:p w14:paraId="67FF63F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534" w:type="pct"/>
            <w:tcBorders>
              <w:top w:val="nil"/>
            </w:tcBorders>
            <w:noWrap w:val="0"/>
            <w:vAlign w:val="center"/>
          </w:tcPr>
          <w:p w14:paraId="4436E83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28" w:type="pct"/>
            <w:tcBorders>
              <w:top w:val="nil"/>
            </w:tcBorders>
            <w:noWrap w:val="0"/>
            <w:vAlign w:val="center"/>
          </w:tcPr>
          <w:p w14:paraId="3FC99B7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85" w:type="pct"/>
            <w:tcBorders>
              <w:top w:val="nil"/>
            </w:tcBorders>
            <w:noWrap w:val="0"/>
            <w:vAlign w:val="center"/>
          </w:tcPr>
          <w:p w14:paraId="6340E81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291" w:type="pct"/>
            <w:tcBorders>
              <w:top w:val="nil"/>
            </w:tcBorders>
            <w:noWrap w:val="0"/>
            <w:vAlign w:val="center"/>
          </w:tcPr>
          <w:p w14:paraId="4A4D6CE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290" w:type="pct"/>
            <w:tcBorders>
              <w:top w:val="nil"/>
            </w:tcBorders>
            <w:noWrap w:val="0"/>
            <w:vAlign w:val="center"/>
          </w:tcPr>
          <w:p w14:paraId="02816F9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23F3CE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nil"/>
            </w:tcBorders>
            <w:noWrap w:val="0"/>
            <w:vAlign w:val="center"/>
          </w:tcPr>
          <w:p w14:paraId="6813489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631" w:type="pct"/>
            <w:tcBorders>
              <w:top w:val="nil"/>
            </w:tcBorders>
            <w:noWrap w:val="0"/>
            <w:vAlign w:val="center"/>
          </w:tcPr>
          <w:p w14:paraId="138B347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85" w:type="pct"/>
            <w:tcBorders>
              <w:top w:val="nil"/>
            </w:tcBorders>
            <w:noWrap w:val="0"/>
            <w:vAlign w:val="center"/>
          </w:tcPr>
          <w:p w14:paraId="052B229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25" w:type="pct"/>
            <w:tcBorders>
              <w:top w:val="nil"/>
            </w:tcBorders>
            <w:noWrap w:val="0"/>
            <w:vAlign w:val="center"/>
          </w:tcPr>
          <w:p w14:paraId="6A31949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290" w:type="pct"/>
            <w:tcBorders>
              <w:top w:val="nil"/>
            </w:tcBorders>
            <w:noWrap w:val="0"/>
            <w:vAlign w:val="center"/>
          </w:tcPr>
          <w:p w14:paraId="7E2BC51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534" w:type="pct"/>
            <w:tcBorders>
              <w:top w:val="nil"/>
            </w:tcBorders>
            <w:noWrap w:val="0"/>
            <w:vAlign w:val="center"/>
          </w:tcPr>
          <w:p w14:paraId="5EC1382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28" w:type="pct"/>
            <w:tcBorders>
              <w:top w:val="nil"/>
            </w:tcBorders>
            <w:noWrap w:val="0"/>
            <w:vAlign w:val="center"/>
          </w:tcPr>
          <w:p w14:paraId="081ECB4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85" w:type="pct"/>
            <w:tcBorders>
              <w:top w:val="nil"/>
            </w:tcBorders>
            <w:noWrap w:val="0"/>
            <w:vAlign w:val="center"/>
          </w:tcPr>
          <w:p w14:paraId="58EF870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291" w:type="pct"/>
            <w:tcBorders>
              <w:top w:val="nil"/>
            </w:tcBorders>
            <w:noWrap w:val="0"/>
            <w:vAlign w:val="center"/>
          </w:tcPr>
          <w:p w14:paraId="24CAF2E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290" w:type="pct"/>
            <w:tcBorders>
              <w:top w:val="nil"/>
            </w:tcBorders>
            <w:noWrap w:val="0"/>
            <w:vAlign w:val="center"/>
          </w:tcPr>
          <w:p w14:paraId="57E07EB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63D53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437" w:type="pct"/>
            <w:noWrap w:val="0"/>
            <w:vAlign w:val="center"/>
          </w:tcPr>
          <w:p w14:paraId="439D5F3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631" w:type="pct"/>
            <w:noWrap w:val="0"/>
            <w:vAlign w:val="center"/>
          </w:tcPr>
          <w:p w14:paraId="43AD81D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85" w:type="pct"/>
            <w:noWrap w:val="0"/>
            <w:vAlign w:val="center"/>
          </w:tcPr>
          <w:p w14:paraId="64DADFD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25" w:type="pct"/>
            <w:noWrap w:val="0"/>
            <w:vAlign w:val="center"/>
          </w:tcPr>
          <w:p w14:paraId="03B9970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290" w:type="pct"/>
            <w:noWrap w:val="0"/>
            <w:vAlign w:val="center"/>
          </w:tcPr>
          <w:p w14:paraId="0062240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534" w:type="pct"/>
            <w:noWrap w:val="0"/>
            <w:vAlign w:val="center"/>
          </w:tcPr>
          <w:p w14:paraId="1B6ED4D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28" w:type="pct"/>
            <w:noWrap w:val="0"/>
            <w:vAlign w:val="center"/>
          </w:tcPr>
          <w:p w14:paraId="2443D8B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85" w:type="pct"/>
            <w:noWrap w:val="0"/>
            <w:vAlign w:val="center"/>
          </w:tcPr>
          <w:p w14:paraId="00D63F3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291" w:type="pct"/>
            <w:noWrap w:val="0"/>
            <w:vAlign w:val="center"/>
          </w:tcPr>
          <w:p w14:paraId="751734A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290" w:type="pct"/>
            <w:noWrap w:val="0"/>
            <w:vAlign w:val="center"/>
          </w:tcPr>
          <w:p w14:paraId="1156523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780552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nil"/>
            </w:tcBorders>
            <w:noWrap w:val="0"/>
            <w:vAlign w:val="center"/>
          </w:tcPr>
          <w:p w14:paraId="4E2DEBB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631" w:type="pct"/>
            <w:tcBorders>
              <w:top w:val="nil"/>
            </w:tcBorders>
            <w:noWrap w:val="0"/>
            <w:vAlign w:val="center"/>
          </w:tcPr>
          <w:p w14:paraId="5467B43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85" w:type="pct"/>
            <w:tcBorders>
              <w:top w:val="nil"/>
            </w:tcBorders>
            <w:noWrap w:val="0"/>
            <w:vAlign w:val="center"/>
          </w:tcPr>
          <w:p w14:paraId="71D9837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25" w:type="pct"/>
            <w:tcBorders>
              <w:top w:val="nil"/>
            </w:tcBorders>
            <w:noWrap w:val="0"/>
            <w:vAlign w:val="center"/>
          </w:tcPr>
          <w:p w14:paraId="41334A0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290" w:type="pct"/>
            <w:tcBorders>
              <w:top w:val="nil"/>
            </w:tcBorders>
            <w:noWrap w:val="0"/>
            <w:vAlign w:val="center"/>
          </w:tcPr>
          <w:p w14:paraId="622DE47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534" w:type="pct"/>
            <w:tcBorders>
              <w:top w:val="nil"/>
            </w:tcBorders>
            <w:noWrap w:val="0"/>
            <w:vAlign w:val="center"/>
          </w:tcPr>
          <w:p w14:paraId="03F9010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28" w:type="pct"/>
            <w:tcBorders>
              <w:top w:val="nil"/>
            </w:tcBorders>
            <w:noWrap w:val="0"/>
            <w:vAlign w:val="center"/>
          </w:tcPr>
          <w:p w14:paraId="4C8D0D4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85" w:type="pct"/>
            <w:tcBorders>
              <w:top w:val="nil"/>
            </w:tcBorders>
            <w:noWrap w:val="0"/>
            <w:vAlign w:val="center"/>
          </w:tcPr>
          <w:p w14:paraId="15E6B34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291" w:type="pct"/>
            <w:tcBorders>
              <w:top w:val="nil"/>
            </w:tcBorders>
            <w:noWrap w:val="0"/>
            <w:vAlign w:val="center"/>
          </w:tcPr>
          <w:p w14:paraId="38DFAC9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290" w:type="pct"/>
            <w:tcBorders>
              <w:top w:val="nil"/>
            </w:tcBorders>
            <w:noWrap w:val="0"/>
            <w:vAlign w:val="center"/>
          </w:tcPr>
          <w:p w14:paraId="4514219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4CC046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noWrap w:val="0"/>
            <w:vAlign w:val="center"/>
          </w:tcPr>
          <w:p w14:paraId="330B846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631" w:type="pct"/>
            <w:noWrap w:val="0"/>
            <w:vAlign w:val="center"/>
          </w:tcPr>
          <w:p w14:paraId="0582DB0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85" w:type="pct"/>
            <w:noWrap w:val="0"/>
            <w:vAlign w:val="center"/>
          </w:tcPr>
          <w:p w14:paraId="18D81C5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25" w:type="pct"/>
            <w:noWrap w:val="0"/>
            <w:vAlign w:val="center"/>
          </w:tcPr>
          <w:p w14:paraId="2A5EC0D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290" w:type="pct"/>
            <w:noWrap w:val="0"/>
            <w:vAlign w:val="center"/>
          </w:tcPr>
          <w:p w14:paraId="716F0AD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534" w:type="pct"/>
            <w:noWrap w:val="0"/>
            <w:vAlign w:val="center"/>
          </w:tcPr>
          <w:p w14:paraId="4EF6E32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28" w:type="pct"/>
            <w:noWrap w:val="0"/>
            <w:vAlign w:val="center"/>
          </w:tcPr>
          <w:p w14:paraId="37A4B2A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85" w:type="pct"/>
            <w:noWrap w:val="0"/>
            <w:vAlign w:val="center"/>
          </w:tcPr>
          <w:p w14:paraId="7D715A3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291" w:type="pct"/>
            <w:noWrap w:val="0"/>
            <w:vAlign w:val="center"/>
          </w:tcPr>
          <w:p w14:paraId="1F7DB82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290" w:type="pct"/>
            <w:noWrap w:val="0"/>
            <w:vAlign w:val="center"/>
          </w:tcPr>
          <w:p w14:paraId="26404BD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bl>
    <w:p w14:paraId="5856A2C4">
      <w:pPr>
        <w:pStyle w:val="57"/>
        <w:spacing w:line="440" w:lineRule="exact"/>
        <w:outlineLvl w:val="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177" w:name="_Toc27618"/>
      <w:r>
        <w:rPr>
          <w:rFonts w:hint="eastAsia" w:ascii="仿宋" w:hAnsi="仿宋" w:eastAsia="仿宋" w:cs="仿宋"/>
          <w:color w:val="000000" w:themeColor="text1"/>
          <w:sz w:val="24"/>
          <w:szCs w:val="24"/>
          <w:highlight w:val="none"/>
          <w14:textFill>
            <w14:solidFill>
              <w14:schemeClr w14:val="tx1"/>
            </w14:solidFill>
          </w14:textFill>
        </w:rPr>
        <w:t>附件2：</w:t>
      </w:r>
      <w:bookmarkEnd w:id="177"/>
    </w:p>
    <w:p w14:paraId="783A1C50">
      <w:pPr>
        <w:pStyle w:val="57"/>
        <w:spacing w:before="120" w:beforeLines="50" w:after="120" w:afterLines="50"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发包人供应材料设备一览表</w:t>
      </w:r>
    </w:p>
    <w:tbl>
      <w:tblPr>
        <w:tblStyle w:val="24"/>
        <w:tblW w:w="107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1FB4C4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4F1EF97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1276" w:type="dxa"/>
            <w:tcBorders>
              <w:top w:val="single" w:color="auto" w:sz="12" w:space="0"/>
              <w:bottom w:val="double" w:color="auto" w:sz="6" w:space="0"/>
            </w:tcBorders>
            <w:noWrap w:val="0"/>
            <w:vAlign w:val="center"/>
          </w:tcPr>
          <w:p w14:paraId="20E897B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材料、</w:t>
            </w:r>
          </w:p>
          <w:p w14:paraId="6E33EE93">
            <w:pPr>
              <w:pStyle w:val="58"/>
              <w:keepNext/>
              <w:spacing w:after="0" w:line="440" w:lineRule="exact"/>
              <w:ind w:left="0" w:leftChars="0" w:right="63"/>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设备品种</w:t>
            </w:r>
          </w:p>
        </w:tc>
        <w:tc>
          <w:tcPr>
            <w:tcW w:w="1418" w:type="dxa"/>
            <w:tcBorders>
              <w:top w:val="single" w:color="auto" w:sz="12" w:space="0"/>
              <w:bottom w:val="double" w:color="auto" w:sz="6" w:space="0"/>
            </w:tcBorders>
            <w:noWrap w:val="0"/>
            <w:vAlign w:val="center"/>
          </w:tcPr>
          <w:p w14:paraId="2E976FE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规格型号</w:t>
            </w:r>
          </w:p>
        </w:tc>
        <w:tc>
          <w:tcPr>
            <w:tcW w:w="940" w:type="dxa"/>
            <w:tcBorders>
              <w:top w:val="single" w:color="auto" w:sz="12" w:space="0"/>
              <w:bottom w:val="double" w:color="auto" w:sz="6" w:space="0"/>
            </w:tcBorders>
            <w:noWrap w:val="0"/>
            <w:vAlign w:val="center"/>
          </w:tcPr>
          <w:p w14:paraId="324A700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w:t>
            </w:r>
          </w:p>
        </w:tc>
        <w:tc>
          <w:tcPr>
            <w:tcW w:w="851" w:type="dxa"/>
            <w:tcBorders>
              <w:top w:val="single" w:color="auto" w:sz="12" w:space="0"/>
              <w:bottom w:val="double" w:color="auto" w:sz="6" w:space="0"/>
            </w:tcBorders>
            <w:noWrap w:val="0"/>
            <w:vAlign w:val="center"/>
          </w:tcPr>
          <w:p w14:paraId="0AF5018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数量</w:t>
            </w:r>
          </w:p>
        </w:tc>
        <w:tc>
          <w:tcPr>
            <w:tcW w:w="1044" w:type="dxa"/>
            <w:tcBorders>
              <w:top w:val="single" w:color="auto" w:sz="12" w:space="0"/>
              <w:bottom w:val="double" w:color="auto" w:sz="6" w:space="0"/>
            </w:tcBorders>
            <w:noWrap w:val="0"/>
            <w:vAlign w:val="center"/>
          </w:tcPr>
          <w:p w14:paraId="4B67436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单价（元）</w:t>
            </w:r>
          </w:p>
        </w:tc>
        <w:tc>
          <w:tcPr>
            <w:tcW w:w="992" w:type="dxa"/>
            <w:tcBorders>
              <w:top w:val="single" w:color="auto" w:sz="12" w:space="0"/>
              <w:bottom w:val="double" w:color="auto" w:sz="6" w:space="0"/>
            </w:tcBorders>
            <w:noWrap w:val="0"/>
            <w:vAlign w:val="center"/>
          </w:tcPr>
          <w:p w14:paraId="2AEC40E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质量等级</w:t>
            </w:r>
          </w:p>
        </w:tc>
        <w:tc>
          <w:tcPr>
            <w:tcW w:w="851" w:type="dxa"/>
            <w:tcBorders>
              <w:top w:val="single" w:color="auto" w:sz="12" w:space="0"/>
              <w:bottom w:val="double" w:color="auto" w:sz="6" w:space="0"/>
            </w:tcBorders>
            <w:noWrap w:val="0"/>
            <w:vAlign w:val="center"/>
          </w:tcPr>
          <w:p w14:paraId="22C640D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供应时间</w:t>
            </w:r>
          </w:p>
        </w:tc>
        <w:tc>
          <w:tcPr>
            <w:tcW w:w="1487" w:type="dxa"/>
            <w:tcBorders>
              <w:top w:val="single" w:color="auto" w:sz="12" w:space="0"/>
              <w:bottom w:val="double" w:color="auto" w:sz="6" w:space="0"/>
            </w:tcBorders>
            <w:noWrap w:val="0"/>
            <w:vAlign w:val="center"/>
          </w:tcPr>
          <w:p w14:paraId="2B0DE26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送达地点</w:t>
            </w:r>
          </w:p>
        </w:tc>
        <w:tc>
          <w:tcPr>
            <w:tcW w:w="992" w:type="dxa"/>
            <w:tcBorders>
              <w:top w:val="single" w:color="auto" w:sz="12" w:space="0"/>
              <w:bottom w:val="double" w:color="auto" w:sz="6" w:space="0"/>
            </w:tcBorders>
            <w:noWrap w:val="0"/>
            <w:vAlign w:val="center"/>
          </w:tcPr>
          <w:p w14:paraId="68359D1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14:paraId="64619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14:paraId="246FEDB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tcBorders>
              <w:top w:val="double" w:color="auto" w:sz="6" w:space="0"/>
              <w:bottom w:val="single" w:color="auto" w:sz="6" w:space="0"/>
            </w:tcBorders>
            <w:noWrap w:val="0"/>
            <w:vAlign w:val="center"/>
          </w:tcPr>
          <w:p w14:paraId="2425289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tcBorders>
              <w:top w:val="double" w:color="auto" w:sz="6" w:space="0"/>
              <w:bottom w:val="single" w:color="auto" w:sz="6" w:space="0"/>
            </w:tcBorders>
            <w:noWrap w:val="0"/>
            <w:vAlign w:val="center"/>
          </w:tcPr>
          <w:p w14:paraId="245CAD2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940" w:type="dxa"/>
            <w:tcBorders>
              <w:top w:val="double" w:color="auto" w:sz="6" w:space="0"/>
              <w:bottom w:val="single" w:color="auto" w:sz="6" w:space="0"/>
            </w:tcBorders>
            <w:noWrap w:val="0"/>
            <w:vAlign w:val="center"/>
          </w:tcPr>
          <w:p w14:paraId="43110ED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tcBorders>
              <w:top w:val="double" w:color="auto" w:sz="6" w:space="0"/>
              <w:bottom w:val="single" w:color="auto" w:sz="6" w:space="0"/>
            </w:tcBorders>
            <w:noWrap w:val="0"/>
            <w:vAlign w:val="center"/>
          </w:tcPr>
          <w:p w14:paraId="159E03C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044" w:type="dxa"/>
            <w:tcBorders>
              <w:top w:val="double" w:color="auto" w:sz="6" w:space="0"/>
              <w:bottom w:val="single" w:color="auto" w:sz="6" w:space="0"/>
            </w:tcBorders>
            <w:noWrap w:val="0"/>
            <w:vAlign w:val="center"/>
          </w:tcPr>
          <w:p w14:paraId="5DB1C40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tcBorders>
              <w:top w:val="double" w:color="auto" w:sz="6" w:space="0"/>
              <w:bottom w:val="single" w:color="auto" w:sz="6" w:space="0"/>
            </w:tcBorders>
            <w:noWrap w:val="0"/>
            <w:vAlign w:val="center"/>
          </w:tcPr>
          <w:p w14:paraId="4A8F93E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tcBorders>
              <w:top w:val="double" w:color="auto" w:sz="6" w:space="0"/>
              <w:bottom w:val="single" w:color="auto" w:sz="6" w:space="0"/>
            </w:tcBorders>
            <w:noWrap w:val="0"/>
            <w:vAlign w:val="center"/>
          </w:tcPr>
          <w:p w14:paraId="1E459C0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87" w:type="dxa"/>
            <w:tcBorders>
              <w:top w:val="double" w:color="auto" w:sz="6" w:space="0"/>
              <w:bottom w:val="single" w:color="auto" w:sz="6" w:space="0"/>
            </w:tcBorders>
            <w:noWrap w:val="0"/>
            <w:vAlign w:val="center"/>
          </w:tcPr>
          <w:p w14:paraId="4373000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tcBorders>
              <w:top w:val="double" w:color="auto" w:sz="6" w:space="0"/>
              <w:bottom w:val="single" w:color="auto" w:sz="6" w:space="0"/>
            </w:tcBorders>
            <w:noWrap w:val="0"/>
            <w:vAlign w:val="center"/>
          </w:tcPr>
          <w:p w14:paraId="34BFC4D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13B699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63E4665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tcBorders>
              <w:top w:val="nil"/>
            </w:tcBorders>
            <w:noWrap w:val="0"/>
            <w:vAlign w:val="center"/>
          </w:tcPr>
          <w:p w14:paraId="0E21C33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tcBorders>
              <w:top w:val="nil"/>
            </w:tcBorders>
            <w:noWrap w:val="0"/>
            <w:vAlign w:val="center"/>
          </w:tcPr>
          <w:p w14:paraId="3249078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940" w:type="dxa"/>
            <w:tcBorders>
              <w:top w:val="nil"/>
            </w:tcBorders>
            <w:noWrap w:val="0"/>
            <w:vAlign w:val="center"/>
          </w:tcPr>
          <w:p w14:paraId="76A3B04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tcBorders>
              <w:top w:val="nil"/>
            </w:tcBorders>
            <w:noWrap w:val="0"/>
            <w:vAlign w:val="center"/>
          </w:tcPr>
          <w:p w14:paraId="2E7C968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044" w:type="dxa"/>
            <w:tcBorders>
              <w:top w:val="nil"/>
            </w:tcBorders>
            <w:noWrap w:val="0"/>
            <w:vAlign w:val="center"/>
          </w:tcPr>
          <w:p w14:paraId="38C6C6E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tcBorders>
              <w:top w:val="nil"/>
            </w:tcBorders>
            <w:noWrap w:val="0"/>
            <w:vAlign w:val="center"/>
          </w:tcPr>
          <w:p w14:paraId="07B2DB4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tcBorders>
              <w:top w:val="nil"/>
            </w:tcBorders>
            <w:noWrap w:val="0"/>
            <w:vAlign w:val="center"/>
          </w:tcPr>
          <w:p w14:paraId="79A7737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87" w:type="dxa"/>
            <w:tcBorders>
              <w:top w:val="nil"/>
            </w:tcBorders>
            <w:noWrap w:val="0"/>
            <w:vAlign w:val="center"/>
          </w:tcPr>
          <w:p w14:paraId="02D87FC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tcBorders>
              <w:top w:val="nil"/>
            </w:tcBorders>
            <w:noWrap w:val="0"/>
            <w:vAlign w:val="center"/>
          </w:tcPr>
          <w:p w14:paraId="5FCE3D5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164D32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E492AC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center"/>
          </w:tcPr>
          <w:p w14:paraId="463C8C6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center"/>
          </w:tcPr>
          <w:p w14:paraId="3AD9821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940" w:type="dxa"/>
            <w:noWrap w:val="0"/>
            <w:vAlign w:val="center"/>
          </w:tcPr>
          <w:p w14:paraId="2A0C4AF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center"/>
          </w:tcPr>
          <w:p w14:paraId="505BDDE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044" w:type="dxa"/>
            <w:noWrap w:val="0"/>
            <w:vAlign w:val="center"/>
          </w:tcPr>
          <w:p w14:paraId="769DE17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noWrap w:val="0"/>
            <w:vAlign w:val="center"/>
          </w:tcPr>
          <w:p w14:paraId="13C08C0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center"/>
          </w:tcPr>
          <w:p w14:paraId="72AA3E9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87" w:type="dxa"/>
            <w:noWrap w:val="0"/>
            <w:vAlign w:val="center"/>
          </w:tcPr>
          <w:p w14:paraId="09854C3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noWrap w:val="0"/>
            <w:vAlign w:val="center"/>
          </w:tcPr>
          <w:p w14:paraId="468FAE4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47995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523BA6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center"/>
          </w:tcPr>
          <w:p w14:paraId="080767C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center"/>
          </w:tcPr>
          <w:p w14:paraId="354A967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940" w:type="dxa"/>
            <w:noWrap w:val="0"/>
            <w:vAlign w:val="center"/>
          </w:tcPr>
          <w:p w14:paraId="5BB893C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center"/>
          </w:tcPr>
          <w:p w14:paraId="765BBDB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044" w:type="dxa"/>
            <w:noWrap w:val="0"/>
            <w:vAlign w:val="center"/>
          </w:tcPr>
          <w:p w14:paraId="4655BBA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noWrap w:val="0"/>
            <w:vAlign w:val="center"/>
          </w:tcPr>
          <w:p w14:paraId="0CCE1BB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center"/>
          </w:tcPr>
          <w:p w14:paraId="4D618BC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87" w:type="dxa"/>
            <w:noWrap w:val="0"/>
            <w:vAlign w:val="center"/>
          </w:tcPr>
          <w:p w14:paraId="5689271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noWrap w:val="0"/>
            <w:vAlign w:val="center"/>
          </w:tcPr>
          <w:p w14:paraId="5BD76A1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26C94D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78EA4D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center"/>
          </w:tcPr>
          <w:p w14:paraId="30FFD4C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center"/>
          </w:tcPr>
          <w:p w14:paraId="1D3E035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940" w:type="dxa"/>
            <w:noWrap w:val="0"/>
            <w:vAlign w:val="center"/>
          </w:tcPr>
          <w:p w14:paraId="6AF6D13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center"/>
          </w:tcPr>
          <w:p w14:paraId="12BF12B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044" w:type="dxa"/>
            <w:noWrap w:val="0"/>
            <w:vAlign w:val="center"/>
          </w:tcPr>
          <w:p w14:paraId="140D886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noWrap w:val="0"/>
            <w:vAlign w:val="center"/>
          </w:tcPr>
          <w:p w14:paraId="19A1475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center"/>
          </w:tcPr>
          <w:p w14:paraId="0739B91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87" w:type="dxa"/>
            <w:noWrap w:val="0"/>
            <w:vAlign w:val="center"/>
          </w:tcPr>
          <w:p w14:paraId="27CFDC9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noWrap w:val="0"/>
            <w:vAlign w:val="center"/>
          </w:tcPr>
          <w:p w14:paraId="6A2FBD3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607CD5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CB76C4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center"/>
          </w:tcPr>
          <w:p w14:paraId="7BE1CEE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center"/>
          </w:tcPr>
          <w:p w14:paraId="40C5E2B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940" w:type="dxa"/>
            <w:noWrap w:val="0"/>
            <w:vAlign w:val="center"/>
          </w:tcPr>
          <w:p w14:paraId="0EC2F54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center"/>
          </w:tcPr>
          <w:p w14:paraId="66801E0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044" w:type="dxa"/>
            <w:noWrap w:val="0"/>
            <w:vAlign w:val="center"/>
          </w:tcPr>
          <w:p w14:paraId="29D2395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noWrap w:val="0"/>
            <w:vAlign w:val="center"/>
          </w:tcPr>
          <w:p w14:paraId="3A8DC4A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center"/>
          </w:tcPr>
          <w:p w14:paraId="43BB80B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87" w:type="dxa"/>
            <w:noWrap w:val="0"/>
            <w:vAlign w:val="center"/>
          </w:tcPr>
          <w:p w14:paraId="11B5A8C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noWrap w:val="0"/>
            <w:vAlign w:val="center"/>
          </w:tcPr>
          <w:p w14:paraId="26690C4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322D38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9B3793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center"/>
          </w:tcPr>
          <w:p w14:paraId="13FA686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center"/>
          </w:tcPr>
          <w:p w14:paraId="0C05529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940" w:type="dxa"/>
            <w:noWrap w:val="0"/>
            <w:vAlign w:val="center"/>
          </w:tcPr>
          <w:p w14:paraId="4F70EFC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center"/>
          </w:tcPr>
          <w:p w14:paraId="57696FB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044" w:type="dxa"/>
            <w:noWrap w:val="0"/>
            <w:vAlign w:val="center"/>
          </w:tcPr>
          <w:p w14:paraId="0C55B18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noWrap w:val="0"/>
            <w:vAlign w:val="center"/>
          </w:tcPr>
          <w:p w14:paraId="3D55311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center"/>
          </w:tcPr>
          <w:p w14:paraId="1A0B55B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87" w:type="dxa"/>
            <w:noWrap w:val="0"/>
            <w:vAlign w:val="center"/>
          </w:tcPr>
          <w:p w14:paraId="5220D61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noWrap w:val="0"/>
            <w:vAlign w:val="center"/>
          </w:tcPr>
          <w:p w14:paraId="4E28447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0A15D4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C825F6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center"/>
          </w:tcPr>
          <w:p w14:paraId="54F7286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center"/>
          </w:tcPr>
          <w:p w14:paraId="13CB456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940" w:type="dxa"/>
            <w:noWrap w:val="0"/>
            <w:vAlign w:val="center"/>
          </w:tcPr>
          <w:p w14:paraId="111DC9E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center"/>
          </w:tcPr>
          <w:p w14:paraId="4341F44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044" w:type="dxa"/>
            <w:noWrap w:val="0"/>
            <w:vAlign w:val="center"/>
          </w:tcPr>
          <w:p w14:paraId="22E66C7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noWrap w:val="0"/>
            <w:vAlign w:val="center"/>
          </w:tcPr>
          <w:p w14:paraId="777B45F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center"/>
          </w:tcPr>
          <w:p w14:paraId="4AF925E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87" w:type="dxa"/>
            <w:noWrap w:val="0"/>
            <w:vAlign w:val="center"/>
          </w:tcPr>
          <w:p w14:paraId="510507E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noWrap w:val="0"/>
            <w:vAlign w:val="center"/>
          </w:tcPr>
          <w:p w14:paraId="31545FC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006F39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8FB1332">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center"/>
          </w:tcPr>
          <w:p w14:paraId="2DD954FD">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center"/>
          </w:tcPr>
          <w:p w14:paraId="6EA84A72">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40" w:type="dxa"/>
            <w:noWrap w:val="0"/>
            <w:vAlign w:val="center"/>
          </w:tcPr>
          <w:p w14:paraId="43CA17BE">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center"/>
          </w:tcPr>
          <w:p w14:paraId="39E667D3">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44" w:type="dxa"/>
            <w:noWrap w:val="0"/>
            <w:vAlign w:val="center"/>
          </w:tcPr>
          <w:p w14:paraId="24FF2C59">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noWrap w:val="0"/>
            <w:vAlign w:val="center"/>
          </w:tcPr>
          <w:p w14:paraId="42BDFDB6">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center"/>
          </w:tcPr>
          <w:p w14:paraId="393D5F13">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87" w:type="dxa"/>
            <w:noWrap w:val="0"/>
            <w:vAlign w:val="center"/>
          </w:tcPr>
          <w:p w14:paraId="7F61C06C">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noWrap w:val="0"/>
            <w:vAlign w:val="center"/>
          </w:tcPr>
          <w:p w14:paraId="5F6494BB">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798DA5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57E3CF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center"/>
          </w:tcPr>
          <w:p w14:paraId="6AFDBA4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center"/>
          </w:tcPr>
          <w:p w14:paraId="1793EFC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940" w:type="dxa"/>
            <w:noWrap w:val="0"/>
            <w:vAlign w:val="center"/>
          </w:tcPr>
          <w:p w14:paraId="7C902E6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center"/>
          </w:tcPr>
          <w:p w14:paraId="5BABCBE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044" w:type="dxa"/>
            <w:noWrap w:val="0"/>
            <w:vAlign w:val="center"/>
          </w:tcPr>
          <w:p w14:paraId="3EAF7D7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noWrap w:val="0"/>
            <w:vAlign w:val="center"/>
          </w:tcPr>
          <w:p w14:paraId="58E274E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center"/>
          </w:tcPr>
          <w:p w14:paraId="3348515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87" w:type="dxa"/>
            <w:noWrap w:val="0"/>
            <w:vAlign w:val="center"/>
          </w:tcPr>
          <w:p w14:paraId="79A3467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noWrap w:val="0"/>
            <w:vAlign w:val="center"/>
          </w:tcPr>
          <w:p w14:paraId="1809752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1A1D25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75944EB">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center"/>
          </w:tcPr>
          <w:p w14:paraId="27C46ACD">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center"/>
          </w:tcPr>
          <w:p w14:paraId="0807D34A">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40" w:type="dxa"/>
            <w:noWrap w:val="0"/>
            <w:vAlign w:val="center"/>
          </w:tcPr>
          <w:p w14:paraId="21E295D5">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center"/>
          </w:tcPr>
          <w:p w14:paraId="113FC5AF">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44" w:type="dxa"/>
            <w:noWrap w:val="0"/>
            <w:vAlign w:val="center"/>
          </w:tcPr>
          <w:p w14:paraId="31BD1B56">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noWrap w:val="0"/>
            <w:vAlign w:val="center"/>
          </w:tcPr>
          <w:p w14:paraId="02158A48">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center"/>
          </w:tcPr>
          <w:p w14:paraId="60A95F40">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87" w:type="dxa"/>
            <w:noWrap w:val="0"/>
            <w:vAlign w:val="center"/>
          </w:tcPr>
          <w:p w14:paraId="58E956D8">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noWrap w:val="0"/>
            <w:vAlign w:val="center"/>
          </w:tcPr>
          <w:p w14:paraId="72D9FCC7">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0B6161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8A05C4E">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center"/>
          </w:tcPr>
          <w:p w14:paraId="0C820DCD">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center"/>
          </w:tcPr>
          <w:p w14:paraId="1726C0F8">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40" w:type="dxa"/>
            <w:noWrap w:val="0"/>
            <w:vAlign w:val="center"/>
          </w:tcPr>
          <w:p w14:paraId="6AF39884">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center"/>
          </w:tcPr>
          <w:p w14:paraId="56A9A10F">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44" w:type="dxa"/>
            <w:noWrap w:val="0"/>
            <w:vAlign w:val="center"/>
          </w:tcPr>
          <w:p w14:paraId="1312D689">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noWrap w:val="0"/>
            <w:vAlign w:val="center"/>
          </w:tcPr>
          <w:p w14:paraId="24E1F67F">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center"/>
          </w:tcPr>
          <w:p w14:paraId="19AABC70">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87" w:type="dxa"/>
            <w:noWrap w:val="0"/>
            <w:vAlign w:val="center"/>
          </w:tcPr>
          <w:p w14:paraId="659C0A4C">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noWrap w:val="0"/>
            <w:vAlign w:val="center"/>
          </w:tcPr>
          <w:p w14:paraId="19D46FCA">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2CF86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BFBD192">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center"/>
          </w:tcPr>
          <w:p w14:paraId="14D2A979">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center"/>
          </w:tcPr>
          <w:p w14:paraId="738AA271">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40" w:type="dxa"/>
            <w:noWrap w:val="0"/>
            <w:vAlign w:val="center"/>
          </w:tcPr>
          <w:p w14:paraId="67418871">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center"/>
          </w:tcPr>
          <w:p w14:paraId="7D8282DC">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44" w:type="dxa"/>
            <w:noWrap w:val="0"/>
            <w:vAlign w:val="center"/>
          </w:tcPr>
          <w:p w14:paraId="31B491DC">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noWrap w:val="0"/>
            <w:vAlign w:val="center"/>
          </w:tcPr>
          <w:p w14:paraId="74CCD722">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center"/>
          </w:tcPr>
          <w:p w14:paraId="24EC7BAE">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87" w:type="dxa"/>
            <w:noWrap w:val="0"/>
            <w:vAlign w:val="center"/>
          </w:tcPr>
          <w:p w14:paraId="7BB9B28D">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noWrap w:val="0"/>
            <w:vAlign w:val="center"/>
          </w:tcPr>
          <w:p w14:paraId="42250A8C">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67BCD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E79D315">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center"/>
          </w:tcPr>
          <w:p w14:paraId="0E90910D">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center"/>
          </w:tcPr>
          <w:p w14:paraId="392D9F82">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40" w:type="dxa"/>
            <w:noWrap w:val="0"/>
            <w:vAlign w:val="center"/>
          </w:tcPr>
          <w:p w14:paraId="03FBB988">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center"/>
          </w:tcPr>
          <w:p w14:paraId="45E4EBE9">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44" w:type="dxa"/>
            <w:noWrap w:val="0"/>
            <w:vAlign w:val="center"/>
          </w:tcPr>
          <w:p w14:paraId="3247920E">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noWrap w:val="0"/>
            <w:vAlign w:val="center"/>
          </w:tcPr>
          <w:p w14:paraId="705120DE">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center"/>
          </w:tcPr>
          <w:p w14:paraId="484BA126">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87" w:type="dxa"/>
            <w:noWrap w:val="0"/>
            <w:vAlign w:val="center"/>
          </w:tcPr>
          <w:p w14:paraId="60EFD7C6">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noWrap w:val="0"/>
            <w:vAlign w:val="center"/>
          </w:tcPr>
          <w:p w14:paraId="282D958C">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104B62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231548D">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center"/>
          </w:tcPr>
          <w:p w14:paraId="6029CCEA">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center"/>
          </w:tcPr>
          <w:p w14:paraId="20508C8A">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40" w:type="dxa"/>
            <w:noWrap w:val="0"/>
            <w:vAlign w:val="center"/>
          </w:tcPr>
          <w:p w14:paraId="0E762B01">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center"/>
          </w:tcPr>
          <w:p w14:paraId="031861CB">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44" w:type="dxa"/>
            <w:noWrap w:val="0"/>
            <w:vAlign w:val="center"/>
          </w:tcPr>
          <w:p w14:paraId="46D14C8E">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noWrap w:val="0"/>
            <w:vAlign w:val="center"/>
          </w:tcPr>
          <w:p w14:paraId="74F3C44E">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center"/>
          </w:tcPr>
          <w:p w14:paraId="573E8047">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87" w:type="dxa"/>
            <w:noWrap w:val="0"/>
            <w:vAlign w:val="center"/>
          </w:tcPr>
          <w:p w14:paraId="525B91B8">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noWrap w:val="0"/>
            <w:vAlign w:val="center"/>
          </w:tcPr>
          <w:p w14:paraId="750F3DB7">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38BAE9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831C98A">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center"/>
          </w:tcPr>
          <w:p w14:paraId="2FF9BAB5">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center"/>
          </w:tcPr>
          <w:p w14:paraId="5E33B3AB">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40" w:type="dxa"/>
            <w:noWrap w:val="0"/>
            <w:vAlign w:val="center"/>
          </w:tcPr>
          <w:p w14:paraId="138E1946">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center"/>
          </w:tcPr>
          <w:p w14:paraId="540BCB86">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44" w:type="dxa"/>
            <w:noWrap w:val="0"/>
            <w:vAlign w:val="center"/>
          </w:tcPr>
          <w:p w14:paraId="28044C46">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noWrap w:val="0"/>
            <w:vAlign w:val="center"/>
          </w:tcPr>
          <w:p w14:paraId="2A0E2B94">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center"/>
          </w:tcPr>
          <w:p w14:paraId="33E6FCC7">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87" w:type="dxa"/>
            <w:noWrap w:val="0"/>
            <w:vAlign w:val="center"/>
          </w:tcPr>
          <w:p w14:paraId="6D7450D5">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noWrap w:val="0"/>
            <w:vAlign w:val="center"/>
          </w:tcPr>
          <w:p w14:paraId="5DD02324">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029457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9A815B7">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center"/>
          </w:tcPr>
          <w:p w14:paraId="47BA0C0B">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center"/>
          </w:tcPr>
          <w:p w14:paraId="1821A7CF">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40" w:type="dxa"/>
            <w:noWrap w:val="0"/>
            <w:vAlign w:val="center"/>
          </w:tcPr>
          <w:p w14:paraId="4AD215B6">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center"/>
          </w:tcPr>
          <w:p w14:paraId="0516C047">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44" w:type="dxa"/>
            <w:noWrap w:val="0"/>
            <w:vAlign w:val="center"/>
          </w:tcPr>
          <w:p w14:paraId="2C8094CA">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noWrap w:val="0"/>
            <w:vAlign w:val="center"/>
          </w:tcPr>
          <w:p w14:paraId="69EFEED9">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center"/>
          </w:tcPr>
          <w:p w14:paraId="1966FB9F">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87" w:type="dxa"/>
            <w:noWrap w:val="0"/>
            <w:vAlign w:val="center"/>
          </w:tcPr>
          <w:p w14:paraId="1C984F4E">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noWrap w:val="0"/>
            <w:vAlign w:val="center"/>
          </w:tcPr>
          <w:p w14:paraId="4FD58C04">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7D1B96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150C582">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center"/>
          </w:tcPr>
          <w:p w14:paraId="2DC99FEE">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center"/>
          </w:tcPr>
          <w:p w14:paraId="385B00DE">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40" w:type="dxa"/>
            <w:noWrap w:val="0"/>
            <w:vAlign w:val="center"/>
          </w:tcPr>
          <w:p w14:paraId="62DFCBD3">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center"/>
          </w:tcPr>
          <w:p w14:paraId="546802D4">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44" w:type="dxa"/>
            <w:noWrap w:val="0"/>
            <w:vAlign w:val="center"/>
          </w:tcPr>
          <w:p w14:paraId="0190FE9D">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noWrap w:val="0"/>
            <w:vAlign w:val="center"/>
          </w:tcPr>
          <w:p w14:paraId="63965DA2">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center"/>
          </w:tcPr>
          <w:p w14:paraId="63744859">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87" w:type="dxa"/>
            <w:noWrap w:val="0"/>
            <w:vAlign w:val="center"/>
          </w:tcPr>
          <w:p w14:paraId="7F0CE4C4">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noWrap w:val="0"/>
            <w:vAlign w:val="center"/>
          </w:tcPr>
          <w:p w14:paraId="358CCDFA">
            <w:pPr>
              <w:pStyle w:val="57"/>
              <w:jc w:val="center"/>
              <w:rPr>
                <w:rFonts w:hint="eastAsia" w:ascii="仿宋" w:hAnsi="仿宋" w:eastAsia="仿宋" w:cs="仿宋"/>
                <w:color w:val="000000" w:themeColor="text1"/>
                <w:sz w:val="24"/>
                <w:szCs w:val="24"/>
                <w:highlight w:val="none"/>
                <w14:textFill>
                  <w14:solidFill>
                    <w14:schemeClr w14:val="tx1"/>
                  </w14:solidFill>
                </w14:textFill>
              </w:rPr>
            </w:pPr>
          </w:p>
        </w:tc>
      </w:tr>
    </w:tbl>
    <w:p w14:paraId="3A141241">
      <w:pPr>
        <w:pStyle w:val="57"/>
        <w:keepNext/>
        <w:keepLines/>
        <w:pageBreakBefore/>
        <w:spacing w:line="440" w:lineRule="exact"/>
        <w:outlineLvl w:val="2"/>
        <w:rPr>
          <w:rFonts w:hint="eastAsia" w:ascii="仿宋" w:hAnsi="仿宋" w:eastAsia="仿宋" w:cs="仿宋"/>
          <w:color w:val="000000" w:themeColor="text1"/>
          <w:sz w:val="24"/>
          <w:szCs w:val="24"/>
          <w:highlight w:val="none"/>
          <w14:textFill>
            <w14:solidFill>
              <w14:schemeClr w14:val="tx1"/>
            </w14:solidFill>
          </w14:textFill>
        </w:rPr>
      </w:pPr>
      <w:bookmarkStart w:id="178" w:name="_Toc26818"/>
      <w:r>
        <w:rPr>
          <w:rFonts w:hint="eastAsia" w:ascii="仿宋" w:hAnsi="仿宋" w:eastAsia="仿宋" w:cs="仿宋"/>
          <w:color w:val="000000" w:themeColor="text1"/>
          <w:sz w:val="24"/>
          <w:szCs w:val="24"/>
          <w:highlight w:val="none"/>
          <w14:textFill>
            <w14:solidFill>
              <w14:schemeClr w14:val="tx1"/>
            </w14:solidFill>
          </w14:textFill>
        </w:rPr>
        <w:t>附件3：</w:t>
      </w:r>
      <w:bookmarkEnd w:id="178"/>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715BB37F">
      <w:pPr>
        <w:pStyle w:val="57"/>
        <w:spacing w:before="120" w:beforeLines="50" w:after="120" w:afterLines="50"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工程质量保修书</w:t>
      </w:r>
    </w:p>
    <w:p w14:paraId="1B72265C">
      <w:pPr>
        <w:pStyle w:val="57"/>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发包人（全称）：</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新疆维吾尔自治区环境保护科学研究院</w:t>
      </w: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583F6480">
      <w:pPr>
        <w:pStyle w:val="57"/>
        <w:spacing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承包人（全称）：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4B5F274B">
      <w:pPr>
        <w:pStyle w:val="57"/>
        <w:spacing w:line="440" w:lineRule="exact"/>
        <w:rPr>
          <w:rFonts w:hint="eastAsia" w:ascii="仿宋" w:hAnsi="仿宋" w:eastAsia="仿宋" w:cs="仿宋"/>
          <w:color w:val="000000" w:themeColor="text1"/>
          <w:sz w:val="24"/>
          <w:szCs w:val="24"/>
          <w:highlight w:val="none"/>
          <w14:textFill>
            <w14:solidFill>
              <w14:schemeClr w14:val="tx1"/>
            </w14:solidFill>
          </w14:textFill>
        </w:rPr>
      </w:pPr>
    </w:p>
    <w:p w14:paraId="1CBD83B7">
      <w:pPr>
        <w:pStyle w:val="57"/>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发包人和承包人根据《中华人民共和国建筑法》和《建设工程质量管理条例》，经协商一致就</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（工程全称）签订工程质量保修书。</w:t>
      </w:r>
    </w:p>
    <w:p w14:paraId="018706CD">
      <w:pPr>
        <w:pStyle w:val="57"/>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一、工程质量保修范围和内容</w:t>
      </w:r>
    </w:p>
    <w:p w14:paraId="4473E65F">
      <w:pPr>
        <w:pStyle w:val="57"/>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承包人在质量保修期内，按照有关法律规定和合同约定，承担工程质量保修责任。</w:t>
      </w:r>
    </w:p>
    <w:p w14:paraId="38AC4DDF">
      <w:pPr>
        <w:pStyle w:val="57"/>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91E1697">
      <w:pPr>
        <w:pStyle w:val="57"/>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061BD76C">
      <w:pPr>
        <w:pStyle w:val="57"/>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w:t>
      </w:r>
      <w:r>
        <w:rPr>
          <w:rFonts w:hint="eastAsia" w:ascii="仿宋" w:hAnsi="仿宋" w:eastAsia="仿宋" w:cs="仿宋"/>
          <w:color w:val="000000" w:themeColor="text1"/>
          <w:sz w:val="24"/>
          <w:szCs w:val="24"/>
          <w:highlight w:val="none"/>
          <w14:textFill>
            <w14:solidFill>
              <w14:schemeClr w14:val="tx1"/>
            </w14:solidFill>
          </w14:textFill>
        </w:rPr>
        <w:t>二、质量保修期</w:t>
      </w:r>
    </w:p>
    <w:p w14:paraId="20BD9097">
      <w:pPr>
        <w:pStyle w:val="57"/>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根据《建设工程质量管理条例》及有关规定，工程的质量保修期如下：</w:t>
      </w:r>
    </w:p>
    <w:p w14:paraId="0FB1D306">
      <w:pPr>
        <w:pStyle w:val="57"/>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1．地基基础工程和主体结构工程为设计文件规定的工程合理使用年限；</w:t>
      </w:r>
    </w:p>
    <w:p w14:paraId="1A0E945E">
      <w:pPr>
        <w:pStyle w:val="57"/>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2．屋面防水工程、有防水要求的卫生间、房间和外墙面的防渗为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p>
    <w:p w14:paraId="08DC7E14">
      <w:pPr>
        <w:pStyle w:val="57"/>
        <w:spacing w:line="360" w:lineRule="auto"/>
        <w:ind w:left="420" w:leftChars="200" w:firstLine="120" w:firstLine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3．装修工程为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z w:val="24"/>
          <w:szCs w:val="24"/>
          <w:highlight w:val="none"/>
          <w14:textFill>
            <w14:solidFill>
              <w14:schemeClr w14:val="tx1"/>
            </w14:solidFill>
          </w14:textFill>
        </w:rPr>
        <w:t>年；</w:t>
      </w:r>
    </w:p>
    <w:p w14:paraId="2B6C7F51">
      <w:pPr>
        <w:pStyle w:val="57"/>
        <w:spacing w:line="360" w:lineRule="auto"/>
        <w:ind w:left="420" w:leftChars="200" w:firstLine="120" w:firstLine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4．电气管线、给排水管道、设备安装工程为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2     </w:t>
      </w:r>
      <w:r>
        <w:rPr>
          <w:rFonts w:hint="eastAsia" w:ascii="仿宋" w:hAnsi="仿宋" w:eastAsia="仿宋" w:cs="仿宋"/>
          <w:color w:val="000000" w:themeColor="text1"/>
          <w:sz w:val="24"/>
          <w:szCs w:val="24"/>
          <w:highlight w:val="none"/>
          <w14:textFill>
            <w14:solidFill>
              <w14:schemeClr w14:val="tx1"/>
            </w14:solidFill>
          </w14:textFill>
        </w:rPr>
        <w:t>年；</w:t>
      </w:r>
    </w:p>
    <w:p w14:paraId="533D6784">
      <w:pPr>
        <w:pStyle w:val="57"/>
        <w:spacing w:line="360" w:lineRule="auto"/>
        <w:ind w:left="420" w:leftChars="200" w:firstLine="120" w:firstLine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5．供热与供冷系统为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z w:val="24"/>
          <w:szCs w:val="24"/>
          <w:highlight w:val="none"/>
          <w14:textFill>
            <w14:solidFill>
              <w14:schemeClr w14:val="tx1"/>
            </w14:solidFill>
          </w14:textFill>
        </w:rPr>
        <w:t>个采暖期、供冷期；</w:t>
      </w:r>
    </w:p>
    <w:p w14:paraId="46A1B173">
      <w:pPr>
        <w:pStyle w:val="57"/>
        <w:spacing w:line="360" w:lineRule="auto"/>
        <w:ind w:left="420" w:leftChars="200" w:firstLine="120" w:firstLine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6．住宅小区内的给排水设施、道路等配套工程为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p>
    <w:p w14:paraId="1C63D7E9">
      <w:pPr>
        <w:pStyle w:val="57"/>
        <w:spacing w:line="360" w:lineRule="auto"/>
        <w:ind w:left="420" w:leftChars="200" w:firstLine="120" w:firstLine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7．其他项目保修期限约定如下：</w:t>
      </w:r>
    </w:p>
    <w:p w14:paraId="55D4394B">
      <w:pPr>
        <w:pStyle w:val="57"/>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由施工现场移出的树木再移回施工现场后进行管护，管护期2年。管护期内确保树木100%存活</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3606BAAD">
      <w:pPr>
        <w:pStyle w:val="57"/>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质量保修期自工程竣工验收合格之日起计算。</w:t>
      </w:r>
    </w:p>
    <w:p w14:paraId="3553E46A">
      <w:pPr>
        <w:pStyle w:val="57"/>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三、缺陷责任期</w:t>
      </w:r>
    </w:p>
    <w:p w14:paraId="01515A2A">
      <w:pPr>
        <w:pStyle w:val="57"/>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工程缺陷责任期为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24  </w:t>
      </w:r>
      <w:r>
        <w:rPr>
          <w:rFonts w:hint="eastAsia" w:ascii="仿宋" w:hAnsi="仿宋" w:eastAsia="仿宋" w:cs="仿宋"/>
          <w:color w:val="000000" w:themeColor="text1"/>
          <w:sz w:val="24"/>
          <w:szCs w:val="24"/>
          <w:highlight w:val="none"/>
          <w14:textFill>
            <w14:solidFill>
              <w14:schemeClr w14:val="tx1"/>
            </w14:solidFill>
          </w14:textFill>
        </w:rPr>
        <w:t>个月，缺陷责任期自工程通过竣工验收之日起计算。单位工程先于全部工程进行验收，单位工程缺陷责任期自单位工程验收合格之日起算。</w:t>
      </w:r>
    </w:p>
    <w:p w14:paraId="12B9F22F">
      <w:pPr>
        <w:pStyle w:val="57"/>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缺陷责任期终止后，发包人应退还剩余的质量保证金。</w:t>
      </w:r>
    </w:p>
    <w:p w14:paraId="5C7BD0BB">
      <w:pPr>
        <w:pStyle w:val="57"/>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四、质量保修责任</w:t>
      </w:r>
    </w:p>
    <w:p w14:paraId="0B834AA8">
      <w:pPr>
        <w:pStyle w:val="57"/>
        <w:spacing w:line="360" w:lineRule="auto"/>
        <w:ind w:left="105" w:leftChars="50" w:firstLine="491" w:firstLineChars="20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1．属于保修范围、内容的项目，承包人应当在接到保修通知之日起7天内派人保修。承包人不在约定期限内派人保修的，发包人可以委托他人修理。</w:t>
      </w:r>
    </w:p>
    <w:p w14:paraId="735F8062">
      <w:pPr>
        <w:pStyle w:val="57"/>
        <w:spacing w:line="360" w:lineRule="auto"/>
        <w:ind w:left="105" w:leftChars="50" w:firstLine="491" w:firstLineChars="20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2．发生紧急事故需抢修的，承包人在接到事故通知后，应当立即到达事故现场抢修。</w:t>
      </w:r>
    </w:p>
    <w:p w14:paraId="5D253705">
      <w:pPr>
        <w:pStyle w:val="57"/>
        <w:spacing w:line="360" w:lineRule="auto"/>
        <w:ind w:left="105" w:leftChars="50" w:firstLine="491" w:firstLineChars="20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630F34D">
      <w:pPr>
        <w:pStyle w:val="57"/>
        <w:spacing w:line="360" w:lineRule="auto"/>
        <w:ind w:left="420" w:leftChars="200" w:firstLine="120" w:firstLine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4．质量保修完成后，由发包人组织验收。</w:t>
      </w:r>
    </w:p>
    <w:p w14:paraId="5EACA061">
      <w:pPr>
        <w:pStyle w:val="57"/>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五、保修费用</w:t>
      </w:r>
    </w:p>
    <w:p w14:paraId="7525AA21">
      <w:pPr>
        <w:pStyle w:val="57"/>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保修费用由造成质量缺陷的责任方承担。</w:t>
      </w:r>
    </w:p>
    <w:p w14:paraId="1C9699BA">
      <w:pPr>
        <w:pStyle w:val="57"/>
        <w:spacing w:line="360" w:lineRule="auto"/>
        <w:ind w:firstLine="600"/>
        <w:jc w:val="lef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六</w:t>
      </w:r>
      <w:r>
        <w:rPr>
          <w:rFonts w:hint="eastAsia" w:ascii="仿宋" w:hAnsi="仿宋" w:eastAsia="仿宋" w:cs="仿宋"/>
          <w:color w:val="000000" w:themeColor="text1"/>
          <w:sz w:val="24"/>
          <w:szCs w:val="24"/>
          <w:highlight w:val="none"/>
          <w14:textFill>
            <w14:solidFill>
              <w14:schemeClr w14:val="tx1"/>
            </w14:solidFill>
          </w14:textFill>
        </w:rPr>
        <w:t>、双方约定的其他工程质量保修事项：</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p>
    <w:p w14:paraId="511F53B4">
      <w:pPr>
        <w:pStyle w:val="57"/>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55F61A01">
      <w:pPr>
        <w:pStyle w:val="57"/>
        <w:spacing w:line="360" w:lineRule="auto"/>
        <w:ind w:firstLine="456" w:firstLineChars="19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工程质量保修书由发包人、承包人在工程竣工验收前共同签署，作为施工合同附件，其有效期限至保修期满。</w:t>
      </w:r>
    </w:p>
    <w:p w14:paraId="3A2F003E">
      <w:pPr>
        <w:pStyle w:val="57"/>
        <w:spacing w:line="360" w:lineRule="auto"/>
        <w:ind w:firstLine="420"/>
        <w:rPr>
          <w:rFonts w:hint="eastAsia" w:ascii="仿宋" w:hAnsi="仿宋" w:eastAsia="仿宋" w:cs="仿宋"/>
          <w:color w:val="000000" w:themeColor="text1"/>
          <w:sz w:val="24"/>
          <w:szCs w:val="24"/>
          <w:highlight w:val="none"/>
          <w14:textFill>
            <w14:solidFill>
              <w14:schemeClr w14:val="tx1"/>
            </w14:solidFill>
          </w14:textFill>
        </w:rPr>
      </w:pPr>
    </w:p>
    <w:p w14:paraId="23AEB05B">
      <w:pPr>
        <w:pStyle w:val="57"/>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发包人(公章)：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      </w:t>
      </w:r>
      <w:r>
        <w:rPr>
          <w:rFonts w:hint="eastAsia" w:ascii="仿宋" w:hAnsi="仿宋" w:eastAsia="仿宋" w:cs="仿宋"/>
          <w:color w:val="000000" w:themeColor="text1"/>
          <w:sz w:val="24"/>
          <w:szCs w:val="24"/>
          <w:highlight w:val="none"/>
          <w14:textFill>
            <w14:solidFill>
              <w14:schemeClr w14:val="tx1"/>
            </w14:solidFill>
          </w14:textFill>
        </w:rPr>
        <w:t xml:space="preserve"> 承包人(公章)：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p>
    <w:p w14:paraId="0BD87940">
      <w:pPr>
        <w:pStyle w:val="57"/>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  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z w:val="24"/>
          <w:szCs w:val="24"/>
          <w:highlight w:val="none"/>
          <w14:textFill>
            <w14:solidFill>
              <w14:schemeClr w14:val="tx1"/>
            </w14:solidFill>
          </w14:textFill>
        </w:rPr>
        <w:t xml:space="preserve"> 地  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p>
    <w:p w14:paraId="477FEC69">
      <w:pPr>
        <w:pStyle w:val="57"/>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法定代表人(签字)：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7A511826">
      <w:pPr>
        <w:pStyle w:val="57"/>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委托代理人(签字)：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委托代理人(签字)：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17613C40">
      <w:pPr>
        <w:pStyle w:val="57"/>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电  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1B8F0C34">
      <w:pPr>
        <w:pStyle w:val="57"/>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  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传  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p>
    <w:p w14:paraId="2D260593">
      <w:pPr>
        <w:pStyle w:val="57"/>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开户银行：</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开户银行：</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32BC065C">
      <w:pPr>
        <w:pStyle w:val="57"/>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账  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z w:val="24"/>
          <w:szCs w:val="24"/>
          <w:highlight w:val="none"/>
          <w14:textFill>
            <w14:solidFill>
              <w14:schemeClr w14:val="tx1"/>
            </w14:solidFill>
          </w14:textFill>
        </w:rPr>
        <w:t xml:space="preserve">  账  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7F2FDD66">
      <w:pPr>
        <w:spacing w:before="290" w:line="410" w:lineRule="auto"/>
        <w:ind w:right="1377"/>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邮政编码：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邮政编码：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2AC7572E">
      <w:pPr>
        <w:pStyle w:val="57"/>
        <w:keepNext/>
        <w:keepLines/>
        <w:pageBreakBefore/>
        <w:spacing w:line="440" w:lineRule="exact"/>
        <w:outlineLvl w:val="2"/>
        <w:rPr>
          <w:rFonts w:hint="eastAsia" w:ascii="仿宋" w:hAnsi="仿宋" w:eastAsia="仿宋" w:cs="仿宋"/>
          <w:color w:val="000000" w:themeColor="text1"/>
          <w:sz w:val="24"/>
          <w:szCs w:val="24"/>
          <w:highlight w:val="none"/>
          <w14:textFill>
            <w14:solidFill>
              <w14:schemeClr w14:val="tx1"/>
            </w14:solidFill>
          </w14:textFill>
        </w:rPr>
      </w:pPr>
      <w:bookmarkStart w:id="179" w:name="_Toc27881"/>
      <w:r>
        <w:rPr>
          <w:rFonts w:hint="eastAsia" w:ascii="仿宋" w:hAnsi="仿宋" w:eastAsia="仿宋" w:cs="仿宋"/>
          <w:color w:val="000000" w:themeColor="text1"/>
          <w:sz w:val="24"/>
          <w:szCs w:val="24"/>
          <w:highlight w:val="none"/>
          <w14:textFill>
            <w14:solidFill>
              <w14:schemeClr w14:val="tx1"/>
            </w14:solidFill>
          </w14:textFill>
        </w:rPr>
        <w:t>附件4：</w:t>
      </w:r>
      <w:bookmarkEnd w:id="179"/>
    </w:p>
    <w:p w14:paraId="1985C116">
      <w:pPr>
        <w:pStyle w:val="57"/>
        <w:spacing w:before="120" w:beforeLines="50" w:after="120" w:afterLines="50"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主要建设工程文件目录</w:t>
      </w:r>
    </w:p>
    <w:tbl>
      <w:tblPr>
        <w:tblStyle w:val="24"/>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7B6EA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1730DEA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文件名称</w:t>
            </w:r>
          </w:p>
        </w:tc>
        <w:tc>
          <w:tcPr>
            <w:tcW w:w="1276" w:type="dxa"/>
            <w:tcBorders>
              <w:top w:val="single" w:color="auto" w:sz="12" w:space="0"/>
              <w:bottom w:val="double" w:color="auto" w:sz="6" w:space="0"/>
            </w:tcBorders>
            <w:noWrap w:val="0"/>
            <w:vAlign w:val="center"/>
          </w:tcPr>
          <w:p w14:paraId="2FA30AC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套数</w:t>
            </w:r>
          </w:p>
        </w:tc>
        <w:tc>
          <w:tcPr>
            <w:tcW w:w="1450" w:type="dxa"/>
            <w:tcBorders>
              <w:top w:val="single" w:color="auto" w:sz="12" w:space="0"/>
              <w:bottom w:val="double" w:color="auto" w:sz="6" w:space="0"/>
            </w:tcBorders>
            <w:noWrap w:val="0"/>
            <w:vAlign w:val="center"/>
          </w:tcPr>
          <w:p w14:paraId="3843824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费用（元）</w:t>
            </w:r>
          </w:p>
        </w:tc>
        <w:tc>
          <w:tcPr>
            <w:tcW w:w="1243" w:type="dxa"/>
            <w:tcBorders>
              <w:top w:val="single" w:color="auto" w:sz="12" w:space="0"/>
              <w:bottom w:val="double" w:color="auto" w:sz="6" w:space="0"/>
            </w:tcBorders>
            <w:noWrap w:val="0"/>
            <w:vAlign w:val="center"/>
          </w:tcPr>
          <w:p w14:paraId="6891806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质量</w:t>
            </w:r>
          </w:p>
        </w:tc>
        <w:tc>
          <w:tcPr>
            <w:tcW w:w="1450" w:type="dxa"/>
            <w:tcBorders>
              <w:top w:val="single" w:color="auto" w:sz="12" w:space="0"/>
              <w:bottom w:val="double" w:color="auto" w:sz="6" w:space="0"/>
            </w:tcBorders>
            <w:noWrap w:val="0"/>
            <w:vAlign w:val="top"/>
          </w:tcPr>
          <w:p w14:paraId="6DA02F89">
            <w:pPr>
              <w:pStyle w:val="57"/>
              <w:spacing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移交时间</w:t>
            </w:r>
          </w:p>
        </w:tc>
        <w:tc>
          <w:tcPr>
            <w:tcW w:w="1667" w:type="dxa"/>
            <w:tcBorders>
              <w:top w:val="single" w:color="auto" w:sz="12" w:space="0"/>
              <w:bottom w:val="double" w:color="auto" w:sz="6" w:space="0"/>
            </w:tcBorders>
            <w:noWrap w:val="0"/>
            <w:vAlign w:val="top"/>
          </w:tcPr>
          <w:p w14:paraId="26905EF9">
            <w:pPr>
              <w:pStyle w:val="57"/>
              <w:spacing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责任人</w:t>
            </w:r>
          </w:p>
        </w:tc>
      </w:tr>
      <w:tr w14:paraId="454D24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57A3B61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tcBorders>
              <w:top w:val="double" w:color="auto" w:sz="6" w:space="0"/>
              <w:bottom w:val="single" w:color="auto" w:sz="6" w:space="0"/>
            </w:tcBorders>
            <w:noWrap w:val="0"/>
            <w:vAlign w:val="center"/>
          </w:tcPr>
          <w:p w14:paraId="171C1F9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double" w:color="auto" w:sz="6" w:space="0"/>
              <w:bottom w:val="single" w:color="auto" w:sz="6" w:space="0"/>
            </w:tcBorders>
            <w:noWrap w:val="0"/>
            <w:vAlign w:val="center"/>
          </w:tcPr>
          <w:p w14:paraId="43151FA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43" w:type="dxa"/>
            <w:tcBorders>
              <w:top w:val="double" w:color="auto" w:sz="6" w:space="0"/>
              <w:bottom w:val="single" w:color="auto" w:sz="6" w:space="0"/>
            </w:tcBorders>
            <w:noWrap w:val="0"/>
            <w:vAlign w:val="center"/>
          </w:tcPr>
          <w:p w14:paraId="0AA19BC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double" w:color="auto" w:sz="6" w:space="0"/>
              <w:bottom w:val="single" w:color="auto" w:sz="6" w:space="0"/>
            </w:tcBorders>
            <w:noWrap w:val="0"/>
            <w:vAlign w:val="center"/>
          </w:tcPr>
          <w:p w14:paraId="4504FC3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667" w:type="dxa"/>
            <w:tcBorders>
              <w:top w:val="double" w:color="auto" w:sz="6" w:space="0"/>
              <w:bottom w:val="single" w:color="auto" w:sz="6" w:space="0"/>
            </w:tcBorders>
            <w:noWrap w:val="0"/>
            <w:vAlign w:val="center"/>
          </w:tcPr>
          <w:p w14:paraId="5FB738F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620EBB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2AACCEF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tcBorders>
              <w:top w:val="nil"/>
            </w:tcBorders>
            <w:noWrap w:val="0"/>
            <w:vAlign w:val="center"/>
          </w:tcPr>
          <w:p w14:paraId="5ABDEEB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nil"/>
            </w:tcBorders>
            <w:noWrap w:val="0"/>
            <w:vAlign w:val="center"/>
          </w:tcPr>
          <w:p w14:paraId="3B29BBC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43" w:type="dxa"/>
            <w:tcBorders>
              <w:top w:val="nil"/>
            </w:tcBorders>
            <w:noWrap w:val="0"/>
            <w:vAlign w:val="center"/>
          </w:tcPr>
          <w:p w14:paraId="1B792C8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nil"/>
            </w:tcBorders>
            <w:noWrap w:val="0"/>
            <w:vAlign w:val="center"/>
          </w:tcPr>
          <w:p w14:paraId="44CEB05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667" w:type="dxa"/>
            <w:tcBorders>
              <w:top w:val="nil"/>
            </w:tcBorders>
            <w:noWrap w:val="0"/>
            <w:vAlign w:val="center"/>
          </w:tcPr>
          <w:p w14:paraId="6910977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2F9333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D9756F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center"/>
          </w:tcPr>
          <w:p w14:paraId="5F91C99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noWrap w:val="0"/>
            <w:vAlign w:val="center"/>
          </w:tcPr>
          <w:p w14:paraId="43A170C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43" w:type="dxa"/>
            <w:noWrap w:val="0"/>
            <w:vAlign w:val="center"/>
          </w:tcPr>
          <w:p w14:paraId="4CF4740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noWrap w:val="0"/>
            <w:vAlign w:val="center"/>
          </w:tcPr>
          <w:p w14:paraId="6073F97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667" w:type="dxa"/>
            <w:noWrap w:val="0"/>
            <w:vAlign w:val="center"/>
          </w:tcPr>
          <w:p w14:paraId="2B683B8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5D861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258275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center"/>
          </w:tcPr>
          <w:p w14:paraId="10AA756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noWrap w:val="0"/>
            <w:vAlign w:val="center"/>
          </w:tcPr>
          <w:p w14:paraId="51CCD00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43" w:type="dxa"/>
            <w:noWrap w:val="0"/>
            <w:vAlign w:val="center"/>
          </w:tcPr>
          <w:p w14:paraId="025C740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noWrap w:val="0"/>
            <w:vAlign w:val="center"/>
          </w:tcPr>
          <w:p w14:paraId="328A849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667" w:type="dxa"/>
            <w:noWrap w:val="0"/>
            <w:vAlign w:val="center"/>
          </w:tcPr>
          <w:p w14:paraId="05AC3C5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407D1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1B2B21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center"/>
          </w:tcPr>
          <w:p w14:paraId="66265DB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noWrap w:val="0"/>
            <w:vAlign w:val="center"/>
          </w:tcPr>
          <w:p w14:paraId="1432D51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43" w:type="dxa"/>
            <w:noWrap w:val="0"/>
            <w:vAlign w:val="center"/>
          </w:tcPr>
          <w:p w14:paraId="04830CB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noWrap w:val="0"/>
            <w:vAlign w:val="center"/>
          </w:tcPr>
          <w:p w14:paraId="78FDC95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667" w:type="dxa"/>
            <w:noWrap w:val="0"/>
            <w:vAlign w:val="center"/>
          </w:tcPr>
          <w:p w14:paraId="14A6021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720334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42C150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center"/>
          </w:tcPr>
          <w:p w14:paraId="6830DEC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noWrap w:val="0"/>
            <w:vAlign w:val="center"/>
          </w:tcPr>
          <w:p w14:paraId="75A2A5F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43" w:type="dxa"/>
            <w:noWrap w:val="0"/>
            <w:vAlign w:val="center"/>
          </w:tcPr>
          <w:p w14:paraId="679B783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noWrap w:val="0"/>
            <w:vAlign w:val="center"/>
          </w:tcPr>
          <w:p w14:paraId="05C14B7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667" w:type="dxa"/>
            <w:noWrap w:val="0"/>
            <w:vAlign w:val="center"/>
          </w:tcPr>
          <w:p w14:paraId="72B2417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04E2A0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08E8C9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center"/>
          </w:tcPr>
          <w:p w14:paraId="7F2B44E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noWrap w:val="0"/>
            <w:vAlign w:val="center"/>
          </w:tcPr>
          <w:p w14:paraId="70CA144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43" w:type="dxa"/>
            <w:noWrap w:val="0"/>
            <w:vAlign w:val="center"/>
          </w:tcPr>
          <w:p w14:paraId="0D0546C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noWrap w:val="0"/>
            <w:vAlign w:val="center"/>
          </w:tcPr>
          <w:p w14:paraId="37B4460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667" w:type="dxa"/>
            <w:noWrap w:val="0"/>
            <w:vAlign w:val="center"/>
          </w:tcPr>
          <w:p w14:paraId="655B296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73384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3DC70B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center"/>
          </w:tcPr>
          <w:p w14:paraId="7B9C4FA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noWrap w:val="0"/>
            <w:vAlign w:val="center"/>
          </w:tcPr>
          <w:p w14:paraId="23E192E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43" w:type="dxa"/>
            <w:noWrap w:val="0"/>
            <w:vAlign w:val="center"/>
          </w:tcPr>
          <w:p w14:paraId="728646D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noWrap w:val="0"/>
            <w:vAlign w:val="center"/>
          </w:tcPr>
          <w:p w14:paraId="0162E58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667" w:type="dxa"/>
            <w:noWrap w:val="0"/>
            <w:vAlign w:val="center"/>
          </w:tcPr>
          <w:p w14:paraId="3BB7BF5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7A04D8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74A33E9">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top"/>
          </w:tcPr>
          <w:p w14:paraId="2972BBC4">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noWrap w:val="0"/>
            <w:vAlign w:val="top"/>
          </w:tcPr>
          <w:p w14:paraId="14EE3057">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243" w:type="dxa"/>
            <w:noWrap w:val="0"/>
            <w:vAlign w:val="top"/>
          </w:tcPr>
          <w:p w14:paraId="7DDF1DAA">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noWrap w:val="0"/>
            <w:vAlign w:val="top"/>
          </w:tcPr>
          <w:p w14:paraId="6B9647AA">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667" w:type="dxa"/>
            <w:noWrap w:val="0"/>
            <w:vAlign w:val="top"/>
          </w:tcPr>
          <w:p w14:paraId="1542E697">
            <w:pPr>
              <w:pStyle w:val="57"/>
              <w:rPr>
                <w:rFonts w:hint="eastAsia" w:ascii="仿宋" w:hAnsi="仿宋" w:eastAsia="仿宋" w:cs="仿宋"/>
                <w:color w:val="000000" w:themeColor="text1"/>
                <w:sz w:val="24"/>
                <w:szCs w:val="24"/>
                <w:highlight w:val="none"/>
                <w14:textFill>
                  <w14:solidFill>
                    <w14:schemeClr w14:val="tx1"/>
                  </w14:solidFill>
                </w14:textFill>
              </w:rPr>
            </w:pPr>
          </w:p>
        </w:tc>
      </w:tr>
      <w:tr w14:paraId="68C761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BC9767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center"/>
          </w:tcPr>
          <w:p w14:paraId="37800D0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noWrap w:val="0"/>
            <w:vAlign w:val="center"/>
          </w:tcPr>
          <w:p w14:paraId="683ED4E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43" w:type="dxa"/>
            <w:noWrap w:val="0"/>
            <w:vAlign w:val="center"/>
          </w:tcPr>
          <w:p w14:paraId="091E134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noWrap w:val="0"/>
            <w:vAlign w:val="center"/>
          </w:tcPr>
          <w:p w14:paraId="33539CD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667" w:type="dxa"/>
            <w:noWrap w:val="0"/>
            <w:vAlign w:val="center"/>
          </w:tcPr>
          <w:p w14:paraId="16DDC92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39606C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1631FB9">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top"/>
          </w:tcPr>
          <w:p w14:paraId="1C53D807">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noWrap w:val="0"/>
            <w:vAlign w:val="top"/>
          </w:tcPr>
          <w:p w14:paraId="08980587">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243" w:type="dxa"/>
            <w:noWrap w:val="0"/>
            <w:vAlign w:val="top"/>
          </w:tcPr>
          <w:p w14:paraId="74FB111E">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noWrap w:val="0"/>
            <w:vAlign w:val="top"/>
          </w:tcPr>
          <w:p w14:paraId="4C94DD4A">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667" w:type="dxa"/>
            <w:noWrap w:val="0"/>
            <w:vAlign w:val="top"/>
          </w:tcPr>
          <w:p w14:paraId="6D17C1ED">
            <w:pPr>
              <w:pStyle w:val="57"/>
              <w:rPr>
                <w:rFonts w:hint="eastAsia" w:ascii="仿宋" w:hAnsi="仿宋" w:eastAsia="仿宋" w:cs="仿宋"/>
                <w:color w:val="000000" w:themeColor="text1"/>
                <w:sz w:val="24"/>
                <w:szCs w:val="24"/>
                <w:highlight w:val="none"/>
                <w14:textFill>
                  <w14:solidFill>
                    <w14:schemeClr w14:val="tx1"/>
                  </w14:solidFill>
                </w14:textFill>
              </w:rPr>
            </w:pPr>
          </w:p>
        </w:tc>
      </w:tr>
      <w:tr w14:paraId="28C3DC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4F07727">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top"/>
          </w:tcPr>
          <w:p w14:paraId="5A22403B">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noWrap w:val="0"/>
            <w:vAlign w:val="top"/>
          </w:tcPr>
          <w:p w14:paraId="33A4846C">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243" w:type="dxa"/>
            <w:noWrap w:val="0"/>
            <w:vAlign w:val="top"/>
          </w:tcPr>
          <w:p w14:paraId="58C664AF">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noWrap w:val="0"/>
            <w:vAlign w:val="top"/>
          </w:tcPr>
          <w:p w14:paraId="7DBA74EF">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667" w:type="dxa"/>
            <w:noWrap w:val="0"/>
            <w:vAlign w:val="top"/>
          </w:tcPr>
          <w:p w14:paraId="05A57DF3">
            <w:pPr>
              <w:pStyle w:val="57"/>
              <w:rPr>
                <w:rFonts w:hint="eastAsia" w:ascii="仿宋" w:hAnsi="仿宋" w:eastAsia="仿宋" w:cs="仿宋"/>
                <w:color w:val="000000" w:themeColor="text1"/>
                <w:sz w:val="24"/>
                <w:szCs w:val="24"/>
                <w:highlight w:val="none"/>
                <w14:textFill>
                  <w14:solidFill>
                    <w14:schemeClr w14:val="tx1"/>
                  </w14:solidFill>
                </w14:textFill>
              </w:rPr>
            </w:pPr>
          </w:p>
        </w:tc>
      </w:tr>
      <w:tr w14:paraId="0750A6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87DABF4">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top"/>
          </w:tcPr>
          <w:p w14:paraId="4C88D241">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noWrap w:val="0"/>
            <w:vAlign w:val="top"/>
          </w:tcPr>
          <w:p w14:paraId="56EC37B6">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243" w:type="dxa"/>
            <w:noWrap w:val="0"/>
            <w:vAlign w:val="top"/>
          </w:tcPr>
          <w:p w14:paraId="25888B1D">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noWrap w:val="0"/>
            <w:vAlign w:val="top"/>
          </w:tcPr>
          <w:p w14:paraId="24AEBA51">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667" w:type="dxa"/>
            <w:noWrap w:val="0"/>
            <w:vAlign w:val="top"/>
          </w:tcPr>
          <w:p w14:paraId="49C6DD48">
            <w:pPr>
              <w:pStyle w:val="57"/>
              <w:rPr>
                <w:rFonts w:hint="eastAsia" w:ascii="仿宋" w:hAnsi="仿宋" w:eastAsia="仿宋" w:cs="仿宋"/>
                <w:color w:val="000000" w:themeColor="text1"/>
                <w:sz w:val="24"/>
                <w:szCs w:val="24"/>
                <w:highlight w:val="none"/>
                <w14:textFill>
                  <w14:solidFill>
                    <w14:schemeClr w14:val="tx1"/>
                  </w14:solidFill>
                </w14:textFill>
              </w:rPr>
            </w:pPr>
          </w:p>
        </w:tc>
      </w:tr>
      <w:tr w14:paraId="3C7896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C66CEE3">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top"/>
          </w:tcPr>
          <w:p w14:paraId="6D20D5B7">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noWrap w:val="0"/>
            <w:vAlign w:val="top"/>
          </w:tcPr>
          <w:p w14:paraId="0195738A">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243" w:type="dxa"/>
            <w:noWrap w:val="0"/>
            <w:vAlign w:val="top"/>
          </w:tcPr>
          <w:p w14:paraId="0411442A">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noWrap w:val="0"/>
            <w:vAlign w:val="top"/>
          </w:tcPr>
          <w:p w14:paraId="77980016">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667" w:type="dxa"/>
            <w:noWrap w:val="0"/>
            <w:vAlign w:val="top"/>
          </w:tcPr>
          <w:p w14:paraId="7A368216">
            <w:pPr>
              <w:pStyle w:val="57"/>
              <w:rPr>
                <w:rFonts w:hint="eastAsia" w:ascii="仿宋" w:hAnsi="仿宋" w:eastAsia="仿宋" w:cs="仿宋"/>
                <w:color w:val="000000" w:themeColor="text1"/>
                <w:sz w:val="24"/>
                <w:szCs w:val="24"/>
                <w:highlight w:val="none"/>
                <w14:textFill>
                  <w14:solidFill>
                    <w14:schemeClr w14:val="tx1"/>
                  </w14:solidFill>
                </w14:textFill>
              </w:rPr>
            </w:pPr>
          </w:p>
        </w:tc>
      </w:tr>
      <w:tr w14:paraId="103B24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AD7FCCB">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top"/>
          </w:tcPr>
          <w:p w14:paraId="674FAB87">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noWrap w:val="0"/>
            <w:vAlign w:val="top"/>
          </w:tcPr>
          <w:p w14:paraId="437374C1">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243" w:type="dxa"/>
            <w:noWrap w:val="0"/>
            <w:vAlign w:val="top"/>
          </w:tcPr>
          <w:p w14:paraId="055981EA">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noWrap w:val="0"/>
            <w:vAlign w:val="top"/>
          </w:tcPr>
          <w:p w14:paraId="5A0E128B">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667" w:type="dxa"/>
            <w:noWrap w:val="0"/>
            <w:vAlign w:val="top"/>
          </w:tcPr>
          <w:p w14:paraId="5181B24A">
            <w:pPr>
              <w:pStyle w:val="57"/>
              <w:rPr>
                <w:rFonts w:hint="eastAsia" w:ascii="仿宋" w:hAnsi="仿宋" w:eastAsia="仿宋" w:cs="仿宋"/>
                <w:color w:val="000000" w:themeColor="text1"/>
                <w:sz w:val="24"/>
                <w:szCs w:val="24"/>
                <w:highlight w:val="none"/>
                <w14:textFill>
                  <w14:solidFill>
                    <w14:schemeClr w14:val="tx1"/>
                  </w14:solidFill>
                </w14:textFill>
              </w:rPr>
            </w:pPr>
          </w:p>
        </w:tc>
      </w:tr>
      <w:tr w14:paraId="64098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DAD492D">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top"/>
          </w:tcPr>
          <w:p w14:paraId="49C23DEC">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noWrap w:val="0"/>
            <w:vAlign w:val="top"/>
          </w:tcPr>
          <w:p w14:paraId="71812238">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243" w:type="dxa"/>
            <w:noWrap w:val="0"/>
            <w:vAlign w:val="top"/>
          </w:tcPr>
          <w:p w14:paraId="406568ED">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noWrap w:val="0"/>
            <w:vAlign w:val="top"/>
          </w:tcPr>
          <w:p w14:paraId="3CD07137">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667" w:type="dxa"/>
            <w:noWrap w:val="0"/>
            <w:vAlign w:val="top"/>
          </w:tcPr>
          <w:p w14:paraId="5BF86CC4">
            <w:pPr>
              <w:pStyle w:val="57"/>
              <w:rPr>
                <w:rFonts w:hint="eastAsia" w:ascii="仿宋" w:hAnsi="仿宋" w:eastAsia="仿宋" w:cs="仿宋"/>
                <w:color w:val="000000" w:themeColor="text1"/>
                <w:sz w:val="24"/>
                <w:szCs w:val="24"/>
                <w:highlight w:val="none"/>
                <w14:textFill>
                  <w14:solidFill>
                    <w14:schemeClr w14:val="tx1"/>
                  </w14:solidFill>
                </w14:textFill>
              </w:rPr>
            </w:pPr>
          </w:p>
        </w:tc>
      </w:tr>
      <w:tr w14:paraId="2B4F61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0BEFFF9">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top"/>
          </w:tcPr>
          <w:p w14:paraId="23F6384A">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noWrap w:val="0"/>
            <w:vAlign w:val="top"/>
          </w:tcPr>
          <w:p w14:paraId="55F68E77">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243" w:type="dxa"/>
            <w:noWrap w:val="0"/>
            <w:vAlign w:val="top"/>
          </w:tcPr>
          <w:p w14:paraId="1148BBE3">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noWrap w:val="0"/>
            <w:vAlign w:val="top"/>
          </w:tcPr>
          <w:p w14:paraId="018C658E">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667" w:type="dxa"/>
            <w:noWrap w:val="0"/>
            <w:vAlign w:val="top"/>
          </w:tcPr>
          <w:p w14:paraId="4F2CE384">
            <w:pPr>
              <w:pStyle w:val="57"/>
              <w:rPr>
                <w:rFonts w:hint="eastAsia" w:ascii="仿宋" w:hAnsi="仿宋" w:eastAsia="仿宋" w:cs="仿宋"/>
                <w:color w:val="000000" w:themeColor="text1"/>
                <w:sz w:val="24"/>
                <w:szCs w:val="24"/>
                <w:highlight w:val="none"/>
                <w14:textFill>
                  <w14:solidFill>
                    <w14:schemeClr w14:val="tx1"/>
                  </w14:solidFill>
                </w14:textFill>
              </w:rPr>
            </w:pPr>
          </w:p>
        </w:tc>
      </w:tr>
      <w:tr w14:paraId="1B8A36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41CA4F4">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top"/>
          </w:tcPr>
          <w:p w14:paraId="30622C4A">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noWrap w:val="0"/>
            <w:vAlign w:val="top"/>
          </w:tcPr>
          <w:p w14:paraId="41CC5BCE">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243" w:type="dxa"/>
            <w:noWrap w:val="0"/>
            <w:vAlign w:val="top"/>
          </w:tcPr>
          <w:p w14:paraId="16A02E72">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noWrap w:val="0"/>
            <w:vAlign w:val="top"/>
          </w:tcPr>
          <w:p w14:paraId="78AACDAA">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667" w:type="dxa"/>
            <w:noWrap w:val="0"/>
            <w:vAlign w:val="top"/>
          </w:tcPr>
          <w:p w14:paraId="0A2083A6">
            <w:pPr>
              <w:pStyle w:val="57"/>
              <w:rPr>
                <w:rFonts w:hint="eastAsia" w:ascii="仿宋" w:hAnsi="仿宋" w:eastAsia="仿宋" w:cs="仿宋"/>
                <w:color w:val="000000" w:themeColor="text1"/>
                <w:sz w:val="24"/>
                <w:szCs w:val="24"/>
                <w:highlight w:val="none"/>
                <w14:textFill>
                  <w14:solidFill>
                    <w14:schemeClr w14:val="tx1"/>
                  </w14:solidFill>
                </w14:textFill>
              </w:rPr>
            </w:pPr>
          </w:p>
        </w:tc>
      </w:tr>
      <w:tr w14:paraId="152BD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5CDDF8B">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top"/>
          </w:tcPr>
          <w:p w14:paraId="25D2B57D">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noWrap w:val="0"/>
            <w:vAlign w:val="top"/>
          </w:tcPr>
          <w:p w14:paraId="4259E0A7">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243" w:type="dxa"/>
            <w:noWrap w:val="0"/>
            <w:vAlign w:val="top"/>
          </w:tcPr>
          <w:p w14:paraId="30023774">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noWrap w:val="0"/>
            <w:vAlign w:val="top"/>
          </w:tcPr>
          <w:p w14:paraId="7F49BB76">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667" w:type="dxa"/>
            <w:noWrap w:val="0"/>
            <w:vAlign w:val="top"/>
          </w:tcPr>
          <w:p w14:paraId="08FB8C72">
            <w:pPr>
              <w:pStyle w:val="57"/>
              <w:rPr>
                <w:rFonts w:hint="eastAsia" w:ascii="仿宋" w:hAnsi="仿宋" w:eastAsia="仿宋" w:cs="仿宋"/>
                <w:color w:val="000000" w:themeColor="text1"/>
                <w:sz w:val="24"/>
                <w:szCs w:val="24"/>
                <w:highlight w:val="none"/>
                <w14:textFill>
                  <w14:solidFill>
                    <w14:schemeClr w14:val="tx1"/>
                  </w14:solidFill>
                </w14:textFill>
              </w:rPr>
            </w:pPr>
          </w:p>
        </w:tc>
      </w:tr>
    </w:tbl>
    <w:p w14:paraId="4578CF00">
      <w:pPr>
        <w:pStyle w:val="57"/>
        <w:keepNext/>
        <w:keepLines/>
        <w:pageBreakBefore/>
        <w:spacing w:line="440" w:lineRule="exact"/>
        <w:outlineLvl w:val="2"/>
        <w:rPr>
          <w:rFonts w:hint="eastAsia" w:ascii="仿宋" w:hAnsi="仿宋" w:eastAsia="仿宋" w:cs="仿宋"/>
          <w:color w:val="000000" w:themeColor="text1"/>
          <w:sz w:val="24"/>
          <w:szCs w:val="24"/>
          <w:highlight w:val="none"/>
          <w14:textFill>
            <w14:solidFill>
              <w14:schemeClr w14:val="tx1"/>
            </w14:solidFill>
          </w14:textFill>
        </w:rPr>
      </w:pPr>
      <w:bookmarkStart w:id="180" w:name="_Toc9426"/>
      <w:r>
        <w:rPr>
          <w:rFonts w:hint="eastAsia" w:ascii="仿宋" w:hAnsi="仿宋" w:eastAsia="仿宋" w:cs="仿宋"/>
          <w:color w:val="000000" w:themeColor="text1"/>
          <w:sz w:val="24"/>
          <w:szCs w:val="24"/>
          <w:highlight w:val="none"/>
          <w14:textFill>
            <w14:solidFill>
              <w14:schemeClr w14:val="tx1"/>
            </w14:solidFill>
          </w14:textFill>
        </w:rPr>
        <w:t>附件5：</w:t>
      </w:r>
      <w:bookmarkEnd w:id="180"/>
    </w:p>
    <w:p w14:paraId="0A3D7F99">
      <w:pPr>
        <w:pStyle w:val="57"/>
        <w:spacing w:before="120" w:beforeLines="50" w:after="120" w:afterLines="50"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承包人用于本工程施工的机械设备表</w:t>
      </w:r>
    </w:p>
    <w:tbl>
      <w:tblPr>
        <w:tblStyle w:val="24"/>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21FB10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6A5FD13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1418" w:type="dxa"/>
            <w:tcBorders>
              <w:top w:val="single" w:color="auto" w:sz="12" w:space="0"/>
              <w:bottom w:val="double" w:color="auto" w:sz="6" w:space="0"/>
            </w:tcBorders>
            <w:noWrap w:val="0"/>
            <w:vAlign w:val="center"/>
          </w:tcPr>
          <w:p w14:paraId="0609C22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机械或设备名称</w:t>
            </w:r>
          </w:p>
        </w:tc>
        <w:tc>
          <w:tcPr>
            <w:tcW w:w="850" w:type="dxa"/>
            <w:tcBorders>
              <w:top w:val="single" w:color="auto" w:sz="12" w:space="0"/>
              <w:bottom w:val="double" w:color="auto" w:sz="6" w:space="0"/>
            </w:tcBorders>
            <w:noWrap w:val="0"/>
            <w:vAlign w:val="center"/>
          </w:tcPr>
          <w:p w14:paraId="51CA2DD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规格型号</w:t>
            </w:r>
          </w:p>
        </w:tc>
        <w:tc>
          <w:tcPr>
            <w:tcW w:w="1058" w:type="dxa"/>
            <w:tcBorders>
              <w:top w:val="single" w:color="auto" w:sz="12" w:space="0"/>
              <w:bottom w:val="double" w:color="auto" w:sz="6" w:space="0"/>
            </w:tcBorders>
            <w:noWrap w:val="0"/>
            <w:vAlign w:val="center"/>
          </w:tcPr>
          <w:p w14:paraId="1A43866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数量</w:t>
            </w:r>
          </w:p>
        </w:tc>
        <w:tc>
          <w:tcPr>
            <w:tcW w:w="880" w:type="dxa"/>
            <w:tcBorders>
              <w:top w:val="single" w:color="auto" w:sz="12" w:space="0"/>
              <w:bottom w:val="double" w:color="auto" w:sz="6" w:space="0"/>
            </w:tcBorders>
            <w:noWrap w:val="0"/>
            <w:vAlign w:val="center"/>
          </w:tcPr>
          <w:p w14:paraId="528FEAE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产地</w:t>
            </w:r>
          </w:p>
        </w:tc>
        <w:tc>
          <w:tcPr>
            <w:tcW w:w="1020" w:type="dxa"/>
            <w:tcBorders>
              <w:top w:val="single" w:color="auto" w:sz="12" w:space="0"/>
              <w:bottom w:val="double" w:color="auto" w:sz="6" w:space="0"/>
            </w:tcBorders>
            <w:noWrap w:val="0"/>
            <w:vAlign w:val="center"/>
          </w:tcPr>
          <w:p w14:paraId="5D99B19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制造年份</w:t>
            </w:r>
          </w:p>
        </w:tc>
        <w:tc>
          <w:tcPr>
            <w:tcW w:w="1480" w:type="dxa"/>
            <w:tcBorders>
              <w:top w:val="single" w:color="auto" w:sz="12" w:space="0"/>
              <w:bottom w:val="double" w:color="auto" w:sz="6" w:space="0"/>
            </w:tcBorders>
            <w:noWrap w:val="0"/>
            <w:vAlign w:val="center"/>
          </w:tcPr>
          <w:p w14:paraId="353DB76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额定功率(kW)</w:t>
            </w:r>
          </w:p>
        </w:tc>
        <w:tc>
          <w:tcPr>
            <w:tcW w:w="1020" w:type="dxa"/>
            <w:tcBorders>
              <w:top w:val="single" w:color="auto" w:sz="12" w:space="0"/>
              <w:bottom w:val="double" w:color="auto" w:sz="6" w:space="0"/>
            </w:tcBorders>
            <w:noWrap w:val="0"/>
            <w:vAlign w:val="center"/>
          </w:tcPr>
          <w:p w14:paraId="07E16E8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生产能力</w:t>
            </w:r>
          </w:p>
        </w:tc>
        <w:tc>
          <w:tcPr>
            <w:tcW w:w="921" w:type="dxa"/>
            <w:tcBorders>
              <w:top w:val="single" w:color="auto" w:sz="12" w:space="0"/>
              <w:bottom w:val="double" w:color="auto" w:sz="6" w:space="0"/>
            </w:tcBorders>
            <w:noWrap w:val="0"/>
            <w:vAlign w:val="center"/>
          </w:tcPr>
          <w:p w14:paraId="5B16FC6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14:paraId="39D23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4684773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tcBorders>
              <w:top w:val="double" w:color="auto" w:sz="6" w:space="0"/>
              <w:bottom w:val="single" w:color="auto" w:sz="6" w:space="0"/>
            </w:tcBorders>
            <w:noWrap w:val="0"/>
            <w:vAlign w:val="center"/>
          </w:tcPr>
          <w:p w14:paraId="1193D91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0" w:type="dxa"/>
            <w:tcBorders>
              <w:top w:val="double" w:color="auto" w:sz="6" w:space="0"/>
              <w:bottom w:val="single" w:color="auto" w:sz="6" w:space="0"/>
            </w:tcBorders>
            <w:noWrap w:val="0"/>
            <w:vAlign w:val="center"/>
          </w:tcPr>
          <w:p w14:paraId="5DFF7F5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058" w:type="dxa"/>
            <w:tcBorders>
              <w:top w:val="double" w:color="auto" w:sz="6" w:space="0"/>
              <w:bottom w:val="single" w:color="auto" w:sz="6" w:space="0"/>
            </w:tcBorders>
            <w:noWrap w:val="0"/>
            <w:vAlign w:val="center"/>
          </w:tcPr>
          <w:p w14:paraId="544494F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80" w:type="dxa"/>
            <w:tcBorders>
              <w:top w:val="double" w:color="auto" w:sz="6" w:space="0"/>
              <w:bottom w:val="single" w:color="auto" w:sz="6" w:space="0"/>
            </w:tcBorders>
            <w:noWrap w:val="0"/>
            <w:vAlign w:val="center"/>
          </w:tcPr>
          <w:p w14:paraId="26974F9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020" w:type="dxa"/>
            <w:tcBorders>
              <w:top w:val="double" w:color="auto" w:sz="6" w:space="0"/>
              <w:bottom w:val="single" w:color="auto" w:sz="6" w:space="0"/>
            </w:tcBorders>
            <w:noWrap w:val="0"/>
            <w:vAlign w:val="center"/>
          </w:tcPr>
          <w:p w14:paraId="0E6A3AE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80" w:type="dxa"/>
            <w:tcBorders>
              <w:top w:val="double" w:color="auto" w:sz="6" w:space="0"/>
              <w:bottom w:val="single" w:color="auto" w:sz="6" w:space="0"/>
            </w:tcBorders>
            <w:noWrap w:val="0"/>
            <w:vAlign w:val="center"/>
          </w:tcPr>
          <w:p w14:paraId="664019F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020" w:type="dxa"/>
            <w:tcBorders>
              <w:top w:val="double" w:color="auto" w:sz="6" w:space="0"/>
              <w:bottom w:val="single" w:color="auto" w:sz="6" w:space="0"/>
            </w:tcBorders>
            <w:noWrap w:val="0"/>
            <w:vAlign w:val="center"/>
          </w:tcPr>
          <w:p w14:paraId="6D1F602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921" w:type="dxa"/>
            <w:tcBorders>
              <w:top w:val="double" w:color="auto" w:sz="6" w:space="0"/>
              <w:bottom w:val="single" w:color="auto" w:sz="6" w:space="0"/>
            </w:tcBorders>
            <w:noWrap w:val="0"/>
            <w:vAlign w:val="center"/>
          </w:tcPr>
          <w:p w14:paraId="36BD61B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77B5A1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1910D87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tcBorders>
              <w:top w:val="nil"/>
            </w:tcBorders>
            <w:noWrap w:val="0"/>
            <w:vAlign w:val="center"/>
          </w:tcPr>
          <w:p w14:paraId="4E34332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0" w:type="dxa"/>
            <w:tcBorders>
              <w:top w:val="nil"/>
            </w:tcBorders>
            <w:noWrap w:val="0"/>
            <w:vAlign w:val="center"/>
          </w:tcPr>
          <w:p w14:paraId="600DBE0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058" w:type="dxa"/>
            <w:tcBorders>
              <w:top w:val="nil"/>
            </w:tcBorders>
            <w:noWrap w:val="0"/>
            <w:vAlign w:val="center"/>
          </w:tcPr>
          <w:p w14:paraId="1AFC25F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80" w:type="dxa"/>
            <w:tcBorders>
              <w:top w:val="nil"/>
            </w:tcBorders>
            <w:noWrap w:val="0"/>
            <w:vAlign w:val="center"/>
          </w:tcPr>
          <w:p w14:paraId="045109C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020" w:type="dxa"/>
            <w:tcBorders>
              <w:top w:val="nil"/>
            </w:tcBorders>
            <w:noWrap w:val="0"/>
            <w:vAlign w:val="center"/>
          </w:tcPr>
          <w:p w14:paraId="1198727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80" w:type="dxa"/>
            <w:tcBorders>
              <w:top w:val="nil"/>
            </w:tcBorders>
            <w:noWrap w:val="0"/>
            <w:vAlign w:val="center"/>
          </w:tcPr>
          <w:p w14:paraId="7673ADD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020" w:type="dxa"/>
            <w:tcBorders>
              <w:top w:val="nil"/>
            </w:tcBorders>
            <w:noWrap w:val="0"/>
            <w:vAlign w:val="center"/>
          </w:tcPr>
          <w:p w14:paraId="1AB8A11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921" w:type="dxa"/>
            <w:tcBorders>
              <w:top w:val="nil"/>
            </w:tcBorders>
            <w:noWrap w:val="0"/>
            <w:vAlign w:val="center"/>
          </w:tcPr>
          <w:p w14:paraId="7AD115F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6EBB89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7F7B10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center"/>
          </w:tcPr>
          <w:p w14:paraId="29EF604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0" w:type="dxa"/>
            <w:noWrap w:val="0"/>
            <w:vAlign w:val="center"/>
          </w:tcPr>
          <w:p w14:paraId="43DC564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058" w:type="dxa"/>
            <w:noWrap w:val="0"/>
            <w:vAlign w:val="center"/>
          </w:tcPr>
          <w:p w14:paraId="586C6F4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80" w:type="dxa"/>
            <w:noWrap w:val="0"/>
            <w:vAlign w:val="center"/>
          </w:tcPr>
          <w:p w14:paraId="7A36A56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020" w:type="dxa"/>
            <w:noWrap w:val="0"/>
            <w:vAlign w:val="center"/>
          </w:tcPr>
          <w:p w14:paraId="7C623BC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80" w:type="dxa"/>
            <w:noWrap w:val="0"/>
            <w:vAlign w:val="center"/>
          </w:tcPr>
          <w:p w14:paraId="4E17C16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020" w:type="dxa"/>
            <w:noWrap w:val="0"/>
            <w:vAlign w:val="center"/>
          </w:tcPr>
          <w:p w14:paraId="51E76F7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921" w:type="dxa"/>
            <w:noWrap w:val="0"/>
            <w:vAlign w:val="center"/>
          </w:tcPr>
          <w:p w14:paraId="0313629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383518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D5503C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center"/>
          </w:tcPr>
          <w:p w14:paraId="774191E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0" w:type="dxa"/>
            <w:noWrap w:val="0"/>
            <w:vAlign w:val="center"/>
          </w:tcPr>
          <w:p w14:paraId="33E3564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058" w:type="dxa"/>
            <w:noWrap w:val="0"/>
            <w:vAlign w:val="center"/>
          </w:tcPr>
          <w:p w14:paraId="163C7B6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80" w:type="dxa"/>
            <w:noWrap w:val="0"/>
            <w:vAlign w:val="center"/>
          </w:tcPr>
          <w:p w14:paraId="7330D6E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020" w:type="dxa"/>
            <w:noWrap w:val="0"/>
            <w:vAlign w:val="center"/>
          </w:tcPr>
          <w:p w14:paraId="50DB4A8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80" w:type="dxa"/>
            <w:noWrap w:val="0"/>
            <w:vAlign w:val="center"/>
          </w:tcPr>
          <w:p w14:paraId="641D4DE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020" w:type="dxa"/>
            <w:noWrap w:val="0"/>
            <w:vAlign w:val="center"/>
          </w:tcPr>
          <w:p w14:paraId="30E8070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921" w:type="dxa"/>
            <w:noWrap w:val="0"/>
            <w:vAlign w:val="center"/>
          </w:tcPr>
          <w:p w14:paraId="0DAFB9E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1622F5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67DDA5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center"/>
          </w:tcPr>
          <w:p w14:paraId="31CFCBD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0" w:type="dxa"/>
            <w:noWrap w:val="0"/>
            <w:vAlign w:val="center"/>
          </w:tcPr>
          <w:p w14:paraId="1F1600B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058" w:type="dxa"/>
            <w:noWrap w:val="0"/>
            <w:vAlign w:val="center"/>
          </w:tcPr>
          <w:p w14:paraId="76E3DD9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80" w:type="dxa"/>
            <w:noWrap w:val="0"/>
            <w:vAlign w:val="center"/>
          </w:tcPr>
          <w:p w14:paraId="52F23A9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020" w:type="dxa"/>
            <w:noWrap w:val="0"/>
            <w:vAlign w:val="center"/>
          </w:tcPr>
          <w:p w14:paraId="663DD0F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80" w:type="dxa"/>
            <w:noWrap w:val="0"/>
            <w:vAlign w:val="center"/>
          </w:tcPr>
          <w:p w14:paraId="559A47E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020" w:type="dxa"/>
            <w:noWrap w:val="0"/>
            <w:vAlign w:val="center"/>
          </w:tcPr>
          <w:p w14:paraId="5737C7B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921" w:type="dxa"/>
            <w:noWrap w:val="0"/>
            <w:vAlign w:val="center"/>
          </w:tcPr>
          <w:p w14:paraId="0CC23DB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0975F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3353FF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center"/>
          </w:tcPr>
          <w:p w14:paraId="14B8A69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0" w:type="dxa"/>
            <w:noWrap w:val="0"/>
            <w:vAlign w:val="center"/>
          </w:tcPr>
          <w:p w14:paraId="21F4F13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058" w:type="dxa"/>
            <w:noWrap w:val="0"/>
            <w:vAlign w:val="center"/>
          </w:tcPr>
          <w:p w14:paraId="5869CEF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80" w:type="dxa"/>
            <w:noWrap w:val="0"/>
            <w:vAlign w:val="center"/>
          </w:tcPr>
          <w:p w14:paraId="753B436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020" w:type="dxa"/>
            <w:noWrap w:val="0"/>
            <w:vAlign w:val="center"/>
          </w:tcPr>
          <w:p w14:paraId="2FF71AC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80" w:type="dxa"/>
            <w:noWrap w:val="0"/>
            <w:vAlign w:val="center"/>
          </w:tcPr>
          <w:p w14:paraId="7D89A55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020" w:type="dxa"/>
            <w:noWrap w:val="0"/>
            <w:vAlign w:val="center"/>
          </w:tcPr>
          <w:p w14:paraId="4E103E3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921" w:type="dxa"/>
            <w:noWrap w:val="0"/>
            <w:vAlign w:val="center"/>
          </w:tcPr>
          <w:p w14:paraId="4D753DB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5EE71C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FDC7E1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center"/>
          </w:tcPr>
          <w:p w14:paraId="4EB97E6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0" w:type="dxa"/>
            <w:noWrap w:val="0"/>
            <w:vAlign w:val="center"/>
          </w:tcPr>
          <w:p w14:paraId="7B67010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058" w:type="dxa"/>
            <w:noWrap w:val="0"/>
            <w:vAlign w:val="center"/>
          </w:tcPr>
          <w:p w14:paraId="2C54DE1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80" w:type="dxa"/>
            <w:noWrap w:val="0"/>
            <w:vAlign w:val="center"/>
          </w:tcPr>
          <w:p w14:paraId="4462FA0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020" w:type="dxa"/>
            <w:noWrap w:val="0"/>
            <w:vAlign w:val="center"/>
          </w:tcPr>
          <w:p w14:paraId="38CD7A5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80" w:type="dxa"/>
            <w:noWrap w:val="0"/>
            <w:vAlign w:val="center"/>
          </w:tcPr>
          <w:p w14:paraId="2F59B41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020" w:type="dxa"/>
            <w:noWrap w:val="0"/>
            <w:vAlign w:val="center"/>
          </w:tcPr>
          <w:p w14:paraId="6922B5B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921" w:type="dxa"/>
            <w:noWrap w:val="0"/>
            <w:vAlign w:val="center"/>
          </w:tcPr>
          <w:p w14:paraId="5AE22EA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457BD1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EB355F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center"/>
          </w:tcPr>
          <w:p w14:paraId="09B36F9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0" w:type="dxa"/>
            <w:noWrap w:val="0"/>
            <w:vAlign w:val="center"/>
          </w:tcPr>
          <w:p w14:paraId="3DFA680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058" w:type="dxa"/>
            <w:noWrap w:val="0"/>
            <w:vAlign w:val="center"/>
          </w:tcPr>
          <w:p w14:paraId="4EF3449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80" w:type="dxa"/>
            <w:noWrap w:val="0"/>
            <w:vAlign w:val="center"/>
          </w:tcPr>
          <w:p w14:paraId="4A6774D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020" w:type="dxa"/>
            <w:noWrap w:val="0"/>
            <w:vAlign w:val="center"/>
          </w:tcPr>
          <w:p w14:paraId="6B91CBC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80" w:type="dxa"/>
            <w:noWrap w:val="0"/>
            <w:vAlign w:val="center"/>
          </w:tcPr>
          <w:p w14:paraId="4EB1E4B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020" w:type="dxa"/>
            <w:noWrap w:val="0"/>
            <w:vAlign w:val="center"/>
          </w:tcPr>
          <w:p w14:paraId="0864A13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921" w:type="dxa"/>
            <w:noWrap w:val="0"/>
            <w:vAlign w:val="center"/>
          </w:tcPr>
          <w:p w14:paraId="5255DB1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60D38A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861FCFE">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01FD4E75">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850" w:type="dxa"/>
            <w:noWrap w:val="0"/>
            <w:vAlign w:val="top"/>
          </w:tcPr>
          <w:p w14:paraId="2F2837A5">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058" w:type="dxa"/>
            <w:noWrap w:val="0"/>
            <w:vAlign w:val="top"/>
          </w:tcPr>
          <w:p w14:paraId="3C57A94F">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880" w:type="dxa"/>
            <w:noWrap w:val="0"/>
            <w:vAlign w:val="top"/>
          </w:tcPr>
          <w:p w14:paraId="79092411">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020" w:type="dxa"/>
            <w:noWrap w:val="0"/>
            <w:vAlign w:val="top"/>
          </w:tcPr>
          <w:p w14:paraId="360FB500">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80" w:type="dxa"/>
            <w:noWrap w:val="0"/>
            <w:vAlign w:val="top"/>
          </w:tcPr>
          <w:p w14:paraId="7D8FA53A">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020" w:type="dxa"/>
            <w:noWrap w:val="0"/>
            <w:vAlign w:val="top"/>
          </w:tcPr>
          <w:p w14:paraId="79374177">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921" w:type="dxa"/>
            <w:noWrap w:val="0"/>
            <w:vAlign w:val="top"/>
          </w:tcPr>
          <w:p w14:paraId="419F903A">
            <w:pPr>
              <w:pStyle w:val="57"/>
              <w:rPr>
                <w:rFonts w:hint="eastAsia" w:ascii="仿宋" w:hAnsi="仿宋" w:eastAsia="仿宋" w:cs="仿宋"/>
                <w:color w:val="000000" w:themeColor="text1"/>
                <w:sz w:val="24"/>
                <w:szCs w:val="24"/>
                <w:highlight w:val="none"/>
                <w14:textFill>
                  <w14:solidFill>
                    <w14:schemeClr w14:val="tx1"/>
                  </w14:solidFill>
                </w14:textFill>
              </w:rPr>
            </w:pPr>
          </w:p>
        </w:tc>
      </w:tr>
      <w:tr w14:paraId="759CDA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617C89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center"/>
          </w:tcPr>
          <w:p w14:paraId="0E67BEA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0" w:type="dxa"/>
            <w:noWrap w:val="0"/>
            <w:vAlign w:val="center"/>
          </w:tcPr>
          <w:p w14:paraId="035707B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058" w:type="dxa"/>
            <w:noWrap w:val="0"/>
            <w:vAlign w:val="center"/>
          </w:tcPr>
          <w:p w14:paraId="6B890AF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80" w:type="dxa"/>
            <w:noWrap w:val="0"/>
            <w:vAlign w:val="center"/>
          </w:tcPr>
          <w:p w14:paraId="6F5AD04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020" w:type="dxa"/>
            <w:noWrap w:val="0"/>
            <w:vAlign w:val="center"/>
          </w:tcPr>
          <w:p w14:paraId="7D1E56D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80" w:type="dxa"/>
            <w:noWrap w:val="0"/>
            <w:vAlign w:val="center"/>
          </w:tcPr>
          <w:p w14:paraId="22B7E52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020" w:type="dxa"/>
            <w:noWrap w:val="0"/>
            <w:vAlign w:val="center"/>
          </w:tcPr>
          <w:p w14:paraId="70FC338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921" w:type="dxa"/>
            <w:noWrap w:val="0"/>
            <w:vAlign w:val="center"/>
          </w:tcPr>
          <w:p w14:paraId="697E961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41291C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68B688A3">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5D903A15">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850" w:type="dxa"/>
            <w:noWrap w:val="0"/>
            <w:vAlign w:val="top"/>
          </w:tcPr>
          <w:p w14:paraId="5FE301C6">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058" w:type="dxa"/>
            <w:noWrap w:val="0"/>
            <w:vAlign w:val="top"/>
          </w:tcPr>
          <w:p w14:paraId="384BE4AA">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880" w:type="dxa"/>
            <w:noWrap w:val="0"/>
            <w:vAlign w:val="top"/>
          </w:tcPr>
          <w:p w14:paraId="1441FCAD">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020" w:type="dxa"/>
            <w:noWrap w:val="0"/>
            <w:vAlign w:val="top"/>
          </w:tcPr>
          <w:p w14:paraId="18C01921">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80" w:type="dxa"/>
            <w:noWrap w:val="0"/>
            <w:vAlign w:val="top"/>
          </w:tcPr>
          <w:p w14:paraId="4B082318">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020" w:type="dxa"/>
            <w:noWrap w:val="0"/>
            <w:vAlign w:val="top"/>
          </w:tcPr>
          <w:p w14:paraId="4A09D8E2">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921" w:type="dxa"/>
            <w:noWrap w:val="0"/>
            <w:vAlign w:val="top"/>
          </w:tcPr>
          <w:p w14:paraId="2470822D">
            <w:pPr>
              <w:pStyle w:val="57"/>
              <w:rPr>
                <w:rFonts w:hint="eastAsia" w:ascii="仿宋" w:hAnsi="仿宋" w:eastAsia="仿宋" w:cs="仿宋"/>
                <w:color w:val="000000" w:themeColor="text1"/>
                <w:sz w:val="24"/>
                <w:szCs w:val="24"/>
                <w:highlight w:val="none"/>
                <w14:textFill>
                  <w14:solidFill>
                    <w14:schemeClr w14:val="tx1"/>
                  </w14:solidFill>
                </w14:textFill>
              </w:rPr>
            </w:pPr>
          </w:p>
        </w:tc>
      </w:tr>
      <w:tr w14:paraId="5781A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8D75B7E">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79C7C49F">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850" w:type="dxa"/>
            <w:noWrap w:val="0"/>
            <w:vAlign w:val="top"/>
          </w:tcPr>
          <w:p w14:paraId="23282377">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058" w:type="dxa"/>
            <w:noWrap w:val="0"/>
            <w:vAlign w:val="top"/>
          </w:tcPr>
          <w:p w14:paraId="47B96E59">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880" w:type="dxa"/>
            <w:noWrap w:val="0"/>
            <w:vAlign w:val="top"/>
          </w:tcPr>
          <w:p w14:paraId="0541EE40">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020" w:type="dxa"/>
            <w:noWrap w:val="0"/>
            <w:vAlign w:val="top"/>
          </w:tcPr>
          <w:p w14:paraId="016121EE">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80" w:type="dxa"/>
            <w:noWrap w:val="0"/>
            <w:vAlign w:val="top"/>
          </w:tcPr>
          <w:p w14:paraId="1EA5592C">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020" w:type="dxa"/>
            <w:noWrap w:val="0"/>
            <w:vAlign w:val="top"/>
          </w:tcPr>
          <w:p w14:paraId="4E118589">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921" w:type="dxa"/>
            <w:noWrap w:val="0"/>
            <w:vAlign w:val="top"/>
          </w:tcPr>
          <w:p w14:paraId="1020920F">
            <w:pPr>
              <w:pStyle w:val="57"/>
              <w:rPr>
                <w:rFonts w:hint="eastAsia" w:ascii="仿宋" w:hAnsi="仿宋" w:eastAsia="仿宋" w:cs="仿宋"/>
                <w:color w:val="000000" w:themeColor="text1"/>
                <w:sz w:val="24"/>
                <w:szCs w:val="24"/>
                <w:highlight w:val="none"/>
                <w14:textFill>
                  <w14:solidFill>
                    <w14:schemeClr w14:val="tx1"/>
                  </w14:solidFill>
                </w14:textFill>
              </w:rPr>
            </w:pPr>
          </w:p>
        </w:tc>
      </w:tr>
      <w:tr w14:paraId="1327AF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155D195">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44A23660">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850" w:type="dxa"/>
            <w:noWrap w:val="0"/>
            <w:vAlign w:val="top"/>
          </w:tcPr>
          <w:p w14:paraId="619706BB">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058" w:type="dxa"/>
            <w:noWrap w:val="0"/>
            <w:vAlign w:val="top"/>
          </w:tcPr>
          <w:p w14:paraId="0EE74993">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880" w:type="dxa"/>
            <w:noWrap w:val="0"/>
            <w:vAlign w:val="top"/>
          </w:tcPr>
          <w:p w14:paraId="5AAF9AAD">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020" w:type="dxa"/>
            <w:noWrap w:val="0"/>
            <w:vAlign w:val="top"/>
          </w:tcPr>
          <w:p w14:paraId="1461B430">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80" w:type="dxa"/>
            <w:noWrap w:val="0"/>
            <w:vAlign w:val="top"/>
          </w:tcPr>
          <w:p w14:paraId="7831554D">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020" w:type="dxa"/>
            <w:noWrap w:val="0"/>
            <w:vAlign w:val="top"/>
          </w:tcPr>
          <w:p w14:paraId="34594301">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921" w:type="dxa"/>
            <w:noWrap w:val="0"/>
            <w:vAlign w:val="top"/>
          </w:tcPr>
          <w:p w14:paraId="3CA00BE1">
            <w:pPr>
              <w:pStyle w:val="57"/>
              <w:rPr>
                <w:rFonts w:hint="eastAsia" w:ascii="仿宋" w:hAnsi="仿宋" w:eastAsia="仿宋" w:cs="仿宋"/>
                <w:color w:val="000000" w:themeColor="text1"/>
                <w:sz w:val="24"/>
                <w:szCs w:val="24"/>
                <w:highlight w:val="none"/>
                <w14:textFill>
                  <w14:solidFill>
                    <w14:schemeClr w14:val="tx1"/>
                  </w14:solidFill>
                </w14:textFill>
              </w:rPr>
            </w:pPr>
          </w:p>
        </w:tc>
      </w:tr>
      <w:tr w14:paraId="29C9A7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EFED117">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5E5F09CD">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850" w:type="dxa"/>
            <w:noWrap w:val="0"/>
            <w:vAlign w:val="top"/>
          </w:tcPr>
          <w:p w14:paraId="53305A29">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058" w:type="dxa"/>
            <w:noWrap w:val="0"/>
            <w:vAlign w:val="top"/>
          </w:tcPr>
          <w:p w14:paraId="502A0F15">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880" w:type="dxa"/>
            <w:noWrap w:val="0"/>
            <w:vAlign w:val="top"/>
          </w:tcPr>
          <w:p w14:paraId="3869EEAF">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020" w:type="dxa"/>
            <w:noWrap w:val="0"/>
            <w:vAlign w:val="top"/>
          </w:tcPr>
          <w:p w14:paraId="60624C6C">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80" w:type="dxa"/>
            <w:noWrap w:val="0"/>
            <w:vAlign w:val="top"/>
          </w:tcPr>
          <w:p w14:paraId="168735F4">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020" w:type="dxa"/>
            <w:noWrap w:val="0"/>
            <w:vAlign w:val="top"/>
          </w:tcPr>
          <w:p w14:paraId="1341E7C9">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921" w:type="dxa"/>
            <w:noWrap w:val="0"/>
            <w:vAlign w:val="top"/>
          </w:tcPr>
          <w:p w14:paraId="0C943E69">
            <w:pPr>
              <w:pStyle w:val="57"/>
              <w:rPr>
                <w:rFonts w:hint="eastAsia" w:ascii="仿宋" w:hAnsi="仿宋" w:eastAsia="仿宋" w:cs="仿宋"/>
                <w:color w:val="000000" w:themeColor="text1"/>
                <w:sz w:val="24"/>
                <w:szCs w:val="24"/>
                <w:highlight w:val="none"/>
                <w14:textFill>
                  <w14:solidFill>
                    <w14:schemeClr w14:val="tx1"/>
                  </w14:solidFill>
                </w14:textFill>
              </w:rPr>
            </w:pPr>
          </w:p>
        </w:tc>
      </w:tr>
      <w:tr w14:paraId="5D25F5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B7F720B">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0AFF6A29">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850" w:type="dxa"/>
            <w:noWrap w:val="0"/>
            <w:vAlign w:val="top"/>
          </w:tcPr>
          <w:p w14:paraId="06BBF5D1">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058" w:type="dxa"/>
            <w:noWrap w:val="0"/>
            <w:vAlign w:val="top"/>
          </w:tcPr>
          <w:p w14:paraId="53C77043">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880" w:type="dxa"/>
            <w:noWrap w:val="0"/>
            <w:vAlign w:val="top"/>
          </w:tcPr>
          <w:p w14:paraId="20A587D5">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020" w:type="dxa"/>
            <w:noWrap w:val="0"/>
            <w:vAlign w:val="top"/>
          </w:tcPr>
          <w:p w14:paraId="0675BB3F">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80" w:type="dxa"/>
            <w:noWrap w:val="0"/>
            <w:vAlign w:val="top"/>
          </w:tcPr>
          <w:p w14:paraId="474496EE">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020" w:type="dxa"/>
            <w:noWrap w:val="0"/>
            <w:vAlign w:val="top"/>
          </w:tcPr>
          <w:p w14:paraId="32E6CB2E">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921" w:type="dxa"/>
            <w:noWrap w:val="0"/>
            <w:vAlign w:val="top"/>
          </w:tcPr>
          <w:p w14:paraId="48FD866D">
            <w:pPr>
              <w:pStyle w:val="57"/>
              <w:rPr>
                <w:rFonts w:hint="eastAsia" w:ascii="仿宋" w:hAnsi="仿宋" w:eastAsia="仿宋" w:cs="仿宋"/>
                <w:color w:val="000000" w:themeColor="text1"/>
                <w:sz w:val="24"/>
                <w:szCs w:val="24"/>
                <w:highlight w:val="none"/>
                <w14:textFill>
                  <w14:solidFill>
                    <w14:schemeClr w14:val="tx1"/>
                  </w14:solidFill>
                </w14:textFill>
              </w:rPr>
            </w:pPr>
          </w:p>
        </w:tc>
      </w:tr>
      <w:tr w14:paraId="4FC9C7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68D94EF9">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0BDB6F4D">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850" w:type="dxa"/>
            <w:noWrap w:val="0"/>
            <w:vAlign w:val="top"/>
          </w:tcPr>
          <w:p w14:paraId="7CDE9BFA">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058" w:type="dxa"/>
            <w:noWrap w:val="0"/>
            <w:vAlign w:val="top"/>
          </w:tcPr>
          <w:p w14:paraId="5E329C45">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880" w:type="dxa"/>
            <w:noWrap w:val="0"/>
            <w:vAlign w:val="top"/>
          </w:tcPr>
          <w:p w14:paraId="02FBD867">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020" w:type="dxa"/>
            <w:noWrap w:val="0"/>
            <w:vAlign w:val="top"/>
          </w:tcPr>
          <w:p w14:paraId="5FD9FD65">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80" w:type="dxa"/>
            <w:noWrap w:val="0"/>
            <w:vAlign w:val="top"/>
          </w:tcPr>
          <w:p w14:paraId="126D31BE">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020" w:type="dxa"/>
            <w:noWrap w:val="0"/>
            <w:vAlign w:val="top"/>
          </w:tcPr>
          <w:p w14:paraId="60A658E9">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921" w:type="dxa"/>
            <w:noWrap w:val="0"/>
            <w:vAlign w:val="top"/>
          </w:tcPr>
          <w:p w14:paraId="7294B420">
            <w:pPr>
              <w:pStyle w:val="57"/>
              <w:rPr>
                <w:rFonts w:hint="eastAsia" w:ascii="仿宋" w:hAnsi="仿宋" w:eastAsia="仿宋" w:cs="仿宋"/>
                <w:color w:val="000000" w:themeColor="text1"/>
                <w:sz w:val="24"/>
                <w:szCs w:val="24"/>
                <w:highlight w:val="none"/>
                <w14:textFill>
                  <w14:solidFill>
                    <w14:schemeClr w14:val="tx1"/>
                  </w14:solidFill>
                </w14:textFill>
              </w:rPr>
            </w:pPr>
          </w:p>
        </w:tc>
      </w:tr>
      <w:tr w14:paraId="5876FD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9E15EE7">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5337738A">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850" w:type="dxa"/>
            <w:noWrap w:val="0"/>
            <w:vAlign w:val="top"/>
          </w:tcPr>
          <w:p w14:paraId="5E7B6CC3">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058" w:type="dxa"/>
            <w:noWrap w:val="0"/>
            <w:vAlign w:val="top"/>
          </w:tcPr>
          <w:p w14:paraId="60F84522">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880" w:type="dxa"/>
            <w:noWrap w:val="0"/>
            <w:vAlign w:val="top"/>
          </w:tcPr>
          <w:p w14:paraId="74D71CB9">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020" w:type="dxa"/>
            <w:noWrap w:val="0"/>
            <w:vAlign w:val="top"/>
          </w:tcPr>
          <w:p w14:paraId="620DE4E9">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80" w:type="dxa"/>
            <w:noWrap w:val="0"/>
            <w:vAlign w:val="top"/>
          </w:tcPr>
          <w:p w14:paraId="2921E67C">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020" w:type="dxa"/>
            <w:noWrap w:val="0"/>
            <w:vAlign w:val="top"/>
          </w:tcPr>
          <w:p w14:paraId="6C5B8485">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921" w:type="dxa"/>
            <w:noWrap w:val="0"/>
            <w:vAlign w:val="top"/>
          </w:tcPr>
          <w:p w14:paraId="04A76140">
            <w:pPr>
              <w:pStyle w:val="57"/>
              <w:rPr>
                <w:rFonts w:hint="eastAsia" w:ascii="仿宋" w:hAnsi="仿宋" w:eastAsia="仿宋" w:cs="仿宋"/>
                <w:color w:val="000000" w:themeColor="text1"/>
                <w:sz w:val="24"/>
                <w:szCs w:val="24"/>
                <w:highlight w:val="none"/>
                <w14:textFill>
                  <w14:solidFill>
                    <w14:schemeClr w14:val="tx1"/>
                  </w14:solidFill>
                </w14:textFill>
              </w:rPr>
            </w:pPr>
          </w:p>
        </w:tc>
      </w:tr>
      <w:tr w14:paraId="52CDD0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FE08DE6">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65E1C46E">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850" w:type="dxa"/>
            <w:noWrap w:val="0"/>
            <w:vAlign w:val="top"/>
          </w:tcPr>
          <w:p w14:paraId="5C5E9920">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058" w:type="dxa"/>
            <w:noWrap w:val="0"/>
            <w:vAlign w:val="top"/>
          </w:tcPr>
          <w:p w14:paraId="67621C5D">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880" w:type="dxa"/>
            <w:noWrap w:val="0"/>
            <w:vAlign w:val="top"/>
          </w:tcPr>
          <w:p w14:paraId="7371A03E">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020" w:type="dxa"/>
            <w:noWrap w:val="0"/>
            <w:vAlign w:val="top"/>
          </w:tcPr>
          <w:p w14:paraId="5C7F9F73">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80" w:type="dxa"/>
            <w:noWrap w:val="0"/>
            <w:vAlign w:val="top"/>
          </w:tcPr>
          <w:p w14:paraId="4AADA647">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020" w:type="dxa"/>
            <w:noWrap w:val="0"/>
            <w:vAlign w:val="top"/>
          </w:tcPr>
          <w:p w14:paraId="7A667249">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921" w:type="dxa"/>
            <w:noWrap w:val="0"/>
            <w:vAlign w:val="top"/>
          </w:tcPr>
          <w:p w14:paraId="22425C70">
            <w:pPr>
              <w:pStyle w:val="57"/>
              <w:rPr>
                <w:rFonts w:hint="eastAsia" w:ascii="仿宋" w:hAnsi="仿宋" w:eastAsia="仿宋" w:cs="仿宋"/>
                <w:color w:val="000000" w:themeColor="text1"/>
                <w:sz w:val="24"/>
                <w:szCs w:val="24"/>
                <w:highlight w:val="none"/>
                <w14:textFill>
                  <w14:solidFill>
                    <w14:schemeClr w14:val="tx1"/>
                  </w14:solidFill>
                </w14:textFill>
              </w:rPr>
            </w:pPr>
          </w:p>
        </w:tc>
      </w:tr>
      <w:tr w14:paraId="22D59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6806ECF">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4747362F">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850" w:type="dxa"/>
            <w:noWrap w:val="0"/>
            <w:vAlign w:val="top"/>
          </w:tcPr>
          <w:p w14:paraId="63F901EB">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058" w:type="dxa"/>
            <w:noWrap w:val="0"/>
            <w:vAlign w:val="top"/>
          </w:tcPr>
          <w:p w14:paraId="02F84D7C">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880" w:type="dxa"/>
            <w:noWrap w:val="0"/>
            <w:vAlign w:val="top"/>
          </w:tcPr>
          <w:p w14:paraId="5736AC2B">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020" w:type="dxa"/>
            <w:noWrap w:val="0"/>
            <w:vAlign w:val="top"/>
          </w:tcPr>
          <w:p w14:paraId="709A3883">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480" w:type="dxa"/>
            <w:noWrap w:val="0"/>
            <w:vAlign w:val="top"/>
          </w:tcPr>
          <w:p w14:paraId="40A11092">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1020" w:type="dxa"/>
            <w:noWrap w:val="0"/>
            <w:vAlign w:val="top"/>
          </w:tcPr>
          <w:p w14:paraId="58E3F0C0">
            <w:pPr>
              <w:pStyle w:val="57"/>
              <w:rPr>
                <w:rFonts w:hint="eastAsia" w:ascii="仿宋" w:hAnsi="仿宋" w:eastAsia="仿宋" w:cs="仿宋"/>
                <w:color w:val="000000" w:themeColor="text1"/>
                <w:sz w:val="24"/>
                <w:szCs w:val="24"/>
                <w:highlight w:val="none"/>
                <w14:textFill>
                  <w14:solidFill>
                    <w14:schemeClr w14:val="tx1"/>
                  </w14:solidFill>
                </w14:textFill>
              </w:rPr>
            </w:pPr>
          </w:p>
        </w:tc>
        <w:tc>
          <w:tcPr>
            <w:tcW w:w="921" w:type="dxa"/>
            <w:noWrap w:val="0"/>
            <w:vAlign w:val="top"/>
          </w:tcPr>
          <w:p w14:paraId="25D7F4F0">
            <w:pPr>
              <w:pStyle w:val="57"/>
              <w:rPr>
                <w:rFonts w:hint="eastAsia" w:ascii="仿宋" w:hAnsi="仿宋" w:eastAsia="仿宋" w:cs="仿宋"/>
                <w:color w:val="000000" w:themeColor="text1"/>
                <w:sz w:val="24"/>
                <w:szCs w:val="24"/>
                <w:highlight w:val="none"/>
                <w14:textFill>
                  <w14:solidFill>
                    <w14:schemeClr w14:val="tx1"/>
                  </w14:solidFill>
                </w14:textFill>
              </w:rPr>
            </w:pPr>
          </w:p>
        </w:tc>
      </w:tr>
    </w:tbl>
    <w:p w14:paraId="5EB6396E">
      <w:pPr>
        <w:jc w:val="left"/>
        <w:outlineLvl w:val="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181" w:name="_Toc20969"/>
      <w:r>
        <w:rPr>
          <w:rFonts w:hint="eastAsia" w:ascii="仿宋" w:hAnsi="仿宋" w:eastAsia="仿宋" w:cs="仿宋"/>
          <w:color w:val="000000" w:themeColor="text1"/>
          <w:sz w:val="24"/>
          <w:szCs w:val="24"/>
          <w:highlight w:val="none"/>
          <w14:textFill>
            <w14:solidFill>
              <w14:schemeClr w14:val="tx1"/>
            </w14:solidFill>
          </w14:textFill>
        </w:rPr>
        <w:t>附件6：</w:t>
      </w:r>
      <w:bookmarkEnd w:id="181"/>
    </w:p>
    <w:p w14:paraId="1BF85270">
      <w:pPr>
        <w:pStyle w:val="57"/>
        <w:spacing w:before="120" w:beforeLines="50" w:after="120" w:afterLines="50"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承包人主要施工管理人员表</w:t>
      </w:r>
    </w:p>
    <w:tbl>
      <w:tblPr>
        <w:tblStyle w:val="24"/>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447C78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0DE4FB5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名    称</w:t>
            </w:r>
          </w:p>
        </w:tc>
        <w:tc>
          <w:tcPr>
            <w:tcW w:w="1418" w:type="dxa"/>
            <w:tcBorders>
              <w:top w:val="single" w:color="auto" w:sz="12" w:space="0"/>
              <w:bottom w:val="double" w:color="auto" w:sz="6" w:space="0"/>
            </w:tcBorders>
            <w:noWrap w:val="0"/>
            <w:vAlign w:val="center"/>
          </w:tcPr>
          <w:p w14:paraId="543E211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p>
        </w:tc>
        <w:tc>
          <w:tcPr>
            <w:tcW w:w="1134" w:type="dxa"/>
            <w:tcBorders>
              <w:top w:val="single" w:color="auto" w:sz="12" w:space="0"/>
              <w:bottom w:val="double" w:color="auto" w:sz="6" w:space="0"/>
            </w:tcBorders>
            <w:noWrap w:val="0"/>
            <w:vAlign w:val="center"/>
          </w:tcPr>
          <w:p w14:paraId="00EA8F1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职务</w:t>
            </w:r>
          </w:p>
        </w:tc>
        <w:tc>
          <w:tcPr>
            <w:tcW w:w="1134" w:type="dxa"/>
            <w:tcBorders>
              <w:top w:val="single" w:color="auto" w:sz="12" w:space="0"/>
              <w:bottom w:val="double" w:color="auto" w:sz="6" w:space="0"/>
            </w:tcBorders>
            <w:noWrap w:val="0"/>
            <w:vAlign w:val="center"/>
          </w:tcPr>
          <w:p w14:paraId="1CEFE33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职称</w:t>
            </w:r>
          </w:p>
        </w:tc>
        <w:tc>
          <w:tcPr>
            <w:tcW w:w="4252" w:type="dxa"/>
            <w:tcBorders>
              <w:top w:val="single" w:color="auto" w:sz="12" w:space="0"/>
              <w:bottom w:val="double" w:color="auto" w:sz="6" w:space="0"/>
            </w:tcBorders>
            <w:noWrap w:val="0"/>
            <w:vAlign w:val="center"/>
          </w:tcPr>
          <w:p w14:paraId="3474E00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主要资历、经验及承担过的项目</w:t>
            </w:r>
          </w:p>
        </w:tc>
      </w:tr>
      <w:tr w14:paraId="2AB9E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43B5216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一、总部人员</w:t>
            </w:r>
          </w:p>
        </w:tc>
      </w:tr>
      <w:tr w14:paraId="0D7363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996E9B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项目主管</w:t>
            </w:r>
          </w:p>
        </w:tc>
        <w:tc>
          <w:tcPr>
            <w:tcW w:w="1418" w:type="dxa"/>
            <w:tcBorders>
              <w:top w:val="nil"/>
            </w:tcBorders>
            <w:noWrap w:val="0"/>
            <w:vAlign w:val="center"/>
          </w:tcPr>
          <w:p w14:paraId="58529BF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tcBorders>
              <w:top w:val="nil"/>
            </w:tcBorders>
            <w:noWrap w:val="0"/>
            <w:vAlign w:val="center"/>
          </w:tcPr>
          <w:p w14:paraId="5D87749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tcBorders>
              <w:top w:val="nil"/>
            </w:tcBorders>
            <w:noWrap w:val="0"/>
            <w:vAlign w:val="center"/>
          </w:tcPr>
          <w:p w14:paraId="2B76B70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252" w:type="dxa"/>
            <w:tcBorders>
              <w:top w:val="nil"/>
            </w:tcBorders>
            <w:noWrap w:val="0"/>
            <w:vAlign w:val="center"/>
          </w:tcPr>
          <w:p w14:paraId="4B04A0D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262C3B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4815782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center"/>
          </w:tcPr>
          <w:p w14:paraId="64FC5A0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0703297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3210C5F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252" w:type="dxa"/>
            <w:noWrap w:val="0"/>
            <w:vAlign w:val="center"/>
          </w:tcPr>
          <w:p w14:paraId="5BFC6AC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27AC34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F97F78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其他人员</w:t>
            </w:r>
          </w:p>
        </w:tc>
        <w:tc>
          <w:tcPr>
            <w:tcW w:w="1418" w:type="dxa"/>
            <w:noWrap w:val="0"/>
            <w:vAlign w:val="center"/>
          </w:tcPr>
          <w:p w14:paraId="75E8A66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4E8ABC7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363395C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252" w:type="dxa"/>
            <w:noWrap w:val="0"/>
            <w:vAlign w:val="center"/>
          </w:tcPr>
          <w:p w14:paraId="3A0111F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494E1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1DB87E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center"/>
          </w:tcPr>
          <w:p w14:paraId="3D3E60F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35E93C8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44852DE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252" w:type="dxa"/>
            <w:noWrap w:val="0"/>
            <w:vAlign w:val="center"/>
          </w:tcPr>
          <w:p w14:paraId="58DC4C3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4F0F8C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2DC5BA6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二、现场人员</w:t>
            </w:r>
          </w:p>
        </w:tc>
      </w:tr>
      <w:tr w14:paraId="2CF58A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8AB3AE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项目经理</w:t>
            </w:r>
          </w:p>
        </w:tc>
        <w:tc>
          <w:tcPr>
            <w:tcW w:w="1418" w:type="dxa"/>
            <w:noWrap w:val="0"/>
            <w:vAlign w:val="center"/>
          </w:tcPr>
          <w:p w14:paraId="409650D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1A1DA34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378F86E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252" w:type="dxa"/>
            <w:noWrap w:val="0"/>
            <w:vAlign w:val="center"/>
          </w:tcPr>
          <w:p w14:paraId="1438D9D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46E14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2949D0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项目副经理</w:t>
            </w:r>
          </w:p>
        </w:tc>
        <w:tc>
          <w:tcPr>
            <w:tcW w:w="1418" w:type="dxa"/>
            <w:noWrap w:val="0"/>
            <w:vAlign w:val="center"/>
          </w:tcPr>
          <w:p w14:paraId="42F3DC9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769ED3F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739379C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252" w:type="dxa"/>
            <w:noWrap w:val="0"/>
            <w:vAlign w:val="center"/>
          </w:tcPr>
          <w:p w14:paraId="27AEDC2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01AC7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9343F5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技术负责人</w:t>
            </w:r>
          </w:p>
        </w:tc>
        <w:tc>
          <w:tcPr>
            <w:tcW w:w="1418" w:type="dxa"/>
            <w:noWrap w:val="0"/>
            <w:vAlign w:val="center"/>
          </w:tcPr>
          <w:p w14:paraId="42736CE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66E1D0C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583707D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252" w:type="dxa"/>
            <w:noWrap w:val="0"/>
            <w:vAlign w:val="center"/>
          </w:tcPr>
          <w:p w14:paraId="52D9E19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12DCC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659F5F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造价管理</w:t>
            </w:r>
          </w:p>
        </w:tc>
        <w:tc>
          <w:tcPr>
            <w:tcW w:w="1418" w:type="dxa"/>
            <w:noWrap w:val="0"/>
            <w:vAlign w:val="center"/>
          </w:tcPr>
          <w:p w14:paraId="5BD0BD2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57AF6FB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0AA576E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252" w:type="dxa"/>
            <w:noWrap w:val="0"/>
            <w:vAlign w:val="center"/>
          </w:tcPr>
          <w:p w14:paraId="307A69A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34A019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noWrap w:val="0"/>
            <w:vAlign w:val="center"/>
          </w:tcPr>
          <w:p w14:paraId="67111BE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质量管理</w:t>
            </w:r>
          </w:p>
        </w:tc>
        <w:tc>
          <w:tcPr>
            <w:tcW w:w="1418" w:type="dxa"/>
            <w:noWrap w:val="0"/>
            <w:vAlign w:val="center"/>
          </w:tcPr>
          <w:p w14:paraId="7998397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3604793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024E5E6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252" w:type="dxa"/>
            <w:noWrap w:val="0"/>
            <w:vAlign w:val="center"/>
          </w:tcPr>
          <w:p w14:paraId="296952D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436364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938380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材料管理</w:t>
            </w:r>
          </w:p>
        </w:tc>
        <w:tc>
          <w:tcPr>
            <w:tcW w:w="1418" w:type="dxa"/>
            <w:noWrap w:val="0"/>
            <w:vAlign w:val="center"/>
          </w:tcPr>
          <w:p w14:paraId="5FCC567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0341237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07F906D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252" w:type="dxa"/>
            <w:noWrap w:val="0"/>
            <w:vAlign w:val="center"/>
          </w:tcPr>
          <w:p w14:paraId="0D0E9E0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075638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BD769D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计划管理</w:t>
            </w:r>
          </w:p>
        </w:tc>
        <w:tc>
          <w:tcPr>
            <w:tcW w:w="1418" w:type="dxa"/>
            <w:noWrap w:val="0"/>
            <w:vAlign w:val="center"/>
          </w:tcPr>
          <w:p w14:paraId="5A26CED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6D8D521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472C125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252" w:type="dxa"/>
            <w:noWrap w:val="0"/>
            <w:vAlign w:val="center"/>
          </w:tcPr>
          <w:p w14:paraId="6C52007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55D04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D8AB5B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安全管理</w:t>
            </w:r>
          </w:p>
        </w:tc>
        <w:tc>
          <w:tcPr>
            <w:tcW w:w="1418" w:type="dxa"/>
            <w:noWrap w:val="0"/>
            <w:vAlign w:val="center"/>
          </w:tcPr>
          <w:p w14:paraId="1AF9A72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64278F8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2354ADB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252" w:type="dxa"/>
            <w:noWrap w:val="0"/>
            <w:vAlign w:val="center"/>
          </w:tcPr>
          <w:p w14:paraId="6047270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573DEB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34DF1BD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其他人员</w:t>
            </w:r>
          </w:p>
        </w:tc>
        <w:tc>
          <w:tcPr>
            <w:tcW w:w="1418" w:type="dxa"/>
            <w:noWrap w:val="0"/>
            <w:vAlign w:val="center"/>
          </w:tcPr>
          <w:p w14:paraId="213AF7A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0D8DFE6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68E5BA1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252" w:type="dxa"/>
            <w:noWrap w:val="0"/>
            <w:vAlign w:val="center"/>
          </w:tcPr>
          <w:p w14:paraId="593A105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5AFBE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846351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tcBorders>
              <w:bottom w:val="nil"/>
            </w:tcBorders>
            <w:noWrap w:val="0"/>
            <w:vAlign w:val="center"/>
          </w:tcPr>
          <w:p w14:paraId="4503BB9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tcBorders>
              <w:bottom w:val="nil"/>
            </w:tcBorders>
            <w:noWrap w:val="0"/>
            <w:vAlign w:val="center"/>
          </w:tcPr>
          <w:p w14:paraId="762B79D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tcBorders>
              <w:bottom w:val="nil"/>
            </w:tcBorders>
            <w:noWrap w:val="0"/>
            <w:vAlign w:val="center"/>
          </w:tcPr>
          <w:p w14:paraId="4D9DE78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252" w:type="dxa"/>
            <w:tcBorders>
              <w:bottom w:val="nil"/>
            </w:tcBorders>
            <w:noWrap w:val="0"/>
            <w:vAlign w:val="center"/>
          </w:tcPr>
          <w:p w14:paraId="3B60CE4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1B9621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4AE22B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center"/>
          </w:tcPr>
          <w:p w14:paraId="129E3C4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5A65263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4BFDE0C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252" w:type="dxa"/>
            <w:noWrap w:val="0"/>
            <w:vAlign w:val="center"/>
          </w:tcPr>
          <w:p w14:paraId="0D4D424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1836D0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7BFDE5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center"/>
          </w:tcPr>
          <w:p w14:paraId="3C7A544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3829697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0BF560F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252" w:type="dxa"/>
            <w:noWrap w:val="0"/>
            <w:vAlign w:val="center"/>
          </w:tcPr>
          <w:p w14:paraId="12C97BF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4F5DD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E03C18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center"/>
          </w:tcPr>
          <w:p w14:paraId="7CB3CBC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0AB0521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7A1EDC5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252" w:type="dxa"/>
            <w:noWrap w:val="0"/>
            <w:vAlign w:val="center"/>
          </w:tcPr>
          <w:p w14:paraId="7CA5D19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1C96FB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512A2E1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tcBorders>
              <w:bottom w:val="single" w:color="auto" w:sz="12" w:space="0"/>
            </w:tcBorders>
            <w:noWrap w:val="0"/>
            <w:vAlign w:val="center"/>
          </w:tcPr>
          <w:p w14:paraId="6361CDE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tcBorders>
              <w:bottom w:val="single" w:color="auto" w:sz="12" w:space="0"/>
            </w:tcBorders>
            <w:noWrap w:val="0"/>
            <w:vAlign w:val="center"/>
          </w:tcPr>
          <w:p w14:paraId="27DD145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tcBorders>
              <w:bottom w:val="single" w:color="auto" w:sz="12" w:space="0"/>
            </w:tcBorders>
            <w:noWrap w:val="0"/>
            <w:vAlign w:val="center"/>
          </w:tcPr>
          <w:p w14:paraId="2A68E81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252" w:type="dxa"/>
            <w:tcBorders>
              <w:bottom w:val="single" w:color="auto" w:sz="12" w:space="0"/>
            </w:tcBorders>
            <w:noWrap w:val="0"/>
            <w:vAlign w:val="center"/>
          </w:tcPr>
          <w:p w14:paraId="509E7F4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bl>
    <w:p w14:paraId="32739F53">
      <w:pPr>
        <w:pStyle w:val="57"/>
        <w:keepNext/>
        <w:keepLines/>
        <w:pageBreakBefore/>
        <w:spacing w:line="440" w:lineRule="exact"/>
        <w:outlineLvl w:val="2"/>
        <w:rPr>
          <w:rFonts w:hint="eastAsia" w:ascii="仿宋" w:hAnsi="仿宋" w:eastAsia="仿宋" w:cs="仿宋"/>
          <w:color w:val="000000" w:themeColor="text1"/>
          <w:sz w:val="24"/>
          <w:szCs w:val="24"/>
          <w:highlight w:val="none"/>
          <w14:textFill>
            <w14:solidFill>
              <w14:schemeClr w14:val="tx1"/>
            </w14:solidFill>
          </w14:textFill>
        </w:rPr>
      </w:pPr>
      <w:bookmarkStart w:id="182" w:name="_Toc9825"/>
      <w:r>
        <w:rPr>
          <w:rFonts w:hint="eastAsia" w:ascii="仿宋" w:hAnsi="仿宋" w:eastAsia="仿宋" w:cs="仿宋"/>
          <w:color w:val="000000" w:themeColor="text1"/>
          <w:sz w:val="24"/>
          <w:szCs w:val="24"/>
          <w:highlight w:val="none"/>
          <w14:textFill>
            <w14:solidFill>
              <w14:schemeClr w14:val="tx1"/>
            </w14:solidFill>
          </w14:textFill>
        </w:rPr>
        <w:t>附件7：</w:t>
      </w:r>
      <w:bookmarkEnd w:id="182"/>
    </w:p>
    <w:p w14:paraId="5C602C46">
      <w:pPr>
        <w:pStyle w:val="57"/>
        <w:spacing w:before="120" w:beforeLines="50" w:after="120" w:afterLines="50"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分包人主要施工管理人员表</w:t>
      </w:r>
    </w:p>
    <w:tbl>
      <w:tblPr>
        <w:tblStyle w:val="24"/>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225ECC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7D9CEAB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名    称</w:t>
            </w:r>
          </w:p>
        </w:tc>
        <w:tc>
          <w:tcPr>
            <w:tcW w:w="1418" w:type="dxa"/>
            <w:tcBorders>
              <w:top w:val="single" w:color="auto" w:sz="12" w:space="0"/>
              <w:bottom w:val="double" w:color="auto" w:sz="6" w:space="0"/>
            </w:tcBorders>
            <w:noWrap w:val="0"/>
            <w:vAlign w:val="center"/>
          </w:tcPr>
          <w:p w14:paraId="2FCF4BF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p>
        </w:tc>
        <w:tc>
          <w:tcPr>
            <w:tcW w:w="1134" w:type="dxa"/>
            <w:tcBorders>
              <w:top w:val="single" w:color="auto" w:sz="12" w:space="0"/>
              <w:bottom w:val="double" w:color="auto" w:sz="6" w:space="0"/>
            </w:tcBorders>
            <w:noWrap w:val="0"/>
            <w:vAlign w:val="center"/>
          </w:tcPr>
          <w:p w14:paraId="4C8342D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职务</w:t>
            </w:r>
          </w:p>
        </w:tc>
        <w:tc>
          <w:tcPr>
            <w:tcW w:w="1134" w:type="dxa"/>
            <w:tcBorders>
              <w:top w:val="single" w:color="auto" w:sz="12" w:space="0"/>
              <w:bottom w:val="double" w:color="auto" w:sz="6" w:space="0"/>
            </w:tcBorders>
            <w:noWrap w:val="0"/>
            <w:vAlign w:val="center"/>
          </w:tcPr>
          <w:p w14:paraId="063A818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职称</w:t>
            </w:r>
          </w:p>
        </w:tc>
        <w:tc>
          <w:tcPr>
            <w:tcW w:w="4252" w:type="dxa"/>
            <w:tcBorders>
              <w:top w:val="single" w:color="auto" w:sz="12" w:space="0"/>
              <w:bottom w:val="double" w:color="auto" w:sz="6" w:space="0"/>
            </w:tcBorders>
            <w:noWrap w:val="0"/>
            <w:vAlign w:val="center"/>
          </w:tcPr>
          <w:p w14:paraId="3B6E979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主要资历、经验及承担过的项目</w:t>
            </w:r>
          </w:p>
        </w:tc>
      </w:tr>
      <w:tr w14:paraId="0CCDEF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3A1DCBB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一、总部人员</w:t>
            </w:r>
          </w:p>
        </w:tc>
      </w:tr>
      <w:tr w14:paraId="60CA4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A17CCF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项目主管</w:t>
            </w:r>
          </w:p>
        </w:tc>
        <w:tc>
          <w:tcPr>
            <w:tcW w:w="1418" w:type="dxa"/>
            <w:tcBorders>
              <w:top w:val="nil"/>
            </w:tcBorders>
            <w:noWrap w:val="0"/>
            <w:vAlign w:val="center"/>
          </w:tcPr>
          <w:p w14:paraId="6E7EB45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tcBorders>
              <w:top w:val="nil"/>
            </w:tcBorders>
            <w:noWrap w:val="0"/>
            <w:vAlign w:val="center"/>
          </w:tcPr>
          <w:p w14:paraId="67E997F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tcBorders>
              <w:top w:val="nil"/>
            </w:tcBorders>
            <w:noWrap w:val="0"/>
            <w:vAlign w:val="center"/>
          </w:tcPr>
          <w:p w14:paraId="3223FC8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252" w:type="dxa"/>
            <w:tcBorders>
              <w:top w:val="nil"/>
            </w:tcBorders>
            <w:noWrap w:val="0"/>
            <w:vAlign w:val="center"/>
          </w:tcPr>
          <w:p w14:paraId="566BFE7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67AD3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2A15F4D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center"/>
          </w:tcPr>
          <w:p w14:paraId="1BBDCAA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10497D3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51C11F6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252" w:type="dxa"/>
            <w:noWrap w:val="0"/>
            <w:vAlign w:val="center"/>
          </w:tcPr>
          <w:p w14:paraId="3A643B6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045CD3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3B9629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其他人员</w:t>
            </w:r>
          </w:p>
        </w:tc>
        <w:tc>
          <w:tcPr>
            <w:tcW w:w="1418" w:type="dxa"/>
            <w:noWrap w:val="0"/>
            <w:vAlign w:val="center"/>
          </w:tcPr>
          <w:p w14:paraId="7694C45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3D7245C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31D22BB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252" w:type="dxa"/>
            <w:noWrap w:val="0"/>
            <w:vAlign w:val="center"/>
          </w:tcPr>
          <w:p w14:paraId="5C6AB6C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5A8B4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53195C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center"/>
          </w:tcPr>
          <w:p w14:paraId="5AFB750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2E81D08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1216724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252" w:type="dxa"/>
            <w:noWrap w:val="0"/>
            <w:vAlign w:val="center"/>
          </w:tcPr>
          <w:p w14:paraId="795CE99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1CEF77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267F8B3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二、现场人员</w:t>
            </w:r>
          </w:p>
        </w:tc>
      </w:tr>
      <w:tr w14:paraId="03AABF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5F22D2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项目经理</w:t>
            </w:r>
          </w:p>
        </w:tc>
        <w:tc>
          <w:tcPr>
            <w:tcW w:w="1418" w:type="dxa"/>
            <w:noWrap w:val="0"/>
            <w:vAlign w:val="center"/>
          </w:tcPr>
          <w:p w14:paraId="0169CA4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34EBCF7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726014C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252" w:type="dxa"/>
            <w:noWrap w:val="0"/>
            <w:vAlign w:val="center"/>
          </w:tcPr>
          <w:p w14:paraId="5896258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6EBD20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BFDE80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项目副经理</w:t>
            </w:r>
          </w:p>
        </w:tc>
        <w:tc>
          <w:tcPr>
            <w:tcW w:w="1418" w:type="dxa"/>
            <w:noWrap w:val="0"/>
            <w:vAlign w:val="center"/>
          </w:tcPr>
          <w:p w14:paraId="6C76449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0919703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741FB5B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252" w:type="dxa"/>
            <w:noWrap w:val="0"/>
            <w:vAlign w:val="center"/>
          </w:tcPr>
          <w:p w14:paraId="6FF9622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5A7F6B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107F44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技术负责人</w:t>
            </w:r>
          </w:p>
        </w:tc>
        <w:tc>
          <w:tcPr>
            <w:tcW w:w="1418" w:type="dxa"/>
            <w:noWrap w:val="0"/>
            <w:vAlign w:val="center"/>
          </w:tcPr>
          <w:p w14:paraId="694648C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0BFD5B9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3AA884D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252" w:type="dxa"/>
            <w:noWrap w:val="0"/>
            <w:vAlign w:val="center"/>
          </w:tcPr>
          <w:p w14:paraId="3AD37F4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54D3A8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E80CEC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造价管理</w:t>
            </w:r>
          </w:p>
        </w:tc>
        <w:tc>
          <w:tcPr>
            <w:tcW w:w="1418" w:type="dxa"/>
            <w:noWrap w:val="0"/>
            <w:vAlign w:val="center"/>
          </w:tcPr>
          <w:p w14:paraId="7E71C9A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4A3D297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172119A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252" w:type="dxa"/>
            <w:noWrap w:val="0"/>
            <w:vAlign w:val="center"/>
          </w:tcPr>
          <w:p w14:paraId="01C0F2B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680C81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647553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质量管理</w:t>
            </w:r>
          </w:p>
        </w:tc>
        <w:tc>
          <w:tcPr>
            <w:tcW w:w="1418" w:type="dxa"/>
            <w:noWrap w:val="0"/>
            <w:vAlign w:val="center"/>
          </w:tcPr>
          <w:p w14:paraId="26F84DD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4B623D6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374F386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252" w:type="dxa"/>
            <w:noWrap w:val="0"/>
            <w:vAlign w:val="center"/>
          </w:tcPr>
          <w:p w14:paraId="1EB34EE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35ECA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27D5EF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材料管理</w:t>
            </w:r>
          </w:p>
        </w:tc>
        <w:tc>
          <w:tcPr>
            <w:tcW w:w="1418" w:type="dxa"/>
            <w:noWrap w:val="0"/>
            <w:vAlign w:val="center"/>
          </w:tcPr>
          <w:p w14:paraId="77986F8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6F09A74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17180A7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252" w:type="dxa"/>
            <w:noWrap w:val="0"/>
            <w:vAlign w:val="center"/>
          </w:tcPr>
          <w:p w14:paraId="52356B4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0E9306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9BC790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计划管理</w:t>
            </w:r>
          </w:p>
        </w:tc>
        <w:tc>
          <w:tcPr>
            <w:tcW w:w="1418" w:type="dxa"/>
            <w:noWrap w:val="0"/>
            <w:vAlign w:val="center"/>
          </w:tcPr>
          <w:p w14:paraId="0B08B8B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548FE8A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566FD6D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252" w:type="dxa"/>
            <w:noWrap w:val="0"/>
            <w:vAlign w:val="center"/>
          </w:tcPr>
          <w:p w14:paraId="1E930D5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36E602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B498ED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安全管理</w:t>
            </w:r>
          </w:p>
        </w:tc>
        <w:tc>
          <w:tcPr>
            <w:tcW w:w="1418" w:type="dxa"/>
            <w:noWrap w:val="0"/>
            <w:vAlign w:val="center"/>
          </w:tcPr>
          <w:p w14:paraId="79233D7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18A4B20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52AA7DA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252" w:type="dxa"/>
            <w:noWrap w:val="0"/>
            <w:vAlign w:val="center"/>
          </w:tcPr>
          <w:p w14:paraId="29E14F2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4DD445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79C0F0E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其他人员</w:t>
            </w:r>
          </w:p>
        </w:tc>
        <w:tc>
          <w:tcPr>
            <w:tcW w:w="1418" w:type="dxa"/>
            <w:noWrap w:val="0"/>
            <w:vAlign w:val="center"/>
          </w:tcPr>
          <w:p w14:paraId="4BEF5AE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0DAB355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046958A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252" w:type="dxa"/>
            <w:noWrap w:val="0"/>
            <w:vAlign w:val="center"/>
          </w:tcPr>
          <w:p w14:paraId="6B1A3B2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5EA284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3EDF35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tcBorders>
              <w:bottom w:val="nil"/>
            </w:tcBorders>
            <w:noWrap w:val="0"/>
            <w:vAlign w:val="center"/>
          </w:tcPr>
          <w:p w14:paraId="17E9ADC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tcBorders>
              <w:bottom w:val="nil"/>
            </w:tcBorders>
            <w:noWrap w:val="0"/>
            <w:vAlign w:val="center"/>
          </w:tcPr>
          <w:p w14:paraId="1F207F3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tcBorders>
              <w:bottom w:val="nil"/>
            </w:tcBorders>
            <w:noWrap w:val="0"/>
            <w:vAlign w:val="center"/>
          </w:tcPr>
          <w:p w14:paraId="0AD87F2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252" w:type="dxa"/>
            <w:tcBorders>
              <w:bottom w:val="nil"/>
            </w:tcBorders>
            <w:noWrap w:val="0"/>
            <w:vAlign w:val="center"/>
          </w:tcPr>
          <w:p w14:paraId="02747A2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4B9437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41A92E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center"/>
          </w:tcPr>
          <w:p w14:paraId="0FEA980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31F1AEE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066A7E7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252" w:type="dxa"/>
            <w:noWrap w:val="0"/>
            <w:vAlign w:val="center"/>
          </w:tcPr>
          <w:p w14:paraId="63E188A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060A7E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9A75B6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center"/>
          </w:tcPr>
          <w:p w14:paraId="5BC48F9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4DF46B5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105609D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252" w:type="dxa"/>
            <w:noWrap w:val="0"/>
            <w:vAlign w:val="center"/>
          </w:tcPr>
          <w:p w14:paraId="0634A73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6E13D4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E5CE01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center"/>
          </w:tcPr>
          <w:p w14:paraId="281762E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5EFB95B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11A6B19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252" w:type="dxa"/>
            <w:noWrap w:val="0"/>
            <w:vAlign w:val="center"/>
          </w:tcPr>
          <w:p w14:paraId="28A27FA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6644F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5F9149C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tcBorders>
              <w:bottom w:val="single" w:color="auto" w:sz="12" w:space="0"/>
            </w:tcBorders>
            <w:noWrap w:val="0"/>
            <w:vAlign w:val="center"/>
          </w:tcPr>
          <w:p w14:paraId="63106B8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tcBorders>
              <w:bottom w:val="single" w:color="auto" w:sz="12" w:space="0"/>
            </w:tcBorders>
            <w:noWrap w:val="0"/>
            <w:vAlign w:val="center"/>
          </w:tcPr>
          <w:p w14:paraId="276A6D1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tcBorders>
              <w:bottom w:val="single" w:color="auto" w:sz="12" w:space="0"/>
            </w:tcBorders>
            <w:noWrap w:val="0"/>
            <w:vAlign w:val="center"/>
          </w:tcPr>
          <w:p w14:paraId="5C2980A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252" w:type="dxa"/>
            <w:tcBorders>
              <w:bottom w:val="single" w:color="auto" w:sz="12" w:space="0"/>
            </w:tcBorders>
            <w:noWrap w:val="0"/>
            <w:vAlign w:val="center"/>
          </w:tcPr>
          <w:p w14:paraId="1341652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bl>
    <w:p w14:paraId="4B474F51">
      <w:pPr>
        <w:pStyle w:val="57"/>
        <w:keepNext/>
        <w:keepLines/>
        <w:pageBreakBefore/>
        <w:spacing w:line="440" w:lineRule="exact"/>
        <w:outlineLvl w:val="2"/>
        <w:rPr>
          <w:rFonts w:hint="eastAsia" w:ascii="仿宋" w:hAnsi="仿宋" w:eastAsia="仿宋" w:cs="仿宋"/>
          <w:color w:val="000000" w:themeColor="text1"/>
          <w:sz w:val="24"/>
          <w:szCs w:val="24"/>
          <w:highlight w:val="none"/>
          <w14:textFill>
            <w14:solidFill>
              <w14:schemeClr w14:val="tx1"/>
            </w14:solidFill>
          </w14:textFill>
        </w:rPr>
      </w:pPr>
      <w:bookmarkStart w:id="183" w:name="_Toc18224"/>
      <w:r>
        <w:rPr>
          <w:rFonts w:hint="eastAsia" w:ascii="仿宋" w:hAnsi="仿宋" w:eastAsia="仿宋" w:cs="仿宋"/>
          <w:color w:val="000000" w:themeColor="text1"/>
          <w:sz w:val="24"/>
          <w:szCs w:val="24"/>
          <w:highlight w:val="none"/>
          <w14:textFill>
            <w14:solidFill>
              <w14:schemeClr w14:val="tx1"/>
            </w14:solidFill>
          </w14:textFill>
        </w:rPr>
        <w:t>附件8：</w:t>
      </w:r>
      <w:bookmarkEnd w:id="183"/>
    </w:p>
    <w:p w14:paraId="2071F40A">
      <w:pPr>
        <w:pStyle w:val="57"/>
        <w:spacing w:before="120" w:beforeLines="50" w:after="120" w:afterLines="50"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履约担保</w:t>
      </w:r>
    </w:p>
    <w:p w14:paraId="7B36D8A4">
      <w:pPr>
        <w:pStyle w:val="57"/>
        <w:spacing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（发包人名称）：</w:t>
      </w:r>
    </w:p>
    <w:p w14:paraId="349FF0E9">
      <w:pPr>
        <w:pStyle w:val="57"/>
        <w:spacing w:line="440" w:lineRule="exact"/>
        <w:rPr>
          <w:rFonts w:hint="eastAsia" w:ascii="仿宋" w:hAnsi="仿宋" w:eastAsia="仿宋" w:cs="仿宋"/>
          <w:color w:val="000000" w:themeColor="text1"/>
          <w:sz w:val="24"/>
          <w:szCs w:val="24"/>
          <w:highlight w:val="none"/>
          <w14:textFill>
            <w14:solidFill>
              <w14:schemeClr w14:val="tx1"/>
            </w14:solidFill>
          </w14:textFill>
        </w:rPr>
      </w:pPr>
    </w:p>
    <w:p w14:paraId="71E42F41">
      <w:pPr>
        <w:pStyle w:val="57"/>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鉴于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（发包人名称，以下简称“发包人”）与</w:t>
      </w:r>
    </w:p>
    <w:p w14:paraId="7C3FE096">
      <w:pPr>
        <w:pStyle w:val="57"/>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（承包人名称）（以下称“承包人”）于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日就</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（工程名称）施工及有关事项协商一致共同签订《建设工程施工合同》。我方愿意无条件地、不可撤销地就承包人履行与你方签订的合同，向你方提供连带责任担保。 </w:t>
      </w:r>
    </w:p>
    <w:p w14:paraId="71CCC9D2">
      <w:pPr>
        <w:pStyle w:val="57"/>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担保金额人民币（大写）</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元（¥</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4327C724">
      <w:pPr>
        <w:pStyle w:val="57"/>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担保有效期自你方与承包人签订的合同生效之日起至你方签发或应签发工程接收证书之日止。</w:t>
      </w:r>
    </w:p>
    <w:p w14:paraId="30C01679">
      <w:pPr>
        <w:pStyle w:val="57"/>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在本担保有效期内，因承包人违反合同约定的义务给你方造成经济损失时，我方在收到你方以书面形式提出的在担保金额内的赔偿要求后，在7天内无条件支付。</w:t>
      </w:r>
    </w:p>
    <w:p w14:paraId="2AFFEF4D">
      <w:pPr>
        <w:pStyle w:val="57"/>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 你方和承包人按合同约定变更合同时，我方承担本担保规定的义务不变。</w:t>
      </w:r>
    </w:p>
    <w:p w14:paraId="6C74C109">
      <w:pPr>
        <w:pStyle w:val="57"/>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 因本保函发生的纠纷，可由双方协商解决，协商不成的，任何一方均可提请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仲裁委员会仲裁。</w:t>
      </w:r>
    </w:p>
    <w:p w14:paraId="036BFD45">
      <w:pPr>
        <w:pStyle w:val="57"/>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 本保函自我方法定代表人（或其授权代理人）签字并加盖公章之日起生效。</w:t>
      </w:r>
    </w:p>
    <w:p w14:paraId="40360ED9">
      <w:pPr>
        <w:pStyle w:val="57"/>
        <w:rPr>
          <w:rFonts w:hint="eastAsia" w:ascii="仿宋" w:hAnsi="仿宋" w:eastAsia="仿宋" w:cs="仿宋"/>
          <w:color w:val="000000" w:themeColor="text1"/>
          <w:sz w:val="24"/>
          <w:szCs w:val="24"/>
          <w:highlight w:val="none"/>
          <w14:textFill>
            <w14:solidFill>
              <w14:schemeClr w14:val="tx1"/>
            </w14:solidFill>
          </w14:textFill>
        </w:rPr>
      </w:pPr>
    </w:p>
    <w:p w14:paraId="3ECEE1C1">
      <w:pPr>
        <w:pStyle w:val="57"/>
        <w:spacing w:line="360" w:lineRule="auto"/>
        <w:ind w:firstLine="1200" w:firstLineChars="5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担 保 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（盖单位章）</w:t>
      </w:r>
    </w:p>
    <w:p w14:paraId="6B3DE456">
      <w:pPr>
        <w:pStyle w:val="57"/>
        <w:spacing w:line="360" w:lineRule="auto"/>
        <w:ind w:firstLine="1200" w:firstLineChars="5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法定代表人或其委托代理人：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（签字）</w:t>
      </w:r>
    </w:p>
    <w:p w14:paraId="6FC5BE5B">
      <w:pPr>
        <w:pStyle w:val="57"/>
        <w:spacing w:line="360" w:lineRule="auto"/>
        <w:ind w:firstLine="1200" w:firstLineChars="5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    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4678CF4A">
      <w:pPr>
        <w:pStyle w:val="57"/>
        <w:spacing w:line="360" w:lineRule="auto"/>
        <w:ind w:firstLine="1200" w:firstLineChars="5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邮政编码：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59CE91F5">
      <w:pPr>
        <w:pStyle w:val="57"/>
        <w:spacing w:line="360" w:lineRule="auto"/>
        <w:ind w:firstLine="1200" w:firstLineChars="500"/>
        <w:jc w:val="lef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2AB9AF86">
      <w:pPr>
        <w:pStyle w:val="57"/>
        <w:spacing w:line="360" w:lineRule="auto"/>
        <w:ind w:firstLine="1200" w:firstLineChars="5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    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38D9CFDD">
      <w:pPr>
        <w:pStyle w:val="57"/>
        <w:rPr>
          <w:rFonts w:hint="eastAsia" w:ascii="仿宋" w:hAnsi="仿宋" w:eastAsia="仿宋" w:cs="仿宋"/>
          <w:color w:val="000000" w:themeColor="text1"/>
          <w:sz w:val="24"/>
          <w:szCs w:val="24"/>
          <w:highlight w:val="none"/>
          <w14:textFill>
            <w14:solidFill>
              <w14:schemeClr w14:val="tx1"/>
            </w14:solidFill>
          </w14:textFill>
        </w:rPr>
      </w:pPr>
    </w:p>
    <w:p w14:paraId="73540D87">
      <w:pPr>
        <w:spacing w:before="290" w:line="410" w:lineRule="auto"/>
        <w:ind w:right="137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p>
    <w:p w14:paraId="4E412CF6">
      <w:pPr>
        <w:pStyle w:val="57"/>
        <w:keepNext/>
        <w:keepLines/>
        <w:pageBreakBefore/>
        <w:spacing w:line="360" w:lineRule="auto"/>
        <w:outlineLvl w:val="2"/>
        <w:rPr>
          <w:rFonts w:hint="eastAsia" w:ascii="仿宋" w:hAnsi="仿宋" w:eastAsia="仿宋" w:cs="仿宋"/>
          <w:color w:val="000000" w:themeColor="text1"/>
          <w:sz w:val="24"/>
          <w:szCs w:val="24"/>
          <w:highlight w:val="none"/>
          <w14:textFill>
            <w14:solidFill>
              <w14:schemeClr w14:val="tx1"/>
            </w14:solidFill>
          </w14:textFill>
        </w:rPr>
      </w:pPr>
      <w:bookmarkStart w:id="184" w:name="_Toc13773"/>
      <w:r>
        <w:rPr>
          <w:rFonts w:hint="eastAsia" w:ascii="仿宋" w:hAnsi="仿宋" w:eastAsia="仿宋" w:cs="仿宋"/>
          <w:color w:val="000000" w:themeColor="text1"/>
          <w:sz w:val="24"/>
          <w:szCs w:val="24"/>
          <w:highlight w:val="none"/>
          <w14:textFill>
            <w14:solidFill>
              <w14:schemeClr w14:val="tx1"/>
            </w14:solidFill>
          </w14:textFill>
        </w:rPr>
        <w:t>附件9 ：</w:t>
      </w:r>
      <w:bookmarkEnd w:id="184"/>
    </w:p>
    <w:p w14:paraId="2C00AAA9">
      <w:pPr>
        <w:pStyle w:val="57"/>
        <w:spacing w:before="120" w:beforeLines="50" w:after="120" w:afterLines="50"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预付款担保</w:t>
      </w:r>
    </w:p>
    <w:p w14:paraId="21B0C7BC">
      <w:pPr>
        <w:pStyle w:val="57"/>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（发包人名称）：</w:t>
      </w:r>
    </w:p>
    <w:p w14:paraId="77549DD0">
      <w:pPr>
        <w:pStyle w:val="57"/>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64418FD3">
      <w:pPr>
        <w:pStyle w:val="57"/>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（承包人名称）（以下称“承包人”）与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（发包人名称）（以下简称“发包人”）</w:t>
      </w:r>
    </w:p>
    <w:p w14:paraId="0143F85C">
      <w:pPr>
        <w:pStyle w:val="57"/>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日签订的</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（工程名称）《建设工程施工合同》，承包人按约定的金额向你方提交一份预付款担保，即有权得到你方支付相等金额的预付款。我方愿意就你方提供给承包人的预付款为承包人提供连带责任担保。</w:t>
      </w:r>
    </w:p>
    <w:p w14:paraId="69B34354">
      <w:pPr>
        <w:pStyle w:val="57"/>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担保金额人民币（大写）</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元（¥</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3FFF00A8">
      <w:pPr>
        <w:pStyle w:val="57"/>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担保有效期自预付款支付给承包人起生效，至你方签发的进度款支付证书说明已完全扣清止。</w:t>
      </w:r>
    </w:p>
    <w:p w14:paraId="66C36480">
      <w:pPr>
        <w:pStyle w:val="57"/>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2BCE1B2A">
      <w:pPr>
        <w:pStyle w:val="57"/>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 你方和承包人按合同约定变更合同时，我方承担本保函规定的义务不变。</w:t>
      </w:r>
    </w:p>
    <w:p w14:paraId="17B61A2F">
      <w:pPr>
        <w:pStyle w:val="57"/>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 因本保函发生的纠纷，可由双方协商解决，协商不成的，任何一方均可提请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仲裁委员会仲裁。</w:t>
      </w:r>
    </w:p>
    <w:p w14:paraId="672667D5">
      <w:pPr>
        <w:pStyle w:val="57"/>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 本保函自我方法定代表人（或其授权代理人）签字并加盖公章之日起生效。</w:t>
      </w:r>
    </w:p>
    <w:p w14:paraId="3C232F02">
      <w:pPr>
        <w:pStyle w:val="57"/>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7BE48ABA">
      <w:pPr>
        <w:pStyle w:val="57"/>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11ADEAE5">
      <w:pPr>
        <w:pStyle w:val="57"/>
        <w:spacing w:line="360" w:lineRule="auto"/>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担保人：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（盖单位章）</w:t>
      </w:r>
    </w:p>
    <w:p w14:paraId="1173865D">
      <w:pPr>
        <w:pStyle w:val="57"/>
        <w:spacing w:line="360" w:lineRule="auto"/>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法定代表人或其委托代理人：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（签字）</w:t>
      </w:r>
    </w:p>
    <w:p w14:paraId="51A78436">
      <w:pPr>
        <w:pStyle w:val="57"/>
        <w:spacing w:line="360" w:lineRule="auto"/>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    址：</w:t>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p>
    <w:p w14:paraId="0BDFD962">
      <w:pPr>
        <w:pStyle w:val="57"/>
        <w:spacing w:line="360" w:lineRule="auto"/>
        <w:jc w:val="righ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邮政编码：</w:t>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p>
    <w:p w14:paraId="22950CC7">
      <w:pPr>
        <w:pStyle w:val="57"/>
        <w:spacing w:line="360" w:lineRule="auto"/>
        <w:jc w:val="righ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w:t>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p>
    <w:p w14:paraId="0326BC46">
      <w:pPr>
        <w:pStyle w:val="57"/>
        <w:spacing w:line="360" w:lineRule="auto"/>
        <w:jc w:val="righ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    真：</w:t>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ab/>
      </w:r>
    </w:p>
    <w:p w14:paraId="03A7E129">
      <w:pPr>
        <w:pStyle w:val="57"/>
        <w:spacing w:line="360" w:lineRule="auto"/>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1A274238">
      <w:pPr>
        <w:pStyle w:val="57"/>
        <w:spacing w:line="360" w:lineRule="auto"/>
        <w:jc w:val="right"/>
        <w:rPr>
          <w:rFonts w:hint="eastAsia" w:ascii="仿宋" w:hAnsi="仿宋" w:eastAsia="仿宋" w:cs="仿宋"/>
          <w:color w:val="000000" w:themeColor="text1"/>
          <w:sz w:val="24"/>
          <w:szCs w:val="24"/>
          <w:highlight w:val="none"/>
          <w:u w:val="single"/>
          <w14:textFill>
            <w14:solidFill>
              <w14:schemeClr w14:val="tx1"/>
            </w14:solidFill>
          </w14:textFill>
        </w:rPr>
      </w:pPr>
    </w:p>
    <w:p w14:paraId="6F1A6A34">
      <w:pPr>
        <w:pStyle w:val="57"/>
        <w:spacing w:line="360" w:lineRule="auto"/>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p>
    <w:p w14:paraId="5CF664EF">
      <w:pPr>
        <w:pStyle w:val="57"/>
        <w:keepNext/>
        <w:keepLines/>
        <w:pageBreakBefore/>
        <w:spacing w:line="440" w:lineRule="exact"/>
        <w:outlineLvl w:val="2"/>
        <w:rPr>
          <w:rFonts w:hint="eastAsia" w:ascii="仿宋" w:hAnsi="仿宋" w:eastAsia="仿宋" w:cs="仿宋"/>
          <w:color w:val="000000" w:themeColor="text1"/>
          <w:sz w:val="24"/>
          <w:szCs w:val="24"/>
          <w:highlight w:val="none"/>
          <w14:textFill>
            <w14:solidFill>
              <w14:schemeClr w14:val="tx1"/>
            </w14:solidFill>
          </w14:textFill>
        </w:rPr>
      </w:pPr>
      <w:bookmarkStart w:id="185" w:name="_Toc13256"/>
      <w:r>
        <w:rPr>
          <w:rFonts w:hint="eastAsia" w:ascii="仿宋" w:hAnsi="仿宋" w:eastAsia="仿宋" w:cs="仿宋"/>
          <w:color w:val="000000" w:themeColor="text1"/>
          <w:sz w:val="24"/>
          <w:szCs w:val="24"/>
          <w:highlight w:val="none"/>
          <w14:textFill>
            <w14:solidFill>
              <w14:schemeClr w14:val="tx1"/>
            </w14:solidFill>
          </w14:textFill>
        </w:rPr>
        <w:t>附件10:</w:t>
      </w:r>
      <w:bookmarkEnd w:id="185"/>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34AA622F">
      <w:pPr>
        <w:pStyle w:val="57"/>
        <w:spacing w:before="120" w:beforeLines="50" w:after="120" w:afterLines="50"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支付担保</w:t>
      </w:r>
    </w:p>
    <w:p w14:paraId="3F894FD9">
      <w:pPr>
        <w:pStyle w:val="57"/>
        <w:spacing w:line="440" w:lineRule="exac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（承包人）：</w:t>
      </w:r>
    </w:p>
    <w:p w14:paraId="54882BB8">
      <w:pPr>
        <w:pStyle w:val="57"/>
        <w:rPr>
          <w:rFonts w:hint="eastAsia" w:ascii="仿宋" w:hAnsi="仿宋" w:eastAsia="仿宋" w:cs="仿宋"/>
          <w:color w:val="000000" w:themeColor="text1"/>
          <w:sz w:val="24"/>
          <w:szCs w:val="24"/>
          <w:highlight w:val="none"/>
          <w14:textFill>
            <w14:solidFill>
              <w14:schemeClr w14:val="tx1"/>
            </w14:solidFill>
          </w14:textFill>
        </w:rPr>
      </w:pPr>
    </w:p>
    <w:p w14:paraId="40670599">
      <w:pPr>
        <w:pStyle w:val="57"/>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鉴于你方作为承包人已经与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（发包人名称）（以下称“发包人”）于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日签订了</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（工程名称）《建设工程施工合同》（以下称“主合同”），应发包人的申请，我方愿就发包人履行主合同约定的工程款支付义务以保证的方式向你方提供如下担保：</w:t>
      </w:r>
    </w:p>
    <w:p w14:paraId="45DD0154">
      <w:pPr>
        <w:pStyle w:val="57"/>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一、保证的范围及保证金额</w:t>
      </w:r>
    </w:p>
    <w:p w14:paraId="52587B09">
      <w:pPr>
        <w:pStyle w:val="57"/>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我方的保证范围是主合同约定的工程款。</w:t>
      </w:r>
    </w:p>
    <w:p w14:paraId="5E255078">
      <w:pPr>
        <w:pStyle w:val="57"/>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本保函所称主合同约定的工程款是指主合同约定的除工程质量保证金以外的合同价款。</w:t>
      </w:r>
    </w:p>
    <w:p w14:paraId="406F17AA">
      <w:pPr>
        <w:pStyle w:val="57"/>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我方保证的金额是主合同约定的工程款的</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%，数额最高不超过人民币元（大写：</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65F53687">
      <w:pPr>
        <w:pStyle w:val="57"/>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二、保证的方式及保证期间</w:t>
      </w:r>
    </w:p>
    <w:p w14:paraId="5CD29290">
      <w:pPr>
        <w:pStyle w:val="57"/>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我方保证的方式为：连带责任保证。</w:t>
      </w:r>
    </w:p>
    <w:p w14:paraId="46ED9B2F">
      <w:pPr>
        <w:pStyle w:val="57"/>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我方保证的期间为：自本合同生效之日起至主合同约定的工程款支付完毕之日后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日内。</w:t>
      </w:r>
    </w:p>
    <w:p w14:paraId="07D415C7">
      <w:pPr>
        <w:pStyle w:val="57"/>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你方与发包人协议变更工程款支付日期的，经我方书面同意后，保证期间按照变更后的支付日期做相应调整。</w:t>
      </w:r>
    </w:p>
    <w:p w14:paraId="13D4E48A">
      <w:pPr>
        <w:pStyle w:val="57"/>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三、承担保证责任的形式</w:t>
      </w:r>
    </w:p>
    <w:p w14:paraId="2CD85377">
      <w:pPr>
        <w:pStyle w:val="57"/>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我方承担保证责任的形式是代为支付。发包人未按主合同约定向你方支付工程款的，由我方在保证金额内代为支付。</w:t>
      </w:r>
    </w:p>
    <w:p w14:paraId="041AEF9F">
      <w:pPr>
        <w:pStyle w:val="57"/>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四、代偿的安排</w:t>
      </w:r>
    </w:p>
    <w:p w14:paraId="4527D1E4">
      <w:pPr>
        <w:pStyle w:val="57"/>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你方要求我方承担保证责任的，应向我方发出书面索赔通知及发包人未支付主合同约定工程款的证明材料。索赔通知应写明要求索赔的金额，支付款项应到达的账号。</w:t>
      </w:r>
    </w:p>
    <w:p w14:paraId="02BE7DCD">
      <w:pPr>
        <w:pStyle w:val="57"/>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在出现你方与发包人因工程质量发生争议，发包人拒绝向你方支付工程款的情形时，你方要求我方履行保证责任代为支付的，需提供符合相应条件要求的工程质量检测机构出具的质量说明材料。</w:t>
      </w:r>
    </w:p>
    <w:p w14:paraId="693C0103">
      <w:pPr>
        <w:pStyle w:val="57"/>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我方收到你方的书面索赔通知及相应的证明材料后７天内无条件支付。</w:t>
      </w:r>
    </w:p>
    <w:p w14:paraId="710B8AD7">
      <w:pPr>
        <w:pStyle w:val="57"/>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五、保证责任的解除</w:t>
      </w:r>
    </w:p>
    <w:p w14:paraId="004EF106">
      <w:pPr>
        <w:pStyle w:val="57"/>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在本保函承诺的保证期间内，你方未书面向我方主张保证责任的，自保证期间届满次日起，我方保证责任解除。</w:t>
      </w:r>
    </w:p>
    <w:p w14:paraId="4D32BFA3">
      <w:pPr>
        <w:pStyle w:val="57"/>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发包人按主合同约定履行了工程款的全部支付义务的，自本保函承诺的保证期间届满次日起，我方保证责任解除。</w:t>
      </w:r>
    </w:p>
    <w:p w14:paraId="01200049">
      <w:pPr>
        <w:pStyle w:val="57"/>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我方按照本保函向你方履行保证责任所支付金额达到本保函保证金额时，自我方向你方支付（支付款项从我方账户划出）之日起，保证责任即解除。</w:t>
      </w:r>
    </w:p>
    <w:p w14:paraId="789E3982">
      <w:pPr>
        <w:pStyle w:val="57"/>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 按照法律法规的规定或出现应解除我方保证责任的其他情形的，我方在本保函项下的保证责任亦解除。</w:t>
      </w:r>
    </w:p>
    <w:p w14:paraId="76DBDEE3">
      <w:pPr>
        <w:pStyle w:val="57"/>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 我方解除保证责任后，你方应自我方保证责任解除之日起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个工作日内，将本保函原件返还我方。</w:t>
      </w:r>
    </w:p>
    <w:p w14:paraId="24A558F2">
      <w:pPr>
        <w:pStyle w:val="57"/>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六、免责条款</w:t>
      </w:r>
    </w:p>
    <w:p w14:paraId="49759195">
      <w:pPr>
        <w:pStyle w:val="57"/>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因你方违约致使发包人不能履行义务的，我方不承担保证责任。</w:t>
      </w:r>
    </w:p>
    <w:p w14:paraId="6FAAD405">
      <w:pPr>
        <w:pStyle w:val="57"/>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依照法律法规的规定或你方与发包人的另行约定，免除发包人部分或全部义务的，我方亦免除其相应的保证责任。</w:t>
      </w:r>
    </w:p>
    <w:p w14:paraId="4458C0FC">
      <w:pPr>
        <w:pStyle w:val="57"/>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你方与发包人协议变更主合同的，如加重发包人责任致使我方保证责任加重的，需征得我方书面同意，否则我方不再承担因此而加重部分的保证责任，但主合同第10条〔变更〕约定的变更不受本款限制。</w:t>
      </w:r>
    </w:p>
    <w:p w14:paraId="5DA5CA63">
      <w:pPr>
        <w:pStyle w:val="57"/>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 因不可抗力造成发包人不能履行义务的，我方不承担保证责任。</w:t>
      </w:r>
    </w:p>
    <w:p w14:paraId="255FF94D">
      <w:pPr>
        <w:pStyle w:val="57"/>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七、争议解决</w:t>
      </w:r>
    </w:p>
    <w:p w14:paraId="590AE7C6">
      <w:pPr>
        <w:pStyle w:val="57"/>
        <w:spacing w:after="120"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因本保函或本保函相关事项发生的纠纷，可由双方协商解决，协商不成的，按下列第</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种方式解决：</w:t>
      </w:r>
    </w:p>
    <w:p w14:paraId="227FDB95">
      <w:pPr>
        <w:pStyle w:val="57"/>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（1）向</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仲裁委员会申请仲裁；</w:t>
      </w:r>
    </w:p>
    <w:p w14:paraId="2B0A334B">
      <w:pPr>
        <w:pStyle w:val="57"/>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（2）向</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人民法院起诉。</w:t>
      </w:r>
    </w:p>
    <w:p w14:paraId="6CF36EF5">
      <w:pPr>
        <w:pStyle w:val="57"/>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八、保函的生效</w:t>
      </w:r>
    </w:p>
    <w:p w14:paraId="0D9C538A">
      <w:pPr>
        <w:pStyle w:val="57"/>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本保函自我方法定代表人（或其授权代理人）签字并加盖公章之日起生效。</w:t>
      </w:r>
    </w:p>
    <w:p w14:paraId="7CEDA5A4">
      <w:pPr>
        <w:pStyle w:val="57"/>
        <w:rPr>
          <w:rFonts w:hint="eastAsia" w:ascii="仿宋" w:hAnsi="仿宋" w:eastAsia="仿宋" w:cs="仿宋"/>
          <w:color w:val="000000" w:themeColor="text1"/>
          <w:sz w:val="24"/>
          <w:szCs w:val="24"/>
          <w:highlight w:val="none"/>
          <w14:textFill>
            <w14:solidFill>
              <w14:schemeClr w14:val="tx1"/>
            </w14:solidFill>
          </w14:textFill>
        </w:rPr>
      </w:pPr>
    </w:p>
    <w:p w14:paraId="498C5493">
      <w:pPr>
        <w:pStyle w:val="57"/>
        <w:spacing w:line="360" w:lineRule="auto"/>
        <w:ind w:right="6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担保人：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（盖章）</w:t>
      </w:r>
    </w:p>
    <w:p w14:paraId="5DB75C5F">
      <w:pPr>
        <w:pStyle w:val="57"/>
        <w:spacing w:line="360" w:lineRule="auto"/>
        <w:ind w:right="1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法定代表人或委托代理人：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（签字）</w:t>
      </w:r>
    </w:p>
    <w:p w14:paraId="17A907CC">
      <w:pPr>
        <w:pStyle w:val="57"/>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    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3697C54D">
      <w:pPr>
        <w:pStyle w:val="57"/>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邮政编码：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1A74753F">
      <w:pPr>
        <w:pStyle w:val="57"/>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    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48AA1780">
      <w:pPr>
        <w:pStyle w:val="57"/>
        <w:rPr>
          <w:rFonts w:hint="eastAsia" w:ascii="仿宋" w:hAnsi="仿宋" w:eastAsia="仿宋" w:cs="仿宋"/>
          <w:color w:val="000000" w:themeColor="text1"/>
          <w:sz w:val="24"/>
          <w:szCs w:val="24"/>
          <w:highlight w:val="none"/>
          <w14:textFill>
            <w14:solidFill>
              <w14:schemeClr w14:val="tx1"/>
            </w14:solidFill>
          </w14:textFill>
        </w:rPr>
      </w:pPr>
    </w:p>
    <w:p w14:paraId="40E12A4B">
      <w:pPr>
        <w:pStyle w:val="57"/>
        <w:spacing w:line="360" w:lineRule="auto"/>
        <w:ind w:right="15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p>
    <w:p w14:paraId="5B7772F8">
      <w:pPr>
        <w:pStyle w:val="57"/>
        <w:keepNext/>
        <w:keepLines/>
        <w:pageBreakBefore/>
        <w:spacing w:line="440" w:lineRule="exact"/>
        <w:outlineLvl w:val="2"/>
        <w:rPr>
          <w:rFonts w:hint="eastAsia" w:ascii="仿宋" w:hAnsi="仿宋" w:eastAsia="仿宋" w:cs="仿宋"/>
          <w:color w:val="000000" w:themeColor="text1"/>
          <w:sz w:val="24"/>
          <w:szCs w:val="24"/>
          <w:highlight w:val="none"/>
          <w14:textFill>
            <w14:solidFill>
              <w14:schemeClr w14:val="tx1"/>
            </w14:solidFill>
          </w14:textFill>
        </w:rPr>
      </w:pPr>
      <w:bookmarkStart w:id="186" w:name="_Toc26003"/>
      <w:r>
        <w:rPr>
          <w:rFonts w:hint="eastAsia" w:ascii="仿宋" w:hAnsi="仿宋" w:eastAsia="仿宋" w:cs="仿宋"/>
          <w:color w:val="000000" w:themeColor="text1"/>
          <w:sz w:val="24"/>
          <w:szCs w:val="24"/>
          <w:highlight w:val="none"/>
          <w14:textFill>
            <w14:solidFill>
              <w14:schemeClr w14:val="tx1"/>
            </w14:solidFill>
          </w14:textFill>
        </w:rPr>
        <w:t>附件11：</w:t>
      </w:r>
      <w:bookmarkEnd w:id="186"/>
    </w:p>
    <w:p w14:paraId="6D419D11">
      <w:pPr>
        <w:pStyle w:val="57"/>
        <w:spacing w:before="120" w:beforeLines="50" w:after="120" w:afterLines="50"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11-1：材料暂估价表</w:t>
      </w:r>
    </w:p>
    <w:tbl>
      <w:tblPr>
        <w:tblStyle w:val="24"/>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0E239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01F0B15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1984" w:type="dxa"/>
            <w:tcBorders>
              <w:top w:val="single" w:color="auto" w:sz="12" w:space="0"/>
              <w:bottom w:val="double" w:color="auto" w:sz="6" w:space="0"/>
            </w:tcBorders>
            <w:noWrap w:val="0"/>
            <w:vAlign w:val="top"/>
          </w:tcPr>
          <w:p w14:paraId="2F871B6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名称</w:t>
            </w:r>
          </w:p>
        </w:tc>
        <w:tc>
          <w:tcPr>
            <w:tcW w:w="851" w:type="dxa"/>
            <w:tcBorders>
              <w:top w:val="single" w:color="auto" w:sz="12" w:space="0"/>
              <w:bottom w:val="double" w:color="auto" w:sz="6" w:space="0"/>
            </w:tcBorders>
            <w:noWrap w:val="0"/>
            <w:vAlign w:val="top"/>
          </w:tcPr>
          <w:p w14:paraId="5F1D259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w:t>
            </w:r>
          </w:p>
        </w:tc>
        <w:tc>
          <w:tcPr>
            <w:tcW w:w="774" w:type="dxa"/>
            <w:tcBorders>
              <w:top w:val="single" w:color="auto" w:sz="12" w:space="0"/>
              <w:bottom w:val="double" w:color="auto" w:sz="6" w:space="0"/>
            </w:tcBorders>
            <w:noWrap w:val="0"/>
            <w:vAlign w:val="top"/>
          </w:tcPr>
          <w:p w14:paraId="10CC32C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数量</w:t>
            </w:r>
          </w:p>
        </w:tc>
        <w:tc>
          <w:tcPr>
            <w:tcW w:w="1352" w:type="dxa"/>
            <w:tcBorders>
              <w:top w:val="single" w:color="auto" w:sz="12" w:space="0"/>
              <w:bottom w:val="double" w:color="auto" w:sz="6" w:space="0"/>
            </w:tcBorders>
            <w:noWrap w:val="0"/>
            <w:vAlign w:val="top"/>
          </w:tcPr>
          <w:p w14:paraId="1401289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单价（元）</w:t>
            </w:r>
          </w:p>
        </w:tc>
        <w:tc>
          <w:tcPr>
            <w:tcW w:w="1418" w:type="dxa"/>
            <w:tcBorders>
              <w:top w:val="single" w:color="auto" w:sz="12" w:space="0"/>
              <w:bottom w:val="double" w:color="auto" w:sz="6" w:space="0"/>
            </w:tcBorders>
            <w:noWrap w:val="0"/>
            <w:vAlign w:val="top"/>
          </w:tcPr>
          <w:p w14:paraId="63595EF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合价（元）</w:t>
            </w:r>
          </w:p>
        </w:tc>
        <w:tc>
          <w:tcPr>
            <w:tcW w:w="1701" w:type="dxa"/>
            <w:tcBorders>
              <w:top w:val="single" w:color="auto" w:sz="12" w:space="0"/>
              <w:bottom w:val="double" w:color="auto" w:sz="6" w:space="0"/>
            </w:tcBorders>
            <w:noWrap w:val="0"/>
            <w:vAlign w:val="top"/>
          </w:tcPr>
          <w:p w14:paraId="6981C56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14:paraId="00A71C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599BA6D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tcBorders>
              <w:top w:val="double" w:color="auto" w:sz="6" w:space="0"/>
              <w:bottom w:val="single" w:color="auto" w:sz="6" w:space="0"/>
            </w:tcBorders>
            <w:noWrap w:val="0"/>
            <w:vAlign w:val="top"/>
          </w:tcPr>
          <w:p w14:paraId="0DCA79C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tcBorders>
              <w:top w:val="double" w:color="auto" w:sz="6" w:space="0"/>
              <w:bottom w:val="single" w:color="auto" w:sz="6" w:space="0"/>
            </w:tcBorders>
            <w:noWrap w:val="0"/>
            <w:vAlign w:val="top"/>
          </w:tcPr>
          <w:p w14:paraId="347FD7D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tcBorders>
              <w:top w:val="double" w:color="auto" w:sz="6" w:space="0"/>
              <w:bottom w:val="single" w:color="auto" w:sz="6" w:space="0"/>
            </w:tcBorders>
            <w:noWrap w:val="0"/>
            <w:vAlign w:val="top"/>
          </w:tcPr>
          <w:p w14:paraId="2D6C234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tcBorders>
              <w:top w:val="double" w:color="auto" w:sz="6" w:space="0"/>
              <w:bottom w:val="single" w:color="auto" w:sz="6" w:space="0"/>
            </w:tcBorders>
            <w:noWrap w:val="0"/>
            <w:vAlign w:val="top"/>
          </w:tcPr>
          <w:p w14:paraId="3A06699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tcBorders>
              <w:top w:val="double" w:color="auto" w:sz="6" w:space="0"/>
              <w:bottom w:val="single" w:color="auto" w:sz="6" w:space="0"/>
            </w:tcBorders>
            <w:noWrap w:val="0"/>
            <w:vAlign w:val="top"/>
          </w:tcPr>
          <w:p w14:paraId="6C474A5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tcBorders>
              <w:top w:val="double" w:color="auto" w:sz="6" w:space="0"/>
              <w:bottom w:val="single" w:color="auto" w:sz="6" w:space="0"/>
            </w:tcBorders>
            <w:noWrap w:val="0"/>
            <w:vAlign w:val="top"/>
          </w:tcPr>
          <w:p w14:paraId="7A32ECA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231CF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3E7AD87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tcBorders>
              <w:top w:val="nil"/>
            </w:tcBorders>
            <w:noWrap w:val="0"/>
            <w:vAlign w:val="top"/>
          </w:tcPr>
          <w:p w14:paraId="742AF27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tcBorders>
              <w:top w:val="nil"/>
            </w:tcBorders>
            <w:noWrap w:val="0"/>
            <w:vAlign w:val="top"/>
          </w:tcPr>
          <w:p w14:paraId="0BABA58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tcBorders>
              <w:top w:val="nil"/>
            </w:tcBorders>
            <w:noWrap w:val="0"/>
            <w:vAlign w:val="top"/>
          </w:tcPr>
          <w:p w14:paraId="3FB7FEA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tcBorders>
              <w:top w:val="nil"/>
            </w:tcBorders>
            <w:noWrap w:val="0"/>
            <w:vAlign w:val="top"/>
          </w:tcPr>
          <w:p w14:paraId="4A62333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tcBorders>
              <w:top w:val="nil"/>
            </w:tcBorders>
            <w:noWrap w:val="0"/>
            <w:vAlign w:val="top"/>
          </w:tcPr>
          <w:p w14:paraId="0E592A8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tcBorders>
              <w:top w:val="nil"/>
            </w:tcBorders>
            <w:noWrap w:val="0"/>
            <w:vAlign w:val="top"/>
          </w:tcPr>
          <w:p w14:paraId="53D9356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2EC19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43CEEF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6D6DE23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0EA119E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249ED2F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42F89DD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0971EC4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3FCF9B3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2FE786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3F23E8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1678899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034029F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0E41C0D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42EBBB4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75DCEFB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2509C4C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1A713F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078368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0AF8668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790D832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6BCCF81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6D04235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0156FC3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6255D12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5A986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57B3EE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0797512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47B289A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512D76D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7443F1D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5B7ED17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0D828A6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4EC65B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AD8679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54FBCAB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67C8A0A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63770AE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0D6419C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2B46587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530D7E9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29F35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CCE785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14C6A9B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3CE1D26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68F4FF8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5A1B92F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3A29E28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7E83968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67F774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404581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7995F0D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0BB6FBB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3343845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0603D11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2A144AD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342650D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682B04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96C239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014888A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7876907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762DCC0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2FF75C8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7DB47DA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4237241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6BFC90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B613FC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5535A75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4053F1D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43DEAC6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1CBA10A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0E5B4D3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4BE5836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7BCCE5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4163F9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0D12121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4B7513A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048931F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4A7D2B3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7C095E0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4DC7597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74CFC3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C22815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6A94D6F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223AF67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7B90A85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2626418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6178081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259DF77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704892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BD0236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289F2A9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130D818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08916CA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4E0458A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14B9C9D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5ECFAA6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3F389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CBA987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5FB54FC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38BAFE9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438B486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46F65DF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42128F5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3238DC0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602AC9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F87BD8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0BA2FCE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50084F8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3F25E7F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60AA742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6EC3160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261EC4F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052BA5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0C4113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49F585D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41E7D3D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1145920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31D61BE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4C228D3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105747C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13503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59D0DC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6305278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56FA0B2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6CCFB83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09EAE7E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3AD2DEA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2220234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5CF61A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E8FFEC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56643DB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08C9603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6D6DCB3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7D2889F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024094A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70FF7A9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208082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EE3636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74D9CAA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7503F8D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6AFD4FD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1653D89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5422C88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16C81AB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0D5C03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8B37B6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2AFB02B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0CA0193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70BD2BF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471B221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266F965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3A8E0BD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7B48AB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9B46B6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7FDC126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3F89E31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362A87C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14B9FBA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30D4C85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3AA444B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5D9C5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D7C098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6E19F9F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697E23B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763CCD4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77C3A15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27415A0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27E81B0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7CD45F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F232B3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5C586FA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71D92F9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39603FE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21FEDD5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65C7F28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2F90E55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1FF5D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6FC6AD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519F147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2F8637E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4A07B71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4DFDC68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0086C80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5F9F3C8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bl>
    <w:p w14:paraId="48C7B469">
      <w:pPr>
        <w:pStyle w:val="57"/>
        <w:keepNext/>
        <w:keepLines/>
        <w:pageBreakBefore/>
        <w:spacing w:before="120" w:beforeLines="50" w:after="120" w:afterLines="50"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11-2：工程设备暂估价表</w:t>
      </w:r>
    </w:p>
    <w:tbl>
      <w:tblPr>
        <w:tblStyle w:val="24"/>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CE83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33D9286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1984" w:type="dxa"/>
            <w:tcBorders>
              <w:top w:val="single" w:color="auto" w:sz="12" w:space="0"/>
              <w:bottom w:val="double" w:color="auto" w:sz="6" w:space="0"/>
            </w:tcBorders>
            <w:noWrap w:val="0"/>
            <w:vAlign w:val="top"/>
          </w:tcPr>
          <w:p w14:paraId="555455F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名称</w:t>
            </w:r>
          </w:p>
        </w:tc>
        <w:tc>
          <w:tcPr>
            <w:tcW w:w="851" w:type="dxa"/>
            <w:tcBorders>
              <w:top w:val="single" w:color="auto" w:sz="12" w:space="0"/>
              <w:bottom w:val="double" w:color="auto" w:sz="6" w:space="0"/>
            </w:tcBorders>
            <w:noWrap w:val="0"/>
            <w:vAlign w:val="top"/>
          </w:tcPr>
          <w:p w14:paraId="6CDF9BC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w:t>
            </w:r>
          </w:p>
        </w:tc>
        <w:tc>
          <w:tcPr>
            <w:tcW w:w="774" w:type="dxa"/>
            <w:tcBorders>
              <w:top w:val="single" w:color="auto" w:sz="12" w:space="0"/>
              <w:bottom w:val="double" w:color="auto" w:sz="6" w:space="0"/>
            </w:tcBorders>
            <w:noWrap w:val="0"/>
            <w:vAlign w:val="top"/>
          </w:tcPr>
          <w:p w14:paraId="177917A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数量</w:t>
            </w:r>
          </w:p>
        </w:tc>
        <w:tc>
          <w:tcPr>
            <w:tcW w:w="1352" w:type="dxa"/>
            <w:tcBorders>
              <w:top w:val="single" w:color="auto" w:sz="12" w:space="0"/>
              <w:bottom w:val="double" w:color="auto" w:sz="6" w:space="0"/>
            </w:tcBorders>
            <w:noWrap w:val="0"/>
            <w:vAlign w:val="top"/>
          </w:tcPr>
          <w:p w14:paraId="7F6CB5C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单价（元）</w:t>
            </w:r>
          </w:p>
        </w:tc>
        <w:tc>
          <w:tcPr>
            <w:tcW w:w="1418" w:type="dxa"/>
            <w:tcBorders>
              <w:top w:val="single" w:color="auto" w:sz="12" w:space="0"/>
              <w:bottom w:val="double" w:color="auto" w:sz="6" w:space="0"/>
            </w:tcBorders>
            <w:noWrap w:val="0"/>
            <w:vAlign w:val="top"/>
          </w:tcPr>
          <w:p w14:paraId="5371F9B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合价（元）</w:t>
            </w:r>
          </w:p>
        </w:tc>
        <w:tc>
          <w:tcPr>
            <w:tcW w:w="1701" w:type="dxa"/>
            <w:tcBorders>
              <w:top w:val="single" w:color="auto" w:sz="12" w:space="0"/>
              <w:bottom w:val="double" w:color="auto" w:sz="6" w:space="0"/>
            </w:tcBorders>
            <w:noWrap w:val="0"/>
            <w:vAlign w:val="top"/>
          </w:tcPr>
          <w:p w14:paraId="001EA8A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14:paraId="1ADEF6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50E4E30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tcBorders>
              <w:top w:val="double" w:color="auto" w:sz="6" w:space="0"/>
              <w:bottom w:val="single" w:color="auto" w:sz="6" w:space="0"/>
            </w:tcBorders>
            <w:noWrap w:val="0"/>
            <w:vAlign w:val="top"/>
          </w:tcPr>
          <w:p w14:paraId="2CD5F41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tcBorders>
              <w:top w:val="double" w:color="auto" w:sz="6" w:space="0"/>
              <w:bottom w:val="single" w:color="auto" w:sz="6" w:space="0"/>
            </w:tcBorders>
            <w:noWrap w:val="0"/>
            <w:vAlign w:val="top"/>
          </w:tcPr>
          <w:p w14:paraId="0ADA382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tcBorders>
              <w:top w:val="double" w:color="auto" w:sz="6" w:space="0"/>
              <w:bottom w:val="single" w:color="auto" w:sz="6" w:space="0"/>
            </w:tcBorders>
            <w:noWrap w:val="0"/>
            <w:vAlign w:val="top"/>
          </w:tcPr>
          <w:p w14:paraId="667BF95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tcBorders>
              <w:top w:val="double" w:color="auto" w:sz="6" w:space="0"/>
              <w:bottom w:val="single" w:color="auto" w:sz="6" w:space="0"/>
            </w:tcBorders>
            <w:noWrap w:val="0"/>
            <w:vAlign w:val="top"/>
          </w:tcPr>
          <w:p w14:paraId="1FA4067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tcBorders>
              <w:top w:val="double" w:color="auto" w:sz="6" w:space="0"/>
              <w:bottom w:val="single" w:color="auto" w:sz="6" w:space="0"/>
            </w:tcBorders>
            <w:noWrap w:val="0"/>
            <w:vAlign w:val="top"/>
          </w:tcPr>
          <w:p w14:paraId="3459338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tcBorders>
              <w:top w:val="double" w:color="auto" w:sz="6" w:space="0"/>
              <w:bottom w:val="single" w:color="auto" w:sz="6" w:space="0"/>
            </w:tcBorders>
            <w:noWrap w:val="0"/>
            <w:vAlign w:val="top"/>
          </w:tcPr>
          <w:p w14:paraId="1692A23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1A5C96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6BBC1D2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tcBorders>
              <w:top w:val="nil"/>
            </w:tcBorders>
            <w:noWrap w:val="0"/>
            <w:vAlign w:val="top"/>
          </w:tcPr>
          <w:p w14:paraId="7CC5751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tcBorders>
              <w:top w:val="nil"/>
            </w:tcBorders>
            <w:noWrap w:val="0"/>
            <w:vAlign w:val="top"/>
          </w:tcPr>
          <w:p w14:paraId="009D699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tcBorders>
              <w:top w:val="nil"/>
            </w:tcBorders>
            <w:noWrap w:val="0"/>
            <w:vAlign w:val="top"/>
          </w:tcPr>
          <w:p w14:paraId="70633A8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tcBorders>
              <w:top w:val="nil"/>
            </w:tcBorders>
            <w:noWrap w:val="0"/>
            <w:vAlign w:val="top"/>
          </w:tcPr>
          <w:p w14:paraId="291CFE0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tcBorders>
              <w:top w:val="nil"/>
            </w:tcBorders>
            <w:noWrap w:val="0"/>
            <w:vAlign w:val="top"/>
          </w:tcPr>
          <w:p w14:paraId="4C88F6E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tcBorders>
              <w:top w:val="nil"/>
            </w:tcBorders>
            <w:noWrap w:val="0"/>
            <w:vAlign w:val="top"/>
          </w:tcPr>
          <w:p w14:paraId="63DEF61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1F713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D448FD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1C262F5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797FA2A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34A37CC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4124164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393C34E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3E0D8A5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3D993A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557068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267D751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3B1CAF3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33A5793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1975C9A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279FEA5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078E43C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52DDF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37873E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690D92B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2C10E46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5ADE3D7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5BC9219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43DABC2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4D9394D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1AD517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E288E8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01F4088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2925510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72D904F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1F62270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76C3342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5047326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653F84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E2FCD4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67B5D3E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281F3A6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0D0D32F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0F88ADC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013CE4B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5D62393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0FCAF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1DA3CA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3B9222E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2EDD8FE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65F9F55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4EC0A17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5330475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5D347E0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10126D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20C46C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5755A65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1C15134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602FF76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42E8968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564640D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58A9164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7CA8BD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73EF89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28E824A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244C334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31C630E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12C0A7E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5D3A450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38E4CC0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4A1052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6A3254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5B5FF66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3FF34FD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2F7B248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2F4D10B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4278EA9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4F1A067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32C2E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5A115D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2138677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5EA6F19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06943B8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13123BB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2790C3E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598FD87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4812A8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B261A9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1B63BC3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37B37F5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4040E00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47D7A7E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09A9AC1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5FC7502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74847A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A8025A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6BCBB57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2C822CF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0ED15B1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483E519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5BD9EDB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7B09198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789421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357957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1A07114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58810A5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269DB51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5C0C402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59D41B2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641292A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188628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2A89BF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79E94A3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65C4580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6A6F50E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1DB4E91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72AC2BD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6FD3030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3EDAFA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D594DF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410BA28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422CD81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61F781B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71286F5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162039C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32C3838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740D4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84BF4A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1CB17AC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4D7389F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0893B56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11DB9AB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1D29509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1C15C2E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7EB74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C51461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5C626D3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1D83B93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2B23AC7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03732DD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3F4569E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26ADDE8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59A17D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E2A2B1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44C0D1D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037B231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2A5A5D5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1DC4AC8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1AE9513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3BE7FC9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35C3A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F29C38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46F1854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2881ED2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7417200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7A8082D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65C914E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5E49941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2E52F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71D7E9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3D281B7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62CD8B0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5BF1CC8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4CDB8CA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3191784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0C2EEB6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17FBCD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3BCBBF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49B1856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61E4005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04E8FCB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7C53F23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5C63399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05C0D93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60296A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1329FC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418E73A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07EF315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6FAEE3C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2374556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4EAE428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2F8E24A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1C516A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F3FF02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2A41FCD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851" w:type="dxa"/>
            <w:noWrap w:val="0"/>
            <w:vAlign w:val="top"/>
          </w:tcPr>
          <w:p w14:paraId="23331D1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774" w:type="dxa"/>
            <w:noWrap w:val="0"/>
            <w:vAlign w:val="top"/>
          </w:tcPr>
          <w:p w14:paraId="0C359AA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352" w:type="dxa"/>
            <w:noWrap w:val="0"/>
            <w:vAlign w:val="top"/>
          </w:tcPr>
          <w:p w14:paraId="761D1FC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418" w:type="dxa"/>
            <w:noWrap w:val="0"/>
            <w:vAlign w:val="top"/>
          </w:tcPr>
          <w:p w14:paraId="4DF4AD3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701" w:type="dxa"/>
            <w:noWrap w:val="0"/>
            <w:vAlign w:val="top"/>
          </w:tcPr>
          <w:p w14:paraId="51D98F7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bl>
    <w:p w14:paraId="31FC74CA">
      <w:pPr>
        <w:pStyle w:val="57"/>
        <w:keepNext/>
        <w:keepLines/>
        <w:pageBreakBefore/>
        <w:spacing w:before="120" w:beforeLines="50" w:after="120" w:afterLines="50"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11-3：专业工程暂估价表</w:t>
      </w:r>
    </w:p>
    <w:tbl>
      <w:tblPr>
        <w:tblStyle w:val="24"/>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4CF209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14:paraId="2F444A4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1984" w:type="dxa"/>
            <w:tcBorders>
              <w:top w:val="single" w:color="auto" w:sz="12" w:space="0"/>
              <w:bottom w:val="double" w:color="auto" w:sz="6" w:space="0"/>
            </w:tcBorders>
            <w:noWrap w:val="0"/>
            <w:vAlign w:val="top"/>
          </w:tcPr>
          <w:p w14:paraId="16D071D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专业工程名称</w:t>
            </w:r>
          </w:p>
        </w:tc>
        <w:tc>
          <w:tcPr>
            <w:tcW w:w="4678" w:type="dxa"/>
            <w:tcBorders>
              <w:top w:val="single" w:color="auto" w:sz="12" w:space="0"/>
              <w:bottom w:val="double" w:color="auto" w:sz="6" w:space="0"/>
            </w:tcBorders>
            <w:noWrap w:val="0"/>
            <w:vAlign w:val="top"/>
          </w:tcPr>
          <w:p w14:paraId="162FBC2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工程内容</w:t>
            </w:r>
          </w:p>
        </w:tc>
        <w:tc>
          <w:tcPr>
            <w:tcW w:w="1276" w:type="dxa"/>
            <w:tcBorders>
              <w:top w:val="single" w:color="auto" w:sz="12" w:space="0"/>
              <w:bottom w:val="double" w:color="auto" w:sz="6" w:space="0"/>
            </w:tcBorders>
            <w:noWrap w:val="0"/>
            <w:vAlign w:val="top"/>
          </w:tcPr>
          <w:p w14:paraId="066CCFA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金额</w:t>
            </w:r>
          </w:p>
        </w:tc>
      </w:tr>
      <w:tr w14:paraId="4DB1CF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14:paraId="453E1FB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tcBorders>
              <w:top w:val="double" w:color="auto" w:sz="6" w:space="0"/>
              <w:bottom w:val="single" w:color="auto" w:sz="6" w:space="0"/>
            </w:tcBorders>
            <w:noWrap w:val="0"/>
            <w:vAlign w:val="top"/>
          </w:tcPr>
          <w:p w14:paraId="70CD092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678" w:type="dxa"/>
            <w:tcBorders>
              <w:top w:val="double" w:color="auto" w:sz="6" w:space="0"/>
              <w:bottom w:val="single" w:color="auto" w:sz="6" w:space="0"/>
            </w:tcBorders>
            <w:noWrap w:val="0"/>
            <w:vAlign w:val="top"/>
          </w:tcPr>
          <w:p w14:paraId="3C49FE3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tcBorders>
              <w:top w:val="double" w:color="auto" w:sz="6" w:space="0"/>
              <w:bottom w:val="single" w:color="auto" w:sz="6" w:space="0"/>
            </w:tcBorders>
            <w:noWrap w:val="0"/>
            <w:vAlign w:val="top"/>
          </w:tcPr>
          <w:p w14:paraId="754F6CB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425F0B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0B487D0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tcBorders>
              <w:top w:val="nil"/>
            </w:tcBorders>
            <w:noWrap w:val="0"/>
            <w:vAlign w:val="top"/>
          </w:tcPr>
          <w:p w14:paraId="2721451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678" w:type="dxa"/>
            <w:tcBorders>
              <w:top w:val="nil"/>
            </w:tcBorders>
            <w:noWrap w:val="0"/>
            <w:vAlign w:val="top"/>
          </w:tcPr>
          <w:p w14:paraId="16E0735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tcBorders>
              <w:top w:val="nil"/>
            </w:tcBorders>
            <w:noWrap w:val="0"/>
            <w:vAlign w:val="top"/>
          </w:tcPr>
          <w:p w14:paraId="07B57ED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17AD5F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7FEC6BD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tcBorders>
              <w:top w:val="nil"/>
            </w:tcBorders>
            <w:noWrap w:val="0"/>
            <w:vAlign w:val="top"/>
          </w:tcPr>
          <w:p w14:paraId="08AEE2B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678" w:type="dxa"/>
            <w:tcBorders>
              <w:top w:val="nil"/>
            </w:tcBorders>
            <w:noWrap w:val="0"/>
            <w:vAlign w:val="top"/>
          </w:tcPr>
          <w:p w14:paraId="3498AD2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tcBorders>
              <w:top w:val="nil"/>
            </w:tcBorders>
            <w:noWrap w:val="0"/>
            <w:vAlign w:val="top"/>
          </w:tcPr>
          <w:p w14:paraId="67095E9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7DF170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66FDA1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0665AE5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678" w:type="dxa"/>
            <w:noWrap w:val="0"/>
            <w:vAlign w:val="top"/>
          </w:tcPr>
          <w:p w14:paraId="791F788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top"/>
          </w:tcPr>
          <w:p w14:paraId="38D93A8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6D192C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DFAA1C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7128569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678" w:type="dxa"/>
            <w:noWrap w:val="0"/>
            <w:vAlign w:val="top"/>
          </w:tcPr>
          <w:p w14:paraId="7C9960A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top"/>
          </w:tcPr>
          <w:p w14:paraId="098FE20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7DC0B5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82A06E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79BC5AA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678" w:type="dxa"/>
            <w:noWrap w:val="0"/>
            <w:vAlign w:val="top"/>
          </w:tcPr>
          <w:p w14:paraId="1AD3F77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top"/>
          </w:tcPr>
          <w:p w14:paraId="385F533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6805D7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8DADA6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58F03E1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678" w:type="dxa"/>
            <w:noWrap w:val="0"/>
            <w:vAlign w:val="top"/>
          </w:tcPr>
          <w:p w14:paraId="05C1968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top"/>
          </w:tcPr>
          <w:p w14:paraId="4C34209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634E14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5EF238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7EF5309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678" w:type="dxa"/>
            <w:noWrap w:val="0"/>
            <w:vAlign w:val="top"/>
          </w:tcPr>
          <w:p w14:paraId="743EC6A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top"/>
          </w:tcPr>
          <w:p w14:paraId="471FF59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3D8DE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DD9D5A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0B7B4EF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678" w:type="dxa"/>
            <w:noWrap w:val="0"/>
            <w:vAlign w:val="top"/>
          </w:tcPr>
          <w:p w14:paraId="1347645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top"/>
          </w:tcPr>
          <w:p w14:paraId="435AA6C3">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7DA9F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60ED28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36966DC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678" w:type="dxa"/>
            <w:noWrap w:val="0"/>
            <w:vAlign w:val="top"/>
          </w:tcPr>
          <w:p w14:paraId="3471D9C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top"/>
          </w:tcPr>
          <w:p w14:paraId="01CB796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2585F5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AD47F5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473C2A1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678" w:type="dxa"/>
            <w:noWrap w:val="0"/>
            <w:vAlign w:val="top"/>
          </w:tcPr>
          <w:p w14:paraId="166DAD3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top"/>
          </w:tcPr>
          <w:p w14:paraId="41DBCCD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79E2E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DF65CB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14A512E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678" w:type="dxa"/>
            <w:noWrap w:val="0"/>
            <w:vAlign w:val="top"/>
          </w:tcPr>
          <w:p w14:paraId="6FCD42D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top"/>
          </w:tcPr>
          <w:p w14:paraId="0AA640C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6155DF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ED83BD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5175953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678" w:type="dxa"/>
            <w:noWrap w:val="0"/>
            <w:vAlign w:val="top"/>
          </w:tcPr>
          <w:p w14:paraId="54277FF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top"/>
          </w:tcPr>
          <w:p w14:paraId="7BBB42A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47A466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D1C7AB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39D06A2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678" w:type="dxa"/>
            <w:noWrap w:val="0"/>
            <w:vAlign w:val="top"/>
          </w:tcPr>
          <w:p w14:paraId="3DE2DC0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top"/>
          </w:tcPr>
          <w:p w14:paraId="1A3EA79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167DB5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E7E319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478A9C6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678" w:type="dxa"/>
            <w:noWrap w:val="0"/>
            <w:vAlign w:val="top"/>
          </w:tcPr>
          <w:p w14:paraId="7665E78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top"/>
          </w:tcPr>
          <w:p w14:paraId="385A981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48149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882992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12930FF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678" w:type="dxa"/>
            <w:noWrap w:val="0"/>
            <w:vAlign w:val="top"/>
          </w:tcPr>
          <w:p w14:paraId="4D52EA7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top"/>
          </w:tcPr>
          <w:p w14:paraId="4CA3483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205A95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AF44AE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3ACC4D4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678" w:type="dxa"/>
            <w:noWrap w:val="0"/>
            <w:vAlign w:val="top"/>
          </w:tcPr>
          <w:p w14:paraId="39A11F4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top"/>
          </w:tcPr>
          <w:p w14:paraId="7FD48C36">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5B6E3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E829BC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1735D089">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678" w:type="dxa"/>
            <w:noWrap w:val="0"/>
            <w:vAlign w:val="top"/>
          </w:tcPr>
          <w:p w14:paraId="7B4FFE2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top"/>
          </w:tcPr>
          <w:p w14:paraId="6493897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53296A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AAFCBE5">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1426B831">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678" w:type="dxa"/>
            <w:noWrap w:val="0"/>
            <w:vAlign w:val="top"/>
          </w:tcPr>
          <w:p w14:paraId="767CF7A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top"/>
          </w:tcPr>
          <w:p w14:paraId="45D5888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52D399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F417014">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6C5CF142">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678" w:type="dxa"/>
            <w:noWrap w:val="0"/>
            <w:vAlign w:val="top"/>
          </w:tcPr>
          <w:p w14:paraId="03E564A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top"/>
          </w:tcPr>
          <w:p w14:paraId="11E7C68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51B6E4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52EB70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45BBB4D7">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678" w:type="dxa"/>
            <w:noWrap w:val="0"/>
            <w:vAlign w:val="top"/>
          </w:tcPr>
          <w:p w14:paraId="446F77F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top"/>
          </w:tcPr>
          <w:p w14:paraId="7466B1B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3130F4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12A61DA">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0B8B866B">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678" w:type="dxa"/>
            <w:noWrap w:val="0"/>
            <w:vAlign w:val="top"/>
          </w:tcPr>
          <w:p w14:paraId="158F4BFD">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top"/>
          </w:tcPr>
          <w:p w14:paraId="6CE92AF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3D4D2C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B1CCC1E">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984" w:type="dxa"/>
            <w:noWrap w:val="0"/>
            <w:vAlign w:val="top"/>
          </w:tcPr>
          <w:p w14:paraId="3DB55F98">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4678" w:type="dxa"/>
            <w:noWrap w:val="0"/>
            <w:vAlign w:val="top"/>
          </w:tcPr>
          <w:p w14:paraId="0492CADC">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noWrap w:val="0"/>
            <w:vAlign w:val="top"/>
          </w:tcPr>
          <w:p w14:paraId="71EF5F90">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p>
        </w:tc>
      </w:tr>
      <w:tr w14:paraId="206CD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14:paraId="4299308F">
            <w:pPr>
              <w:pStyle w:val="58"/>
              <w:keepNext/>
              <w:spacing w:after="0" w:line="440" w:lineRule="exact"/>
              <w:ind w:left="63" w:right="6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小计：</w:t>
            </w:r>
          </w:p>
        </w:tc>
      </w:tr>
    </w:tbl>
    <w:p w14:paraId="2AD3BD24">
      <w:pPr>
        <w:pageBreakBefore w:val="0"/>
        <w:kinsoku/>
        <w:bidi w:val="0"/>
        <w:spacing w:line="440" w:lineRule="exact"/>
        <w:ind w:firstLine="0" w:firstLineChars="0"/>
        <w:rPr>
          <w:rFonts w:hint="eastAsia" w:ascii="仿宋" w:hAnsi="仿宋" w:eastAsia="仿宋" w:cs="仿宋"/>
          <w:color w:val="000000" w:themeColor="text1"/>
          <w:sz w:val="32"/>
          <w:szCs w:val="32"/>
          <w:highlight w:val="none"/>
          <w:lang w:val="zh-CN"/>
          <w14:textFill>
            <w14:solidFill>
              <w14:schemeClr w14:val="tx1"/>
            </w14:solidFill>
          </w14:textFill>
        </w:rPr>
      </w:pPr>
    </w:p>
    <w:p w14:paraId="4DF6E5EC">
      <w:pPr>
        <w:pageBreakBefore w:val="0"/>
        <w:kinsoku/>
        <w:bidi w:val="0"/>
        <w:spacing w:line="440" w:lineRule="exact"/>
        <w:ind w:firstLine="0" w:firstLineChars="0"/>
        <w:rPr>
          <w:rFonts w:hint="eastAsia" w:ascii="仿宋" w:hAnsi="仿宋" w:eastAsia="仿宋" w:cs="仿宋"/>
          <w:color w:val="000000" w:themeColor="text1"/>
          <w:sz w:val="32"/>
          <w:szCs w:val="32"/>
          <w:highlight w:val="none"/>
          <w:lang w:val="zh-CN"/>
          <w14:textFill>
            <w14:solidFill>
              <w14:schemeClr w14:val="tx1"/>
            </w14:solidFill>
          </w14:textFill>
        </w:rPr>
      </w:pPr>
    </w:p>
    <w:p w14:paraId="3F49C8FC">
      <w:pPr>
        <w:widowControl w:val="0"/>
        <w:kinsoku/>
        <w:spacing w:line="500" w:lineRule="exact"/>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p>
    <w:p w14:paraId="73686805">
      <w:pPr>
        <w:widowControl w:val="0"/>
        <w:kinsoku/>
        <w:spacing w:line="500" w:lineRule="exact"/>
        <w:ind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p w14:paraId="4E35D1BB">
      <w:pPr>
        <w:spacing w:line="520" w:lineRule="exact"/>
        <w:jc w:val="both"/>
        <w:rPr>
          <w:rFonts w:hint="eastAsia" w:ascii="仿宋" w:hAnsi="仿宋" w:eastAsia="仿宋" w:cs="仿宋"/>
          <w:bCs/>
          <w:color w:val="000000" w:themeColor="text1"/>
          <w:w w:val="95"/>
          <w:sz w:val="32"/>
          <w:highlight w:val="none"/>
          <w:lang w:eastAsia="zh-CN"/>
          <w14:textFill>
            <w14:solidFill>
              <w14:schemeClr w14:val="tx1"/>
            </w14:solidFill>
          </w14:textFill>
        </w:rPr>
      </w:pPr>
    </w:p>
    <w:p w14:paraId="01BBC463">
      <w:pPr>
        <w:spacing w:before="295" w:line="205" w:lineRule="auto"/>
        <w:jc w:val="center"/>
        <w:outlineLvl w:val="0"/>
        <w:rPr>
          <w:rFonts w:hint="eastAsia" w:ascii="仿宋" w:hAnsi="仿宋" w:eastAsia="仿宋" w:cs="仿宋"/>
          <w:color w:val="000000" w:themeColor="text1"/>
          <w:sz w:val="35"/>
          <w:szCs w:val="35"/>
          <w:highlight w:val="none"/>
          <w:lang w:eastAsia="zh-CN"/>
          <w14:textFill>
            <w14:solidFill>
              <w14:schemeClr w14:val="tx1"/>
            </w14:solidFill>
          </w14:textFill>
        </w:rPr>
      </w:pPr>
      <w:bookmarkStart w:id="187" w:name="_Toc1401"/>
      <w:bookmarkStart w:id="188" w:name="_Toc15198"/>
      <w:bookmarkStart w:id="189" w:name="_Toc23905"/>
      <w:r>
        <w:rPr>
          <w:rFonts w:hint="eastAsia" w:ascii="仿宋" w:hAnsi="仿宋" w:eastAsia="仿宋" w:cs="仿宋"/>
          <w:b/>
          <w:bCs/>
          <w:color w:val="000000" w:themeColor="text1"/>
          <w:spacing w:val="7"/>
          <w:sz w:val="35"/>
          <w:szCs w:val="35"/>
          <w:highlight w:val="none"/>
          <w:lang w:eastAsia="zh-CN"/>
          <w14:textFill>
            <w14:solidFill>
              <w14:schemeClr w14:val="tx1"/>
            </w14:solidFill>
          </w14:textFill>
        </w:rPr>
        <w:t>第六章</w:t>
      </w:r>
      <w:r>
        <w:rPr>
          <w:rFonts w:hint="eastAsia" w:ascii="仿宋" w:hAnsi="仿宋" w:eastAsia="仿宋" w:cs="仿宋"/>
          <w:b/>
          <w:bCs/>
          <w:color w:val="000000" w:themeColor="text1"/>
          <w:spacing w:val="10"/>
          <w:sz w:val="35"/>
          <w:szCs w:val="35"/>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7"/>
          <w:sz w:val="35"/>
          <w:szCs w:val="35"/>
          <w:highlight w:val="none"/>
          <w:lang w:eastAsia="zh-CN"/>
          <w14:textFill>
            <w14:solidFill>
              <w14:schemeClr w14:val="tx1"/>
            </w14:solidFill>
          </w14:textFill>
        </w:rPr>
        <w:t>响应文件格式</w:t>
      </w:r>
      <w:bookmarkEnd w:id="187"/>
      <w:bookmarkEnd w:id="188"/>
      <w:bookmarkEnd w:id="189"/>
    </w:p>
    <w:p w14:paraId="1B69A817">
      <w:pPr>
        <w:pStyle w:val="9"/>
        <w:spacing w:line="280" w:lineRule="auto"/>
        <w:rPr>
          <w:rFonts w:hint="eastAsia" w:ascii="仿宋" w:hAnsi="仿宋" w:eastAsia="仿宋" w:cs="仿宋"/>
          <w:color w:val="000000" w:themeColor="text1"/>
          <w:highlight w:val="none"/>
          <w:lang w:eastAsia="zh-CN"/>
          <w14:textFill>
            <w14:solidFill>
              <w14:schemeClr w14:val="tx1"/>
            </w14:solidFill>
          </w14:textFill>
        </w:rPr>
      </w:pPr>
    </w:p>
    <w:p w14:paraId="3F622E95">
      <w:pPr>
        <w:pStyle w:val="9"/>
        <w:spacing w:line="281" w:lineRule="auto"/>
        <w:rPr>
          <w:rFonts w:hint="eastAsia" w:ascii="仿宋" w:hAnsi="仿宋" w:eastAsia="仿宋" w:cs="仿宋"/>
          <w:color w:val="000000" w:themeColor="text1"/>
          <w:highlight w:val="none"/>
          <w:lang w:eastAsia="zh-CN"/>
          <w14:textFill>
            <w14:solidFill>
              <w14:schemeClr w14:val="tx1"/>
            </w14:solidFill>
          </w14:textFill>
        </w:rPr>
      </w:pPr>
    </w:p>
    <w:p w14:paraId="34A1EBC3">
      <w:pPr>
        <w:spacing w:line="200" w:lineRule="auto"/>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供应商编制文件须知</w:t>
      </w:r>
    </w:p>
    <w:p w14:paraId="42DE6551">
      <w:pPr>
        <w:spacing w:line="200" w:lineRule="auto"/>
        <w:rPr>
          <w:rFonts w:hint="eastAsia" w:ascii="仿宋" w:hAnsi="仿宋" w:eastAsia="仿宋" w:cs="仿宋"/>
          <w:b/>
          <w:bCs/>
          <w:color w:val="000000" w:themeColor="text1"/>
          <w:sz w:val="24"/>
          <w:szCs w:val="24"/>
          <w:highlight w:val="none"/>
          <w:lang w:eastAsia="zh-CN"/>
          <w14:textFill>
            <w14:solidFill>
              <w14:schemeClr w14:val="tx1"/>
            </w14:solidFill>
          </w14:textFill>
        </w:rPr>
      </w:pPr>
    </w:p>
    <w:p w14:paraId="68E1A738">
      <w:pPr>
        <w:spacing w:line="200" w:lineRule="auto"/>
        <w:rPr>
          <w:rFonts w:hint="eastAsia" w:ascii="仿宋" w:hAnsi="仿宋" w:eastAsia="仿宋" w:cs="仿宋"/>
          <w:b/>
          <w:bCs/>
          <w:color w:val="000000" w:themeColor="text1"/>
          <w:sz w:val="24"/>
          <w:szCs w:val="24"/>
          <w:highlight w:val="none"/>
          <w:lang w:eastAsia="zh-CN"/>
          <w14:textFill>
            <w14:solidFill>
              <w14:schemeClr w14:val="tx1"/>
            </w14:solidFill>
          </w14:textFill>
        </w:rPr>
      </w:pPr>
    </w:p>
    <w:p w14:paraId="33D90488">
      <w:pPr>
        <w:spacing w:line="360" w:lineRule="auto"/>
        <w:rPr>
          <w:rFonts w:hint="eastAsia" w:ascii="仿宋" w:hAnsi="仿宋" w:eastAsia="仿宋" w:cs="仿宋"/>
          <w:b/>
          <w:bCs/>
          <w:color w:val="000000" w:themeColor="text1"/>
          <w:sz w:val="24"/>
          <w:szCs w:val="24"/>
          <w:highlight w:val="none"/>
          <w:lang w:eastAsia="zh-CN"/>
          <w14:textFill>
            <w14:solidFill>
              <w14:schemeClr w14:val="tx1"/>
            </w14:solidFill>
          </w14:textFill>
        </w:rPr>
      </w:pPr>
    </w:p>
    <w:p w14:paraId="278FB28B">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1、供应商按照本部分的顺序编制响应文件，编制中涉及格式资料的，应按照本部分提</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供的内容和格式（所有表格的格式可扩展）</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填写提交。</w:t>
      </w:r>
    </w:p>
    <w:p w14:paraId="4EC14FDE">
      <w:pPr>
        <w:pStyle w:val="9"/>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2、对于竞争性磋商文件中标记了“实质性格式</w:t>
      </w:r>
      <w:r>
        <w:rPr>
          <w:rFonts w:hint="eastAsia" w:ascii="仿宋" w:hAnsi="仿宋" w:eastAsia="仿宋" w:cs="仿宋"/>
          <w:color w:val="000000" w:themeColor="text1"/>
          <w:spacing w:val="-5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”文件的，供应商不得改变格式中给定的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文字所表达的含义，不得删减格式中的实质性内容，不得自行添加与格式中给定的文</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字内容相矛盾的内容，不得对应当填写的空格不填写或不实质性响应，</w:t>
      </w:r>
      <w:r>
        <w:rPr>
          <w:rFonts w:hint="eastAsia" w:ascii="仿宋" w:hAnsi="仿宋" w:eastAsia="仿宋" w:cs="仿宋"/>
          <w:b/>
          <w:bCs/>
          <w:color w:val="000000" w:themeColor="text1"/>
          <w:spacing w:val="-3"/>
          <w:sz w:val="24"/>
          <w:szCs w:val="24"/>
          <w:highlight w:val="none"/>
          <w:lang w:eastAsia="zh-CN"/>
          <w14:textFill>
            <w14:solidFill>
              <w14:schemeClr w14:val="tx1"/>
            </w14:solidFill>
          </w14:textFill>
        </w:rPr>
        <w:t>否则响应无效</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未标记“实质性格式</w:t>
      </w:r>
      <w:r>
        <w:rPr>
          <w:rFonts w:hint="eastAsia" w:ascii="仿宋" w:hAnsi="仿宋" w:eastAsia="仿宋" w:cs="仿宋"/>
          <w:color w:val="000000" w:themeColor="text1"/>
          <w:spacing w:val="-4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”的文件和竞争性磋商文件未提供格式的内容，可由供应商自行编</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写。</w:t>
      </w:r>
    </w:p>
    <w:p w14:paraId="6921DB87">
      <w:pPr>
        <w:spacing w:line="360" w:lineRule="auto"/>
        <w:rPr>
          <w:rFonts w:hint="eastAsia" w:ascii="仿宋" w:hAnsi="仿宋" w:eastAsia="仿宋" w:cs="仿宋"/>
          <w:color w:val="000000" w:themeColor="text1"/>
          <w:spacing w:val="-7"/>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3、全部声明和问题的回答及所附材料必须是真实的、准确的和完整</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的。</w:t>
      </w:r>
    </w:p>
    <w:p w14:paraId="52EFA8C0">
      <w:pPr>
        <w:pStyle w:val="9"/>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4F29BE5E">
      <w:pPr>
        <w:rPr>
          <w:rFonts w:hint="eastAsia" w:ascii="仿宋" w:hAnsi="仿宋" w:eastAsia="仿宋" w:cs="仿宋"/>
          <w:color w:val="000000" w:themeColor="text1"/>
          <w:highlight w:val="none"/>
          <w:lang w:eastAsia="zh-CN"/>
          <w14:textFill>
            <w14:solidFill>
              <w14:schemeClr w14:val="tx1"/>
            </w14:solidFill>
          </w14:textFill>
        </w:rPr>
      </w:pPr>
    </w:p>
    <w:p w14:paraId="0F78F637">
      <w:pPr>
        <w:rPr>
          <w:rFonts w:hint="eastAsia" w:ascii="仿宋" w:hAnsi="仿宋" w:eastAsia="仿宋" w:cs="仿宋"/>
          <w:color w:val="000000" w:themeColor="text1"/>
          <w:highlight w:val="none"/>
          <w:lang w:eastAsia="zh-CN"/>
          <w14:textFill>
            <w14:solidFill>
              <w14:schemeClr w14:val="tx1"/>
            </w14:solidFill>
          </w14:textFill>
        </w:rPr>
      </w:pPr>
    </w:p>
    <w:p w14:paraId="2E8A5C32">
      <w:pPr>
        <w:rPr>
          <w:rFonts w:hint="eastAsia" w:ascii="仿宋" w:hAnsi="仿宋" w:eastAsia="仿宋" w:cs="仿宋"/>
          <w:color w:val="000000" w:themeColor="text1"/>
          <w:highlight w:val="none"/>
          <w:lang w:eastAsia="zh-CN"/>
          <w14:textFill>
            <w14:solidFill>
              <w14:schemeClr w14:val="tx1"/>
            </w14:solidFill>
          </w14:textFill>
        </w:rPr>
      </w:pPr>
    </w:p>
    <w:p w14:paraId="0CFFB732">
      <w:pPr>
        <w:rPr>
          <w:rFonts w:hint="eastAsia" w:ascii="仿宋" w:hAnsi="仿宋" w:eastAsia="仿宋" w:cs="仿宋"/>
          <w:color w:val="000000" w:themeColor="text1"/>
          <w:highlight w:val="none"/>
          <w:lang w:eastAsia="zh-CN"/>
          <w14:textFill>
            <w14:solidFill>
              <w14:schemeClr w14:val="tx1"/>
            </w14:solidFill>
          </w14:textFill>
        </w:rPr>
      </w:pPr>
    </w:p>
    <w:p w14:paraId="4923A226">
      <w:pPr>
        <w:rPr>
          <w:rFonts w:hint="eastAsia" w:ascii="仿宋" w:hAnsi="仿宋" w:eastAsia="仿宋" w:cs="仿宋"/>
          <w:color w:val="000000" w:themeColor="text1"/>
          <w:highlight w:val="none"/>
          <w:lang w:eastAsia="zh-CN"/>
          <w14:textFill>
            <w14:solidFill>
              <w14:schemeClr w14:val="tx1"/>
            </w14:solidFill>
          </w14:textFill>
        </w:rPr>
      </w:pPr>
    </w:p>
    <w:p w14:paraId="7710735A">
      <w:pPr>
        <w:rPr>
          <w:rFonts w:hint="eastAsia" w:ascii="仿宋" w:hAnsi="仿宋" w:eastAsia="仿宋" w:cs="仿宋"/>
          <w:color w:val="000000" w:themeColor="text1"/>
          <w:highlight w:val="none"/>
          <w:lang w:eastAsia="zh-CN"/>
          <w14:textFill>
            <w14:solidFill>
              <w14:schemeClr w14:val="tx1"/>
            </w14:solidFill>
          </w14:textFill>
        </w:rPr>
      </w:pPr>
    </w:p>
    <w:p w14:paraId="4D2644F2">
      <w:pPr>
        <w:rPr>
          <w:rFonts w:hint="eastAsia" w:ascii="仿宋" w:hAnsi="仿宋" w:eastAsia="仿宋" w:cs="仿宋"/>
          <w:color w:val="000000" w:themeColor="text1"/>
          <w:highlight w:val="none"/>
          <w:lang w:eastAsia="zh-CN"/>
          <w14:textFill>
            <w14:solidFill>
              <w14:schemeClr w14:val="tx1"/>
            </w14:solidFill>
          </w14:textFill>
        </w:rPr>
      </w:pPr>
    </w:p>
    <w:p w14:paraId="502FDE7D">
      <w:pPr>
        <w:rPr>
          <w:rFonts w:hint="eastAsia" w:ascii="仿宋" w:hAnsi="仿宋" w:eastAsia="仿宋" w:cs="仿宋"/>
          <w:color w:val="000000" w:themeColor="text1"/>
          <w:highlight w:val="none"/>
          <w:lang w:eastAsia="zh-CN"/>
          <w14:textFill>
            <w14:solidFill>
              <w14:schemeClr w14:val="tx1"/>
            </w14:solidFill>
          </w14:textFill>
        </w:rPr>
      </w:pPr>
    </w:p>
    <w:p w14:paraId="577754CC">
      <w:pPr>
        <w:rPr>
          <w:rFonts w:hint="eastAsia" w:ascii="仿宋" w:hAnsi="仿宋" w:eastAsia="仿宋" w:cs="仿宋"/>
          <w:color w:val="000000" w:themeColor="text1"/>
          <w:highlight w:val="none"/>
          <w:lang w:eastAsia="zh-CN"/>
          <w14:textFill>
            <w14:solidFill>
              <w14:schemeClr w14:val="tx1"/>
            </w14:solidFill>
          </w14:textFill>
        </w:rPr>
      </w:pPr>
    </w:p>
    <w:p w14:paraId="17FD0BD3">
      <w:pPr>
        <w:rPr>
          <w:rFonts w:hint="eastAsia" w:ascii="仿宋" w:hAnsi="仿宋" w:eastAsia="仿宋" w:cs="仿宋"/>
          <w:color w:val="000000" w:themeColor="text1"/>
          <w:highlight w:val="none"/>
          <w:lang w:eastAsia="zh-CN"/>
          <w14:textFill>
            <w14:solidFill>
              <w14:schemeClr w14:val="tx1"/>
            </w14:solidFill>
          </w14:textFill>
        </w:rPr>
      </w:pPr>
    </w:p>
    <w:p w14:paraId="61BB5ED7">
      <w:pPr>
        <w:rPr>
          <w:rFonts w:hint="eastAsia" w:ascii="仿宋" w:hAnsi="仿宋" w:eastAsia="仿宋" w:cs="仿宋"/>
          <w:color w:val="000000" w:themeColor="text1"/>
          <w:highlight w:val="none"/>
          <w:lang w:eastAsia="zh-CN"/>
          <w14:textFill>
            <w14:solidFill>
              <w14:schemeClr w14:val="tx1"/>
            </w14:solidFill>
          </w14:textFill>
        </w:rPr>
      </w:pPr>
    </w:p>
    <w:p w14:paraId="6C3238FE">
      <w:pPr>
        <w:rPr>
          <w:rFonts w:hint="eastAsia" w:ascii="仿宋" w:hAnsi="仿宋" w:eastAsia="仿宋" w:cs="仿宋"/>
          <w:color w:val="000000" w:themeColor="text1"/>
          <w:highlight w:val="none"/>
          <w:lang w:eastAsia="zh-CN"/>
          <w14:textFill>
            <w14:solidFill>
              <w14:schemeClr w14:val="tx1"/>
            </w14:solidFill>
          </w14:textFill>
        </w:rPr>
      </w:pPr>
    </w:p>
    <w:p w14:paraId="5DC14EC6">
      <w:pPr>
        <w:rPr>
          <w:rFonts w:hint="eastAsia" w:ascii="仿宋" w:hAnsi="仿宋" w:eastAsia="仿宋" w:cs="仿宋"/>
          <w:color w:val="000000" w:themeColor="text1"/>
          <w:highlight w:val="none"/>
          <w:lang w:eastAsia="zh-CN"/>
          <w14:textFill>
            <w14:solidFill>
              <w14:schemeClr w14:val="tx1"/>
            </w14:solidFill>
          </w14:textFill>
        </w:rPr>
      </w:pPr>
    </w:p>
    <w:p w14:paraId="5BF7EE59">
      <w:pPr>
        <w:rPr>
          <w:rFonts w:hint="eastAsia" w:ascii="仿宋" w:hAnsi="仿宋" w:eastAsia="仿宋" w:cs="仿宋"/>
          <w:color w:val="000000" w:themeColor="text1"/>
          <w:highlight w:val="none"/>
          <w:lang w:eastAsia="zh-CN"/>
          <w14:textFill>
            <w14:solidFill>
              <w14:schemeClr w14:val="tx1"/>
            </w14:solidFill>
          </w14:textFill>
        </w:rPr>
      </w:pPr>
    </w:p>
    <w:p w14:paraId="517FC62A">
      <w:pPr>
        <w:rPr>
          <w:rFonts w:hint="eastAsia" w:ascii="仿宋" w:hAnsi="仿宋" w:eastAsia="仿宋" w:cs="仿宋"/>
          <w:color w:val="000000" w:themeColor="text1"/>
          <w:highlight w:val="none"/>
          <w:lang w:eastAsia="zh-CN"/>
          <w14:textFill>
            <w14:solidFill>
              <w14:schemeClr w14:val="tx1"/>
            </w14:solidFill>
          </w14:textFill>
        </w:rPr>
      </w:pPr>
    </w:p>
    <w:p w14:paraId="2DE2206F">
      <w:pPr>
        <w:rPr>
          <w:rFonts w:hint="eastAsia" w:ascii="仿宋" w:hAnsi="仿宋" w:eastAsia="仿宋" w:cs="仿宋"/>
          <w:color w:val="000000" w:themeColor="text1"/>
          <w:highlight w:val="none"/>
          <w:lang w:eastAsia="zh-CN"/>
          <w14:textFill>
            <w14:solidFill>
              <w14:schemeClr w14:val="tx1"/>
            </w14:solidFill>
          </w14:textFill>
        </w:rPr>
      </w:pPr>
    </w:p>
    <w:p w14:paraId="570320BC">
      <w:pPr>
        <w:rPr>
          <w:rFonts w:hint="eastAsia" w:ascii="仿宋" w:hAnsi="仿宋" w:eastAsia="仿宋" w:cs="仿宋"/>
          <w:color w:val="000000" w:themeColor="text1"/>
          <w:highlight w:val="none"/>
          <w:lang w:eastAsia="zh-CN"/>
          <w14:textFill>
            <w14:solidFill>
              <w14:schemeClr w14:val="tx1"/>
            </w14:solidFill>
          </w14:textFill>
        </w:rPr>
      </w:pPr>
    </w:p>
    <w:p w14:paraId="2E0BA10B">
      <w:pPr>
        <w:rPr>
          <w:rFonts w:hint="eastAsia" w:ascii="仿宋" w:hAnsi="仿宋" w:eastAsia="仿宋" w:cs="仿宋"/>
          <w:color w:val="000000" w:themeColor="text1"/>
          <w:highlight w:val="none"/>
          <w:lang w:eastAsia="zh-CN"/>
          <w14:textFill>
            <w14:solidFill>
              <w14:schemeClr w14:val="tx1"/>
            </w14:solidFill>
          </w14:textFill>
        </w:rPr>
      </w:pPr>
    </w:p>
    <w:p w14:paraId="0F2DE72F">
      <w:pPr>
        <w:rPr>
          <w:rFonts w:hint="eastAsia" w:ascii="仿宋" w:hAnsi="仿宋" w:eastAsia="仿宋" w:cs="仿宋"/>
          <w:color w:val="000000" w:themeColor="text1"/>
          <w:highlight w:val="none"/>
          <w:lang w:eastAsia="zh-CN"/>
          <w14:textFill>
            <w14:solidFill>
              <w14:schemeClr w14:val="tx1"/>
            </w14:solidFill>
          </w14:textFill>
        </w:rPr>
      </w:pPr>
    </w:p>
    <w:p w14:paraId="6F0AB4C9">
      <w:pPr>
        <w:rPr>
          <w:rFonts w:hint="eastAsia" w:ascii="仿宋" w:hAnsi="仿宋" w:eastAsia="仿宋" w:cs="仿宋"/>
          <w:color w:val="000000" w:themeColor="text1"/>
          <w:highlight w:val="none"/>
          <w:lang w:eastAsia="zh-CN"/>
          <w14:textFill>
            <w14:solidFill>
              <w14:schemeClr w14:val="tx1"/>
            </w14:solidFill>
          </w14:textFill>
        </w:rPr>
      </w:pPr>
    </w:p>
    <w:p w14:paraId="08C68480">
      <w:pPr>
        <w:rPr>
          <w:rFonts w:hint="eastAsia" w:ascii="仿宋" w:hAnsi="仿宋" w:eastAsia="仿宋" w:cs="仿宋"/>
          <w:color w:val="000000" w:themeColor="text1"/>
          <w:highlight w:val="none"/>
          <w:lang w:eastAsia="zh-CN"/>
          <w14:textFill>
            <w14:solidFill>
              <w14:schemeClr w14:val="tx1"/>
            </w14:solidFill>
          </w14:textFill>
        </w:rPr>
      </w:pPr>
    </w:p>
    <w:p w14:paraId="42D5D12E">
      <w:pPr>
        <w:rPr>
          <w:rFonts w:hint="eastAsia" w:ascii="仿宋" w:hAnsi="仿宋" w:eastAsia="仿宋" w:cs="仿宋"/>
          <w:color w:val="000000" w:themeColor="text1"/>
          <w:highlight w:val="none"/>
          <w:lang w:eastAsia="zh-CN"/>
          <w14:textFill>
            <w14:solidFill>
              <w14:schemeClr w14:val="tx1"/>
            </w14:solidFill>
          </w14:textFill>
        </w:rPr>
      </w:pPr>
    </w:p>
    <w:p w14:paraId="1FC6B1C5">
      <w:pPr>
        <w:rPr>
          <w:rFonts w:hint="eastAsia" w:ascii="仿宋" w:hAnsi="仿宋" w:eastAsia="仿宋" w:cs="仿宋"/>
          <w:color w:val="000000" w:themeColor="text1"/>
          <w:highlight w:val="none"/>
          <w:lang w:eastAsia="zh-CN"/>
          <w14:textFill>
            <w14:solidFill>
              <w14:schemeClr w14:val="tx1"/>
            </w14:solidFill>
          </w14:textFill>
        </w:rPr>
      </w:pPr>
    </w:p>
    <w:p w14:paraId="249EA72A">
      <w:pPr>
        <w:rPr>
          <w:rFonts w:hint="eastAsia" w:ascii="仿宋" w:hAnsi="仿宋" w:eastAsia="仿宋" w:cs="仿宋"/>
          <w:color w:val="000000" w:themeColor="text1"/>
          <w:highlight w:val="none"/>
          <w:lang w:eastAsia="zh-CN"/>
          <w14:textFill>
            <w14:solidFill>
              <w14:schemeClr w14:val="tx1"/>
            </w14:solidFill>
          </w14:textFill>
        </w:rPr>
      </w:pPr>
    </w:p>
    <w:p w14:paraId="757FAC81">
      <w:pPr>
        <w:rPr>
          <w:rFonts w:hint="eastAsia" w:ascii="仿宋" w:hAnsi="仿宋" w:eastAsia="仿宋" w:cs="仿宋"/>
          <w:color w:val="000000" w:themeColor="text1"/>
          <w:highlight w:val="none"/>
          <w:lang w:eastAsia="zh-CN"/>
          <w14:textFill>
            <w14:solidFill>
              <w14:schemeClr w14:val="tx1"/>
            </w14:solidFill>
          </w14:textFill>
        </w:rPr>
      </w:pPr>
    </w:p>
    <w:p w14:paraId="3E09BE2F">
      <w:pPr>
        <w:rPr>
          <w:rFonts w:hint="eastAsia" w:ascii="仿宋" w:hAnsi="仿宋" w:eastAsia="仿宋" w:cs="仿宋"/>
          <w:color w:val="000000" w:themeColor="text1"/>
          <w:highlight w:val="none"/>
          <w:lang w:eastAsia="zh-CN"/>
          <w14:textFill>
            <w14:solidFill>
              <w14:schemeClr w14:val="tx1"/>
            </w14:solidFill>
          </w14:textFill>
        </w:rPr>
      </w:pPr>
    </w:p>
    <w:p w14:paraId="16D1EB84">
      <w:pPr>
        <w:rPr>
          <w:rFonts w:hint="eastAsia" w:ascii="仿宋" w:hAnsi="仿宋" w:eastAsia="仿宋" w:cs="仿宋"/>
          <w:color w:val="000000" w:themeColor="text1"/>
          <w:highlight w:val="none"/>
          <w:lang w:eastAsia="zh-CN"/>
          <w14:textFill>
            <w14:solidFill>
              <w14:schemeClr w14:val="tx1"/>
            </w14:solidFill>
          </w14:textFill>
        </w:rPr>
      </w:pPr>
    </w:p>
    <w:p w14:paraId="790E23CA">
      <w:pPr>
        <w:rPr>
          <w:rFonts w:hint="eastAsia" w:ascii="仿宋" w:hAnsi="仿宋" w:eastAsia="仿宋" w:cs="仿宋"/>
          <w:b/>
          <w:bCs/>
          <w:color w:val="000000" w:themeColor="text1"/>
          <w:spacing w:val="-2"/>
          <w:sz w:val="24"/>
          <w:szCs w:val="24"/>
          <w:highlight w:val="none"/>
          <w:lang w:eastAsia="zh-CN"/>
          <w14:textFill>
            <w14:solidFill>
              <w14:schemeClr w14:val="tx1"/>
            </w14:solidFill>
          </w14:textFill>
        </w:rPr>
      </w:pPr>
    </w:p>
    <w:p w14:paraId="2E7FF8B1">
      <w:pPr>
        <w:spacing w:before="103" w:line="196" w:lineRule="auto"/>
        <w:ind w:left="19"/>
        <w:rPr>
          <w:rFonts w:hint="eastAsia" w:ascii="仿宋" w:hAnsi="仿宋" w:eastAsia="仿宋" w:cs="仿宋"/>
          <w:b/>
          <w:bCs/>
          <w:color w:val="000000" w:themeColor="text1"/>
          <w:spacing w:val="-2"/>
          <w:sz w:val="24"/>
          <w:szCs w:val="24"/>
          <w:highlight w:val="none"/>
          <w:lang w:eastAsia="zh-CN"/>
          <w14:textFill>
            <w14:solidFill>
              <w14:schemeClr w14:val="tx1"/>
            </w14:solidFill>
          </w14:textFill>
        </w:rPr>
      </w:pPr>
    </w:p>
    <w:p w14:paraId="7E745EF6">
      <w:pPr>
        <w:spacing w:before="103" w:line="196" w:lineRule="auto"/>
        <w:ind w:left="1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2"/>
          <w:sz w:val="24"/>
          <w:szCs w:val="24"/>
          <w:highlight w:val="none"/>
          <w:lang w:eastAsia="zh-CN"/>
          <w14:textFill>
            <w14:solidFill>
              <w14:schemeClr w14:val="tx1"/>
            </w14:solidFill>
          </w14:textFill>
        </w:rPr>
        <w:t>响应文件封面（非实质性格式）</w:t>
      </w:r>
    </w:p>
    <w:p w14:paraId="516BFA34">
      <w:pPr>
        <w:spacing w:before="352" w:line="203" w:lineRule="auto"/>
        <w:ind w:left="1866"/>
        <w:rPr>
          <w:rFonts w:hint="eastAsia" w:ascii="仿宋" w:hAnsi="仿宋" w:eastAsia="仿宋" w:cs="仿宋"/>
          <w:b/>
          <w:bCs/>
          <w:color w:val="000000" w:themeColor="text1"/>
          <w:spacing w:val="-19"/>
          <w:sz w:val="83"/>
          <w:szCs w:val="83"/>
          <w:highlight w:val="none"/>
          <w:lang w:eastAsia="zh-CN"/>
          <w14:textFill>
            <w14:solidFill>
              <w14:schemeClr w14:val="tx1"/>
            </w14:solidFill>
          </w14:textFill>
        </w:rPr>
      </w:pPr>
    </w:p>
    <w:p w14:paraId="366A7A07">
      <w:pPr>
        <w:spacing w:before="352" w:line="203" w:lineRule="auto"/>
        <w:jc w:val="center"/>
        <w:rPr>
          <w:rFonts w:hint="eastAsia" w:ascii="仿宋" w:hAnsi="仿宋" w:eastAsia="仿宋" w:cs="仿宋"/>
          <w:b/>
          <w:bCs/>
          <w:color w:val="000000" w:themeColor="text1"/>
          <w:sz w:val="83"/>
          <w:szCs w:val="83"/>
          <w:highlight w:val="none"/>
          <w:lang w:eastAsia="zh-CN"/>
          <w14:textFill>
            <w14:solidFill>
              <w14:schemeClr w14:val="tx1"/>
            </w14:solidFill>
          </w14:textFill>
        </w:rPr>
      </w:pPr>
      <w:r>
        <w:rPr>
          <w:rFonts w:hint="eastAsia" w:ascii="仿宋" w:hAnsi="仿宋" w:eastAsia="仿宋" w:cs="仿宋"/>
          <w:b/>
          <w:bCs/>
          <w:color w:val="000000" w:themeColor="text1"/>
          <w:spacing w:val="-19"/>
          <w:sz w:val="83"/>
          <w:szCs w:val="83"/>
          <w:highlight w:val="none"/>
          <w:lang w:eastAsia="zh-CN"/>
          <w14:textFill>
            <w14:solidFill>
              <w14:schemeClr w14:val="tx1"/>
            </w14:solidFill>
          </w14:textFill>
        </w:rPr>
        <w:t>响 应 文 件</w:t>
      </w:r>
    </w:p>
    <w:p w14:paraId="2DD82FEB">
      <w:pPr>
        <w:pStyle w:val="9"/>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59B307E3">
      <w:pPr>
        <w:pStyle w:val="9"/>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44426E2D">
      <w:pPr>
        <w:pStyle w:val="9"/>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43897E9A">
      <w:pPr>
        <w:pStyle w:val="9"/>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0CCAB403">
      <w:pPr>
        <w:pStyle w:val="9"/>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5768974D">
      <w:pPr>
        <w:pStyle w:val="9"/>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6281585C">
      <w:pPr>
        <w:pStyle w:val="9"/>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1727B723">
      <w:pPr>
        <w:pStyle w:val="9"/>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69A97AE6">
      <w:pPr>
        <w:pStyle w:val="9"/>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25DCCACF">
      <w:pPr>
        <w:pStyle w:val="9"/>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225D2757">
      <w:pPr>
        <w:pStyle w:val="9"/>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6ABAFAA9">
      <w:pPr>
        <w:pStyle w:val="9"/>
        <w:spacing w:line="286" w:lineRule="auto"/>
        <w:rPr>
          <w:rFonts w:hint="eastAsia" w:ascii="仿宋" w:hAnsi="仿宋" w:eastAsia="仿宋" w:cs="仿宋"/>
          <w:color w:val="000000" w:themeColor="text1"/>
          <w:highlight w:val="none"/>
          <w:lang w:eastAsia="zh-CN"/>
          <w14:textFill>
            <w14:solidFill>
              <w14:schemeClr w14:val="tx1"/>
            </w14:solidFill>
          </w14:textFill>
        </w:rPr>
      </w:pPr>
    </w:p>
    <w:p w14:paraId="222F1F3B">
      <w:pPr>
        <w:pStyle w:val="9"/>
        <w:spacing w:before="133" w:line="205" w:lineRule="auto"/>
        <w:ind w:left="546"/>
        <w:rPr>
          <w:rFonts w:hint="eastAsia" w:ascii="仿宋" w:hAnsi="仿宋" w:eastAsia="仿宋" w:cs="仿宋"/>
          <w:b/>
          <w:bCs/>
          <w:color w:val="000000" w:themeColor="text1"/>
          <w:spacing w:val="-11"/>
          <w:sz w:val="31"/>
          <w:szCs w:val="31"/>
          <w:highlight w:val="none"/>
          <w:lang w:eastAsia="zh-CN"/>
          <w14:textFill>
            <w14:solidFill>
              <w14:schemeClr w14:val="tx1"/>
            </w14:solidFill>
          </w14:textFill>
        </w:rPr>
      </w:pPr>
      <w:r>
        <w:rPr>
          <w:rFonts w:hint="eastAsia" w:ascii="仿宋" w:hAnsi="仿宋" w:eastAsia="仿宋" w:cs="仿宋"/>
          <w:b/>
          <w:bCs/>
          <w:color w:val="000000" w:themeColor="text1"/>
          <w:spacing w:val="-11"/>
          <w:sz w:val="31"/>
          <w:szCs w:val="31"/>
          <w:highlight w:val="none"/>
          <w:lang w:eastAsia="zh-CN"/>
          <w14:textFill>
            <w14:solidFill>
              <w14:schemeClr w14:val="tx1"/>
            </w14:solidFill>
          </w14:textFill>
        </w:rPr>
        <w:t>项目名称:</w:t>
      </w:r>
    </w:p>
    <w:p w14:paraId="04CDDB40">
      <w:pPr>
        <w:pStyle w:val="9"/>
        <w:spacing w:before="133" w:line="205" w:lineRule="auto"/>
        <w:ind w:left="546"/>
        <w:rPr>
          <w:rFonts w:hint="eastAsia" w:ascii="仿宋" w:hAnsi="仿宋" w:eastAsia="仿宋" w:cs="仿宋"/>
          <w:b/>
          <w:bCs/>
          <w:color w:val="000000" w:themeColor="text1"/>
          <w:spacing w:val="-11"/>
          <w:sz w:val="31"/>
          <w:szCs w:val="31"/>
          <w:highlight w:val="none"/>
          <w:lang w:eastAsia="zh-CN"/>
          <w14:textFill>
            <w14:solidFill>
              <w14:schemeClr w14:val="tx1"/>
            </w14:solidFill>
          </w14:textFill>
        </w:rPr>
      </w:pPr>
    </w:p>
    <w:p w14:paraId="7C6965D9">
      <w:pPr>
        <w:pStyle w:val="9"/>
        <w:spacing w:before="8" w:line="205" w:lineRule="auto"/>
        <w:ind w:left="546"/>
        <w:rPr>
          <w:rFonts w:hint="eastAsia" w:ascii="仿宋" w:hAnsi="仿宋" w:eastAsia="仿宋" w:cs="仿宋"/>
          <w:b/>
          <w:bCs/>
          <w:color w:val="000000" w:themeColor="text1"/>
          <w:spacing w:val="1"/>
          <w:sz w:val="31"/>
          <w:szCs w:val="31"/>
          <w:highlight w:val="none"/>
          <w:lang w:eastAsia="zh-CN"/>
          <w14:textFill>
            <w14:solidFill>
              <w14:schemeClr w14:val="tx1"/>
            </w14:solidFill>
          </w14:textFill>
        </w:rPr>
      </w:pPr>
      <w:r>
        <w:rPr>
          <w:rFonts w:hint="eastAsia" w:ascii="仿宋" w:hAnsi="仿宋" w:eastAsia="仿宋" w:cs="仿宋"/>
          <w:b/>
          <w:bCs/>
          <w:color w:val="000000" w:themeColor="text1"/>
          <w:spacing w:val="1"/>
          <w:sz w:val="31"/>
          <w:szCs w:val="31"/>
          <w:highlight w:val="none"/>
          <w:lang w:eastAsia="zh-CN"/>
          <w14:textFill>
            <w14:solidFill>
              <w14:schemeClr w14:val="tx1"/>
            </w14:solidFill>
          </w14:textFill>
        </w:rPr>
        <w:t>项目编号/包号：</w:t>
      </w:r>
    </w:p>
    <w:p w14:paraId="447B6037">
      <w:pPr>
        <w:pStyle w:val="9"/>
        <w:spacing w:before="8" w:line="205" w:lineRule="auto"/>
        <w:ind w:left="546"/>
        <w:rPr>
          <w:rFonts w:hint="eastAsia" w:ascii="仿宋" w:hAnsi="仿宋" w:eastAsia="仿宋" w:cs="仿宋"/>
          <w:b/>
          <w:bCs/>
          <w:color w:val="000000" w:themeColor="text1"/>
          <w:spacing w:val="1"/>
          <w:sz w:val="31"/>
          <w:szCs w:val="31"/>
          <w:highlight w:val="none"/>
          <w:lang w:eastAsia="zh-CN"/>
          <w14:textFill>
            <w14:solidFill>
              <w14:schemeClr w14:val="tx1"/>
            </w14:solidFill>
          </w14:textFill>
        </w:rPr>
      </w:pPr>
    </w:p>
    <w:p w14:paraId="6F0D7265">
      <w:pPr>
        <w:pStyle w:val="9"/>
        <w:spacing w:before="8" w:line="205" w:lineRule="auto"/>
        <w:ind w:left="546"/>
        <w:rPr>
          <w:rFonts w:hint="eastAsia" w:ascii="仿宋" w:hAnsi="仿宋" w:eastAsia="仿宋" w:cs="仿宋"/>
          <w:b/>
          <w:bCs/>
          <w:color w:val="000000" w:themeColor="text1"/>
          <w:spacing w:val="34"/>
          <w:sz w:val="31"/>
          <w:szCs w:val="31"/>
          <w:highlight w:val="none"/>
          <w:lang w:eastAsia="zh-CN"/>
          <w14:textFill>
            <w14:solidFill>
              <w14:schemeClr w14:val="tx1"/>
            </w14:solidFill>
          </w14:textFill>
        </w:rPr>
      </w:pPr>
      <w:r>
        <w:rPr>
          <w:rFonts w:hint="eastAsia" w:ascii="仿宋" w:hAnsi="仿宋" w:eastAsia="仿宋" w:cs="仿宋"/>
          <w:b/>
          <w:bCs/>
          <w:color w:val="000000" w:themeColor="text1"/>
          <w:spacing w:val="34"/>
          <w:sz w:val="31"/>
          <w:szCs w:val="31"/>
          <w:highlight w:val="none"/>
          <w:lang w:eastAsia="zh-CN"/>
          <w14:textFill>
            <w14:solidFill>
              <w14:schemeClr w14:val="tx1"/>
            </w14:solidFill>
          </w14:textFill>
        </w:rPr>
        <w:t>供应商名称：</w:t>
      </w:r>
    </w:p>
    <w:p w14:paraId="1693F245">
      <w:pPr>
        <w:pStyle w:val="9"/>
        <w:spacing w:before="8" w:line="205" w:lineRule="auto"/>
        <w:ind w:left="546"/>
        <w:rPr>
          <w:rFonts w:hint="eastAsia" w:ascii="仿宋" w:hAnsi="仿宋" w:eastAsia="仿宋" w:cs="仿宋"/>
          <w:b/>
          <w:bCs/>
          <w:color w:val="000000" w:themeColor="text1"/>
          <w:spacing w:val="34"/>
          <w:sz w:val="31"/>
          <w:szCs w:val="31"/>
          <w:highlight w:val="none"/>
          <w:lang w:eastAsia="zh-CN"/>
          <w14:textFill>
            <w14:solidFill>
              <w14:schemeClr w14:val="tx1"/>
            </w14:solidFill>
          </w14:textFill>
        </w:rPr>
      </w:pPr>
    </w:p>
    <w:p w14:paraId="0CA7AD6A">
      <w:pPr>
        <w:pStyle w:val="9"/>
        <w:spacing w:before="8" w:line="205" w:lineRule="auto"/>
        <w:ind w:left="546"/>
        <w:rPr>
          <w:rFonts w:hint="eastAsia" w:ascii="仿宋" w:hAnsi="仿宋" w:eastAsia="仿宋" w:cs="仿宋"/>
          <w:b/>
          <w:bCs/>
          <w:color w:val="000000" w:themeColor="text1"/>
          <w:spacing w:val="34"/>
          <w:sz w:val="31"/>
          <w:szCs w:val="31"/>
          <w:highlight w:val="none"/>
          <w:lang w:val="en-US" w:eastAsia="zh-CN"/>
          <w14:textFill>
            <w14:solidFill>
              <w14:schemeClr w14:val="tx1"/>
            </w14:solidFill>
          </w14:textFill>
        </w:rPr>
      </w:pPr>
      <w:r>
        <w:rPr>
          <w:rFonts w:hint="eastAsia" w:ascii="仿宋" w:hAnsi="仿宋" w:eastAsia="仿宋" w:cs="仿宋"/>
          <w:b/>
          <w:bCs/>
          <w:color w:val="000000" w:themeColor="text1"/>
          <w:spacing w:val="34"/>
          <w:sz w:val="31"/>
          <w:szCs w:val="31"/>
          <w:highlight w:val="none"/>
          <w:lang w:val="en-US" w:eastAsia="zh-CN"/>
          <w14:textFill>
            <w14:solidFill>
              <w14:schemeClr w14:val="tx1"/>
            </w14:solidFill>
          </w14:textFill>
        </w:rPr>
        <w:t>日期：</w:t>
      </w:r>
    </w:p>
    <w:p w14:paraId="71EA83E6">
      <w:pPr>
        <w:spacing w:line="205" w:lineRule="auto"/>
        <w:rPr>
          <w:rFonts w:hint="eastAsia" w:ascii="仿宋" w:hAnsi="仿宋" w:eastAsia="仿宋" w:cs="仿宋"/>
          <w:color w:val="000000" w:themeColor="text1"/>
          <w:sz w:val="31"/>
          <w:szCs w:val="31"/>
          <w:highlight w:val="none"/>
          <w:lang w:eastAsia="zh-CN"/>
          <w14:textFill>
            <w14:solidFill>
              <w14:schemeClr w14:val="tx1"/>
            </w14:solidFill>
          </w14:textFill>
        </w:rPr>
        <w:sectPr>
          <w:headerReference r:id="rId18" w:type="default"/>
          <w:footerReference r:id="rId19" w:type="default"/>
          <w:pgSz w:w="11907" w:h="16840"/>
          <w:pgMar w:top="1183" w:right="1133" w:bottom="1060" w:left="1701" w:header="841" w:footer="886" w:gutter="0"/>
          <w:pgNumType w:fmt="decimal"/>
          <w:cols w:space="720" w:num="1"/>
        </w:sectPr>
      </w:pPr>
    </w:p>
    <w:p w14:paraId="4CD30E75">
      <w:pPr>
        <w:rPr>
          <w:rFonts w:hint="eastAsia" w:ascii="仿宋" w:hAnsi="仿宋" w:eastAsia="仿宋" w:cs="仿宋"/>
          <w:color w:val="000000" w:themeColor="text1"/>
          <w:highlight w:val="none"/>
          <w:lang w:eastAsia="zh-CN"/>
          <w14:textFill>
            <w14:solidFill>
              <w14:schemeClr w14:val="tx1"/>
            </w14:solidFill>
          </w14:textFill>
        </w:rPr>
      </w:pPr>
    </w:p>
    <w:p w14:paraId="57DE7ABD">
      <w:pPr>
        <w:spacing w:line="360" w:lineRule="auto"/>
        <w:outlineLvl w:val="1"/>
        <w:rPr>
          <w:rFonts w:hint="eastAsia"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1 满足《中华人民共和国政府采购法》第二十二条规定</w:t>
      </w:r>
    </w:p>
    <w:p w14:paraId="0D179581">
      <w:pPr>
        <w:spacing w:line="360" w:lineRule="auto"/>
        <w:outlineLvl w:val="2"/>
        <w:rPr>
          <w:rFonts w:hint="eastAsia"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1-1  营业执照等证明文件</w:t>
      </w:r>
    </w:p>
    <w:p w14:paraId="5CCF3E78">
      <w:pPr>
        <w:rPr>
          <w:rFonts w:hint="eastAsia" w:ascii="仿宋" w:hAnsi="仿宋" w:eastAsia="仿宋" w:cs="仿宋"/>
          <w:color w:val="000000" w:themeColor="text1"/>
          <w:highlight w:val="none"/>
          <w:lang w:eastAsia="zh-CN"/>
          <w14:textFill>
            <w14:solidFill>
              <w14:schemeClr w14:val="tx1"/>
            </w14:solidFill>
          </w14:textFill>
        </w:rPr>
      </w:pPr>
    </w:p>
    <w:p w14:paraId="159C5BCF">
      <w:pPr>
        <w:rPr>
          <w:rFonts w:hint="eastAsia" w:ascii="仿宋" w:hAnsi="仿宋" w:eastAsia="仿宋" w:cs="仿宋"/>
          <w:color w:val="000000" w:themeColor="text1"/>
          <w:highlight w:val="none"/>
          <w:lang w:eastAsia="zh-CN"/>
          <w14:textFill>
            <w14:solidFill>
              <w14:schemeClr w14:val="tx1"/>
            </w14:solidFill>
          </w14:textFill>
        </w:rPr>
      </w:pPr>
    </w:p>
    <w:p w14:paraId="2A7AE25A">
      <w:pP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【注：提供证明文件的复印件须加盖本单位公章。】</w:t>
      </w:r>
    </w:p>
    <w:p w14:paraId="474A5B7B">
      <w:pPr>
        <w:rPr>
          <w:rFonts w:hint="eastAsia" w:ascii="仿宋" w:hAnsi="仿宋" w:eastAsia="仿宋" w:cs="仿宋"/>
          <w:color w:val="000000" w:themeColor="text1"/>
          <w:highlight w:val="none"/>
          <w:lang w:eastAsia="zh-CN"/>
          <w14:textFill>
            <w14:solidFill>
              <w14:schemeClr w14:val="tx1"/>
            </w14:solidFill>
          </w14:textFill>
        </w:rPr>
      </w:pPr>
    </w:p>
    <w:p w14:paraId="0AA44DC9">
      <w:pPr>
        <w:rPr>
          <w:rFonts w:hint="eastAsia" w:ascii="仿宋" w:hAnsi="仿宋" w:eastAsia="仿宋" w:cs="仿宋"/>
          <w:color w:val="000000" w:themeColor="text1"/>
          <w:highlight w:val="none"/>
          <w:lang w:eastAsia="zh-CN"/>
          <w14:textFill>
            <w14:solidFill>
              <w14:schemeClr w14:val="tx1"/>
            </w14:solidFill>
          </w14:textFill>
        </w:rPr>
      </w:pPr>
    </w:p>
    <w:p w14:paraId="5C48D22A">
      <w:pPr>
        <w:rPr>
          <w:rFonts w:hint="eastAsia" w:ascii="仿宋" w:hAnsi="仿宋" w:eastAsia="仿宋" w:cs="仿宋"/>
          <w:color w:val="000000" w:themeColor="text1"/>
          <w:highlight w:val="none"/>
          <w:lang w:eastAsia="zh-CN"/>
          <w14:textFill>
            <w14:solidFill>
              <w14:schemeClr w14:val="tx1"/>
            </w14:solidFill>
          </w14:textFill>
        </w:rPr>
      </w:pPr>
    </w:p>
    <w:p w14:paraId="70B36D4C">
      <w:pPr>
        <w:rPr>
          <w:rFonts w:hint="eastAsia" w:ascii="仿宋" w:hAnsi="仿宋" w:eastAsia="仿宋" w:cs="仿宋"/>
          <w:color w:val="000000" w:themeColor="text1"/>
          <w:highlight w:val="none"/>
          <w:lang w:eastAsia="zh-CN"/>
          <w14:textFill>
            <w14:solidFill>
              <w14:schemeClr w14:val="tx1"/>
            </w14:solidFill>
          </w14:textFill>
        </w:rPr>
      </w:pPr>
    </w:p>
    <w:p w14:paraId="2E74E6DC">
      <w:pPr>
        <w:rPr>
          <w:rFonts w:hint="eastAsia" w:ascii="仿宋" w:hAnsi="仿宋" w:eastAsia="仿宋" w:cs="仿宋"/>
          <w:color w:val="000000" w:themeColor="text1"/>
          <w:highlight w:val="none"/>
          <w:lang w:eastAsia="zh-CN"/>
          <w14:textFill>
            <w14:solidFill>
              <w14:schemeClr w14:val="tx1"/>
            </w14:solidFill>
          </w14:textFill>
        </w:rPr>
      </w:pPr>
    </w:p>
    <w:p w14:paraId="55C94F47">
      <w:pPr>
        <w:rPr>
          <w:rFonts w:hint="eastAsia" w:ascii="仿宋" w:hAnsi="仿宋" w:eastAsia="仿宋" w:cs="仿宋"/>
          <w:color w:val="000000" w:themeColor="text1"/>
          <w:highlight w:val="none"/>
          <w:lang w:eastAsia="zh-CN"/>
          <w14:textFill>
            <w14:solidFill>
              <w14:schemeClr w14:val="tx1"/>
            </w14:solidFill>
          </w14:textFill>
        </w:rPr>
      </w:pPr>
    </w:p>
    <w:p w14:paraId="26F329F7">
      <w:pPr>
        <w:rPr>
          <w:rFonts w:hint="eastAsia" w:ascii="仿宋" w:hAnsi="仿宋" w:eastAsia="仿宋" w:cs="仿宋"/>
          <w:color w:val="000000" w:themeColor="text1"/>
          <w:highlight w:val="none"/>
          <w:lang w:eastAsia="zh-CN"/>
          <w14:textFill>
            <w14:solidFill>
              <w14:schemeClr w14:val="tx1"/>
            </w14:solidFill>
          </w14:textFill>
        </w:rPr>
      </w:pPr>
    </w:p>
    <w:p w14:paraId="599DB408">
      <w:pPr>
        <w:rPr>
          <w:rFonts w:hint="eastAsia" w:ascii="仿宋" w:hAnsi="仿宋" w:eastAsia="仿宋" w:cs="仿宋"/>
          <w:color w:val="000000" w:themeColor="text1"/>
          <w:highlight w:val="none"/>
          <w:lang w:eastAsia="zh-CN"/>
          <w14:textFill>
            <w14:solidFill>
              <w14:schemeClr w14:val="tx1"/>
            </w14:solidFill>
          </w14:textFill>
        </w:rPr>
      </w:pPr>
    </w:p>
    <w:p w14:paraId="121085CE">
      <w:pPr>
        <w:rPr>
          <w:rFonts w:hint="eastAsia" w:ascii="仿宋" w:hAnsi="仿宋" w:eastAsia="仿宋" w:cs="仿宋"/>
          <w:color w:val="000000" w:themeColor="text1"/>
          <w:highlight w:val="none"/>
          <w:lang w:eastAsia="zh-CN"/>
          <w14:textFill>
            <w14:solidFill>
              <w14:schemeClr w14:val="tx1"/>
            </w14:solidFill>
          </w14:textFill>
        </w:rPr>
      </w:pPr>
    </w:p>
    <w:p w14:paraId="1EE9DCB8">
      <w:pPr>
        <w:rPr>
          <w:rFonts w:hint="eastAsia" w:ascii="仿宋" w:hAnsi="仿宋" w:eastAsia="仿宋" w:cs="仿宋"/>
          <w:color w:val="000000" w:themeColor="text1"/>
          <w:highlight w:val="none"/>
          <w:lang w:eastAsia="zh-CN"/>
          <w14:textFill>
            <w14:solidFill>
              <w14:schemeClr w14:val="tx1"/>
            </w14:solidFill>
          </w14:textFill>
        </w:rPr>
      </w:pPr>
    </w:p>
    <w:p w14:paraId="0CC5511E">
      <w:pPr>
        <w:rPr>
          <w:rFonts w:hint="eastAsia" w:ascii="仿宋" w:hAnsi="仿宋" w:eastAsia="仿宋" w:cs="仿宋"/>
          <w:color w:val="000000" w:themeColor="text1"/>
          <w:highlight w:val="none"/>
          <w:lang w:eastAsia="zh-CN"/>
          <w14:textFill>
            <w14:solidFill>
              <w14:schemeClr w14:val="tx1"/>
            </w14:solidFill>
          </w14:textFill>
        </w:rPr>
      </w:pPr>
    </w:p>
    <w:p w14:paraId="08C5B050">
      <w:pPr>
        <w:rPr>
          <w:rFonts w:hint="eastAsia" w:ascii="仿宋" w:hAnsi="仿宋" w:eastAsia="仿宋" w:cs="仿宋"/>
          <w:color w:val="000000" w:themeColor="text1"/>
          <w:highlight w:val="none"/>
          <w:lang w:eastAsia="zh-CN"/>
          <w14:textFill>
            <w14:solidFill>
              <w14:schemeClr w14:val="tx1"/>
            </w14:solidFill>
          </w14:textFill>
        </w:rPr>
      </w:pPr>
    </w:p>
    <w:p w14:paraId="23099A52">
      <w:pPr>
        <w:rPr>
          <w:rFonts w:hint="eastAsia" w:ascii="仿宋" w:hAnsi="仿宋" w:eastAsia="仿宋" w:cs="仿宋"/>
          <w:color w:val="000000" w:themeColor="text1"/>
          <w:highlight w:val="none"/>
          <w:lang w:eastAsia="zh-CN"/>
          <w14:textFill>
            <w14:solidFill>
              <w14:schemeClr w14:val="tx1"/>
            </w14:solidFill>
          </w14:textFill>
        </w:rPr>
      </w:pPr>
    </w:p>
    <w:p w14:paraId="42720A8A">
      <w:pPr>
        <w:rPr>
          <w:rFonts w:hint="eastAsia" w:ascii="仿宋" w:hAnsi="仿宋" w:eastAsia="仿宋" w:cs="仿宋"/>
          <w:color w:val="000000" w:themeColor="text1"/>
          <w:highlight w:val="none"/>
          <w:lang w:eastAsia="zh-CN"/>
          <w14:textFill>
            <w14:solidFill>
              <w14:schemeClr w14:val="tx1"/>
            </w14:solidFill>
          </w14:textFill>
        </w:rPr>
      </w:pPr>
    </w:p>
    <w:p w14:paraId="2C0B264D">
      <w:pPr>
        <w:rPr>
          <w:rFonts w:hint="eastAsia" w:ascii="仿宋" w:hAnsi="仿宋" w:eastAsia="仿宋" w:cs="仿宋"/>
          <w:color w:val="000000" w:themeColor="text1"/>
          <w:highlight w:val="none"/>
          <w:lang w:eastAsia="zh-CN"/>
          <w14:textFill>
            <w14:solidFill>
              <w14:schemeClr w14:val="tx1"/>
            </w14:solidFill>
          </w14:textFill>
        </w:rPr>
      </w:pPr>
    </w:p>
    <w:p w14:paraId="42C92D77">
      <w:pPr>
        <w:rPr>
          <w:rFonts w:hint="eastAsia" w:ascii="仿宋" w:hAnsi="仿宋" w:eastAsia="仿宋" w:cs="仿宋"/>
          <w:color w:val="000000" w:themeColor="text1"/>
          <w:highlight w:val="none"/>
          <w:lang w:eastAsia="zh-CN"/>
          <w14:textFill>
            <w14:solidFill>
              <w14:schemeClr w14:val="tx1"/>
            </w14:solidFill>
          </w14:textFill>
        </w:rPr>
      </w:pPr>
    </w:p>
    <w:p w14:paraId="3AE211BC">
      <w:pPr>
        <w:rPr>
          <w:rFonts w:hint="eastAsia" w:ascii="仿宋" w:hAnsi="仿宋" w:eastAsia="仿宋" w:cs="仿宋"/>
          <w:color w:val="000000" w:themeColor="text1"/>
          <w:highlight w:val="none"/>
          <w:lang w:eastAsia="zh-CN"/>
          <w14:textFill>
            <w14:solidFill>
              <w14:schemeClr w14:val="tx1"/>
            </w14:solidFill>
          </w14:textFill>
        </w:rPr>
      </w:pPr>
    </w:p>
    <w:p w14:paraId="0DCF3B88">
      <w:pPr>
        <w:rPr>
          <w:rFonts w:hint="eastAsia" w:ascii="仿宋" w:hAnsi="仿宋" w:eastAsia="仿宋" w:cs="仿宋"/>
          <w:color w:val="000000" w:themeColor="text1"/>
          <w:highlight w:val="none"/>
          <w:lang w:eastAsia="zh-CN"/>
          <w14:textFill>
            <w14:solidFill>
              <w14:schemeClr w14:val="tx1"/>
            </w14:solidFill>
          </w14:textFill>
        </w:rPr>
      </w:pPr>
    </w:p>
    <w:p w14:paraId="622B88E7">
      <w:pPr>
        <w:rPr>
          <w:rFonts w:hint="eastAsia" w:ascii="仿宋" w:hAnsi="仿宋" w:eastAsia="仿宋" w:cs="仿宋"/>
          <w:color w:val="000000" w:themeColor="text1"/>
          <w:highlight w:val="none"/>
          <w:lang w:eastAsia="zh-CN"/>
          <w14:textFill>
            <w14:solidFill>
              <w14:schemeClr w14:val="tx1"/>
            </w14:solidFill>
          </w14:textFill>
        </w:rPr>
      </w:pPr>
    </w:p>
    <w:p w14:paraId="3B2FDE1C">
      <w:pPr>
        <w:rPr>
          <w:rFonts w:hint="eastAsia" w:ascii="仿宋" w:hAnsi="仿宋" w:eastAsia="仿宋" w:cs="仿宋"/>
          <w:color w:val="000000" w:themeColor="text1"/>
          <w:highlight w:val="none"/>
          <w:lang w:eastAsia="zh-CN"/>
          <w14:textFill>
            <w14:solidFill>
              <w14:schemeClr w14:val="tx1"/>
            </w14:solidFill>
          </w14:textFill>
        </w:rPr>
      </w:pPr>
    </w:p>
    <w:p w14:paraId="3668A9FF">
      <w:pPr>
        <w:rPr>
          <w:rFonts w:hint="eastAsia" w:ascii="仿宋" w:hAnsi="仿宋" w:eastAsia="仿宋" w:cs="仿宋"/>
          <w:color w:val="000000" w:themeColor="text1"/>
          <w:highlight w:val="none"/>
          <w:lang w:eastAsia="zh-CN"/>
          <w14:textFill>
            <w14:solidFill>
              <w14:schemeClr w14:val="tx1"/>
            </w14:solidFill>
          </w14:textFill>
        </w:rPr>
      </w:pPr>
    </w:p>
    <w:p w14:paraId="684E5C99">
      <w:pPr>
        <w:rPr>
          <w:rFonts w:hint="eastAsia" w:ascii="仿宋" w:hAnsi="仿宋" w:eastAsia="仿宋" w:cs="仿宋"/>
          <w:color w:val="000000" w:themeColor="text1"/>
          <w:highlight w:val="none"/>
          <w:lang w:eastAsia="zh-CN"/>
          <w14:textFill>
            <w14:solidFill>
              <w14:schemeClr w14:val="tx1"/>
            </w14:solidFill>
          </w14:textFill>
        </w:rPr>
      </w:pPr>
    </w:p>
    <w:p w14:paraId="214345EE">
      <w:pPr>
        <w:rPr>
          <w:rFonts w:hint="eastAsia" w:ascii="仿宋" w:hAnsi="仿宋" w:eastAsia="仿宋" w:cs="仿宋"/>
          <w:color w:val="000000" w:themeColor="text1"/>
          <w:highlight w:val="none"/>
          <w:lang w:eastAsia="zh-CN"/>
          <w14:textFill>
            <w14:solidFill>
              <w14:schemeClr w14:val="tx1"/>
            </w14:solidFill>
          </w14:textFill>
        </w:rPr>
      </w:pPr>
    </w:p>
    <w:p w14:paraId="2CDE87F7">
      <w:pPr>
        <w:rPr>
          <w:rFonts w:hint="eastAsia" w:ascii="仿宋" w:hAnsi="仿宋" w:eastAsia="仿宋" w:cs="仿宋"/>
          <w:color w:val="000000" w:themeColor="text1"/>
          <w:highlight w:val="none"/>
          <w:lang w:eastAsia="zh-CN"/>
          <w14:textFill>
            <w14:solidFill>
              <w14:schemeClr w14:val="tx1"/>
            </w14:solidFill>
          </w14:textFill>
        </w:rPr>
      </w:pPr>
    </w:p>
    <w:p w14:paraId="7012D3A9">
      <w:pPr>
        <w:rPr>
          <w:rFonts w:hint="eastAsia" w:ascii="仿宋" w:hAnsi="仿宋" w:eastAsia="仿宋" w:cs="仿宋"/>
          <w:color w:val="000000" w:themeColor="text1"/>
          <w:highlight w:val="none"/>
          <w:lang w:eastAsia="zh-CN"/>
          <w14:textFill>
            <w14:solidFill>
              <w14:schemeClr w14:val="tx1"/>
            </w14:solidFill>
          </w14:textFill>
        </w:rPr>
      </w:pPr>
    </w:p>
    <w:p w14:paraId="1D4EFECC">
      <w:pPr>
        <w:rPr>
          <w:rFonts w:hint="eastAsia" w:ascii="仿宋" w:hAnsi="仿宋" w:eastAsia="仿宋" w:cs="仿宋"/>
          <w:color w:val="000000" w:themeColor="text1"/>
          <w:highlight w:val="none"/>
          <w:lang w:eastAsia="zh-CN"/>
          <w14:textFill>
            <w14:solidFill>
              <w14:schemeClr w14:val="tx1"/>
            </w14:solidFill>
          </w14:textFill>
        </w:rPr>
      </w:pPr>
    </w:p>
    <w:p w14:paraId="7A918A15">
      <w:pPr>
        <w:rPr>
          <w:rFonts w:hint="eastAsia" w:ascii="仿宋" w:hAnsi="仿宋" w:eastAsia="仿宋" w:cs="仿宋"/>
          <w:color w:val="000000" w:themeColor="text1"/>
          <w:highlight w:val="none"/>
          <w:lang w:eastAsia="zh-CN"/>
          <w14:textFill>
            <w14:solidFill>
              <w14:schemeClr w14:val="tx1"/>
            </w14:solidFill>
          </w14:textFill>
        </w:rPr>
      </w:pPr>
    </w:p>
    <w:p w14:paraId="3C6B4DC0">
      <w:pPr>
        <w:rPr>
          <w:rFonts w:hint="eastAsia" w:ascii="仿宋" w:hAnsi="仿宋" w:eastAsia="仿宋" w:cs="仿宋"/>
          <w:color w:val="000000" w:themeColor="text1"/>
          <w:highlight w:val="none"/>
          <w:lang w:eastAsia="zh-CN"/>
          <w14:textFill>
            <w14:solidFill>
              <w14:schemeClr w14:val="tx1"/>
            </w14:solidFill>
          </w14:textFill>
        </w:rPr>
      </w:pPr>
    </w:p>
    <w:p w14:paraId="7B929DFB">
      <w:pPr>
        <w:rPr>
          <w:rFonts w:hint="eastAsia" w:ascii="仿宋" w:hAnsi="仿宋" w:eastAsia="仿宋" w:cs="仿宋"/>
          <w:color w:val="000000" w:themeColor="text1"/>
          <w:highlight w:val="none"/>
          <w:lang w:eastAsia="zh-CN"/>
          <w14:textFill>
            <w14:solidFill>
              <w14:schemeClr w14:val="tx1"/>
            </w14:solidFill>
          </w14:textFill>
        </w:rPr>
      </w:pPr>
    </w:p>
    <w:p w14:paraId="42C3A137">
      <w:pPr>
        <w:rPr>
          <w:rFonts w:hint="eastAsia" w:ascii="仿宋" w:hAnsi="仿宋" w:eastAsia="仿宋" w:cs="仿宋"/>
          <w:color w:val="000000" w:themeColor="text1"/>
          <w:highlight w:val="none"/>
          <w:lang w:eastAsia="zh-CN"/>
          <w14:textFill>
            <w14:solidFill>
              <w14:schemeClr w14:val="tx1"/>
            </w14:solidFill>
          </w14:textFill>
        </w:rPr>
      </w:pPr>
    </w:p>
    <w:p w14:paraId="660C9EB5">
      <w:pPr>
        <w:rPr>
          <w:rFonts w:hint="eastAsia" w:ascii="仿宋" w:hAnsi="仿宋" w:eastAsia="仿宋" w:cs="仿宋"/>
          <w:color w:val="000000" w:themeColor="text1"/>
          <w:highlight w:val="none"/>
          <w:lang w:eastAsia="zh-CN"/>
          <w14:textFill>
            <w14:solidFill>
              <w14:schemeClr w14:val="tx1"/>
            </w14:solidFill>
          </w14:textFill>
        </w:rPr>
      </w:pPr>
    </w:p>
    <w:p w14:paraId="0D317CE5">
      <w:pPr>
        <w:rPr>
          <w:rFonts w:hint="eastAsia" w:ascii="仿宋" w:hAnsi="仿宋" w:eastAsia="仿宋" w:cs="仿宋"/>
          <w:color w:val="000000" w:themeColor="text1"/>
          <w:highlight w:val="none"/>
          <w:lang w:eastAsia="zh-CN"/>
          <w14:textFill>
            <w14:solidFill>
              <w14:schemeClr w14:val="tx1"/>
            </w14:solidFill>
          </w14:textFill>
        </w:rPr>
      </w:pPr>
    </w:p>
    <w:p w14:paraId="3E910953">
      <w:pPr>
        <w:rPr>
          <w:rFonts w:hint="eastAsia" w:ascii="仿宋" w:hAnsi="仿宋" w:eastAsia="仿宋" w:cs="仿宋"/>
          <w:color w:val="000000" w:themeColor="text1"/>
          <w:highlight w:val="none"/>
          <w:lang w:eastAsia="zh-CN"/>
          <w14:textFill>
            <w14:solidFill>
              <w14:schemeClr w14:val="tx1"/>
            </w14:solidFill>
          </w14:textFill>
        </w:rPr>
      </w:pPr>
    </w:p>
    <w:p w14:paraId="5D1F8E77">
      <w:pPr>
        <w:rPr>
          <w:rFonts w:hint="eastAsia" w:ascii="仿宋" w:hAnsi="仿宋" w:eastAsia="仿宋" w:cs="仿宋"/>
          <w:color w:val="000000" w:themeColor="text1"/>
          <w:highlight w:val="none"/>
          <w:lang w:eastAsia="zh-CN"/>
          <w14:textFill>
            <w14:solidFill>
              <w14:schemeClr w14:val="tx1"/>
            </w14:solidFill>
          </w14:textFill>
        </w:rPr>
      </w:pPr>
    </w:p>
    <w:p w14:paraId="1EA958DA">
      <w:pPr>
        <w:rPr>
          <w:rFonts w:hint="eastAsia" w:ascii="仿宋" w:hAnsi="仿宋" w:eastAsia="仿宋" w:cs="仿宋"/>
          <w:color w:val="000000" w:themeColor="text1"/>
          <w:highlight w:val="none"/>
          <w:lang w:eastAsia="zh-CN"/>
          <w14:textFill>
            <w14:solidFill>
              <w14:schemeClr w14:val="tx1"/>
            </w14:solidFill>
          </w14:textFill>
        </w:rPr>
      </w:pPr>
    </w:p>
    <w:p w14:paraId="61C27311">
      <w:pPr>
        <w:rPr>
          <w:rFonts w:hint="eastAsia" w:ascii="仿宋" w:hAnsi="仿宋" w:eastAsia="仿宋" w:cs="仿宋"/>
          <w:color w:val="000000" w:themeColor="text1"/>
          <w:highlight w:val="none"/>
          <w:lang w:eastAsia="zh-CN"/>
          <w14:textFill>
            <w14:solidFill>
              <w14:schemeClr w14:val="tx1"/>
            </w14:solidFill>
          </w14:textFill>
        </w:rPr>
      </w:pPr>
    </w:p>
    <w:p w14:paraId="7BC54523">
      <w:pPr>
        <w:rPr>
          <w:rFonts w:hint="eastAsia" w:ascii="仿宋" w:hAnsi="仿宋" w:eastAsia="仿宋" w:cs="仿宋"/>
          <w:color w:val="000000" w:themeColor="text1"/>
          <w:highlight w:val="none"/>
          <w:lang w:eastAsia="zh-CN"/>
          <w14:textFill>
            <w14:solidFill>
              <w14:schemeClr w14:val="tx1"/>
            </w14:solidFill>
          </w14:textFill>
        </w:rPr>
      </w:pPr>
    </w:p>
    <w:p w14:paraId="59FA5A7B">
      <w:pPr>
        <w:rPr>
          <w:rFonts w:hint="eastAsia" w:ascii="仿宋" w:hAnsi="仿宋" w:eastAsia="仿宋" w:cs="仿宋"/>
          <w:color w:val="000000" w:themeColor="text1"/>
          <w:highlight w:val="none"/>
          <w:lang w:eastAsia="zh-CN"/>
          <w14:textFill>
            <w14:solidFill>
              <w14:schemeClr w14:val="tx1"/>
            </w14:solidFill>
          </w14:textFill>
        </w:rPr>
      </w:pPr>
    </w:p>
    <w:p w14:paraId="746E09CE">
      <w:pPr>
        <w:rPr>
          <w:rFonts w:hint="eastAsia" w:ascii="仿宋" w:hAnsi="仿宋" w:eastAsia="仿宋" w:cs="仿宋"/>
          <w:color w:val="000000" w:themeColor="text1"/>
          <w:highlight w:val="none"/>
          <w:lang w:eastAsia="zh-CN"/>
          <w14:textFill>
            <w14:solidFill>
              <w14:schemeClr w14:val="tx1"/>
            </w14:solidFill>
          </w14:textFill>
        </w:rPr>
      </w:pPr>
    </w:p>
    <w:p w14:paraId="3C7B1DF8">
      <w:pPr>
        <w:rPr>
          <w:rFonts w:hint="eastAsia" w:ascii="仿宋" w:hAnsi="仿宋" w:eastAsia="仿宋" w:cs="仿宋"/>
          <w:color w:val="000000" w:themeColor="text1"/>
          <w:highlight w:val="none"/>
          <w:lang w:eastAsia="zh-CN"/>
          <w14:textFill>
            <w14:solidFill>
              <w14:schemeClr w14:val="tx1"/>
            </w14:solidFill>
          </w14:textFill>
        </w:rPr>
      </w:pPr>
    </w:p>
    <w:p w14:paraId="5A398FEE">
      <w:pPr>
        <w:rPr>
          <w:rFonts w:hint="eastAsia" w:ascii="仿宋" w:hAnsi="仿宋" w:eastAsia="仿宋" w:cs="仿宋"/>
          <w:color w:val="000000" w:themeColor="text1"/>
          <w:highlight w:val="none"/>
          <w:lang w:eastAsia="zh-CN"/>
          <w14:textFill>
            <w14:solidFill>
              <w14:schemeClr w14:val="tx1"/>
            </w14:solidFill>
          </w14:textFill>
        </w:rPr>
      </w:pPr>
    </w:p>
    <w:p w14:paraId="6D537952">
      <w:pPr>
        <w:rPr>
          <w:rFonts w:hint="eastAsia" w:ascii="仿宋" w:hAnsi="仿宋" w:eastAsia="仿宋" w:cs="仿宋"/>
          <w:color w:val="000000" w:themeColor="text1"/>
          <w:highlight w:val="none"/>
          <w:lang w:eastAsia="zh-CN"/>
          <w14:textFill>
            <w14:solidFill>
              <w14:schemeClr w14:val="tx1"/>
            </w14:solidFill>
          </w14:textFill>
        </w:rPr>
      </w:pPr>
    </w:p>
    <w:p w14:paraId="36623327">
      <w:pPr>
        <w:rPr>
          <w:rFonts w:hint="eastAsia" w:ascii="仿宋" w:hAnsi="仿宋" w:eastAsia="仿宋" w:cs="仿宋"/>
          <w:color w:val="000000" w:themeColor="text1"/>
          <w:highlight w:val="none"/>
          <w:lang w:eastAsia="zh-CN"/>
          <w14:textFill>
            <w14:solidFill>
              <w14:schemeClr w14:val="tx1"/>
            </w14:solidFill>
          </w14:textFill>
        </w:rPr>
      </w:pPr>
    </w:p>
    <w:p w14:paraId="70513C73">
      <w:pPr>
        <w:rPr>
          <w:rFonts w:hint="eastAsia" w:ascii="仿宋" w:hAnsi="仿宋" w:eastAsia="仿宋" w:cs="仿宋"/>
          <w:color w:val="000000" w:themeColor="text1"/>
          <w:highlight w:val="none"/>
          <w:lang w:eastAsia="zh-CN"/>
          <w14:textFill>
            <w14:solidFill>
              <w14:schemeClr w14:val="tx1"/>
            </w14:solidFill>
          </w14:textFill>
        </w:rPr>
      </w:pPr>
    </w:p>
    <w:p w14:paraId="77890D72">
      <w:pPr>
        <w:spacing w:line="360" w:lineRule="auto"/>
        <w:outlineLvl w:val="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1-2供应商资格声明书（</w:t>
      </w:r>
      <w:r>
        <w:rPr>
          <w:rFonts w:hint="eastAsia" w:ascii="仿宋" w:hAnsi="仿宋" w:eastAsia="仿宋" w:cs="仿宋"/>
          <w:color w:val="000000" w:themeColor="text1"/>
          <w:spacing w:val="-5"/>
          <w:sz w:val="24"/>
          <w:szCs w:val="24"/>
          <w:highlight w:val="none"/>
          <w:lang w:val="en-US" w:eastAsia="zh-CN"/>
          <w14:textFill>
            <w14:solidFill>
              <w14:schemeClr w14:val="tx1"/>
            </w14:solidFill>
          </w14:textFill>
        </w:rPr>
        <w:t>实质性格式</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w:t>
      </w:r>
    </w:p>
    <w:p w14:paraId="5FD5D06A">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28A9520B">
      <w:pPr>
        <w:spacing w:line="360" w:lineRule="auto"/>
        <w:ind w:firstLine="3093"/>
        <w:rPr>
          <w:rFonts w:hint="eastAsia" w:ascii="仿宋" w:hAnsi="仿宋" w:eastAsia="仿宋" w:cs="仿宋"/>
          <w:color w:val="000000" w:themeColor="text1"/>
          <w:spacing w:val="5"/>
          <w:sz w:val="36"/>
          <w:szCs w:val="36"/>
          <w:highlight w:val="none"/>
          <w:lang w:eastAsia="zh-CN"/>
          <w14:textFill>
            <w14:solidFill>
              <w14:schemeClr w14:val="tx1"/>
            </w14:solidFill>
          </w14:textFill>
        </w:rPr>
      </w:pPr>
      <w:r>
        <w:rPr>
          <w:rFonts w:hint="eastAsia" w:ascii="仿宋" w:hAnsi="仿宋" w:eastAsia="仿宋" w:cs="仿宋"/>
          <w:color w:val="000000" w:themeColor="text1"/>
          <w:spacing w:val="-5"/>
          <w:sz w:val="36"/>
          <w:szCs w:val="36"/>
          <w:highlight w:val="none"/>
          <w:lang w:eastAsia="zh-CN"/>
          <w14:textFill>
            <w14:solidFill>
              <w14:schemeClr w14:val="tx1"/>
            </w14:solidFill>
          </w14:textFill>
        </w:rPr>
        <w:t>供应商资格声明书</w:t>
      </w:r>
      <w:r>
        <w:rPr>
          <w:rFonts w:hint="eastAsia" w:ascii="仿宋" w:hAnsi="仿宋" w:eastAsia="仿宋" w:cs="仿宋"/>
          <w:color w:val="000000" w:themeColor="text1"/>
          <w:spacing w:val="5"/>
          <w:sz w:val="36"/>
          <w:szCs w:val="36"/>
          <w:highlight w:val="none"/>
          <w:lang w:eastAsia="zh-CN"/>
          <w14:textFill>
            <w14:solidFill>
              <w14:schemeClr w14:val="tx1"/>
            </w14:solidFill>
          </w14:textFill>
        </w:rPr>
        <w:t xml:space="preserve"> </w:t>
      </w:r>
    </w:p>
    <w:p w14:paraId="02BD3A2E">
      <w:pPr>
        <w:spacing w:line="360" w:lineRule="auto"/>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致：</w:t>
      </w:r>
      <w:r>
        <w:rPr>
          <w:rFonts w:hint="eastAsia" w:ascii="仿宋" w:hAnsi="仿宋" w:eastAsia="仿宋" w:cs="仿宋"/>
          <w:color w:val="000000" w:themeColor="text1"/>
          <w:spacing w:val="-4"/>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u w:val="none"/>
          <w:lang w:eastAsia="zh-CN"/>
          <w14:textFill>
            <w14:solidFill>
              <w14:schemeClr w14:val="tx1"/>
            </w14:solidFill>
          </w14:textFill>
        </w:rPr>
        <w:t>采购人</w:t>
      </w:r>
    </w:p>
    <w:p w14:paraId="306DA372">
      <w:pPr>
        <w:spacing w:line="360" w:lineRule="auto"/>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在参与本次项目磋商中 ，我单位承诺：</w:t>
      </w:r>
    </w:p>
    <w:p w14:paraId="792410BF">
      <w:pPr>
        <w:spacing w:line="360" w:lineRule="auto"/>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（一）具有良好的商业信誉和健全的财务会计制度；</w:t>
      </w:r>
    </w:p>
    <w:p w14:paraId="77A37967">
      <w:pPr>
        <w:spacing w:line="360" w:lineRule="auto"/>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 二 ）具有履行合同所必需的设备和专业技术能力；</w:t>
      </w:r>
    </w:p>
    <w:p w14:paraId="557554BC">
      <w:pPr>
        <w:spacing w:line="360" w:lineRule="auto"/>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（三）有依法缴纳税收和社会保障资金的良好记录；</w:t>
      </w:r>
    </w:p>
    <w:p w14:paraId="114094EE">
      <w:pPr>
        <w:spacing w:line="360" w:lineRule="auto"/>
        <w:ind w:left="944" w:hanging="928" w:hangingChars="400"/>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 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59E1FC3">
      <w:pPr>
        <w:spacing w:line="360" w:lineRule="auto"/>
        <w:ind w:left="708" w:hanging="696" w:hangingChars="300"/>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（五）我单位不属于政府采购法律、行政法规规定的公益一类事业单位 、或使用事业编制且由财政拨款保障的群团组织（仅适用于政府购买服务项目）；</w:t>
      </w:r>
    </w:p>
    <w:p w14:paraId="4E35699C">
      <w:pPr>
        <w:spacing w:line="360" w:lineRule="auto"/>
        <w:ind w:left="708" w:hanging="696" w:hangingChars="300"/>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（六）我单位不存在为采购项目提供整体设计、规范编制或者项目管理、监理、检测等服务后，再参加该采购项目的其他采购活动的情形（单一来源采购项目除外）；</w:t>
      </w:r>
    </w:p>
    <w:p w14:paraId="7221638E">
      <w:pPr>
        <w:spacing w:line="360" w:lineRule="auto"/>
        <w:ind w:left="708" w:hanging="696" w:hangingChars="3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（七）与我单位存在 “单位负责人为同一人或者存在直接控股、管理关系”的其他法 人单位信息如下（如有 ，不论其是否参加同一合同项下的政府采购活动均须 填写）：</w:t>
      </w:r>
    </w:p>
    <w:tbl>
      <w:tblPr>
        <w:tblStyle w:val="33"/>
        <w:tblW w:w="8500"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4"/>
        <w:gridCol w:w="4549"/>
        <w:gridCol w:w="2997"/>
      </w:tblGrid>
      <w:tr w14:paraId="1ACE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954" w:type="dxa"/>
          </w:tcPr>
          <w:p w14:paraId="05F52F48">
            <w:pPr>
              <w:pStyle w:val="34"/>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7"/>
                <w:highlight w:val="none"/>
                <w14:textFill>
                  <w14:solidFill>
                    <w14:schemeClr w14:val="tx1"/>
                  </w14:solidFill>
                </w14:textFill>
              </w:rPr>
              <w:t>序号</w:t>
            </w:r>
          </w:p>
        </w:tc>
        <w:tc>
          <w:tcPr>
            <w:tcW w:w="4549" w:type="dxa"/>
          </w:tcPr>
          <w:p w14:paraId="2A2397D4">
            <w:pPr>
              <w:pStyle w:val="34"/>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6"/>
                <w:highlight w:val="none"/>
                <w14:textFill>
                  <w14:solidFill>
                    <w14:schemeClr w14:val="tx1"/>
                  </w14:solidFill>
                </w14:textFill>
              </w:rPr>
              <w:t>单位名称</w:t>
            </w:r>
          </w:p>
        </w:tc>
        <w:tc>
          <w:tcPr>
            <w:tcW w:w="2997" w:type="dxa"/>
          </w:tcPr>
          <w:p w14:paraId="32845C1C">
            <w:pPr>
              <w:pStyle w:val="34"/>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5"/>
                <w:highlight w:val="none"/>
                <w14:textFill>
                  <w14:solidFill>
                    <w14:schemeClr w14:val="tx1"/>
                  </w14:solidFill>
                </w14:textFill>
              </w:rPr>
              <w:t>相互关系</w:t>
            </w:r>
          </w:p>
        </w:tc>
      </w:tr>
      <w:tr w14:paraId="12C4B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rPr>
        <w:tc>
          <w:tcPr>
            <w:tcW w:w="954" w:type="dxa"/>
          </w:tcPr>
          <w:p w14:paraId="7C01B23A">
            <w:pPr>
              <w:pStyle w:val="34"/>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3"/>
                <w:highlight w:val="none"/>
                <w14:textFill>
                  <w14:solidFill>
                    <w14:schemeClr w14:val="tx1"/>
                  </w14:solidFill>
                </w14:textFill>
              </w:rPr>
              <w:t>1</w:t>
            </w:r>
          </w:p>
        </w:tc>
        <w:tc>
          <w:tcPr>
            <w:tcW w:w="4549" w:type="dxa"/>
          </w:tcPr>
          <w:p w14:paraId="681F5461">
            <w:pPr>
              <w:spacing w:line="360" w:lineRule="auto"/>
              <w:jc w:val="center"/>
              <w:rPr>
                <w:rFonts w:hint="eastAsia" w:ascii="仿宋" w:hAnsi="仿宋" w:eastAsia="仿宋" w:cs="仿宋"/>
                <w:color w:val="000000" w:themeColor="text1"/>
                <w:highlight w:val="none"/>
                <w14:textFill>
                  <w14:solidFill>
                    <w14:schemeClr w14:val="tx1"/>
                  </w14:solidFill>
                </w14:textFill>
              </w:rPr>
            </w:pPr>
          </w:p>
        </w:tc>
        <w:tc>
          <w:tcPr>
            <w:tcW w:w="2997" w:type="dxa"/>
          </w:tcPr>
          <w:p w14:paraId="14F4EA14">
            <w:pPr>
              <w:spacing w:line="360" w:lineRule="auto"/>
              <w:jc w:val="center"/>
              <w:rPr>
                <w:rFonts w:hint="eastAsia" w:ascii="仿宋" w:hAnsi="仿宋" w:eastAsia="仿宋" w:cs="仿宋"/>
                <w:color w:val="000000" w:themeColor="text1"/>
                <w:highlight w:val="none"/>
                <w14:textFill>
                  <w14:solidFill>
                    <w14:schemeClr w14:val="tx1"/>
                  </w14:solidFill>
                </w14:textFill>
              </w:rPr>
            </w:pPr>
          </w:p>
        </w:tc>
      </w:tr>
      <w:tr w14:paraId="115B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954" w:type="dxa"/>
          </w:tcPr>
          <w:p w14:paraId="1FA44B35">
            <w:pPr>
              <w:pStyle w:val="34"/>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3"/>
                <w:highlight w:val="none"/>
                <w14:textFill>
                  <w14:solidFill>
                    <w14:schemeClr w14:val="tx1"/>
                  </w14:solidFill>
                </w14:textFill>
              </w:rPr>
              <w:t>2</w:t>
            </w:r>
          </w:p>
        </w:tc>
        <w:tc>
          <w:tcPr>
            <w:tcW w:w="4549" w:type="dxa"/>
          </w:tcPr>
          <w:p w14:paraId="7CE5E719">
            <w:pPr>
              <w:spacing w:line="360" w:lineRule="auto"/>
              <w:jc w:val="center"/>
              <w:rPr>
                <w:rFonts w:hint="eastAsia" w:ascii="仿宋" w:hAnsi="仿宋" w:eastAsia="仿宋" w:cs="仿宋"/>
                <w:color w:val="000000" w:themeColor="text1"/>
                <w:highlight w:val="none"/>
                <w14:textFill>
                  <w14:solidFill>
                    <w14:schemeClr w14:val="tx1"/>
                  </w14:solidFill>
                </w14:textFill>
              </w:rPr>
            </w:pPr>
          </w:p>
        </w:tc>
        <w:tc>
          <w:tcPr>
            <w:tcW w:w="2997" w:type="dxa"/>
          </w:tcPr>
          <w:p w14:paraId="1ADFA8CA">
            <w:pPr>
              <w:spacing w:line="360" w:lineRule="auto"/>
              <w:jc w:val="center"/>
              <w:rPr>
                <w:rFonts w:hint="eastAsia" w:ascii="仿宋" w:hAnsi="仿宋" w:eastAsia="仿宋" w:cs="仿宋"/>
                <w:color w:val="000000" w:themeColor="text1"/>
                <w:highlight w:val="none"/>
                <w14:textFill>
                  <w14:solidFill>
                    <w14:schemeClr w14:val="tx1"/>
                  </w14:solidFill>
                </w14:textFill>
              </w:rPr>
            </w:pPr>
          </w:p>
        </w:tc>
      </w:tr>
      <w:tr w14:paraId="24BE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trPr>
        <w:tc>
          <w:tcPr>
            <w:tcW w:w="954" w:type="dxa"/>
          </w:tcPr>
          <w:p w14:paraId="6C22BF3F">
            <w:pPr>
              <w:pStyle w:val="34"/>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3"/>
                <w:position w:val="1"/>
                <w:highlight w:val="none"/>
                <w14:textFill>
                  <w14:solidFill>
                    <w14:schemeClr w14:val="tx1"/>
                  </w14:solidFill>
                </w14:textFill>
              </w:rPr>
              <w:t>…</w:t>
            </w:r>
          </w:p>
        </w:tc>
        <w:tc>
          <w:tcPr>
            <w:tcW w:w="4549" w:type="dxa"/>
          </w:tcPr>
          <w:p w14:paraId="0C0FBCDD">
            <w:pPr>
              <w:spacing w:line="360" w:lineRule="auto"/>
              <w:jc w:val="center"/>
              <w:rPr>
                <w:rFonts w:hint="eastAsia" w:ascii="仿宋" w:hAnsi="仿宋" w:eastAsia="仿宋" w:cs="仿宋"/>
                <w:color w:val="000000" w:themeColor="text1"/>
                <w:highlight w:val="none"/>
                <w14:textFill>
                  <w14:solidFill>
                    <w14:schemeClr w14:val="tx1"/>
                  </w14:solidFill>
                </w14:textFill>
              </w:rPr>
            </w:pPr>
          </w:p>
        </w:tc>
        <w:tc>
          <w:tcPr>
            <w:tcW w:w="2997" w:type="dxa"/>
          </w:tcPr>
          <w:p w14:paraId="52CD3031">
            <w:pPr>
              <w:spacing w:line="360" w:lineRule="auto"/>
              <w:jc w:val="center"/>
              <w:rPr>
                <w:rFonts w:hint="eastAsia" w:ascii="仿宋" w:hAnsi="仿宋" w:eastAsia="仿宋" w:cs="仿宋"/>
                <w:color w:val="000000" w:themeColor="text1"/>
                <w:highlight w:val="none"/>
                <w14:textFill>
                  <w14:solidFill>
                    <w14:schemeClr w14:val="tx1"/>
                  </w14:solidFill>
                </w14:textFill>
              </w:rPr>
            </w:pPr>
          </w:p>
        </w:tc>
      </w:tr>
    </w:tbl>
    <w:p w14:paraId="4300A315">
      <w:pPr>
        <w:spacing w:line="360" w:lineRule="auto"/>
        <w:ind w:firstLine="464"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上述声明真实有效，否则我方负全部责任。</w:t>
      </w:r>
    </w:p>
    <w:p w14:paraId="0A7D3A4B">
      <w:pPr>
        <w:spacing w:before="25" w:after="25" w:line="360" w:lineRule="auto"/>
        <w:jc w:val="right"/>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 xml:space="preserve">                                       供应商名称（加盖公章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zh-CN" w:eastAsia="zh-CN"/>
          <w14:textFill>
            <w14:solidFill>
              <w14:schemeClr w14:val="tx1"/>
            </w14:solidFill>
          </w14:textFill>
        </w:rPr>
        <w:t>____________</w:t>
      </w:r>
    </w:p>
    <w:p w14:paraId="013204AD">
      <w:pPr>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4"/>
          <w:sz w:val="24"/>
          <w:szCs w:val="24"/>
          <w:highlight w:val="none"/>
          <w:lang w:eastAsia="zh-CN"/>
          <w14:textFill>
            <w14:solidFill>
              <w14:schemeClr w14:val="tx1"/>
            </w14:solidFill>
          </w14:textFill>
        </w:rPr>
        <w:t xml:space="preserve">                                       日     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4"/>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4"/>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6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4"/>
          <w:sz w:val="24"/>
          <w:szCs w:val="24"/>
          <w:highlight w:val="none"/>
          <w:lang w:eastAsia="zh-CN"/>
          <w14:textFill>
            <w14:solidFill>
              <w14:schemeClr w14:val="tx1"/>
            </w14:solidFill>
          </w14:textFill>
        </w:rPr>
        <w:t>日</w:t>
      </w:r>
    </w:p>
    <w:p w14:paraId="76EA0183">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说明：供应商承诺不实的，依据《政府采购法》第七十七条“提供虚假材料谋取中标、</w:t>
      </w:r>
      <w:r>
        <w:rPr>
          <w:rFonts w:hint="eastAsia" w:ascii="仿宋" w:hAnsi="仿宋" w:eastAsia="仿宋" w:cs="仿宋"/>
          <w:color w:val="000000" w:themeColor="text1"/>
          <w:spacing w:val="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成交的”有关规定予以处理。</w:t>
      </w:r>
    </w:p>
    <w:p w14:paraId="0A49064A">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20" w:type="default"/>
          <w:footerReference r:id="rId21" w:type="default"/>
          <w:pgSz w:w="11907" w:h="16839"/>
          <w:pgMar w:top="1417" w:right="1417" w:bottom="1417" w:left="1417" w:header="1247" w:footer="964" w:gutter="0"/>
          <w:pgNumType w:fmt="decimal"/>
          <w:cols w:space="720" w:num="1"/>
        </w:sectPr>
      </w:pPr>
    </w:p>
    <w:p w14:paraId="2E83021A">
      <w:pPr>
        <w:pStyle w:val="9"/>
        <w:spacing w:before="273" w:line="196" w:lineRule="auto"/>
        <w:ind w:left="22"/>
        <w:outlineLvl w:val="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w:t>
      </w:r>
      <w:r>
        <w:rPr>
          <w:rFonts w:hint="eastAsia" w:ascii="仿宋" w:hAnsi="仿宋" w:eastAsia="仿宋" w:cs="仿宋"/>
          <w:color w:val="000000" w:themeColor="text1"/>
          <w:spacing w:val="59"/>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落实政府采购政策需满足的资格要求（如</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有）</w:t>
      </w:r>
    </w:p>
    <w:p w14:paraId="72F46247">
      <w:pPr>
        <w:pStyle w:val="9"/>
        <w:spacing w:before="184" w:line="201" w:lineRule="auto"/>
        <w:ind w:left="22"/>
        <w:outlineLvl w:val="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2-1  中小企业政策证明文件</w:t>
      </w:r>
    </w:p>
    <w:p w14:paraId="3237DB77">
      <w:pPr>
        <w:pStyle w:val="9"/>
        <w:spacing w:before="184" w:line="201" w:lineRule="auto"/>
        <w:ind w:left="22"/>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p>
    <w:p w14:paraId="3A385A4E">
      <w:pPr>
        <w:pStyle w:val="9"/>
        <w:spacing w:before="184" w:line="201" w:lineRule="auto"/>
        <w:ind w:left="22"/>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p>
    <w:p w14:paraId="246B3EE5">
      <w:pPr>
        <w:spacing w:before="178" w:line="201" w:lineRule="auto"/>
        <w:ind w:left="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说明：</w:t>
      </w:r>
    </w:p>
    <w:p w14:paraId="4158AFD5">
      <w:pPr>
        <w:pStyle w:val="9"/>
        <w:spacing w:before="176" w:line="278" w:lineRule="auto"/>
        <w:ind w:left="6" w:right="14" w:hanging="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（1）如本项目（包）</w:t>
      </w: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不</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专门面向中小企业预留采购</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份额，供应商无须提供《中小企业</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声明函》或《残疾人福利性单位声明函》或由省级以上监</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狱管理局、戒毒管理局（含新</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疆生产建设兵团）出具的属于监狱企业的证明文件；当供</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应商拟享受中小企业扶持政策</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时，仍应提供上述证明文件</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，否则不享受相关中小企业扶持政策。</w:t>
      </w:r>
    </w:p>
    <w:p w14:paraId="025E53A7">
      <w:pPr>
        <w:pStyle w:val="9"/>
        <w:spacing w:before="177" w:line="268" w:lineRule="auto"/>
        <w:ind w:left="12" w:hanging="1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（2）如本项目（包）专门面向中小企业采购</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，响应文件中须提供《中小企业声</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明函》</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或《残疾人福利性单位声明函》，或提供由</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省级以上监狱管理局、戒毒管理局（含新疆</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生产建设兵团）出具的属于监狱企业的证明文件。</w:t>
      </w:r>
    </w:p>
    <w:p w14:paraId="77BBD5E7">
      <w:pPr>
        <w:pStyle w:val="9"/>
        <w:spacing w:before="184" w:line="284" w:lineRule="auto"/>
        <w:ind w:left="8" w:right="14" w:hanging="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（3）如本项目（包）预留部分采购项目预算专门面向</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中小企业采购，且要求获得采购</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合同的供应商将采购项目中的一定比例分包给一家或者多家中小企业或要求供应商以</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联合体形式参加采购活动</w:t>
      </w:r>
      <w:r>
        <w:rPr>
          <w:rFonts w:hint="eastAsia" w:ascii="仿宋" w:hAnsi="仿宋" w:eastAsia="仿宋" w:cs="仿宋"/>
          <w:color w:val="000000" w:themeColor="text1"/>
          <w:spacing w:val="-1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，响应文件中须提供《中小企业声明函》或《残疾人福利性单</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位声明函》或由省级以上监狱管理局、戒毒管理局（</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含新疆生产建设兵团）出具的属于</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监狱企业的证明文件。</w:t>
      </w:r>
    </w:p>
    <w:p w14:paraId="7C09ED83">
      <w:pPr>
        <w:pStyle w:val="9"/>
        <w:spacing w:before="176" w:line="196"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（4）中小企业声明函填写注意事项</w:t>
      </w:r>
    </w:p>
    <w:p w14:paraId="23E9AF68">
      <w:pPr>
        <w:pStyle w:val="9"/>
        <w:spacing w:before="184" w:line="253" w:lineRule="auto"/>
        <w:ind w:left="9" w:right="14" w:firstLine="2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1）《中小企业声明函》</w:t>
      </w:r>
      <w:r>
        <w:rPr>
          <w:rFonts w:hint="eastAsia" w:ascii="仿宋" w:hAnsi="仿宋" w:eastAsia="仿宋" w:cs="仿宋"/>
          <w:color w:val="000000" w:themeColor="text1"/>
          <w:spacing w:val="-3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由参加政府采购活动的供应商出具</w:t>
      </w:r>
      <w:r>
        <w:rPr>
          <w:rFonts w:hint="eastAsia" w:ascii="仿宋" w:hAnsi="仿宋" w:eastAsia="仿宋" w:cs="仿宋"/>
          <w:color w:val="000000" w:themeColor="text1"/>
          <w:spacing w:val="-4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。联合体参与的，《中小</w:t>
      </w:r>
      <w:r>
        <w:rPr>
          <w:rFonts w:hint="eastAsia" w:ascii="仿宋" w:hAnsi="仿宋" w:eastAsia="仿宋" w:cs="仿宋"/>
          <w:color w:val="000000" w:themeColor="text1"/>
          <w:spacing w:val="-8"/>
          <w:sz w:val="24"/>
          <w:szCs w:val="24"/>
          <w:highlight w:val="none"/>
          <w:lang w:eastAsia="zh-CN"/>
          <w14:textFill>
            <w14:solidFill>
              <w14:schemeClr w14:val="tx1"/>
            </w14:solidFill>
          </w14:textFill>
        </w:rPr>
        <w:t>企业</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声明函》可由牵头人出具。</w:t>
      </w:r>
    </w:p>
    <w:p w14:paraId="56FAE326">
      <w:pPr>
        <w:pStyle w:val="9"/>
        <w:spacing w:before="175" w:line="270" w:lineRule="auto"/>
        <w:ind w:left="8" w:right="14" w:firstLine="14"/>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w:t>
      </w:r>
      <w:r>
        <w:rPr>
          <w:rFonts w:hint="eastAsia" w:ascii="仿宋" w:hAnsi="仿宋" w:eastAsia="仿宋" w:cs="仿宋"/>
          <w:color w:val="000000" w:themeColor="text1"/>
          <w:spacing w:val="-24"/>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）对于联合体中由中小企业承担的部分</w:t>
      </w:r>
      <w:r>
        <w:rPr>
          <w:rFonts w:hint="eastAsia" w:ascii="仿宋" w:hAnsi="仿宋" w:eastAsia="仿宋" w:cs="仿宋"/>
          <w:color w:val="000000" w:themeColor="text1"/>
          <w:spacing w:val="-2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，或者分包给中小</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企业的部分，必须全部由中</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小企业制造、承建或者承接。供应商应当在声明函</w:t>
      </w:r>
      <w:r>
        <w:rPr>
          <w:rFonts w:hint="eastAsia" w:ascii="仿宋" w:hAnsi="仿宋" w:eastAsia="仿宋" w:cs="仿宋"/>
          <w:color w:val="000000" w:themeColor="text1"/>
          <w:spacing w:val="-5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“标的名</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称</w:t>
      </w:r>
      <w:r>
        <w:rPr>
          <w:rFonts w:hint="eastAsia" w:ascii="仿宋" w:hAnsi="仿宋" w:eastAsia="仿宋" w:cs="仿宋"/>
          <w:color w:val="000000" w:themeColor="text1"/>
          <w:spacing w:val="-5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”部分标明联合体中中小企</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业承担的具体内容或者中小企业的具体分包内容。</w:t>
      </w:r>
    </w:p>
    <w:p w14:paraId="71E915BF">
      <w:pPr>
        <w:pStyle w:val="9"/>
        <w:spacing w:before="176" w:line="251" w:lineRule="auto"/>
        <w:ind w:left="10" w:right="17" w:firstLine="13"/>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3）对于多标的采购项目，供应商应充分</w:t>
      </w:r>
      <w:r>
        <w:rPr>
          <w:rFonts w:hint="eastAsia" w:ascii="仿宋" w:hAnsi="仿宋" w:eastAsia="仿宋" w:cs="仿宋"/>
          <w:color w:val="000000" w:themeColor="text1"/>
          <w:spacing w:val="-2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、准确地了解所提供货物的制造企业</w:t>
      </w:r>
      <w:r>
        <w:rPr>
          <w:rFonts w:hint="eastAsia" w:ascii="仿宋" w:hAnsi="仿宋" w:eastAsia="仿宋" w:cs="仿宋"/>
          <w:color w:val="000000" w:themeColor="text1"/>
          <w:spacing w:val="-4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、提供服</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务的承接企业信息。对相关情况了解不清楚的，不建议填</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报本声明函。</w:t>
      </w:r>
    </w:p>
    <w:p w14:paraId="15F444A3">
      <w:pPr>
        <w:pStyle w:val="9"/>
        <w:spacing w:before="177" w:line="309" w:lineRule="auto"/>
        <w:ind w:left="8" w:right="14" w:hanging="9"/>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（5）温馨提示</w:t>
      </w:r>
      <w:r>
        <w:rPr>
          <w:rFonts w:hint="eastAsia" w:ascii="仿宋" w:hAnsi="仿宋" w:eastAsia="仿宋" w:cs="仿宋"/>
          <w:color w:val="000000" w:themeColor="text1"/>
          <w:spacing w:val="-1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：为方便广大中小企业识别企业规模类型</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，工业和信息化部组织开发了</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中小企业规模类型自测小程序，在国务院客户端和工</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业和信息化部网站上均有链接，供</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应商填写所属的行业和指标数据可自动生成企业规模</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类型测试结果。本项目中小企业划</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分标准所属行业详见第二章《供应商须知资料</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表》，如在该程序中未找到本项目文件规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定的中小企业划分标准所属行业，则按照《关于印发</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中小企业划型标准规定的通知（工</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信部联企业﹝2011﹞</w:t>
      </w:r>
      <w:r>
        <w:rPr>
          <w:rFonts w:hint="eastAsia" w:ascii="仿宋" w:hAnsi="仿宋" w:eastAsia="仿宋" w:cs="仿宋"/>
          <w:color w:val="000000" w:themeColor="text1"/>
          <w:spacing w:val="-3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300 号）》及《金融业企业划型标准规定》（〔2015〕309</w:t>
      </w:r>
      <w:r>
        <w:rPr>
          <w:rFonts w:hint="eastAsia" w:ascii="仿宋" w:hAnsi="仿宋" w:eastAsia="仿宋" w:cs="仿宋"/>
          <w:color w:val="000000" w:themeColor="text1"/>
          <w:spacing w:val="6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号）等</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国务院批准的中小企业划分标准执行。</w:t>
      </w:r>
    </w:p>
    <w:p w14:paraId="56F9EB9E">
      <w:pPr>
        <w:spacing w:line="310" w:lineRule="auto"/>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22" w:type="default"/>
          <w:footerReference r:id="rId23" w:type="default"/>
          <w:pgSz w:w="11907" w:h="16840"/>
          <w:pgMar w:top="1183" w:right="1121" w:bottom="1060" w:left="1701" w:header="841" w:footer="886" w:gutter="0"/>
          <w:pgNumType w:fmt="decimal"/>
          <w:cols w:space="720" w:num="1"/>
        </w:sectPr>
      </w:pPr>
    </w:p>
    <w:p w14:paraId="4CD0F466">
      <w:pPr>
        <w:spacing w:line="360" w:lineRule="auto"/>
        <w:outlineLvl w:val="2"/>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2-1-1 中小企业证明文件</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5"/>
          <w:sz w:val="24"/>
          <w:szCs w:val="24"/>
          <w:highlight w:val="none"/>
          <w:lang w:val="en-US" w:eastAsia="zh-CN"/>
          <w14:textFill>
            <w14:solidFill>
              <w14:schemeClr w14:val="tx1"/>
            </w14:solidFill>
          </w14:textFill>
        </w:rPr>
        <w:t>实质性格式</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w:t>
      </w:r>
    </w:p>
    <w:p w14:paraId="073CCB65">
      <w:pPr>
        <w:spacing w:line="360" w:lineRule="auto"/>
        <w:jc w:val="center"/>
        <w:rPr>
          <w:rFonts w:hint="eastAsia" w:ascii="仿宋" w:hAnsi="仿宋" w:eastAsia="仿宋" w:cs="仿宋"/>
          <w:b/>
          <w:bCs/>
          <w:color w:val="000000" w:themeColor="text1"/>
          <w:sz w:val="36"/>
          <w:szCs w:val="36"/>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 xml:space="preserve">  </w:t>
      </w:r>
      <w:r>
        <w:rPr>
          <w:rFonts w:hint="eastAsia" w:ascii="仿宋" w:hAnsi="仿宋" w:eastAsia="仿宋" w:cs="仿宋"/>
          <w:b/>
          <w:bCs/>
          <w:color w:val="000000" w:themeColor="text1"/>
          <w:sz w:val="36"/>
          <w:szCs w:val="36"/>
          <w:highlight w:val="none"/>
          <w:lang w:eastAsia="zh-CN"/>
          <w14:textFill>
            <w14:solidFill>
              <w14:schemeClr w14:val="tx1"/>
            </w14:solidFill>
          </w14:textFill>
        </w:rPr>
        <w:t>中小企业声明函（</w:t>
      </w: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工程</w:t>
      </w:r>
      <w:r>
        <w:rPr>
          <w:rFonts w:hint="eastAsia" w:ascii="仿宋" w:hAnsi="仿宋" w:eastAsia="仿宋" w:cs="仿宋"/>
          <w:b/>
          <w:bCs/>
          <w:color w:val="000000" w:themeColor="text1"/>
          <w:sz w:val="36"/>
          <w:szCs w:val="36"/>
          <w:highlight w:val="none"/>
          <w:lang w:eastAsia="zh-CN"/>
          <w14:textFill>
            <w14:solidFill>
              <w14:schemeClr w14:val="tx1"/>
            </w14:solidFill>
          </w14:textFill>
        </w:rPr>
        <w:t>）格式</w:t>
      </w:r>
    </w:p>
    <w:p w14:paraId="2DB1082A">
      <w:pPr>
        <w:tabs>
          <w:tab w:val="left" w:pos="1276"/>
          <w:tab w:val="left" w:pos="5005"/>
          <w:tab w:val="left" w:pos="7227"/>
        </w:tabs>
        <w:spacing w:line="360" w:lineRule="auto"/>
        <w:ind w:left="284" w:right="236" w:firstLine="576"/>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本公司（联合体）郑重声明，根据《政府采购促进中小企业发展管理办法》（财库﹝2020﹞46号）的规定 ，本公司（联合体）参加（单位名称） 的（项目名称） 采购活动，工程的施工单位全部为符合政策要求的中小企业（或者：服务全部由符合政策要求的中小企业承接）。相关企业（含联合体中的中小企业、签订分包意向协议的中小企业）的具体情况如下：</w:t>
      </w:r>
    </w:p>
    <w:p w14:paraId="4253891B">
      <w:pPr>
        <w:tabs>
          <w:tab w:val="left" w:pos="1276"/>
          <w:tab w:val="left" w:pos="5005"/>
          <w:tab w:val="left" w:pos="7227"/>
        </w:tabs>
        <w:spacing w:line="360" w:lineRule="auto"/>
        <w:ind w:left="284" w:right="236" w:firstLine="576"/>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w w:val="99"/>
          <w:sz w:val="24"/>
          <w:szCs w:val="24"/>
          <w:highlight w:val="none"/>
          <w:lang w:eastAsia="zh-CN"/>
          <w14:textFill>
            <w14:solidFill>
              <w14:schemeClr w14:val="tx1"/>
            </w14:solidFill>
          </w14:textFill>
        </w:rPr>
        <w:t>1</w:t>
      </w:r>
      <w:r>
        <w:rPr>
          <w:rFonts w:hint="eastAsia" w:ascii="仿宋" w:hAnsi="仿宋" w:eastAsia="仿宋" w:cs="仿宋"/>
          <w:color w:val="000000" w:themeColor="text1"/>
          <w:w w:val="99"/>
          <w:sz w:val="32"/>
          <w:szCs w:val="32"/>
          <w:highlight w:val="none"/>
          <w:lang w:eastAsia="zh-CN"/>
          <w14:textFill>
            <w14:solidFill>
              <w14:schemeClr w14:val="tx1"/>
            </w14:solidFill>
          </w14:textFill>
        </w:rPr>
        <w:t>.</w:t>
      </w:r>
      <w:r>
        <w:rPr>
          <w:rFonts w:hint="eastAsia" w:ascii="仿宋" w:hAnsi="仿宋" w:eastAsia="仿宋" w:cs="仿宋"/>
          <w:i/>
          <w:color w:val="000000" w:themeColor="text1"/>
          <w:sz w:val="24"/>
          <w:highlight w:val="none"/>
          <w:u w:val="single" w:color="000000"/>
          <w:lang w:eastAsia="zh-CN"/>
          <w14:textFill>
            <w14:solidFill>
              <w14:schemeClr w14:val="tx1"/>
            </w14:solidFill>
          </w14:textFill>
        </w:rPr>
        <w:t>（标的名称）</w:t>
      </w:r>
      <w:r>
        <w:rPr>
          <w:rFonts w:hint="eastAsia" w:ascii="仿宋" w:hAnsi="仿宋" w:eastAsia="仿宋" w:cs="仿宋"/>
          <w:color w:val="000000" w:themeColor="text1"/>
          <w:sz w:val="24"/>
          <w:highlight w:val="none"/>
          <w:lang w:eastAsia="zh-CN"/>
          <w14:textFill>
            <w14:solidFill>
              <w14:schemeClr w14:val="tx1"/>
            </w14:solidFill>
          </w14:textFill>
        </w:rPr>
        <w:t>，属于</w:t>
      </w:r>
      <w:r>
        <w:rPr>
          <w:rFonts w:hint="eastAsia" w:ascii="仿宋" w:hAnsi="仿宋" w:eastAsia="仿宋" w:cs="仿宋"/>
          <w:i/>
          <w:color w:val="000000" w:themeColor="text1"/>
          <w:sz w:val="24"/>
          <w:highlight w:val="none"/>
          <w:lang w:eastAsia="zh-CN"/>
          <w14:textFill>
            <w14:solidFill>
              <w14:schemeClr w14:val="tx1"/>
            </w14:solidFill>
          </w14:textFill>
        </w:rPr>
        <w:t>（</w:t>
      </w:r>
      <w:r>
        <w:rPr>
          <w:rFonts w:hint="eastAsia" w:ascii="仿宋" w:hAnsi="仿宋" w:eastAsia="仿宋" w:cs="仿宋"/>
          <w:i/>
          <w:color w:val="000000" w:themeColor="text1"/>
          <w:sz w:val="24"/>
          <w:highlight w:val="none"/>
          <w:u w:val="single" w:color="000000"/>
          <w:lang w:eastAsia="zh-CN"/>
          <w14:textFill>
            <w14:solidFill>
              <w14:schemeClr w14:val="tx1"/>
            </w14:solidFill>
          </w14:textFill>
        </w:rPr>
        <w:t>采购文件中明确的所属行业）</w:t>
      </w:r>
      <w:r>
        <w:rPr>
          <w:rFonts w:hint="eastAsia" w:ascii="仿宋" w:hAnsi="仿宋" w:eastAsia="仿宋" w:cs="仿宋"/>
          <w:color w:val="000000" w:themeColor="text1"/>
          <w:sz w:val="24"/>
          <w:highlight w:val="none"/>
          <w:lang w:eastAsia="zh-CN"/>
          <w14:textFill>
            <w14:solidFill>
              <w14:schemeClr w14:val="tx1"/>
            </w14:solidFill>
          </w14:textFill>
        </w:rPr>
        <w:t>；承建（承接）企业为</w:t>
      </w:r>
      <w:r>
        <w:rPr>
          <w:rFonts w:hint="eastAsia" w:ascii="仿宋" w:hAnsi="仿宋" w:eastAsia="仿宋" w:cs="仿宋"/>
          <w:i/>
          <w:color w:val="000000" w:themeColor="text1"/>
          <w:sz w:val="24"/>
          <w:highlight w:val="none"/>
          <w:u w:val="single"/>
          <w:lang w:eastAsia="zh-CN"/>
          <w14:textFill>
            <w14:solidFill>
              <w14:schemeClr w14:val="tx1"/>
            </w14:solidFill>
          </w14:textFill>
        </w:rPr>
        <w:t>（企业名称）</w:t>
      </w:r>
      <w:r>
        <w:rPr>
          <w:rFonts w:hint="eastAsia" w:ascii="仿宋" w:hAnsi="仿宋" w:eastAsia="仿宋" w:cs="仿宋"/>
          <w:color w:val="000000" w:themeColor="text1"/>
          <w:sz w:val="24"/>
          <w:highlight w:val="none"/>
          <w:lang w:eastAsia="zh-CN"/>
          <w14:textFill>
            <w14:solidFill>
              <w14:schemeClr w14:val="tx1"/>
            </w14:solidFill>
          </w14:textFill>
        </w:rPr>
        <w:t>，从业人员</w:t>
      </w:r>
      <w:r>
        <w:rPr>
          <w:rFonts w:hint="eastAsia" w:ascii="仿宋" w:hAnsi="仿宋" w:eastAsia="仿宋" w:cs="仿宋"/>
          <w:color w:val="000000" w:themeColor="text1"/>
          <w:sz w:val="24"/>
          <w:highlight w:val="none"/>
          <w:u w:val="single"/>
          <w:lang w:eastAsia="zh-CN"/>
          <w14:textFill>
            <w14:solidFill>
              <w14:schemeClr w14:val="tx1"/>
            </w14:solidFill>
          </w14:textFill>
        </w:rPr>
        <w:tab/>
      </w:r>
      <w:r>
        <w:rPr>
          <w:rFonts w:hint="eastAsia" w:ascii="仿宋" w:hAnsi="仿宋" w:eastAsia="仿宋" w:cs="仿宋"/>
          <w:color w:val="000000" w:themeColor="text1"/>
          <w:sz w:val="24"/>
          <w:highlight w:val="none"/>
          <w:lang w:eastAsia="zh-CN"/>
          <w14:textFill>
            <w14:solidFill>
              <w14:schemeClr w14:val="tx1"/>
            </w14:solidFill>
          </w14:textFill>
        </w:rPr>
        <w:t>人，营业收入为</w:t>
      </w:r>
      <w:r>
        <w:rPr>
          <w:rFonts w:hint="eastAsia" w:ascii="仿宋" w:hAnsi="仿宋" w:eastAsia="仿宋" w:cs="仿宋"/>
          <w:color w:val="000000" w:themeColor="text1"/>
          <w:sz w:val="24"/>
          <w:highlight w:val="none"/>
          <w:u w:val="single"/>
          <w:lang w:eastAsia="zh-CN"/>
          <w14:textFill>
            <w14:solidFill>
              <w14:schemeClr w14:val="tx1"/>
            </w14:solidFill>
          </w14:textFill>
        </w:rPr>
        <w:tab/>
      </w:r>
      <w:r>
        <w:rPr>
          <w:rFonts w:hint="eastAsia" w:ascii="仿宋" w:hAnsi="仿宋" w:eastAsia="仿宋" w:cs="仿宋"/>
          <w:color w:val="000000" w:themeColor="text1"/>
          <w:sz w:val="24"/>
          <w:highlight w:val="none"/>
          <w:lang w:eastAsia="zh-CN"/>
          <w14:textFill>
            <w14:solidFill>
              <w14:schemeClr w14:val="tx1"/>
            </w14:solidFill>
          </w14:textFill>
        </w:rPr>
        <w:t>万元，资产总额为</w:t>
      </w:r>
      <w:r>
        <w:rPr>
          <w:rFonts w:hint="eastAsia" w:ascii="仿宋" w:hAnsi="仿宋" w:eastAsia="仿宋" w:cs="仿宋"/>
          <w:color w:val="000000" w:themeColor="text1"/>
          <w:sz w:val="24"/>
          <w:highlight w:val="none"/>
          <w:u w:val="single"/>
          <w:lang w:eastAsia="zh-CN"/>
          <w14:textFill>
            <w14:solidFill>
              <w14:schemeClr w14:val="tx1"/>
            </w14:solidFill>
          </w14:textFill>
        </w:rPr>
        <w:tab/>
      </w:r>
      <w:r>
        <w:rPr>
          <w:rFonts w:hint="eastAsia" w:ascii="仿宋" w:hAnsi="仿宋" w:eastAsia="仿宋" w:cs="仿宋"/>
          <w:color w:val="000000" w:themeColor="text1"/>
          <w:sz w:val="24"/>
          <w:highlight w:val="none"/>
          <w:lang w:eastAsia="zh-CN"/>
          <w14:textFill>
            <w14:solidFill>
              <w14:schemeClr w14:val="tx1"/>
            </w14:solidFill>
          </w14:textFill>
        </w:rPr>
        <w:t>万元</w:t>
      </w: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"_bookmark1"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position w:val="16"/>
          <w:sz w:val="24"/>
          <w:highlight w:val="none"/>
          <w:lang w:eastAsia="zh-CN"/>
          <w14:textFill>
            <w14:solidFill>
              <w14:schemeClr w14:val="tx1"/>
            </w14:solidFill>
          </w14:textFill>
        </w:rPr>
        <w:t>1</w:t>
      </w:r>
      <w:r>
        <w:rPr>
          <w:rFonts w:hint="eastAsia" w:ascii="仿宋" w:hAnsi="仿宋" w:eastAsia="仿宋" w:cs="仿宋"/>
          <w:color w:val="000000" w:themeColor="text1"/>
          <w:position w:val="16"/>
          <w:sz w:val="24"/>
          <w:highlight w:val="none"/>
          <w:lang w:eastAsia="zh-CN"/>
          <w14:textFill>
            <w14:solidFill>
              <w14:schemeClr w14:val="tx1"/>
            </w14:solidFill>
          </w14:textFill>
        </w:rPr>
        <w:fldChar w:fldCharType="end"/>
      </w:r>
      <w:r>
        <w:rPr>
          <w:rFonts w:hint="eastAsia" w:ascii="仿宋" w:hAnsi="仿宋" w:eastAsia="仿宋" w:cs="仿宋"/>
          <w:color w:val="000000" w:themeColor="text1"/>
          <w:sz w:val="24"/>
          <w:highlight w:val="none"/>
          <w:lang w:eastAsia="zh-CN"/>
          <w14:textFill>
            <w14:solidFill>
              <w14:schemeClr w14:val="tx1"/>
            </w14:solidFill>
          </w14:textFill>
        </w:rPr>
        <w:t>，属于</w:t>
      </w:r>
      <w:r>
        <w:rPr>
          <w:rFonts w:hint="eastAsia" w:ascii="仿宋" w:hAnsi="仿宋" w:eastAsia="仿宋" w:cs="仿宋"/>
          <w:i/>
          <w:color w:val="000000" w:themeColor="text1"/>
          <w:sz w:val="24"/>
          <w:highlight w:val="none"/>
          <w:u w:val="single"/>
          <w:lang w:eastAsia="zh-CN"/>
          <w14:textFill>
            <w14:solidFill>
              <w14:schemeClr w14:val="tx1"/>
            </w14:solidFill>
          </w14:textFill>
        </w:rPr>
        <w:t>（中型企业、小型企业、微型企业）</w:t>
      </w:r>
      <w:r>
        <w:rPr>
          <w:rFonts w:hint="eastAsia" w:ascii="仿宋" w:hAnsi="仿宋" w:eastAsia="仿宋" w:cs="仿宋"/>
          <w:color w:val="000000" w:themeColor="text1"/>
          <w:sz w:val="24"/>
          <w:highlight w:val="none"/>
          <w:lang w:eastAsia="zh-CN"/>
          <w14:textFill>
            <w14:solidFill>
              <w14:schemeClr w14:val="tx1"/>
            </w14:solidFill>
          </w14:textFill>
        </w:rPr>
        <w:t>；</w:t>
      </w:r>
    </w:p>
    <w:p w14:paraId="19BF991E">
      <w:pPr>
        <w:tabs>
          <w:tab w:val="left" w:pos="1243"/>
          <w:tab w:val="left" w:pos="1806"/>
          <w:tab w:val="left" w:pos="5005"/>
          <w:tab w:val="left" w:pos="7213"/>
        </w:tabs>
        <w:spacing w:line="360" w:lineRule="auto"/>
        <w:ind w:left="205" w:right="258" w:firstLine="655"/>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w w:val="99"/>
          <w:sz w:val="24"/>
          <w:szCs w:val="24"/>
          <w:highlight w:val="none"/>
          <w:lang w:eastAsia="zh-CN"/>
          <w14:textFill>
            <w14:solidFill>
              <w14:schemeClr w14:val="tx1"/>
            </w14:solidFill>
          </w14:textFill>
        </w:rPr>
        <w:t>2.</w:t>
      </w:r>
      <w:r>
        <w:rPr>
          <w:rFonts w:hint="eastAsia" w:ascii="仿宋" w:hAnsi="仿宋" w:eastAsia="仿宋" w:cs="仿宋"/>
          <w:i/>
          <w:color w:val="000000" w:themeColor="text1"/>
          <w:sz w:val="24"/>
          <w:highlight w:val="none"/>
          <w:u w:val="single" w:color="000000"/>
          <w:lang w:eastAsia="zh-CN"/>
          <w14:textFill>
            <w14:solidFill>
              <w14:schemeClr w14:val="tx1"/>
            </w14:solidFill>
          </w14:textFill>
        </w:rPr>
        <w:t>（标的名称）</w:t>
      </w:r>
      <w:r>
        <w:rPr>
          <w:rFonts w:hint="eastAsia" w:ascii="仿宋" w:hAnsi="仿宋" w:eastAsia="仿宋" w:cs="仿宋"/>
          <w:color w:val="000000" w:themeColor="text1"/>
          <w:sz w:val="24"/>
          <w:highlight w:val="none"/>
          <w:lang w:eastAsia="zh-CN"/>
          <w14:textFill>
            <w14:solidFill>
              <w14:schemeClr w14:val="tx1"/>
            </w14:solidFill>
          </w14:textFill>
        </w:rPr>
        <w:t>，属于</w:t>
      </w:r>
      <w:r>
        <w:rPr>
          <w:rFonts w:hint="eastAsia" w:ascii="仿宋" w:hAnsi="仿宋" w:eastAsia="仿宋" w:cs="仿宋"/>
          <w:i/>
          <w:color w:val="000000" w:themeColor="text1"/>
          <w:sz w:val="24"/>
          <w:highlight w:val="none"/>
          <w:lang w:eastAsia="zh-CN"/>
          <w14:textFill>
            <w14:solidFill>
              <w14:schemeClr w14:val="tx1"/>
            </w14:solidFill>
          </w14:textFill>
        </w:rPr>
        <w:t>（</w:t>
      </w:r>
      <w:r>
        <w:rPr>
          <w:rFonts w:hint="eastAsia" w:ascii="仿宋" w:hAnsi="仿宋" w:eastAsia="仿宋" w:cs="仿宋"/>
          <w:i/>
          <w:color w:val="000000" w:themeColor="text1"/>
          <w:sz w:val="24"/>
          <w:highlight w:val="none"/>
          <w:u w:val="single" w:color="000000"/>
          <w:lang w:eastAsia="zh-CN"/>
          <w14:textFill>
            <w14:solidFill>
              <w14:schemeClr w14:val="tx1"/>
            </w14:solidFill>
          </w14:textFill>
        </w:rPr>
        <w:t>采购文件中明确的所属行业）</w:t>
      </w:r>
      <w:r>
        <w:rPr>
          <w:rFonts w:hint="eastAsia" w:ascii="仿宋" w:hAnsi="仿宋" w:eastAsia="仿宋" w:cs="仿宋"/>
          <w:color w:val="000000" w:themeColor="text1"/>
          <w:sz w:val="24"/>
          <w:highlight w:val="none"/>
          <w:lang w:eastAsia="zh-CN"/>
          <w14:textFill>
            <w14:solidFill>
              <w14:schemeClr w14:val="tx1"/>
            </w14:solidFill>
          </w14:textFill>
        </w:rPr>
        <w:t>；承建（承接）企业为</w:t>
      </w:r>
      <w:r>
        <w:rPr>
          <w:rFonts w:hint="eastAsia" w:ascii="仿宋" w:hAnsi="仿宋" w:eastAsia="仿宋" w:cs="仿宋"/>
          <w:i/>
          <w:color w:val="000000" w:themeColor="text1"/>
          <w:sz w:val="24"/>
          <w:highlight w:val="none"/>
          <w:u w:val="single" w:color="000000"/>
          <w:lang w:eastAsia="zh-CN"/>
          <w14:textFill>
            <w14:solidFill>
              <w14:schemeClr w14:val="tx1"/>
            </w14:solidFill>
          </w14:textFill>
        </w:rPr>
        <w:t>（企业名称）</w:t>
      </w:r>
      <w:r>
        <w:rPr>
          <w:rFonts w:hint="eastAsia" w:ascii="仿宋" w:hAnsi="仿宋" w:eastAsia="仿宋" w:cs="仿宋"/>
          <w:color w:val="000000" w:themeColor="text1"/>
          <w:sz w:val="24"/>
          <w:highlight w:val="none"/>
          <w:lang w:eastAsia="zh-CN"/>
          <w14:textFill>
            <w14:solidFill>
              <w14:schemeClr w14:val="tx1"/>
            </w14:solidFill>
          </w14:textFill>
        </w:rPr>
        <w:t>，从业人员</w:t>
      </w:r>
      <w:r>
        <w:rPr>
          <w:rFonts w:hint="eastAsia" w:ascii="仿宋" w:hAnsi="仿宋" w:eastAsia="仿宋" w:cs="仿宋"/>
          <w:color w:val="000000" w:themeColor="text1"/>
          <w:sz w:val="24"/>
          <w:highlight w:val="none"/>
          <w:u w:val="single" w:color="000000"/>
          <w:lang w:eastAsia="zh-CN"/>
          <w14:textFill>
            <w14:solidFill>
              <w14:schemeClr w14:val="tx1"/>
            </w14:solidFill>
          </w14:textFill>
        </w:rPr>
        <w:tab/>
      </w:r>
      <w:r>
        <w:rPr>
          <w:rFonts w:hint="eastAsia" w:ascii="仿宋" w:hAnsi="仿宋" w:eastAsia="仿宋" w:cs="仿宋"/>
          <w:color w:val="000000" w:themeColor="text1"/>
          <w:sz w:val="24"/>
          <w:highlight w:val="none"/>
          <w:lang w:eastAsia="zh-CN"/>
          <w14:textFill>
            <w14:solidFill>
              <w14:schemeClr w14:val="tx1"/>
            </w14:solidFill>
          </w14:textFill>
        </w:rPr>
        <w:t>人，营业收入为</w:t>
      </w:r>
      <w:r>
        <w:rPr>
          <w:rFonts w:hint="eastAsia" w:ascii="仿宋" w:hAnsi="仿宋" w:eastAsia="仿宋" w:cs="仿宋"/>
          <w:color w:val="000000" w:themeColor="text1"/>
          <w:sz w:val="24"/>
          <w:highlight w:val="none"/>
          <w:u w:val="single" w:color="000000"/>
          <w:lang w:eastAsia="zh-CN"/>
          <w14:textFill>
            <w14:solidFill>
              <w14:schemeClr w14:val="tx1"/>
            </w14:solidFill>
          </w14:textFill>
        </w:rPr>
        <w:tab/>
      </w:r>
      <w:r>
        <w:rPr>
          <w:rFonts w:hint="eastAsia" w:ascii="仿宋" w:hAnsi="仿宋" w:eastAsia="仿宋" w:cs="仿宋"/>
          <w:color w:val="000000" w:themeColor="text1"/>
          <w:sz w:val="24"/>
          <w:highlight w:val="none"/>
          <w:lang w:eastAsia="zh-CN"/>
          <w14:textFill>
            <w14:solidFill>
              <w14:schemeClr w14:val="tx1"/>
            </w14:solidFill>
          </w14:textFill>
        </w:rPr>
        <w:t>万元，资产总额为</w:t>
      </w:r>
      <w:r>
        <w:rPr>
          <w:rFonts w:hint="eastAsia" w:ascii="仿宋" w:hAnsi="仿宋" w:eastAsia="仿宋" w:cs="仿宋"/>
          <w:color w:val="000000" w:themeColor="text1"/>
          <w:sz w:val="24"/>
          <w:highlight w:val="none"/>
          <w:u w:val="single" w:color="000000"/>
          <w:lang w:eastAsia="zh-CN"/>
          <w14:textFill>
            <w14:solidFill>
              <w14:schemeClr w14:val="tx1"/>
            </w14:solidFill>
          </w14:textFill>
        </w:rPr>
        <w:tab/>
      </w:r>
      <w:r>
        <w:rPr>
          <w:rFonts w:hint="eastAsia" w:ascii="仿宋" w:hAnsi="仿宋" w:eastAsia="仿宋" w:cs="仿宋"/>
          <w:color w:val="000000" w:themeColor="text1"/>
          <w:sz w:val="24"/>
          <w:highlight w:val="none"/>
          <w:lang w:eastAsia="zh-CN"/>
          <w14:textFill>
            <w14:solidFill>
              <w14:schemeClr w14:val="tx1"/>
            </w14:solidFill>
          </w14:textFill>
        </w:rPr>
        <w:t>万元，属于</w:t>
      </w:r>
      <w:r>
        <w:rPr>
          <w:rFonts w:hint="eastAsia" w:ascii="仿宋" w:hAnsi="仿宋" w:eastAsia="仿宋" w:cs="仿宋"/>
          <w:i/>
          <w:color w:val="000000" w:themeColor="text1"/>
          <w:sz w:val="24"/>
          <w:highlight w:val="none"/>
          <w:u w:val="single" w:color="000000"/>
          <w:lang w:eastAsia="zh-CN"/>
          <w14:textFill>
            <w14:solidFill>
              <w14:schemeClr w14:val="tx1"/>
            </w14:solidFill>
          </w14:textFill>
        </w:rPr>
        <w:t>（中型企业、小型企业、微型企业）</w:t>
      </w:r>
      <w:r>
        <w:rPr>
          <w:rFonts w:hint="eastAsia" w:ascii="仿宋" w:hAnsi="仿宋" w:eastAsia="仿宋" w:cs="仿宋"/>
          <w:color w:val="000000" w:themeColor="text1"/>
          <w:sz w:val="24"/>
          <w:highlight w:val="none"/>
          <w:lang w:eastAsia="zh-CN"/>
          <w14:textFill>
            <w14:solidFill>
              <w14:schemeClr w14:val="tx1"/>
            </w14:solidFill>
          </w14:textFill>
        </w:rPr>
        <w:t>；</w:t>
      </w:r>
    </w:p>
    <w:p w14:paraId="6661D23D">
      <w:pPr>
        <w:spacing w:line="360" w:lineRule="auto"/>
        <w:ind w:left="86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p>
    <w:p w14:paraId="51CB4CCB">
      <w:pPr>
        <w:spacing w:line="360" w:lineRule="auto"/>
        <w:ind w:left="220" w:right="417" w:firstLine="645"/>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以上企业，不属于大企业的分支机构，不存在控股股东为大企业的情形，也不存在与大企业的负责人为同一人的情形。</w:t>
      </w:r>
    </w:p>
    <w:p w14:paraId="7F4DF164">
      <w:pPr>
        <w:spacing w:line="360" w:lineRule="auto"/>
        <w:ind w:firstLine="504"/>
        <w:rPr>
          <w:rFonts w:hint="eastAsia" w:ascii="仿宋" w:hAnsi="仿宋" w:eastAsia="仿宋" w:cs="仿宋"/>
          <w:color w:val="000000" w:themeColor="text1"/>
          <w:spacing w:val="6"/>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本企业对上述声明内容的真实性负责。如有虚假，将依法承担相应责任。</w:t>
      </w:r>
    </w:p>
    <w:p w14:paraId="6C328DE0">
      <w:pPr>
        <w:spacing w:line="360" w:lineRule="auto"/>
        <w:ind w:firstLine="504"/>
        <w:rPr>
          <w:rFonts w:hint="eastAsia" w:ascii="仿宋" w:hAnsi="仿宋" w:eastAsia="仿宋" w:cs="仿宋"/>
          <w:color w:val="000000" w:themeColor="text1"/>
          <w:spacing w:val="6"/>
          <w:sz w:val="24"/>
          <w:highlight w:val="none"/>
          <w:lang w:eastAsia="zh-CN"/>
          <w14:textFill>
            <w14:solidFill>
              <w14:schemeClr w14:val="tx1"/>
            </w14:solidFill>
          </w14:textFill>
        </w:rPr>
      </w:pPr>
    </w:p>
    <w:p w14:paraId="6A79B0A6">
      <w:pPr>
        <w:spacing w:line="360" w:lineRule="auto"/>
        <w:ind w:right="360" w:firstLine="480"/>
        <w:jc w:val="right"/>
        <w:rPr>
          <w:rFonts w:hint="eastAsia" w:ascii="仿宋" w:hAnsi="仿宋" w:eastAsia="仿宋" w:cs="仿宋"/>
          <w:color w:val="000000" w:themeColor="text1"/>
          <w:sz w:val="24"/>
          <w:highlight w:val="none"/>
          <w:lang w:eastAsia="zh-CN"/>
          <w14:textFill>
            <w14:solidFill>
              <w14:schemeClr w14:val="tx1"/>
            </w14:solidFill>
          </w14:textFill>
        </w:rPr>
      </w:pPr>
    </w:p>
    <w:p w14:paraId="597ACE42">
      <w:pPr>
        <w:spacing w:line="360" w:lineRule="auto"/>
        <w:ind w:right="360" w:firstLine="480"/>
        <w:jc w:val="righ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企业名称（加盖公章）：________</w:t>
      </w:r>
    </w:p>
    <w:p w14:paraId="5747A0C7">
      <w:pPr>
        <w:spacing w:line="360" w:lineRule="auto"/>
        <w:ind w:right="360" w:firstLine="480"/>
        <w:jc w:val="righ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期：________</w:t>
      </w:r>
    </w:p>
    <w:p w14:paraId="71EFD439">
      <w:pPr>
        <w:spacing w:line="360" w:lineRule="auto"/>
        <w:ind w:right="360" w:firstLine="480"/>
        <w:jc w:val="right"/>
        <w:rPr>
          <w:rFonts w:hint="eastAsia" w:ascii="仿宋" w:hAnsi="仿宋" w:eastAsia="仿宋" w:cs="仿宋"/>
          <w:color w:val="000000" w:themeColor="text1"/>
          <w:sz w:val="24"/>
          <w:highlight w:val="none"/>
          <w14:textFill>
            <w14:solidFill>
              <w14:schemeClr w14:val="tx1"/>
            </w14:solidFill>
          </w14:textFill>
        </w:rPr>
      </w:pPr>
    </w:p>
    <w:p w14:paraId="35037B20">
      <w:pPr>
        <w:spacing w:line="360" w:lineRule="auto"/>
        <w:ind w:right="360" w:firstLine="480"/>
        <w:jc w:val="right"/>
        <w:rPr>
          <w:rFonts w:hint="eastAsia" w:ascii="仿宋" w:hAnsi="仿宋" w:eastAsia="仿宋" w:cs="仿宋"/>
          <w:color w:val="000000" w:themeColor="text1"/>
          <w:sz w:val="24"/>
          <w:highlight w:val="none"/>
          <w14:textFill>
            <w14:solidFill>
              <w14:schemeClr w14:val="tx1"/>
            </w14:solidFill>
          </w14:textFill>
        </w:rPr>
      </w:pPr>
    </w:p>
    <w:p w14:paraId="4F3B5463">
      <w:pPr>
        <w:spacing w:line="360" w:lineRule="auto"/>
        <w:ind w:right="360" w:firstLine="480"/>
        <w:jc w:val="right"/>
        <w:rPr>
          <w:rFonts w:hint="eastAsia" w:ascii="仿宋" w:hAnsi="仿宋" w:eastAsia="仿宋" w:cs="仿宋"/>
          <w:color w:val="000000" w:themeColor="text1"/>
          <w:sz w:val="24"/>
          <w:highlight w:val="none"/>
          <w14:textFill>
            <w14:solidFill>
              <w14:schemeClr w14:val="tx1"/>
            </w14:solidFill>
          </w14:textFill>
        </w:rPr>
      </w:pPr>
    </w:p>
    <w:p w14:paraId="4DEBD009">
      <w:pPr>
        <w:spacing w:line="360" w:lineRule="auto"/>
        <w:ind w:right="360" w:firstLine="480"/>
        <w:jc w:val="right"/>
        <w:rPr>
          <w:rFonts w:hint="eastAsia" w:ascii="仿宋" w:hAnsi="仿宋" w:eastAsia="仿宋" w:cs="仿宋"/>
          <w:color w:val="000000" w:themeColor="text1"/>
          <w:sz w:val="24"/>
          <w:highlight w:val="none"/>
          <w14:textFill>
            <w14:solidFill>
              <w14:schemeClr w14:val="tx1"/>
            </w14:solidFill>
          </w14:textFill>
        </w:rPr>
      </w:pPr>
    </w:p>
    <w:p w14:paraId="18AD780F">
      <w:pPr>
        <w:rPr>
          <w:rFonts w:hint="eastAsia" w:ascii="仿宋" w:hAnsi="仿宋" w:eastAsia="仿宋" w:cs="仿宋"/>
          <w:color w:val="000000" w:themeColor="text1"/>
          <w:sz w:val="24"/>
          <w:highlight w:val="none"/>
          <w14:textFill>
            <w14:solidFill>
              <w14:schemeClr w14:val="tx1"/>
            </w14:solidFill>
          </w14:textFill>
        </w:rPr>
      </w:pPr>
    </w:p>
    <w:tbl>
      <w:tblPr>
        <w:tblStyle w:val="2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3945DE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1E399E9">
            <w:pP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vertAlign w:val="superscript"/>
                <w:lang w:eastAsia="zh-CN"/>
                <w14:textFill>
                  <w14:solidFill>
                    <w14:schemeClr w14:val="tx1"/>
                  </w14:solidFill>
                </w14:textFill>
              </w:rPr>
              <w:t>1</w:t>
            </w:r>
            <w:r>
              <w:rPr>
                <w:rFonts w:hint="eastAsia" w:ascii="仿宋" w:hAnsi="仿宋" w:eastAsia="仿宋" w:cs="仿宋"/>
                <w:color w:val="000000" w:themeColor="text1"/>
                <w:highlight w:val="none"/>
                <w:lang w:eastAsia="zh-CN"/>
                <w14:textFill>
                  <w14:solidFill>
                    <w14:schemeClr w14:val="tx1"/>
                  </w14:solidFill>
                </w14:textFill>
              </w:rPr>
              <w:t>从业人员、营业收入、资产总额填报上一年度数据，无上一年度数据的新成立企业可不填报。</w:t>
            </w:r>
          </w:p>
        </w:tc>
      </w:tr>
    </w:tbl>
    <w:p w14:paraId="0DE35418">
      <w:pPr>
        <w:rPr>
          <w:rFonts w:hint="eastAsia" w:ascii="仿宋" w:hAnsi="仿宋" w:eastAsia="仿宋" w:cs="仿宋"/>
          <w:color w:val="000000" w:themeColor="text1"/>
          <w:highlight w:val="none"/>
          <w:vertAlign w:val="superscript"/>
          <w:lang w:eastAsia="zh-CN"/>
          <w14:textFill>
            <w14:solidFill>
              <w14:schemeClr w14:val="tx1"/>
            </w14:solidFill>
          </w14:textFill>
        </w:rPr>
      </w:pPr>
    </w:p>
    <w:p w14:paraId="651DC2C8">
      <w:pPr>
        <w:rPr>
          <w:rFonts w:hint="eastAsia" w:ascii="仿宋" w:hAnsi="仿宋" w:eastAsia="仿宋" w:cs="仿宋"/>
          <w:color w:val="000000" w:themeColor="text1"/>
          <w:highlight w:val="none"/>
          <w:vertAlign w:val="superscript"/>
          <w:lang w:eastAsia="zh-CN"/>
          <w14:textFill>
            <w14:solidFill>
              <w14:schemeClr w14:val="tx1"/>
            </w14:solidFill>
          </w14:textFill>
        </w:rPr>
      </w:pPr>
    </w:p>
    <w:p w14:paraId="41C656FC">
      <w:pPr>
        <w:spacing w:line="360" w:lineRule="auto"/>
        <w:ind w:right="360" w:firstLine="480"/>
        <w:jc w:val="right"/>
        <w:rPr>
          <w:rFonts w:hint="eastAsia" w:ascii="仿宋" w:hAnsi="仿宋" w:eastAsia="仿宋" w:cs="仿宋"/>
          <w:color w:val="000000" w:themeColor="text1"/>
          <w:sz w:val="24"/>
          <w:highlight w:val="none"/>
          <w:lang w:eastAsia="zh-CN"/>
          <w14:textFill>
            <w14:solidFill>
              <w14:schemeClr w14:val="tx1"/>
            </w14:solidFill>
          </w14:textFill>
        </w:rPr>
      </w:pPr>
    </w:p>
    <w:p w14:paraId="25A30B60">
      <w:pPr>
        <w:spacing w:line="360" w:lineRule="auto"/>
        <w:jc w:val="center"/>
        <w:rPr>
          <w:rFonts w:hint="eastAsia" w:ascii="仿宋" w:hAnsi="仿宋" w:eastAsia="仿宋" w:cs="仿宋"/>
          <w:color w:val="000000" w:themeColor="text1"/>
          <w:sz w:val="36"/>
          <w:szCs w:val="36"/>
          <w:highlight w:val="none"/>
          <w:lang w:eastAsia="zh-CN"/>
          <w14:textFill>
            <w14:solidFill>
              <w14:schemeClr w14:val="tx1"/>
            </w14:solidFill>
          </w14:textFill>
        </w:rPr>
      </w:pPr>
      <w:r>
        <w:rPr>
          <w:rFonts w:hint="eastAsia" w:ascii="仿宋" w:hAnsi="仿宋" w:eastAsia="仿宋" w:cs="仿宋"/>
          <w:b/>
          <w:bCs/>
          <w:color w:val="000000" w:themeColor="text1"/>
          <w:sz w:val="36"/>
          <w:szCs w:val="36"/>
          <w:highlight w:val="none"/>
          <w:lang w:eastAsia="zh-CN"/>
          <w14:textFill>
            <w14:solidFill>
              <w14:schemeClr w14:val="tx1"/>
            </w14:solidFill>
          </w14:textFill>
        </w:rPr>
        <w:t>残疾人福利性单位声明函</w:t>
      </w:r>
    </w:p>
    <w:p w14:paraId="7AF8168C">
      <w:pPr>
        <w:spacing w:line="588" w:lineRule="exact"/>
        <w:ind w:firstLine="504"/>
        <w:rPr>
          <w:rFonts w:hint="eastAsia" w:ascii="仿宋" w:hAnsi="仿宋" w:eastAsia="仿宋" w:cs="仿宋"/>
          <w:color w:val="000000" w:themeColor="text1"/>
          <w:spacing w:val="6"/>
          <w:sz w:val="24"/>
          <w:highlight w:val="none"/>
          <w:lang w:eastAsia="zh-CN"/>
          <w14:textFill>
            <w14:solidFill>
              <w14:schemeClr w14:val="tx1"/>
            </w14:solidFill>
          </w14:textFill>
        </w:rPr>
      </w:pPr>
      <w:r>
        <w:rPr>
          <w:rFonts w:hint="eastAsia" w:ascii="仿宋" w:hAnsi="仿宋" w:eastAsia="仿宋" w:cs="仿宋"/>
          <w:color w:val="000000" w:themeColor="text1"/>
          <w:spacing w:val="6"/>
          <w:sz w:val="24"/>
          <w:highlight w:val="none"/>
          <w:lang w:eastAsia="zh-CN"/>
          <w14:textFill>
            <w14:solidFill>
              <w14:schemeClr w14:val="tx1"/>
            </w14:solidFill>
          </w14:textFill>
        </w:rPr>
        <w:t>本单位郑重声明，根据《财政部 民政部 中国残疾人联合会关于促进残疾人就业政府采购政策的通知》（财库</w:t>
      </w:r>
      <w:r>
        <w:rPr>
          <w:rFonts w:hint="eastAsia" w:ascii="仿宋" w:hAnsi="仿宋" w:eastAsia="仿宋" w:cs="仿宋"/>
          <w:color w:val="000000" w:themeColor="text1"/>
          <w:sz w:val="24"/>
          <w:highlight w:val="none"/>
          <w:lang w:eastAsia="zh-CN"/>
          <w14:textFill>
            <w14:solidFill>
              <w14:schemeClr w14:val="tx1"/>
            </w14:solidFill>
          </w14:textFill>
        </w:rPr>
        <w:t>〔2017〕141</w:t>
      </w:r>
      <w:r>
        <w:rPr>
          <w:rFonts w:hint="eastAsia" w:ascii="仿宋" w:hAnsi="仿宋" w:eastAsia="仿宋" w:cs="仿宋"/>
          <w:color w:val="000000" w:themeColor="text1"/>
          <w:spacing w:val="6"/>
          <w:sz w:val="24"/>
          <w:highlight w:val="none"/>
          <w:lang w:eastAsia="zh-CN"/>
          <w14:textFill>
            <w14:solidFill>
              <w14:schemeClr w14:val="tx1"/>
            </w14:solidFill>
          </w14:textFill>
        </w:rPr>
        <w:t>号）的规定，本单位</w:t>
      </w:r>
      <w:r>
        <w:rPr>
          <w:rFonts w:hint="eastAsia" w:ascii="仿宋" w:hAnsi="仿宋" w:eastAsia="仿宋" w:cs="仿宋"/>
          <w:b/>
          <w:color w:val="000000" w:themeColor="text1"/>
          <w:sz w:val="24"/>
          <w:highlight w:val="none"/>
          <w:lang w:eastAsia="zh-CN"/>
          <w14:textFill>
            <w14:solidFill>
              <w14:schemeClr w14:val="tx1"/>
            </w14:solidFill>
          </w14:textFill>
        </w:rPr>
        <w:t>（请进行勾选）</w:t>
      </w:r>
      <w:r>
        <w:rPr>
          <w:rFonts w:hint="eastAsia" w:ascii="仿宋" w:hAnsi="仿宋" w:eastAsia="仿宋" w:cs="仿宋"/>
          <w:color w:val="000000" w:themeColor="text1"/>
          <w:spacing w:val="6"/>
          <w:sz w:val="24"/>
          <w:highlight w:val="none"/>
          <w:lang w:eastAsia="zh-CN"/>
          <w14:textFill>
            <w14:solidFill>
              <w14:schemeClr w14:val="tx1"/>
            </w14:solidFill>
          </w14:textFill>
        </w:rPr>
        <w:t>：</w:t>
      </w:r>
    </w:p>
    <w:p w14:paraId="1A85ED4D">
      <w:pPr>
        <w:spacing w:line="588" w:lineRule="exact"/>
        <w:ind w:firstLine="482"/>
        <w:rPr>
          <w:rFonts w:hint="eastAsia" w:ascii="仿宋" w:hAnsi="仿宋" w:eastAsia="仿宋" w:cs="仿宋"/>
          <w:b/>
          <w:color w:val="000000" w:themeColor="text1"/>
          <w:spacing w:val="6"/>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w:t>
      </w:r>
      <w:r>
        <w:rPr>
          <w:rFonts w:hint="eastAsia" w:ascii="仿宋" w:hAnsi="仿宋" w:eastAsia="仿宋" w:cs="仿宋"/>
          <w:b/>
          <w:color w:val="000000" w:themeColor="text1"/>
          <w:spacing w:val="6"/>
          <w:sz w:val="24"/>
          <w:highlight w:val="none"/>
          <w:lang w:eastAsia="zh-CN"/>
          <w14:textFill>
            <w14:solidFill>
              <w14:schemeClr w14:val="tx1"/>
            </w14:solidFill>
          </w14:textFill>
        </w:rPr>
        <w:t>不属于符合条件的残疾人福利性单位。</w:t>
      </w:r>
    </w:p>
    <w:p w14:paraId="1EED60F1">
      <w:pPr>
        <w:spacing w:line="588" w:lineRule="exact"/>
        <w:ind w:firstLine="482"/>
        <w:rPr>
          <w:rFonts w:hint="eastAsia" w:ascii="仿宋" w:hAnsi="仿宋" w:eastAsia="仿宋" w:cs="仿宋"/>
          <w:color w:val="000000" w:themeColor="text1"/>
          <w:spacing w:val="6"/>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w:t>
      </w:r>
      <w:r>
        <w:rPr>
          <w:rFonts w:hint="eastAsia" w:ascii="仿宋" w:hAnsi="仿宋" w:eastAsia="仿宋" w:cs="仿宋"/>
          <w:b/>
          <w:color w:val="000000" w:themeColor="text1"/>
          <w:spacing w:val="6"/>
          <w:sz w:val="24"/>
          <w:highlight w:val="none"/>
          <w:lang w:eastAsia="zh-CN"/>
          <w14:textFill>
            <w14:solidFill>
              <w14:schemeClr w14:val="tx1"/>
            </w14:solidFill>
          </w14:textFill>
        </w:rPr>
        <w:t>属于符合条件的残疾人福利性单位，</w:t>
      </w:r>
      <w:r>
        <w:rPr>
          <w:rFonts w:hint="eastAsia" w:ascii="仿宋" w:hAnsi="仿宋" w:eastAsia="仿宋" w:cs="仿宋"/>
          <w:color w:val="000000" w:themeColor="text1"/>
          <w:spacing w:val="6"/>
          <w:sz w:val="24"/>
          <w:highlight w:val="none"/>
          <w:lang w:eastAsia="zh-CN"/>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13ACB959">
      <w:pPr>
        <w:spacing w:line="588" w:lineRule="exact"/>
        <w:ind w:firstLine="506" w:firstLineChars="200"/>
        <w:rPr>
          <w:rFonts w:hint="eastAsia" w:ascii="仿宋" w:hAnsi="仿宋" w:eastAsia="仿宋" w:cs="仿宋"/>
          <w:color w:val="000000" w:themeColor="text1"/>
          <w:spacing w:val="6"/>
          <w:sz w:val="24"/>
          <w:highlight w:val="none"/>
          <w:lang w:eastAsia="zh-CN"/>
          <w14:textFill>
            <w14:solidFill>
              <w14:schemeClr w14:val="tx1"/>
            </w14:solidFill>
          </w14:textFill>
        </w:rPr>
      </w:pPr>
      <w:r>
        <w:rPr>
          <w:rFonts w:hint="eastAsia" w:ascii="仿宋" w:hAnsi="仿宋" w:eastAsia="仿宋" w:cs="仿宋"/>
          <w:b/>
          <w:color w:val="000000" w:themeColor="text1"/>
          <w:spacing w:val="6"/>
          <w:sz w:val="24"/>
          <w:highlight w:val="none"/>
          <w:lang w:eastAsia="zh-CN"/>
          <w14:textFill>
            <w14:solidFill>
              <w14:schemeClr w14:val="tx1"/>
            </w14:solidFill>
          </w14:textFill>
        </w:rPr>
        <w:t>本单位对上述声明的真实性负责。如有虚假，将依法承担相应责任。</w:t>
      </w:r>
    </w:p>
    <w:p w14:paraId="644F3CDC">
      <w:pPr>
        <w:spacing w:line="588" w:lineRule="exact"/>
        <w:ind w:firstLine="504" w:firstLineChars="200"/>
        <w:rPr>
          <w:rFonts w:hint="eastAsia" w:ascii="仿宋" w:hAnsi="仿宋" w:eastAsia="仿宋" w:cs="仿宋"/>
          <w:color w:val="000000" w:themeColor="text1"/>
          <w:spacing w:val="6"/>
          <w:sz w:val="24"/>
          <w:highlight w:val="none"/>
          <w:lang w:eastAsia="zh-CN"/>
          <w14:textFill>
            <w14:solidFill>
              <w14:schemeClr w14:val="tx1"/>
            </w14:solidFill>
          </w14:textFill>
        </w:rPr>
      </w:pPr>
    </w:p>
    <w:p w14:paraId="4EDEA03C">
      <w:pPr>
        <w:spacing w:line="588" w:lineRule="exact"/>
        <w:ind w:firstLine="504" w:firstLineChars="200"/>
        <w:rPr>
          <w:rFonts w:hint="eastAsia" w:ascii="仿宋" w:hAnsi="仿宋" w:eastAsia="仿宋" w:cs="仿宋"/>
          <w:color w:val="000000" w:themeColor="text1"/>
          <w:spacing w:val="6"/>
          <w:sz w:val="24"/>
          <w:highlight w:val="none"/>
          <w:lang w:eastAsia="zh-CN"/>
          <w14:textFill>
            <w14:solidFill>
              <w14:schemeClr w14:val="tx1"/>
            </w14:solidFill>
          </w14:textFill>
        </w:rPr>
      </w:pPr>
    </w:p>
    <w:p w14:paraId="4DB5EF3E">
      <w:pPr>
        <w:tabs>
          <w:tab w:val="left" w:pos="4860"/>
        </w:tabs>
        <w:spacing w:line="588" w:lineRule="exact"/>
        <w:ind w:right="1560" w:firstLine="504" w:firstLineChars="200"/>
        <w:jc w:val="right"/>
        <w:rPr>
          <w:rFonts w:hint="eastAsia" w:ascii="仿宋" w:hAnsi="仿宋" w:eastAsia="仿宋" w:cs="仿宋"/>
          <w:color w:val="000000" w:themeColor="text1"/>
          <w:spacing w:val="6"/>
          <w:sz w:val="24"/>
          <w:highlight w:val="none"/>
          <w:lang w:eastAsia="zh-CN"/>
          <w14:textFill>
            <w14:solidFill>
              <w14:schemeClr w14:val="tx1"/>
            </w14:solidFill>
          </w14:textFill>
        </w:rPr>
      </w:pPr>
      <w:r>
        <w:rPr>
          <w:rFonts w:hint="eastAsia" w:ascii="仿宋" w:hAnsi="仿宋" w:eastAsia="仿宋" w:cs="仿宋"/>
          <w:color w:val="000000" w:themeColor="text1"/>
          <w:spacing w:val="6"/>
          <w:sz w:val="24"/>
          <w:highlight w:val="none"/>
          <w:lang w:eastAsia="zh-CN"/>
          <w14:textFill>
            <w14:solidFill>
              <w14:schemeClr w14:val="tx1"/>
            </w14:solidFill>
          </w14:textFill>
        </w:rPr>
        <w:t xml:space="preserve">               单位名称（加盖公章）：</w:t>
      </w:r>
    </w:p>
    <w:p w14:paraId="57A8085F">
      <w:pPr>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6"/>
          <w:sz w:val="24"/>
          <w:highlight w:val="none"/>
          <w:lang w:eastAsia="zh-CN"/>
          <w14:textFill>
            <w14:solidFill>
              <w14:schemeClr w14:val="tx1"/>
            </w14:solidFill>
          </w14:textFill>
        </w:rPr>
        <w:t xml:space="preserve">                                  日  期：</w:t>
      </w:r>
    </w:p>
    <w:p w14:paraId="6455FF19">
      <w:pPr>
        <w:rPr>
          <w:rFonts w:hint="eastAsia" w:ascii="仿宋" w:hAnsi="仿宋" w:eastAsia="仿宋" w:cs="仿宋"/>
          <w:color w:val="000000" w:themeColor="text1"/>
          <w:highlight w:val="none"/>
          <w:lang w:eastAsia="zh-CN"/>
          <w14:textFill>
            <w14:solidFill>
              <w14:schemeClr w14:val="tx1"/>
            </w14:solidFill>
          </w14:textFill>
        </w:rPr>
      </w:pPr>
    </w:p>
    <w:p w14:paraId="52285313">
      <w:pPr>
        <w:rPr>
          <w:rFonts w:hint="eastAsia" w:ascii="仿宋" w:hAnsi="仿宋" w:eastAsia="仿宋" w:cs="仿宋"/>
          <w:color w:val="000000" w:themeColor="text1"/>
          <w:highlight w:val="none"/>
          <w:lang w:eastAsia="zh-CN"/>
          <w14:textFill>
            <w14:solidFill>
              <w14:schemeClr w14:val="tx1"/>
            </w14:solidFill>
          </w14:textFill>
        </w:rPr>
      </w:pPr>
    </w:p>
    <w:p w14:paraId="7007D671">
      <w:pPr>
        <w:rPr>
          <w:rFonts w:hint="eastAsia" w:ascii="仿宋" w:hAnsi="仿宋" w:eastAsia="仿宋" w:cs="仿宋"/>
          <w:color w:val="000000" w:themeColor="text1"/>
          <w:highlight w:val="none"/>
          <w:lang w:eastAsia="zh-CN"/>
          <w14:textFill>
            <w14:solidFill>
              <w14:schemeClr w14:val="tx1"/>
            </w14:solidFill>
          </w14:textFill>
        </w:rPr>
      </w:pPr>
    </w:p>
    <w:p w14:paraId="77BAA562">
      <w:pPr>
        <w:rPr>
          <w:rFonts w:hint="eastAsia" w:ascii="仿宋" w:hAnsi="仿宋" w:eastAsia="仿宋" w:cs="仿宋"/>
          <w:color w:val="000000" w:themeColor="text1"/>
          <w:highlight w:val="none"/>
          <w:lang w:eastAsia="zh-CN"/>
          <w14:textFill>
            <w14:solidFill>
              <w14:schemeClr w14:val="tx1"/>
            </w14:solidFill>
          </w14:textFill>
        </w:rPr>
      </w:pPr>
    </w:p>
    <w:p w14:paraId="4E679603">
      <w:pPr>
        <w:rPr>
          <w:rFonts w:hint="eastAsia" w:ascii="仿宋" w:hAnsi="仿宋" w:eastAsia="仿宋" w:cs="仿宋"/>
          <w:color w:val="000000" w:themeColor="text1"/>
          <w:highlight w:val="none"/>
          <w:lang w:eastAsia="zh-CN"/>
          <w14:textFill>
            <w14:solidFill>
              <w14:schemeClr w14:val="tx1"/>
            </w14:solidFill>
          </w14:textFill>
        </w:rPr>
      </w:pPr>
    </w:p>
    <w:p w14:paraId="76F2E334">
      <w:pPr>
        <w:rPr>
          <w:rFonts w:hint="eastAsia" w:ascii="仿宋" w:hAnsi="仿宋" w:eastAsia="仿宋" w:cs="仿宋"/>
          <w:color w:val="000000" w:themeColor="text1"/>
          <w:highlight w:val="none"/>
          <w:lang w:eastAsia="zh-CN"/>
          <w14:textFill>
            <w14:solidFill>
              <w14:schemeClr w14:val="tx1"/>
            </w14:solidFill>
          </w14:textFill>
        </w:rPr>
      </w:pPr>
    </w:p>
    <w:p w14:paraId="5F03343B">
      <w:pPr>
        <w:rPr>
          <w:rFonts w:hint="eastAsia" w:ascii="仿宋" w:hAnsi="仿宋" w:eastAsia="仿宋" w:cs="仿宋"/>
          <w:color w:val="000000" w:themeColor="text1"/>
          <w:highlight w:val="none"/>
          <w:lang w:eastAsia="zh-CN"/>
          <w14:textFill>
            <w14:solidFill>
              <w14:schemeClr w14:val="tx1"/>
            </w14:solidFill>
          </w14:textFill>
        </w:rPr>
      </w:pPr>
    </w:p>
    <w:p w14:paraId="18F79C78">
      <w:pPr>
        <w:rPr>
          <w:rFonts w:hint="eastAsia" w:ascii="仿宋" w:hAnsi="仿宋" w:eastAsia="仿宋" w:cs="仿宋"/>
          <w:color w:val="000000" w:themeColor="text1"/>
          <w:highlight w:val="none"/>
          <w:lang w:eastAsia="zh-CN"/>
          <w14:textFill>
            <w14:solidFill>
              <w14:schemeClr w14:val="tx1"/>
            </w14:solidFill>
          </w14:textFill>
        </w:rPr>
      </w:pPr>
    </w:p>
    <w:p w14:paraId="6E3A63AF">
      <w:pPr>
        <w:rPr>
          <w:rFonts w:hint="eastAsia" w:ascii="仿宋" w:hAnsi="仿宋" w:eastAsia="仿宋" w:cs="仿宋"/>
          <w:color w:val="000000" w:themeColor="text1"/>
          <w:highlight w:val="none"/>
          <w:lang w:eastAsia="zh-CN"/>
          <w14:textFill>
            <w14:solidFill>
              <w14:schemeClr w14:val="tx1"/>
            </w14:solidFill>
          </w14:textFill>
        </w:rPr>
      </w:pPr>
    </w:p>
    <w:p w14:paraId="510F2456">
      <w:pPr>
        <w:rPr>
          <w:rFonts w:hint="eastAsia" w:ascii="仿宋" w:hAnsi="仿宋" w:eastAsia="仿宋" w:cs="仿宋"/>
          <w:color w:val="000000" w:themeColor="text1"/>
          <w:highlight w:val="none"/>
          <w:lang w:eastAsia="zh-CN"/>
          <w14:textFill>
            <w14:solidFill>
              <w14:schemeClr w14:val="tx1"/>
            </w14:solidFill>
          </w14:textFill>
        </w:rPr>
      </w:pPr>
    </w:p>
    <w:p w14:paraId="4CF1E982">
      <w:pPr>
        <w:rPr>
          <w:rFonts w:hint="eastAsia" w:ascii="仿宋" w:hAnsi="仿宋" w:eastAsia="仿宋" w:cs="仿宋"/>
          <w:color w:val="000000" w:themeColor="text1"/>
          <w:highlight w:val="none"/>
          <w:lang w:eastAsia="zh-CN"/>
          <w14:textFill>
            <w14:solidFill>
              <w14:schemeClr w14:val="tx1"/>
            </w14:solidFill>
          </w14:textFill>
        </w:rPr>
      </w:pPr>
    </w:p>
    <w:p w14:paraId="7797FA23">
      <w:pPr>
        <w:rPr>
          <w:rFonts w:hint="eastAsia" w:ascii="仿宋" w:hAnsi="仿宋" w:eastAsia="仿宋" w:cs="仿宋"/>
          <w:color w:val="000000" w:themeColor="text1"/>
          <w:highlight w:val="none"/>
          <w:lang w:eastAsia="zh-CN"/>
          <w14:textFill>
            <w14:solidFill>
              <w14:schemeClr w14:val="tx1"/>
            </w14:solidFill>
          </w14:textFill>
        </w:rPr>
      </w:pPr>
    </w:p>
    <w:p w14:paraId="1C640FB9">
      <w:pPr>
        <w:rPr>
          <w:rFonts w:hint="eastAsia" w:ascii="仿宋" w:hAnsi="仿宋" w:eastAsia="仿宋" w:cs="仿宋"/>
          <w:color w:val="000000" w:themeColor="text1"/>
          <w:highlight w:val="none"/>
          <w:lang w:eastAsia="zh-CN"/>
          <w14:textFill>
            <w14:solidFill>
              <w14:schemeClr w14:val="tx1"/>
            </w14:solidFill>
          </w14:textFill>
        </w:rPr>
      </w:pPr>
    </w:p>
    <w:p w14:paraId="45BBDB30">
      <w:pPr>
        <w:rPr>
          <w:rFonts w:hint="eastAsia" w:ascii="仿宋" w:hAnsi="仿宋" w:eastAsia="仿宋" w:cs="仿宋"/>
          <w:color w:val="000000" w:themeColor="text1"/>
          <w:highlight w:val="none"/>
          <w:lang w:eastAsia="zh-CN"/>
          <w14:textFill>
            <w14:solidFill>
              <w14:schemeClr w14:val="tx1"/>
            </w14:solidFill>
          </w14:textFill>
        </w:rPr>
      </w:pPr>
    </w:p>
    <w:p w14:paraId="52D49601">
      <w:pPr>
        <w:rPr>
          <w:rFonts w:hint="eastAsia" w:ascii="仿宋" w:hAnsi="仿宋" w:eastAsia="仿宋" w:cs="仿宋"/>
          <w:color w:val="000000" w:themeColor="text1"/>
          <w:highlight w:val="none"/>
          <w:lang w:eastAsia="zh-CN"/>
          <w14:textFill>
            <w14:solidFill>
              <w14:schemeClr w14:val="tx1"/>
            </w14:solidFill>
          </w14:textFill>
        </w:rPr>
      </w:pPr>
    </w:p>
    <w:p w14:paraId="408B8ED6">
      <w:pPr>
        <w:rPr>
          <w:rFonts w:hint="eastAsia" w:ascii="仿宋" w:hAnsi="仿宋" w:eastAsia="仿宋" w:cs="仿宋"/>
          <w:color w:val="000000" w:themeColor="text1"/>
          <w:highlight w:val="none"/>
          <w:lang w:eastAsia="zh-CN"/>
          <w14:textFill>
            <w14:solidFill>
              <w14:schemeClr w14:val="tx1"/>
            </w14:solidFill>
          </w14:textFill>
        </w:rPr>
      </w:pPr>
    </w:p>
    <w:p w14:paraId="44F385DA">
      <w:pPr>
        <w:rPr>
          <w:rFonts w:hint="eastAsia" w:ascii="仿宋" w:hAnsi="仿宋" w:eastAsia="仿宋" w:cs="仿宋"/>
          <w:color w:val="000000" w:themeColor="text1"/>
          <w:highlight w:val="none"/>
          <w:lang w:eastAsia="zh-CN"/>
          <w14:textFill>
            <w14:solidFill>
              <w14:schemeClr w14:val="tx1"/>
            </w14:solidFill>
          </w14:textFill>
        </w:rPr>
      </w:pPr>
    </w:p>
    <w:p w14:paraId="4D62DB6E">
      <w:pPr>
        <w:spacing w:line="360" w:lineRule="auto"/>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p w14:paraId="6488DFA1">
      <w:pPr>
        <w:spacing w:line="360" w:lineRule="auto"/>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p w14:paraId="71F80711">
      <w:pPr>
        <w:spacing w:line="360" w:lineRule="auto"/>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p w14:paraId="53340060">
      <w:pPr>
        <w:spacing w:line="360" w:lineRule="auto"/>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p w14:paraId="0CFF3D9E">
      <w:pPr>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br w:type="page"/>
      </w:r>
    </w:p>
    <w:p w14:paraId="36EB889A">
      <w:pPr>
        <w:spacing w:line="360" w:lineRule="auto"/>
        <w:outlineLvl w:val="2"/>
        <w:rPr>
          <w:rFonts w:hint="eastAsia" w:ascii="仿宋" w:hAnsi="仿宋" w:eastAsia="仿宋" w:cs="仿宋"/>
          <w:color w:val="000000" w:themeColor="text1"/>
          <w:spacing w:val="-4"/>
          <w:sz w:val="24"/>
          <w:szCs w:val="24"/>
          <w:highlight w:val="none"/>
          <w:lang w:eastAsia="zh-CN"/>
          <w14:textFill>
            <w14:solidFill>
              <w14:schemeClr w14:val="tx1"/>
            </w14:solidFill>
          </w14:textFill>
        </w:rPr>
        <w:sectPr>
          <w:headerReference r:id="rId24" w:type="default"/>
          <w:footerReference r:id="rId25" w:type="default"/>
          <w:pgSz w:w="11907" w:h="16839"/>
          <w:pgMar w:top="1417" w:right="1417" w:bottom="1417" w:left="1417" w:header="1191" w:footer="850" w:gutter="0"/>
          <w:pgNumType w:fmt="decimal"/>
          <w:cols w:space="720" w:num="1"/>
        </w:sectPr>
      </w:pPr>
    </w:p>
    <w:p w14:paraId="04E44A40">
      <w:pPr>
        <w:spacing w:line="360" w:lineRule="auto"/>
        <w:outlineLvl w:val="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2-2其它落实政府采购政策的资格要求（如有）</w:t>
      </w:r>
    </w:p>
    <w:p w14:paraId="4501259C">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sectPr>
          <w:pgSz w:w="11907" w:h="16839"/>
          <w:pgMar w:top="1417" w:right="1417" w:bottom="1417" w:left="1417" w:header="1191" w:footer="850" w:gutter="0"/>
          <w:pgNumType w:fmt="decimal"/>
          <w:cols w:space="720" w:num="1"/>
        </w:sectPr>
      </w:pPr>
    </w:p>
    <w:p w14:paraId="580C9987">
      <w:pPr>
        <w:spacing w:line="360" w:lineRule="auto"/>
        <w:outlineLvl w:val="1"/>
        <w:rPr>
          <w:rFonts w:hint="eastAsia" w:ascii="仿宋" w:hAnsi="仿宋" w:eastAsia="仿宋" w:cs="仿宋"/>
          <w:color w:val="000000" w:themeColor="text1"/>
          <w:spacing w:val="-6"/>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3</w:t>
      </w:r>
      <w:r>
        <w:rPr>
          <w:rFonts w:hint="eastAsia" w:ascii="仿宋" w:hAnsi="仿宋" w:eastAsia="仿宋" w:cs="仿宋"/>
          <w:color w:val="000000" w:themeColor="text1"/>
          <w:spacing w:val="-3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本项目的特定资格要求</w:t>
      </w:r>
    </w:p>
    <w:p w14:paraId="39CEE5A7">
      <w:pPr>
        <w:ind w:firstLine="480" w:firstLineChars="200"/>
        <w:outlineLvl w:val="9"/>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（1）供应商须具备建设行政主管部门颁发的有效的建筑工程施工总承包三级（含三级）以上资质，具备有效的安全生产许可证。 </w:t>
      </w:r>
    </w:p>
    <w:p w14:paraId="5628897B">
      <w:pPr>
        <w:ind w:firstLine="480" w:firstLineChars="200"/>
        <w:outlineLvl w:val="9"/>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2）供应商拟派项目负责人具备建筑工程专业二级及以上注册建造师执业资格及有效的安全生产考核合格证书（B类）、具有2025年12月-2026年05月在职单位个人社保证明，且在确定成交人时不得担任其他在施建设工程项目的项目负责人、项目经理。 </w:t>
      </w:r>
    </w:p>
    <w:p w14:paraId="04FA851D">
      <w:pPr>
        <w:ind w:firstLine="480" w:firstLineChars="200"/>
        <w:outlineLvl w:val="9"/>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（3）新疆维吾尔自治区区外建筑企业若中标应按新疆维吾尔自治区住房和城乡建设厅 2018 年 4 月 24 日发布的《关于进一步推动自治区建筑市场统一开放的通知》(新建建【2018】10号)的规定，登录新疆建筑市场监管和诚信信息一体化平台（简称新疆工程建设云，网址:（https://jsy.xjjs.gov.cn），注册报送企业基本信息和人员信息。 </w:t>
      </w:r>
    </w:p>
    <w:p w14:paraId="3B596B25">
      <w:pPr>
        <w:ind w:firstLine="480" w:firstLineChars="200"/>
        <w:outlineLvl w:val="9"/>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4）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14:paraId="695780C4">
      <w:pPr>
        <w:outlineLvl w:val="9"/>
        <w:rPr>
          <w:rFonts w:hint="eastAsia" w:ascii="仿宋" w:hAnsi="仿宋" w:eastAsia="仿宋" w:cs="仿宋"/>
          <w:color w:val="000000" w:themeColor="text1"/>
          <w:sz w:val="24"/>
          <w:highlight w:val="none"/>
          <w:lang w:eastAsia="zh-CN"/>
          <w14:textFill>
            <w14:solidFill>
              <w14:schemeClr w14:val="tx1"/>
            </w14:solidFill>
          </w14:textFill>
        </w:rPr>
      </w:pPr>
    </w:p>
    <w:p w14:paraId="210C3D19">
      <w:pPr>
        <w:outlineLvl w:val="9"/>
        <w:rPr>
          <w:rFonts w:hint="eastAsia" w:ascii="仿宋" w:hAnsi="仿宋" w:eastAsia="仿宋" w:cs="仿宋"/>
          <w:color w:val="000000" w:themeColor="text1"/>
          <w:sz w:val="24"/>
          <w:highlight w:val="none"/>
          <w:lang w:eastAsia="zh-CN"/>
          <w14:textFill>
            <w14:solidFill>
              <w14:schemeClr w14:val="tx1"/>
            </w14:solidFill>
          </w14:textFill>
        </w:rPr>
      </w:pPr>
    </w:p>
    <w:p w14:paraId="64F632B8">
      <w:pPr>
        <w:outlineLvl w:val="9"/>
        <w:rPr>
          <w:rFonts w:hint="eastAsia" w:ascii="仿宋" w:hAnsi="仿宋" w:eastAsia="仿宋" w:cs="仿宋"/>
          <w:color w:val="000000" w:themeColor="text1"/>
          <w:sz w:val="24"/>
          <w:highlight w:val="none"/>
          <w:lang w:eastAsia="zh-CN"/>
          <w14:textFill>
            <w14:solidFill>
              <w14:schemeClr w14:val="tx1"/>
            </w14:solidFill>
          </w14:textFill>
        </w:rPr>
      </w:pPr>
    </w:p>
    <w:p w14:paraId="41F08900">
      <w:pPr>
        <w:outlineLvl w:val="9"/>
        <w:rPr>
          <w:rFonts w:hint="eastAsia" w:ascii="仿宋" w:hAnsi="仿宋" w:eastAsia="仿宋" w:cs="仿宋"/>
          <w:color w:val="000000" w:themeColor="text1"/>
          <w:sz w:val="24"/>
          <w:highlight w:val="none"/>
          <w:lang w:eastAsia="zh-CN"/>
          <w14:textFill>
            <w14:solidFill>
              <w14:schemeClr w14:val="tx1"/>
            </w14:solidFill>
          </w14:textFill>
        </w:rPr>
      </w:pPr>
    </w:p>
    <w:p w14:paraId="2F869C63">
      <w:pPr>
        <w:outlineLvl w:val="9"/>
        <w:rPr>
          <w:rFonts w:hint="eastAsia" w:ascii="仿宋" w:hAnsi="仿宋" w:eastAsia="仿宋" w:cs="仿宋"/>
          <w:color w:val="000000" w:themeColor="text1"/>
          <w:sz w:val="24"/>
          <w:highlight w:val="none"/>
          <w:lang w:eastAsia="zh-CN"/>
          <w14:textFill>
            <w14:solidFill>
              <w14:schemeClr w14:val="tx1"/>
            </w14:solidFill>
          </w14:textFill>
        </w:rPr>
      </w:pPr>
    </w:p>
    <w:p w14:paraId="1BA50D1F">
      <w:pPr>
        <w:outlineLvl w:val="9"/>
        <w:rPr>
          <w:rFonts w:hint="eastAsia" w:ascii="仿宋" w:hAnsi="仿宋" w:eastAsia="仿宋" w:cs="仿宋"/>
          <w:color w:val="000000" w:themeColor="text1"/>
          <w:sz w:val="24"/>
          <w:highlight w:val="none"/>
          <w:lang w:eastAsia="zh-CN"/>
          <w14:textFill>
            <w14:solidFill>
              <w14:schemeClr w14:val="tx1"/>
            </w14:solidFill>
          </w14:textFill>
        </w:rPr>
      </w:pPr>
    </w:p>
    <w:p w14:paraId="537F2519">
      <w:pPr>
        <w:outlineLvl w:val="9"/>
        <w:rPr>
          <w:rFonts w:hint="eastAsia" w:ascii="仿宋" w:hAnsi="仿宋" w:eastAsia="仿宋" w:cs="仿宋"/>
          <w:color w:val="000000" w:themeColor="text1"/>
          <w:sz w:val="24"/>
          <w:highlight w:val="none"/>
          <w:lang w:eastAsia="zh-CN"/>
          <w14:textFill>
            <w14:solidFill>
              <w14:schemeClr w14:val="tx1"/>
            </w14:solidFill>
          </w14:textFill>
        </w:rPr>
      </w:pPr>
    </w:p>
    <w:p w14:paraId="56542F73">
      <w:pPr>
        <w:outlineLvl w:val="9"/>
        <w:rPr>
          <w:rFonts w:hint="eastAsia" w:ascii="仿宋" w:hAnsi="仿宋" w:eastAsia="仿宋" w:cs="仿宋"/>
          <w:color w:val="000000" w:themeColor="text1"/>
          <w:sz w:val="24"/>
          <w:highlight w:val="none"/>
          <w:lang w:eastAsia="zh-CN"/>
          <w14:textFill>
            <w14:solidFill>
              <w14:schemeClr w14:val="tx1"/>
            </w14:solidFill>
          </w14:textFill>
        </w:rPr>
      </w:pPr>
    </w:p>
    <w:p w14:paraId="16CF8991">
      <w:pPr>
        <w:outlineLvl w:val="9"/>
        <w:rPr>
          <w:rFonts w:hint="eastAsia" w:ascii="仿宋" w:hAnsi="仿宋" w:eastAsia="仿宋" w:cs="仿宋"/>
          <w:color w:val="000000" w:themeColor="text1"/>
          <w:sz w:val="24"/>
          <w:highlight w:val="none"/>
          <w:lang w:eastAsia="zh-CN"/>
          <w14:textFill>
            <w14:solidFill>
              <w14:schemeClr w14:val="tx1"/>
            </w14:solidFill>
          </w14:textFill>
        </w:rPr>
      </w:pPr>
    </w:p>
    <w:p w14:paraId="2653A5BA">
      <w:pPr>
        <w:outlineLvl w:val="9"/>
        <w:rPr>
          <w:rFonts w:hint="eastAsia" w:ascii="仿宋" w:hAnsi="仿宋" w:eastAsia="仿宋" w:cs="仿宋"/>
          <w:color w:val="000000" w:themeColor="text1"/>
          <w:sz w:val="24"/>
          <w:highlight w:val="none"/>
          <w:lang w:eastAsia="zh-CN"/>
          <w14:textFill>
            <w14:solidFill>
              <w14:schemeClr w14:val="tx1"/>
            </w14:solidFill>
          </w14:textFill>
        </w:rPr>
      </w:pPr>
    </w:p>
    <w:p w14:paraId="7B3C0DBC">
      <w:pPr>
        <w:outlineLvl w:val="9"/>
        <w:rPr>
          <w:rFonts w:hint="eastAsia" w:ascii="仿宋" w:hAnsi="仿宋" w:eastAsia="仿宋" w:cs="仿宋"/>
          <w:color w:val="000000" w:themeColor="text1"/>
          <w:sz w:val="24"/>
          <w:highlight w:val="none"/>
          <w:lang w:eastAsia="zh-CN"/>
          <w14:textFill>
            <w14:solidFill>
              <w14:schemeClr w14:val="tx1"/>
            </w14:solidFill>
          </w14:textFill>
        </w:rPr>
      </w:pPr>
    </w:p>
    <w:p w14:paraId="25CE1BDD">
      <w:pPr>
        <w:outlineLvl w:val="9"/>
        <w:rPr>
          <w:rFonts w:hint="eastAsia" w:ascii="仿宋" w:hAnsi="仿宋" w:eastAsia="仿宋" w:cs="仿宋"/>
          <w:color w:val="000000" w:themeColor="text1"/>
          <w:sz w:val="24"/>
          <w:highlight w:val="none"/>
          <w:lang w:eastAsia="zh-CN"/>
          <w14:textFill>
            <w14:solidFill>
              <w14:schemeClr w14:val="tx1"/>
            </w14:solidFill>
          </w14:textFill>
        </w:rPr>
      </w:pPr>
    </w:p>
    <w:p w14:paraId="06695527">
      <w:pPr>
        <w:outlineLvl w:val="9"/>
        <w:rPr>
          <w:rFonts w:hint="eastAsia" w:ascii="仿宋" w:hAnsi="仿宋" w:eastAsia="仿宋" w:cs="仿宋"/>
          <w:color w:val="000000" w:themeColor="text1"/>
          <w:sz w:val="24"/>
          <w:highlight w:val="none"/>
          <w:lang w:eastAsia="zh-CN"/>
          <w14:textFill>
            <w14:solidFill>
              <w14:schemeClr w14:val="tx1"/>
            </w14:solidFill>
          </w14:textFill>
        </w:rPr>
      </w:pPr>
    </w:p>
    <w:p w14:paraId="5FEDE76C">
      <w:pPr>
        <w:outlineLvl w:val="9"/>
        <w:rPr>
          <w:rFonts w:hint="eastAsia" w:ascii="仿宋" w:hAnsi="仿宋" w:eastAsia="仿宋" w:cs="仿宋"/>
          <w:color w:val="000000" w:themeColor="text1"/>
          <w:sz w:val="24"/>
          <w:highlight w:val="none"/>
          <w:lang w:eastAsia="zh-CN"/>
          <w14:textFill>
            <w14:solidFill>
              <w14:schemeClr w14:val="tx1"/>
            </w14:solidFill>
          </w14:textFill>
        </w:rPr>
      </w:pPr>
    </w:p>
    <w:p w14:paraId="46D8B583">
      <w:pPr>
        <w:outlineLvl w:val="9"/>
        <w:rPr>
          <w:rFonts w:hint="eastAsia" w:ascii="仿宋" w:hAnsi="仿宋" w:eastAsia="仿宋" w:cs="仿宋"/>
          <w:color w:val="000000" w:themeColor="text1"/>
          <w:sz w:val="24"/>
          <w:highlight w:val="none"/>
          <w:lang w:eastAsia="zh-CN"/>
          <w14:textFill>
            <w14:solidFill>
              <w14:schemeClr w14:val="tx1"/>
            </w14:solidFill>
          </w14:textFill>
        </w:rPr>
      </w:pPr>
    </w:p>
    <w:p w14:paraId="51C57DD6">
      <w:pPr>
        <w:outlineLvl w:val="9"/>
        <w:rPr>
          <w:rFonts w:hint="eastAsia" w:ascii="仿宋" w:hAnsi="仿宋" w:eastAsia="仿宋" w:cs="仿宋"/>
          <w:color w:val="000000" w:themeColor="text1"/>
          <w:sz w:val="24"/>
          <w:highlight w:val="none"/>
          <w:lang w:eastAsia="zh-CN"/>
          <w14:textFill>
            <w14:solidFill>
              <w14:schemeClr w14:val="tx1"/>
            </w14:solidFill>
          </w14:textFill>
        </w:rPr>
      </w:pPr>
    </w:p>
    <w:p w14:paraId="448E8254">
      <w:pPr>
        <w:outlineLvl w:val="9"/>
        <w:rPr>
          <w:rFonts w:hint="eastAsia" w:ascii="仿宋" w:hAnsi="仿宋" w:eastAsia="仿宋" w:cs="仿宋"/>
          <w:color w:val="000000" w:themeColor="text1"/>
          <w:sz w:val="24"/>
          <w:highlight w:val="none"/>
          <w:lang w:eastAsia="zh-CN"/>
          <w14:textFill>
            <w14:solidFill>
              <w14:schemeClr w14:val="tx1"/>
            </w14:solidFill>
          </w14:textFill>
        </w:rPr>
      </w:pPr>
    </w:p>
    <w:p w14:paraId="3FC27334">
      <w:pPr>
        <w:outlineLvl w:val="9"/>
        <w:rPr>
          <w:rFonts w:hint="eastAsia" w:ascii="仿宋" w:hAnsi="仿宋" w:eastAsia="仿宋" w:cs="仿宋"/>
          <w:color w:val="000000" w:themeColor="text1"/>
          <w:sz w:val="24"/>
          <w:highlight w:val="none"/>
          <w:lang w:eastAsia="zh-CN"/>
          <w14:textFill>
            <w14:solidFill>
              <w14:schemeClr w14:val="tx1"/>
            </w14:solidFill>
          </w14:textFill>
        </w:rPr>
      </w:pPr>
    </w:p>
    <w:p w14:paraId="70FE439A">
      <w:pPr>
        <w:outlineLvl w:val="9"/>
        <w:rPr>
          <w:rFonts w:hint="eastAsia" w:ascii="仿宋" w:hAnsi="仿宋" w:eastAsia="仿宋" w:cs="仿宋"/>
          <w:color w:val="000000" w:themeColor="text1"/>
          <w:sz w:val="24"/>
          <w:highlight w:val="none"/>
          <w:lang w:eastAsia="zh-CN"/>
          <w14:textFill>
            <w14:solidFill>
              <w14:schemeClr w14:val="tx1"/>
            </w14:solidFill>
          </w14:textFill>
        </w:rPr>
      </w:pPr>
    </w:p>
    <w:p w14:paraId="20593DAC">
      <w:pPr>
        <w:outlineLvl w:val="9"/>
        <w:rPr>
          <w:rFonts w:hint="eastAsia" w:ascii="仿宋" w:hAnsi="仿宋" w:eastAsia="仿宋" w:cs="仿宋"/>
          <w:color w:val="000000" w:themeColor="text1"/>
          <w:sz w:val="24"/>
          <w:highlight w:val="none"/>
          <w:lang w:eastAsia="zh-CN"/>
          <w14:textFill>
            <w14:solidFill>
              <w14:schemeClr w14:val="tx1"/>
            </w14:solidFill>
          </w14:textFill>
        </w:rPr>
      </w:pPr>
    </w:p>
    <w:p w14:paraId="4473BA8F">
      <w:pPr>
        <w:outlineLvl w:val="9"/>
        <w:rPr>
          <w:rFonts w:hint="eastAsia" w:ascii="仿宋" w:hAnsi="仿宋" w:eastAsia="仿宋" w:cs="仿宋"/>
          <w:color w:val="000000" w:themeColor="text1"/>
          <w:sz w:val="24"/>
          <w:highlight w:val="none"/>
          <w:lang w:eastAsia="zh-CN"/>
          <w14:textFill>
            <w14:solidFill>
              <w14:schemeClr w14:val="tx1"/>
            </w14:solidFill>
          </w14:textFill>
        </w:rPr>
      </w:pPr>
    </w:p>
    <w:p w14:paraId="144021B7">
      <w:pPr>
        <w:outlineLvl w:val="9"/>
        <w:rPr>
          <w:rFonts w:hint="eastAsia" w:ascii="仿宋" w:hAnsi="仿宋" w:eastAsia="仿宋" w:cs="仿宋"/>
          <w:color w:val="000000" w:themeColor="text1"/>
          <w:sz w:val="24"/>
          <w:highlight w:val="none"/>
          <w:lang w:eastAsia="zh-CN"/>
          <w14:textFill>
            <w14:solidFill>
              <w14:schemeClr w14:val="tx1"/>
            </w14:solidFill>
          </w14:textFill>
        </w:rPr>
      </w:pPr>
    </w:p>
    <w:p w14:paraId="2BD1BF7C">
      <w:pPr>
        <w:outlineLvl w:val="9"/>
        <w:rPr>
          <w:rFonts w:hint="eastAsia" w:ascii="仿宋" w:hAnsi="仿宋" w:eastAsia="仿宋" w:cs="仿宋"/>
          <w:color w:val="000000" w:themeColor="text1"/>
          <w:sz w:val="24"/>
          <w:highlight w:val="none"/>
          <w:lang w:eastAsia="zh-CN"/>
          <w14:textFill>
            <w14:solidFill>
              <w14:schemeClr w14:val="tx1"/>
            </w14:solidFill>
          </w14:textFill>
        </w:rPr>
      </w:pPr>
    </w:p>
    <w:p w14:paraId="0B803255">
      <w:pPr>
        <w:outlineLvl w:val="9"/>
        <w:rPr>
          <w:rFonts w:hint="eastAsia" w:ascii="仿宋" w:hAnsi="仿宋" w:eastAsia="仿宋" w:cs="仿宋"/>
          <w:color w:val="000000" w:themeColor="text1"/>
          <w:sz w:val="24"/>
          <w:highlight w:val="none"/>
          <w:lang w:eastAsia="zh-CN"/>
          <w14:textFill>
            <w14:solidFill>
              <w14:schemeClr w14:val="tx1"/>
            </w14:solidFill>
          </w14:textFill>
        </w:rPr>
      </w:pPr>
    </w:p>
    <w:p w14:paraId="683A7286">
      <w:pPr>
        <w:outlineLvl w:val="9"/>
        <w:rPr>
          <w:rFonts w:hint="eastAsia" w:ascii="仿宋" w:hAnsi="仿宋" w:eastAsia="仿宋" w:cs="仿宋"/>
          <w:color w:val="000000" w:themeColor="text1"/>
          <w:sz w:val="24"/>
          <w:highlight w:val="none"/>
          <w:lang w:eastAsia="zh-CN"/>
          <w14:textFill>
            <w14:solidFill>
              <w14:schemeClr w14:val="tx1"/>
            </w14:solidFill>
          </w14:textFill>
        </w:rPr>
      </w:pPr>
    </w:p>
    <w:p w14:paraId="0B676AE4">
      <w:pPr>
        <w:outlineLvl w:val="9"/>
        <w:rPr>
          <w:rFonts w:hint="eastAsia" w:ascii="仿宋" w:hAnsi="仿宋" w:eastAsia="仿宋" w:cs="仿宋"/>
          <w:color w:val="000000" w:themeColor="text1"/>
          <w:sz w:val="24"/>
          <w:highlight w:val="none"/>
          <w:lang w:eastAsia="zh-CN"/>
          <w14:textFill>
            <w14:solidFill>
              <w14:schemeClr w14:val="tx1"/>
            </w14:solidFill>
          </w14:textFill>
        </w:rPr>
      </w:pPr>
    </w:p>
    <w:p w14:paraId="60E65E8F">
      <w:pPr>
        <w:outlineLvl w:val="9"/>
        <w:rPr>
          <w:rFonts w:hint="eastAsia" w:ascii="仿宋" w:hAnsi="仿宋" w:eastAsia="仿宋" w:cs="仿宋"/>
          <w:color w:val="000000" w:themeColor="text1"/>
          <w:sz w:val="24"/>
          <w:highlight w:val="none"/>
          <w:lang w:eastAsia="zh-CN"/>
          <w14:textFill>
            <w14:solidFill>
              <w14:schemeClr w14:val="tx1"/>
            </w14:solidFill>
          </w14:textFill>
        </w:rPr>
      </w:pPr>
    </w:p>
    <w:p w14:paraId="1857DD26">
      <w:pPr>
        <w:outlineLvl w:val="9"/>
        <w:rPr>
          <w:rFonts w:hint="eastAsia" w:ascii="仿宋" w:hAnsi="仿宋" w:eastAsia="仿宋" w:cs="仿宋"/>
          <w:color w:val="000000" w:themeColor="text1"/>
          <w:sz w:val="24"/>
          <w:highlight w:val="none"/>
          <w:lang w:eastAsia="zh-CN"/>
          <w14:textFill>
            <w14:solidFill>
              <w14:schemeClr w14:val="tx1"/>
            </w14:solidFill>
          </w14:textFill>
        </w:rPr>
      </w:pPr>
    </w:p>
    <w:p w14:paraId="766AB14C">
      <w:pPr>
        <w:outlineLvl w:val="1"/>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3-</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其他特定资格要求（如有）</w:t>
      </w:r>
    </w:p>
    <w:p w14:paraId="7620A7F8">
      <w:pPr>
        <w:pStyle w:val="39"/>
        <w:spacing w:line="360" w:lineRule="auto"/>
        <w:outlineLvl w:val="9"/>
        <w:rPr>
          <w:rFonts w:hint="eastAsia" w:ascii="仿宋" w:hAnsi="仿宋" w:eastAsia="仿宋" w:cs="仿宋"/>
          <w:snapToGrid w:val="0"/>
          <w:color w:val="000000" w:themeColor="text1"/>
          <w:kern w:val="2"/>
          <w:sz w:val="21"/>
          <w:szCs w:val="21"/>
          <w:highlight w:val="none"/>
          <w14:textFill>
            <w14:solidFill>
              <w14:schemeClr w14:val="tx1"/>
            </w14:solidFill>
          </w14:textFill>
        </w:rPr>
      </w:pPr>
    </w:p>
    <w:p w14:paraId="5DD8BC91">
      <w:pPr>
        <w:pStyle w:val="39"/>
        <w:spacing w:line="360" w:lineRule="auto"/>
        <w:outlineLvl w:val="9"/>
        <w:rPr>
          <w:rFonts w:hint="eastAsia" w:ascii="仿宋" w:hAnsi="仿宋" w:eastAsia="仿宋" w:cs="仿宋"/>
          <w:color w:val="000000" w:themeColor="text1"/>
          <w:szCs w:val="20"/>
          <w:highlight w:val="none"/>
          <w14:textFill>
            <w14:solidFill>
              <w14:schemeClr w14:val="tx1"/>
            </w14:solidFill>
          </w14:textFill>
        </w:rPr>
      </w:pPr>
    </w:p>
    <w:p w14:paraId="5EC70108">
      <w:pPr>
        <w:pStyle w:val="39"/>
        <w:spacing w:line="360" w:lineRule="auto"/>
        <w:outlineLvl w:val="9"/>
        <w:rPr>
          <w:rFonts w:hint="eastAsia" w:ascii="仿宋" w:hAnsi="仿宋" w:eastAsia="仿宋" w:cs="仿宋"/>
          <w:color w:val="000000" w:themeColor="text1"/>
          <w:szCs w:val="20"/>
          <w:highlight w:val="none"/>
          <w14:textFill>
            <w14:solidFill>
              <w14:schemeClr w14:val="tx1"/>
            </w14:solidFill>
          </w14:textFill>
        </w:rPr>
      </w:pPr>
    </w:p>
    <w:p w14:paraId="137F8180">
      <w:pPr>
        <w:pStyle w:val="39"/>
        <w:spacing w:line="360" w:lineRule="auto"/>
        <w:outlineLvl w:val="9"/>
        <w:rPr>
          <w:rFonts w:hint="eastAsia" w:ascii="仿宋" w:hAnsi="仿宋" w:eastAsia="仿宋" w:cs="仿宋"/>
          <w:color w:val="000000" w:themeColor="text1"/>
          <w:szCs w:val="20"/>
          <w:highlight w:val="none"/>
          <w14:textFill>
            <w14:solidFill>
              <w14:schemeClr w14:val="tx1"/>
            </w14:solidFill>
          </w14:textFill>
        </w:rPr>
      </w:pPr>
    </w:p>
    <w:p w14:paraId="1D97CD11">
      <w:pPr>
        <w:pStyle w:val="39"/>
        <w:spacing w:line="360" w:lineRule="auto"/>
        <w:outlineLvl w:val="9"/>
        <w:rPr>
          <w:rFonts w:hint="eastAsia" w:ascii="仿宋" w:hAnsi="仿宋" w:eastAsia="仿宋" w:cs="仿宋"/>
          <w:color w:val="000000" w:themeColor="text1"/>
          <w:szCs w:val="20"/>
          <w:highlight w:val="none"/>
          <w14:textFill>
            <w14:solidFill>
              <w14:schemeClr w14:val="tx1"/>
            </w14:solidFill>
          </w14:textFill>
        </w:rPr>
      </w:pPr>
    </w:p>
    <w:p w14:paraId="63A2B62D">
      <w:pPr>
        <w:pStyle w:val="39"/>
        <w:spacing w:line="360" w:lineRule="auto"/>
        <w:outlineLvl w:val="9"/>
        <w:rPr>
          <w:rFonts w:hint="eastAsia" w:ascii="仿宋" w:hAnsi="仿宋" w:eastAsia="仿宋" w:cs="仿宋"/>
          <w:color w:val="000000" w:themeColor="text1"/>
          <w:szCs w:val="20"/>
          <w:highlight w:val="none"/>
          <w14:textFill>
            <w14:solidFill>
              <w14:schemeClr w14:val="tx1"/>
            </w14:solidFill>
          </w14:textFill>
        </w:rPr>
      </w:pPr>
    </w:p>
    <w:p w14:paraId="7433D49B">
      <w:pPr>
        <w:pStyle w:val="39"/>
        <w:spacing w:line="360" w:lineRule="auto"/>
        <w:outlineLvl w:val="9"/>
        <w:rPr>
          <w:rFonts w:hint="eastAsia" w:ascii="仿宋" w:hAnsi="仿宋" w:eastAsia="仿宋" w:cs="仿宋"/>
          <w:color w:val="000000" w:themeColor="text1"/>
          <w:szCs w:val="20"/>
          <w:highlight w:val="none"/>
          <w14:textFill>
            <w14:solidFill>
              <w14:schemeClr w14:val="tx1"/>
            </w14:solidFill>
          </w14:textFill>
        </w:rPr>
      </w:pPr>
    </w:p>
    <w:p w14:paraId="03702C9B">
      <w:pPr>
        <w:pStyle w:val="39"/>
        <w:spacing w:line="360" w:lineRule="auto"/>
        <w:outlineLvl w:val="9"/>
        <w:rPr>
          <w:rFonts w:hint="eastAsia" w:ascii="仿宋" w:hAnsi="仿宋" w:eastAsia="仿宋" w:cs="仿宋"/>
          <w:color w:val="000000" w:themeColor="text1"/>
          <w:szCs w:val="20"/>
          <w:highlight w:val="none"/>
          <w14:textFill>
            <w14:solidFill>
              <w14:schemeClr w14:val="tx1"/>
            </w14:solidFill>
          </w14:textFill>
        </w:rPr>
      </w:pPr>
    </w:p>
    <w:p w14:paraId="016BF82D">
      <w:pPr>
        <w:pStyle w:val="39"/>
        <w:spacing w:line="360" w:lineRule="auto"/>
        <w:outlineLvl w:val="9"/>
        <w:rPr>
          <w:rFonts w:hint="eastAsia" w:ascii="仿宋" w:hAnsi="仿宋" w:eastAsia="仿宋" w:cs="仿宋"/>
          <w:color w:val="000000" w:themeColor="text1"/>
          <w:szCs w:val="20"/>
          <w:highlight w:val="none"/>
          <w14:textFill>
            <w14:solidFill>
              <w14:schemeClr w14:val="tx1"/>
            </w14:solidFill>
          </w14:textFill>
        </w:rPr>
      </w:pPr>
    </w:p>
    <w:p w14:paraId="261C7CDD">
      <w:pPr>
        <w:pStyle w:val="39"/>
        <w:spacing w:line="360" w:lineRule="auto"/>
        <w:outlineLvl w:val="9"/>
        <w:rPr>
          <w:rFonts w:hint="eastAsia" w:ascii="仿宋" w:hAnsi="仿宋" w:eastAsia="仿宋" w:cs="仿宋"/>
          <w:color w:val="000000" w:themeColor="text1"/>
          <w:szCs w:val="20"/>
          <w:highlight w:val="none"/>
          <w14:textFill>
            <w14:solidFill>
              <w14:schemeClr w14:val="tx1"/>
            </w14:solidFill>
          </w14:textFill>
        </w:rPr>
      </w:pPr>
    </w:p>
    <w:p w14:paraId="2DEEEBB3">
      <w:pPr>
        <w:pStyle w:val="39"/>
        <w:spacing w:line="360" w:lineRule="auto"/>
        <w:outlineLvl w:val="9"/>
        <w:rPr>
          <w:rFonts w:hint="eastAsia" w:ascii="仿宋" w:hAnsi="仿宋" w:eastAsia="仿宋" w:cs="仿宋"/>
          <w:color w:val="000000" w:themeColor="text1"/>
          <w:szCs w:val="20"/>
          <w:highlight w:val="none"/>
          <w14:textFill>
            <w14:solidFill>
              <w14:schemeClr w14:val="tx1"/>
            </w14:solidFill>
          </w14:textFill>
        </w:rPr>
      </w:pPr>
    </w:p>
    <w:p w14:paraId="41D506F5">
      <w:pPr>
        <w:pStyle w:val="39"/>
        <w:spacing w:line="360" w:lineRule="auto"/>
        <w:outlineLvl w:val="9"/>
        <w:rPr>
          <w:rFonts w:hint="eastAsia" w:ascii="仿宋" w:hAnsi="仿宋" w:eastAsia="仿宋" w:cs="仿宋"/>
          <w:color w:val="000000" w:themeColor="text1"/>
          <w:szCs w:val="20"/>
          <w:highlight w:val="none"/>
          <w14:textFill>
            <w14:solidFill>
              <w14:schemeClr w14:val="tx1"/>
            </w14:solidFill>
          </w14:textFill>
        </w:rPr>
      </w:pPr>
    </w:p>
    <w:p w14:paraId="2478CDCB">
      <w:pPr>
        <w:pStyle w:val="39"/>
        <w:spacing w:line="360" w:lineRule="auto"/>
        <w:outlineLvl w:val="9"/>
        <w:rPr>
          <w:rFonts w:hint="eastAsia" w:ascii="仿宋" w:hAnsi="仿宋" w:eastAsia="仿宋" w:cs="仿宋"/>
          <w:color w:val="000000" w:themeColor="text1"/>
          <w:szCs w:val="20"/>
          <w:highlight w:val="none"/>
          <w14:textFill>
            <w14:solidFill>
              <w14:schemeClr w14:val="tx1"/>
            </w14:solidFill>
          </w14:textFill>
        </w:rPr>
      </w:pPr>
    </w:p>
    <w:p w14:paraId="497BAC61">
      <w:pPr>
        <w:pStyle w:val="39"/>
        <w:spacing w:line="360" w:lineRule="auto"/>
        <w:outlineLvl w:val="9"/>
        <w:rPr>
          <w:rFonts w:hint="eastAsia" w:ascii="仿宋" w:hAnsi="仿宋" w:eastAsia="仿宋" w:cs="仿宋"/>
          <w:color w:val="000000" w:themeColor="text1"/>
          <w:szCs w:val="20"/>
          <w:highlight w:val="none"/>
          <w14:textFill>
            <w14:solidFill>
              <w14:schemeClr w14:val="tx1"/>
            </w14:solidFill>
          </w14:textFill>
        </w:rPr>
      </w:pPr>
    </w:p>
    <w:p w14:paraId="2890D198">
      <w:pPr>
        <w:pStyle w:val="39"/>
        <w:spacing w:line="360" w:lineRule="auto"/>
        <w:outlineLvl w:val="9"/>
        <w:rPr>
          <w:rFonts w:hint="eastAsia" w:ascii="仿宋" w:hAnsi="仿宋" w:eastAsia="仿宋" w:cs="仿宋"/>
          <w:color w:val="000000" w:themeColor="text1"/>
          <w:szCs w:val="20"/>
          <w:highlight w:val="none"/>
          <w14:textFill>
            <w14:solidFill>
              <w14:schemeClr w14:val="tx1"/>
            </w14:solidFill>
          </w14:textFill>
        </w:rPr>
      </w:pPr>
    </w:p>
    <w:p w14:paraId="56C56B37">
      <w:pPr>
        <w:pStyle w:val="39"/>
        <w:spacing w:line="360" w:lineRule="auto"/>
        <w:outlineLvl w:val="9"/>
        <w:rPr>
          <w:rFonts w:hint="eastAsia" w:ascii="仿宋" w:hAnsi="仿宋" w:eastAsia="仿宋" w:cs="仿宋"/>
          <w:color w:val="000000" w:themeColor="text1"/>
          <w:szCs w:val="20"/>
          <w:highlight w:val="none"/>
          <w14:textFill>
            <w14:solidFill>
              <w14:schemeClr w14:val="tx1"/>
            </w14:solidFill>
          </w14:textFill>
        </w:rPr>
      </w:pPr>
    </w:p>
    <w:p w14:paraId="6EAF0341">
      <w:pPr>
        <w:pStyle w:val="39"/>
        <w:spacing w:line="360" w:lineRule="auto"/>
        <w:outlineLvl w:val="9"/>
        <w:rPr>
          <w:rFonts w:hint="eastAsia" w:ascii="仿宋" w:hAnsi="仿宋" w:eastAsia="仿宋" w:cs="仿宋"/>
          <w:color w:val="000000" w:themeColor="text1"/>
          <w:szCs w:val="20"/>
          <w:highlight w:val="none"/>
          <w14:textFill>
            <w14:solidFill>
              <w14:schemeClr w14:val="tx1"/>
            </w14:solidFill>
          </w14:textFill>
        </w:rPr>
      </w:pPr>
    </w:p>
    <w:p w14:paraId="4B1CD27E">
      <w:pPr>
        <w:pStyle w:val="39"/>
        <w:spacing w:line="360" w:lineRule="auto"/>
        <w:outlineLvl w:val="9"/>
        <w:rPr>
          <w:rFonts w:hint="eastAsia" w:ascii="仿宋" w:hAnsi="仿宋" w:eastAsia="仿宋" w:cs="仿宋"/>
          <w:color w:val="000000" w:themeColor="text1"/>
          <w:szCs w:val="20"/>
          <w:highlight w:val="none"/>
          <w14:textFill>
            <w14:solidFill>
              <w14:schemeClr w14:val="tx1"/>
            </w14:solidFill>
          </w14:textFill>
        </w:rPr>
      </w:pPr>
    </w:p>
    <w:p w14:paraId="2BC40B9C">
      <w:pPr>
        <w:pStyle w:val="39"/>
        <w:spacing w:line="360" w:lineRule="auto"/>
        <w:outlineLvl w:val="9"/>
        <w:rPr>
          <w:rFonts w:hint="eastAsia" w:ascii="仿宋" w:hAnsi="仿宋" w:eastAsia="仿宋" w:cs="仿宋"/>
          <w:color w:val="000000" w:themeColor="text1"/>
          <w:szCs w:val="20"/>
          <w:highlight w:val="none"/>
          <w14:textFill>
            <w14:solidFill>
              <w14:schemeClr w14:val="tx1"/>
            </w14:solidFill>
          </w14:textFill>
        </w:rPr>
      </w:pPr>
    </w:p>
    <w:p w14:paraId="1AFE1F5D">
      <w:pPr>
        <w:pStyle w:val="39"/>
        <w:spacing w:line="360" w:lineRule="auto"/>
        <w:outlineLvl w:val="9"/>
        <w:rPr>
          <w:rFonts w:hint="eastAsia" w:ascii="仿宋" w:hAnsi="仿宋" w:eastAsia="仿宋" w:cs="仿宋"/>
          <w:color w:val="000000" w:themeColor="text1"/>
          <w:szCs w:val="20"/>
          <w:highlight w:val="none"/>
          <w14:textFill>
            <w14:solidFill>
              <w14:schemeClr w14:val="tx1"/>
            </w14:solidFill>
          </w14:textFill>
        </w:rPr>
      </w:pPr>
    </w:p>
    <w:p w14:paraId="2205F566">
      <w:pPr>
        <w:pStyle w:val="39"/>
        <w:spacing w:line="360" w:lineRule="auto"/>
        <w:outlineLvl w:val="9"/>
        <w:rPr>
          <w:rFonts w:hint="eastAsia" w:ascii="仿宋" w:hAnsi="仿宋" w:eastAsia="仿宋" w:cs="仿宋"/>
          <w:color w:val="000000" w:themeColor="text1"/>
          <w:szCs w:val="20"/>
          <w:highlight w:val="none"/>
          <w14:textFill>
            <w14:solidFill>
              <w14:schemeClr w14:val="tx1"/>
            </w14:solidFill>
          </w14:textFill>
        </w:rPr>
      </w:pPr>
    </w:p>
    <w:p w14:paraId="59A40FE3">
      <w:pPr>
        <w:pStyle w:val="39"/>
        <w:spacing w:line="360" w:lineRule="auto"/>
        <w:outlineLvl w:val="9"/>
        <w:rPr>
          <w:rFonts w:hint="eastAsia" w:ascii="仿宋" w:hAnsi="仿宋" w:eastAsia="仿宋" w:cs="仿宋"/>
          <w:color w:val="000000" w:themeColor="text1"/>
          <w:szCs w:val="20"/>
          <w:highlight w:val="none"/>
          <w14:textFill>
            <w14:solidFill>
              <w14:schemeClr w14:val="tx1"/>
            </w14:solidFill>
          </w14:textFill>
        </w:rPr>
      </w:pPr>
    </w:p>
    <w:p w14:paraId="0D59305F">
      <w:pPr>
        <w:spacing w:line="360" w:lineRule="auto"/>
        <w:outlineLvl w:val="9"/>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174B4459">
      <w:pPr>
        <w:spacing w:line="360" w:lineRule="auto"/>
        <w:outlineLvl w:val="9"/>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p w14:paraId="2CD23A5F">
      <w:pPr>
        <w:spacing w:line="360" w:lineRule="auto"/>
        <w:outlineLvl w:val="9"/>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p w14:paraId="3F99252D">
      <w:pPr>
        <w:spacing w:line="360" w:lineRule="auto"/>
        <w:outlineLvl w:val="9"/>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p w14:paraId="223A9EE6">
      <w:pPr>
        <w:spacing w:line="360" w:lineRule="auto"/>
        <w:outlineLvl w:val="9"/>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p w14:paraId="12979A5D">
      <w:pPr>
        <w:spacing w:line="360" w:lineRule="auto"/>
        <w:outlineLvl w:val="9"/>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p w14:paraId="388C8654">
      <w:pPr>
        <w:spacing w:line="360" w:lineRule="auto"/>
        <w:outlineLvl w:val="9"/>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p w14:paraId="31A16FE0">
      <w:pPr>
        <w:spacing w:line="360" w:lineRule="auto"/>
        <w:outlineLvl w:val="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4</w:t>
      </w:r>
      <w:r>
        <w:rPr>
          <w:rFonts w:hint="eastAsia" w:ascii="仿宋" w:hAnsi="仿宋" w:eastAsia="仿宋" w:cs="仿宋"/>
          <w:color w:val="000000" w:themeColor="text1"/>
          <w:spacing w:val="-4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磋商保证金凭证/交款单据电子件</w:t>
      </w:r>
    </w:p>
    <w:p w14:paraId="194DA32B">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52796457">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160B2E88">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4604D17A">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41E50665">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0A3318B3">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654753DB">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7C68E7AD">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5F8CBFFF">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35AE860F">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0359C0EC">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254ADE8D">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44487F45">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2C474ED0">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46A745BF">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1A2B9578">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1511D159">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6798F203">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71893D25">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38FBAF66">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2A84B8BE">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40B01EF3">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3FA02685">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7DF298C6">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5EDBE9AD">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35A07487">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67A34159">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7D0ED928">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3DADCDF7">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6877F396">
      <w:pPr>
        <w:spacing w:line="360" w:lineRule="auto"/>
        <w:outlineLvl w:val="1"/>
        <w:rPr>
          <w:rFonts w:hint="eastAsia" w:ascii="仿宋" w:hAnsi="仿宋" w:eastAsia="仿宋" w:cs="仿宋"/>
          <w:color w:val="000000" w:themeColor="text1"/>
          <w:spacing w:val="-4"/>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5</w:t>
      </w:r>
      <w:r>
        <w:rPr>
          <w:rFonts w:hint="eastAsia" w:ascii="仿宋" w:hAnsi="仿宋" w:eastAsia="仿宋" w:cs="仿宋"/>
          <w:color w:val="000000" w:themeColor="text1"/>
          <w:spacing w:val="-4"/>
          <w:sz w:val="24"/>
          <w:szCs w:val="24"/>
          <w:highlight w:val="none"/>
          <w:lang w:val="en-US" w:eastAsia="zh-CN"/>
          <w14:textFill>
            <w14:solidFill>
              <w14:schemeClr w14:val="tx1"/>
            </w14:solidFill>
          </w14:textFill>
        </w:rPr>
        <w:t xml:space="preserve">  获取磋商文件</w:t>
      </w:r>
    </w:p>
    <w:p w14:paraId="121B09DF">
      <w:pPr>
        <w:spacing w:line="360" w:lineRule="auto"/>
        <w:outlineLvl w:val="9"/>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在规定期限内通过新疆政府采购电子交易平台获取所参与包的竞争性磋商文件。</w:t>
      </w:r>
    </w:p>
    <w:p w14:paraId="747B7BEE">
      <w:pPr>
        <w:spacing w:line="360" w:lineRule="auto"/>
        <w:outlineLvl w:val="9"/>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【提供政采云平台的获取本项目采购文件回执函】</w:t>
      </w:r>
    </w:p>
    <w:p w14:paraId="670C4E28">
      <w:pPr>
        <w:rPr>
          <w:rFonts w:hint="eastAsia" w:ascii="仿宋" w:hAnsi="仿宋" w:eastAsia="仿宋" w:cs="仿宋"/>
          <w:color w:val="000000" w:themeColor="text1"/>
          <w:spacing w:val="-37"/>
          <w:sz w:val="24"/>
          <w:szCs w:val="24"/>
          <w:highlight w:val="none"/>
          <w:lang w:eastAsia="zh-CN"/>
          <w14:textFill>
            <w14:solidFill>
              <w14:schemeClr w14:val="tx1"/>
            </w14:solidFill>
          </w14:textFill>
        </w:rPr>
      </w:pPr>
      <w:r>
        <w:rPr>
          <w:rFonts w:hint="eastAsia" w:ascii="仿宋" w:hAnsi="仿宋" w:eastAsia="仿宋" w:cs="仿宋"/>
          <w:color w:val="000000" w:themeColor="text1"/>
          <w:spacing w:val="-37"/>
          <w:sz w:val="24"/>
          <w:szCs w:val="24"/>
          <w:highlight w:val="none"/>
          <w:lang w:eastAsia="zh-CN"/>
          <w14:textFill>
            <w14:solidFill>
              <w14:schemeClr w14:val="tx1"/>
            </w14:solidFill>
          </w14:textFill>
        </w:rPr>
        <w:br w:type="page"/>
      </w:r>
    </w:p>
    <w:p w14:paraId="4FC34F13">
      <w:pPr>
        <w:spacing w:line="360" w:lineRule="auto"/>
        <w:outlineLvl w:val="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7"/>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pacing w:val="-3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响应书（实质性格式）</w:t>
      </w:r>
    </w:p>
    <w:p w14:paraId="12BD7DA6">
      <w:pPr>
        <w:pStyle w:val="9"/>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0A89F272">
      <w:pPr>
        <w:spacing w:line="360" w:lineRule="auto"/>
        <w:jc w:val="center"/>
        <w:rPr>
          <w:rFonts w:hint="eastAsia" w:ascii="仿宋" w:hAnsi="仿宋" w:eastAsia="仿宋" w:cs="仿宋"/>
          <w:b/>
          <w:bCs/>
          <w:color w:val="000000" w:themeColor="text1"/>
          <w:sz w:val="36"/>
          <w:szCs w:val="36"/>
          <w:highlight w:val="none"/>
          <w:lang w:eastAsia="zh-CN"/>
          <w14:textFill>
            <w14:solidFill>
              <w14:schemeClr w14:val="tx1"/>
            </w14:solidFill>
          </w14:textFill>
        </w:rPr>
      </w:pPr>
      <w:r>
        <w:rPr>
          <w:rFonts w:hint="eastAsia" w:ascii="仿宋" w:hAnsi="仿宋" w:eastAsia="仿宋" w:cs="仿宋"/>
          <w:b/>
          <w:bCs/>
          <w:color w:val="000000" w:themeColor="text1"/>
          <w:spacing w:val="-14"/>
          <w:sz w:val="36"/>
          <w:szCs w:val="36"/>
          <w:highlight w:val="none"/>
          <w:lang w:eastAsia="zh-CN"/>
          <w14:textFill>
            <w14:solidFill>
              <w14:schemeClr w14:val="tx1"/>
            </w14:solidFill>
          </w14:textFill>
        </w:rPr>
        <w:t>响应书</w:t>
      </w:r>
    </w:p>
    <w:p w14:paraId="6926A82C">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致</w:t>
      </w:r>
      <w:r>
        <w:rPr>
          <w:rFonts w:hint="eastAsia" w:ascii="仿宋" w:hAnsi="仿宋" w:eastAsia="仿宋" w:cs="仿宋"/>
          <w:color w:val="000000" w:themeColor="text1"/>
          <w:spacing w:val="-17"/>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7"/>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lang w:eastAsia="zh-CN"/>
          <w14:textFill>
            <w14:solidFill>
              <w14:schemeClr w14:val="tx1"/>
            </w14:solidFill>
          </w14:textFill>
        </w:rPr>
        <w:t>采购人 ）</w:t>
      </w:r>
    </w:p>
    <w:p w14:paraId="0B0E98FF">
      <w:pPr>
        <w:spacing w:line="360" w:lineRule="auto"/>
        <w:ind w:firstLine="41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我方参加你方就</w:t>
      </w:r>
      <w:r>
        <w:rPr>
          <w:rFonts w:hint="eastAsia" w:ascii="仿宋" w:hAnsi="仿宋" w:eastAsia="仿宋" w:cs="仿宋"/>
          <w:color w:val="000000" w:themeColor="text1"/>
          <w:spacing w:val="-6"/>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（项目名称，项目编号/包号）组织的采购活动，并对此项目</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进行磋商。</w:t>
      </w:r>
    </w:p>
    <w:p w14:paraId="4A102F86">
      <w:pPr>
        <w:spacing w:line="360" w:lineRule="auto"/>
        <w:ind w:firstLine="46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1.我方已详细审查全部竞争性磋商文件，</w:t>
      </w:r>
      <w:r>
        <w:rPr>
          <w:rFonts w:hint="eastAsia" w:ascii="仿宋" w:hAnsi="仿宋" w:eastAsia="仿宋" w:cs="仿宋"/>
          <w:color w:val="000000" w:themeColor="text1"/>
          <w:spacing w:val="-7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自愿参与磋商并承诺如下：</w:t>
      </w:r>
    </w:p>
    <w:p w14:paraId="69FC0D0E">
      <w:pPr>
        <w:spacing w:line="360" w:lineRule="auto"/>
        <w:ind w:firstLine="464" w:firstLineChars="200"/>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（1）本响应有效期为自响应文件提交截止之日起</w:t>
      </w:r>
      <w:r>
        <w:rPr>
          <w:rFonts w:hint="eastAsia" w:ascii="仿宋" w:hAnsi="仿宋" w:eastAsia="仿宋" w:cs="仿宋"/>
          <w:color w:val="000000" w:themeColor="text1"/>
          <w:spacing w:val="-44"/>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个日历日。</w:t>
      </w:r>
    </w:p>
    <w:p w14:paraId="058DC913">
      <w:pPr>
        <w:spacing w:line="360" w:lineRule="auto"/>
        <w:ind w:firstLine="452" w:firstLineChars="200"/>
        <w:rPr>
          <w:rFonts w:hint="eastAsia" w:ascii="仿宋" w:hAnsi="仿宋" w:eastAsia="仿宋" w:cs="仿宋"/>
          <w:color w:val="000000" w:themeColor="text1"/>
          <w:spacing w:val="-7"/>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（2）除合同条款及采购需求偏离表列出的偏离外 ，我方响应竞争性磋商文件的全 部要求。</w:t>
      </w:r>
    </w:p>
    <w:p w14:paraId="2B67A277">
      <w:pPr>
        <w:spacing w:line="360" w:lineRule="auto"/>
        <w:ind w:firstLine="452" w:firstLineChars="200"/>
        <w:rPr>
          <w:rFonts w:hint="eastAsia" w:ascii="仿宋" w:hAnsi="仿宋" w:eastAsia="仿宋" w:cs="仿宋"/>
          <w:color w:val="000000" w:themeColor="text1"/>
          <w:spacing w:val="-7"/>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（3）我方已提供的全部文件资料是真实、准确的，并对此承担一切法律后果。</w:t>
      </w:r>
    </w:p>
    <w:p w14:paraId="41D06A6D">
      <w:pPr>
        <w:spacing w:line="360" w:lineRule="auto"/>
        <w:ind w:firstLine="452" w:firstLineChars="200"/>
        <w:rPr>
          <w:rFonts w:hint="eastAsia" w:ascii="仿宋" w:hAnsi="仿宋" w:eastAsia="仿宋" w:cs="仿宋"/>
          <w:color w:val="000000" w:themeColor="text1"/>
          <w:spacing w:val="-7"/>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（4）如我方成交 ，我方将在法律规定的期限内与你方签订合同，按照竞争性磋商 文件要求提交履约保证金，并在合同约定的期限内完成合同规定的全部义务。</w:t>
      </w:r>
    </w:p>
    <w:p w14:paraId="738F9E1A">
      <w:pPr>
        <w:spacing w:line="360" w:lineRule="auto"/>
        <w:ind w:firstLine="464"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2.其他补充条款（如有</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w:t>
      </w:r>
    </w:p>
    <w:p w14:paraId="67B148B9">
      <w:pPr>
        <w:spacing w:line="360" w:lineRule="auto"/>
        <w:ind w:firstLine="464"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与本磋商有关的一切正式往来信函请寄：</w:t>
      </w:r>
    </w:p>
    <w:p w14:paraId="173FD606">
      <w:pPr>
        <w:pStyle w:val="9"/>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07025E7A">
      <w:pPr>
        <w:pStyle w:val="9"/>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00EF2DF0">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地址</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1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传真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72C20BD4">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5"/>
          <w:sz w:val="24"/>
          <w:szCs w:val="24"/>
          <w:highlight w:val="none"/>
          <w:lang w:eastAsia="zh-CN"/>
          <w14:textFill>
            <w14:solidFill>
              <w14:schemeClr w14:val="tx1"/>
            </w14:solidFill>
          </w14:textFill>
        </w:rPr>
        <w:t>电话</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8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5"/>
          <w:sz w:val="24"/>
          <w:szCs w:val="24"/>
          <w:highlight w:val="none"/>
          <w:lang w:eastAsia="zh-CN"/>
          <w14:textFill>
            <w14:solidFill>
              <w14:schemeClr w14:val="tx1"/>
            </w14:solidFill>
          </w14:textFill>
        </w:rPr>
        <w:t>电子函件</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194CB456">
      <w:pPr>
        <w:pStyle w:val="9"/>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2EAF110C">
      <w:pPr>
        <w:pStyle w:val="9"/>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0D2DCFFB">
      <w:pPr>
        <w:spacing w:line="360" w:lineRule="auto"/>
        <w:ind w:left="239" w:leftChars="114" w:firstLine="185" w:firstLineChars="80"/>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供应商名称（加盖公章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 xml:space="preserve"> </w:t>
      </w:r>
    </w:p>
    <w:p w14:paraId="319082C3">
      <w:pPr>
        <w:spacing w:line="360" w:lineRule="auto"/>
        <w:ind w:left="239" w:leftChars="114" w:firstLine="166" w:firstLineChars="8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0FF53D9F">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26" w:type="default"/>
          <w:footerReference r:id="rId27" w:type="default"/>
          <w:pgSz w:w="11907" w:h="16839"/>
          <w:pgMar w:top="1417" w:right="1417" w:bottom="1417" w:left="1417" w:header="1191" w:footer="850" w:gutter="0"/>
          <w:pgNumType w:fmt="decimal"/>
          <w:cols w:space="720" w:num="1"/>
        </w:sectPr>
      </w:pPr>
    </w:p>
    <w:p w14:paraId="4E49BAE0">
      <w:pPr>
        <w:spacing w:line="360" w:lineRule="auto"/>
        <w:outlineLvl w:val="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pacing w:val="-4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授权委托书（实质性格式）</w:t>
      </w:r>
    </w:p>
    <w:p w14:paraId="7D931377">
      <w:pPr>
        <w:spacing w:line="360" w:lineRule="auto"/>
        <w:jc w:val="center"/>
        <w:rPr>
          <w:rFonts w:hint="eastAsia" w:ascii="仿宋" w:hAnsi="仿宋" w:eastAsia="仿宋" w:cs="仿宋"/>
          <w:b/>
          <w:bCs/>
          <w:color w:val="000000" w:themeColor="text1"/>
          <w:sz w:val="36"/>
          <w:szCs w:val="36"/>
          <w:highlight w:val="none"/>
          <w:lang w:eastAsia="zh-CN"/>
          <w14:textFill>
            <w14:solidFill>
              <w14:schemeClr w14:val="tx1"/>
            </w14:solidFill>
          </w14:textFill>
        </w:rPr>
      </w:pPr>
      <w:r>
        <w:rPr>
          <w:rFonts w:hint="eastAsia" w:ascii="仿宋" w:hAnsi="仿宋" w:eastAsia="仿宋" w:cs="仿宋"/>
          <w:b/>
          <w:bCs/>
          <w:color w:val="000000" w:themeColor="text1"/>
          <w:spacing w:val="-5"/>
          <w:sz w:val="36"/>
          <w:szCs w:val="36"/>
          <w:highlight w:val="none"/>
          <w:lang w:eastAsia="zh-CN"/>
          <w14:textFill>
            <w14:solidFill>
              <w14:schemeClr w14:val="tx1"/>
            </w14:solidFill>
          </w14:textFill>
        </w:rPr>
        <w:t>授权委托书</w:t>
      </w:r>
    </w:p>
    <w:p w14:paraId="0E5EB23F">
      <w:pPr>
        <w:tabs>
          <w:tab w:val="left" w:pos="9187"/>
        </w:tabs>
        <w:spacing w:line="360" w:lineRule="auto"/>
        <w:ind w:firstLine="420"/>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9"/>
          <w:sz w:val="24"/>
          <w:szCs w:val="24"/>
          <w:highlight w:val="none"/>
          <w:lang w:eastAsia="zh-CN"/>
          <w14:textFill>
            <w14:solidFill>
              <w14:schemeClr w14:val="tx1"/>
            </w14:solidFill>
          </w14:textFill>
        </w:rPr>
        <w:t>本人</w:t>
      </w:r>
      <w:r>
        <w:rPr>
          <w:rFonts w:hint="eastAsia" w:ascii="仿宋" w:hAnsi="仿宋" w:eastAsia="仿宋" w:cs="仿宋"/>
          <w:color w:val="000000" w:themeColor="text1"/>
          <w:spacing w:val="-9"/>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9"/>
          <w:sz w:val="24"/>
          <w:szCs w:val="24"/>
          <w:highlight w:val="none"/>
          <w:lang w:eastAsia="zh-CN"/>
          <w14:textFill>
            <w14:solidFill>
              <w14:schemeClr w14:val="tx1"/>
            </w14:solidFill>
          </w14:textFill>
        </w:rPr>
        <w:t>（姓名）系</w:t>
      </w:r>
      <w:r>
        <w:rPr>
          <w:rFonts w:hint="eastAsia" w:ascii="仿宋" w:hAnsi="仿宋" w:eastAsia="仿宋" w:cs="仿宋"/>
          <w:color w:val="000000" w:themeColor="text1"/>
          <w:spacing w:val="-9"/>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9"/>
          <w:sz w:val="24"/>
          <w:szCs w:val="24"/>
          <w:highlight w:val="none"/>
          <w:lang w:eastAsia="zh-CN"/>
          <w14:textFill>
            <w14:solidFill>
              <w14:schemeClr w14:val="tx1"/>
            </w14:solidFill>
          </w14:textFill>
        </w:rPr>
        <w:t>（供应商名称）的法定代表</w:t>
      </w:r>
      <w:r>
        <w:rPr>
          <w:rFonts w:hint="eastAsia" w:ascii="仿宋" w:hAnsi="仿宋" w:eastAsia="仿宋" w:cs="仿宋"/>
          <w:color w:val="000000" w:themeColor="text1"/>
          <w:spacing w:val="-10"/>
          <w:sz w:val="24"/>
          <w:szCs w:val="24"/>
          <w:highlight w:val="none"/>
          <w:lang w:eastAsia="zh-CN"/>
          <w14:textFill>
            <w14:solidFill>
              <w14:schemeClr w14:val="tx1"/>
            </w14:solidFill>
          </w14:textFill>
        </w:rPr>
        <w:t>人（单位负责人</w:t>
      </w:r>
      <w:r>
        <w:rPr>
          <w:rFonts w:hint="eastAsia" w:ascii="仿宋" w:hAnsi="仿宋" w:eastAsia="仿宋" w:cs="仿宋"/>
          <w:color w:val="000000" w:themeColor="text1"/>
          <w:spacing w:val="-4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0"/>
          <w:sz w:val="24"/>
          <w:szCs w:val="24"/>
          <w:highlight w:val="none"/>
          <w:lang w:eastAsia="zh-CN"/>
          <w14:textFill>
            <w14:solidFill>
              <w14:schemeClr w14:val="tx1"/>
            </w14:solidFill>
          </w14:textFill>
        </w:rPr>
        <w:t>现委托</w:t>
      </w:r>
      <w:r>
        <w:rPr>
          <w:rFonts w:hint="eastAsia" w:ascii="仿宋" w:hAnsi="仿宋" w:eastAsia="仿宋" w:cs="仿宋"/>
          <w:color w:val="000000" w:themeColor="text1"/>
          <w:spacing w:val="-10"/>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（姓名）为我方代理人。代理人根据授权，以我方名义签署、澄清确认、提交、撤回、</w:t>
      </w:r>
      <w:r>
        <w:rPr>
          <w:rFonts w:hint="eastAsia" w:ascii="仿宋" w:hAnsi="仿宋" w:eastAsia="仿宋" w:cs="仿宋"/>
          <w:color w:val="000000" w:themeColor="text1"/>
          <w:spacing w:val="1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修改</w:t>
      </w:r>
      <w:r>
        <w:rPr>
          <w:rFonts w:hint="eastAsia" w:ascii="仿宋" w:hAnsi="仿宋" w:eastAsia="仿宋" w:cs="仿宋"/>
          <w:color w:val="000000" w:themeColor="text1"/>
          <w:spacing w:val="-3"/>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（项目名称）响应文件和处理有关事宜，其法律后果由我方承担。</w:t>
      </w:r>
    </w:p>
    <w:p w14:paraId="61E8D1A8">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委托期限：</w:t>
      </w:r>
      <w:r>
        <w:rPr>
          <w:rFonts w:hint="eastAsia" w:ascii="仿宋" w:hAnsi="仿宋" w:eastAsia="仿宋" w:cs="仿宋"/>
          <w:color w:val="000000" w:themeColor="text1"/>
          <w:spacing w:val="-64"/>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自本授权委托书签署之日起至响应有效期届满之日止。</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p>
    <w:p w14:paraId="3BC011C4">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代理人无转委托权。</w:t>
      </w:r>
    </w:p>
    <w:p w14:paraId="52767015">
      <w:pPr>
        <w:pStyle w:val="9"/>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24B6B457">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供应商名称（加盖公章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103137DD">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法定代表人（单位负责人</w:t>
      </w:r>
      <w:r>
        <w:rPr>
          <w:rFonts w:hint="eastAsia" w:ascii="仿宋" w:hAnsi="仿宋" w:eastAsia="仿宋" w:cs="仿宋"/>
          <w:color w:val="000000" w:themeColor="text1"/>
          <w:spacing w:val="-12"/>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签字或签章</w:t>
      </w:r>
      <w:r>
        <w:rPr>
          <w:rFonts w:hint="eastAsia" w:ascii="仿宋" w:hAnsi="仿宋" w:eastAsia="仿宋" w:cs="仿宋"/>
          <w:color w:val="000000" w:themeColor="text1"/>
          <w:spacing w:val="-12"/>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4B38CCFC">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委托代理人（签字或签章</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5D1CC61F">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33E986A7">
      <w:pPr>
        <w:pStyle w:val="9"/>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20DF8405">
      <w:pPr>
        <w:pStyle w:val="9"/>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39D87501">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附：法定代表人及委托代理人身份证明文件电子件：</w:t>
      </w:r>
    </w:p>
    <w:p w14:paraId="400D8240">
      <w:pPr>
        <w:spacing w:line="360" w:lineRule="auto"/>
        <w:rPr>
          <w:rFonts w:hint="eastAsia" w:ascii="仿宋" w:hAnsi="仿宋" w:eastAsia="仿宋" w:cs="仿宋"/>
          <w:color w:val="000000" w:themeColor="text1"/>
          <w:highlight w:val="none"/>
          <w:lang w:eastAsia="zh-CN"/>
          <w14:textFill>
            <w14:solidFill>
              <w14:schemeClr w14:val="tx1"/>
            </w14:solidFill>
          </w14:textFill>
        </w:rPr>
      </w:pPr>
    </w:p>
    <w:tbl>
      <w:tblPr>
        <w:tblStyle w:val="33"/>
        <w:tblW w:w="921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13"/>
      </w:tblGrid>
      <w:tr w14:paraId="0A782D2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316" w:hRule="atLeast"/>
        </w:trPr>
        <w:tc>
          <w:tcPr>
            <w:tcW w:w="9213" w:type="dxa"/>
          </w:tcPr>
          <w:p w14:paraId="614AB7C0">
            <w:pPr>
              <w:spacing w:line="360" w:lineRule="auto"/>
              <w:rPr>
                <w:rFonts w:hint="eastAsia" w:ascii="仿宋" w:hAnsi="仿宋" w:eastAsia="仿宋" w:cs="仿宋"/>
                <w:color w:val="000000" w:themeColor="text1"/>
                <w:highlight w:val="none"/>
                <w:lang w:eastAsia="zh-CN"/>
                <w14:textFill>
                  <w14:solidFill>
                    <w14:schemeClr w14:val="tx1"/>
                  </w14:solidFill>
                </w14:textFill>
              </w:rPr>
            </w:pPr>
          </w:p>
        </w:tc>
      </w:tr>
    </w:tbl>
    <w:p w14:paraId="3F69C474">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说明：</w:t>
      </w:r>
    </w:p>
    <w:p w14:paraId="57A27D51">
      <w:pPr>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1.若供应商为事业单位或其他组织或分支机构，则法定代表人（单位负责人）处的签署</w:t>
      </w:r>
    </w:p>
    <w:p w14:paraId="0FAE6AD7">
      <w:pPr>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人可为单位负责人。</w:t>
      </w:r>
    </w:p>
    <w:p w14:paraId="3145687D">
      <w:pPr>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2.若响应文件中签字之处均为法定代表人（单位负责人）本人签署，则可不提供本《授</w:t>
      </w:r>
    </w:p>
    <w:p w14:paraId="4EC64798">
      <w:pPr>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权委托书》，但须提供《法定代表人（单位负责人）身份证明》；否则，不需要提供《法定代表人（单位负责人）身份证明》。</w:t>
      </w:r>
    </w:p>
    <w:p w14:paraId="27B5774C">
      <w:pPr>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3.供应商为自然人的情形，可不提供本《授权委托书》。</w:t>
      </w:r>
    </w:p>
    <w:p w14:paraId="77AE79B8">
      <w:pPr>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4.供应商应随本《授权委托书》同时提供法定代表人（单位负责人）及委托代理人的有</w:t>
      </w:r>
    </w:p>
    <w:p w14:paraId="7B80833F">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效的身份证或护照等身份证明文件电子件。提供身份证的，应同时提供身份证双面电子件</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w:t>
      </w:r>
    </w:p>
    <w:p w14:paraId="0C380E63">
      <w:pPr>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28" w:type="default"/>
          <w:footerReference r:id="rId29" w:type="default"/>
          <w:pgSz w:w="11907" w:h="16839"/>
          <w:pgMar w:top="1417" w:right="1417" w:bottom="1417" w:left="1417" w:header="1191" w:footer="794" w:gutter="0"/>
          <w:pgNumType w:fmt="decimal"/>
          <w:cols w:space="720" w:num="1"/>
        </w:sectPr>
      </w:pPr>
    </w:p>
    <w:p w14:paraId="5D8CA13D">
      <w:pPr>
        <w:spacing w:line="360" w:lineRule="auto"/>
        <w:jc w:val="center"/>
        <w:rPr>
          <w:rFonts w:hint="eastAsia" w:ascii="仿宋" w:hAnsi="仿宋" w:eastAsia="仿宋" w:cs="仿宋"/>
          <w:b/>
          <w:bCs/>
          <w:color w:val="000000" w:themeColor="text1"/>
          <w:sz w:val="36"/>
          <w:szCs w:val="36"/>
          <w:highlight w:val="none"/>
          <w:lang w:eastAsia="zh-CN"/>
          <w14:textFill>
            <w14:solidFill>
              <w14:schemeClr w14:val="tx1"/>
            </w14:solidFill>
          </w14:textFill>
        </w:rPr>
      </w:pPr>
      <w:r>
        <w:rPr>
          <w:rFonts w:hint="eastAsia" w:ascii="仿宋" w:hAnsi="仿宋" w:eastAsia="仿宋" w:cs="仿宋"/>
          <w:b/>
          <w:bCs/>
          <w:color w:val="000000" w:themeColor="text1"/>
          <w:spacing w:val="-4"/>
          <w:sz w:val="36"/>
          <w:szCs w:val="36"/>
          <w:highlight w:val="none"/>
          <w:lang w:eastAsia="zh-CN"/>
          <w14:textFill>
            <w14:solidFill>
              <w14:schemeClr w14:val="tx1"/>
            </w14:solidFill>
          </w14:textFill>
        </w:rPr>
        <w:t>法定代表人（单位负责人）身份证明</w:t>
      </w:r>
    </w:p>
    <w:p w14:paraId="7712809E">
      <w:pPr>
        <w:pStyle w:val="9"/>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1BDD16FA">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致</w:t>
      </w:r>
      <w:r>
        <w:rPr>
          <w:rFonts w:hint="eastAsia" w:ascii="仿宋" w:hAnsi="仿宋" w:eastAsia="仿宋" w:cs="仿宋"/>
          <w:color w:val="000000" w:themeColor="text1"/>
          <w:spacing w:val="-17"/>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7"/>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采购人）</w:t>
      </w:r>
    </w:p>
    <w:p w14:paraId="0BC725C1">
      <w:pPr>
        <w:pStyle w:val="9"/>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720001AD">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兹证明，</w:t>
      </w:r>
    </w:p>
    <w:p w14:paraId="054D3C44">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姓名：</w:t>
      </w:r>
      <w:r>
        <w:rPr>
          <w:rFonts w:hint="eastAsia" w:ascii="仿宋" w:hAnsi="仿宋" w:eastAsia="仿宋" w:cs="仿宋"/>
          <w:color w:val="000000" w:themeColor="text1"/>
          <w:spacing w:val="-3"/>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性别：</w:t>
      </w:r>
      <w:r>
        <w:rPr>
          <w:rFonts w:hint="eastAsia" w:ascii="仿宋" w:hAnsi="仿宋" w:eastAsia="仿宋" w:cs="仿宋"/>
          <w:color w:val="000000" w:themeColor="text1"/>
          <w:spacing w:val="-3"/>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年龄：</w:t>
      </w:r>
      <w:r>
        <w:rPr>
          <w:rFonts w:hint="eastAsia" w:ascii="仿宋" w:hAnsi="仿宋" w:eastAsia="仿宋" w:cs="仿宋"/>
          <w:color w:val="000000" w:themeColor="text1"/>
          <w:spacing w:val="-3"/>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1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职</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务：</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7F0DBE43">
      <w:pPr>
        <w:pStyle w:val="9"/>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4D490E12">
      <w:pPr>
        <w:pStyle w:val="9"/>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06AD9A97">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系</w:t>
      </w:r>
      <w:r>
        <w:rPr>
          <w:rFonts w:hint="eastAsia" w:ascii="仿宋" w:hAnsi="仿宋" w:eastAsia="仿宋" w:cs="仿宋"/>
          <w:color w:val="000000" w:themeColor="text1"/>
          <w:spacing w:val="-2"/>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（供应商名称）的法定代表人（</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单位负责人）。</w:t>
      </w:r>
    </w:p>
    <w:p w14:paraId="4D10425C">
      <w:pPr>
        <w:pStyle w:val="9"/>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03CEA369">
      <w:pPr>
        <w:pStyle w:val="9"/>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295F9A69">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9"/>
          <w:sz w:val="24"/>
          <w:szCs w:val="24"/>
          <w:highlight w:val="none"/>
          <w:lang w:eastAsia="zh-CN"/>
          <w14:textFill>
            <w14:solidFill>
              <w14:schemeClr w14:val="tx1"/>
            </w14:solidFill>
          </w14:textFill>
        </w:rPr>
        <w:t>附：法定代表人（单位负责人）身份证、护照等身份证明文件电子件。</w:t>
      </w:r>
    </w:p>
    <w:p w14:paraId="53B36883">
      <w:pPr>
        <w:spacing w:line="360" w:lineRule="auto"/>
        <w:rPr>
          <w:rFonts w:hint="eastAsia" w:ascii="仿宋" w:hAnsi="仿宋" w:eastAsia="仿宋" w:cs="仿宋"/>
          <w:color w:val="000000" w:themeColor="text1"/>
          <w:highlight w:val="none"/>
          <w:lang w:eastAsia="zh-CN"/>
          <w14:textFill>
            <w14:solidFill>
              <w14:schemeClr w14:val="tx1"/>
            </w14:solidFill>
          </w14:textFill>
        </w:rPr>
      </w:pPr>
    </w:p>
    <w:tbl>
      <w:tblPr>
        <w:tblStyle w:val="33"/>
        <w:tblW w:w="929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92"/>
      </w:tblGrid>
      <w:tr w14:paraId="0EADA3A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344" w:hRule="atLeast"/>
        </w:trPr>
        <w:tc>
          <w:tcPr>
            <w:tcW w:w="9292" w:type="dxa"/>
          </w:tcPr>
          <w:p w14:paraId="24BD568A">
            <w:pPr>
              <w:spacing w:line="360" w:lineRule="auto"/>
              <w:rPr>
                <w:rFonts w:hint="eastAsia" w:ascii="仿宋" w:hAnsi="仿宋" w:eastAsia="仿宋" w:cs="仿宋"/>
                <w:color w:val="000000" w:themeColor="text1"/>
                <w:highlight w:val="none"/>
                <w:lang w:eastAsia="zh-CN"/>
                <w14:textFill>
                  <w14:solidFill>
                    <w14:schemeClr w14:val="tx1"/>
                  </w14:solidFill>
                </w14:textFill>
              </w:rPr>
            </w:pPr>
          </w:p>
        </w:tc>
      </w:tr>
    </w:tbl>
    <w:p w14:paraId="366C2E5C">
      <w:pPr>
        <w:pStyle w:val="9"/>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6F3B6074">
      <w:pPr>
        <w:pStyle w:val="9"/>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53F02498">
      <w:pPr>
        <w:pStyle w:val="9"/>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3EB8CF22">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供应商名称（加盖公章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52EF251D">
      <w:pPr>
        <w:spacing w:line="360" w:lineRule="auto"/>
        <w:ind w:hanging="40"/>
        <w:rPr>
          <w:rFonts w:hint="eastAsia" w:ascii="仿宋" w:hAnsi="仿宋" w:eastAsia="仿宋" w:cs="仿宋"/>
          <w:color w:val="000000" w:themeColor="text1"/>
          <w:spacing w:val="-23"/>
          <w:sz w:val="24"/>
          <w:szCs w:val="24"/>
          <w:highlight w:val="none"/>
          <w:lang w:eastAsia="zh-CN"/>
          <w14:textFill>
            <w14:solidFill>
              <w14:schemeClr w14:val="tx1"/>
            </w14:solidFill>
          </w14:textFill>
        </w:rPr>
      </w:pPr>
      <w:r>
        <w:rPr>
          <w:rFonts w:hint="eastAsia" w:ascii="仿宋" w:hAnsi="仿宋" w:eastAsia="仿宋" w:cs="仿宋"/>
          <w:color w:val="000000" w:themeColor="text1"/>
          <w:spacing w:val="-12"/>
          <w:sz w:val="24"/>
          <w:szCs w:val="24"/>
          <w:highlight w:val="none"/>
          <w:lang w:eastAsia="zh-CN"/>
          <w14:textFill>
            <w14:solidFill>
              <w14:schemeClr w14:val="tx1"/>
            </w14:solidFill>
          </w14:textFill>
        </w:rPr>
        <w:t>法定代表人（单位负责人</w:t>
      </w:r>
      <w:r>
        <w:rPr>
          <w:rFonts w:hint="eastAsia" w:ascii="仿宋" w:hAnsi="仿宋" w:eastAsia="仿宋" w:cs="仿宋"/>
          <w:color w:val="000000" w:themeColor="text1"/>
          <w:spacing w:val="-23"/>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2"/>
          <w:sz w:val="24"/>
          <w:szCs w:val="24"/>
          <w:highlight w:val="none"/>
          <w:lang w:eastAsia="zh-CN"/>
          <w14:textFill>
            <w14:solidFill>
              <w14:schemeClr w14:val="tx1"/>
            </w14:solidFill>
          </w14:textFill>
        </w:rPr>
        <w:t>签字或签章</w:t>
      </w:r>
      <w:r>
        <w:rPr>
          <w:rFonts w:hint="eastAsia" w:ascii="仿宋" w:hAnsi="仿宋" w:eastAsia="仿宋" w:cs="仿宋"/>
          <w:color w:val="000000" w:themeColor="text1"/>
          <w:spacing w:val="-23"/>
          <w:sz w:val="24"/>
          <w:szCs w:val="24"/>
          <w:highlight w:val="none"/>
          <w:lang w:eastAsia="zh-CN"/>
          <w14:textFill>
            <w14:solidFill>
              <w14:schemeClr w14:val="tx1"/>
            </w14:solidFill>
          </w14:textFill>
        </w:rPr>
        <w:t>）：</w:t>
      </w:r>
    </w:p>
    <w:p w14:paraId="3B6FBA9A">
      <w:pPr>
        <w:spacing w:line="360" w:lineRule="auto"/>
        <w:ind w:hanging="4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48568375">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30" w:type="default"/>
          <w:footerReference r:id="rId31" w:type="default"/>
          <w:pgSz w:w="11907" w:h="16839"/>
          <w:pgMar w:top="1417" w:right="1417" w:bottom="1417" w:left="1417" w:header="1247" w:footer="794" w:gutter="0"/>
          <w:pgNumType w:fmt="decimal"/>
          <w:cols w:space="720" w:num="1"/>
        </w:sectPr>
      </w:pPr>
    </w:p>
    <w:p w14:paraId="39FDED5B">
      <w:pPr>
        <w:spacing w:line="360" w:lineRule="auto"/>
        <w:outlineLvl w:val="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 xml:space="preserve">  报价一览表</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5"/>
          <w:sz w:val="24"/>
          <w:szCs w:val="24"/>
          <w:highlight w:val="none"/>
          <w:lang w:val="en-US" w:eastAsia="zh-CN"/>
          <w14:textFill>
            <w14:solidFill>
              <w14:schemeClr w14:val="tx1"/>
            </w14:solidFill>
          </w14:textFill>
        </w:rPr>
        <w:t>实质性格式</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w:t>
      </w:r>
    </w:p>
    <w:p w14:paraId="5D878B55">
      <w:pPr>
        <w:spacing w:line="360" w:lineRule="auto"/>
        <w:jc w:val="center"/>
        <w:rPr>
          <w:rFonts w:hint="eastAsia" w:ascii="仿宋" w:hAnsi="仿宋" w:eastAsia="仿宋" w:cs="仿宋"/>
          <w:color w:val="000000" w:themeColor="text1"/>
          <w:sz w:val="36"/>
          <w:szCs w:val="36"/>
          <w:highlight w:val="none"/>
          <w:lang w:eastAsia="zh-CN"/>
          <w14:textFill>
            <w14:solidFill>
              <w14:schemeClr w14:val="tx1"/>
            </w14:solidFill>
          </w14:textFill>
        </w:rPr>
      </w:pPr>
      <w:r>
        <w:rPr>
          <w:rFonts w:hint="eastAsia" w:ascii="仿宋" w:hAnsi="仿宋" w:eastAsia="仿宋" w:cs="仿宋"/>
          <w:color w:val="000000" w:themeColor="text1"/>
          <w:spacing w:val="-5"/>
          <w:sz w:val="36"/>
          <w:szCs w:val="36"/>
          <w:highlight w:val="none"/>
          <w:lang w:eastAsia="zh-CN"/>
          <w14:textFill>
            <w14:solidFill>
              <w14:schemeClr w14:val="tx1"/>
            </w14:solidFill>
          </w14:textFill>
        </w:rPr>
        <w:t>报价一览表</w:t>
      </w:r>
    </w:p>
    <w:p w14:paraId="33F91C76">
      <w:pPr>
        <w:pStyle w:val="9"/>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76C5B9E0">
      <w:pPr>
        <w:tabs>
          <w:tab w:val="left" w:pos="1800"/>
          <w:tab w:val="left" w:pos="5580"/>
        </w:tabs>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项目编号：</w:t>
      </w:r>
      <w:r>
        <w:rPr>
          <w:rFonts w:hint="eastAsia" w:ascii="仿宋" w:hAnsi="仿宋" w:eastAsia="仿宋" w:cs="仿宋"/>
          <w:color w:val="000000" w:themeColor="text1"/>
          <w:spacing w:val="-3"/>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9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项目名称：</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eastAsia="zh-CN"/>
          <w14:textFill>
            <w14:solidFill>
              <w14:schemeClr w14:val="tx1"/>
            </w14:solidFill>
          </w14:textFill>
        </w:rPr>
        <w:t>报价单位：人民币 元</w:t>
      </w:r>
    </w:p>
    <w:p w14:paraId="1A78AC81">
      <w:pPr>
        <w:spacing w:line="360" w:lineRule="auto"/>
        <w:rPr>
          <w:rFonts w:hint="eastAsia" w:ascii="仿宋" w:hAnsi="仿宋" w:eastAsia="仿宋" w:cs="仿宋"/>
          <w:color w:val="000000" w:themeColor="text1"/>
          <w:highlight w:val="none"/>
          <w:lang w:eastAsia="zh-CN"/>
          <w14:textFill>
            <w14:solidFill>
              <w14:schemeClr w14:val="tx1"/>
            </w14:solidFill>
          </w14:textFill>
        </w:rPr>
      </w:pPr>
    </w:p>
    <w:tbl>
      <w:tblPr>
        <w:tblStyle w:val="33"/>
        <w:tblW w:w="8737" w:type="dxa"/>
        <w:tblInd w:w="-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9"/>
        <w:gridCol w:w="3201"/>
        <w:gridCol w:w="2023"/>
        <w:gridCol w:w="2134"/>
      </w:tblGrid>
      <w:tr w14:paraId="64522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379" w:type="dxa"/>
            <w:vMerge w:val="restart"/>
            <w:tcBorders>
              <w:top w:val="single" w:color="auto" w:sz="4" w:space="0"/>
              <w:left w:val="single" w:color="auto" w:sz="4" w:space="0"/>
              <w:bottom w:val="single" w:color="auto" w:sz="4" w:space="0"/>
              <w:right w:val="single" w:color="auto" w:sz="4" w:space="0"/>
            </w:tcBorders>
          </w:tcPr>
          <w:p w14:paraId="227E9A85">
            <w:pPr>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p>
          <w:p w14:paraId="6DFAA8FF">
            <w:pPr>
              <w:pStyle w:val="34"/>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6"/>
                <w:highlight w:val="none"/>
                <w14:textFill>
                  <w14:solidFill>
                    <w14:schemeClr w14:val="tx1"/>
                  </w14:solidFill>
                </w14:textFill>
              </w:rPr>
              <w:t>序号</w:t>
            </w:r>
          </w:p>
        </w:tc>
        <w:tc>
          <w:tcPr>
            <w:tcW w:w="3201" w:type="dxa"/>
            <w:vMerge w:val="restart"/>
            <w:tcBorders>
              <w:top w:val="single" w:color="auto" w:sz="4" w:space="0"/>
              <w:left w:val="single" w:color="auto" w:sz="4" w:space="0"/>
              <w:bottom w:val="single" w:color="auto" w:sz="4" w:space="0"/>
              <w:right w:val="single" w:color="auto" w:sz="4" w:space="0"/>
            </w:tcBorders>
          </w:tcPr>
          <w:p w14:paraId="44321FD2">
            <w:pPr>
              <w:spacing w:line="360" w:lineRule="auto"/>
              <w:jc w:val="center"/>
              <w:rPr>
                <w:rFonts w:hint="eastAsia" w:ascii="仿宋" w:hAnsi="仿宋" w:eastAsia="仿宋" w:cs="仿宋"/>
                <w:color w:val="000000" w:themeColor="text1"/>
                <w:highlight w:val="none"/>
                <w14:textFill>
                  <w14:solidFill>
                    <w14:schemeClr w14:val="tx1"/>
                  </w14:solidFill>
                </w14:textFill>
              </w:rPr>
            </w:pPr>
          </w:p>
          <w:p w14:paraId="51FB8564">
            <w:pPr>
              <w:pStyle w:val="34"/>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4"/>
                <w:highlight w:val="none"/>
                <w14:textFill>
                  <w14:solidFill>
                    <w14:schemeClr w14:val="tx1"/>
                  </w14:solidFill>
                </w14:textFill>
              </w:rPr>
              <w:t>供应商名称</w:t>
            </w:r>
          </w:p>
        </w:tc>
        <w:tc>
          <w:tcPr>
            <w:tcW w:w="4157" w:type="dxa"/>
            <w:gridSpan w:val="2"/>
            <w:tcBorders>
              <w:top w:val="single" w:color="auto" w:sz="4" w:space="0"/>
              <w:left w:val="single" w:color="auto" w:sz="4" w:space="0"/>
              <w:bottom w:val="single" w:color="auto" w:sz="4" w:space="0"/>
              <w:right w:val="single" w:color="auto" w:sz="4" w:space="0"/>
            </w:tcBorders>
            <w:vAlign w:val="center"/>
          </w:tcPr>
          <w:p w14:paraId="39393FD2">
            <w:pPr>
              <w:pStyle w:val="34"/>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报价（元）</w:t>
            </w:r>
          </w:p>
        </w:tc>
      </w:tr>
      <w:tr w14:paraId="7D3CB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379" w:type="dxa"/>
            <w:vMerge w:val="continue"/>
            <w:tcBorders>
              <w:top w:val="single" w:color="auto" w:sz="4" w:space="0"/>
              <w:left w:val="single" w:color="auto" w:sz="4" w:space="0"/>
              <w:bottom w:val="single" w:color="auto" w:sz="4" w:space="0"/>
              <w:right w:val="single" w:color="auto" w:sz="4" w:space="0"/>
            </w:tcBorders>
          </w:tcPr>
          <w:p w14:paraId="3E3222AA">
            <w:pPr>
              <w:spacing w:line="360" w:lineRule="auto"/>
              <w:rPr>
                <w:rFonts w:hint="eastAsia" w:ascii="仿宋" w:hAnsi="仿宋" w:eastAsia="仿宋" w:cs="仿宋"/>
                <w:color w:val="000000" w:themeColor="text1"/>
                <w:highlight w:val="none"/>
                <w14:textFill>
                  <w14:solidFill>
                    <w14:schemeClr w14:val="tx1"/>
                  </w14:solidFill>
                </w14:textFill>
              </w:rPr>
            </w:pPr>
          </w:p>
        </w:tc>
        <w:tc>
          <w:tcPr>
            <w:tcW w:w="3201" w:type="dxa"/>
            <w:vMerge w:val="continue"/>
            <w:tcBorders>
              <w:top w:val="single" w:color="auto" w:sz="4" w:space="0"/>
              <w:left w:val="single" w:color="auto" w:sz="4" w:space="0"/>
              <w:bottom w:val="single" w:color="auto" w:sz="4" w:space="0"/>
              <w:right w:val="single" w:color="auto" w:sz="4" w:space="0"/>
            </w:tcBorders>
          </w:tcPr>
          <w:p w14:paraId="2468AA27">
            <w:pPr>
              <w:spacing w:line="360" w:lineRule="auto"/>
              <w:rPr>
                <w:rFonts w:hint="eastAsia" w:ascii="仿宋" w:hAnsi="仿宋" w:eastAsia="仿宋" w:cs="仿宋"/>
                <w:color w:val="000000" w:themeColor="text1"/>
                <w:highlight w:val="none"/>
                <w14:textFill>
                  <w14:solidFill>
                    <w14:schemeClr w14:val="tx1"/>
                  </w14:solidFill>
                </w14:textFill>
              </w:rPr>
            </w:pPr>
          </w:p>
        </w:tc>
        <w:tc>
          <w:tcPr>
            <w:tcW w:w="2023" w:type="dxa"/>
            <w:tcBorders>
              <w:top w:val="single" w:color="auto" w:sz="4" w:space="0"/>
              <w:left w:val="single" w:color="auto" w:sz="4" w:space="0"/>
              <w:bottom w:val="single" w:color="auto" w:sz="4" w:space="0"/>
              <w:right w:val="single" w:color="auto" w:sz="4" w:space="0"/>
            </w:tcBorders>
            <w:vAlign w:val="center"/>
          </w:tcPr>
          <w:p w14:paraId="5E545E34">
            <w:pPr>
              <w:pStyle w:val="34"/>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8"/>
                <w:highlight w:val="none"/>
                <w14:textFill>
                  <w14:solidFill>
                    <w14:schemeClr w14:val="tx1"/>
                  </w14:solidFill>
                </w14:textFill>
              </w:rPr>
              <w:t>大写</w:t>
            </w:r>
          </w:p>
        </w:tc>
        <w:tc>
          <w:tcPr>
            <w:tcW w:w="2134" w:type="dxa"/>
            <w:tcBorders>
              <w:top w:val="single" w:color="auto" w:sz="4" w:space="0"/>
              <w:left w:val="single" w:color="auto" w:sz="4" w:space="0"/>
              <w:bottom w:val="single" w:color="auto" w:sz="4" w:space="0"/>
              <w:right w:val="single" w:color="auto" w:sz="4" w:space="0"/>
            </w:tcBorders>
            <w:vAlign w:val="center"/>
          </w:tcPr>
          <w:p w14:paraId="65AEC808">
            <w:pPr>
              <w:pStyle w:val="34"/>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10"/>
                <w:highlight w:val="none"/>
                <w14:textFill>
                  <w14:solidFill>
                    <w14:schemeClr w14:val="tx1"/>
                  </w14:solidFill>
                </w14:textFill>
              </w:rPr>
              <w:t>小写</w:t>
            </w:r>
          </w:p>
        </w:tc>
      </w:tr>
      <w:tr w14:paraId="2A250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379" w:type="dxa"/>
            <w:tcBorders>
              <w:top w:val="single" w:color="auto" w:sz="4" w:space="0"/>
              <w:left w:val="single" w:color="auto" w:sz="4" w:space="0"/>
              <w:bottom w:val="single" w:color="auto" w:sz="4" w:space="0"/>
              <w:right w:val="single" w:color="auto" w:sz="4" w:space="0"/>
            </w:tcBorders>
            <w:vAlign w:val="center"/>
          </w:tcPr>
          <w:p w14:paraId="1E5BE4A3">
            <w:pPr>
              <w:spacing w:line="360" w:lineRule="auto"/>
              <w:jc w:val="center"/>
              <w:rPr>
                <w:rFonts w:hint="eastAsia" w:ascii="仿宋" w:hAnsi="仿宋" w:eastAsia="仿宋" w:cs="仿宋"/>
                <w:color w:val="000000" w:themeColor="text1"/>
                <w:highlight w:val="none"/>
                <w14:textFill>
                  <w14:solidFill>
                    <w14:schemeClr w14:val="tx1"/>
                  </w14:solidFill>
                </w14:textFill>
              </w:rPr>
            </w:pPr>
          </w:p>
        </w:tc>
        <w:tc>
          <w:tcPr>
            <w:tcW w:w="3201" w:type="dxa"/>
            <w:tcBorders>
              <w:top w:val="single" w:color="auto" w:sz="4" w:space="0"/>
              <w:left w:val="single" w:color="auto" w:sz="4" w:space="0"/>
              <w:bottom w:val="single" w:color="auto" w:sz="4" w:space="0"/>
              <w:right w:val="single" w:color="auto" w:sz="4" w:space="0"/>
            </w:tcBorders>
            <w:vAlign w:val="center"/>
          </w:tcPr>
          <w:p w14:paraId="465F0207">
            <w:pPr>
              <w:spacing w:line="360" w:lineRule="auto"/>
              <w:jc w:val="center"/>
              <w:rPr>
                <w:rFonts w:hint="eastAsia" w:ascii="仿宋" w:hAnsi="仿宋" w:eastAsia="仿宋" w:cs="仿宋"/>
                <w:color w:val="000000" w:themeColor="text1"/>
                <w:highlight w:val="none"/>
                <w14:textFill>
                  <w14:solidFill>
                    <w14:schemeClr w14:val="tx1"/>
                  </w14:solidFill>
                </w14:textFill>
              </w:rPr>
            </w:pPr>
          </w:p>
        </w:tc>
        <w:tc>
          <w:tcPr>
            <w:tcW w:w="2023" w:type="dxa"/>
            <w:tcBorders>
              <w:top w:val="single" w:color="auto" w:sz="4" w:space="0"/>
              <w:left w:val="single" w:color="auto" w:sz="4" w:space="0"/>
              <w:bottom w:val="single" w:color="auto" w:sz="4" w:space="0"/>
              <w:right w:val="single" w:color="auto" w:sz="4" w:space="0"/>
            </w:tcBorders>
            <w:vAlign w:val="center"/>
          </w:tcPr>
          <w:p w14:paraId="45DDA4F4">
            <w:pPr>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p>
        </w:tc>
        <w:tc>
          <w:tcPr>
            <w:tcW w:w="2134" w:type="dxa"/>
            <w:tcBorders>
              <w:top w:val="single" w:color="auto" w:sz="4" w:space="0"/>
              <w:left w:val="single" w:color="auto" w:sz="4" w:space="0"/>
              <w:bottom w:val="single" w:color="auto" w:sz="4" w:space="0"/>
              <w:right w:val="single" w:color="auto" w:sz="4" w:space="0"/>
            </w:tcBorders>
            <w:vAlign w:val="center"/>
          </w:tcPr>
          <w:p w14:paraId="630DF962">
            <w:pPr>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p>
        </w:tc>
      </w:tr>
    </w:tbl>
    <w:p w14:paraId="6AC309E1">
      <w:pPr>
        <w:pStyle w:val="9"/>
        <w:spacing w:line="360" w:lineRule="auto"/>
        <w:rPr>
          <w:rFonts w:hint="eastAsia" w:ascii="仿宋" w:hAnsi="仿宋" w:eastAsia="仿宋" w:cs="仿宋"/>
          <w:color w:val="000000" w:themeColor="text1"/>
          <w:highlight w:val="none"/>
          <w14:textFill>
            <w14:solidFill>
              <w14:schemeClr w14:val="tx1"/>
            </w14:solidFill>
          </w14:textFill>
        </w:rPr>
      </w:pPr>
    </w:p>
    <w:p w14:paraId="575EFE37">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注：1.此表中，每包的报价应和《分项报价表》中的总价相一致。</w:t>
      </w:r>
    </w:p>
    <w:p w14:paraId="724B5905">
      <w:pPr>
        <w:spacing w:line="360" w:lineRule="auto"/>
        <w:ind w:firstLine="464"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2.本表必须按包分别填写。</w:t>
      </w:r>
    </w:p>
    <w:p w14:paraId="4FA31B3D">
      <w:pPr>
        <w:pStyle w:val="9"/>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3F58C7E8">
      <w:pPr>
        <w:pStyle w:val="9"/>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4BF9D377">
      <w:pPr>
        <w:pStyle w:val="9"/>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4A32614F">
      <w:pPr>
        <w:pStyle w:val="9"/>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09CBEED1">
      <w:pPr>
        <w:pStyle w:val="9"/>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6F95769B">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供应商名称（加盖公章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53F3F85E">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518C02E4">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32" w:type="default"/>
          <w:footerReference r:id="rId33" w:type="default"/>
          <w:pgSz w:w="11907" w:h="16839"/>
          <w:pgMar w:top="1417" w:right="1417" w:bottom="1417" w:left="1417" w:header="1191" w:footer="794" w:gutter="0"/>
          <w:pgNumType w:fmt="decimal"/>
          <w:cols w:space="720" w:num="1"/>
        </w:sectPr>
      </w:pPr>
    </w:p>
    <w:p w14:paraId="6846BF2E">
      <w:pPr>
        <w:spacing w:line="360" w:lineRule="auto"/>
        <w:outlineLvl w:val="1"/>
        <w:rPr>
          <w:rFonts w:hint="eastAsia" w:ascii="仿宋" w:hAnsi="仿宋" w:eastAsia="仿宋" w:cs="仿宋"/>
          <w:color w:val="000000" w:themeColor="text1"/>
          <w:spacing w:val="-45"/>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pacing w:val="-45"/>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分项报价表</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5"/>
          <w:sz w:val="24"/>
          <w:szCs w:val="24"/>
          <w:highlight w:val="none"/>
          <w:lang w:val="en-US" w:eastAsia="zh-CN"/>
          <w14:textFill>
            <w14:solidFill>
              <w14:schemeClr w14:val="tx1"/>
            </w14:solidFill>
          </w14:textFill>
        </w:rPr>
        <w:t>实质性格式</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w:t>
      </w:r>
    </w:p>
    <w:p w14:paraId="6F4ACEC3">
      <w:pPr>
        <w:spacing w:line="360" w:lineRule="auto"/>
        <w:ind w:firstLine="468" w:firstLineChars="200"/>
        <w:outlineLvl w:val="9"/>
        <w:rPr>
          <w:rFonts w:hint="eastAsia" w:ascii="仿宋" w:hAnsi="仿宋" w:eastAsia="仿宋" w:cs="仿宋"/>
          <w:color w:val="000000" w:themeColor="text1"/>
          <w:spacing w:val="-45"/>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已标价工程量清单</w:t>
      </w:r>
    </w:p>
    <w:p w14:paraId="689315F9">
      <w:pPr>
        <w:spacing w:line="360" w:lineRule="auto"/>
        <w:outlineLvl w:val="9"/>
        <w:rPr>
          <w:rFonts w:hint="eastAsia" w:ascii="仿宋" w:hAnsi="仿宋" w:eastAsia="仿宋" w:cs="仿宋"/>
          <w:color w:val="000000" w:themeColor="text1"/>
          <w:spacing w:val="-45"/>
          <w:sz w:val="24"/>
          <w:szCs w:val="24"/>
          <w:highlight w:val="none"/>
          <w:lang w:eastAsia="zh-CN"/>
          <w14:textFill>
            <w14:solidFill>
              <w14:schemeClr w14:val="tx1"/>
            </w14:solidFill>
          </w14:textFill>
        </w:rPr>
      </w:pPr>
    </w:p>
    <w:p w14:paraId="5F12C1C2">
      <w:pPr>
        <w:spacing w:line="360" w:lineRule="auto"/>
        <w:outlineLvl w:val="9"/>
        <w:rPr>
          <w:rFonts w:hint="eastAsia" w:ascii="仿宋" w:hAnsi="仿宋" w:eastAsia="仿宋" w:cs="仿宋"/>
          <w:color w:val="000000" w:themeColor="text1"/>
          <w:spacing w:val="-45"/>
          <w:sz w:val="24"/>
          <w:szCs w:val="24"/>
          <w:highlight w:val="none"/>
          <w:lang w:eastAsia="zh-CN"/>
          <w14:textFill>
            <w14:solidFill>
              <w14:schemeClr w14:val="tx1"/>
            </w14:solidFill>
          </w14:textFill>
        </w:rPr>
      </w:pPr>
    </w:p>
    <w:p w14:paraId="17FFF6E5">
      <w:pPr>
        <w:spacing w:line="360" w:lineRule="auto"/>
        <w:outlineLvl w:val="9"/>
        <w:rPr>
          <w:rFonts w:hint="eastAsia" w:ascii="仿宋" w:hAnsi="仿宋" w:eastAsia="仿宋" w:cs="仿宋"/>
          <w:color w:val="000000" w:themeColor="text1"/>
          <w:spacing w:val="-45"/>
          <w:sz w:val="24"/>
          <w:szCs w:val="24"/>
          <w:highlight w:val="none"/>
          <w:lang w:eastAsia="zh-CN"/>
          <w14:textFill>
            <w14:solidFill>
              <w14:schemeClr w14:val="tx1"/>
            </w14:solidFill>
          </w14:textFill>
        </w:rPr>
      </w:pPr>
    </w:p>
    <w:p w14:paraId="7E0EEE01">
      <w:pPr>
        <w:spacing w:line="360" w:lineRule="auto"/>
        <w:outlineLvl w:val="9"/>
        <w:rPr>
          <w:rFonts w:hint="eastAsia" w:ascii="仿宋" w:hAnsi="仿宋" w:eastAsia="仿宋" w:cs="仿宋"/>
          <w:color w:val="000000" w:themeColor="text1"/>
          <w:spacing w:val="-45"/>
          <w:sz w:val="24"/>
          <w:szCs w:val="24"/>
          <w:highlight w:val="none"/>
          <w:lang w:eastAsia="zh-CN"/>
          <w14:textFill>
            <w14:solidFill>
              <w14:schemeClr w14:val="tx1"/>
            </w14:solidFill>
          </w14:textFill>
        </w:rPr>
      </w:pPr>
    </w:p>
    <w:p w14:paraId="48395B72">
      <w:pPr>
        <w:spacing w:line="360" w:lineRule="auto"/>
        <w:outlineLvl w:val="9"/>
        <w:rPr>
          <w:rFonts w:hint="eastAsia" w:ascii="仿宋" w:hAnsi="仿宋" w:eastAsia="仿宋" w:cs="仿宋"/>
          <w:color w:val="000000" w:themeColor="text1"/>
          <w:spacing w:val="-45"/>
          <w:sz w:val="24"/>
          <w:szCs w:val="24"/>
          <w:highlight w:val="none"/>
          <w:lang w:eastAsia="zh-CN"/>
          <w14:textFill>
            <w14:solidFill>
              <w14:schemeClr w14:val="tx1"/>
            </w14:solidFill>
          </w14:textFill>
        </w:rPr>
      </w:pPr>
    </w:p>
    <w:p w14:paraId="0095DF0F">
      <w:pPr>
        <w:spacing w:line="360" w:lineRule="auto"/>
        <w:outlineLvl w:val="9"/>
        <w:rPr>
          <w:rFonts w:hint="eastAsia" w:ascii="仿宋" w:hAnsi="仿宋" w:eastAsia="仿宋" w:cs="仿宋"/>
          <w:color w:val="000000" w:themeColor="text1"/>
          <w:spacing w:val="-45"/>
          <w:sz w:val="24"/>
          <w:szCs w:val="24"/>
          <w:highlight w:val="none"/>
          <w:lang w:eastAsia="zh-CN"/>
          <w14:textFill>
            <w14:solidFill>
              <w14:schemeClr w14:val="tx1"/>
            </w14:solidFill>
          </w14:textFill>
        </w:rPr>
      </w:pPr>
    </w:p>
    <w:p w14:paraId="4494ED8A">
      <w:pPr>
        <w:spacing w:line="360" w:lineRule="auto"/>
        <w:outlineLvl w:val="9"/>
        <w:rPr>
          <w:rFonts w:hint="eastAsia" w:ascii="仿宋" w:hAnsi="仿宋" w:eastAsia="仿宋" w:cs="仿宋"/>
          <w:color w:val="000000" w:themeColor="text1"/>
          <w:spacing w:val="-45"/>
          <w:sz w:val="24"/>
          <w:szCs w:val="24"/>
          <w:highlight w:val="none"/>
          <w:lang w:eastAsia="zh-CN"/>
          <w14:textFill>
            <w14:solidFill>
              <w14:schemeClr w14:val="tx1"/>
            </w14:solidFill>
          </w14:textFill>
        </w:rPr>
      </w:pPr>
    </w:p>
    <w:p w14:paraId="027EE254">
      <w:pPr>
        <w:spacing w:line="360" w:lineRule="auto"/>
        <w:outlineLvl w:val="9"/>
        <w:rPr>
          <w:rFonts w:hint="eastAsia" w:ascii="仿宋" w:hAnsi="仿宋" w:eastAsia="仿宋" w:cs="仿宋"/>
          <w:color w:val="000000" w:themeColor="text1"/>
          <w:spacing w:val="-45"/>
          <w:sz w:val="24"/>
          <w:szCs w:val="24"/>
          <w:highlight w:val="none"/>
          <w:lang w:eastAsia="zh-CN"/>
          <w14:textFill>
            <w14:solidFill>
              <w14:schemeClr w14:val="tx1"/>
            </w14:solidFill>
          </w14:textFill>
        </w:rPr>
      </w:pPr>
    </w:p>
    <w:p w14:paraId="214E40CA">
      <w:pPr>
        <w:spacing w:line="360" w:lineRule="auto"/>
        <w:outlineLvl w:val="9"/>
        <w:rPr>
          <w:rFonts w:hint="eastAsia" w:ascii="仿宋" w:hAnsi="仿宋" w:eastAsia="仿宋" w:cs="仿宋"/>
          <w:color w:val="000000" w:themeColor="text1"/>
          <w:spacing w:val="-45"/>
          <w:sz w:val="24"/>
          <w:szCs w:val="24"/>
          <w:highlight w:val="none"/>
          <w:lang w:eastAsia="zh-CN"/>
          <w14:textFill>
            <w14:solidFill>
              <w14:schemeClr w14:val="tx1"/>
            </w14:solidFill>
          </w14:textFill>
        </w:rPr>
      </w:pPr>
    </w:p>
    <w:p w14:paraId="5842DA6C">
      <w:pPr>
        <w:spacing w:line="360" w:lineRule="auto"/>
        <w:outlineLvl w:val="9"/>
        <w:rPr>
          <w:rFonts w:hint="eastAsia" w:ascii="仿宋" w:hAnsi="仿宋" w:eastAsia="仿宋" w:cs="仿宋"/>
          <w:color w:val="000000" w:themeColor="text1"/>
          <w:spacing w:val="-45"/>
          <w:sz w:val="24"/>
          <w:szCs w:val="24"/>
          <w:highlight w:val="none"/>
          <w:lang w:eastAsia="zh-CN"/>
          <w14:textFill>
            <w14:solidFill>
              <w14:schemeClr w14:val="tx1"/>
            </w14:solidFill>
          </w14:textFill>
        </w:rPr>
      </w:pPr>
    </w:p>
    <w:p w14:paraId="30A7A71A">
      <w:pPr>
        <w:spacing w:line="360" w:lineRule="auto"/>
        <w:outlineLvl w:val="9"/>
        <w:rPr>
          <w:rFonts w:hint="eastAsia" w:ascii="仿宋" w:hAnsi="仿宋" w:eastAsia="仿宋" w:cs="仿宋"/>
          <w:color w:val="000000" w:themeColor="text1"/>
          <w:spacing w:val="-45"/>
          <w:sz w:val="24"/>
          <w:szCs w:val="24"/>
          <w:highlight w:val="none"/>
          <w:lang w:eastAsia="zh-CN"/>
          <w14:textFill>
            <w14:solidFill>
              <w14:schemeClr w14:val="tx1"/>
            </w14:solidFill>
          </w14:textFill>
        </w:rPr>
      </w:pPr>
    </w:p>
    <w:p w14:paraId="0DC8EC55">
      <w:pPr>
        <w:spacing w:line="360" w:lineRule="auto"/>
        <w:outlineLvl w:val="9"/>
        <w:rPr>
          <w:rFonts w:hint="eastAsia" w:ascii="仿宋" w:hAnsi="仿宋" w:eastAsia="仿宋" w:cs="仿宋"/>
          <w:color w:val="000000" w:themeColor="text1"/>
          <w:spacing w:val="-45"/>
          <w:sz w:val="24"/>
          <w:szCs w:val="24"/>
          <w:highlight w:val="none"/>
          <w:lang w:eastAsia="zh-CN"/>
          <w14:textFill>
            <w14:solidFill>
              <w14:schemeClr w14:val="tx1"/>
            </w14:solidFill>
          </w14:textFill>
        </w:rPr>
      </w:pPr>
    </w:p>
    <w:p w14:paraId="7ECCB7FE">
      <w:pPr>
        <w:spacing w:line="360" w:lineRule="auto"/>
        <w:outlineLvl w:val="9"/>
        <w:rPr>
          <w:rFonts w:hint="eastAsia" w:ascii="仿宋" w:hAnsi="仿宋" w:eastAsia="仿宋" w:cs="仿宋"/>
          <w:color w:val="000000" w:themeColor="text1"/>
          <w:spacing w:val="-45"/>
          <w:sz w:val="24"/>
          <w:szCs w:val="24"/>
          <w:highlight w:val="none"/>
          <w:lang w:eastAsia="zh-CN"/>
          <w14:textFill>
            <w14:solidFill>
              <w14:schemeClr w14:val="tx1"/>
            </w14:solidFill>
          </w14:textFill>
        </w:rPr>
      </w:pPr>
    </w:p>
    <w:p w14:paraId="1FE74C56">
      <w:pPr>
        <w:spacing w:line="360" w:lineRule="auto"/>
        <w:outlineLvl w:val="9"/>
        <w:rPr>
          <w:rFonts w:hint="eastAsia" w:ascii="仿宋" w:hAnsi="仿宋" w:eastAsia="仿宋" w:cs="仿宋"/>
          <w:color w:val="000000" w:themeColor="text1"/>
          <w:spacing w:val="-45"/>
          <w:sz w:val="24"/>
          <w:szCs w:val="24"/>
          <w:highlight w:val="none"/>
          <w:lang w:eastAsia="zh-CN"/>
          <w14:textFill>
            <w14:solidFill>
              <w14:schemeClr w14:val="tx1"/>
            </w14:solidFill>
          </w14:textFill>
        </w:rPr>
      </w:pPr>
    </w:p>
    <w:p w14:paraId="50C4DEF0">
      <w:pPr>
        <w:spacing w:line="360" w:lineRule="auto"/>
        <w:outlineLvl w:val="9"/>
        <w:rPr>
          <w:rFonts w:hint="eastAsia" w:ascii="仿宋" w:hAnsi="仿宋" w:eastAsia="仿宋" w:cs="仿宋"/>
          <w:color w:val="000000" w:themeColor="text1"/>
          <w:spacing w:val="-45"/>
          <w:sz w:val="24"/>
          <w:szCs w:val="24"/>
          <w:highlight w:val="none"/>
          <w:lang w:eastAsia="zh-CN"/>
          <w14:textFill>
            <w14:solidFill>
              <w14:schemeClr w14:val="tx1"/>
            </w14:solidFill>
          </w14:textFill>
        </w:rPr>
      </w:pPr>
    </w:p>
    <w:p w14:paraId="0EBBBB1E">
      <w:pPr>
        <w:spacing w:line="360" w:lineRule="auto"/>
        <w:outlineLvl w:val="9"/>
        <w:rPr>
          <w:rFonts w:hint="eastAsia" w:ascii="仿宋" w:hAnsi="仿宋" w:eastAsia="仿宋" w:cs="仿宋"/>
          <w:color w:val="000000" w:themeColor="text1"/>
          <w:spacing w:val="-45"/>
          <w:sz w:val="24"/>
          <w:szCs w:val="24"/>
          <w:highlight w:val="none"/>
          <w:lang w:eastAsia="zh-CN"/>
          <w14:textFill>
            <w14:solidFill>
              <w14:schemeClr w14:val="tx1"/>
            </w14:solidFill>
          </w14:textFill>
        </w:rPr>
      </w:pPr>
    </w:p>
    <w:p w14:paraId="6C0F1AAE">
      <w:pPr>
        <w:spacing w:line="360" w:lineRule="auto"/>
        <w:outlineLvl w:val="9"/>
        <w:rPr>
          <w:rFonts w:hint="eastAsia" w:ascii="仿宋" w:hAnsi="仿宋" w:eastAsia="仿宋" w:cs="仿宋"/>
          <w:color w:val="000000" w:themeColor="text1"/>
          <w:spacing w:val="-45"/>
          <w:sz w:val="24"/>
          <w:szCs w:val="24"/>
          <w:highlight w:val="none"/>
          <w:lang w:eastAsia="zh-CN"/>
          <w14:textFill>
            <w14:solidFill>
              <w14:schemeClr w14:val="tx1"/>
            </w14:solidFill>
          </w14:textFill>
        </w:rPr>
      </w:pPr>
    </w:p>
    <w:p w14:paraId="16191591">
      <w:pPr>
        <w:spacing w:line="360" w:lineRule="auto"/>
        <w:outlineLvl w:val="9"/>
        <w:rPr>
          <w:rFonts w:hint="eastAsia" w:ascii="仿宋" w:hAnsi="仿宋" w:eastAsia="仿宋" w:cs="仿宋"/>
          <w:color w:val="000000" w:themeColor="text1"/>
          <w:spacing w:val="-45"/>
          <w:sz w:val="24"/>
          <w:szCs w:val="24"/>
          <w:highlight w:val="none"/>
          <w:lang w:eastAsia="zh-CN"/>
          <w14:textFill>
            <w14:solidFill>
              <w14:schemeClr w14:val="tx1"/>
            </w14:solidFill>
          </w14:textFill>
        </w:rPr>
      </w:pPr>
    </w:p>
    <w:p w14:paraId="27CB5BA7">
      <w:pPr>
        <w:spacing w:line="360" w:lineRule="auto"/>
        <w:outlineLvl w:val="9"/>
        <w:rPr>
          <w:rFonts w:hint="eastAsia" w:ascii="仿宋" w:hAnsi="仿宋" w:eastAsia="仿宋" w:cs="仿宋"/>
          <w:color w:val="000000" w:themeColor="text1"/>
          <w:spacing w:val="-45"/>
          <w:sz w:val="24"/>
          <w:szCs w:val="24"/>
          <w:highlight w:val="none"/>
          <w:lang w:eastAsia="zh-CN"/>
          <w14:textFill>
            <w14:solidFill>
              <w14:schemeClr w14:val="tx1"/>
            </w14:solidFill>
          </w14:textFill>
        </w:rPr>
      </w:pPr>
    </w:p>
    <w:p w14:paraId="259A9415">
      <w:pPr>
        <w:spacing w:line="360" w:lineRule="auto"/>
        <w:outlineLvl w:val="9"/>
        <w:rPr>
          <w:rFonts w:hint="eastAsia" w:ascii="仿宋" w:hAnsi="仿宋" w:eastAsia="仿宋" w:cs="仿宋"/>
          <w:color w:val="000000" w:themeColor="text1"/>
          <w:spacing w:val="-45"/>
          <w:sz w:val="24"/>
          <w:szCs w:val="24"/>
          <w:highlight w:val="none"/>
          <w:lang w:eastAsia="zh-CN"/>
          <w14:textFill>
            <w14:solidFill>
              <w14:schemeClr w14:val="tx1"/>
            </w14:solidFill>
          </w14:textFill>
        </w:rPr>
      </w:pPr>
    </w:p>
    <w:p w14:paraId="7EBB241F">
      <w:pPr>
        <w:spacing w:line="360" w:lineRule="auto"/>
        <w:outlineLvl w:val="9"/>
        <w:rPr>
          <w:rFonts w:hint="eastAsia" w:ascii="仿宋" w:hAnsi="仿宋" w:eastAsia="仿宋" w:cs="仿宋"/>
          <w:color w:val="000000" w:themeColor="text1"/>
          <w:spacing w:val="-45"/>
          <w:sz w:val="24"/>
          <w:szCs w:val="24"/>
          <w:highlight w:val="none"/>
          <w:lang w:eastAsia="zh-CN"/>
          <w14:textFill>
            <w14:solidFill>
              <w14:schemeClr w14:val="tx1"/>
            </w14:solidFill>
          </w14:textFill>
        </w:rPr>
      </w:pPr>
    </w:p>
    <w:p w14:paraId="4A08CF56">
      <w:pPr>
        <w:spacing w:line="360" w:lineRule="auto"/>
        <w:outlineLvl w:val="9"/>
        <w:rPr>
          <w:rFonts w:hint="eastAsia" w:ascii="仿宋" w:hAnsi="仿宋" w:eastAsia="仿宋" w:cs="仿宋"/>
          <w:color w:val="000000" w:themeColor="text1"/>
          <w:spacing w:val="-45"/>
          <w:sz w:val="24"/>
          <w:szCs w:val="24"/>
          <w:highlight w:val="none"/>
          <w:lang w:eastAsia="zh-CN"/>
          <w14:textFill>
            <w14:solidFill>
              <w14:schemeClr w14:val="tx1"/>
            </w14:solidFill>
          </w14:textFill>
        </w:rPr>
      </w:pPr>
    </w:p>
    <w:p w14:paraId="36215AAF">
      <w:pPr>
        <w:spacing w:line="360" w:lineRule="auto"/>
        <w:outlineLvl w:val="9"/>
        <w:rPr>
          <w:rFonts w:hint="eastAsia" w:ascii="仿宋" w:hAnsi="仿宋" w:eastAsia="仿宋" w:cs="仿宋"/>
          <w:color w:val="000000" w:themeColor="text1"/>
          <w:spacing w:val="-45"/>
          <w:sz w:val="24"/>
          <w:szCs w:val="24"/>
          <w:highlight w:val="none"/>
          <w:lang w:eastAsia="zh-CN"/>
          <w14:textFill>
            <w14:solidFill>
              <w14:schemeClr w14:val="tx1"/>
            </w14:solidFill>
          </w14:textFill>
        </w:rPr>
      </w:pPr>
    </w:p>
    <w:p w14:paraId="314A3BE5">
      <w:pPr>
        <w:spacing w:line="360" w:lineRule="auto"/>
        <w:outlineLvl w:val="9"/>
        <w:rPr>
          <w:rFonts w:hint="eastAsia" w:ascii="仿宋" w:hAnsi="仿宋" w:eastAsia="仿宋" w:cs="仿宋"/>
          <w:color w:val="000000" w:themeColor="text1"/>
          <w:spacing w:val="-45"/>
          <w:sz w:val="24"/>
          <w:szCs w:val="24"/>
          <w:highlight w:val="none"/>
          <w:lang w:eastAsia="zh-CN"/>
          <w14:textFill>
            <w14:solidFill>
              <w14:schemeClr w14:val="tx1"/>
            </w14:solidFill>
          </w14:textFill>
        </w:rPr>
      </w:pPr>
    </w:p>
    <w:p w14:paraId="495C50E0">
      <w:pPr>
        <w:spacing w:line="360" w:lineRule="auto"/>
        <w:outlineLvl w:val="9"/>
        <w:rPr>
          <w:rFonts w:hint="eastAsia" w:ascii="仿宋" w:hAnsi="仿宋" w:eastAsia="仿宋" w:cs="仿宋"/>
          <w:color w:val="000000" w:themeColor="text1"/>
          <w:spacing w:val="-45"/>
          <w:sz w:val="24"/>
          <w:szCs w:val="24"/>
          <w:highlight w:val="none"/>
          <w:lang w:eastAsia="zh-CN"/>
          <w14:textFill>
            <w14:solidFill>
              <w14:schemeClr w14:val="tx1"/>
            </w14:solidFill>
          </w14:textFill>
        </w:rPr>
      </w:pPr>
    </w:p>
    <w:p w14:paraId="3EA4F19C">
      <w:pPr>
        <w:spacing w:line="360" w:lineRule="auto"/>
        <w:outlineLvl w:val="9"/>
        <w:rPr>
          <w:rFonts w:hint="eastAsia" w:ascii="仿宋" w:hAnsi="仿宋" w:eastAsia="仿宋" w:cs="仿宋"/>
          <w:color w:val="000000" w:themeColor="text1"/>
          <w:spacing w:val="-45"/>
          <w:sz w:val="24"/>
          <w:szCs w:val="24"/>
          <w:highlight w:val="none"/>
          <w:lang w:eastAsia="zh-CN"/>
          <w14:textFill>
            <w14:solidFill>
              <w14:schemeClr w14:val="tx1"/>
            </w14:solidFill>
          </w14:textFill>
        </w:rPr>
      </w:pPr>
    </w:p>
    <w:p w14:paraId="39E2A0F3">
      <w:pPr>
        <w:spacing w:line="360" w:lineRule="auto"/>
        <w:outlineLvl w:val="9"/>
        <w:rPr>
          <w:rFonts w:hint="eastAsia" w:ascii="仿宋" w:hAnsi="仿宋" w:eastAsia="仿宋" w:cs="仿宋"/>
          <w:color w:val="000000" w:themeColor="text1"/>
          <w:spacing w:val="-45"/>
          <w:sz w:val="24"/>
          <w:szCs w:val="24"/>
          <w:highlight w:val="none"/>
          <w:lang w:eastAsia="zh-CN"/>
          <w14:textFill>
            <w14:solidFill>
              <w14:schemeClr w14:val="tx1"/>
            </w14:solidFill>
          </w14:textFill>
        </w:rPr>
      </w:pPr>
    </w:p>
    <w:p w14:paraId="189FA805">
      <w:pPr>
        <w:spacing w:line="360" w:lineRule="auto"/>
        <w:outlineLvl w:val="9"/>
        <w:rPr>
          <w:rFonts w:hint="eastAsia" w:ascii="仿宋" w:hAnsi="仿宋" w:eastAsia="仿宋" w:cs="仿宋"/>
          <w:color w:val="000000" w:themeColor="text1"/>
          <w:spacing w:val="-45"/>
          <w:sz w:val="24"/>
          <w:szCs w:val="24"/>
          <w:highlight w:val="none"/>
          <w:lang w:eastAsia="zh-CN"/>
          <w14:textFill>
            <w14:solidFill>
              <w14:schemeClr w14:val="tx1"/>
            </w14:solidFill>
          </w14:textFill>
        </w:rPr>
      </w:pPr>
    </w:p>
    <w:p w14:paraId="6E88D27F">
      <w:pPr>
        <w:spacing w:line="360" w:lineRule="auto"/>
        <w:outlineLvl w:val="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 xml:space="preserve">  合同条款偏离表</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（实质性格式）</w:t>
      </w:r>
    </w:p>
    <w:p w14:paraId="12004B39">
      <w:pPr>
        <w:pStyle w:val="9"/>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30529191">
      <w:pPr>
        <w:spacing w:line="360" w:lineRule="auto"/>
        <w:jc w:val="center"/>
        <w:rPr>
          <w:rFonts w:hint="eastAsia" w:ascii="仿宋" w:hAnsi="仿宋" w:eastAsia="仿宋" w:cs="仿宋"/>
          <w:color w:val="000000" w:themeColor="text1"/>
          <w:sz w:val="36"/>
          <w:szCs w:val="36"/>
          <w:highlight w:val="none"/>
          <w:lang w:eastAsia="zh-CN"/>
          <w14:textFill>
            <w14:solidFill>
              <w14:schemeClr w14:val="tx1"/>
            </w14:solidFill>
          </w14:textFill>
        </w:rPr>
      </w:pPr>
      <w:r>
        <w:rPr>
          <w:rFonts w:hint="eastAsia" w:ascii="仿宋" w:hAnsi="仿宋" w:eastAsia="仿宋" w:cs="仿宋"/>
          <w:color w:val="000000" w:themeColor="text1"/>
          <w:spacing w:val="-5"/>
          <w:sz w:val="36"/>
          <w:szCs w:val="36"/>
          <w:highlight w:val="none"/>
          <w:lang w:eastAsia="zh-CN"/>
          <w14:textFill>
            <w14:solidFill>
              <w14:schemeClr w14:val="tx1"/>
            </w14:solidFill>
          </w14:textFill>
        </w:rPr>
        <w:t>合同条款偏离表</w:t>
      </w:r>
    </w:p>
    <w:p w14:paraId="6AA72291">
      <w:pPr>
        <w:pStyle w:val="9"/>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28E60C0A">
      <w:pPr>
        <w:pStyle w:val="9"/>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1C689CAC">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项目编号/包号：</w:t>
      </w:r>
      <w:r>
        <w:rPr>
          <w:rFonts w:hint="eastAsia" w:ascii="仿宋" w:hAnsi="仿宋" w:eastAsia="仿宋" w:cs="仿宋"/>
          <w:color w:val="000000" w:themeColor="text1"/>
          <w:spacing w:val="-2"/>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项</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目名称：</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tbl>
      <w:tblPr>
        <w:tblStyle w:val="33"/>
        <w:tblW w:w="904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754"/>
        <w:gridCol w:w="1514"/>
        <w:gridCol w:w="1978"/>
        <w:gridCol w:w="1920"/>
        <w:gridCol w:w="1050"/>
      </w:tblGrid>
      <w:tr w14:paraId="31AC3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9" w:hRule="atLeast"/>
        </w:trPr>
        <w:tc>
          <w:tcPr>
            <w:tcW w:w="832" w:type="dxa"/>
            <w:tcBorders>
              <w:top w:val="single" w:color="auto" w:sz="4" w:space="0"/>
              <w:left w:val="single" w:color="auto" w:sz="4" w:space="0"/>
              <w:bottom w:val="single" w:color="auto" w:sz="4" w:space="0"/>
              <w:right w:val="single" w:color="auto" w:sz="4" w:space="0"/>
            </w:tcBorders>
            <w:vAlign w:val="center"/>
          </w:tcPr>
          <w:p w14:paraId="744F3F6F">
            <w:pPr>
              <w:pStyle w:val="34"/>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7"/>
                <w:sz w:val="21"/>
                <w:szCs w:val="21"/>
                <w:highlight w:val="none"/>
                <w14:textFill>
                  <w14:solidFill>
                    <w14:schemeClr w14:val="tx1"/>
                  </w14:solidFill>
                </w14:textFill>
              </w:rPr>
              <w:t>序号</w:t>
            </w:r>
          </w:p>
        </w:tc>
        <w:tc>
          <w:tcPr>
            <w:tcW w:w="1754" w:type="dxa"/>
            <w:tcBorders>
              <w:top w:val="single" w:color="auto" w:sz="4" w:space="0"/>
              <w:left w:val="single" w:color="auto" w:sz="4" w:space="0"/>
              <w:bottom w:val="single" w:color="auto" w:sz="4" w:space="0"/>
              <w:right w:val="single" w:color="auto" w:sz="4" w:space="0"/>
            </w:tcBorders>
            <w:vAlign w:val="center"/>
          </w:tcPr>
          <w:p w14:paraId="1F417412">
            <w:pPr>
              <w:pStyle w:val="34"/>
              <w:spacing w:line="360" w:lineRule="auto"/>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pacing w:val="-6"/>
                <w:sz w:val="21"/>
                <w:szCs w:val="21"/>
                <w:highlight w:val="none"/>
                <w:lang w:eastAsia="zh-CN"/>
                <w14:textFill>
                  <w14:solidFill>
                    <w14:schemeClr w14:val="tx1"/>
                  </w14:solidFill>
                </w14:textFill>
              </w:rPr>
              <w:t>竞争性磋</w:t>
            </w:r>
            <w:r>
              <w:rPr>
                <w:rFonts w:hint="eastAsia" w:ascii="仿宋" w:hAnsi="仿宋" w:eastAsia="仿宋" w:cs="仿宋"/>
                <w:color w:val="000000" w:themeColor="text1"/>
                <w:spacing w:val="-7"/>
                <w:sz w:val="21"/>
                <w:szCs w:val="21"/>
                <w:highlight w:val="none"/>
                <w:lang w:eastAsia="zh-CN"/>
                <w14:textFill>
                  <w14:solidFill>
                    <w14:schemeClr w14:val="tx1"/>
                  </w14:solidFill>
                </w14:textFill>
              </w:rPr>
              <w:t>商文件条</w:t>
            </w:r>
          </w:p>
          <w:p w14:paraId="2D0E9C00">
            <w:pPr>
              <w:pStyle w:val="34"/>
              <w:spacing w:line="360" w:lineRule="auto"/>
              <w:ind w:hanging="193"/>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pacing w:val="-17"/>
                <w:sz w:val="21"/>
                <w:szCs w:val="21"/>
                <w:highlight w:val="none"/>
                <w:lang w:eastAsia="zh-CN"/>
                <w14:textFill>
                  <w14:solidFill>
                    <w14:schemeClr w14:val="tx1"/>
                  </w14:solidFill>
                </w14:textFill>
              </w:rPr>
              <w:t>目号（页</w:t>
            </w:r>
            <w:r>
              <w:rPr>
                <w:rFonts w:hint="eastAsia" w:ascii="仿宋" w:hAnsi="仿宋" w:eastAsia="仿宋" w:cs="仿宋"/>
                <w:color w:val="000000" w:themeColor="text1"/>
                <w:spacing w:val="-7"/>
                <w:sz w:val="21"/>
                <w:szCs w:val="21"/>
                <w:highlight w:val="none"/>
                <w:lang w:eastAsia="zh-CN"/>
                <w14:textFill>
                  <w14:solidFill>
                    <w14:schemeClr w14:val="tx1"/>
                  </w14:solidFill>
                </w14:textFill>
              </w:rPr>
              <w:t>码）</w:t>
            </w:r>
          </w:p>
        </w:tc>
        <w:tc>
          <w:tcPr>
            <w:tcW w:w="1514" w:type="dxa"/>
            <w:tcBorders>
              <w:top w:val="single" w:color="auto" w:sz="4" w:space="0"/>
              <w:left w:val="single" w:color="auto" w:sz="4" w:space="0"/>
              <w:bottom w:val="single" w:color="auto" w:sz="4" w:space="0"/>
              <w:right w:val="single" w:color="auto" w:sz="4" w:space="0"/>
            </w:tcBorders>
            <w:vAlign w:val="center"/>
          </w:tcPr>
          <w:p w14:paraId="24836E17">
            <w:pPr>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p>
          <w:p w14:paraId="612323C6">
            <w:pPr>
              <w:pStyle w:val="34"/>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5"/>
                <w:sz w:val="21"/>
                <w:szCs w:val="21"/>
                <w:highlight w:val="none"/>
                <w14:textFill>
                  <w14:solidFill>
                    <w14:schemeClr w14:val="tx1"/>
                  </w14:solidFill>
                </w14:textFill>
              </w:rPr>
              <w:t>竞争性磋商文件</w:t>
            </w:r>
            <w:r>
              <w:rPr>
                <w:rFonts w:hint="eastAsia" w:ascii="仿宋" w:hAnsi="仿宋" w:eastAsia="仿宋" w:cs="仿宋"/>
                <w:color w:val="000000" w:themeColor="text1"/>
                <w:spacing w:val="-8"/>
                <w:sz w:val="21"/>
                <w:szCs w:val="21"/>
                <w:highlight w:val="none"/>
                <w14:textFill>
                  <w14:solidFill>
                    <w14:schemeClr w14:val="tx1"/>
                  </w14:solidFill>
                </w14:textFill>
              </w:rPr>
              <w:t>要求</w:t>
            </w:r>
          </w:p>
        </w:tc>
        <w:tc>
          <w:tcPr>
            <w:tcW w:w="1978" w:type="dxa"/>
            <w:tcBorders>
              <w:top w:val="single" w:color="auto" w:sz="4" w:space="0"/>
              <w:left w:val="single" w:color="auto" w:sz="4" w:space="0"/>
              <w:bottom w:val="single" w:color="auto" w:sz="4" w:space="0"/>
              <w:right w:val="single" w:color="auto" w:sz="4" w:space="0"/>
            </w:tcBorders>
            <w:vAlign w:val="center"/>
          </w:tcPr>
          <w:p w14:paraId="1C203E58">
            <w:pPr>
              <w:spacing w:line="360" w:lineRule="auto"/>
              <w:jc w:val="center"/>
              <w:rPr>
                <w:rFonts w:hint="eastAsia" w:ascii="仿宋" w:hAnsi="仿宋" w:eastAsia="仿宋" w:cs="仿宋"/>
                <w:color w:val="000000" w:themeColor="text1"/>
                <w:highlight w:val="none"/>
                <w14:textFill>
                  <w14:solidFill>
                    <w14:schemeClr w14:val="tx1"/>
                  </w14:solidFill>
                </w14:textFill>
              </w:rPr>
            </w:pPr>
          </w:p>
          <w:p w14:paraId="1C048086">
            <w:pPr>
              <w:pStyle w:val="34"/>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7"/>
                <w:sz w:val="21"/>
                <w:szCs w:val="21"/>
                <w:highlight w:val="none"/>
                <w14:textFill>
                  <w14:solidFill>
                    <w14:schemeClr w14:val="tx1"/>
                  </w14:solidFill>
                </w14:textFill>
              </w:rPr>
              <w:t>响应文件内容</w:t>
            </w:r>
          </w:p>
        </w:tc>
        <w:tc>
          <w:tcPr>
            <w:tcW w:w="1920" w:type="dxa"/>
            <w:tcBorders>
              <w:top w:val="single" w:color="auto" w:sz="4" w:space="0"/>
              <w:left w:val="single" w:color="auto" w:sz="4" w:space="0"/>
              <w:bottom w:val="single" w:color="auto" w:sz="4" w:space="0"/>
              <w:right w:val="single" w:color="auto" w:sz="4" w:space="0"/>
            </w:tcBorders>
            <w:vAlign w:val="center"/>
          </w:tcPr>
          <w:p w14:paraId="73C36440">
            <w:pPr>
              <w:spacing w:line="360" w:lineRule="auto"/>
              <w:jc w:val="center"/>
              <w:rPr>
                <w:rFonts w:hint="eastAsia" w:ascii="仿宋" w:hAnsi="仿宋" w:eastAsia="仿宋" w:cs="仿宋"/>
                <w:color w:val="000000" w:themeColor="text1"/>
                <w:highlight w:val="none"/>
                <w14:textFill>
                  <w14:solidFill>
                    <w14:schemeClr w14:val="tx1"/>
                  </w14:solidFill>
                </w14:textFill>
              </w:rPr>
            </w:pPr>
          </w:p>
          <w:p w14:paraId="29E9E7B5">
            <w:pPr>
              <w:pStyle w:val="34"/>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5"/>
                <w:sz w:val="21"/>
                <w:szCs w:val="21"/>
                <w:highlight w:val="none"/>
                <w14:textFill>
                  <w14:solidFill>
                    <w14:schemeClr w14:val="tx1"/>
                  </w14:solidFill>
                </w14:textFill>
              </w:rPr>
              <w:t>偏离情况</w:t>
            </w:r>
          </w:p>
        </w:tc>
        <w:tc>
          <w:tcPr>
            <w:tcW w:w="1050" w:type="dxa"/>
            <w:tcBorders>
              <w:top w:val="single" w:color="auto" w:sz="4" w:space="0"/>
              <w:left w:val="single" w:color="auto" w:sz="4" w:space="0"/>
              <w:bottom w:val="single" w:color="auto" w:sz="4" w:space="0"/>
              <w:right w:val="single" w:color="auto" w:sz="4" w:space="0"/>
            </w:tcBorders>
            <w:vAlign w:val="center"/>
          </w:tcPr>
          <w:p w14:paraId="0D6AD95B">
            <w:pPr>
              <w:spacing w:line="360" w:lineRule="auto"/>
              <w:jc w:val="center"/>
              <w:rPr>
                <w:rFonts w:hint="eastAsia" w:ascii="仿宋" w:hAnsi="仿宋" w:eastAsia="仿宋" w:cs="仿宋"/>
                <w:color w:val="000000" w:themeColor="text1"/>
                <w:highlight w:val="none"/>
                <w14:textFill>
                  <w14:solidFill>
                    <w14:schemeClr w14:val="tx1"/>
                  </w14:solidFill>
                </w14:textFill>
              </w:rPr>
            </w:pPr>
          </w:p>
          <w:p w14:paraId="5721404A">
            <w:pPr>
              <w:pStyle w:val="34"/>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9"/>
                <w:sz w:val="21"/>
                <w:szCs w:val="21"/>
                <w:highlight w:val="none"/>
                <w14:textFill>
                  <w14:solidFill>
                    <w14:schemeClr w14:val="tx1"/>
                  </w14:solidFill>
                </w14:textFill>
              </w:rPr>
              <w:t>说明</w:t>
            </w:r>
          </w:p>
        </w:tc>
      </w:tr>
      <w:tr w14:paraId="19CE4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9048" w:type="dxa"/>
            <w:gridSpan w:val="6"/>
            <w:tcBorders>
              <w:top w:val="single" w:color="auto" w:sz="4" w:space="0"/>
              <w:left w:val="single" w:color="auto" w:sz="4" w:space="0"/>
              <w:bottom w:val="single" w:color="auto" w:sz="4" w:space="0"/>
              <w:right w:val="single" w:color="auto" w:sz="4" w:space="0"/>
            </w:tcBorders>
          </w:tcPr>
          <w:p w14:paraId="366B7428">
            <w:pPr>
              <w:spacing w:before="40" w:line="196" w:lineRule="auto"/>
              <w:ind w:left="112"/>
              <w:rPr>
                <w:rFonts w:hint="eastAsia" w:ascii="仿宋" w:hAnsi="仿宋" w:eastAsia="仿宋" w:cs="仿宋"/>
                <w:b/>
                <w:bCs/>
                <w:color w:val="000000" w:themeColor="text1"/>
                <w:spacing w:val="-5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对本项目合同条款的偏离情况（</w:t>
            </w:r>
            <w:r>
              <w:rPr>
                <w:rFonts w:hint="eastAsia" w:ascii="仿宋" w:hAnsi="仿宋" w:eastAsia="仿宋" w:cs="仿宋"/>
                <w:color w:val="000000" w:themeColor="text1"/>
                <w:sz w:val="24"/>
                <w:szCs w:val="24"/>
                <w:highlight w:val="none"/>
                <w:lang w:eastAsia="zh-CN"/>
                <w14:textFill>
                  <w14:solidFill>
                    <w14:schemeClr w14:val="tx1"/>
                  </w14:solidFill>
                </w14:textFill>
              </w:rPr>
              <w:t>应进行选择，未选择</w:t>
            </w:r>
            <w:r>
              <w:rPr>
                <w:rFonts w:hint="eastAsia" w:ascii="仿宋" w:hAnsi="仿宋" w:eastAsia="仿宋" w:cs="仿宋"/>
                <w:b/>
                <w:bCs/>
                <w:color w:val="000000" w:themeColor="text1"/>
                <w:sz w:val="24"/>
                <w:szCs w:val="24"/>
                <w:highlight w:val="none"/>
                <w:lang w:eastAsia="zh-CN"/>
                <w14:textFill>
                  <w14:solidFill>
                    <w14:schemeClr w14:val="tx1"/>
                  </w14:solidFill>
                </w14:textFill>
              </w:rPr>
              <w:t>响应无效</w:t>
            </w:r>
            <w:r>
              <w:rPr>
                <w:rFonts w:hint="eastAsia" w:ascii="仿宋" w:hAnsi="仿宋" w:eastAsia="仿宋" w:cs="仿宋"/>
                <w:b/>
                <w:bCs/>
                <w:color w:val="000000" w:themeColor="text1"/>
                <w:spacing w:val="-51"/>
                <w:sz w:val="24"/>
                <w:szCs w:val="24"/>
                <w:highlight w:val="none"/>
                <w:lang w:eastAsia="zh-CN"/>
                <w14:textFill>
                  <w14:solidFill>
                    <w14:schemeClr w14:val="tx1"/>
                  </w14:solidFill>
                </w14:textFill>
              </w:rPr>
              <w:t>）：</w:t>
            </w:r>
          </w:p>
          <w:p w14:paraId="5353E571">
            <w:pPr>
              <w:spacing w:before="40" w:line="196" w:lineRule="auto"/>
              <w:ind w:left="112" w:firstLine="486"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□无偏离</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（如无偏离，仅选择无偏离即可；无偏离即为</w:t>
            </w:r>
            <w:r>
              <w:rPr>
                <w:rFonts w:hint="eastAsia" w:ascii="仿宋" w:hAnsi="仿宋" w:eastAsia="仿宋" w:cs="仿宋"/>
                <w:color w:val="000000" w:themeColor="text1"/>
                <w:sz w:val="24"/>
                <w:szCs w:val="24"/>
                <w:highlight w:val="none"/>
                <w:lang w:eastAsia="zh-CN"/>
                <w14:textFill>
                  <w14:solidFill>
                    <w14:schemeClr w14:val="tx1"/>
                  </w14:solidFill>
                </w14:textFill>
              </w:rPr>
              <w:t>对合同条款中的所有要求，均视</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作供应商已对之理解和响应。）</w:t>
            </w:r>
          </w:p>
          <w:p w14:paraId="549601C2">
            <w:pPr>
              <w:spacing w:before="40" w:line="196" w:lineRule="auto"/>
              <w:ind w:left="112" w:firstLine="486"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□有偏离</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（如有偏离，则应在本表中对负偏离项逐一列</w:t>
            </w:r>
            <w:r>
              <w:rPr>
                <w:rFonts w:hint="eastAsia" w:ascii="仿宋" w:hAnsi="仿宋" w:eastAsia="仿宋" w:cs="仿宋"/>
                <w:color w:val="000000" w:themeColor="text1"/>
                <w:sz w:val="24"/>
                <w:szCs w:val="24"/>
                <w:highlight w:val="none"/>
                <w:lang w:eastAsia="zh-CN"/>
                <w14:textFill>
                  <w14:solidFill>
                    <w14:schemeClr w14:val="tx1"/>
                  </w14:solidFill>
                </w14:textFill>
              </w:rPr>
              <w:t>明，否则</w:t>
            </w:r>
            <w:r>
              <w:rPr>
                <w:rFonts w:hint="eastAsia" w:ascii="仿宋" w:hAnsi="仿宋" w:eastAsia="仿宋" w:cs="仿宋"/>
                <w:b/>
                <w:bCs/>
                <w:color w:val="000000" w:themeColor="text1"/>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z w:val="24"/>
                <w:szCs w:val="24"/>
                <w:highlight w:val="none"/>
                <w:lang w:eastAsia="zh-CN"/>
                <w14:textFill>
                  <w14:solidFill>
                    <w14:schemeClr w14:val="tx1"/>
                  </w14:solidFill>
                </w14:textFill>
              </w:rPr>
              <w:t>；对合同条款</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中的所有要求，除本表列明的偏离外</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，均视作供应商已对之理解</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和响应。</w:t>
            </w:r>
            <w:r>
              <w:rPr>
                <w:rFonts w:hint="eastAsia" w:ascii="仿宋" w:hAnsi="仿宋" w:eastAsia="仿宋" w:cs="仿宋"/>
                <w:color w:val="000000" w:themeColor="text1"/>
                <w:spacing w:val="-6"/>
                <w:sz w:val="24"/>
                <w:szCs w:val="24"/>
                <w:highlight w:val="none"/>
                <w14:textFill>
                  <w14:solidFill>
                    <w14:schemeClr w14:val="tx1"/>
                  </w14:solidFill>
                </w14:textFill>
              </w:rPr>
              <w:t>）</w:t>
            </w:r>
          </w:p>
        </w:tc>
      </w:tr>
      <w:tr w14:paraId="25938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832" w:type="dxa"/>
            <w:tcBorders>
              <w:top w:val="single" w:color="auto" w:sz="4" w:space="0"/>
              <w:left w:val="single" w:color="auto" w:sz="4" w:space="0"/>
              <w:bottom w:val="single" w:color="auto" w:sz="4" w:space="0"/>
              <w:right w:val="single" w:color="auto" w:sz="4" w:space="0"/>
            </w:tcBorders>
          </w:tcPr>
          <w:p w14:paraId="19108369">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754" w:type="dxa"/>
            <w:tcBorders>
              <w:top w:val="single" w:color="auto" w:sz="4" w:space="0"/>
              <w:left w:val="single" w:color="auto" w:sz="4" w:space="0"/>
              <w:bottom w:val="single" w:color="auto" w:sz="4" w:space="0"/>
              <w:right w:val="single" w:color="auto" w:sz="4" w:space="0"/>
            </w:tcBorders>
          </w:tcPr>
          <w:p w14:paraId="298E2258">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14" w:type="dxa"/>
            <w:tcBorders>
              <w:top w:val="single" w:color="auto" w:sz="4" w:space="0"/>
              <w:left w:val="single" w:color="auto" w:sz="4" w:space="0"/>
              <w:bottom w:val="single" w:color="auto" w:sz="4" w:space="0"/>
              <w:right w:val="single" w:color="auto" w:sz="4" w:space="0"/>
            </w:tcBorders>
          </w:tcPr>
          <w:p w14:paraId="4CC86395">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tcPr>
          <w:p w14:paraId="3EA12E42">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20" w:type="dxa"/>
            <w:tcBorders>
              <w:top w:val="single" w:color="auto" w:sz="4" w:space="0"/>
              <w:left w:val="single" w:color="auto" w:sz="4" w:space="0"/>
              <w:bottom w:val="single" w:color="auto" w:sz="4" w:space="0"/>
              <w:right w:val="single" w:color="auto" w:sz="4" w:space="0"/>
            </w:tcBorders>
          </w:tcPr>
          <w:p w14:paraId="48787FBB">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14:paraId="51C8F609">
            <w:pPr>
              <w:spacing w:line="360" w:lineRule="auto"/>
              <w:rPr>
                <w:rFonts w:hint="eastAsia" w:ascii="仿宋" w:hAnsi="仿宋" w:eastAsia="仿宋" w:cs="仿宋"/>
                <w:color w:val="000000" w:themeColor="text1"/>
                <w:highlight w:val="none"/>
                <w14:textFill>
                  <w14:solidFill>
                    <w14:schemeClr w14:val="tx1"/>
                  </w14:solidFill>
                </w14:textFill>
              </w:rPr>
            </w:pPr>
          </w:p>
        </w:tc>
      </w:tr>
      <w:tr w14:paraId="3AF1F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832" w:type="dxa"/>
            <w:tcBorders>
              <w:top w:val="single" w:color="auto" w:sz="4" w:space="0"/>
              <w:left w:val="single" w:color="auto" w:sz="4" w:space="0"/>
              <w:bottom w:val="single" w:color="auto" w:sz="4" w:space="0"/>
              <w:right w:val="single" w:color="auto" w:sz="4" w:space="0"/>
            </w:tcBorders>
          </w:tcPr>
          <w:p w14:paraId="28AB96EC">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754" w:type="dxa"/>
            <w:tcBorders>
              <w:top w:val="single" w:color="auto" w:sz="4" w:space="0"/>
              <w:left w:val="single" w:color="auto" w:sz="4" w:space="0"/>
              <w:bottom w:val="single" w:color="auto" w:sz="4" w:space="0"/>
              <w:right w:val="single" w:color="auto" w:sz="4" w:space="0"/>
            </w:tcBorders>
          </w:tcPr>
          <w:p w14:paraId="59C9B6FF">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14" w:type="dxa"/>
            <w:tcBorders>
              <w:top w:val="single" w:color="auto" w:sz="4" w:space="0"/>
              <w:left w:val="single" w:color="auto" w:sz="4" w:space="0"/>
              <w:bottom w:val="single" w:color="auto" w:sz="4" w:space="0"/>
              <w:right w:val="single" w:color="auto" w:sz="4" w:space="0"/>
            </w:tcBorders>
          </w:tcPr>
          <w:p w14:paraId="2A7E379E">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tcPr>
          <w:p w14:paraId="47288037">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20" w:type="dxa"/>
            <w:tcBorders>
              <w:top w:val="single" w:color="auto" w:sz="4" w:space="0"/>
              <w:left w:val="single" w:color="auto" w:sz="4" w:space="0"/>
              <w:bottom w:val="single" w:color="auto" w:sz="4" w:space="0"/>
              <w:right w:val="single" w:color="auto" w:sz="4" w:space="0"/>
            </w:tcBorders>
          </w:tcPr>
          <w:p w14:paraId="77CB9352">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14:paraId="57DFACB8">
            <w:pPr>
              <w:spacing w:line="360" w:lineRule="auto"/>
              <w:rPr>
                <w:rFonts w:hint="eastAsia" w:ascii="仿宋" w:hAnsi="仿宋" w:eastAsia="仿宋" w:cs="仿宋"/>
                <w:color w:val="000000" w:themeColor="text1"/>
                <w:highlight w:val="none"/>
                <w14:textFill>
                  <w14:solidFill>
                    <w14:schemeClr w14:val="tx1"/>
                  </w14:solidFill>
                </w14:textFill>
              </w:rPr>
            </w:pPr>
          </w:p>
        </w:tc>
      </w:tr>
      <w:tr w14:paraId="696E6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2" w:type="dxa"/>
            <w:tcBorders>
              <w:top w:val="single" w:color="auto" w:sz="4" w:space="0"/>
              <w:left w:val="single" w:color="auto" w:sz="4" w:space="0"/>
              <w:bottom w:val="single" w:color="auto" w:sz="4" w:space="0"/>
              <w:right w:val="single" w:color="auto" w:sz="4" w:space="0"/>
            </w:tcBorders>
          </w:tcPr>
          <w:p w14:paraId="6FFC3646">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754" w:type="dxa"/>
            <w:tcBorders>
              <w:top w:val="single" w:color="auto" w:sz="4" w:space="0"/>
              <w:left w:val="single" w:color="auto" w:sz="4" w:space="0"/>
              <w:bottom w:val="single" w:color="auto" w:sz="4" w:space="0"/>
              <w:right w:val="single" w:color="auto" w:sz="4" w:space="0"/>
            </w:tcBorders>
          </w:tcPr>
          <w:p w14:paraId="39BB18C9">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14" w:type="dxa"/>
            <w:tcBorders>
              <w:top w:val="single" w:color="auto" w:sz="4" w:space="0"/>
              <w:left w:val="single" w:color="auto" w:sz="4" w:space="0"/>
              <w:bottom w:val="single" w:color="auto" w:sz="4" w:space="0"/>
              <w:right w:val="single" w:color="auto" w:sz="4" w:space="0"/>
            </w:tcBorders>
          </w:tcPr>
          <w:p w14:paraId="59B2AC83">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tcPr>
          <w:p w14:paraId="36910118">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20" w:type="dxa"/>
            <w:tcBorders>
              <w:top w:val="single" w:color="auto" w:sz="4" w:space="0"/>
              <w:left w:val="single" w:color="auto" w:sz="4" w:space="0"/>
              <w:bottom w:val="single" w:color="auto" w:sz="4" w:space="0"/>
              <w:right w:val="single" w:color="auto" w:sz="4" w:space="0"/>
            </w:tcBorders>
          </w:tcPr>
          <w:p w14:paraId="73E3D7F2">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14:paraId="06E06424">
            <w:pPr>
              <w:spacing w:line="360" w:lineRule="auto"/>
              <w:rPr>
                <w:rFonts w:hint="eastAsia" w:ascii="仿宋" w:hAnsi="仿宋" w:eastAsia="仿宋" w:cs="仿宋"/>
                <w:color w:val="000000" w:themeColor="text1"/>
                <w:highlight w:val="none"/>
                <w14:textFill>
                  <w14:solidFill>
                    <w14:schemeClr w14:val="tx1"/>
                  </w14:solidFill>
                </w14:textFill>
              </w:rPr>
            </w:pPr>
          </w:p>
        </w:tc>
      </w:tr>
      <w:tr w14:paraId="3B456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2" w:type="dxa"/>
            <w:tcBorders>
              <w:top w:val="single" w:color="auto" w:sz="4" w:space="0"/>
              <w:left w:val="single" w:color="auto" w:sz="4" w:space="0"/>
              <w:bottom w:val="single" w:color="auto" w:sz="4" w:space="0"/>
              <w:right w:val="single" w:color="auto" w:sz="4" w:space="0"/>
            </w:tcBorders>
          </w:tcPr>
          <w:p w14:paraId="4C0DD7D8">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754" w:type="dxa"/>
            <w:tcBorders>
              <w:top w:val="single" w:color="auto" w:sz="4" w:space="0"/>
              <w:left w:val="single" w:color="auto" w:sz="4" w:space="0"/>
              <w:bottom w:val="single" w:color="auto" w:sz="4" w:space="0"/>
              <w:right w:val="single" w:color="auto" w:sz="4" w:space="0"/>
            </w:tcBorders>
          </w:tcPr>
          <w:p w14:paraId="4A1E588D">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14" w:type="dxa"/>
            <w:tcBorders>
              <w:top w:val="single" w:color="auto" w:sz="4" w:space="0"/>
              <w:left w:val="single" w:color="auto" w:sz="4" w:space="0"/>
              <w:bottom w:val="single" w:color="auto" w:sz="4" w:space="0"/>
              <w:right w:val="single" w:color="auto" w:sz="4" w:space="0"/>
            </w:tcBorders>
          </w:tcPr>
          <w:p w14:paraId="09380652">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tcPr>
          <w:p w14:paraId="45573D3F">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20" w:type="dxa"/>
            <w:tcBorders>
              <w:top w:val="single" w:color="auto" w:sz="4" w:space="0"/>
              <w:left w:val="single" w:color="auto" w:sz="4" w:space="0"/>
              <w:bottom w:val="single" w:color="auto" w:sz="4" w:space="0"/>
              <w:right w:val="single" w:color="auto" w:sz="4" w:space="0"/>
            </w:tcBorders>
          </w:tcPr>
          <w:p w14:paraId="3ED58256">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14:paraId="1FF5FF07">
            <w:pPr>
              <w:spacing w:line="360" w:lineRule="auto"/>
              <w:rPr>
                <w:rFonts w:hint="eastAsia" w:ascii="仿宋" w:hAnsi="仿宋" w:eastAsia="仿宋" w:cs="仿宋"/>
                <w:color w:val="000000" w:themeColor="text1"/>
                <w:highlight w:val="none"/>
                <w14:textFill>
                  <w14:solidFill>
                    <w14:schemeClr w14:val="tx1"/>
                  </w14:solidFill>
                </w14:textFill>
              </w:rPr>
            </w:pPr>
          </w:p>
        </w:tc>
      </w:tr>
      <w:tr w14:paraId="253AB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2" w:type="dxa"/>
            <w:tcBorders>
              <w:top w:val="single" w:color="auto" w:sz="4" w:space="0"/>
            </w:tcBorders>
          </w:tcPr>
          <w:p w14:paraId="7030E5C5">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754" w:type="dxa"/>
            <w:tcBorders>
              <w:top w:val="single" w:color="auto" w:sz="4" w:space="0"/>
            </w:tcBorders>
          </w:tcPr>
          <w:p w14:paraId="1EEBAC82">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14" w:type="dxa"/>
            <w:tcBorders>
              <w:top w:val="single" w:color="auto" w:sz="4" w:space="0"/>
            </w:tcBorders>
          </w:tcPr>
          <w:p w14:paraId="5245A71B">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78" w:type="dxa"/>
            <w:tcBorders>
              <w:top w:val="single" w:color="auto" w:sz="4" w:space="0"/>
            </w:tcBorders>
          </w:tcPr>
          <w:p w14:paraId="55289345">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20" w:type="dxa"/>
            <w:tcBorders>
              <w:top w:val="single" w:color="auto" w:sz="4" w:space="0"/>
            </w:tcBorders>
          </w:tcPr>
          <w:p w14:paraId="10A69D74">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50" w:type="dxa"/>
            <w:tcBorders>
              <w:top w:val="single" w:color="auto" w:sz="4" w:space="0"/>
            </w:tcBorders>
          </w:tcPr>
          <w:p w14:paraId="62F32762">
            <w:pPr>
              <w:spacing w:line="360" w:lineRule="auto"/>
              <w:rPr>
                <w:rFonts w:hint="eastAsia" w:ascii="仿宋" w:hAnsi="仿宋" w:eastAsia="仿宋" w:cs="仿宋"/>
                <w:color w:val="000000" w:themeColor="text1"/>
                <w:highlight w:val="none"/>
                <w14:textFill>
                  <w14:solidFill>
                    <w14:schemeClr w14:val="tx1"/>
                  </w14:solidFill>
                </w14:textFill>
              </w:rPr>
            </w:pPr>
          </w:p>
        </w:tc>
      </w:tr>
    </w:tbl>
    <w:p w14:paraId="5862A223">
      <w:pPr>
        <w:pStyle w:val="9"/>
        <w:spacing w:line="360" w:lineRule="auto"/>
        <w:rPr>
          <w:rFonts w:hint="eastAsia" w:ascii="仿宋" w:hAnsi="仿宋" w:eastAsia="仿宋" w:cs="仿宋"/>
          <w:color w:val="000000" w:themeColor="text1"/>
          <w:highlight w:val="none"/>
          <w14:textFill>
            <w14:solidFill>
              <w14:schemeClr w14:val="tx1"/>
            </w14:solidFill>
          </w14:textFill>
        </w:rPr>
      </w:pPr>
    </w:p>
    <w:p w14:paraId="5AF2EC69">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注：“偏离情况”列应据实填写“正偏离”或“负偏离”。</w:t>
      </w:r>
    </w:p>
    <w:p w14:paraId="34644DDD">
      <w:pPr>
        <w:pStyle w:val="9"/>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070BE956">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供应商名称（加盖公章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6F0337BF">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697E7A5E">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34" w:type="default"/>
          <w:footerReference r:id="rId35" w:type="default"/>
          <w:pgSz w:w="11907" w:h="16839"/>
          <w:pgMar w:top="1417" w:right="1417" w:bottom="1417" w:left="1417" w:header="1191" w:footer="850" w:gutter="0"/>
          <w:pgNumType w:fmt="decimal"/>
          <w:cols w:space="720" w:num="1"/>
        </w:sectPr>
      </w:pPr>
    </w:p>
    <w:p w14:paraId="34295C37">
      <w:pPr>
        <w:spacing w:line="360" w:lineRule="auto"/>
        <w:outlineLvl w:val="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val="en-US" w:eastAsia="zh-CN"/>
          <w14:textFill>
            <w14:solidFill>
              <w14:schemeClr w14:val="tx1"/>
            </w14:solidFill>
          </w14:textFill>
        </w:rPr>
        <w:t>11</w:t>
      </w:r>
      <w:r>
        <w:rPr>
          <w:rFonts w:hint="eastAsia" w:ascii="仿宋" w:hAnsi="仿宋" w:eastAsia="仿宋" w:cs="仿宋"/>
          <w:color w:val="000000" w:themeColor="text1"/>
          <w:spacing w:val="-4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采购需求偏离表</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（实质性格式）</w:t>
      </w:r>
    </w:p>
    <w:p w14:paraId="3533A927">
      <w:pPr>
        <w:spacing w:line="360" w:lineRule="auto"/>
        <w:jc w:val="center"/>
        <w:rPr>
          <w:rFonts w:hint="eastAsia" w:ascii="仿宋" w:hAnsi="仿宋" w:eastAsia="仿宋" w:cs="仿宋"/>
          <w:color w:val="000000" w:themeColor="text1"/>
          <w:spacing w:val="-5"/>
          <w:sz w:val="36"/>
          <w:szCs w:val="36"/>
          <w:highlight w:val="none"/>
          <w:lang w:eastAsia="zh-CN"/>
          <w14:textFill>
            <w14:solidFill>
              <w14:schemeClr w14:val="tx1"/>
            </w14:solidFill>
          </w14:textFill>
        </w:rPr>
      </w:pPr>
    </w:p>
    <w:p w14:paraId="31C36B52">
      <w:pPr>
        <w:spacing w:line="360" w:lineRule="auto"/>
        <w:jc w:val="center"/>
        <w:rPr>
          <w:rFonts w:hint="eastAsia" w:ascii="仿宋" w:hAnsi="仿宋" w:eastAsia="仿宋" w:cs="仿宋"/>
          <w:color w:val="000000" w:themeColor="text1"/>
          <w:sz w:val="36"/>
          <w:szCs w:val="36"/>
          <w:highlight w:val="none"/>
          <w:lang w:eastAsia="zh-CN"/>
          <w14:textFill>
            <w14:solidFill>
              <w14:schemeClr w14:val="tx1"/>
            </w14:solidFill>
          </w14:textFill>
        </w:rPr>
      </w:pPr>
      <w:r>
        <w:rPr>
          <w:rFonts w:hint="eastAsia" w:ascii="仿宋" w:hAnsi="仿宋" w:eastAsia="仿宋" w:cs="仿宋"/>
          <w:color w:val="000000" w:themeColor="text1"/>
          <w:spacing w:val="-5"/>
          <w:sz w:val="36"/>
          <w:szCs w:val="36"/>
          <w:highlight w:val="none"/>
          <w:lang w:eastAsia="zh-CN"/>
          <w14:textFill>
            <w14:solidFill>
              <w14:schemeClr w14:val="tx1"/>
            </w14:solidFill>
          </w14:textFill>
        </w:rPr>
        <w:t>采购需求偏离表</w:t>
      </w:r>
    </w:p>
    <w:p w14:paraId="30F8EB40">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项目编号/包号：</w:t>
      </w:r>
      <w:r>
        <w:rPr>
          <w:rFonts w:hint="eastAsia" w:ascii="仿宋" w:hAnsi="仿宋" w:eastAsia="仿宋" w:cs="仿宋"/>
          <w:color w:val="000000" w:themeColor="text1"/>
          <w:spacing w:val="-2"/>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项</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目名称：</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tbl>
      <w:tblPr>
        <w:tblStyle w:val="33"/>
        <w:tblW w:w="909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1"/>
        <w:gridCol w:w="1568"/>
        <w:gridCol w:w="1852"/>
        <w:gridCol w:w="1032"/>
      </w:tblGrid>
      <w:tr w14:paraId="17DDD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779" w:type="dxa"/>
            <w:tcBorders>
              <w:top w:val="single" w:color="auto" w:sz="4" w:space="0"/>
              <w:left w:val="single" w:color="auto" w:sz="4" w:space="0"/>
              <w:bottom w:val="single" w:color="auto" w:sz="4" w:space="0"/>
              <w:right w:val="single" w:color="auto" w:sz="4" w:space="0"/>
            </w:tcBorders>
          </w:tcPr>
          <w:p w14:paraId="5865D482">
            <w:pPr>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p>
          <w:p w14:paraId="55966C65">
            <w:pPr>
              <w:pStyle w:val="34"/>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7"/>
                <w:highlight w:val="none"/>
                <w14:textFill>
                  <w14:solidFill>
                    <w14:schemeClr w14:val="tx1"/>
                  </w14:solidFill>
                </w14:textFill>
              </w:rPr>
              <w:t>序号</w:t>
            </w:r>
          </w:p>
        </w:tc>
        <w:tc>
          <w:tcPr>
            <w:tcW w:w="1481" w:type="dxa"/>
            <w:tcBorders>
              <w:top w:val="single" w:color="auto" w:sz="4" w:space="0"/>
              <w:left w:val="single" w:color="auto" w:sz="4" w:space="0"/>
              <w:bottom w:val="single" w:color="auto" w:sz="4" w:space="0"/>
              <w:right w:val="single" w:color="auto" w:sz="4" w:space="0"/>
            </w:tcBorders>
          </w:tcPr>
          <w:p w14:paraId="06C9517C">
            <w:pPr>
              <w:pStyle w:val="34"/>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5"/>
                <w:highlight w:val="none"/>
                <w:lang w:eastAsia="zh-CN"/>
                <w14:textFill>
                  <w14:solidFill>
                    <w14:schemeClr w14:val="tx1"/>
                  </w14:solidFill>
                </w14:textFill>
              </w:rPr>
              <w:t>竞争性磋商</w:t>
            </w:r>
          </w:p>
          <w:p w14:paraId="7447C002">
            <w:pPr>
              <w:pStyle w:val="34"/>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5"/>
                <w:highlight w:val="none"/>
                <w:lang w:eastAsia="zh-CN"/>
                <w14:textFill>
                  <w14:solidFill>
                    <w14:schemeClr w14:val="tx1"/>
                  </w14:solidFill>
                </w14:textFill>
              </w:rPr>
              <w:t>文件条目号</w:t>
            </w:r>
          </w:p>
          <w:p w14:paraId="7F9E153E">
            <w:pPr>
              <w:pStyle w:val="34"/>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16"/>
                <w:highlight w:val="none"/>
                <w:lang w:eastAsia="zh-CN"/>
                <w14:textFill>
                  <w14:solidFill>
                    <w14:schemeClr w14:val="tx1"/>
                  </w14:solidFill>
                </w14:textFill>
              </w:rPr>
              <w:t>(页码)</w:t>
            </w:r>
          </w:p>
        </w:tc>
        <w:tc>
          <w:tcPr>
            <w:tcW w:w="2381" w:type="dxa"/>
            <w:tcBorders>
              <w:top w:val="single" w:color="auto" w:sz="4" w:space="0"/>
              <w:left w:val="single" w:color="auto" w:sz="4" w:space="0"/>
              <w:bottom w:val="single" w:color="auto" w:sz="4" w:space="0"/>
              <w:right w:val="single" w:color="auto" w:sz="4" w:space="0"/>
            </w:tcBorders>
          </w:tcPr>
          <w:p w14:paraId="6EA1E9ED">
            <w:pPr>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p>
          <w:p w14:paraId="5498136C">
            <w:pPr>
              <w:pStyle w:val="34"/>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4"/>
                <w:highlight w:val="none"/>
                <w14:textFill>
                  <w14:solidFill>
                    <w14:schemeClr w14:val="tx1"/>
                  </w14:solidFill>
                </w14:textFill>
              </w:rPr>
              <w:t>竞争性磋商文件要求</w:t>
            </w:r>
          </w:p>
        </w:tc>
        <w:tc>
          <w:tcPr>
            <w:tcW w:w="1568" w:type="dxa"/>
            <w:tcBorders>
              <w:top w:val="single" w:color="auto" w:sz="4" w:space="0"/>
              <w:left w:val="single" w:color="auto" w:sz="4" w:space="0"/>
              <w:bottom w:val="single" w:color="auto" w:sz="4" w:space="0"/>
              <w:right w:val="single" w:color="auto" w:sz="4" w:space="0"/>
            </w:tcBorders>
          </w:tcPr>
          <w:p w14:paraId="692DE67B">
            <w:pPr>
              <w:spacing w:line="360" w:lineRule="auto"/>
              <w:jc w:val="center"/>
              <w:rPr>
                <w:rFonts w:hint="eastAsia" w:ascii="仿宋" w:hAnsi="仿宋" w:eastAsia="仿宋" w:cs="仿宋"/>
                <w:color w:val="000000" w:themeColor="text1"/>
                <w:highlight w:val="none"/>
                <w14:textFill>
                  <w14:solidFill>
                    <w14:schemeClr w14:val="tx1"/>
                  </w14:solidFill>
                </w14:textFill>
              </w:rPr>
            </w:pPr>
          </w:p>
          <w:p w14:paraId="20EFEB21">
            <w:pPr>
              <w:pStyle w:val="34"/>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8"/>
                <w:highlight w:val="none"/>
                <w14:textFill>
                  <w14:solidFill>
                    <w14:schemeClr w14:val="tx1"/>
                  </w14:solidFill>
                </w14:textFill>
              </w:rPr>
              <w:t>响应内容</w:t>
            </w:r>
          </w:p>
        </w:tc>
        <w:tc>
          <w:tcPr>
            <w:tcW w:w="1852" w:type="dxa"/>
            <w:tcBorders>
              <w:top w:val="single" w:color="auto" w:sz="4" w:space="0"/>
              <w:left w:val="single" w:color="auto" w:sz="4" w:space="0"/>
              <w:bottom w:val="single" w:color="auto" w:sz="4" w:space="0"/>
              <w:right w:val="single" w:color="auto" w:sz="4" w:space="0"/>
            </w:tcBorders>
          </w:tcPr>
          <w:p w14:paraId="2F1C20CA">
            <w:pPr>
              <w:spacing w:line="360" w:lineRule="auto"/>
              <w:jc w:val="center"/>
              <w:rPr>
                <w:rFonts w:hint="eastAsia" w:ascii="仿宋" w:hAnsi="仿宋" w:eastAsia="仿宋" w:cs="仿宋"/>
                <w:color w:val="000000" w:themeColor="text1"/>
                <w:highlight w:val="none"/>
                <w14:textFill>
                  <w14:solidFill>
                    <w14:schemeClr w14:val="tx1"/>
                  </w14:solidFill>
                </w14:textFill>
              </w:rPr>
            </w:pPr>
          </w:p>
          <w:p w14:paraId="6522AA04">
            <w:pPr>
              <w:pStyle w:val="34"/>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5"/>
                <w:highlight w:val="none"/>
                <w14:textFill>
                  <w14:solidFill>
                    <w14:schemeClr w14:val="tx1"/>
                  </w14:solidFill>
                </w14:textFill>
              </w:rPr>
              <w:t>偏离情况</w:t>
            </w:r>
          </w:p>
        </w:tc>
        <w:tc>
          <w:tcPr>
            <w:tcW w:w="1032" w:type="dxa"/>
            <w:tcBorders>
              <w:top w:val="single" w:color="auto" w:sz="4" w:space="0"/>
              <w:left w:val="single" w:color="auto" w:sz="4" w:space="0"/>
              <w:bottom w:val="single" w:color="auto" w:sz="4" w:space="0"/>
              <w:right w:val="single" w:color="auto" w:sz="4" w:space="0"/>
            </w:tcBorders>
          </w:tcPr>
          <w:p w14:paraId="7DE143FA">
            <w:pPr>
              <w:spacing w:line="360" w:lineRule="auto"/>
              <w:jc w:val="center"/>
              <w:rPr>
                <w:rFonts w:hint="eastAsia" w:ascii="仿宋" w:hAnsi="仿宋" w:eastAsia="仿宋" w:cs="仿宋"/>
                <w:color w:val="000000" w:themeColor="text1"/>
                <w:highlight w:val="none"/>
                <w14:textFill>
                  <w14:solidFill>
                    <w14:schemeClr w14:val="tx1"/>
                  </w14:solidFill>
                </w14:textFill>
              </w:rPr>
            </w:pPr>
          </w:p>
          <w:p w14:paraId="45F9B692">
            <w:pPr>
              <w:pStyle w:val="34"/>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9"/>
                <w:highlight w:val="none"/>
                <w14:textFill>
                  <w14:solidFill>
                    <w14:schemeClr w14:val="tx1"/>
                  </w14:solidFill>
                </w14:textFill>
              </w:rPr>
              <w:t>说明</w:t>
            </w:r>
          </w:p>
        </w:tc>
      </w:tr>
      <w:tr w14:paraId="600D4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779" w:type="dxa"/>
            <w:tcBorders>
              <w:top w:val="single" w:color="auto" w:sz="4" w:space="0"/>
              <w:left w:val="single" w:color="auto" w:sz="4" w:space="0"/>
              <w:bottom w:val="single" w:color="auto" w:sz="4" w:space="0"/>
              <w:right w:val="single" w:color="auto" w:sz="4" w:space="0"/>
            </w:tcBorders>
          </w:tcPr>
          <w:p w14:paraId="347A058D">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481" w:type="dxa"/>
            <w:tcBorders>
              <w:top w:val="single" w:color="auto" w:sz="4" w:space="0"/>
              <w:left w:val="single" w:color="auto" w:sz="4" w:space="0"/>
              <w:bottom w:val="single" w:color="auto" w:sz="4" w:space="0"/>
              <w:right w:val="single" w:color="auto" w:sz="4" w:space="0"/>
            </w:tcBorders>
          </w:tcPr>
          <w:p w14:paraId="4833B608">
            <w:pPr>
              <w:spacing w:line="360" w:lineRule="auto"/>
              <w:rPr>
                <w:rFonts w:hint="eastAsia" w:ascii="仿宋" w:hAnsi="仿宋" w:eastAsia="仿宋" w:cs="仿宋"/>
                <w:color w:val="000000" w:themeColor="text1"/>
                <w:highlight w:val="none"/>
                <w14:textFill>
                  <w14:solidFill>
                    <w14:schemeClr w14:val="tx1"/>
                  </w14:solidFill>
                </w14:textFill>
              </w:rPr>
            </w:pPr>
          </w:p>
        </w:tc>
        <w:tc>
          <w:tcPr>
            <w:tcW w:w="2381" w:type="dxa"/>
            <w:tcBorders>
              <w:top w:val="single" w:color="auto" w:sz="4" w:space="0"/>
              <w:left w:val="single" w:color="auto" w:sz="4" w:space="0"/>
              <w:bottom w:val="single" w:color="auto" w:sz="4" w:space="0"/>
              <w:right w:val="single" w:color="auto" w:sz="4" w:space="0"/>
            </w:tcBorders>
          </w:tcPr>
          <w:p w14:paraId="02DB3983">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68" w:type="dxa"/>
            <w:tcBorders>
              <w:top w:val="single" w:color="auto" w:sz="4" w:space="0"/>
              <w:left w:val="single" w:color="auto" w:sz="4" w:space="0"/>
              <w:bottom w:val="single" w:color="auto" w:sz="4" w:space="0"/>
              <w:right w:val="single" w:color="auto" w:sz="4" w:space="0"/>
            </w:tcBorders>
          </w:tcPr>
          <w:p w14:paraId="2F39F995">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852" w:type="dxa"/>
            <w:tcBorders>
              <w:top w:val="single" w:color="auto" w:sz="4" w:space="0"/>
              <w:left w:val="single" w:color="auto" w:sz="4" w:space="0"/>
              <w:bottom w:val="single" w:color="auto" w:sz="4" w:space="0"/>
              <w:right w:val="single" w:color="auto" w:sz="4" w:space="0"/>
            </w:tcBorders>
          </w:tcPr>
          <w:p w14:paraId="5E289C4D">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tcPr>
          <w:p w14:paraId="57011847">
            <w:pPr>
              <w:spacing w:line="360" w:lineRule="auto"/>
              <w:rPr>
                <w:rFonts w:hint="eastAsia" w:ascii="仿宋" w:hAnsi="仿宋" w:eastAsia="仿宋" w:cs="仿宋"/>
                <w:color w:val="000000" w:themeColor="text1"/>
                <w:highlight w:val="none"/>
                <w14:textFill>
                  <w14:solidFill>
                    <w14:schemeClr w14:val="tx1"/>
                  </w14:solidFill>
                </w14:textFill>
              </w:rPr>
            </w:pPr>
          </w:p>
        </w:tc>
      </w:tr>
      <w:tr w14:paraId="01FF7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779" w:type="dxa"/>
            <w:tcBorders>
              <w:top w:val="single" w:color="auto" w:sz="4" w:space="0"/>
              <w:left w:val="single" w:color="auto" w:sz="4" w:space="0"/>
              <w:bottom w:val="single" w:color="auto" w:sz="4" w:space="0"/>
              <w:right w:val="single" w:color="auto" w:sz="4" w:space="0"/>
            </w:tcBorders>
          </w:tcPr>
          <w:p w14:paraId="779B44D4">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481" w:type="dxa"/>
            <w:tcBorders>
              <w:top w:val="single" w:color="auto" w:sz="4" w:space="0"/>
              <w:left w:val="single" w:color="auto" w:sz="4" w:space="0"/>
              <w:bottom w:val="single" w:color="auto" w:sz="4" w:space="0"/>
              <w:right w:val="single" w:color="auto" w:sz="4" w:space="0"/>
            </w:tcBorders>
          </w:tcPr>
          <w:p w14:paraId="1AAC7194">
            <w:pPr>
              <w:spacing w:line="360" w:lineRule="auto"/>
              <w:rPr>
                <w:rFonts w:hint="eastAsia" w:ascii="仿宋" w:hAnsi="仿宋" w:eastAsia="仿宋" w:cs="仿宋"/>
                <w:color w:val="000000" w:themeColor="text1"/>
                <w:highlight w:val="none"/>
                <w14:textFill>
                  <w14:solidFill>
                    <w14:schemeClr w14:val="tx1"/>
                  </w14:solidFill>
                </w14:textFill>
              </w:rPr>
            </w:pPr>
          </w:p>
        </w:tc>
        <w:tc>
          <w:tcPr>
            <w:tcW w:w="2381" w:type="dxa"/>
            <w:tcBorders>
              <w:top w:val="single" w:color="auto" w:sz="4" w:space="0"/>
              <w:left w:val="single" w:color="auto" w:sz="4" w:space="0"/>
              <w:bottom w:val="single" w:color="auto" w:sz="4" w:space="0"/>
              <w:right w:val="single" w:color="auto" w:sz="4" w:space="0"/>
            </w:tcBorders>
          </w:tcPr>
          <w:p w14:paraId="648DF848">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68" w:type="dxa"/>
            <w:tcBorders>
              <w:top w:val="single" w:color="auto" w:sz="4" w:space="0"/>
              <w:left w:val="single" w:color="auto" w:sz="4" w:space="0"/>
              <w:bottom w:val="single" w:color="auto" w:sz="4" w:space="0"/>
              <w:right w:val="single" w:color="auto" w:sz="4" w:space="0"/>
            </w:tcBorders>
          </w:tcPr>
          <w:p w14:paraId="357AC0DE">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852" w:type="dxa"/>
            <w:tcBorders>
              <w:top w:val="single" w:color="auto" w:sz="4" w:space="0"/>
              <w:left w:val="single" w:color="auto" w:sz="4" w:space="0"/>
              <w:bottom w:val="single" w:color="auto" w:sz="4" w:space="0"/>
              <w:right w:val="single" w:color="auto" w:sz="4" w:space="0"/>
            </w:tcBorders>
          </w:tcPr>
          <w:p w14:paraId="4145CEE7">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tcPr>
          <w:p w14:paraId="2E1F4DFC">
            <w:pPr>
              <w:spacing w:line="360" w:lineRule="auto"/>
              <w:rPr>
                <w:rFonts w:hint="eastAsia" w:ascii="仿宋" w:hAnsi="仿宋" w:eastAsia="仿宋" w:cs="仿宋"/>
                <w:color w:val="000000" w:themeColor="text1"/>
                <w:highlight w:val="none"/>
                <w14:textFill>
                  <w14:solidFill>
                    <w14:schemeClr w14:val="tx1"/>
                  </w14:solidFill>
                </w14:textFill>
              </w:rPr>
            </w:pPr>
          </w:p>
        </w:tc>
      </w:tr>
      <w:tr w14:paraId="1BC15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779" w:type="dxa"/>
            <w:tcBorders>
              <w:top w:val="single" w:color="auto" w:sz="4" w:space="0"/>
              <w:left w:val="single" w:color="auto" w:sz="4" w:space="0"/>
              <w:bottom w:val="single" w:color="auto" w:sz="4" w:space="0"/>
              <w:right w:val="single" w:color="auto" w:sz="4" w:space="0"/>
            </w:tcBorders>
          </w:tcPr>
          <w:p w14:paraId="416211DE">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481" w:type="dxa"/>
            <w:tcBorders>
              <w:top w:val="single" w:color="auto" w:sz="4" w:space="0"/>
              <w:left w:val="single" w:color="auto" w:sz="4" w:space="0"/>
              <w:bottom w:val="single" w:color="auto" w:sz="4" w:space="0"/>
              <w:right w:val="single" w:color="auto" w:sz="4" w:space="0"/>
            </w:tcBorders>
          </w:tcPr>
          <w:p w14:paraId="6A5440FF">
            <w:pPr>
              <w:spacing w:line="360" w:lineRule="auto"/>
              <w:rPr>
                <w:rFonts w:hint="eastAsia" w:ascii="仿宋" w:hAnsi="仿宋" w:eastAsia="仿宋" w:cs="仿宋"/>
                <w:color w:val="000000" w:themeColor="text1"/>
                <w:highlight w:val="none"/>
                <w14:textFill>
                  <w14:solidFill>
                    <w14:schemeClr w14:val="tx1"/>
                  </w14:solidFill>
                </w14:textFill>
              </w:rPr>
            </w:pPr>
          </w:p>
        </w:tc>
        <w:tc>
          <w:tcPr>
            <w:tcW w:w="2381" w:type="dxa"/>
            <w:tcBorders>
              <w:top w:val="single" w:color="auto" w:sz="4" w:space="0"/>
              <w:left w:val="single" w:color="auto" w:sz="4" w:space="0"/>
              <w:bottom w:val="single" w:color="auto" w:sz="4" w:space="0"/>
              <w:right w:val="single" w:color="auto" w:sz="4" w:space="0"/>
            </w:tcBorders>
          </w:tcPr>
          <w:p w14:paraId="3D4E7531">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68" w:type="dxa"/>
            <w:tcBorders>
              <w:top w:val="single" w:color="auto" w:sz="4" w:space="0"/>
              <w:left w:val="single" w:color="auto" w:sz="4" w:space="0"/>
              <w:bottom w:val="single" w:color="auto" w:sz="4" w:space="0"/>
              <w:right w:val="single" w:color="auto" w:sz="4" w:space="0"/>
            </w:tcBorders>
          </w:tcPr>
          <w:p w14:paraId="05F2AAA0">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852" w:type="dxa"/>
            <w:tcBorders>
              <w:top w:val="single" w:color="auto" w:sz="4" w:space="0"/>
              <w:left w:val="single" w:color="auto" w:sz="4" w:space="0"/>
              <w:bottom w:val="single" w:color="auto" w:sz="4" w:space="0"/>
              <w:right w:val="single" w:color="auto" w:sz="4" w:space="0"/>
            </w:tcBorders>
          </w:tcPr>
          <w:p w14:paraId="49887D16">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tcPr>
          <w:p w14:paraId="1433A157">
            <w:pPr>
              <w:spacing w:line="360" w:lineRule="auto"/>
              <w:rPr>
                <w:rFonts w:hint="eastAsia" w:ascii="仿宋" w:hAnsi="仿宋" w:eastAsia="仿宋" w:cs="仿宋"/>
                <w:color w:val="000000" w:themeColor="text1"/>
                <w:highlight w:val="none"/>
                <w14:textFill>
                  <w14:solidFill>
                    <w14:schemeClr w14:val="tx1"/>
                  </w14:solidFill>
                </w14:textFill>
              </w:rPr>
            </w:pPr>
          </w:p>
        </w:tc>
      </w:tr>
      <w:tr w14:paraId="05F35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779" w:type="dxa"/>
            <w:tcBorders>
              <w:top w:val="single" w:color="auto" w:sz="4" w:space="0"/>
              <w:left w:val="single" w:color="auto" w:sz="4" w:space="0"/>
              <w:bottom w:val="single" w:color="auto" w:sz="4" w:space="0"/>
              <w:right w:val="single" w:color="auto" w:sz="4" w:space="0"/>
            </w:tcBorders>
          </w:tcPr>
          <w:p w14:paraId="629E1E1B">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481" w:type="dxa"/>
            <w:tcBorders>
              <w:top w:val="single" w:color="auto" w:sz="4" w:space="0"/>
              <w:left w:val="single" w:color="auto" w:sz="4" w:space="0"/>
              <w:bottom w:val="single" w:color="auto" w:sz="4" w:space="0"/>
              <w:right w:val="single" w:color="auto" w:sz="4" w:space="0"/>
            </w:tcBorders>
          </w:tcPr>
          <w:p w14:paraId="66F5CFD7">
            <w:pPr>
              <w:spacing w:line="360" w:lineRule="auto"/>
              <w:rPr>
                <w:rFonts w:hint="eastAsia" w:ascii="仿宋" w:hAnsi="仿宋" w:eastAsia="仿宋" w:cs="仿宋"/>
                <w:color w:val="000000" w:themeColor="text1"/>
                <w:highlight w:val="none"/>
                <w14:textFill>
                  <w14:solidFill>
                    <w14:schemeClr w14:val="tx1"/>
                  </w14:solidFill>
                </w14:textFill>
              </w:rPr>
            </w:pPr>
          </w:p>
        </w:tc>
        <w:tc>
          <w:tcPr>
            <w:tcW w:w="2381" w:type="dxa"/>
            <w:tcBorders>
              <w:top w:val="single" w:color="auto" w:sz="4" w:space="0"/>
              <w:left w:val="single" w:color="auto" w:sz="4" w:space="0"/>
              <w:bottom w:val="single" w:color="auto" w:sz="4" w:space="0"/>
              <w:right w:val="single" w:color="auto" w:sz="4" w:space="0"/>
            </w:tcBorders>
          </w:tcPr>
          <w:p w14:paraId="7F3369BB">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68" w:type="dxa"/>
            <w:tcBorders>
              <w:top w:val="single" w:color="auto" w:sz="4" w:space="0"/>
              <w:left w:val="single" w:color="auto" w:sz="4" w:space="0"/>
              <w:bottom w:val="single" w:color="auto" w:sz="4" w:space="0"/>
              <w:right w:val="single" w:color="auto" w:sz="4" w:space="0"/>
            </w:tcBorders>
          </w:tcPr>
          <w:p w14:paraId="726C2A16">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852" w:type="dxa"/>
            <w:tcBorders>
              <w:top w:val="single" w:color="auto" w:sz="4" w:space="0"/>
              <w:left w:val="single" w:color="auto" w:sz="4" w:space="0"/>
              <w:bottom w:val="single" w:color="auto" w:sz="4" w:space="0"/>
              <w:right w:val="single" w:color="auto" w:sz="4" w:space="0"/>
            </w:tcBorders>
          </w:tcPr>
          <w:p w14:paraId="3A977146">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tcPr>
          <w:p w14:paraId="5EE157D4">
            <w:pPr>
              <w:spacing w:line="360" w:lineRule="auto"/>
              <w:rPr>
                <w:rFonts w:hint="eastAsia" w:ascii="仿宋" w:hAnsi="仿宋" w:eastAsia="仿宋" w:cs="仿宋"/>
                <w:color w:val="000000" w:themeColor="text1"/>
                <w:highlight w:val="none"/>
                <w14:textFill>
                  <w14:solidFill>
                    <w14:schemeClr w14:val="tx1"/>
                  </w14:solidFill>
                </w14:textFill>
              </w:rPr>
            </w:pPr>
          </w:p>
        </w:tc>
      </w:tr>
      <w:tr w14:paraId="3127E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779" w:type="dxa"/>
            <w:tcBorders>
              <w:top w:val="single" w:color="auto" w:sz="4" w:space="0"/>
              <w:left w:val="single" w:color="auto" w:sz="4" w:space="0"/>
              <w:bottom w:val="single" w:color="auto" w:sz="4" w:space="0"/>
              <w:right w:val="single" w:color="auto" w:sz="4" w:space="0"/>
            </w:tcBorders>
          </w:tcPr>
          <w:p w14:paraId="62A58E33">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481" w:type="dxa"/>
            <w:tcBorders>
              <w:top w:val="single" w:color="auto" w:sz="4" w:space="0"/>
              <w:left w:val="single" w:color="auto" w:sz="4" w:space="0"/>
              <w:bottom w:val="single" w:color="auto" w:sz="4" w:space="0"/>
              <w:right w:val="single" w:color="auto" w:sz="4" w:space="0"/>
            </w:tcBorders>
          </w:tcPr>
          <w:p w14:paraId="044D174B">
            <w:pPr>
              <w:spacing w:line="360" w:lineRule="auto"/>
              <w:rPr>
                <w:rFonts w:hint="eastAsia" w:ascii="仿宋" w:hAnsi="仿宋" w:eastAsia="仿宋" w:cs="仿宋"/>
                <w:color w:val="000000" w:themeColor="text1"/>
                <w:highlight w:val="none"/>
                <w14:textFill>
                  <w14:solidFill>
                    <w14:schemeClr w14:val="tx1"/>
                  </w14:solidFill>
                </w14:textFill>
              </w:rPr>
            </w:pPr>
          </w:p>
        </w:tc>
        <w:tc>
          <w:tcPr>
            <w:tcW w:w="2381" w:type="dxa"/>
            <w:tcBorders>
              <w:top w:val="single" w:color="auto" w:sz="4" w:space="0"/>
              <w:left w:val="single" w:color="auto" w:sz="4" w:space="0"/>
              <w:bottom w:val="single" w:color="auto" w:sz="4" w:space="0"/>
              <w:right w:val="single" w:color="auto" w:sz="4" w:space="0"/>
            </w:tcBorders>
          </w:tcPr>
          <w:p w14:paraId="1C8346C7">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68" w:type="dxa"/>
            <w:tcBorders>
              <w:top w:val="single" w:color="auto" w:sz="4" w:space="0"/>
              <w:left w:val="single" w:color="auto" w:sz="4" w:space="0"/>
              <w:bottom w:val="single" w:color="auto" w:sz="4" w:space="0"/>
              <w:right w:val="single" w:color="auto" w:sz="4" w:space="0"/>
            </w:tcBorders>
          </w:tcPr>
          <w:p w14:paraId="733F1269">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852" w:type="dxa"/>
            <w:tcBorders>
              <w:top w:val="single" w:color="auto" w:sz="4" w:space="0"/>
              <w:left w:val="single" w:color="auto" w:sz="4" w:space="0"/>
              <w:bottom w:val="single" w:color="auto" w:sz="4" w:space="0"/>
              <w:right w:val="single" w:color="auto" w:sz="4" w:space="0"/>
            </w:tcBorders>
          </w:tcPr>
          <w:p w14:paraId="55B24958">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tcPr>
          <w:p w14:paraId="33B490E8">
            <w:pPr>
              <w:spacing w:line="360" w:lineRule="auto"/>
              <w:rPr>
                <w:rFonts w:hint="eastAsia" w:ascii="仿宋" w:hAnsi="仿宋" w:eastAsia="仿宋" w:cs="仿宋"/>
                <w:color w:val="000000" w:themeColor="text1"/>
                <w:highlight w:val="none"/>
                <w14:textFill>
                  <w14:solidFill>
                    <w14:schemeClr w14:val="tx1"/>
                  </w14:solidFill>
                </w14:textFill>
              </w:rPr>
            </w:pPr>
          </w:p>
        </w:tc>
      </w:tr>
      <w:tr w14:paraId="2C375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79" w:type="dxa"/>
            <w:tcBorders>
              <w:top w:val="single" w:color="auto" w:sz="4" w:space="0"/>
              <w:left w:val="single" w:color="auto" w:sz="4" w:space="0"/>
              <w:bottom w:val="single" w:color="auto" w:sz="4" w:space="0"/>
              <w:right w:val="single" w:color="auto" w:sz="4" w:space="0"/>
            </w:tcBorders>
          </w:tcPr>
          <w:p w14:paraId="632C1557">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481" w:type="dxa"/>
            <w:tcBorders>
              <w:top w:val="single" w:color="auto" w:sz="4" w:space="0"/>
              <w:left w:val="single" w:color="auto" w:sz="4" w:space="0"/>
              <w:bottom w:val="single" w:color="auto" w:sz="4" w:space="0"/>
              <w:right w:val="single" w:color="auto" w:sz="4" w:space="0"/>
            </w:tcBorders>
          </w:tcPr>
          <w:p w14:paraId="2D3B8352">
            <w:pPr>
              <w:spacing w:line="360" w:lineRule="auto"/>
              <w:rPr>
                <w:rFonts w:hint="eastAsia" w:ascii="仿宋" w:hAnsi="仿宋" w:eastAsia="仿宋" w:cs="仿宋"/>
                <w:color w:val="000000" w:themeColor="text1"/>
                <w:highlight w:val="none"/>
                <w14:textFill>
                  <w14:solidFill>
                    <w14:schemeClr w14:val="tx1"/>
                  </w14:solidFill>
                </w14:textFill>
              </w:rPr>
            </w:pPr>
          </w:p>
        </w:tc>
        <w:tc>
          <w:tcPr>
            <w:tcW w:w="2381" w:type="dxa"/>
            <w:tcBorders>
              <w:top w:val="single" w:color="auto" w:sz="4" w:space="0"/>
              <w:left w:val="single" w:color="auto" w:sz="4" w:space="0"/>
              <w:bottom w:val="single" w:color="auto" w:sz="4" w:space="0"/>
              <w:right w:val="single" w:color="auto" w:sz="4" w:space="0"/>
            </w:tcBorders>
          </w:tcPr>
          <w:p w14:paraId="5F29BD06">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68" w:type="dxa"/>
            <w:tcBorders>
              <w:top w:val="single" w:color="auto" w:sz="4" w:space="0"/>
              <w:left w:val="single" w:color="auto" w:sz="4" w:space="0"/>
              <w:bottom w:val="single" w:color="auto" w:sz="4" w:space="0"/>
              <w:right w:val="single" w:color="auto" w:sz="4" w:space="0"/>
            </w:tcBorders>
          </w:tcPr>
          <w:p w14:paraId="5F458005">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852" w:type="dxa"/>
            <w:tcBorders>
              <w:top w:val="single" w:color="auto" w:sz="4" w:space="0"/>
              <w:left w:val="single" w:color="auto" w:sz="4" w:space="0"/>
              <w:bottom w:val="single" w:color="auto" w:sz="4" w:space="0"/>
              <w:right w:val="single" w:color="auto" w:sz="4" w:space="0"/>
            </w:tcBorders>
          </w:tcPr>
          <w:p w14:paraId="084D2ECA">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tcPr>
          <w:p w14:paraId="1408AF3C">
            <w:pPr>
              <w:spacing w:line="360" w:lineRule="auto"/>
              <w:rPr>
                <w:rFonts w:hint="eastAsia" w:ascii="仿宋" w:hAnsi="仿宋" w:eastAsia="仿宋" w:cs="仿宋"/>
                <w:color w:val="000000" w:themeColor="text1"/>
                <w:highlight w:val="none"/>
                <w14:textFill>
                  <w14:solidFill>
                    <w14:schemeClr w14:val="tx1"/>
                  </w14:solidFill>
                </w14:textFill>
              </w:rPr>
            </w:pPr>
          </w:p>
        </w:tc>
      </w:tr>
    </w:tbl>
    <w:p w14:paraId="6342550F">
      <w:pPr>
        <w:keepNext w:val="0"/>
        <w:keepLines w:val="0"/>
        <w:pageBreakBefore w:val="0"/>
        <w:widowControl/>
        <w:kinsoku w:val="0"/>
        <w:wordWrap/>
        <w:overflowPunct/>
        <w:topLinePunct w:val="0"/>
        <w:autoSpaceDE w:val="0"/>
        <w:autoSpaceDN w:val="0"/>
        <w:bidi w:val="0"/>
        <w:adjustRightInd w:val="0"/>
        <w:snapToGrid w:val="0"/>
        <w:spacing w:before="103" w:line="360" w:lineRule="auto"/>
        <w:ind w:left="305"/>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注：</w:t>
      </w:r>
    </w:p>
    <w:p w14:paraId="02C616EA">
      <w:pPr>
        <w:pStyle w:val="9"/>
        <w:keepNext w:val="0"/>
        <w:keepLines w:val="0"/>
        <w:pageBreakBefore w:val="0"/>
        <w:widowControl/>
        <w:kinsoku w:val="0"/>
        <w:wordWrap/>
        <w:overflowPunct/>
        <w:topLinePunct w:val="0"/>
        <w:autoSpaceDE w:val="0"/>
        <w:autoSpaceDN w:val="0"/>
        <w:bidi w:val="0"/>
        <w:adjustRightInd w:val="0"/>
        <w:snapToGrid w:val="0"/>
        <w:spacing w:before="2" w:line="360" w:lineRule="auto"/>
        <w:ind w:right="377" w:firstLine="472" w:firstLineChars="200"/>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w:t>
      </w: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对竞争性磋商文件中的</w:t>
      </w: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采购需求作实质性响应</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，此表中若无任何文字说明，内容为空白的</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w:t>
      </w:r>
      <w:r>
        <w:rPr>
          <w:rFonts w:hint="eastAsia" w:ascii="仿宋" w:hAnsi="仿宋" w:eastAsia="仿宋" w:cs="仿宋"/>
          <w:b/>
          <w:bCs/>
          <w:color w:val="000000" w:themeColor="text1"/>
          <w:spacing w:val="-2"/>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w:t>
      </w:r>
    </w:p>
    <w:p w14:paraId="0469C928">
      <w:pPr>
        <w:pStyle w:val="9"/>
        <w:keepNext w:val="0"/>
        <w:keepLines w:val="0"/>
        <w:pageBreakBefore w:val="0"/>
        <w:widowControl/>
        <w:kinsoku w:val="0"/>
        <w:wordWrap/>
        <w:overflowPunct/>
        <w:topLinePunct w:val="0"/>
        <w:autoSpaceDE w:val="0"/>
        <w:autoSpaceDN w:val="0"/>
        <w:bidi w:val="0"/>
        <w:adjustRightInd w:val="0"/>
        <w:snapToGrid w:val="0"/>
        <w:spacing w:before="5" w:line="360" w:lineRule="auto"/>
        <w:ind w:left="312"/>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2.“偏离情况”列应据实填写</w:t>
      </w:r>
      <w:r>
        <w:rPr>
          <w:rFonts w:hint="eastAsia" w:ascii="仿宋" w:hAnsi="仿宋" w:eastAsia="仿宋" w:cs="仿宋"/>
          <w:color w:val="000000" w:themeColor="text1"/>
          <w:spacing w:val="-5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“无偏离”、“正偏离”或</w:t>
      </w:r>
      <w:r>
        <w:rPr>
          <w:rFonts w:hint="eastAsia" w:ascii="仿宋" w:hAnsi="仿宋" w:eastAsia="仿宋" w:cs="仿宋"/>
          <w:color w:val="000000" w:themeColor="text1"/>
          <w:spacing w:val="-5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“负偏离”。</w:t>
      </w:r>
    </w:p>
    <w:p w14:paraId="6956B535">
      <w:pPr>
        <w:pStyle w:val="9"/>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000000" w:themeColor="text1"/>
          <w:highlight w:val="none"/>
          <w:lang w:eastAsia="zh-CN"/>
          <w14:textFill>
            <w14:solidFill>
              <w14:schemeClr w14:val="tx1"/>
            </w14:solidFill>
          </w14:textFill>
        </w:rPr>
      </w:pPr>
    </w:p>
    <w:p w14:paraId="3E72B37F">
      <w:pPr>
        <w:spacing w:line="360" w:lineRule="auto"/>
        <w:ind w:hanging="41"/>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供应商名称（加盖公章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515CE65A">
      <w:pPr>
        <w:spacing w:line="360" w:lineRule="auto"/>
        <w:ind w:hanging="4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73FDF504">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36" w:type="default"/>
          <w:footerReference r:id="rId37" w:type="default"/>
          <w:pgSz w:w="11907" w:h="16839"/>
          <w:pgMar w:top="1417" w:right="1417" w:bottom="1417" w:left="1417" w:header="1191" w:footer="850" w:gutter="0"/>
          <w:pgNumType w:fmt="decimal"/>
          <w:cols w:space="720" w:num="1"/>
        </w:sectPr>
      </w:pPr>
    </w:p>
    <w:p w14:paraId="70AD90FD">
      <w:pPr>
        <w:spacing w:line="360" w:lineRule="auto"/>
        <w:outlineLvl w:val="1"/>
        <w:rPr>
          <w:rFonts w:hint="eastAsia"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color w:val="000000" w:themeColor="text1"/>
          <w:spacing w:val="-48"/>
          <w:sz w:val="24"/>
          <w:szCs w:val="24"/>
          <w:highlight w:val="none"/>
          <w:lang w:val="en-US" w:eastAsia="zh-CN"/>
          <w14:textFill>
            <w14:solidFill>
              <w14:schemeClr w14:val="tx1"/>
            </w14:solidFill>
          </w14:textFill>
        </w:rPr>
        <w:t>12</w:t>
      </w:r>
      <w:r>
        <w:rPr>
          <w:rFonts w:hint="eastAsia" w:ascii="仿宋" w:hAnsi="仿宋" w:eastAsia="仿宋" w:cs="仿宋"/>
          <w:color w:val="000000" w:themeColor="text1"/>
          <w:spacing w:val="-4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竞争性磋商文件要求提供或供应商认为应附的其他</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材料</w:t>
      </w:r>
    </w:p>
    <w:p w14:paraId="4DA02189">
      <w:pPr>
        <w:tabs>
          <w:tab w:val="left" w:pos="360"/>
        </w:tabs>
        <w:spacing w:line="360" w:lineRule="auto"/>
        <w:rPr>
          <w:rFonts w:hint="eastAsia" w:ascii="仿宋" w:hAnsi="仿宋" w:eastAsia="仿宋" w:cs="仿宋"/>
          <w:color w:val="000000" w:themeColor="text1"/>
          <w:sz w:val="24"/>
          <w:highlight w:val="none"/>
          <w:lang w:eastAsia="zh-CN"/>
          <w14:textFill>
            <w14:solidFill>
              <w14:schemeClr w14:val="tx1"/>
            </w14:solidFill>
          </w14:textFill>
        </w:rPr>
      </w:pPr>
    </w:p>
    <w:p w14:paraId="133366B4">
      <w:pPr>
        <w:spacing w:line="240" w:lineRule="exact"/>
        <w:jc w:val="center"/>
        <w:rPr>
          <w:rFonts w:hint="eastAsia" w:ascii="仿宋" w:hAnsi="仿宋" w:eastAsia="仿宋" w:cs="仿宋"/>
          <w:b/>
          <w:bCs/>
          <w:color w:val="000000" w:themeColor="text1"/>
          <w:highlight w:val="none"/>
          <w:shd w:val="clear" w:color="auto" w:fill="FFFFFF"/>
          <w:lang w:eastAsia="zh-CN"/>
          <w14:textFill>
            <w14:solidFill>
              <w14:schemeClr w14:val="tx1"/>
            </w14:solidFill>
          </w14:textFill>
        </w:rPr>
      </w:pPr>
    </w:p>
    <w:p w14:paraId="35F7CA61">
      <w:pPr>
        <w:spacing w:line="240" w:lineRule="exact"/>
        <w:jc w:val="center"/>
        <w:rPr>
          <w:rFonts w:hint="eastAsia" w:ascii="仿宋" w:hAnsi="仿宋" w:eastAsia="仿宋" w:cs="仿宋"/>
          <w:b/>
          <w:bCs/>
          <w:color w:val="000000" w:themeColor="text1"/>
          <w:highlight w:val="none"/>
          <w:shd w:val="clear" w:color="auto" w:fill="FFFFFF"/>
          <w:lang w:eastAsia="zh-CN"/>
          <w14:textFill>
            <w14:solidFill>
              <w14:schemeClr w14:val="tx1"/>
            </w14:solidFill>
          </w14:textFill>
        </w:rPr>
      </w:pPr>
    </w:p>
    <w:p w14:paraId="7E1BAD8C">
      <w:pPr>
        <w:spacing w:line="240" w:lineRule="exact"/>
        <w:jc w:val="center"/>
        <w:rPr>
          <w:rFonts w:hint="eastAsia" w:ascii="仿宋" w:hAnsi="仿宋" w:eastAsia="仿宋" w:cs="仿宋"/>
          <w:b/>
          <w:bCs/>
          <w:color w:val="000000" w:themeColor="text1"/>
          <w:highlight w:val="none"/>
          <w:shd w:val="clear" w:color="auto" w:fill="FFFFFF"/>
          <w:lang w:eastAsia="zh-CN"/>
          <w14:textFill>
            <w14:solidFill>
              <w14:schemeClr w14:val="tx1"/>
            </w14:solidFill>
          </w14:textFill>
        </w:rPr>
      </w:pPr>
    </w:p>
    <w:p w14:paraId="06DDCA8D">
      <w:pPr>
        <w:spacing w:line="240" w:lineRule="exact"/>
        <w:jc w:val="center"/>
        <w:rPr>
          <w:rFonts w:hint="eastAsia" w:ascii="仿宋" w:hAnsi="仿宋" w:eastAsia="仿宋" w:cs="仿宋"/>
          <w:b/>
          <w:bCs/>
          <w:color w:val="000000" w:themeColor="text1"/>
          <w:highlight w:val="none"/>
          <w:shd w:val="clear" w:color="auto" w:fill="FFFFFF"/>
          <w:lang w:eastAsia="zh-CN"/>
          <w14:textFill>
            <w14:solidFill>
              <w14:schemeClr w14:val="tx1"/>
            </w14:solidFill>
          </w14:textFill>
        </w:rPr>
      </w:pPr>
    </w:p>
    <w:p w14:paraId="05B02BEA">
      <w:pPr>
        <w:spacing w:line="240" w:lineRule="exact"/>
        <w:jc w:val="center"/>
        <w:rPr>
          <w:rFonts w:hint="eastAsia" w:ascii="仿宋" w:hAnsi="仿宋" w:eastAsia="仿宋" w:cs="仿宋"/>
          <w:b/>
          <w:bCs/>
          <w:color w:val="000000" w:themeColor="text1"/>
          <w:highlight w:val="none"/>
          <w:shd w:val="clear" w:color="auto" w:fill="FFFFFF"/>
          <w:lang w:eastAsia="zh-CN"/>
          <w14:textFill>
            <w14:solidFill>
              <w14:schemeClr w14:val="tx1"/>
            </w14:solidFill>
          </w14:textFill>
        </w:rPr>
      </w:pPr>
    </w:p>
    <w:p w14:paraId="52915552">
      <w:pPr>
        <w:spacing w:line="360" w:lineRule="auto"/>
        <w:rPr>
          <w:rFonts w:hint="eastAsia" w:ascii="仿宋" w:hAnsi="仿宋" w:eastAsia="仿宋" w:cs="仿宋"/>
          <w:color w:val="000000" w:themeColor="text1"/>
          <w:spacing w:val="-5"/>
          <w:sz w:val="24"/>
          <w:szCs w:val="24"/>
          <w:highlight w:val="none"/>
          <w:lang w:eastAsia="zh-CN"/>
          <w14:textFill>
            <w14:solidFill>
              <w14:schemeClr w14:val="tx1"/>
            </w14:solidFill>
          </w14:textFill>
        </w:rPr>
        <w:sectPr>
          <w:headerReference r:id="rId38" w:type="default"/>
          <w:footerReference r:id="rId39" w:type="default"/>
          <w:pgSz w:w="11907" w:h="16839"/>
          <w:pgMar w:top="1417" w:right="1417" w:bottom="1417" w:left="1417" w:header="1191" w:footer="964" w:gutter="0"/>
          <w:pgNumType w:fmt="decimal"/>
          <w:cols w:space="720" w:num="1"/>
        </w:sectPr>
      </w:pPr>
    </w:p>
    <w:p w14:paraId="2C83162A">
      <w:pPr>
        <w:spacing w:line="360" w:lineRule="auto"/>
        <w:outlineLvl w:val="1"/>
        <w:rPr>
          <w:rFonts w:hint="eastAsia"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val="en-US" w:eastAsia="zh-CN"/>
          <w14:textFill>
            <w14:solidFill>
              <w14:schemeClr w14:val="tx1"/>
            </w14:solidFill>
          </w14:textFill>
        </w:rPr>
        <w:t xml:space="preserve">13 </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最后报价一览表（实质性格式、磋商后提交）</w:t>
      </w:r>
    </w:p>
    <w:p w14:paraId="3BF607E6">
      <w:pPr>
        <w:spacing w:line="360" w:lineRule="auto"/>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6899D6B2">
      <w:pPr>
        <w:spacing w:line="360" w:lineRule="auto"/>
        <w:jc w:val="cente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t>最后报价一览表</w:t>
      </w:r>
    </w:p>
    <w:p w14:paraId="70CE6A30">
      <w:pPr>
        <w:spacing w:line="360" w:lineRule="auto"/>
        <w:jc w:val="cente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pPr>
    </w:p>
    <w:p w14:paraId="39CCB97C">
      <w:pPr>
        <w:tabs>
          <w:tab w:val="left" w:pos="1800"/>
          <w:tab w:val="left" w:pos="5580"/>
        </w:tabs>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项目编号/包号：</w:t>
      </w:r>
      <w:r>
        <w:rPr>
          <w:rFonts w:hint="eastAsia" w:ascii="仿宋" w:hAnsi="仿宋" w:eastAsia="仿宋" w:cs="仿宋"/>
          <w:color w:val="000000" w:themeColor="text1"/>
          <w:spacing w:val="-2"/>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项</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目名称：</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eastAsia="zh-CN"/>
          <w14:textFill>
            <w14:solidFill>
              <w14:schemeClr w14:val="tx1"/>
            </w14:solidFill>
          </w14:textFill>
        </w:rPr>
        <w:t>报价单位：人民币元</w:t>
      </w:r>
    </w:p>
    <w:p w14:paraId="7DF4A23C">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813"/>
        <w:gridCol w:w="1813"/>
        <w:gridCol w:w="1813"/>
        <w:gridCol w:w="1813"/>
      </w:tblGrid>
      <w:tr w14:paraId="6FB2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vMerge w:val="restart"/>
            <w:vAlign w:val="center"/>
          </w:tcPr>
          <w:p w14:paraId="2D00CFFC">
            <w:pPr>
              <w:widowControl w:val="0"/>
              <w:spacing w:line="360" w:lineRule="auto"/>
              <w:jc w:val="cente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t>序号</w:t>
            </w:r>
          </w:p>
        </w:tc>
        <w:tc>
          <w:tcPr>
            <w:tcW w:w="1858" w:type="dxa"/>
            <w:vMerge w:val="restart"/>
            <w:vAlign w:val="center"/>
          </w:tcPr>
          <w:p w14:paraId="1337B783">
            <w:pPr>
              <w:widowControl w:val="0"/>
              <w:spacing w:line="360" w:lineRule="auto"/>
              <w:jc w:val="cente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t>供应商名称</w:t>
            </w:r>
          </w:p>
        </w:tc>
        <w:tc>
          <w:tcPr>
            <w:tcW w:w="3716" w:type="dxa"/>
            <w:gridSpan w:val="2"/>
            <w:vAlign w:val="center"/>
          </w:tcPr>
          <w:p w14:paraId="5B87E292">
            <w:pPr>
              <w:widowControl w:val="0"/>
              <w:spacing w:line="360" w:lineRule="auto"/>
              <w:jc w:val="cente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t>最后报价（元）</w:t>
            </w:r>
          </w:p>
        </w:tc>
        <w:tc>
          <w:tcPr>
            <w:tcW w:w="1858" w:type="dxa"/>
            <w:vMerge w:val="restart"/>
            <w:vAlign w:val="center"/>
          </w:tcPr>
          <w:p w14:paraId="070BEDE8">
            <w:pPr>
              <w:widowControl w:val="0"/>
              <w:spacing w:line="360" w:lineRule="auto"/>
              <w:jc w:val="cente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t>其他声明</w:t>
            </w:r>
          </w:p>
        </w:tc>
      </w:tr>
      <w:tr w14:paraId="03316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vMerge w:val="continue"/>
          </w:tcPr>
          <w:p w14:paraId="3305F604">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vMerge w:val="continue"/>
          </w:tcPr>
          <w:p w14:paraId="06BBCFCC">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vAlign w:val="center"/>
          </w:tcPr>
          <w:p w14:paraId="6E1F7E81">
            <w:pPr>
              <w:widowControl w:val="0"/>
              <w:spacing w:line="360" w:lineRule="auto"/>
              <w:jc w:val="cente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t>大写</w:t>
            </w:r>
          </w:p>
        </w:tc>
        <w:tc>
          <w:tcPr>
            <w:tcW w:w="1858" w:type="dxa"/>
            <w:vAlign w:val="center"/>
          </w:tcPr>
          <w:p w14:paraId="4944F9F2">
            <w:pPr>
              <w:widowControl w:val="0"/>
              <w:spacing w:line="360" w:lineRule="auto"/>
              <w:jc w:val="cente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t>小写</w:t>
            </w:r>
          </w:p>
        </w:tc>
        <w:tc>
          <w:tcPr>
            <w:tcW w:w="1858" w:type="dxa"/>
            <w:vMerge w:val="continue"/>
          </w:tcPr>
          <w:p w14:paraId="7635A615">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r>
      <w:tr w14:paraId="786F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1932FB34">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53DBB5AF">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2ED5E978">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5F6A73D6">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11EAD161">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r>
      <w:tr w14:paraId="68F7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5E29C5EC">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039AE3DA">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6823D1FF">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413C1F7E">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3A910847">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r>
      <w:tr w14:paraId="3019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7744BB09">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22C846D3">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7851DE8C">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77D38F27">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0A27B366">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r>
      <w:tr w14:paraId="0BB18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6F17E052">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02059577">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2B43AA75">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5DEF1522">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380AA6E6">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r>
    </w:tbl>
    <w:p w14:paraId="35B31498">
      <w:pPr>
        <w:spacing w:line="360" w:lineRule="auto"/>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3229C8E3">
      <w:pPr>
        <w:spacing w:line="360" w:lineRule="auto"/>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080C72C0">
      <w:pPr>
        <w:spacing w:line="360" w:lineRule="auto"/>
        <w:rPr>
          <w:rFonts w:hint="eastAsia"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注: 1.此表中 ，每包的最后报价应和《最后分项报价表》 中的总价相一致。</w:t>
      </w:r>
    </w:p>
    <w:p w14:paraId="609AF1C3">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2.本表必须按包分别填写。</w:t>
      </w:r>
    </w:p>
    <w:p w14:paraId="3339A0A7">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3.此表无需在响应文件中提交，磋商后供应商按磋商小组要求提交。</w:t>
      </w:r>
    </w:p>
    <w:p w14:paraId="44D50634">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3B5BC312">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4A575CA2">
      <w:pPr>
        <w:spacing w:line="360" w:lineRule="auto"/>
        <w:ind w:hanging="41"/>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供应商授权代表签字（或加盖供应商公章）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14899D8D">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7E6DF6DF">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15670FB3">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5E11AC9C">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68788770">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64BF9C0D">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31C1A677">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0A76F774">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686AACF9">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61FA7509">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1ACA2F37">
      <w:pPr>
        <w:keepNext w:val="0"/>
        <w:keepLines w:val="0"/>
        <w:widowControl/>
        <w:suppressLineNumbers w:val="0"/>
        <w:jc w:val="left"/>
        <w:outlineLvl w:val="1"/>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16"/>
          <w:sz w:val="24"/>
          <w:szCs w:val="24"/>
          <w:highlight w:val="none"/>
          <w:lang w:val="en-US" w:eastAsia="zh-CN"/>
          <w14:textFill>
            <w14:solidFill>
              <w14:schemeClr w14:val="tx1"/>
            </w14:solidFill>
          </w14:textFill>
        </w:rPr>
        <w:t>14、</w:t>
      </w:r>
      <w:r>
        <w:rPr>
          <w:rFonts w:hint="eastAsia" w:ascii="仿宋" w:hAnsi="仿宋" w:eastAsia="仿宋" w:cs="仿宋"/>
          <w:snapToGrid w:val="0"/>
          <w:color w:val="000000" w:themeColor="text1"/>
          <w:kern w:val="0"/>
          <w:sz w:val="24"/>
          <w:szCs w:val="24"/>
          <w:highlight w:val="none"/>
          <w:lang w:val="en-US" w:eastAsia="zh-CN" w:bidi="ar"/>
          <w14:textFill>
            <w14:solidFill>
              <w14:schemeClr w14:val="tx1"/>
            </w14:solidFill>
          </w14:textFill>
        </w:rPr>
        <w:t xml:space="preserve"> 最后分项报价表（实质性格式，磋商后提交）</w:t>
      </w:r>
    </w:p>
    <w:p w14:paraId="5BA4C23F">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5ABCC0D4">
      <w:pPr>
        <w:spacing w:line="360" w:lineRule="auto"/>
        <w:jc w:val="cente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t>最后分项报价表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4927"/>
        <w:gridCol w:w="2487"/>
        <w:gridCol w:w="815"/>
      </w:tblGrid>
      <w:tr w14:paraId="557BF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tcPr>
          <w:p w14:paraId="163E6BF8">
            <w:pPr>
              <w:widowControl w:val="0"/>
              <w:spacing w:line="360" w:lineRule="auto"/>
              <w:jc w:val="both"/>
              <w:rPr>
                <w:rFonts w:hint="default" w:ascii="仿宋" w:hAnsi="仿宋" w:eastAsia="仿宋" w:cs="仿宋"/>
                <w:color w:val="000000" w:themeColor="text1"/>
                <w:spacing w:val="-16"/>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pacing w:val="-16"/>
                <w:sz w:val="24"/>
                <w:szCs w:val="24"/>
                <w:highlight w:val="none"/>
                <w:vertAlign w:val="baseline"/>
                <w:lang w:val="en-US" w:eastAsia="zh-CN"/>
                <w14:textFill>
                  <w14:solidFill>
                    <w14:schemeClr w14:val="tx1"/>
                  </w14:solidFill>
                </w14:textFill>
              </w:rPr>
              <w:t>序号</w:t>
            </w:r>
          </w:p>
        </w:tc>
        <w:tc>
          <w:tcPr>
            <w:tcW w:w="5072" w:type="dxa"/>
          </w:tcPr>
          <w:p w14:paraId="23FC7B00">
            <w:pPr>
              <w:widowControl w:val="0"/>
              <w:spacing w:line="360" w:lineRule="auto"/>
              <w:jc w:val="both"/>
              <w:rPr>
                <w:rFonts w:hint="eastAsia" w:ascii="仿宋" w:hAnsi="仿宋" w:eastAsia="仿宋" w:cs="仿宋"/>
                <w:color w:val="000000" w:themeColor="text1"/>
                <w:spacing w:val="-16"/>
                <w:sz w:val="24"/>
                <w:szCs w:val="24"/>
                <w:highlight w:val="none"/>
                <w:vertAlign w:val="baseli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vertAlign w:val="baseline"/>
                <w:lang w:eastAsia="zh-CN"/>
                <w14:textFill>
                  <w14:solidFill>
                    <w14:schemeClr w14:val="tx1"/>
                  </w14:solidFill>
                </w14:textFill>
              </w:rPr>
              <w:t>最后报价计算过程或说明（可以填写按第一次报价下浮/上浮比例，也可以填写相对第一次报价某部分价格变化情况）</w:t>
            </w:r>
          </w:p>
        </w:tc>
        <w:tc>
          <w:tcPr>
            <w:tcW w:w="2541" w:type="dxa"/>
          </w:tcPr>
          <w:p w14:paraId="65C717F1">
            <w:pPr>
              <w:widowControl w:val="0"/>
              <w:spacing w:line="360" w:lineRule="auto"/>
              <w:jc w:val="both"/>
              <w:rPr>
                <w:rFonts w:hint="default" w:ascii="仿宋" w:hAnsi="仿宋" w:eastAsia="仿宋" w:cs="仿宋"/>
                <w:color w:val="000000" w:themeColor="text1"/>
                <w:spacing w:val="-16"/>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pacing w:val="-16"/>
                <w:sz w:val="24"/>
                <w:szCs w:val="24"/>
                <w:highlight w:val="none"/>
                <w:vertAlign w:val="baseline"/>
                <w:lang w:val="en-US" w:eastAsia="zh-CN"/>
                <w14:textFill>
                  <w14:solidFill>
                    <w14:schemeClr w14:val="tx1"/>
                  </w14:solidFill>
                </w14:textFill>
              </w:rPr>
              <w:t>总价（元）</w:t>
            </w:r>
          </w:p>
        </w:tc>
        <w:tc>
          <w:tcPr>
            <w:tcW w:w="828" w:type="dxa"/>
          </w:tcPr>
          <w:p w14:paraId="441421DA">
            <w:pPr>
              <w:widowControl w:val="0"/>
              <w:spacing w:line="360" w:lineRule="auto"/>
              <w:jc w:val="both"/>
              <w:rPr>
                <w:rFonts w:hint="default" w:ascii="仿宋" w:hAnsi="仿宋" w:eastAsia="仿宋" w:cs="仿宋"/>
                <w:color w:val="000000" w:themeColor="text1"/>
                <w:spacing w:val="-16"/>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pacing w:val="-16"/>
                <w:sz w:val="24"/>
                <w:szCs w:val="24"/>
                <w:highlight w:val="none"/>
                <w:vertAlign w:val="baseline"/>
                <w:lang w:val="en-US" w:eastAsia="zh-CN"/>
                <w14:textFill>
                  <w14:solidFill>
                    <w14:schemeClr w14:val="tx1"/>
                  </w14:solidFill>
                </w14:textFill>
              </w:rPr>
              <w:t>备注</w:t>
            </w:r>
          </w:p>
        </w:tc>
      </w:tr>
      <w:tr w14:paraId="2EC2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tcPr>
          <w:p w14:paraId="1C235A58">
            <w:pPr>
              <w:widowControl w:val="0"/>
              <w:spacing w:line="360" w:lineRule="auto"/>
              <w:jc w:val="both"/>
              <w:rPr>
                <w:rFonts w:hint="default" w:ascii="仿宋" w:hAnsi="仿宋" w:eastAsia="仿宋" w:cs="仿宋"/>
                <w:color w:val="000000" w:themeColor="text1"/>
                <w:spacing w:val="-16"/>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pacing w:val="-16"/>
                <w:sz w:val="24"/>
                <w:szCs w:val="24"/>
                <w:highlight w:val="none"/>
                <w:vertAlign w:val="baseline"/>
                <w:lang w:val="en-US" w:eastAsia="zh-CN"/>
                <w14:textFill>
                  <w14:solidFill>
                    <w14:schemeClr w14:val="tx1"/>
                  </w14:solidFill>
                </w14:textFill>
              </w:rPr>
              <w:t>1</w:t>
            </w:r>
          </w:p>
        </w:tc>
        <w:tc>
          <w:tcPr>
            <w:tcW w:w="5072" w:type="dxa"/>
          </w:tcPr>
          <w:p w14:paraId="0ECF3AB2">
            <w:pPr>
              <w:widowControl w:val="0"/>
              <w:spacing w:line="360" w:lineRule="auto"/>
              <w:jc w:val="both"/>
              <w:rPr>
                <w:rFonts w:hint="eastAsia" w:ascii="仿宋" w:hAnsi="仿宋" w:eastAsia="仿宋" w:cs="仿宋"/>
                <w:color w:val="000000" w:themeColor="text1"/>
                <w:spacing w:val="-16"/>
                <w:sz w:val="24"/>
                <w:szCs w:val="24"/>
                <w:highlight w:val="none"/>
                <w:vertAlign w:val="baseline"/>
                <w:lang w:eastAsia="zh-CN"/>
                <w14:textFill>
                  <w14:solidFill>
                    <w14:schemeClr w14:val="tx1"/>
                  </w14:solidFill>
                </w14:textFill>
              </w:rPr>
            </w:pPr>
          </w:p>
        </w:tc>
        <w:tc>
          <w:tcPr>
            <w:tcW w:w="2541" w:type="dxa"/>
          </w:tcPr>
          <w:p w14:paraId="3CD93B4F">
            <w:pPr>
              <w:widowControl w:val="0"/>
              <w:spacing w:line="360" w:lineRule="auto"/>
              <w:jc w:val="both"/>
              <w:rPr>
                <w:rFonts w:hint="eastAsia" w:ascii="仿宋" w:hAnsi="仿宋" w:eastAsia="仿宋" w:cs="仿宋"/>
                <w:color w:val="000000" w:themeColor="text1"/>
                <w:spacing w:val="-16"/>
                <w:sz w:val="24"/>
                <w:szCs w:val="24"/>
                <w:highlight w:val="none"/>
                <w:vertAlign w:val="baseline"/>
                <w:lang w:eastAsia="zh-CN"/>
                <w14:textFill>
                  <w14:solidFill>
                    <w14:schemeClr w14:val="tx1"/>
                  </w14:solidFill>
                </w14:textFill>
              </w:rPr>
            </w:pPr>
          </w:p>
        </w:tc>
        <w:tc>
          <w:tcPr>
            <w:tcW w:w="828" w:type="dxa"/>
          </w:tcPr>
          <w:p w14:paraId="52B1C3B3">
            <w:pPr>
              <w:widowControl w:val="0"/>
              <w:spacing w:line="360" w:lineRule="auto"/>
              <w:jc w:val="both"/>
              <w:rPr>
                <w:rFonts w:hint="eastAsia" w:ascii="仿宋" w:hAnsi="仿宋" w:eastAsia="仿宋" w:cs="仿宋"/>
                <w:color w:val="000000" w:themeColor="text1"/>
                <w:spacing w:val="-16"/>
                <w:sz w:val="24"/>
                <w:szCs w:val="24"/>
                <w:highlight w:val="none"/>
                <w:vertAlign w:val="baseline"/>
                <w:lang w:eastAsia="zh-CN"/>
                <w14:textFill>
                  <w14:solidFill>
                    <w14:schemeClr w14:val="tx1"/>
                  </w14:solidFill>
                </w14:textFill>
              </w:rPr>
            </w:pPr>
          </w:p>
        </w:tc>
      </w:tr>
      <w:tr w14:paraId="5576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0" w:type="dxa"/>
            <w:gridSpan w:val="2"/>
          </w:tcPr>
          <w:p w14:paraId="07B53B0B">
            <w:pPr>
              <w:widowControl w:val="0"/>
              <w:spacing w:line="360" w:lineRule="auto"/>
              <w:jc w:val="right"/>
              <w:rPr>
                <w:rFonts w:hint="default" w:ascii="仿宋" w:hAnsi="仿宋" w:eastAsia="仿宋" w:cs="仿宋"/>
                <w:color w:val="000000" w:themeColor="text1"/>
                <w:spacing w:val="-16"/>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pacing w:val="-16"/>
                <w:sz w:val="24"/>
                <w:szCs w:val="24"/>
                <w:highlight w:val="none"/>
                <w:vertAlign w:val="baseline"/>
                <w:lang w:val="en-US" w:eastAsia="zh-CN"/>
                <w14:textFill>
                  <w14:solidFill>
                    <w14:schemeClr w14:val="tx1"/>
                  </w14:solidFill>
                </w14:textFill>
              </w:rPr>
              <w:t>合计（元）</w:t>
            </w:r>
          </w:p>
        </w:tc>
        <w:tc>
          <w:tcPr>
            <w:tcW w:w="2541" w:type="dxa"/>
          </w:tcPr>
          <w:p w14:paraId="1B932F36">
            <w:pPr>
              <w:widowControl w:val="0"/>
              <w:spacing w:line="360" w:lineRule="auto"/>
              <w:jc w:val="both"/>
              <w:rPr>
                <w:rFonts w:hint="eastAsia" w:ascii="仿宋" w:hAnsi="仿宋" w:eastAsia="仿宋" w:cs="仿宋"/>
                <w:color w:val="000000" w:themeColor="text1"/>
                <w:spacing w:val="-16"/>
                <w:sz w:val="24"/>
                <w:szCs w:val="24"/>
                <w:highlight w:val="none"/>
                <w:vertAlign w:val="baseline"/>
                <w:lang w:eastAsia="zh-CN"/>
                <w14:textFill>
                  <w14:solidFill>
                    <w14:schemeClr w14:val="tx1"/>
                  </w14:solidFill>
                </w14:textFill>
              </w:rPr>
            </w:pPr>
          </w:p>
        </w:tc>
        <w:tc>
          <w:tcPr>
            <w:tcW w:w="828" w:type="dxa"/>
          </w:tcPr>
          <w:p w14:paraId="1B3DA71D">
            <w:pPr>
              <w:widowControl w:val="0"/>
              <w:spacing w:line="360" w:lineRule="auto"/>
              <w:jc w:val="both"/>
              <w:rPr>
                <w:rFonts w:hint="eastAsia" w:ascii="仿宋" w:hAnsi="仿宋" w:eastAsia="仿宋" w:cs="仿宋"/>
                <w:color w:val="000000" w:themeColor="text1"/>
                <w:spacing w:val="-16"/>
                <w:sz w:val="24"/>
                <w:szCs w:val="24"/>
                <w:highlight w:val="none"/>
                <w:vertAlign w:val="baseline"/>
                <w:lang w:eastAsia="zh-CN"/>
                <w14:textFill>
                  <w14:solidFill>
                    <w14:schemeClr w14:val="tx1"/>
                  </w14:solidFill>
                </w14:textFill>
              </w:rPr>
            </w:pPr>
          </w:p>
        </w:tc>
      </w:tr>
    </w:tbl>
    <w:p w14:paraId="21AED4BF">
      <w:pPr>
        <w:spacing w:line="360" w:lineRule="auto"/>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731D8948">
      <w:pPr>
        <w:spacing w:line="360" w:lineRule="auto"/>
        <w:rPr>
          <w:rFonts w:hint="eastAsia"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val="en-US" w:eastAsia="zh-CN"/>
          <w14:textFill>
            <w14:solidFill>
              <w14:schemeClr w14:val="tx1"/>
            </w14:solidFill>
          </w14:textFill>
        </w:rPr>
        <w:t xml:space="preserve">注：1.本表应按包分别填写。 </w:t>
      </w:r>
    </w:p>
    <w:p w14:paraId="6FA35B89">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val="en-US" w:eastAsia="zh-CN"/>
          <w14:textFill>
            <w14:solidFill>
              <w14:schemeClr w14:val="tx1"/>
            </w14:solidFill>
          </w14:textFill>
        </w:rPr>
        <w:t xml:space="preserve">2.上述各项的详细规格（如有），可另页描述。 </w:t>
      </w:r>
    </w:p>
    <w:p w14:paraId="346F0659">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val="en-US" w:eastAsia="zh-CN"/>
          <w14:textFill>
            <w14:solidFill>
              <w14:schemeClr w14:val="tx1"/>
            </w14:solidFill>
          </w14:textFill>
        </w:rPr>
        <w:t>3.此表无需在响应文件中提交，磋商后供应商按磋商小组要求提交。</w:t>
      </w:r>
    </w:p>
    <w:p w14:paraId="657106CB">
      <w:pPr>
        <w:spacing w:line="360" w:lineRule="auto"/>
        <w:ind w:hanging="41"/>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p w14:paraId="02EAF5B8">
      <w:pPr>
        <w:spacing w:line="360" w:lineRule="auto"/>
        <w:ind w:hanging="41"/>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p w14:paraId="43982D0F">
      <w:pPr>
        <w:spacing w:line="360" w:lineRule="auto"/>
        <w:ind w:hanging="41"/>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供应商授权代表签字（或加盖供应商公章）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3473060E">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3AA42FCA">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475C18B0">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332C015D">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34E084EA">
      <w:pPr>
        <w:rPr>
          <w:rFonts w:hint="eastAsia" w:ascii="仿宋" w:hAnsi="仿宋" w:eastAsia="仿宋" w:cs="仿宋"/>
          <w:color w:val="000000" w:themeColor="text1"/>
          <w:highlight w:val="none"/>
          <w14:textFill>
            <w14:solidFill>
              <w14:schemeClr w14:val="tx1"/>
            </w14:solidFill>
          </w14:textFill>
        </w:rPr>
      </w:pPr>
    </w:p>
    <w:p w14:paraId="0F471453">
      <w:pPr>
        <w:spacing w:line="360" w:lineRule="auto"/>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sectPr>
      <w:pgSz w:w="11907" w:h="16839"/>
      <w:pgMar w:top="1417" w:right="1417" w:bottom="1417" w:left="1417" w:header="1191" w:footer="96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6DF62">
    <w:pPr>
      <w:pStyle w:val="1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653FF">
    <w:pPr>
      <w:pStyle w:val="9"/>
      <w:spacing w:line="189" w:lineRule="auto"/>
      <w:ind w:left="4430"/>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3E45E">
                          <w:pPr>
                            <w:pStyle w:val="1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323E45E">
                    <w:pPr>
                      <w:pStyle w:val="1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8DCE4">
    <w:pPr>
      <w:pStyle w:val="1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0BB9C">
                          <w:pPr>
                            <w:pStyle w:val="1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490BB9C">
                    <w:pPr>
                      <w:pStyle w:val="1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22419">
    <w:pPr>
      <w:pStyle w:val="1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A8B3F">
                          <w:pPr>
                            <w:pStyle w:val="1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00A8B3F">
                    <w:pPr>
                      <w:pStyle w:val="1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34720">
    <w:pPr>
      <w:pStyle w:val="15"/>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4122E">
                          <w:pPr>
                            <w:pStyle w:val="1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4B4122E">
                    <w:pPr>
                      <w:pStyle w:val="1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010D2">
    <w:pPr>
      <w:pStyle w:val="15"/>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56E7E">
                          <w:pPr>
                            <w:pStyle w:val="1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3656E7E">
                    <w:pPr>
                      <w:pStyle w:val="1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5833E">
    <w:pPr>
      <w:pStyle w:val="1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C347B">
                          <w:pPr>
                            <w:pStyle w:val="1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28C347B">
                    <w:pPr>
                      <w:pStyle w:val="15"/>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7A488">
    <w:pPr>
      <w:pStyle w:val="15"/>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4FFE13">
                          <w:pPr>
                            <w:pStyle w:val="1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64FFE13">
                    <w:pPr>
                      <w:pStyle w:val="1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F74E2">
    <w:pPr>
      <w:pStyle w:val="15"/>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4D023">
                          <w:pPr>
                            <w:pStyle w:val="1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6B4D023">
                    <w:pPr>
                      <w:pStyle w:val="1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E2312">
    <w:pPr>
      <w:pStyle w:val="15"/>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A6A57D">
                          <w:pPr>
                            <w:pStyle w:val="1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0A6A57D">
                    <w:pPr>
                      <w:pStyle w:val="1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0F973">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EA4AB">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580979">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580979">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0B047">
    <w:pPr>
      <w:pStyle w:val="9"/>
      <w:spacing w:line="189" w:lineRule="auto"/>
      <w:ind w:left="4434"/>
      <w:rPr>
        <w:rFonts w:eastAsia="宋体"/>
        <w:sz w:val="18"/>
        <w:szCs w:val="18"/>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3D576">
                          <w:pPr>
                            <w:pStyle w:val="1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63D576">
                    <w:pPr>
                      <w:pStyle w:val="1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461D8">
    <w:pPr>
      <w:spacing w:line="237" w:lineRule="auto"/>
      <w:ind w:left="4821"/>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6E7D20">
                          <w:pPr>
                            <w:pStyle w:val="15"/>
                          </w:pPr>
                          <w:r>
                            <w:fldChar w:fldCharType="begin"/>
                          </w:r>
                          <w:r>
                            <w:instrText xml:space="preserve"> PAGE  \* MERGEFORMAT </w:instrText>
                          </w:r>
                          <w:r>
                            <w:fldChar w:fldCharType="separate"/>
                          </w:r>
                          <w:r>
                            <w:t>71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OwyWM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OwyWMoBAACbAwAADgAAAAAAAAABACAAAAAeAQAAZHJzL2Uyb0Rv&#10;Yy54bWxQSwUGAAAAAAYABgBZAQAAWgUAAAAA&#10;">
              <v:fill on="f" focussize="0,0"/>
              <v:stroke on="f"/>
              <v:imagedata o:title=""/>
              <o:lock v:ext="edit" aspectratio="f"/>
              <v:textbox inset="0mm,0mm,0mm,0mm" style="mso-fit-shape-to-text:t;">
                <w:txbxContent>
                  <w:p w14:paraId="386E7D20">
                    <w:pPr>
                      <w:pStyle w:val="15"/>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3388C">
    <w:pPr>
      <w:spacing w:line="236" w:lineRule="auto"/>
      <w:ind w:left="4780"/>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8AFBB0">
                          <w:pPr>
                            <w:pStyle w:val="15"/>
                          </w:pPr>
                          <w:r>
                            <w:fldChar w:fldCharType="begin"/>
                          </w:r>
                          <w:r>
                            <w:instrText xml:space="preserve"> PAGE  \* MERGEFORMAT </w:instrText>
                          </w:r>
                          <w:r>
                            <w:fldChar w:fldCharType="separate"/>
                          </w:r>
                          <w:r>
                            <w:t>157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ga0MoBAACd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nVG0octzjy888f51+P54fv&#10;JDtRoj5AjZl3AXPT8N4PmD77AZ2Z+aCizV/kRDCOAp8uAsshEZEfrZarVYUhgbH5gvjs6XmIkD5I&#10;b0k2GhpxgkVYfvwEaUydU3I152+1MWWKxv3lQMzsYbn3scdspWE3TIR2vj0hnx6H31CHu06J+ehQ&#10;27wnsxFnYzcbhxD1viuLlOtBeHdI2ETpLVcYYafCOLXCbtqwvBZ/3kvW01+1+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Dsga0MoBAACdAwAADgAAAAAAAAABACAAAAAeAQAAZHJzL2Uyb0Rv&#10;Yy54bWxQSwUGAAAAAAYABgBZAQAAWgUAAAAA&#10;">
              <v:fill on="f" focussize="0,0"/>
              <v:stroke on="f"/>
              <v:imagedata o:title=""/>
              <o:lock v:ext="edit" aspectratio="f"/>
              <v:textbox inset="0mm,0mm,0mm,0mm" style="mso-fit-shape-to-text:t;">
                <w:txbxContent>
                  <w:p w14:paraId="3A8AFBB0">
                    <w:pPr>
                      <w:pStyle w:val="15"/>
                    </w:pPr>
                    <w:r>
                      <w:fldChar w:fldCharType="begin"/>
                    </w:r>
                    <w:r>
                      <w:instrText xml:space="preserve"> PAGE  \* MERGEFORMAT </w:instrText>
                    </w:r>
                    <w:r>
                      <w:fldChar w:fldCharType="separate"/>
                    </w:r>
                    <w:r>
                      <w:t>157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0C923">
    <w:pPr>
      <w:spacing w:line="237" w:lineRule="auto"/>
      <w:ind w:left="4777"/>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05D462">
                          <w:pPr>
                            <w:pStyle w:val="15"/>
                          </w:pPr>
                          <w:r>
                            <w:fldChar w:fldCharType="begin"/>
                          </w:r>
                          <w:r>
                            <w:instrText xml:space="preserve"> PAGE  \* MERGEFORMAT </w:instrText>
                          </w:r>
                          <w:r>
                            <w:fldChar w:fldCharType="separate"/>
                          </w:r>
                          <w:r>
                            <w:t>212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JbPHMkBAACd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HLzjFkd+/vH9/PP3+dc3&#10;kp0oUR+gxszHgLlpuPEDps9+QGdmPqho8xc5EYyjwKeLwHJIRORHq+VqVWFIYGy+ID57eh4ipDvp&#10;LclGQyNOsAjLj/eQxtQ5JVdz/lYbU6Zo3F8OxMwelnsfe8xWGnbDRGjn2xPy6XH4DXW465SYjw61&#10;zXsyG3E2drNxCFHvu7JIuR6ED4eETZTecoURdiqMUyvspg3La/H8XrKe/qrN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ls8cyQEAAJ0DAAAOAAAAAAAAAAEAIAAAAB4BAABkcnMvZTJvRG9j&#10;LnhtbFBLBQYAAAAABgAGAFkBAABZBQAAAAA=&#10;">
              <v:fill on="f" focussize="0,0"/>
              <v:stroke on="f"/>
              <v:imagedata o:title=""/>
              <o:lock v:ext="edit" aspectratio="f"/>
              <v:textbox inset="0mm,0mm,0mm,0mm" style="mso-fit-shape-to-text:t;">
                <w:txbxContent>
                  <w:p w14:paraId="5505D462">
                    <w:pPr>
                      <w:pStyle w:val="15"/>
                    </w:pPr>
                    <w:r>
                      <w:fldChar w:fldCharType="begin"/>
                    </w:r>
                    <w:r>
                      <w:instrText xml:space="preserve"> PAGE  \* MERGEFORMAT </w:instrText>
                    </w:r>
                    <w:r>
                      <w:fldChar w:fldCharType="separate"/>
                    </w:r>
                    <w:r>
                      <w:t>212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48378">
    <w:pPr>
      <w:pStyle w:val="9"/>
      <w:spacing w:line="189" w:lineRule="auto"/>
      <w:ind w:left="4435"/>
      <w:rPr>
        <w:rFonts w:ascii="Times New Roman" w:hAnsi="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C7951D">
                          <w:pPr>
                            <w:pStyle w:val="1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BC7951D">
                    <w:pPr>
                      <w:pStyle w:val="1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40DB2">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5FB5B">
                          <w:pPr>
                            <w:pStyle w:val="1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645FB5B">
                    <w:pPr>
                      <w:pStyle w:val="15"/>
                    </w:pPr>
                    <w:r>
                      <w:fldChar w:fldCharType="begin"/>
                    </w:r>
                    <w:r>
                      <w:instrText xml:space="preserve"> PAGE  \* MERGEFORMAT </w:instrText>
                    </w:r>
                    <w:r>
                      <w:fldChar w:fldCharType="separate"/>
                    </w:r>
                    <w: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7CC6B">
    <w:pPr>
      <w:pStyle w:val="1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41CCD">
    <w:pPr>
      <w:pStyle w:val="16"/>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BFC08">
    <w:pPr>
      <w:spacing w:before="37" w:line="200" w:lineRule="auto"/>
      <w:ind w:right="12"/>
      <w:jc w:val="right"/>
      <w:rPr>
        <w:rFonts w:hint="eastAsia" w:ascii="微软雅黑" w:hAnsi="微软雅黑" w:eastAsia="微软雅黑" w:cs="微软雅黑"/>
        <w:sz w:val="18"/>
        <w:szCs w:val="18"/>
      </w:rPr>
    </w:pPr>
    <w:r>
      <w:rPr>
        <w:lang w:eastAsia="zh-CN"/>
      </w:rPr>
      <mc:AlternateContent>
        <mc:Choice Requires="wps">
          <w:drawing>
            <wp:anchor distT="0" distB="0" distL="0" distR="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104" name="任意多边形 35"/>
              <wp:cNvGraphicFramePr/>
              <a:graphic xmlns:a="http://schemas.openxmlformats.org/drawingml/2006/main">
                <a:graphicData uri="http://schemas.microsoft.com/office/word/2010/wordprocessingShape">
                  <wps:wsp>
                    <wps:cNvSpPr/>
                    <wps:spPr>
                      <a:xfrm>
                        <a:off x="0" y="0"/>
                        <a:ext cx="5761355" cy="9525"/>
                      </a:xfrm>
                      <a:custGeom>
                        <a:avLst/>
                        <a:gdLst/>
                        <a:ahLst/>
                        <a:cxnLst/>
                        <a:rect l="l" t="t" r="r" b="b"/>
                        <a:pathLst>
                          <a:path w="9072" h="15">
                            <a:moveTo>
                              <a:pt x="0" y="0"/>
                            </a:moveTo>
                            <a:lnTo>
                              <a:pt x="9072" y="0"/>
                            </a:lnTo>
                            <a:lnTo>
                              <a:pt x="9072" y="14"/>
                            </a:lnTo>
                            <a:lnTo>
                              <a:pt x="0" y="14"/>
                            </a:lnTo>
                            <a:lnTo>
                              <a:pt x="0" y="0"/>
                            </a:lnTo>
                            <a:close/>
                          </a:path>
                        </a:pathLst>
                      </a:custGeom>
                      <a:solidFill>
                        <a:srgbClr val="000000"/>
                      </a:solidFill>
                      <a:ln>
                        <a:noFill/>
                      </a:ln>
                    </wps:spPr>
                    <wps:bodyPr/>
                  </wps:wsp>
                </a:graphicData>
              </a:graphic>
            </wp:anchor>
          </w:drawing>
        </mc:Choice>
        <mc:Fallback>
          <w:pict>
            <v:shape id="任意多边形 35"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63CPERoCAACUBAAADgAAAGRycy9lMm9Eb2MueG1srVTN&#10;jtMwEL4j8Q6W7zRpt9mFqukeqJYLgpV2eQDXcRpL/pPHbdo7d+4cES+BVuzTsIjHYOw0bSlC6oEc&#10;krFn/M18840zvd5oRdbCg7SmpMNBTokw3FbSLEv64f7mxUtKIDBTMWWNKOlWAL2ePX82bd1EjGxj&#10;VSU8QRADk9aVtAnBTbIMeCM0g4F1wqCztl6zgEu/zCrPWkTXKhvl+WXWWl85b7kAwN1556Q7RH8O&#10;oK1rycXc8pUWJnSoXigWkBI00gGdpWrrWvDwvq5BBKJKikxDemMStBfxnc2mbLL0zDWS70pg55Rw&#10;wkkzaTDpHmrOAiMrL/+C0pJ7C7YOA2511hFJHUEWw/ykN3cNcyJxwVaD2zcd/h8sf7e+9URWJR0P&#10;8zElhmnU/MfDw8+Pn56+fv71+O3p+xdyUcRGtQ4mGH/nbv1uBWhG1pva6/hFPmSTmrvdN1dsAuG4&#10;WVxdDi+KghKOvlfFKEFmh7N8BeGNsAmHrd9C6KSpeos1vcU3pjc9ChylVUnaQAlK65O0i05ax0I8&#10;F4uLJmkxd341oqTB2S+SZNquxb1NEeGkeizv4FXmOKpD6WliYO/uvy6B7cOG41jQP+NwHhHrrKA0&#10;tEdAXFkQHXakmJLsaWPccWPBKlndSKUiXfDLxWvlyZrFy5GeXY1/hCkTg42Nx3oKmCROQ6d/tBa2&#10;2qaxSPs4rKmM3cWKt+F4nU4ffiaz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Safo/YAAAADAEA&#10;AA8AAAAAAAAAAQAgAAAAIgAAAGRycy9kb3ducmV2LnhtbFBLAQIUABQAAAAIAIdO4kDrcI8RGgIA&#10;AJQEAAAOAAAAAAAAAAEAIAAAACcBAABkcnMvZTJvRG9jLnhtbFBLBQYAAAAABgAGAFkBAACzBQAA&#10;AAA=&#10;" path="m0,0l9072,0,9072,14,0,14,0,0xe">
              <v:fill on="t" focussize="0,0"/>
              <v:stroke on="f"/>
              <v:imagedata o:title=""/>
              <o:lock v:ext="edit" aspectratio="f"/>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A6C03">
    <w:pPr>
      <w:pStyle w:val="16"/>
      <w:pBdr>
        <w:bottom w:val="none" w:color="auto" w:sz="0" w:space="1"/>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B639A">
    <w:pPr>
      <w:pStyle w:val="16"/>
      <w:pBdr>
        <w:bottom w:val="none" w:color="auto" w:sz="0" w:space="1"/>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0AE9F">
    <w:pPr>
      <w:pStyle w:val="16"/>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54E92">
    <w:pPr>
      <w:pStyle w:val="16"/>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FA34C">
    <w:pPr>
      <w:pStyle w:val="16"/>
      <w:pBdr>
        <w:bottom w:val="none" w:color="auto" w:sz="0" w:space="1"/>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AFC3B">
    <w:pPr>
      <w:pStyle w:val="16"/>
      <w:pBdr>
        <w:bottom w:val="none" w:color="auto" w:sz="0" w:space="1"/>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8F649">
    <w:pPr>
      <w:pStyle w:val="16"/>
      <w:pBdr>
        <w:bottom w:val="none" w:color="auto" w:sz="0" w:space="1"/>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64755">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861BC">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FEB5C">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5C75A">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B671B">
    <w:pPr>
      <w:pStyle w:val="16"/>
      <w:rPr>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BE448">
    <w:pPr>
      <w:pStyle w:val="9"/>
      <w:spacing w:line="46"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54B57">
    <w:pPr>
      <w:pStyle w:val="9"/>
      <w:spacing w:line="46"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2DCE3">
    <w:pPr>
      <w:pStyle w:val="9"/>
      <w:spacing w:line="46"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69FB6">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726295"/>
    <w:multiLevelType w:val="singleLevel"/>
    <w:tmpl w:val="13726295"/>
    <w:lvl w:ilvl="0" w:tentative="0">
      <w:start w:val="1"/>
      <w:numFmt w:val="decimal"/>
      <w:suff w:val="nothing"/>
      <w:lvlText w:val="（%1）"/>
      <w:lvlJc w:val="left"/>
    </w:lvl>
  </w:abstractNum>
  <w:abstractNum w:abstractNumId="1">
    <w:nsid w:val="164282A6"/>
    <w:multiLevelType w:val="singleLevel"/>
    <w:tmpl w:val="164282A6"/>
    <w:lvl w:ilvl="0" w:tentative="0">
      <w:start w:val="2"/>
      <w:numFmt w:val="decimal"/>
      <w:suff w:val="nothing"/>
      <w:lvlText w:val="（%1）"/>
      <w:lvlJc w:val="left"/>
    </w:lvl>
  </w:abstractNum>
  <w:abstractNum w:abstractNumId="2">
    <w:nsid w:val="49A00603"/>
    <w:multiLevelType w:val="singleLevel"/>
    <w:tmpl w:val="49A00603"/>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263"/>
    <w:rsid w:val="000335EC"/>
    <w:rsid w:val="000378A2"/>
    <w:rsid w:val="0024527F"/>
    <w:rsid w:val="002630BB"/>
    <w:rsid w:val="00282860"/>
    <w:rsid w:val="00283EB8"/>
    <w:rsid w:val="00331853"/>
    <w:rsid w:val="003641D1"/>
    <w:rsid w:val="003C5A2A"/>
    <w:rsid w:val="004B444B"/>
    <w:rsid w:val="004F4AA0"/>
    <w:rsid w:val="005A785A"/>
    <w:rsid w:val="00636549"/>
    <w:rsid w:val="006A7C32"/>
    <w:rsid w:val="00711263"/>
    <w:rsid w:val="00796F7E"/>
    <w:rsid w:val="007E2EF7"/>
    <w:rsid w:val="008B1F85"/>
    <w:rsid w:val="008C163E"/>
    <w:rsid w:val="00910115"/>
    <w:rsid w:val="00911349"/>
    <w:rsid w:val="009339C7"/>
    <w:rsid w:val="00980DD0"/>
    <w:rsid w:val="00A83046"/>
    <w:rsid w:val="00AB62F7"/>
    <w:rsid w:val="00B51674"/>
    <w:rsid w:val="00B60F5C"/>
    <w:rsid w:val="00B9786B"/>
    <w:rsid w:val="00BB071F"/>
    <w:rsid w:val="00BF706B"/>
    <w:rsid w:val="00C756C6"/>
    <w:rsid w:val="00C77DC7"/>
    <w:rsid w:val="00E710D0"/>
    <w:rsid w:val="00F13C42"/>
    <w:rsid w:val="00F742D5"/>
    <w:rsid w:val="00F824B0"/>
    <w:rsid w:val="00FD3715"/>
    <w:rsid w:val="010817C6"/>
    <w:rsid w:val="011473B7"/>
    <w:rsid w:val="0149727D"/>
    <w:rsid w:val="01FA47FF"/>
    <w:rsid w:val="022A64DC"/>
    <w:rsid w:val="02A227A1"/>
    <w:rsid w:val="02C1356F"/>
    <w:rsid w:val="02DE7C7D"/>
    <w:rsid w:val="03304250"/>
    <w:rsid w:val="03AE3AF3"/>
    <w:rsid w:val="03E03323"/>
    <w:rsid w:val="03EA08A3"/>
    <w:rsid w:val="042518DB"/>
    <w:rsid w:val="04371FAD"/>
    <w:rsid w:val="04642403"/>
    <w:rsid w:val="04673CA2"/>
    <w:rsid w:val="046B5540"/>
    <w:rsid w:val="047168CE"/>
    <w:rsid w:val="0495639A"/>
    <w:rsid w:val="04C33E81"/>
    <w:rsid w:val="05121E5F"/>
    <w:rsid w:val="053E7F1C"/>
    <w:rsid w:val="05485881"/>
    <w:rsid w:val="056D353A"/>
    <w:rsid w:val="05D45367"/>
    <w:rsid w:val="05F23A3F"/>
    <w:rsid w:val="06304C93"/>
    <w:rsid w:val="06431872"/>
    <w:rsid w:val="06593DCE"/>
    <w:rsid w:val="06D00631"/>
    <w:rsid w:val="06D33870"/>
    <w:rsid w:val="06FC2DC7"/>
    <w:rsid w:val="071A324D"/>
    <w:rsid w:val="072E6CF9"/>
    <w:rsid w:val="07300CC3"/>
    <w:rsid w:val="0730481F"/>
    <w:rsid w:val="073360BD"/>
    <w:rsid w:val="075C1AB8"/>
    <w:rsid w:val="078D3A1F"/>
    <w:rsid w:val="0790372C"/>
    <w:rsid w:val="07A73C2E"/>
    <w:rsid w:val="07CD4764"/>
    <w:rsid w:val="07F700E8"/>
    <w:rsid w:val="084F5179"/>
    <w:rsid w:val="08BD6586"/>
    <w:rsid w:val="08BF496D"/>
    <w:rsid w:val="09AF2373"/>
    <w:rsid w:val="0A0E037F"/>
    <w:rsid w:val="0A1C108A"/>
    <w:rsid w:val="0A486323"/>
    <w:rsid w:val="0A491D58"/>
    <w:rsid w:val="0A656ED5"/>
    <w:rsid w:val="0AC41565"/>
    <w:rsid w:val="0AC534D0"/>
    <w:rsid w:val="0B1526A9"/>
    <w:rsid w:val="0B420FC5"/>
    <w:rsid w:val="0B492353"/>
    <w:rsid w:val="0BBF04AB"/>
    <w:rsid w:val="0C030754"/>
    <w:rsid w:val="0C060244"/>
    <w:rsid w:val="0C2B1A59"/>
    <w:rsid w:val="0C6A2581"/>
    <w:rsid w:val="0CC47F74"/>
    <w:rsid w:val="0D1A74F3"/>
    <w:rsid w:val="0D301714"/>
    <w:rsid w:val="0DB735A4"/>
    <w:rsid w:val="0DB8556E"/>
    <w:rsid w:val="0DC65EDD"/>
    <w:rsid w:val="0DF43961"/>
    <w:rsid w:val="0E574D87"/>
    <w:rsid w:val="0E682AF0"/>
    <w:rsid w:val="0E7616B1"/>
    <w:rsid w:val="0F225395"/>
    <w:rsid w:val="0F2E29B6"/>
    <w:rsid w:val="0F9F0794"/>
    <w:rsid w:val="0FA20284"/>
    <w:rsid w:val="105276E7"/>
    <w:rsid w:val="10D34B99"/>
    <w:rsid w:val="10E51B6D"/>
    <w:rsid w:val="11EE155E"/>
    <w:rsid w:val="11F53406"/>
    <w:rsid w:val="11FF2F15"/>
    <w:rsid w:val="128A572B"/>
    <w:rsid w:val="13734411"/>
    <w:rsid w:val="13BB7E54"/>
    <w:rsid w:val="13F015BE"/>
    <w:rsid w:val="13F55B42"/>
    <w:rsid w:val="140A62D0"/>
    <w:rsid w:val="142E20E6"/>
    <w:rsid w:val="14863CD0"/>
    <w:rsid w:val="14BD4D61"/>
    <w:rsid w:val="1547312A"/>
    <w:rsid w:val="1553305D"/>
    <w:rsid w:val="15567B46"/>
    <w:rsid w:val="15785D0F"/>
    <w:rsid w:val="157C32A8"/>
    <w:rsid w:val="15913C53"/>
    <w:rsid w:val="15A00DC2"/>
    <w:rsid w:val="15F134B4"/>
    <w:rsid w:val="160A437D"/>
    <w:rsid w:val="161767F2"/>
    <w:rsid w:val="16CD4A4F"/>
    <w:rsid w:val="17D26FEE"/>
    <w:rsid w:val="180612BF"/>
    <w:rsid w:val="18252379"/>
    <w:rsid w:val="18477C1A"/>
    <w:rsid w:val="18737B4B"/>
    <w:rsid w:val="191F46F3"/>
    <w:rsid w:val="19486A98"/>
    <w:rsid w:val="195E521C"/>
    <w:rsid w:val="197378D3"/>
    <w:rsid w:val="19AC242B"/>
    <w:rsid w:val="19BD0194"/>
    <w:rsid w:val="1A2F0F08"/>
    <w:rsid w:val="1A4077C6"/>
    <w:rsid w:val="1A4D795A"/>
    <w:rsid w:val="1A9D12FA"/>
    <w:rsid w:val="1B166B7D"/>
    <w:rsid w:val="1B2D209C"/>
    <w:rsid w:val="1B591843"/>
    <w:rsid w:val="1BB2184F"/>
    <w:rsid w:val="1C142509"/>
    <w:rsid w:val="1C7A39D9"/>
    <w:rsid w:val="1C7B60E4"/>
    <w:rsid w:val="1CB272DF"/>
    <w:rsid w:val="1CC47A8B"/>
    <w:rsid w:val="1CF77E61"/>
    <w:rsid w:val="1D003EA7"/>
    <w:rsid w:val="1D0E2495"/>
    <w:rsid w:val="1D39424F"/>
    <w:rsid w:val="1D5F1562"/>
    <w:rsid w:val="1DCF66E8"/>
    <w:rsid w:val="1E025871"/>
    <w:rsid w:val="1E1D7947"/>
    <w:rsid w:val="1E314019"/>
    <w:rsid w:val="1E426EBA"/>
    <w:rsid w:val="1E562965"/>
    <w:rsid w:val="1EBB08B5"/>
    <w:rsid w:val="1EE15B4A"/>
    <w:rsid w:val="1F100D66"/>
    <w:rsid w:val="1FA33F62"/>
    <w:rsid w:val="1FC35DD8"/>
    <w:rsid w:val="1FE50445"/>
    <w:rsid w:val="1FEF3071"/>
    <w:rsid w:val="200A3A07"/>
    <w:rsid w:val="208F4C4A"/>
    <w:rsid w:val="20931C4F"/>
    <w:rsid w:val="20E27B73"/>
    <w:rsid w:val="20FE1D77"/>
    <w:rsid w:val="21393401"/>
    <w:rsid w:val="21937A2C"/>
    <w:rsid w:val="21A165ED"/>
    <w:rsid w:val="220B6806"/>
    <w:rsid w:val="229B303C"/>
    <w:rsid w:val="2302130E"/>
    <w:rsid w:val="23305E7B"/>
    <w:rsid w:val="234822FE"/>
    <w:rsid w:val="23503E27"/>
    <w:rsid w:val="242B6642"/>
    <w:rsid w:val="249B7324"/>
    <w:rsid w:val="24AC1531"/>
    <w:rsid w:val="251D5F8B"/>
    <w:rsid w:val="25262F8B"/>
    <w:rsid w:val="253A3AB2"/>
    <w:rsid w:val="255045B2"/>
    <w:rsid w:val="25AB7A3A"/>
    <w:rsid w:val="25EB7E37"/>
    <w:rsid w:val="263712CE"/>
    <w:rsid w:val="26667E05"/>
    <w:rsid w:val="26B24DF9"/>
    <w:rsid w:val="26B75F6B"/>
    <w:rsid w:val="26D94133"/>
    <w:rsid w:val="26E256DE"/>
    <w:rsid w:val="26E322A8"/>
    <w:rsid w:val="275F42F2"/>
    <w:rsid w:val="2766100D"/>
    <w:rsid w:val="277F76C7"/>
    <w:rsid w:val="27897907"/>
    <w:rsid w:val="278C389C"/>
    <w:rsid w:val="280D678A"/>
    <w:rsid w:val="28506677"/>
    <w:rsid w:val="286A4149"/>
    <w:rsid w:val="289202C1"/>
    <w:rsid w:val="28CD229B"/>
    <w:rsid w:val="295C2DFA"/>
    <w:rsid w:val="298A5BB9"/>
    <w:rsid w:val="29AA0009"/>
    <w:rsid w:val="29C72969"/>
    <w:rsid w:val="2A854AAC"/>
    <w:rsid w:val="2A977AFA"/>
    <w:rsid w:val="2A9A62D0"/>
    <w:rsid w:val="2AF544B9"/>
    <w:rsid w:val="2B5B780D"/>
    <w:rsid w:val="2BCA4992"/>
    <w:rsid w:val="2C2C2F57"/>
    <w:rsid w:val="2C7F577D"/>
    <w:rsid w:val="2CD20CFA"/>
    <w:rsid w:val="2CE26AA9"/>
    <w:rsid w:val="2CE27C7F"/>
    <w:rsid w:val="2D0771C8"/>
    <w:rsid w:val="2D0A13DA"/>
    <w:rsid w:val="2D1265F1"/>
    <w:rsid w:val="2D1B54A6"/>
    <w:rsid w:val="2D3622E0"/>
    <w:rsid w:val="2D3E1194"/>
    <w:rsid w:val="2D3E73E6"/>
    <w:rsid w:val="2D8F23BE"/>
    <w:rsid w:val="2DEC6E42"/>
    <w:rsid w:val="2E527668"/>
    <w:rsid w:val="2E67296D"/>
    <w:rsid w:val="2E6E7857"/>
    <w:rsid w:val="2E960B5C"/>
    <w:rsid w:val="2EB45BB2"/>
    <w:rsid w:val="2EDC6EB7"/>
    <w:rsid w:val="2F326AD7"/>
    <w:rsid w:val="2F6A2714"/>
    <w:rsid w:val="2F984477"/>
    <w:rsid w:val="2FB67708"/>
    <w:rsid w:val="2FD46D46"/>
    <w:rsid w:val="2FF72B4A"/>
    <w:rsid w:val="304765B2"/>
    <w:rsid w:val="30534F57"/>
    <w:rsid w:val="305667F5"/>
    <w:rsid w:val="30D03A8B"/>
    <w:rsid w:val="30DC4F4C"/>
    <w:rsid w:val="31342FDA"/>
    <w:rsid w:val="313E1348"/>
    <w:rsid w:val="32032452"/>
    <w:rsid w:val="322C5A5F"/>
    <w:rsid w:val="32342B66"/>
    <w:rsid w:val="32843AED"/>
    <w:rsid w:val="32BF0681"/>
    <w:rsid w:val="332C1A8F"/>
    <w:rsid w:val="33B73BA1"/>
    <w:rsid w:val="33C95515"/>
    <w:rsid w:val="33CA19D4"/>
    <w:rsid w:val="33F42819"/>
    <w:rsid w:val="33FF738F"/>
    <w:rsid w:val="344E7B44"/>
    <w:rsid w:val="34937F79"/>
    <w:rsid w:val="349B061F"/>
    <w:rsid w:val="34B306BA"/>
    <w:rsid w:val="34D568A0"/>
    <w:rsid w:val="34FD7B87"/>
    <w:rsid w:val="35064C8D"/>
    <w:rsid w:val="352315D1"/>
    <w:rsid w:val="353663B3"/>
    <w:rsid w:val="35611EC4"/>
    <w:rsid w:val="35880DAD"/>
    <w:rsid w:val="35B53F72"/>
    <w:rsid w:val="35B9585C"/>
    <w:rsid w:val="35CF20A5"/>
    <w:rsid w:val="36633A19"/>
    <w:rsid w:val="36833137"/>
    <w:rsid w:val="36C1716F"/>
    <w:rsid w:val="374455F9"/>
    <w:rsid w:val="376260A7"/>
    <w:rsid w:val="37A461DA"/>
    <w:rsid w:val="37B15A15"/>
    <w:rsid w:val="38926838"/>
    <w:rsid w:val="38ED1BEF"/>
    <w:rsid w:val="39237490"/>
    <w:rsid w:val="396C0E37"/>
    <w:rsid w:val="396E4BAF"/>
    <w:rsid w:val="39A65D0B"/>
    <w:rsid w:val="39E60BE9"/>
    <w:rsid w:val="3A3951BD"/>
    <w:rsid w:val="3A412794"/>
    <w:rsid w:val="3A6471A5"/>
    <w:rsid w:val="3AAC1E33"/>
    <w:rsid w:val="3AAD1707"/>
    <w:rsid w:val="3B9B5A04"/>
    <w:rsid w:val="3BA64AD4"/>
    <w:rsid w:val="3BDA07D1"/>
    <w:rsid w:val="3BEE1FD7"/>
    <w:rsid w:val="3C11581F"/>
    <w:rsid w:val="3C836BC3"/>
    <w:rsid w:val="3C9F1D6D"/>
    <w:rsid w:val="3CEA09F1"/>
    <w:rsid w:val="3D205BB3"/>
    <w:rsid w:val="3D6A38DF"/>
    <w:rsid w:val="3D803103"/>
    <w:rsid w:val="3DD23C8F"/>
    <w:rsid w:val="3DDC2A2F"/>
    <w:rsid w:val="3DE878A0"/>
    <w:rsid w:val="3DEA6EC8"/>
    <w:rsid w:val="3DF57811"/>
    <w:rsid w:val="3E11697C"/>
    <w:rsid w:val="3E6A67A5"/>
    <w:rsid w:val="3E921340"/>
    <w:rsid w:val="3EF40282"/>
    <w:rsid w:val="3F1461F9"/>
    <w:rsid w:val="3F1D32FF"/>
    <w:rsid w:val="3F3107F4"/>
    <w:rsid w:val="3F520ACF"/>
    <w:rsid w:val="3F6E1604"/>
    <w:rsid w:val="3FB5178A"/>
    <w:rsid w:val="40093AB5"/>
    <w:rsid w:val="401A339B"/>
    <w:rsid w:val="40644F5E"/>
    <w:rsid w:val="41024169"/>
    <w:rsid w:val="412C6E0B"/>
    <w:rsid w:val="417D0085"/>
    <w:rsid w:val="41B0606B"/>
    <w:rsid w:val="42187DAE"/>
    <w:rsid w:val="42803286"/>
    <w:rsid w:val="42B05C0A"/>
    <w:rsid w:val="42D02437"/>
    <w:rsid w:val="42E63A08"/>
    <w:rsid w:val="42F75C15"/>
    <w:rsid w:val="431F63BB"/>
    <w:rsid w:val="43721740"/>
    <w:rsid w:val="43B6162D"/>
    <w:rsid w:val="43CA332A"/>
    <w:rsid w:val="44552FCF"/>
    <w:rsid w:val="44F52628"/>
    <w:rsid w:val="44FC5DAB"/>
    <w:rsid w:val="45ED00D2"/>
    <w:rsid w:val="45EF39DA"/>
    <w:rsid w:val="46050649"/>
    <w:rsid w:val="463B0E67"/>
    <w:rsid w:val="46841EB6"/>
    <w:rsid w:val="468678E7"/>
    <w:rsid w:val="469C2FA7"/>
    <w:rsid w:val="46A75BA4"/>
    <w:rsid w:val="46B21F99"/>
    <w:rsid w:val="46BF6A4A"/>
    <w:rsid w:val="46DD3374"/>
    <w:rsid w:val="46E42955"/>
    <w:rsid w:val="471D77D7"/>
    <w:rsid w:val="473016F6"/>
    <w:rsid w:val="473A69FE"/>
    <w:rsid w:val="4779309D"/>
    <w:rsid w:val="47881532"/>
    <w:rsid w:val="47A20030"/>
    <w:rsid w:val="47F22E4F"/>
    <w:rsid w:val="484F02A2"/>
    <w:rsid w:val="488C5052"/>
    <w:rsid w:val="48CE799F"/>
    <w:rsid w:val="48D06EBC"/>
    <w:rsid w:val="48F352BC"/>
    <w:rsid w:val="49296D45"/>
    <w:rsid w:val="495426F7"/>
    <w:rsid w:val="49555444"/>
    <w:rsid w:val="499C0B00"/>
    <w:rsid w:val="49B065B3"/>
    <w:rsid w:val="4A403EEA"/>
    <w:rsid w:val="4ACE3700"/>
    <w:rsid w:val="4AE100E3"/>
    <w:rsid w:val="4B0233A9"/>
    <w:rsid w:val="4B1F03FF"/>
    <w:rsid w:val="4B5736F5"/>
    <w:rsid w:val="4B7F49FA"/>
    <w:rsid w:val="4C0D0258"/>
    <w:rsid w:val="4C2832E3"/>
    <w:rsid w:val="4C612351"/>
    <w:rsid w:val="4C9170DB"/>
    <w:rsid w:val="4D426699"/>
    <w:rsid w:val="4D885774"/>
    <w:rsid w:val="4DAD5BF0"/>
    <w:rsid w:val="4DC1347A"/>
    <w:rsid w:val="4DC417A0"/>
    <w:rsid w:val="4E0F02B7"/>
    <w:rsid w:val="4E3046D1"/>
    <w:rsid w:val="4E35329E"/>
    <w:rsid w:val="4E8D5680"/>
    <w:rsid w:val="4ED10C4A"/>
    <w:rsid w:val="4F147B4F"/>
    <w:rsid w:val="4F701229"/>
    <w:rsid w:val="4FB355BA"/>
    <w:rsid w:val="4FE6773D"/>
    <w:rsid w:val="506D5769"/>
    <w:rsid w:val="50E71D19"/>
    <w:rsid w:val="51257DF2"/>
    <w:rsid w:val="514A374E"/>
    <w:rsid w:val="51703763"/>
    <w:rsid w:val="51DF2696"/>
    <w:rsid w:val="521A2795"/>
    <w:rsid w:val="52770B21"/>
    <w:rsid w:val="53513120"/>
    <w:rsid w:val="53A616BE"/>
    <w:rsid w:val="53DC2107"/>
    <w:rsid w:val="541303D5"/>
    <w:rsid w:val="543F566E"/>
    <w:rsid w:val="547215A0"/>
    <w:rsid w:val="54AD358A"/>
    <w:rsid w:val="54D264E2"/>
    <w:rsid w:val="54DA0EF3"/>
    <w:rsid w:val="54DF6509"/>
    <w:rsid w:val="54E81970"/>
    <w:rsid w:val="551F69C9"/>
    <w:rsid w:val="55270F76"/>
    <w:rsid w:val="552D3F4B"/>
    <w:rsid w:val="55384597"/>
    <w:rsid w:val="556A6871"/>
    <w:rsid w:val="560B1430"/>
    <w:rsid w:val="56116B96"/>
    <w:rsid w:val="56181120"/>
    <w:rsid w:val="5645019F"/>
    <w:rsid w:val="567E7209"/>
    <w:rsid w:val="56877F4A"/>
    <w:rsid w:val="569A4DDE"/>
    <w:rsid w:val="56F75D8C"/>
    <w:rsid w:val="57711530"/>
    <w:rsid w:val="57805D82"/>
    <w:rsid w:val="57945CD1"/>
    <w:rsid w:val="579D547E"/>
    <w:rsid w:val="57B45A75"/>
    <w:rsid w:val="57C32112"/>
    <w:rsid w:val="57C74048"/>
    <w:rsid w:val="57F57D7F"/>
    <w:rsid w:val="582E22F1"/>
    <w:rsid w:val="5884755E"/>
    <w:rsid w:val="5894149F"/>
    <w:rsid w:val="58E40592"/>
    <w:rsid w:val="59126EAD"/>
    <w:rsid w:val="59A321FB"/>
    <w:rsid w:val="59DE1485"/>
    <w:rsid w:val="5A307F33"/>
    <w:rsid w:val="5ADF54B5"/>
    <w:rsid w:val="5B21162A"/>
    <w:rsid w:val="5B7707FA"/>
    <w:rsid w:val="5B7B5CBA"/>
    <w:rsid w:val="5BA04C44"/>
    <w:rsid w:val="5BA900E2"/>
    <w:rsid w:val="5BC53F6F"/>
    <w:rsid w:val="5BF45C9C"/>
    <w:rsid w:val="5C000CBF"/>
    <w:rsid w:val="5C182A2D"/>
    <w:rsid w:val="5C2C64D8"/>
    <w:rsid w:val="5CA72002"/>
    <w:rsid w:val="5CF1327E"/>
    <w:rsid w:val="5CFE6A98"/>
    <w:rsid w:val="5D017965"/>
    <w:rsid w:val="5D0D455B"/>
    <w:rsid w:val="5DC56BE4"/>
    <w:rsid w:val="5E543EED"/>
    <w:rsid w:val="5E6261E1"/>
    <w:rsid w:val="5E714120"/>
    <w:rsid w:val="5E85118E"/>
    <w:rsid w:val="5F334021"/>
    <w:rsid w:val="5F3A6138"/>
    <w:rsid w:val="5F581BC0"/>
    <w:rsid w:val="5F942D12"/>
    <w:rsid w:val="5FFC2665"/>
    <w:rsid w:val="604C539B"/>
    <w:rsid w:val="607E12CC"/>
    <w:rsid w:val="60805044"/>
    <w:rsid w:val="608A3672"/>
    <w:rsid w:val="60A1482F"/>
    <w:rsid w:val="60F8664B"/>
    <w:rsid w:val="615D7134"/>
    <w:rsid w:val="617C3A5E"/>
    <w:rsid w:val="61E635CD"/>
    <w:rsid w:val="62145A44"/>
    <w:rsid w:val="621F43E9"/>
    <w:rsid w:val="623E192C"/>
    <w:rsid w:val="62BB2364"/>
    <w:rsid w:val="630D059A"/>
    <w:rsid w:val="630F6D0E"/>
    <w:rsid w:val="631A352E"/>
    <w:rsid w:val="63D8564E"/>
    <w:rsid w:val="63D90113"/>
    <w:rsid w:val="64155AA4"/>
    <w:rsid w:val="64835103"/>
    <w:rsid w:val="6554084E"/>
    <w:rsid w:val="655B398A"/>
    <w:rsid w:val="65786FF2"/>
    <w:rsid w:val="65A73073"/>
    <w:rsid w:val="65CC6636"/>
    <w:rsid w:val="65DA51F7"/>
    <w:rsid w:val="65DE5136"/>
    <w:rsid w:val="663C37BC"/>
    <w:rsid w:val="66552ACF"/>
    <w:rsid w:val="66DB4D83"/>
    <w:rsid w:val="670047E9"/>
    <w:rsid w:val="674548F2"/>
    <w:rsid w:val="676F47CA"/>
    <w:rsid w:val="6787315C"/>
    <w:rsid w:val="67A90AA2"/>
    <w:rsid w:val="67F500C6"/>
    <w:rsid w:val="681744E0"/>
    <w:rsid w:val="68617509"/>
    <w:rsid w:val="68C36103"/>
    <w:rsid w:val="6929217D"/>
    <w:rsid w:val="69603C65"/>
    <w:rsid w:val="69626FB7"/>
    <w:rsid w:val="69B33D95"/>
    <w:rsid w:val="6A3D3FA6"/>
    <w:rsid w:val="6A427C3D"/>
    <w:rsid w:val="6A5A2A47"/>
    <w:rsid w:val="6AF01BA8"/>
    <w:rsid w:val="6AFE7E7F"/>
    <w:rsid w:val="6B051CFD"/>
    <w:rsid w:val="6B0E38E3"/>
    <w:rsid w:val="6C101972"/>
    <w:rsid w:val="6C9C4FB4"/>
    <w:rsid w:val="6CCD33BF"/>
    <w:rsid w:val="6CE452D6"/>
    <w:rsid w:val="6CF50B68"/>
    <w:rsid w:val="6D064A17"/>
    <w:rsid w:val="6D090170"/>
    <w:rsid w:val="6D245D86"/>
    <w:rsid w:val="6D33265C"/>
    <w:rsid w:val="6D6F524A"/>
    <w:rsid w:val="6E276545"/>
    <w:rsid w:val="6E4C0C5C"/>
    <w:rsid w:val="6E5C7E3A"/>
    <w:rsid w:val="6E9E14B7"/>
    <w:rsid w:val="6ED705F1"/>
    <w:rsid w:val="6F407C23"/>
    <w:rsid w:val="6F6873CF"/>
    <w:rsid w:val="6F6F58B2"/>
    <w:rsid w:val="6F803AC7"/>
    <w:rsid w:val="6FB97C2B"/>
    <w:rsid w:val="6FC77524"/>
    <w:rsid w:val="702A0D3C"/>
    <w:rsid w:val="70384FF4"/>
    <w:rsid w:val="704621CB"/>
    <w:rsid w:val="705D42D4"/>
    <w:rsid w:val="70C6412A"/>
    <w:rsid w:val="70C6670F"/>
    <w:rsid w:val="713E3704"/>
    <w:rsid w:val="714D47BD"/>
    <w:rsid w:val="71573761"/>
    <w:rsid w:val="71587F9A"/>
    <w:rsid w:val="7169030C"/>
    <w:rsid w:val="717B5AE0"/>
    <w:rsid w:val="71FB4625"/>
    <w:rsid w:val="72133F6A"/>
    <w:rsid w:val="723839D1"/>
    <w:rsid w:val="7249173A"/>
    <w:rsid w:val="72655E48"/>
    <w:rsid w:val="72B04D2A"/>
    <w:rsid w:val="72B62B48"/>
    <w:rsid w:val="72E25662"/>
    <w:rsid w:val="72EB14C9"/>
    <w:rsid w:val="7388043F"/>
    <w:rsid w:val="73920EBF"/>
    <w:rsid w:val="739D1444"/>
    <w:rsid w:val="73A8345D"/>
    <w:rsid w:val="73BE7F06"/>
    <w:rsid w:val="743326A2"/>
    <w:rsid w:val="74892D04"/>
    <w:rsid w:val="75076A10"/>
    <w:rsid w:val="75697BAD"/>
    <w:rsid w:val="756E3266"/>
    <w:rsid w:val="75933B94"/>
    <w:rsid w:val="75D20BEA"/>
    <w:rsid w:val="75E35A02"/>
    <w:rsid w:val="75F54F37"/>
    <w:rsid w:val="76050C77"/>
    <w:rsid w:val="761337BF"/>
    <w:rsid w:val="768F7938"/>
    <w:rsid w:val="77361C9C"/>
    <w:rsid w:val="774F7907"/>
    <w:rsid w:val="77A70BEA"/>
    <w:rsid w:val="77EC0CCE"/>
    <w:rsid w:val="77F71C38"/>
    <w:rsid w:val="78472812"/>
    <w:rsid w:val="787119EB"/>
    <w:rsid w:val="787D213D"/>
    <w:rsid w:val="78BF7D2B"/>
    <w:rsid w:val="79001B14"/>
    <w:rsid w:val="79167E9C"/>
    <w:rsid w:val="792213E1"/>
    <w:rsid w:val="792B7DEB"/>
    <w:rsid w:val="795409C4"/>
    <w:rsid w:val="795C61F7"/>
    <w:rsid w:val="79880165"/>
    <w:rsid w:val="79D33FDF"/>
    <w:rsid w:val="7A4D1FE3"/>
    <w:rsid w:val="7A736669"/>
    <w:rsid w:val="7A9343F5"/>
    <w:rsid w:val="7AC202DC"/>
    <w:rsid w:val="7ACD1EB2"/>
    <w:rsid w:val="7B46190E"/>
    <w:rsid w:val="7BA93249"/>
    <w:rsid w:val="7BF30969"/>
    <w:rsid w:val="7C3B3EC8"/>
    <w:rsid w:val="7CC73AF8"/>
    <w:rsid w:val="7CC75495"/>
    <w:rsid w:val="7CFD141C"/>
    <w:rsid w:val="7D5549C8"/>
    <w:rsid w:val="7D605B8A"/>
    <w:rsid w:val="7D693CB1"/>
    <w:rsid w:val="7D9121E7"/>
    <w:rsid w:val="7DF9548C"/>
    <w:rsid w:val="7E157EA9"/>
    <w:rsid w:val="7E4454AB"/>
    <w:rsid w:val="7E6D4A02"/>
    <w:rsid w:val="7EA146AC"/>
    <w:rsid w:val="7EBC09D3"/>
    <w:rsid w:val="7ECD54A1"/>
    <w:rsid w:val="7EF50D3F"/>
    <w:rsid w:val="7F185E45"/>
    <w:rsid w:val="7F233313"/>
    <w:rsid w:val="7F313C82"/>
    <w:rsid w:val="7F405C73"/>
    <w:rsid w:val="7F4B1BAE"/>
    <w:rsid w:val="7F527E54"/>
    <w:rsid w:val="7F765B38"/>
    <w:rsid w:val="7F923FF5"/>
    <w:rsid w:val="7FB0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3"/>
    <w:qFormat/>
    <w:uiPriority w:val="0"/>
    <w:pPr>
      <w:keepNext/>
      <w:keepLines/>
      <w:spacing w:before="120" w:line="300" w:lineRule="auto"/>
      <w:jc w:val="center"/>
      <w:outlineLvl w:val="1"/>
    </w:pPr>
    <w:rPr>
      <w:rFonts w:eastAsia="黑体"/>
      <w:b/>
      <w:sz w:val="30"/>
      <w:szCs w:val="20"/>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0"/>
    <w:pPr>
      <w:keepNext/>
      <w:keepLines/>
      <w:spacing w:before="280" w:after="290" w:line="376" w:lineRule="atLeast"/>
      <w:outlineLvl w:val="3"/>
    </w:pPr>
    <w:rPr>
      <w:rFonts w:eastAsia="黑体"/>
      <w:b/>
      <w:sz w:val="28"/>
      <w:szCs w:val="20"/>
    </w:rPr>
  </w:style>
  <w:style w:type="paragraph" w:styleId="6">
    <w:name w:val="heading 6"/>
    <w:basedOn w:val="1"/>
    <w:qFormat/>
    <w:uiPriority w:val="1"/>
    <w:pPr>
      <w:outlineLvl w:val="5"/>
    </w:pPr>
    <w:rPr>
      <w:rFonts w:ascii="宋体" w:hAnsi="宋体" w:eastAsia="宋体" w:cs="宋体"/>
      <w:b/>
      <w:bCs/>
      <w:sz w:val="24"/>
      <w:szCs w:val="24"/>
      <w:lang w:val="zh-CN" w:eastAsia="zh-CN" w:bidi="zh-C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宋体"/>
      <w:sz w:val="24"/>
    </w:rPr>
  </w:style>
  <w:style w:type="paragraph" w:styleId="7">
    <w:name w:val="index 5"/>
    <w:basedOn w:val="1"/>
    <w:next w:val="1"/>
    <w:qFormat/>
    <w:uiPriority w:val="0"/>
    <w:pPr>
      <w:ind w:left="1680"/>
    </w:pPr>
  </w:style>
  <w:style w:type="paragraph" w:styleId="8">
    <w:name w:val="annotation text"/>
    <w:basedOn w:val="1"/>
    <w:link w:val="53"/>
    <w:qFormat/>
    <w:uiPriority w:val="0"/>
  </w:style>
  <w:style w:type="paragraph" w:styleId="9">
    <w:name w:val="Body Text"/>
    <w:basedOn w:val="1"/>
    <w:qFormat/>
    <w:uiPriority w:val="0"/>
  </w:style>
  <w:style w:type="paragraph" w:styleId="10">
    <w:name w:val="Body Text Indent"/>
    <w:basedOn w:val="1"/>
    <w:qFormat/>
    <w:uiPriority w:val="0"/>
    <w:pPr>
      <w:spacing w:line="360" w:lineRule="auto"/>
      <w:ind w:firstLine="570"/>
    </w:pPr>
    <w:rPr>
      <w:sz w:val="24"/>
    </w:rPr>
  </w:style>
  <w:style w:type="paragraph" w:styleId="11">
    <w:name w:val="toc 3"/>
    <w:basedOn w:val="1"/>
    <w:next w:val="1"/>
    <w:qFormat/>
    <w:uiPriority w:val="39"/>
    <w:pPr>
      <w:ind w:left="420"/>
    </w:pPr>
    <w:rPr>
      <w:rFonts w:cs="Calibri"/>
      <w:i/>
      <w:iCs/>
      <w:sz w:val="20"/>
      <w:szCs w:val="20"/>
    </w:rPr>
  </w:style>
  <w:style w:type="paragraph" w:styleId="12">
    <w:name w:val="Plain Text"/>
    <w:basedOn w:val="1"/>
    <w:qFormat/>
    <w:uiPriority w:val="0"/>
    <w:rPr>
      <w:rFonts w:hint="eastAsia" w:ascii="宋体" w:hAnsi="Courier New"/>
      <w:szCs w:val="20"/>
    </w:rPr>
  </w:style>
  <w:style w:type="paragraph" w:styleId="13">
    <w:name w:val="Body Text Indent 2"/>
    <w:basedOn w:val="1"/>
    <w:qFormat/>
    <w:uiPriority w:val="99"/>
    <w:pPr>
      <w:spacing w:after="120" w:line="480" w:lineRule="auto"/>
      <w:ind w:left="420" w:leftChars="200"/>
    </w:pPr>
    <w:rPr>
      <w:rFonts w:ascii="Times New Roman" w:hAnsi="Times New Roman" w:eastAsia="仿宋_GB2312"/>
    </w:rPr>
  </w:style>
  <w:style w:type="paragraph" w:styleId="14">
    <w:name w:val="Balloon Text"/>
    <w:basedOn w:val="1"/>
    <w:link w:val="45"/>
    <w:qFormat/>
    <w:uiPriority w:val="0"/>
    <w:rPr>
      <w:sz w:val="18"/>
      <w:szCs w:val="18"/>
    </w:rPr>
  </w:style>
  <w:style w:type="paragraph" w:styleId="15">
    <w:name w:val="footer"/>
    <w:basedOn w:val="1"/>
    <w:next w:val="7"/>
    <w:qFormat/>
    <w:uiPriority w:val="0"/>
    <w:pPr>
      <w:tabs>
        <w:tab w:val="center" w:pos="4153"/>
        <w:tab w:val="right" w:pos="8306"/>
      </w:tabs>
    </w:pPr>
    <w:rPr>
      <w:sz w:val="18"/>
    </w:rPr>
  </w:style>
  <w:style w:type="paragraph" w:styleId="16">
    <w:name w:val="header"/>
    <w:basedOn w:val="1"/>
    <w:qFormat/>
    <w:uiPriority w:val="0"/>
    <w:pPr>
      <w:pBdr>
        <w:bottom w:val="single" w:color="auto" w:sz="6" w:space="1"/>
      </w:pBdr>
      <w:tabs>
        <w:tab w:val="center" w:pos="4153"/>
        <w:tab w:val="right" w:pos="8306"/>
      </w:tabs>
      <w:jc w:val="center"/>
    </w:pPr>
    <w:rPr>
      <w:sz w:val="18"/>
      <w:szCs w:val="18"/>
    </w:rPr>
  </w:style>
  <w:style w:type="paragraph" w:styleId="17">
    <w:name w:val="toc 1"/>
    <w:basedOn w:val="1"/>
    <w:next w:val="1"/>
    <w:qFormat/>
    <w:uiPriority w:val="0"/>
  </w:style>
  <w:style w:type="paragraph" w:styleId="18">
    <w:name w:val="List"/>
    <w:basedOn w:val="1"/>
    <w:unhideWhenUsed/>
    <w:qFormat/>
    <w:uiPriority w:val="0"/>
    <w:pPr>
      <w:adjustRightInd/>
      <w:snapToGrid/>
      <w:spacing w:after="0"/>
      <w:ind w:left="200" w:hanging="200" w:hangingChars="200"/>
      <w:contextualSpacing/>
    </w:pPr>
    <w:rPr>
      <w:rFonts w:ascii="Times New Roman" w:hAnsi="Times New Roman" w:eastAsia="宋体"/>
      <w:sz w:val="20"/>
      <w:szCs w:val="20"/>
    </w:rPr>
  </w:style>
  <w:style w:type="paragraph" w:styleId="19">
    <w:name w:val="footnote text"/>
    <w:basedOn w:val="1"/>
    <w:next w:val="7"/>
    <w:qFormat/>
    <w:uiPriority w:val="0"/>
    <w:pPr>
      <w:snapToGrid w:val="0"/>
      <w:jc w:val="left"/>
    </w:pPr>
    <w:rPr>
      <w:sz w:val="18"/>
    </w:rPr>
  </w:style>
  <w:style w:type="paragraph" w:styleId="20">
    <w:name w:val="Normal (Web)"/>
    <w:basedOn w:val="1"/>
    <w:qFormat/>
    <w:uiPriority w:val="99"/>
    <w:pPr>
      <w:spacing w:before="100" w:beforeAutospacing="1" w:after="100" w:afterAutospacing="1"/>
    </w:pPr>
    <w:rPr>
      <w:rFonts w:ascii="宋体" w:hAnsi="宋体" w:cs="宋体"/>
      <w:sz w:val="24"/>
    </w:rPr>
  </w:style>
  <w:style w:type="paragraph" w:styleId="21">
    <w:name w:val="annotation subject"/>
    <w:basedOn w:val="8"/>
    <w:next w:val="8"/>
    <w:link w:val="54"/>
    <w:qFormat/>
    <w:uiPriority w:val="0"/>
    <w:rPr>
      <w:b/>
      <w:bCs/>
    </w:rPr>
  </w:style>
  <w:style w:type="paragraph" w:styleId="22">
    <w:name w:val="Body Text First Indent"/>
    <w:basedOn w:val="9"/>
    <w:next w:val="23"/>
    <w:qFormat/>
    <w:uiPriority w:val="0"/>
    <w:pPr>
      <w:spacing w:line="360" w:lineRule="auto"/>
      <w:ind w:firstLine="420" w:firstLineChars="200"/>
    </w:pPr>
  </w:style>
  <w:style w:type="paragraph" w:styleId="23">
    <w:name w:val="Body Text First Indent 2"/>
    <w:basedOn w:val="10"/>
    <w:next w:val="22"/>
    <w:qFormat/>
    <w:uiPriority w:val="0"/>
    <w:pPr>
      <w:spacing w:after="120" w:line="480" w:lineRule="exact"/>
      <w:ind w:left="420" w:leftChars="200" w:firstLine="420" w:firstLineChars="200"/>
    </w:pPr>
    <w:rPr>
      <w:szCs w:val="20"/>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character" w:styleId="28">
    <w:name w:val="page number"/>
    <w:qFormat/>
    <w:uiPriority w:val="0"/>
  </w:style>
  <w:style w:type="character" w:styleId="29">
    <w:name w:val="Hyperlink"/>
    <w:basedOn w:val="26"/>
    <w:qFormat/>
    <w:uiPriority w:val="0"/>
    <w:rPr>
      <w:color w:val="0000FF"/>
      <w:u w:val="single"/>
    </w:rPr>
  </w:style>
  <w:style w:type="character" w:styleId="30">
    <w:name w:val="annotation reference"/>
    <w:basedOn w:val="26"/>
    <w:qFormat/>
    <w:uiPriority w:val="0"/>
    <w:rPr>
      <w:sz w:val="21"/>
      <w:szCs w:val="21"/>
    </w:rPr>
  </w:style>
  <w:style w:type="paragraph" w:customStyle="1" w:styleId="31">
    <w:name w:val="正文首行缩进 2 Char Char"/>
    <w:basedOn w:val="32"/>
    <w:qFormat/>
    <w:uiPriority w:val="99"/>
    <w:pPr>
      <w:ind w:firstLine="420"/>
    </w:pPr>
  </w:style>
  <w:style w:type="paragraph" w:customStyle="1" w:styleId="32">
    <w:name w:val="正文文本缩进 Char Char"/>
    <w:basedOn w:val="1"/>
    <w:qFormat/>
    <w:uiPriority w:val="99"/>
    <w:pPr>
      <w:spacing w:after="120"/>
      <w:ind w:left="420" w:leftChars="200"/>
    </w:pPr>
  </w:style>
  <w:style w:type="table" w:customStyle="1" w:styleId="33">
    <w:name w:val="Table Normal"/>
    <w:qFormat/>
    <w:uiPriority w:val="0"/>
    <w:tblPr>
      <w:tblCellMar>
        <w:top w:w="0" w:type="dxa"/>
        <w:left w:w="0" w:type="dxa"/>
        <w:bottom w:w="0" w:type="dxa"/>
        <w:right w:w="0" w:type="dxa"/>
      </w:tblCellMar>
    </w:tblPr>
  </w:style>
  <w:style w:type="paragraph" w:customStyle="1" w:styleId="34">
    <w:name w:val="Table Text"/>
    <w:basedOn w:val="1"/>
    <w:qFormat/>
    <w:uiPriority w:val="0"/>
    <w:rPr>
      <w:rFonts w:ascii="宋体" w:hAnsi="宋体" w:eastAsia="宋体" w:cs="宋体"/>
      <w:sz w:val="24"/>
      <w:szCs w:val="24"/>
    </w:rPr>
  </w:style>
  <w:style w:type="paragraph" w:customStyle="1" w:styleId="35">
    <w:name w:val="Table Paragraph"/>
    <w:basedOn w:val="1"/>
    <w:qFormat/>
    <w:uiPriority w:val="1"/>
    <w:rPr>
      <w:rFonts w:ascii="宋体" w:hAnsi="宋体" w:eastAsia="宋体" w:cs="宋体"/>
      <w:lang w:val="zh-CN" w:eastAsia="zh-CN" w:bidi="zh-CN"/>
    </w:rPr>
  </w:style>
  <w:style w:type="paragraph" w:styleId="36">
    <w:name w:val="List Paragraph"/>
    <w:basedOn w:val="1"/>
    <w:qFormat/>
    <w:uiPriority w:val="1"/>
    <w:pPr>
      <w:ind w:left="396" w:hanging="602"/>
    </w:pPr>
    <w:rPr>
      <w:rFonts w:ascii="宋体" w:hAnsi="宋体" w:eastAsia="宋体" w:cs="宋体"/>
      <w:lang w:val="zh-CN" w:eastAsia="zh-CN" w:bidi="zh-CN"/>
    </w:rPr>
  </w:style>
  <w:style w:type="character" w:customStyle="1" w:styleId="37">
    <w:name w:val="font31"/>
    <w:basedOn w:val="26"/>
    <w:qFormat/>
    <w:uiPriority w:val="0"/>
    <w:rPr>
      <w:rFonts w:hint="eastAsia" w:ascii="宋体" w:hAnsi="宋体" w:eastAsia="宋体" w:cs="宋体"/>
      <w:color w:val="FF0000"/>
      <w:sz w:val="16"/>
      <w:szCs w:val="16"/>
      <w:u w:val="none"/>
    </w:rPr>
  </w:style>
  <w:style w:type="character" w:customStyle="1" w:styleId="38">
    <w:name w:val="font21"/>
    <w:basedOn w:val="26"/>
    <w:qFormat/>
    <w:uiPriority w:val="0"/>
    <w:rPr>
      <w:rFonts w:hint="eastAsia" w:ascii="宋体" w:hAnsi="宋体" w:eastAsia="宋体" w:cs="宋体"/>
      <w:color w:val="000000"/>
      <w:sz w:val="16"/>
      <w:szCs w:val="16"/>
      <w:u w:val="none"/>
    </w:rPr>
  </w:style>
  <w:style w:type="paragraph" w:customStyle="1" w:styleId="39">
    <w:name w:val="Default"/>
    <w:basedOn w:val="40"/>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40">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1">
    <w:name w:val="font81"/>
    <w:basedOn w:val="26"/>
    <w:qFormat/>
    <w:uiPriority w:val="0"/>
    <w:rPr>
      <w:rFonts w:hint="eastAsia" w:ascii="宋体" w:hAnsi="宋体" w:eastAsia="宋体" w:cs="宋体"/>
      <w:color w:val="000000"/>
      <w:sz w:val="19"/>
      <w:szCs w:val="19"/>
      <w:u w:val="none"/>
    </w:rPr>
  </w:style>
  <w:style w:type="character" w:customStyle="1" w:styleId="42">
    <w:name w:val="font91"/>
    <w:basedOn w:val="26"/>
    <w:qFormat/>
    <w:uiPriority w:val="0"/>
    <w:rPr>
      <w:rFonts w:hint="eastAsia" w:ascii="宋体" w:hAnsi="宋体" w:eastAsia="宋体" w:cs="宋体"/>
      <w:color w:val="000000"/>
      <w:sz w:val="16"/>
      <w:szCs w:val="16"/>
      <w:u w:val="none"/>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列出段落1"/>
    <w:basedOn w:val="1"/>
    <w:qFormat/>
    <w:uiPriority w:val="0"/>
    <w:pPr>
      <w:spacing w:before="151"/>
      <w:ind w:left="112" w:hanging="486"/>
    </w:pPr>
    <w:rPr>
      <w:rFonts w:ascii="宋体" w:hAnsi="宋体" w:cs="Times New Roman"/>
      <w:sz w:val="22"/>
    </w:rPr>
  </w:style>
  <w:style w:type="character" w:customStyle="1" w:styleId="45">
    <w:name w:val="批注框文本 字符"/>
    <w:basedOn w:val="26"/>
    <w:link w:val="14"/>
    <w:qFormat/>
    <w:uiPriority w:val="0"/>
    <w:rPr>
      <w:rFonts w:ascii="Arial" w:hAnsi="Arial" w:eastAsia="Arial" w:cs="Arial"/>
      <w:snapToGrid w:val="0"/>
      <w:color w:val="000000"/>
      <w:sz w:val="18"/>
      <w:szCs w:val="18"/>
      <w:lang w:eastAsia="en-US"/>
    </w:rPr>
  </w:style>
  <w:style w:type="paragraph" w:customStyle="1" w:styleId="46">
    <w:name w:val="Normal_0"/>
    <w:qFormat/>
    <w:uiPriority w:val="0"/>
    <w:rPr>
      <w:rFonts w:ascii="Times New Roman" w:hAnsi="Times New Roman" w:eastAsia="Times New Roman" w:cs="Times New Roman"/>
      <w:sz w:val="24"/>
      <w:szCs w:val="24"/>
      <w:lang w:val="en-US" w:eastAsia="zh-CN" w:bidi="ar-SA"/>
    </w:rPr>
  </w:style>
  <w:style w:type="character" w:customStyle="1" w:styleId="47">
    <w:name w:val="font112"/>
    <w:basedOn w:val="26"/>
    <w:qFormat/>
    <w:uiPriority w:val="0"/>
    <w:rPr>
      <w:rFonts w:hint="eastAsia" w:ascii="黑体" w:hAnsi="宋体" w:eastAsia="黑体" w:cs="黑体"/>
      <w:color w:val="000000"/>
      <w:sz w:val="24"/>
      <w:szCs w:val="24"/>
      <w:u w:val="none"/>
    </w:rPr>
  </w:style>
  <w:style w:type="character" w:customStyle="1" w:styleId="48">
    <w:name w:val="font121"/>
    <w:basedOn w:val="26"/>
    <w:qFormat/>
    <w:uiPriority w:val="0"/>
    <w:rPr>
      <w:rFonts w:hint="eastAsia" w:ascii="黑体" w:hAnsi="宋体" w:eastAsia="黑体" w:cs="黑体"/>
      <w:color w:val="000000"/>
      <w:sz w:val="24"/>
      <w:szCs w:val="24"/>
      <w:u w:val="none"/>
      <w:vertAlign w:val="superscript"/>
    </w:rPr>
  </w:style>
  <w:style w:type="character" w:customStyle="1" w:styleId="49">
    <w:name w:val="font171"/>
    <w:basedOn w:val="26"/>
    <w:qFormat/>
    <w:uiPriority w:val="0"/>
    <w:rPr>
      <w:rFonts w:ascii="仿宋" w:hAnsi="仿宋" w:eastAsia="仿宋" w:cs="仿宋"/>
      <w:color w:val="000000"/>
      <w:sz w:val="24"/>
      <w:szCs w:val="24"/>
      <w:u w:val="none"/>
    </w:rPr>
  </w:style>
  <w:style w:type="character" w:customStyle="1" w:styleId="50">
    <w:name w:val="font181"/>
    <w:basedOn w:val="26"/>
    <w:qFormat/>
    <w:uiPriority w:val="0"/>
    <w:rPr>
      <w:rFonts w:hint="default" w:ascii="Times New Roman" w:hAnsi="Times New Roman" w:cs="Times New Roman"/>
      <w:color w:val="000000"/>
      <w:sz w:val="24"/>
      <w:szCs w:val="24"/>
      <w:u w:val="none"/>
    </w:rPr>
  </w:style>
  <w:style w:type="paragraph" w:styleId="5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修订1"/>
    <w:hidden/>
    <w:unhideWhenUsed/>
    <w:qFormat/>
    <w:uiPriority w:val="99"/>
    <w:rPr>
      <w:rFonts w:ascii="Arial" w:hAnsi="Arial" w:eastAsia="Arial" w:cs="Arial"/>
      <w:snapToGrid w:val="0"/>
      <w:color w:val="000000"/>
      <w:sz w:val="21"/>
      <w:szCs w:val="21"/>
      <w:lang w:val="en-US" w:eastAsia="en-US" w:bidi="ar-SA"/>
    </w:rPr>
  </w:style>
  <w:style w:type="character" w:customStyle="1" w:styleId="53">
    <w:name w:val="批注文字 字符"/>
    <w:basedOn w:val="26"/>
    <w:link w:val="8"/>
    <w:qFormat/>
    <w:uiPriority w:val="0"/>
    <w:rPr>
      <w:rFonts w:ascii="Arial" w:hAnsi="Arial" w:eastAsia="Arial" w:cs="Arial"/>
      <w:snapToGrid w:val="0"/>
      <w:color w:val="000000"/>
      <w:sz w:val="21"/>
      <w:szCs w:val="21"/>
      <w:lang w:eastAsia="en-US"/>
    </w:rPr>
  </w:style>
  <w:style w:type="character" w:customStyle="1" w:styleId="54">
    <w:name w:val="批注主题 字符"/>
    <w:basedOn w:val="53"/>
    <w:link w:val="21"/>
    <w:qFormat/>
    <w:uiPriority w:val="0"/>
    <w:rPr>
      <w:rFonts w:ascii="Arial" w:hAnsi="Arial" w:eastAsia="Arial" w:cs="Arial"/>
      <w:b/>
      <w:bCs/>
      <w:snapToGrid w:val="0"/>
      <w:color w:val="000000"/>
      <w:sz w:val="21"/>
      <w:szCs w:val="21"/>
      <w:lang w:eastAsia="en-US"/>
    </w:rPr>
  </w:style>
  <w:style w:type="paragraph" w:customStyle="1" w:styleId="55">
    <w:name w:val="Char Char Char"/>
    <w:basedOn w:val="1"/>
    <w:qFormat/>
    <w:uiPriority w:val="0"/>
    <w:pPr>
      <w:kinsoku/>
      <w:autoSpaceDE/>
      <w:autoSpaceDN/>
      <w:adjustRightInd/>
      <w:snapToGrid/>
      <w:spacing w:after="160" w:line="240" w:lineRule="exact"/>
      <w:textAlignment w:val="auto"/>
    </w:pPr>
    <w:rPr>
      <w:rFonts w:ascii="等线" w:hAnsi="等线" w:eastAsia="等线" w:cs="Times New Roman"/>
      <w:snapToGrid/>
      <w:color w:val="auto"/>
      <w:kern w:val="2"/>
      <w:szCs w:val="22"/>
      <w:lang w:eastAsia="zh-CN"/>
    </w:rPr>
  </w:style>
  <w:style w:type="paragraph" w:customStyle="1" w:styleId="56">
    <w:name w:val="Char Char Char Char Char Char Char1 Char"/>
    <w:basedOn w:val="1"/>
    <w:qFormat/>
    <w:uiPriority w:val="0"/>
    <w:rPr>
      <w:rFonts w:ascii="Tahoma" w:hAnsi="Tahoma"/>
      <w:sz w:val="24"/>
      <w:szCs w:val="20"/>
    </w:rPr>
  </w:style>
  <w:style w:type="paragraph" w:customStyle="1" w:styleId="57">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文本_1"/>
    <w:basedOn w:val="57"/>
    <w:next w:val="59"/>
    <w:qFormat/>
    <w:uiPriority w:val="0"/>
    <w:pPr>
      <w:adjustRightInd w:val="0"/>
      <w:spacing w:after="60" w:line="360" w:lineRule="atLeast"/>
      <w:ind w:left="72" w:leftChars="30" w:right="30" w:rightChars="30"/>
      <w:jc w:val="center"/>
      <w:textAlignment w:val="baseline"/>
    </w:pPr>
    <w:rPr>
      <w:szCs w:val="22"/>
    </w:rPr>
  </w:style>
  <w:style w:type="paragraph" w:customStyle="1" w:styleId="59">
    <w:name w:val="正文首行缩进_0"/>
    <w:basedOn w:val="58"/>
    <w:qFormat/>
    <w:uiPriority w:val="0"/>
    <w:pPr>
      <w:spacing w:line="312" w:lineRule="auto"/>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3" Type="http://schemas.openxmlformats.org/officeDocument/2006/relationships/fontTable" Target="fontTable.xml"/><Relationship Id="rId52" Type="http://schemas.openxmlformats.org/officeDocument/2006/relationships/numbering" Target="numbering.xml"/><Relationship Id="rId51" Type="http://schemas.openxmlformats.org/officeDocument/2006/relationships/customXml" Target="../customXml/item1.xml"/><Relationship Id="rId50" Type="http://schemas.openxmlformats.org/officeDocument/2006/relationships/image" Target="media/image5.wmf"/><Relationship Id="rId5" Type="http://schemas.openxmlformats.org/officeDocument/2006/relationships/footer" Target="footer1.xml"/><Relationship Id="rId49" Type="http://schemas.openxmlformats.org/officeDocument/2006/relationships/oleObject" Target="embeddings/oleObject5.bin"/><Relationship Id="rId48" Type="http://schemas.openxmlformats.org/officeDocument/2006/relationships/image" Target="media/image4.wmf"/><Relationship Id="rId47" Type="http://schemas.openxmlformats.org/officeDocument/2006/relationships/oleObject" Target="embeddings/oleObject4.bin"/><Relationship Id="rId46" Type="http://schemas.openxmlformats.org/officeDocument/2006/relationships/image" Target="media/image3.wmf"/><Relationship Id="rId45" Type="http://schemas.openxmlformats.org/officeDocument/2006/relationships/oleObject" Target="embeddings/oleObject3.bin"/><Relationship Id="rId44" Type="http://schemas.openxmlformats.org/officeDocument/2006/relationships/image" Target="media/image2.wmf"/><Relationship Id="rId43" Type="http://schemas.openxmlformats.org/officeDocument/2006/relationships/oleObject" Target="embeddings/oleObject2.bin"/><Relationship Id="rId42" Type="http://schemas.openxmlformats.org/officeDocument/2006/relationships/image" Target="media/image1.wmf"/><Relationship Id="rId41" Type="http://schemas.openxmlformats.org/officeDocument/2006/relationships/oleObject" Target="embeddings/oleObject1.bin"/><Relationship Id="rId40" Type="http://schemas.openxmlformats.org/officeDocument/2006/relationships/theme" Target="theme/theme1.xml"/><Relationship Id="rId4" Type="http://schemas.openxmlformats.org/officeDocument/2006/relationships/header" Target="header2.xml"/><Relationship Id="rId39" Type="http://schemas.openxmlformats.org/officeDocument/2006/relationships/footer" Target="footer18.xml"/><Relationship Id="rId38" Type="http://schemas.openxmlformats.org/officeDocument/2006/relationships/header" Target="header19.xml"/><Relationship Id="rId37" Type="http://schemas.openxmlformats.org/officeDocument/2006/relationships/footer" Target="footer17.xml"/><Relationship Id="rId36" Type="http://schemas.openxmlformats.org/officeDocument/2006/relationships/header" Target="header18.xml"/><Relationship Id="rId35" Type="http://schemas.openxmlformats.org/officeDocument/2006/relationships/footer" Target="footer16.xml"/><Relationship Id="rId34" Type="http://schemas.openxmlformats.org/officeDocument/2006/relationships/header" Target="header17.xml"/><Relationship Id="rId33" Type="http://schemas.openxmlformats.org/officeDocument/2006/relationships/footer" Target="footer15.xml"/><Relationship Id="rId32" Type="http://schemas.openxmlformats.org/officeDocument/2006/relationships/header" Target="header16.xml"/><Relationship Id="rId31" Type="http://schemas.openxmlformats.org/officeDocument/2006/relationships/footer" Target="footer14.xml"/><Relationship Id="rId30" Type="http://schemas.openxmlformats.org/officeDocument/2006/relationships/header" Target="header15.xml"/><Relationship Id="rId3" Type="http://schemas.openxmlformats.org/officeDocument/2006/relationships/header" Target="header1.xml"/><Relationship Id="rId29" Type="http://schemas.openxmlformats.org/officeDocument/2006/relationships/footer" Target="footer13.xml"/><Relationship Id="rId28" Type="http://schemas.openxmlformats.org/officeDocument/2006/relationships/header" Target="header14.xml"/><Relationship Id="rId27" Type="http://schemas.openxmlformats.org/officeDocument/2006/relationships/footer" Target="footer12.xml"/><Relationship Id="rId26" Type="http://schemas.openxmlformats.org/officeDocument/2006/relationships/header" Target="header13.xml"/><Relationship Id="rId25" Type="http://schemas.openxmlformats.org/officeDocument/2006/relationships/footer" Target="footer11.xml"/><Relationship Id="rId24" Type="http://schemas.openxmlformats.org/officeDocument/2006/relationships/header" Target="header12.xml"/><Relationship Id="rId23" Type="http://schemas.openxmlformats.org/officeDocument/2006/relationships/footer" Target="footer10.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175</Pages>
  <Words>2473</Words>
  <Characters>2843</Characters>
  <Lines>1271</Lines>
  <Paragraphs>1022</Paragraphs>
  <TotalTime>10</TotalTime>
  <ScaleCrop>false</ScaleCrop>
  <LinksUpToDate>false</LinksUpToDate>
  <CharactersWithSpaces>2875</CharactersWithSpaces>
  <Application>WPS Office_12.1.0.26895_F1E327BC-269C-435d-A152-05C5408002CA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2026-03-12T06:33:00Z</dcterms:created>
  <dc:creator>Lenovo</dc:creator>
  <cp:lastModifiedBy>NTKO</cp:lastModifiedBy>
  <cp:lastPrinted>2025-11-27T10:32:00Z</cp:lastPrinted>
  <dcterms:modified xsi:type="dcterms:W3CDTF">2026-06-05T11:29:44Z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2024-07-02T22:32:23Z</vt:filetime>
  </property>
  <property fmtid="{D5CDD505-2E9C-101B-9397-08002B2CF9AE}" pid="4" name="KSOProductBuildVer">
    <vt:lpwstr>2052-12.1.0.26895</vt:lpwstr>
  </property>
  <property fmtid="{D5CDD505-2E9C-101B-9397-08002B2CF9AE}" pid="5" name="ICV">
    <vt:lpwstr>CE5C8B8388FC48EFB5F65030A4102299_13</vt:lpwstr>
  </property>
  <property fmtid="{D5CDD505-2E9C-101B-9397-08002B2CF9AE}" pid="6" name="KSOTemplateDocerSaveRecord">
    <vt:lpwstr>eyJoZGlkIjoiM2UwYzAyYWQxMzRkZDJkMzcxMDRhOTMzZDdhZmM3NjkiLCJ1c2VySWQiOiIxMjU1NDk3MjkyIn0=</vt:lpwstr>
  </property>
</Properties>
</file>