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E4AA"/>
    <w:p w14:paraId="7CC23AB7">
      <w:pPr>
        <w:jc w:val="center"/>
        <w:rPr>
          <w:b/>
          <w:sz w:val="84"/>
          <w:szCs w:val="84"/>
        </w:rPr>
      </w:pPr>
    </w:p>
    <w:p w14:paraId="0D576369">
      <w:pPr>
        <w:jc w:val="center"/>
        <w:rPr>
          <w:b/>
          <w:sz w:val="84"/>
          <w:szCs w:val="84"/>
        </w:rPr>
      </w:pPr>
    </w:p>
    <w:p w14:paraId="618B9D99">
      <w:pPr>
        <w:jc w:val="center"/>
        <w:rPr>
          <w:b/>
          <w:sz w:val="84"/>
          <w:szCs w:val="84"/>
        </w:rPr>
      </w:pPr>
    </w:p>
    <w:p w14:paraId="0733703D">
      <w:pPr>
        <w:jc w:val="center"/>
        <w:rPr>
          <w:b/>
          <w:sz w:val="120"/>
          <w:szCs w:val="120"/>
        </w:rPr>
      </w:pPr>
      <w:r>
        <w:rPr>
          <w:rFonts w:hint="eastAsia"/>
          <w:b/>
          <w:sz w:val="120"/>
          <w:szCs w:val="120"/>
        </w:rPr>
        <w:t>政府采购</w:t>
      </w:r>
    </w:p>
    <w:p w14:paraId="5BACE4CD">
      <w:pPr>
        <w:jc w:val="center"/>
        <w:rPr>
          <w:b/>
          <w:sz w:val="120"/>
          <w:szCs w:val="120"/>
        </w:rPr>
      </w:pPr>
      <w:r>
        <w:rPr>
          <w:rFonts w:hint="eastAsia"/>
          <w:b/>
          <w:sz w:val="120"/>
          <w:szCs w:val="120"/>
        </w:rPr>
        <w:t>招标文件</w:t>
      </w:r>
    </w:p>
    <w:p w14:paraId="0859AE20"/>
    <w:p w14:paraId="0B67BBFF"/>
    <w:p w14:paraId="798509B9"/>
    <w:p w14:paraId="52DDAC8B"/>
    <w:p w14:paraId="598485C9"/>
    <w:p w14:paraId="5794981B"/>
    <w:p w14:paraId="5A6FB770"/>
    <w:p w14:paraId="7BA54890"/>
    <w:p w14:paraId="37CA879B"/>
    <w:p w14:paraId="56B81599"/>
    <w:p w14:paraId="64E9CC38"/>
    <w:p w14:paraId="428CB892"/>
    <w:p w14:paraId="1379E292">
      <w:pPr>
        <w:jc w:val="center"/>
        <w:rPr>
          <w:rFonts w:hint="eastAsia" w:eastAsia="宋体"/>
          <w:b/>
          <w:sz w:val="44"/>
          <w:szCs w:val="44"/>
          <w:lang w:eastAsia="zh-CN"/>
        </w:rPr>
      </w:pPr>
      <w:r>
        <w:rPr>
          <w:rFonts w:hint="eastAsia" w:eastAsia="宋体"/>
          <w:b/>
          <w:sz w:val="44"/>
          <w:szCs w:val="44"/>
          <w:lang w:eastAsia="zh-CN"/>
        </w:rPr>
        <w:t>喀什市招投标中心</w:t>
      </w:r>
    </w:p>
    <w:p w14:paraId="423DDFEC">
      <w:pPr>
        <w:rPr>
          <w:rFonts w:ascii="宋体" w:hAnsi="宋体" w:eastAsia="黑体"/>
          <w:b/>
          <w:bCs/>
          <w:color w:val="0000FF"/>
          <w:kern w:val="44"/>
          <w:sz w:val="36"/>
          <w:szCs w:val="44"/>
        </w:rPr>
      </w:pPr>
      <w:r>
        <w:br w:type="page"/>
      </w:r>
    </w:p>
    <w:p w14:paraId="033A1F71">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702F7BAD">
      <w:pPr>
        <w:outlineLvl w:val="0"/>
        <w:rPr>
          <w:b/>
        </w:rPr>
      </w:pPr>
      <w:r>
        <w:rPr>
          <w:rFonts w:hint="eastAsia"/>
          <w:b/>
        </w:rPr>
        <w:t>第一册专用条款</w:t>
      </w:r>
    </w:p>
    <w:p w14:paraId="6D5B71C8">
      <w:pPr>
        <w:rPr>
          <w:b/>
        </w:rPr>
      </w:pPr>
      <w:r>
        <w:rPr>
          <w:rFonts w:hint="eastAsia"/>
          <w:b/>
        </w:rPr>
        <w:tab/>
      </w:r>
      <w:r>
        <w:rPr>
          <w:rFonts w:hint="eastAsia"/>
          <w:b/>
        </w:rPr>
        <w:t>关键信息</w:t>
      </w:r>
    </w:p>
    <w:p w14:paraId="3ECB8251">
      <w:pPr>
        <w:ind w:left="720" w:leftChars="300" w:firstLine="470" w:firstLineChars="196"/>
        <w:rPr>
          <w:rFonts w:ascii="宋体" w:hAnsi="宋体"/>
          <w:szCs w:val="21"/>
        </w:rPr>
      </w:pPr>
      <w:r>
        <w:rPr>
          <w:rFonts w:hint="eastAsia" w:ascii="宋体" w:hAnsi="宋体"/>
          <w:szCs w:val="21"/>
        </w:rPr>
        <w:t>第一章  招标公告</w:t>
      </w:r>
    </w:p>
    <w:p w14:paraId="782B6E26">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7F8C1D22">
      <w:pPr>
        <w:ind w:left="720" w:leftChars="300" w:firstLine="470" w:firstLineChars="196"/>
        <w:rPr>
          <w:rFonts w:ascii="宋体" w:hAnsi="宋体"/>
          <w:szCs w:val="21"/>
        </w:rPr>
      </w:pPr>
      <w:r>
        <w:rPr>
          <w:rFonts w:hint="eastAsia" w:ascii="宋体" w:hAnsi="宋体"/>
          <w:szCs w:val="21"/>
        </w:rPr>
        <w:t>第三章 用户需求书</w:t>
      </w:r>
    </w:p>
    <w:p w14:paraId="4A52C194">
      <w:pPr>
        <w:ind w:left="720" w:leftChars="300" w:firstLine="470" w:firstLineChars="196"/>
        <w:rPr>
          <w:rFonts w:ascii="宋体" w:hAnsi="宋体"/>
          <w:szCs w:val="21"/>
        </w:rPr>
      </w:pPr>
      <w:r>
        <w:rPr>
          <w:rFonts w:hint="eastAsia" w:ascii="宋体" w:hAnsi="宋体"/>
          <w:szCs w:val="21"/>
        </w:rPr>
        <w:t>第四章 投标文件组成要求及格式</w:t>
      </w:r>
    </w:p>
    <w:p w14:paraId="664ECA41">
      <w:pPr>
        <w:ind w:left="720" w:leftChars="300" w:firstLine="470" w:firstLineChars="196"/>
        <w:rPr>
          <w:rFonts w:ascii="宋体" w:hAnsi="宋体"/>
          <w:szCs w:val="21"/>
        </w:rPr>
      </w:pPr>
      <w:r>
        <w:rPr>
          <w:rFonts w:hint="eastAsia" w:ascii="宋体" w:hAnsi="宋体"/>
          <w:szCs w:val="21"/>
        </w:rPr>
        <w:t>第五章  合同条款及格式</w:t>
      </w:r>
    </w:p>
    <w:p w14:paraId="66873B7F">
      <w:pPr>
        <w:rPr>
          <w:b/>
        </w:rPr>
      </w:pPr>
    </w:p>
    <w:p w14:paraId="67DFD5AA">
      <w:pPr>
        <w:outlineLvl w:val="0"/>
        <w:rPr>
          <w:b/>
        </w:rPr>
      </w:pPr>
      <w:r>
        <w:rPr>
          <w:rFonts w:hint="eastAsia"/>
          <w:b/>
        </w:rPr>
        <w:t>第二册通用条款</w:t>
      </w:r>
    </w:p>
    <w:p w14:paraId="79D98460">
      <w:pPr>
        <w:ind w:left="720" w:leftChars="300" w:firstLine="470" w:firstLineChars="196"/>
        <w:rPr>
          <w:rFonts w:ascii="宋体" w:hAnsi="宋体"/>
          <w:szCs w:val="21"/>
        </w:rPr>
      </w:pPr>
      <w:r>
        <w:rPr>
          <w:rFonts w:hint="eastAsia" w:ascii="宋体" w:hAnsi="宋体"/>
          <w:szCs w:val="21"/>
        </w:rPr>
        <w:t>第一章  总则</w:t>
      </w:r>
    </w:p>
    <w:p w14:paraId="5F8C067E">
      <w:pPr>
        <w:ind w:left="720" w:leftChars="300" w:firstLine="470" w:firstLineChars="196"/>
        <w:rPr>
          <w:rFonts w:ascii="宋体" w:hAnsi="宋体"/>
          <w:szCs w:val="21"/>
        </w:rPr>
      </w:pPr>
      <w:r>
        <w:rPr>
          <w:rFonts w:hint="eastAsia" w:ascii="宋体" w:hAnsi="宋体"/>
          <w:szCs w:val="21"/>
        </w:rPr>
        <w:t>第二章  招标文件</w:t>
      </w:r>
    </w:p>
    <w:p w14:paraId="2F92EF8C">
      <w:pPr>
        <w:ind w:left="720" w:leftChars="300" w:firstLine="470" w:firstLineChars="196"/>
        <w:rPr>
          <w:rFonts w:ascii="宋体" w:hAnsi="宋体"/>
          <w:szCs w:val="21"/>
        </w:rPr>
      </w:pPr>
      <w:r>
        <w:rPr>
          <w:rFonts w:hint="eastAsia" w:ascii="宋体" w:hAnsi="宋体"/>
          <w:szCs w:val="21"/>
        </w:rPr>
        <w:t>第三章  投标文件的编制</w:t>
      </w:r>
    </w:p>
    <w:p w14:paraId="75E6F2A6">
      <w:pPr>
        <w:ind w:left="720" w:leftChars="300" w:firstLine="470" w:firstLineChars="196"/>
        <w:rPr>
          <w:rFonts w:ascii="宋体" w:hAnsi="宋体"/>
          <w:szCs w:val="21"/>
        </w:rPr>
      </w:pPr>
      <w:r>
        <w:rPr>
          <w:rFonts w:hint="eastAsia" w:ascii="宋体" w:hAnsi="宋体"/>
          <w:szCs w:val="21"/>
        </w:rPr>
        <w:t>第四章  投标文件的递交</w:t>
      </w:r>
    </w:p>
    <w:p w14:paraId="66A11888">
      <w:pPr>
        <w:ind w:left="720" w:leftChars="300" w:firstLine="470" w:firstLineChars="196"/>
        <w:rPr>
          <w:rFonts w:ascii="宋体" w:hAnsi="宋体"/>
          <w:szCs w:val="21"/>
        </w:rPr>
      </w:pPr>
      <w:r>
        <w:rPr>
          <w:rFonts w:hint="eastAsia" w:ascii="宋体" w:hAnsi="宋体"/>
          <w:szCs w:val="21"/>
        </w:rPr>
        <w:t>第五章  开标</w:t>
      </w:r>
    </w:p>
    <w:p w14:paraId="304BBAE5">
      <w:pPr>
        <w:ind w:left="720" w:leftChars="300" w:firstLine="470" w:firstLineChars="196"/>
        <w:rPr>
          <w:rFonts w:ascii="宋体" w:hAnsi="宋体"/>
          <w:szCs w:val="21"/>
        </w:rPr>
      </w:pPr>
      <w:r>
        <w:rPr>
          <w:rFonts w:hint="eastAsia" w:ascii="宋体" w:hAnsi="宋体"/>
          <w:szCs w:val="21"/>
        </w:rPr>
        <w:t>第六章  评审要求</w:t>
      </w:r>
    </w:p>
    <w:p w14:paraId="1F06CFCA">
      <w:pPr>
        <w:ind w:left="720" w:leftChars="300" w:firstLine="470" w:firstLineChars="196"/>
        <w:rPr>
          <w:rFonts w:ascii="宋体" w:hAnsi="宋体"/>
          <w:szCs w:val="21"/>
        </w:rPr>
      </w:pPr>
      <w:r>
        <w:rPr>
          <w:rFonts w:hint="eastAsia" w:ascii="宋体" w:hAnsi="宋体"/>
          <w:szCs w:val="21"/>
        </w:rPr>
        <w:t>第七章  评审程序及评审方法</w:t>
      </w:r>
    </w:p>
    <w:p w14:paraId="2A6A4D88">
      <w:pPr>
        <w:ind w:left="720" w:leftChars="300" w:firstLine="470" w:firstLineChars="196"/>
        <w:rPr>
          <w:rFonts w:ascii="宋体" w:hAnsi="宋体"/>
          <w:szCs w:val="21"/>
        </w:rPr>
      </w:pPr>
      <w:r>
        <w:rPr>
          <w:rFonts w:hint="eastAsia" w:ascii="宋体" w:hAnsi="宋体"/>
          <w:szCs w:val="21"/>
        </w:rPr>
        <w:t>第八章  定标及公示</w:t>
      </w:r>
    </w:p>
    <w:p w14:paraId="458E265C">
      <w:pPr>
        <w:ind w:left="720" w:leftChars="300" w:firstLine="470" w:firstLineChars="196"/>
        <w:rPr>
          <w:rFonts w:ascii="宋体" w:hAnsi="宋体"/>
          <w:szCs w:val="21"/>
        </w:rPr>
      </w:pPr>
      <w:r>
        <w:rPr>
          <w:rFonts w:hint="eastAsia" w:ascii="宋体" w:hAnsi="宋体"/>
          <w:szCs w:val="21"/>
        </w:rPr>
        <w:t>第九章  公开招标失败的后续处理</w:t>
      </w:r>
    </w:p>
    <w:p w14:paraId="66E04445">
      <w:pPr>
        <w:ind w:left="720" w:leftChars="300" w:firstLine="470" w:firstLineChars="196"/>
        <w:rPr>
          <w:rFonts w:ascii="宋体" w:hAnsi="宋体"/>
          <w:szCs w:val="21"/>
        </w:rPr>
      </w:pPr>
      <w:r>
        <w:rPr>
          <w:rFonts w:hint="eastAsia" w:ascii="宋体" w:hAnsi="宋体"/>
          <w:szCs w:val="21"/>
        </w:rPr>
        <w:t>第十章  合同的授予与备案</w:t>
      </w:r>
    </w:p>
    <w:p w14:paraId="542A1ABF">
      <w:r>
        <w:rPr>
          <w:rFonts w:hint="eastAsia"/>
        </w:rPr>
        <w:t>第十一章质疑处理</w:t>
      </w:r>
    </w:p>
    <w:p w14:paraId="4AEBE60E"/>
    <w:p w14:paraId="57E107BD"/>
    <w:p w14:paraId="611DB525">
      <w:r>
        <w:br w:type="page"/>
      </w:r>
    </w:p>
    <w:p w14:paraId="2C29DCBD">
      <w:pPr>
        <w:pStyle w:val="26"/>
        <w:spacing w:after="60"/>
        <w:jc w:val="center"/>
        <w:rPr>
          <w:sz w:val="32"/>
          <w:szCs w:val="32"/>
        </w:rPr>
      </w:pPr>
      <w:r>
        <w:rPr>
          <w:rFonts w:hint="eastAsia"/>
          <w:sz w:val="32"/>
          <w:szCs w:val="32"/>
        </w:rPr>
        <w:t>第一册专用条款</w:t>
      </w:r>
    </w:p>
    <w:p w14:paraId="51EF4617">
      <w:pPr>
        <w:tabs>
          <w:tab w:val="left" w:pos="2790"/>
        </w:tabs>
        <w:snapToGrid w:val="0"/>
        <w:jc w:val="center"/>
        <w:rPr>
          <w:b/>
        </w:rPr>
      </w:pPr>
      <w:r>
        <w:rPr>
          <w:rFonts w:hint="eastAsia"/>
          <w:b/>
        </w:rPr>
        <w:t>关键信息</w:t>
      </w:r>
    </w:p>
    <w:p w14:paraId="43307104">
      <w:pPr>
        <w:tabs>
          <w:tab w:val="left" w:pos="2790"/>
        </w:tabs>
        <w:snapToGrid w:val="0"/>
        <w:rPr>
          <w:rFonts w:hint="eastAsia" w:eastAsia="宋体"/>
          <w:lang w:eastAsia="zh-CN"/>
        </w:rPr>
      </w:pPr>
      <w:r>
        <w:t>项目编号：</w:t>
      </w:r>
      <w:r>
        <w:rPr>
          <w:rFonts w:hint="eastAsia" w:eastAsia="宋体"/>
          <w:lang w:eastAsia="zh-CN"/>
        </w:rPr>
        <w:t>KSS(GK)2026-039</w:t>
      </w:r>
    </w:p>
    <w:p w14:paraId="33D3FDBC">
      <w:pPr>
        <w:tabs>
          <w:tab w:val="left" w:pos="2790"/>
        </w:tabs>
        <w:snapToGrid w:val="0"/>
        <w:rPr>
          <w:rFonts w:hint="eastAsia" w:eastAsia="宋体"/>
          <w:lang w:eastAsia="zh-CN"/>
        </w:rPr>
      </w:pPr>
      <w:r>
        <w:t>项目名称：</w:t>
      </w:r>
      <w:r>
        <w:rPr>
          <w:rFonts w:hint="eastAsia" w:ascii="宋体" w:hAnsi="宋体" w:eastAsia="宋体" w:cs="宋体"/>
          <w:lang w:eastAsia="zh-CN"/>
        </w:rPr>
        <w:t>喀什市人民医院物业管理服务采购项目</w:t>
      </w:r>
    </w:p>
    <w:p w14:paraId="6BD0D8EE">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喀什市人民医院</w:t>
      </w:r>
    </w:p>
    <w:p w14:paraId="198700A0">
      <w:pPr>
        <w:tabs>
          <w:tab w:val="left" w:pos="2790"/>
        </w:tabs>
        <w:snapToGrid w:val="0"/>
      </w:pPr>
      <w:r>
        <w:rPr>
          <w:rFonts w:hint="eastAsia"/>
        </w:rPr>
        <w:t>项目类型：</w:t>
      </w:r>
      <w:r>
        <w:rPr>
          <w:rFonts w:hint="eastAsia" w:eastAsia="宋体"/>
          <w:lang w:eastAsia="zh-CN"/>
        </w:rPr>
        <w:t>服务类</w:t>
      </w:r>
    </w:p>
    <w:p w14:paraId="701A4A3A">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410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7319C085">
            <w:pPr>
              <w:jc w:val="center"/>
              <w:rPr>
                <w:rFonts w:ascii="Calibri" w:hAnsi="Calibri" w:eastAsia="宋体"/>
                <w:b/>
              </w:rPr>
            </w:pPr>
            <w:r>
              <w:rPr>
                <w:rFonts w:hint="eastAsia" w:ascii="Calibri" w:hAnsi="Calibri" w:eastAsia="宋体"/>
                <w:b/>
              </w:rPr>
              <w:t>资格性检查表</w:t>
            </w:r>
          </w:p>
        </w:tc>
      </w:tr>
      <w:tr w14:paraId="6F89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7CE64D8">
            <w:pPr>
              <w:rPr>
                <w:rFonts w:ascii="Calibri" w:hAnsi="Calibri" w:eastAsia="宋体"/>
              </w:rPr>
            </w:pPr>
            <w:r>
              <w:rPr>
                <w:rFonts w:ascii="Calibri" w:hAnsi="Calibri" w:eastAsia="宋体"/>
              </w:rPr>
              <w:t>1</w:t>
            </w:r>
          </w:p>
        </w:tc>
        <w:tc>
          <w:tcPr>
            <w:tcW w:w="8229" w:type="dxa"/>
          </w:tcPr>
          <w:p w14:paraId="36AFA2E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B9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61A3019">
            <w:pPr>
              <w:jc w:val="center"/>
              <w:rPr>
                <w:rFonts w:ascii="Calibri" w:hAnsi="Calibri" w:eastAsia="宋体"/>
                <w:b/>
              </w:rPr>
            </w:pPr>
            <w:r>
              <w:rPr>
                <w:rFonts w:hint="eastAsia" w:ascii="Calibri" w:hAnsi="Calibri" w:eastAsia="宋体"/>
                <w:b/>
              </w:rPr>
              <w:t>符合性检查表</w:t>
            </w:r>
          </w:p>
        </w:tc>
      </w:tr>
      <w:tr w14:paraId="5C3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FD90DEB">
            <w:pPr>
              <w:rPr>
                <w:rFonts w:ascii="Calibri" w:hAnsi="Calibri" w:eastAsia="宋体"/>
              </w:rPr>
            </w:pPr>
            <w:r>
              <w:rPr>
                <w:rFonts w:ascii="Calibri" w:hAnsi="Calibri" w:eastAsia="宋体"/>
              </w:rPr>
              <w:t>1</w:t>
            </w:r>
          </w:p>
        </w:tc>
        <w:tc>
          <w:tcPr>
            <w:tcW w:w="8229" w:type="dxa"/>
          </w:tcPr>
          <w:p w14:paraId="6F0D263D">
            <w:pPr>
              <w:rPr>
                <w:rFonts w:ascii="Calibri" w:hAnsi="Calibri" w:eastAsia="宋体"/>
              </w:rPr>
            </w:pPr>
            <w:r>
              <w:rPr>
                <w:rFonts w:ascii="Calibri" w:hAnsi="Calibri" w:eastAsia="宋体"/>
              </w:rPr>
              <w:t>按要求提供法定代表人证明书及法定代表人授权书。</w:t>
            </w:r>
          </w:p>
        </w:tc>
      </w:tr>
      <w:tr w14:paraId="00A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C5EE2FF">
            <w:pPr>
              <w:rPr>
                <w:rFonts w:ascii="Calibri" w:hAnsi="Calibri" w:eastAsia="宋体"/>
              </w:rPr>
            </w:pPr>
            <w:r>
              <w:rPr>
                <w:rFonts w:ascii="Calibri" w:hAnsi="Calibri" w:eastAsia="宋体"/>
              </w:rPr>
              <w:t>2</w:t>
            </w:r>
          </w:p>
        </w:tc>
        <w:tc>
          <w:tcPr>
            <w:tcW w:w="8229" w:type="dxa"/>
          </w:tcPr>
          <w:p w14:paraId="4FB94B06">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6D21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5209505">
            <w:pPr>
              <w:rPr>
                <w:rFonts w:ascii="Calibri" w:hAnsi="Calibri" w:eastAsia="宋体"/>
              </w:rPr>
            </w:pPr>
            <w:r>
              <w:rPr>
                <w:rFonts w:ascii="Calibri" w:hAnsi="Calibri" w:eastAsia="宋体"/>
              </w:rPr>
              <w:t>3</w:t>
            </w:r>
          </w:p>
        </w:tc>
        <w:tc>
          <w:tcPr>
            <w:tcW w:w="8229" w:type="dxa"/>
          </w:tcPr>
          <w:p w14:paraId="1EDEDAFF">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0D2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599720F">
            <w:pPr>
              <w:rPr>
                <w:rFonts w:ascii="Calibri" w:hAnsi="Calibri" w:eastAsia="宋体"/>
              </w:rPr>
            </w:pPr>
            <w:r>
              <w:rPr>
                <w:rFonts w:ascii="Calibri" w:hAnsi="Calibri" w:eastAsia="宋体"/>
              </w:rPr>
              <w:t>4</w:t>
            </w:r>
          </w:p>
        </w:tc>
        <w:tc>
          <w:tcPr>
            <w:tcW w:w="8229" w:type="dxa"/>
          </w:tcPr>
          <w:p w14:paraId="73FE7B3D">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8F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5FC8ECA">
            <w:pPr>
              <w:rPr>
                <w:rFonts w:ascii="Calibri" w:hAnsi="Calibri" w:eastAsia="宋体"/>
              </w:rPr>
            </w:pPr>
            <w:r>
              <w:rPr>
                <w:rFonts w:ascii="Calibri" w:hAnsi="Calibri" w:eastAsia="宋体"/>
              </w:rPr>
              <w:t>5</w:t>
            </w:r>
          </w:p>
        </w:tc>
        <w:tc>
          <w:tcPr>
            <w:tcW w:w="8229" w:type="dxa"/>
          </w:tcPr>
          <w:p w14:paraId="24F1211B">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6D46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2AD8317">
            <w:pPr>
              <w:rPr>
                <w:rFonts w:ascii="Calibri" w:hAnsi="Calibri" w:eastAsia="宋体"/>
              </w:rPr>
            </w:pPr>
            <w:r>
              <w:rPr>
                <w:rFonts w:ascii="Calibri" w:hAnsi="Calibri" w:eastAsia="宋体"/>
              </w:rPr>
              <w:t>6</w:t>
            </w:r>
          </w:p>
        </w:tc>
        <w:tc>
          <w:tcPr>
            <w:tcW w:w="8229" w:type="dxa"/>
          </w:tcPr>
          <w:p w14:paraId="40EFF9E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EF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755A94C">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22CF040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39808055">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1C5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4EF2FBB">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6E036466">
            <w:pPr>
              <w:rPr>
                <w:rFonts w:ascii="Calibri" w:hAnsi="Calibri" w:eastAsia="宋体"/>
              </w:rPr>
            </w:pPr>
            <w:r>
              <w:rPr>
                <w:rFonts w:hint="eastAsia" w:ascii="Calibri" w:hAnsi="Calibri" w:eastAsia="宋体"/>
              </w:rPr>
              <w:t>投标文件电子文档不得携带病毒。</w:t>
            </w:r>
          </w:p>
        </w:tc>
      </w:tr>
      <w:tr w14:paraId="456E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72A4E9E">
            <w:pPr>
              <w:rPr>
                <w:rFonts w:ascii="Calibri" w:hAnsi="Calibri" w:eastAsia="宋体"/>
              </w:rPr>
            </w:pPr>
            <w:r>
              <w:rPr>
                <w:rFonts w:ascii="Calibri" w:hAnsi="Calibri" w:eastAsia="宋体"/>
              </w:rPr>
              <w:t>9</w:t>
            </w:r>
          </w:p>
        </w:tc>
        <w:tc>
          <w:tcPr>
            <w:tcW w:w="8229" w:type="dxa"/>
          </w:tcPr>
          <w:p w14:paraId="66CF528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40F0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3FA6BC8">
            <w:pPr>
              <w:rPr>
                <w:rFonts w:ascii="Calibri" w:hAnsi="Calibri" w:eastAsia="宋体"/>
              </w:rPr>
            </w:pPr>
            <w:r>
              <w:rPr>
                <w:rFonts w:ascii="Calibri" w:hAnsi="Calibri" w:eastAsia="宋体"/>
              </w:rPr>
              <w:t>10</w:t>
            </w:r>
          </w:p>
        </w:tc>
        <w:tc>
          <w:tcPr>
            <w:tcW w:w="8229" w:type="dxa"/>
          </w:tcPr>
          <w:p w14:paraId="28399C81">
            <w:pPr>
              <w:rPr>
                <w:rFonts w:ascii="Calibri" w:hAnsi="Calibri" w:eastAsia="宋体"/>
              </w:rPr>
            </w:pPr>
            <w:r>
              <w:rPr>
                <w:rFonts w:ascii="Calibri" w:hAnsi="Calibri" w:eastAsia="宋体"/>
              </w:rPr>
              <w:t>无招标文件中列明导致投标无效的其他因素。</w:t>
            </w:r>
          </w:p>
        </w:tc>
      </w:tr>
      <w:tr w14:paraId="209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75" w:type="dxa"/>
            <w:vAlign w:val="top"/>
          </w:tcPr>
          <w:p w14:paraId="563DAC5A">
            <w:pPr>
              <w:rPr>
                <w:rFonts w:hint="default" w:ascii="Calibri" w:hAnsi="Calibri" w:eastAsia="宋体"/>
                <w:highlight w:val="none"/>
                <w:lang w:val="en-US" w:eastAsia="zh-CN"/>
              </w:rPr>
            </w:pPr>
            <w:r>
              <w:rPr>
                <w:rFonts w:hint="eastAsia" w:ascii="Calibri" w:hAnsi="Calibri" w:eastAsia="宋体"/>
                <w:highlight w:val="none"/>
                <w:lang w:val="en-US" w:eastAsia="zh-CN"/>
              </w:rPr>
              <w:t>11</w:t>
            </w:r>
          </w:p>
        </w:tc>
        <w:tc>
          <w:tcPr>
            <w:tcW w:w="8229" w:type="dxa"/>
          </w:tcPr>
          <w:p w14:paraId="7244B140">
            <w:pPr>
              <w:pStyle w:val="7"/>
              <w:rPr>
                <w:rFonts w:ascii="Calibri" w:hAnsi="Calibri" w:eastAsia="宋体"/>
                <w:highlight w:val="none"/>
              </w:rPr>
            </w:pPr>
            <w:r>
              <w:rPr>
                <w:rFonts w:hint="eastAsia" w:ascii="Calibri" w:hAnsi="Calibri" w:eastAsia="宋体"/>
                <w:highlight w:val="none"/>
              </w:rPr>
              <w:t>★</w:t>
            </w:r>
            <w:r>
              <w:rPr>
                <w:rFonts w:hint="eastAsia"/>
                <w:highlight w:val="none"/>
                <w:lang w:val="en-US" w:eastAsia="zh-CN"/>
              </w:rPr>
              <w:t>进场人员工资应满足喀什地区政府部门公布的最低平均工资。（含社保）需提供承诺函</w:t>
            </w:r>
          </w:p>
        </w:tc>
      </w:tr>
      <w:tr w14:paraId="0CF8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435AC16">
            <w:pPr>
              <w:rPr>
                <w:rFonts w:hint="default" w:ascii="Calibri" w:hAnsi="Calibri" w:eastAsia="宋体"/>
                <w:lang w:val="en-US" w:eastAsia="zh-CN"/>
              </w:rPr>
            </w:pPr>
            <w:r>
              <w:rPr>
                <w:rFonts w:hint="eastAsia" w:ascii="Calibri" w:hAnsi="Calibri" w:eastAsia="宋体"/>
                <w:lang w:val="en-US" w:eastAsia="zh-CN"/>
              </w:rPr>
              <w:t>12</w:t>
            </w:r>
          </w:p>
        </w:tc>
        <w:tc>
          <w:tcPr>
            <w:tcW w:w="8229" w:type="dxa"/>
          </w:tcPr>
          <w:p w14:paraId="7E10F994">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B72FD3E">
      <w:pPr>
        <w:jc w:val="center"/>
        <w:rPr>
          <w:b/>
        </w:rPr>
      </w:pPr>
      <w:r>
        <w:rPr>
          <w:rFonts w:hint="eastAsia"/>
          <w:b/>
        </w:rPr>
        <w:t>评标信息</w:t>
      </w:r>
    </w:p>
    <w:p w14:paraId="7614484D">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40D876C0">
      <w:pPr>
        <w:pStyle w:val="15"/>
        <w:snapToGrid w:val="0"/>
        <w:spacing w:before="0" w:beforeAutospacing="0" w:afterAutospacing="0"/>
        <w:ind w:firstLine="420"/>
        <w:rPr>
          <w:sz w:val="21"/>
          <w:szCs w:val="21"/>
        </w:rPr>
      </w:pPr>
      <w:r>
        <w:rPr>
          <w:sz w:val="21"/>
          <w:szCs w:val="21"/>
        </w:rPr>
        <w:t>价格分计算方法：</w:t>
      </w:r>
    </w:p>
    <w:p w14:paraId="14C9D1B0">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w:t>
      </w:r>
      <w:r>
        <w:rPr>
          <w:rFonts w:hint="eastAsia" w:eastAsia="宋体"/>
          <w:szCs w:val="21"/>
          <w:lang w:eastAsia="zh-CN"/>
        </w:rPr>
        <w:t>服务类</w:t>
      </w:r>
      <w:r>
        <w:rPr>
          <w:szCs w:val="21"/>
        </w:rPr>
        <w:t>、工程类项目。</w:t>
      </w:r>
    </w:p>
    <w:p w14:paraId="3DB5071E">
      <w:pPr>
        <w:autoSpaceDE w:val="0"/>
        <w:autoSpaceDN w:val="0"/>
        <w:adjustRightInd w:val="0"/>
        <w:snapToGrid w:val="0"/>
        <w:spacing w:line="400" w:lineRule="exact"/>
        <w:jc w:val="both"/>
        <w:outlineLvl w:val="1"/>
        <w:rPr>
          <w:rFonts w:hint="eastAsia" w:ascii="宋体" w:cs="仿宋_GB2312"/>
          <w:b/>
          <w:sz w:val="28"/>
          <w:szCs w:val="28"/>
          <w:lang w:val="zh-CN"/>
        </w:rPr>
      </w:pPr>
    </w:p>
    <w:p w14:paraId="60C0ED9E">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14:paraId="2FC15D24">
      <w:pPr>
        <w:pStyle w:val="13"/>
        <w:rPr>
          <w:rFonts w:ascii="宋体" w:hAnsi="宋体"/>
          <w:szCs w:val="21"/>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90"/>
        <w:gridCol w:w="1414"/>
        <w:gridCol w:w="493"/>
        <w:gridCol w:w="5216"/>
      </w:tblGrid>
      <w:tr w14:paraId="6B81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15" w:type="dxa"/>
            <w:noWrap w:val="0"/>
            <w:vAlign w:val="center"/>
          </w:tcPr>
          <w:p w14:paraId="72A0B6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sz w:val="24"/>
                <w:szCs w:val="24"/>
                <w:vertAlign w:val="baseline"/>
                <w:lang w:eastAsia="zh-CN"/>
              </w:rPr>
            </w:pPr>
            <w:r>
              <w:rPr>
                <w:rFonts w:hint="eastAsia" w:ascii="方正仿宋_GB2312" w:hAnsi="方正仿宋_GB2312" w:eastAsia="方正仿宋_GB2312" w:cs="方正仿宋_GB2312"/>
                <w:b/>
                <w:color w:val="auto"/>
                <w:sz w:val="24"/>
                <w:szCs w:val="24"/>
                <w:vertAlign w:val="baseline"/>
                <w:lang w:eastAsia="zh-CN"/>
              </w:rPr>
              <w:t>序号</w:t>
            </w:r>
          </w:p>
        </w:tc>
        <w:tc>
          <w:tcPr>
            <w:tcW w:w="0" w:type="auto"/>
            <w:gridSpan w:val="3"/>
            <w:noWrap w:val="0"/>
            <w:vAlign w:val="center"/>
          </w:tcPr>
          <w:p w14:paraId="2D9C1C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sz w:val="24"/>
                <w:szCs w:val="24"/>
                <w:vertAlign w:val="baseline"/>
                <w:lang w:eastAsia="zh-CN"/>
              </w:rPr>
            </w:pPr>
            <w:r>
              <w:rPr>
                <w:rFonts w:hint="eastAsia" w:ascii="方正仿宋_GB2312" w:hAnsi="方正仿宋_GB2312" w:eastAsia="方正仿宋_GB2312" w:cs="方正仿宋_GB2312"/>
                <w:b/>
                <w:color w:val="auto"/>
                <w:sz w:val="24"/>
                <w:szCs w:val="24"/>
                <w:vertAlign w:val="baseline"/>
                <w:lang w:eastAsia="zh-CN"/>
              </w:rPr>
              <w:t>评分项</w:t>
            </w:r>
          </w:p>
        </w:tc>
        <w:tc>
          <w:tcPr>
            <w:tcW w:w="5216" w:type="dxa"/>
            <w:noWrap w:val="0"/>
            <w:vAlign w:val="center"/>
          </w:tcPr>
          <w:p w14:paraId="79D6BF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2312" w:hAnsi="方正仿宋_GB2312" w:eastAsia="方正仿宋_GB2312" w:cs="方正仿宋_GB2312"/>
                <w:b/>
                <w:color w:val="auto"/>
                <w:sz w:val="24"/>
                <w:szCs w:val="24"/>
                <w:vertAlign w:val="baseline"/>
                <w:lang w:val="en-US" w:eastAsia="zh-CN"/>
              </w:rPr>
            </w:pPr>
            <w:r>
              <w:rPr>
                <w:rFonts w:hint="eastAsia" w:ascii="方正仿宋_GB2312" w:hAnsi="方正仿宋_GB2312" w:eastAsia="方正仿宋_GB2312" w:cs="方正仿宋_GB2312"/>
                <w:b w:val="0"/>
                <w:bCs/>
                <w:color w:val="auto"/>
                <w:sz w:val="24"/>
                <w:szCs w:val="24"/>
                <w:vertAlign w:val="baseline"/>
                <w:lang w:eastAsia="zh-CN"/>
              </w:rPr>
              <w:t>分</w:t>
            </w:r>
            <w:r>
              <w:rPr>
                <w:rFonts w:hint="eastAsia" w:ascii="方正仿宋_GB2312" w:hAnsi="方正仿宋_GB2312" w:eastAsia="方正仿宋_GB2312" w:cs="方正仿宋_GB2312"/>
                <w:b w:val="0"/>
                <w:bCs/>
                <w:color w:val="auto"/>
                <w:sz w:val="24"/>
                <w:szCs w:val="24"/>
                <w:vertAlign w:val="baseline"/>
                <w:lang w:val="en-US" w:eastAsia="zh-CN"/>
              </w:rPr>
              <w:t>值20</w:t>
            </w:r>
          </w:p>
        </w:tc>
      </w:tr>
      <w:tr w14:paraId="009E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noWrap w:val="0"/>
            <w:vAlign w:val="center"/>
          </w:tcPr>
          <w:p w14:paraId="00CD0B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0" w:type="auto"/>
            <w:gridSpan w:val="3"/>
            <w:noWrap w:val="0"/>
            <w:vAlign w:val="center"/>
          </w:tcPr>
          <w:p w14:paraId="7D09B9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lang w:val="en-US" w:eastAsia="zh-CN"/>
              </w:rPr>
              <w:t>价格</w:t>
            </w:r>
          </w:p>
        </w:tc>
        <w:tc>
          <w:tcPr>
            <w:tcW w:w="5216" w:type="dxa"/>
            <w:noWrap w:val="0"/>
            <w:vAlign w:val="center"/>
          </w:tcPr>
          <w:p w14:paraId="0FE400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评标基准价=有效投标报价的最低值，有效投标报价等于基准值的得满分</w:t>
            </w:r>
            <w:r>
              <w:rPr>
                <w:rFonts w:hint="eastAsia" w:ascii="方正仿宋_GB2312" w:hAnsi="方正仿宋_GB2312" w:eastAsia="方正仿宋_GB2312" w:cs="方正仿宋_GB2312"/>
                <w:b w:val="0"/>
                <w:bCs w:val="0"/>
                <w:color w:val="000000"/>
                <w:sz w:val="24"/>
                <w:szCs w:val="24"/>
                <w:highlight w:val="none"/>
                <w:vertAlign w:val="baseline"/>
                <w:lang w:val="en-US" w:eastAsia="zh-CN"/>
              </w:rPr>
              <w:t>20</w:t>
            </w:r>
            <w:r>
              <w:rPr>
                <w:rFonts w:hint="eastAsia" w:ascii="方正仿宋_GB2312" w:hAnsi="方正仿宋_GB2312" w:eastAsia="方正仿宋_GB2312" w:cs="方正仿宋_GB2312"/>
                <w:color w:val="auto"/>
                <w:sz w:val="24"/>
                <w:szCs w:val="24"/>
                <w:vertAlign w:val="baseline"/>
                <w:lang w:val="en-US" w:eastAsia="zh-CN"/>
              </w:rPr>
              <w:t>分，投标报价得分=（评标基准价/投标报价） ×价格权重×100；有效投标报价为通过资格性和符合性审查的供应商报价。计算分数时四舍五入取小数点后两位,分数最高不超过 20 分。评标过程中，不得去掉报价中的最低和最高报价。 因落实政府采购政策进行价格调整的， 以调整后的价格计算评标基准价和投标报价。根 据《财政部司法部关于政府采购支持监狱企业发展有关问题的通知》（财库 〔2014〕68 号）和《三部门联合发布关于促进残疾人就业政府采购政策的通知》（财库〔2017〕 141 号） 和《政府采购 促进中小企业发展管理办法》 （财库〔2020〕 46 号）的规定，对满足价格扣除条件且在投标文件中提交了《投标人企业类型声明函》或省级以上监狱管理局、戒毒管理局（含新疆生产建设兵团）、中小企业出具的属于监狱企业的证明文件的投标人实行/价格扣除制度， 用扣除后的价格参与价格因素评审。同时属于小微 企业、监狱企业或残疾人福利性单位的，不重复进行投标报价扣除。</w:t>
            </w:r>
          </w:p>
        </w:tc>
      </w:tr>
      <w:tr w14:paraId="05C6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noWrap w:val="0"/>
            <w:vAlign w:val="center"/>
          </w:tcPr>
          <w:p w14:paraId="49CE4A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0" w:type="auto"/>
            <w:gridSpan w:val="3"/>
            <w:noWrap w:val="0"/>
            <w:vAlign w:val="center"/>
          </w:tcPr>
          <w:p w14:paraId="5610AD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技术部分</w:t>
            </w:r>
          </w:p>
        </w:tc>
        <w:tc>
          <w:tcPr>
            <w:tcW w:w="5216" w:type="dxa"/>
            <w:noWrap w:val="0"/>
            <w:vAlign w:val="center"/>
          </w:tcPr>
          <w:p w14:paraId="3EB50D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1920" w:firstLineChars="800"/>
              <w:jc w:val="lef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b w:val="0"/>
                <w:bCs/>
                <w:color w:val="auto"/>
                <w:sz w:val="24"/>
                <w:szCs w:val="24"/>
                <w:vertAlign w:val="baseline"/>
                <w:lang w:eastAsia="zh-CN"/>
              </w:rPr>
              <w:t>分</w:t>
            </w:r>
            <w:r>
              <w:rPr>
                <w:rFonts w:hint="eastAsia" w:ascii="方正仿宋_GB2312" w:hAnsi="方正仿宋_GB2312" w:eastAsia="方正仿宋_GB2312" w:cs="方正仿宋_GB2312"/>
                <w:b w:val="0"/>
                <w:bCs/>
                <w:color w:val="auto"/>
                <w:sz w:val="24"/>
                <w:szCs w:val="24"/>
                <w:vertAlign w:val="baseline"/>
                <w:lang w:val="en-US" w:eastAsia="zh-CN"/>
              </w:rPr>
              <w:t>值74</w:t>
            </w:r>
          </w:p>
        </w:tc>
      </w:tr>
      <w:tr w14:paraId="6874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restart"/>
            <w:noWrap w:val="0"/>
            <w:vAlign w:val="center"/>
          </w:tcPr>
          <w:p w14:paraId="49E45C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318FD2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序号</w:t>
            </w:r>
          </w:p>
        </w:tc>
        <w:tc>
          <w:tcPr>
            <w:tcW w:w="0" w:type="auto"/>
            <w:noWrap w:val="0"/>
            <w:vAlign w:val="center"/>
          </w:tcPr>
          <w:p w14:paraId="28BB3C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评审因素</w:t>
            </w:r>
          </w:p>
        </w:tc>
        <w:tc>
          <w:tcPr>
            <w:tcW w:w="0" w:type="auto"/>
            <w:noWrap w:val="0"/>
            <w:vAlign w:val="center"/>
          </w:tcPr>
          <w:p w14:paraId="2E8462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分值</w:t>
            </w:r>
          </w:p>
        </w:tc>
        <w:tc>
          <w:tcPr>
            <w:tcW w:w="5216" w:type="dxa"/>
            <w:noWrap w:val="0"/>
            <w:vAlign w:val="center"/>
          </w:tcPr>
          <w:p w14:paraId="28B01EE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评分准则</w:t>
            </w:r>
          </w:p>
        </w:tc>
      </w:tr>
      <w:tr w14:paraId="0945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426B81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4A383E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0" w:type="auto"/>
            <w:noWrap w:val="0"/>
            <w:vAlign w:val="center"/>
          </w:tcPr>
          <w:p w14:paraId="7E0A224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实施方案</w:t>
            </w:r>
          </w:p>
        </w:tc>
        <w:tc>
          <w:tcPr>
            <w:tcW w:w="0" w:type="auto"/>
            <w:noWrap w:val="0"/>
            <w:vAlign w:val="center"/>
          </w:tcPr>
          <w:p w14:paraId="1E1F0C2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p>
        </w:tc>
        <w:tc>
          <w:tcPr>
            <w:tcW w:w="5216" w:type="dxa"/>
            <w:noWrap w:val="0"/>
            <w:vAlign w:val="center"/>
          </w:tcPr>
          <w:p w14:paraId="4D0395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根据本项目招标需求提供详细的保洁实施方案，内容包含但不限于：</w:t>
            </w:r>
          </w:p>
          <w:p w14:paraId="566A68C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1、环保清洁管理方案；（环保清洁剂/工具的选择与使用规范；垃圾分类与减量措施； </w:t>
            </w:r>
            <w:r>
              <w:rPr>
                <w:rFonts w:hint="default" w:ascii="方正仿宋_GB2312" w:hAnsi="方正仿宋_GB2312" w:eastAsia="方正仿宋_GB2312" w:cs="方正仿宋_GB2312"/>
                <w:color w:val="auto"/>
                <w:sz w:val="24"/>
                <w:szCs w:val="24"/>
                <w:highlight w:val="none"/>
                <w:vertAlign w:val="baseline"/>
                <w:lang w:val="en-US" w:eastAsia="zh-CN"/>
              </w:rPr>
              <w:t>节水节电措施</w:t>
            </w:r>
            <w:r>
              <w:rPr>
                <w:rFonts w:hint="eastAsia" w:ascii="方正仿宋_GB2312" w:hAnsi="方正仿宋_GB2312" w:eastAsia="方正仿宋_GB2312" w:cs="方正仿宋_GB2312"/>
                <w:color w:val="auto"/>
                <w:sz w:val="24"/>
                <w:szCs w:val="24"/>
                <w:highlight w:val="none"/>
                <w:vertAlign w:val="baseline"/>
                <w:lang w:val="en-US" w:eastAsia="zh-CN"/>
              </w:rPr>
              <w:t>；环保应急预案等）</w:t>
            </w:r>
          </w:p>
          <w:p w14:paraId="0FB02A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2、医疗废物管理及台账；（医疗废物分类收集、封口、标识要求；内部运送路线、时间及交接流程；暂存点管理规范；台账记录模板及保存期限等）</w:t>
            </w:r>
          </w:p>
          <w:p w14:paraId="07E0CE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3、消毒灭菌与隔离作业规程；（不同区域（普通病房、ICU、手术室、发热门诊等）的消毒剂选择与浓度； </w:t>
            </w:r>
            <w:r>
              <w:rPr>
                <w:rFonts w:hint="default" w:ascii="方正仿宋_GB2312" w:hAnsi="方正仿宋_GB2312" w:eastAsia="方正仿宋_GB2312" w:cs="方正仿宋_GB2312"/>
                <w:color w:val="auto"/>
                <w:sz w:val="24"/>
                <w:szCs w:val="24"/>
                <w:highlight w:val="none"/>
                <w:vertAlign w:val="baseline"/>
                <w:lang w:val="en-US" w:eastAsia="zh-CN"/>
              </w:rPr>
              <w:t>高频接触物体表面消毒频次与方法</w:t>
            </w:r>
            <w:r>
              <w:rPr>
                <w:rFonts w:hint="eastAsia" w:ascii="方正仿宋_GB2312" w:hAnsi="方正仿宋_GB2312" w:eastAsia="方正仿宋_GB2312" w:cs="方正仿宋_GB2312"/>
                <w:color w:val="auto"/>
                <w:sz w:val="24"/>
                <w:szCs w:val="24"/>
                <w:highlight w:val="none"/>
                <w:vertAlign w:val="baseline"/>
                <w:lang w:val="en-US" w:eastAsia="zh-CN"/>
              </w:rPr>
              <w:t>；隔离区域（多重耐药菌、空气隔离等）的保洁作业流程；消毒效果监测与记录等）</w:t>
            </w:r>
          </w:p>
          <w:p w14:paraId="16A555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4、保洁服务方案、专项保洁服务方案；（日常保洁覆盖范围与作业频次；保洁作业规范与验收标准； </w:t>
            </w:r>
            <w:r>
              <w:rPr>
                <w:rFonts w:hint="default" w:ascii="方正仿宋_GB2312" w:hAnsi="方正仿宋_GB2312" w:eastAsia="方正仿宋_GB2312" w:cs="方正仿宋_GB2312"/>
                <w:color w:val="auto"/>
                <w:sz w:val="24"/>
                <w:szCs w:val="24"/>
                <w:highlight w:val="none"/>
                <w:vertAlign w:val="baseline"/>
                <w:lang w:val="en-US" w:eastAsia="zh-CN"/>
              </w:rPr>
              <w:t>特殊区域（</w:t>
            </w:r>
            <w:r>
              <w:rPr>
                <w:rFonts w:hint="eastAsia" w:ascii="方正仿宋_GB2312" w:hAnsi="方正仿宋_GB2312" w:eastAsia="方正仿宋_GB2312" w:cs="方正仿宋_GB2312"/>
                <w:color w:val="auto"/>
                <w:sz w:val="24"/>
                <w:szCs w:val="24"/>
                <w:highlight w:val="none"/>
                <w:vertAlign w:val="baseline"/>
                <w:lang w:val="en-US" w:eastAsia="zh-CN"/>
              </w:rPr>
              <w:t>如</w:t>
            </w:r>
            <w:r>
              <w:rPr>
                <w:rFonts w:hint="default" w:ascii="方正仿宋_GB2312" w:hAnsi="方正仿宋_GB2312" w:eastAsia="方正仿宋_GB2312" w:cs="方正仿宋_GB2312"/>
                <w:color w:val="auto"/>
                <w:sz w:val="24"/>
                <w:szCs w:val="24"/>
                <w:highlight w:val="none"/>
                <w:vertAlign w:val="baseline"/>
                <w:lang w:val="en-US" w:eastAsia="zh-CN"/>
              </w:rPr>
              <w:t>手术室、产房、层流病房</w:t>
            </w:r>
            <w:r>
              <w:rPr>
                <w:rFonts w:hint="eastAsia" w:ascii="方正仿宋_GB2312" w:hAnsi="方正仿宋_GB2312" w:eastAsia="方正仿宋_GB2312" w:cs="方正仿宋_GB2312"/>
                <w:color w:val="auto"/>
                <w:sz w:val="24"/>
                <w:szCs w:val="24"/>
                <w:highlight w:val="none"/>
                <w:vertAlign w:val="baseline"/>
                <w:lang w:val="en-US" w:eastAsia="zh-CN"/>
              </w:rPr>
              <w:t>等</w:t>
            </w:r>
            <w:r>
              <w:rPr>
                <w:rFonts w:hint="default" w:ascii="方正仿宋_GB2312" w:hAnsi="方正仿宋_GB2312" w:eastAsia="方正仿宋_GB2312" w:cs="方正仿宋_GB2312"/>
                <w:color w:val="auto"/>
                <w:sz w:val="24"/>
                <w:szCs w:val="24"/>
                <w:highlight w:val="none"/>
                <w:vertAlign w:val="baseline"/>
                <w:lang w:val="en-US" w:eastAsia="zh-CN"/>
              </w:rPr>
              <w:t>）保洁要求</w:t>
            </w:r>
            <w:r>
              <w:rPr>
                <w:rFonts w:hint="eastAsia" w:ascii="方正仿宋_GB2312" w:hAnsi="方正仿宋_GB2312" w:eastAsia="方正仿宋_GB2312" w:cs="方正仿宋_GB2312"/>
                <w:color w:val="auto"/>
                <w:sz w:val="24"/>
                <w:szCs w:val="24"/>
                <w:highlight w:val="none"/>
                <w:vertAlign w:val="baseline"/>
                <w:lang w:val="en-US" w:eastAsia="zh-CN"/>
              </w:rPr>
              <w:t>等）</w:t>
            </w:r>
          </w:p>
          <w:p w14:paraId="41AAF9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5、管理规章制度；（质量检查与奖惩制度；设备工具管理制度；安全管理制度；投诉处理与满意度回访制度等）</w:t>
            </w:r>
          </w:p>
          <w:p w14:paraId="6354D0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6、人员管理方案（人员组织架构；员工招募方案；服务人员的详细分布方案；员工日常管理制度等）；</w:t>
            </w:r>
          </w:p>
          <w:p w14:paraId="0F1F86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7、日常工作流程；（晨间/午间/晚间保洁标准流程； </w:t>
            </w:r>
            <w:r>
              <w:rPr>
                <w:rFonts w:hint="default" w:ascii="方正仿宋_GB2312" w:hAnsi="方正仿宋_GB2312" w:eastAsia="方正仿宋_GB2312" w:cs="方正仿宋_GB2312"/>
                <w:color w:val="auto"/>
                <w:sz w:val="24"/>
                <w:szCs w:val="24"/>
                <w:highlight w:val="none"/>
                <w:vertAlign w:val="baseline"/>
                <w:lang w:val="en-US" w:eastAsia="zh-CN"/>
              </w:rPr>
              <w:t>应急保洁流程（如呕吐物、血液污染）</w:t>
            </w:r>
            <w:r>
              <w:rPr>
                <w:rFonts w:hint="eastAsia" w:ascii="方正仿宋_GB2312" w:hAnsi="方正仿宋_GB2312" w:eastAsia="方正仿宋_GB2312" w:cs="方正仿宋_GB2312"/>
                <w:color w:val="auto"/>
                <w:sz w:val="24"/>
                <w:szCs w:val="24"/>
                <w:highlight w:val="none"/>
                <w:vertAlign w:val="baseline"/>
                <w:lang w:val="en-US" w:eastAsia="zh-CN"/>
              </w:rPr>
              <w:t>；节假日及特殊天气保洁流程等）</w:t>
            </w:r>
          </w:p>
          <w:p w14:paraId="6D48AE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8、人员培训及考核方案；（培训方式（理论+实操）与考核方法；年度/季度培训计划表；考核结果与绩效挂钩机制等）</w:t>
            </w:r>
          </w:p>
          <w:p w14:paraId="70DC93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9、院感防控方案；（与院感科联动机制、保洁员手卫生依从性管理、定期采样检测等）</w:t>
            </w:r>
          </w:p>
          <w:p w14:paraId="13965B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auto"/>
                <w:sz w:val="24"/>
                <w:szCs w:val="24"/>
                <w:highlight w:val="none"/>
                <w:vertAlign w:val="baseline"/>
                <w:lang w:val="en-US"/>
              </w:rPr>
            </w:pPr>
            <w:r>
              <w:rPr>
                <w:rFonts w:hint="eastAsia" w:ascii="方正仿宋_GB2312" w:hAnsi="方正仿宋_GB2312" w:eastAsia="方正仿宋_GB2312" w:cs="方正仿宋_GB2312"/>
                <w:color w:val="auto"/>
                <w:sz w:val="24"/>
                <w:szCs w:val="24"/>
                <w:highlight w:val="none"/>
                <w:vertAlign w:val="baseline"/>
                <w:lang w:val="en-US" w:eastAsia="zh-CN"/>
              </w:rPr>
              <w:t>每出现一项缺失的扣 2 分（每有一项表述混乱或不完善扣 1 分），未提供不得分。</w:t>
            </w:r>
          </w:p>
        </w:tc>
      </w:tr>
      <w:tr w14:paraId="059E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7F93C8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471CF1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0" w:type="auto"/>
            <w:noWrap w:val="0"/>
            <w:vAlign w:val="center"/>
          </w:tcPr>
          <w:p w14:paraId="73143F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项目重点难点分析、应对措施及相关的合理化建议</w:t>
            </w:r>
          </w:p>
        </w:tc>
        <w:tc>
          <w:tcPr>
            <w:tcW w:w="0" w:type="auto"/>
            <w:noWrap w:val="0"/>
            <w:vAlign w:val="center"/>
          </w:tcPr>
          <w:p w14:paraId="071482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c>
          <w:tcPr>
            <w:tcW w:w="5216" w:type="dxa"/>
            <w:noWrap w:val="0"/>
            <w:vAlign w:val="center"/>
          </w:tcPr>
          <w:p w14:paraId="20DD88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根据本项目招标需求提供详细的服务方案，内容包含但不限于： </w:t>
            </w:r>
          </w:p>
          <w:p w14:paraId="79B615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1、生活垃圾的分类与管理和医疗废物的分类与管理； </w:t>
            </w:r>
          </w:p>
          <w:p w14:paraId="523D1C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2、设备及工具、消耗材料配备和个人防护管理及防护用品的配置方案； </w:t>
            </w:r>
          </w:p>
          <w:p w14:paraId="20F952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3、医院保洁重点难点分析； </w:t>
            </w:r>
          </w:p>
          <w:p w14:paraId="5550DB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lang w:val="en-US" w:eastAsia="zh-CN"/>
              </w:rPr>
              <w:t>每出现一项缺失的扣 2 分（每有一项表述混乱或不完善扣 1 分），未提供不得分</w:t>
            </w:r>
            <w:r>
              <w:rPr>
                <w:rFonts w:hint="eastAsia" w:ascii="方正仿宋_GB2312" w:hAnsi="方正仿宋_GB2312" w:eastAsia="方正仿宋_GB2312" w:cs="方正仿宋_GB2312"/>
                <w:color w:val="auto"/>
                <w:sz w:val="24"/>
                <w:szCs w:val="24"/>
                <w:highlight w:val="none"/>
                <w:vertAlign w:val="baseline"/>
              </w:rPr>
              <w:t>。</w:t>
            </w:r>
          </w:p>
        </w:tc>
      </w:tr>
      <w:tr w14:paraId="2156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46C0D6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416F8B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0" w:type="auto"/>
            <w:noWrap w:val="0"/>
            <w:vAlign w:val="center"/>
          </w:tcPr>
          <w:p w14:paraId="5522CC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val="en-US" w:eastAsia="zh-CN"/>
              </w:rPr>
              <w:t>服务质量保证方案</w:t>
            </w:r>
          </w:p>
        </w:tc>
        <w:tc>
          <w:tcPr>
            <w:tcW w:w="0" w:type="auto"/>
            <w:noWrap w:val="0"/>
            <w:vAlign w:val="center"/>
          </w:tcPr>
          <w:p w14:paraId="7D9609C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c>
          <w:tcPr>
            <w:tcW w:w="5216" w:type="dxa"/>
            <w:noWrap w:val="0"/>
            <w:vAlign w:val="center"/>
          </w:tcPr>
          <w:p w14:paraId="2C36C0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根据本项目招标需求提供详细的服务质量保证方案，内容包含但不限于： </w:t>
            </w:r>
          </w:p>
          <w:p w14:paraId="0CB092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 xml:space="preserve">1、服务质量保障措施；（组织保障措施、资源保障措施、制度保障措施、应急保障措施等） </w:t>
            </w:r>
          </w:p>
          <w:p w14:paraId="2F5004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2、服务质量控制体系； （质量控制层级（班组自检、主管巡检、项目部抽检、院方联合查）；问题发现-整改-复查-关闭的闭环流程；质量数据分析与持续改进机制等）</w:t>
            </w:r>
          </w:p>
          <w:p w14:paraId="6B7598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3、服务工作流程和服务安全保证体系；（主要保洁区域的标准化作业流程（如病房、卫生间、走廊）； </w:t>
            </w:r>
            <w:r>
              <w:rPr>
                <w:rFonts w:hint="default" w:ascii="方正仿宋_GB2312" w:hAnsi="方正仿宋_GB2312" w:eastAsia="方正仿宋_GB2312" w:cs="方正仿宋_GB2312"/>
                <w:color w:val="auto"/>
                <w:sz w:val="24"/>
                <w:szCs w:val="24"/>
                <w:highlight w:val="none"/>
                <w:vertAlign w:val="baseline"/>
                <w:lang w:val="en-US" w:eastAsia="zh-CN"/>
              </w:rPr>
              <w:t>特殊事件处理流程（患者投诉、贵重物品遗失、突发污染等）</w:t>
            </w:r>
            <w:r>
              <w:rPr>
                <w:rFonts w:hint="eastAsia" w:ascii="方正仿宋_GB2312" w:hAnsi="方正仿宋_GB2312" w:eastAsia="方正仿宋_GB2312" w:cs="方正仿宋_GB2312"/>
                <w:color w:val="auto"/>
                <w:sz w:val="24"/>
                <w:szCs w:val="24"/>
                <w:highlight w:val="none"/>
                <w:vertAlign w:val="baseline"/>
                <w:lang w:val="en-US" w:eastAsia="zh-CN"/>
              </w:rPr>
              <w:t xml:space="preserve">；安全风险识别；针对每类风险的具体预防措施；安全培训与演练计划等） </w:t>
            </w:r>
          </w:p>
          <w:p w14:paraId="54B8371B">
            <w:pPr>
              <w:pStyle w:val="16"/>
              <w:widowControl w:val="0"/>
              <w:snapToGrid w:val="0"/>
              <w:ind w:left="0" w:leftChars="0" w:right="0" w:rightChars="0" w:firstLine="0" w:firstLineChars="0"/>
              <w:jc w:val="left"/>
              <w:rPr>
                <w:rFonts w:hint="default" w:ascii="方正仿宋_GB2312" w:eastAsia="方正仿宋_GB2312"/>
                <w:sz w:val="24"/>
                <w:highlight w:val="none"/>
                <w:lang w:val="en-US"/>
              </w:rPr>
            </w:pPr>
            <w:r>
              <w:rPr>
                <w:rFonts w:hint="eastAsia" w:ascii="方正仿宋_GB2312" w:hAnsi="方正仿宋_GB2312" w:eastAsia="方正仿宋_GB2312" w:cs="方正仿宋_GB2312"/>
                <w:color w:val="auto"/>
                <w:sz w:val="24"/>
                <w:szCs w:val="24"/>
                <w:highlight w:val="none"/>
                <w:vertAlign w:val="baseline"/>
                <w:lang w:val="en-US" w:eastAsia="zh-CN"/>
              </w:rPr>
              <w:t>每出现一项缺失的扣 2 分（每有一项表述混乱或不完善扣 1 分），未提供不得分</w:t>
            </w:r>
            <w:r>
              <w:rPr>
                <w:rFonts w:hint="eastAsia" w:ascii="方正仿宋_GB2312" w:hAnsi="方正仿宋_GB2312" w:eastAsia="方正仿宋_GB2312" w:cs="方正仿宋_GB2312"/>
                <w:color w:val="auto"/>
                <w:sz w:val="24"/>
                <w:szCs w:val="24"/>
                <w:highlight w:val="none"/>
                <w:vertAlign w:val="baseline"/>
              </w:rPr>
              <w:t>。</w:t>
            </w:r>
          </w:p>
        </w:tc>
      </w:tr>
      <w:tr w14:paraId="5B80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259B8C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4A8D15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w:t>
            </w:r>
          </w:p>
        </w:tc>
        <w:tc>
          <w:tcPr>
            <w:tcW w:w="0" w:type="auto"/>
            <w:noWrap w:val="0"/>
            <w:vAlign w:val="center"/>
          </w:tcPr>
          <w:p w14:paraId="62FB8B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lang w:val="en-US" w:eastAsia="zh-CN"/>
              </w:rPr>
              <w:t>应急预案</w:t>
            </w:r>
          </w:p>
        </w:tc>
        <w:tc>
          <w:tcPr>
            <w:tcW w:w="0" w:type="auto"/>
            <w:noWrap w:val="0"/>
            <w:vAlign w:val="center"/>
          </w:tcPr>
          <w:p w14:paraId="64A384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p>
        </w:tc>
        <w:tc>
          <w:tcPr>
            <w:tcW w:w="5216" w:type="dxa"/>
            <w:noWrap w:val="0"/>
            <w:vAlign w:val="center"/>
          </w:tcPr>
          <w:p w14:paraId="3771D6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根据本项目需求提供详细的应急预案，内容包含但不限于：</w:t>
            </w:r>
          </w:p>
          <w:p w14:paraId="7AC32F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1、医疗废物流失、泄漏、扩散和意外事故时紧急处理措施；</w:t>
            </w:r>
          </w:p>
          <w:p w14:paraId="1252B0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2、针对停水停电事件的应急预案；</w:t>
            </w:r>
          </w:p>
          <w:p w14:paraId="223CE2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3、消防应急预案及应急措施；</w:t>
            </w:r>
          </w:p>
          <w:p w14:paraId="527E5D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4、发生迎检的应急处理；</w:t>
            </w:r>
          </w:p>
          <w:p w14:paraId="64E423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5、发生员工流动的应急处理；</w:t>
            </w:r>
          </w:p>
          <w:p w14:paraId="53D010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6、发生人员劳务纠纷应急处理；</w:t>
            </w:r>
          </w:p>
          <w:p w14:paraId="4B7526BE">
            <w:pPr>
              <w:pStyle w:val="16"/>
              <w:widowControl w:val="0"/>
              <w:ind w:left="0" w:leftChars="0" w:firstLine="0" w:firstLineChars="0"/>
              <w:rPr>
                <w:rFonts w:hint="eastAsia"/>
                <w:highlight w:val="none"/>
              </w:rPr>
            </w:pPr>
            <w:r>
              <w:rPr>
                <w:rFonts w:hint="eastAsia" w:ascii="方正仿宋_GB2312" w:hAnsi="方正仿宋_GB2312" w:eastAsia="方正仿宋_GB2312" w:cs="方正仿宋_GB2312"/>
                <w:color w:val="auto"/>
                <w:sz w:val="24"/>
                <w:szCs w:val="24"/>
                <w:highlight w:val="none"/>
                <w:vertAlign w:val="baseline"/>
                <w:lang w:val="en-US" w:eastAsia="zh-CN"/>
              </w:rPr>
              <w:t>每出现一项缺失的扣 2 分（每有一项表述混乱或不完善扣 1 分），未提供不得分</w:t>
            </w:r>
            <w:r>
              <w:rPr>
                <w:rFonts w:hint="eastAsia" w:ascii="方正仿宋_GB2312" w:hAnsi="方正仿宋_GB2312" w:eastAsia="方正仿宋_GB2312" w:cs="方正仿宋_GB2312"/>
                <w:color w:val="auto"/>
                <w:sz w:val="24"/>
                <w:szCs w:val="24"/>
                <w:highlight w:val="none"/>
                <w:vertAlign w:val="baseline"/>
              </w:rPr>
              <w:t>。</w:t>
            </w:r>
          </w:p>
        </w:tc>
      </w:tr>
      <w:tr w14:paraId="7159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449199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091B0A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5</w:t>
            </w:r>
          </w:p>
        </w:tc>
        <w:tc>
          <w:tcPr>
            <w:tcW w:w="0" w:type="auto"/>
            <w:noWrap w:val="0"/>
            <w:vAlign w:val="center"/>
          </w:tcPr>
          <w:p w14:paraId="3FC1F9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项目完成（服务期满）后的服务承诺</w:t>
            </w:r>
          </w:p>
        </w:tc>
        <w:tc>
          <w:tcPr>
            <w:tcW w:w="0" w:type="auto"/>
            <w:noWrap w:val="0"/>
            <w:vAlign w:val="center"/>
          </w:tcPr>
          <w:p w14:paraId="2915C7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5216" w:type="dxa"/>
            <w:noWrap w:val="0"/>
            <w:vAlign w:val="center"/>
          </w:tcPr>
          <w:p w14:paraId="6EFF56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投标人承诺以下</w:t>
            </w:r>
            <w:r>
              <w:rPr>
                <w:rFonts w:hint="eastAsia" w:ascii="方正仿宋_GB2312" w:hAnsi="方正仿宋_GB2312" w:eastAsia="方正仿宋_GB2312" w:cs="方正仿宋_GB2312"/>
                <w:color w:val="auto"/>
                <w:sz w:val="24"/>
                <w:szCs w:val="24"/>
                <w:highlight w:val="none"/>
                <w:vertAlign w:val="baseline"/>
                <w:lang w:eastAsia="zh-CN"/>
              </w:rPr>
              <w:t>内容的</w:t>
            </w:r>
            <w:r>
              <w:rPr>
                <w:rFonts w:hint="eastAsia" w:ascii="方正仿宋_GB2312" w:hAnsi="方正仿宋_GB2312" w:eastAsia="方正仿宋_GB2312" w:cs="方正仿宋_GB2312"/>
                <w:color w:val="auto"/>
                <w:sz w:val="24"/>
                <w:szCs w:val="24"/>
                <w:highlight w:val="none"/>
                <w:vertAlign w:val="baseline"/>
              </w:rPr>
              <w:t>，</w:t>
            </w:r>
            <w:r>
              <w:rPr>
                <w:rFonts w:hint="eastAsia" w:ascii="方正仿宋_GB2312" w:hAnsi="方正仿宋_GB2312" w:eastAsia="方正仿宋_GB2312" w:cs="方正仿宋_GB2312"/>
                <w:color w:val="auto"/>
                <w:sz w:val="24"/>
                <w:szCs w:val="24"/>
                <w:highlight w:val="none"/>
                <w:vertAlign w:val="baseline"/>
                <w:lang w:eastAsia="zh-CN"/>
              </w:rPr>
              <w:t>每提供一项得1分，未提供不得分</w:t>
            </w:r>
            <w:r>
              <w:rPr>
                <w:rFonts w:hint="eastAsia" w:ascii="方正仿宋_GB2312" w:hAnsi="方正仿宋_GB2312" w:eastAsia="方正仿宋_GB2312" w:cs="方正仿宋_GB2312"/>
                <w:color w:val="auto"/>
                <w:sz w:val="24"/>
                <w:szCs w:val="24"/>
                <w:highlight w:val="none"/>
                <w:vertAlign w:val="baseline"/>
              </w:rPr>
              <w:t>。</w:t>
            </w:r>
          </w:p>
          <w:p w14:paraId="67CAC5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分。</w:t>
            </w:r>
          </w:p>
          <w:p w14:paraId="4D16BD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1</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服务期满后主动离岗；</w:t>
            </w:r>
          </w:p>
          <w:p w14:paraId="5AAAA6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2</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与后续服务公司进行交接；</w:t>
            </w:r>
          </w:p>
          <w:p w14:paraId="40C93F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3</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服务期满，后续服务公司未到位前仍按原合同服务承诺提供服务。</w:t>
            </w:r>
          </w:p>
          <w:p w14:paraId="05CAE0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要求提供承诺</w:t>
            </w:r>
            <w:r>
              <w:rPr>
                <w:rFonts w:hint="eastAsia" w:ascii="方正仿宋_GB2312" w:hAnsi="方正仿宋_GB2312" w:eastAsia="方正仿宋_GB2312" w:cs="方正仿宋_GB2312"/>
                <w:color w:val="auto"/>
                <w:sz w:val="24"/>
                <w:szCs w:val="24"/>
                <w:highlight w:val="none"/>
                <w:vertAlign w:val="baseline"/>
                <w:lang w:eastAsia="zh-CN"/>
              </w:rPr>
              <w:t>并加盖法人章</w:t>
            </w:r>
            <w:r>
              <w:rPr>
                <w:rFonts w:hint="eastAsia" w:ascii="方正仿宋_GB2312" w:hAnsi="方正仿宋_GB2312" w:eastAsia="方正仿宋_GB2312" w:cs="方正仿宋_GB2312"/>
                <w:color w:val="auto"/>
                <w:sz w:val="24"/>
                <w:szCs w:val="24"/>
                <w:highlight w:val="none"/>
                <w:vertAlign w:val="baseline"/>
              </w:rPr>
              <w:t>（格式自定）作为得分依据，未提供承诺或承诺内容不满足要求不得分。</w:t>
            </w:r>
          </w:p>
        </w:tc>
      </w:tr>
      <w:tr w14:paraId="62C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582981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31119C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c>
          <w:tcPr>
            <w:tcW w:w="0" w:type="auto"/>
            <w:noWrap w:val="0"/>
            <w:vAlign w:val="center"/>
          </w:tcPr>
          <w:p w14:paraId="66F379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违约承诺</w:t>
            </w:r>
          </w:p>
        </w:tc>
        <w:tc>
          <w:tcPr>
            <w:tcW w:w="0" w:type="auto"/>
            <w:noWrap w:val="0"/>
            <w:vAlign w:val="center"/>
          </w:tcPr>
          <w:p w14:paraId="7491DE3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5216" w:type="dxa"/>
            <w:noWrap w:val="0"/>
            <w:vAlign w:val="center"/>
          </w:tcPr>
          <w:p w14:paraId="4088A7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投标人承诺以下</w:t>
            </w:r>
            <w:r>
              <w:rPr>
                <w:rFonts w:hint="eastAsia" w:ascii="方正仿宋_GB2312" w:hAnsi="方正仿宋_GB2312" w:eastAsia="方正仿宋_GB2312" w:cs="方正仿宋_GB2312"/>
                <w:color w:val="auto"/>
                <w:sz w:val="24"/>
                <w:szCs w:val="24"/>
                <w:highlight w:val="none"/>
                <w:vertAlign w:val="baseline"/>
                <w:lang w:eastAsia="zh-CN"/>
              </w:rPr>
              <w:t>内容的</w:t>
            </w:r>
            <w:r>
              <w:rPr>
                <w:rFonts w:hint="eastAsia" w:ascii="方正仿宋_GB2312" w:hAnsi="方正仿宋_GB2312" w:eastAsia="方正仿宋_GB2312" w:cs="方正仿宋_GB2312"/>
                <w:color w:val="auto"/>
                <w:sz w:val="24"/>
                <w:szCs w:val="24"/>
                <w:highlight w:val="none"/>
                <w:vertAlign w:val="baseline"/>
              </w:rPr>
              <w:t>，</w:t>
            </w:r>
            <w:r>
              <w:rPr>
                <w:rFonts w:hint="eastAsia" w:ascii="方正仿宋_GB2312" w:hAnsi="方正仿宋_GB2312" w:eastAsia="方正仿宋_GB2312" w:cs="方正仿宋_GB2312"/>
                <w:color w:val="auto"/>
                <w:sz w:val="24"/>
                <w:szCs w:val="24"/>
                <w:highlight w:val="none"/>
                <w:vertAlign w:val="baseline"/>
                <w:lang w:eastAsia="zh-CN"/>
              </w:rPr>
              <w:t>每提供一项得1分，未提供不得分。</w:t>
            </w:r>
          </w:p>
          <w:p w14:paraId="3B2815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1</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人员严格按照招标文件及投标承诺配置；</w:t>
            </w:r>
          </w:p>
          <w:p w14:paraId="4908DC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2</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服务质量达到招标文件要求；</w:t>
            </w:r>
          </w:p>
          <w:p w14:paraId="7114063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3</w:t>
            </w:r>
            <w:r>
              <w:rPr>
                <w:rFonts w:hint="eastAsia" w:ascii="方正仿宋_GB2312" w:hAnsi="方正仿宋_GB2312" w:eastAsia="方正仿宋_GB2312" w:cs="方正仿宋_GB2312"/>
                <w:color w:val="auto"/>
                <w:sz w:val="24"/>
                <w:szCs w:val="24"/>
                <w:highlight w:val="none"/>
                <w:vertAlign w:val="baseline"/>
                <w:lang w:eastAsia="zh-CN"/>
              </w:rPr>
              <w:t>、</w:t>
            </w:r>
            <w:r>
              <w:rPr>
                <w:rFonts w:hint="eastAsia" w:ascii="方正仿宋_GB2312" w:hAnsi="方正仿宋_GB2312" w:eastAsia="方正仿宋_GB2312" w:cs="方正仿宋_GB2312"/>
                <w:color w:val="auto"/>
                <w:sz w:val="24"/>
                <w:szCs w:val="24"/>
                <w:highlight w:val="none"/>
                <w:vertAlign w:val="baseline"/>
              </w:rPr>
              <w:t>对未能达到的管理要求承担管理责任。</w:t>
            </w:r>
          </w:p>
          <w:p w14:paraId="086D129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vertAlign w:val="baseline"/>
              </w:rPr>
              <w:t>要求提供承诺</w:t>
            </w:r>
            <w:r>
              <w:rPr>
                <w:rFonts w:hint="eastAsia" w:ascii="方正仿宋_GB2312" w:hAnsi="方正仿宋_GB2312" w:eastAsia="方正仿宋_GB2312" w:cs="方正仿宋_GB2312"/>
                <w:color w:val="auto"/>
                <w:sz w:val="24"/>
                <w:szCs w:val="24"/>
                <w:highlight w:val="none"/>
                <w:vertAlign w:val="baseline"/>
                <w:lang w:eastAsia="zh-CN"/>
              </w:rPr>
              <w:t>并加盖法人章</w:t>
            </w:r>
            <w:r>
              <w:rPr>
                <w:rFonts w:hint="eastAsia" w:ascii="方正仿宋_GB2312" w:hAnsi="方正仿宋_GB2312" w:eastAsia="方正仿宋_GB2312" w:cs="方正仿宋_GB2312"/>
                <w:color w:val="auto"/>
                <w:sz w:val="24"/>
                <w:szCs w:val="24"/>
                <w:highlight w:val="none"/>
                <w:vertAlign w:val="baseline"/>
              </w:rPr>
              <w:t>（格式自定）作为得分依据，未提供承诺或承诺内容不满足要求不得分。</w:t>
            </w:r>
          </w:p>
        </w:tc>
      </w:tr>
      <w:tr w14:paraId="2004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38A0EE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104D78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c>
          <w:tcPr>
            <w:tcW w:w="0" w:type="auto"/>
            <w:noWrap w:val="0"/>
            <w:vAlign w:val="center"/>
          </w:tcPr>
          <w:p w14:paraId="56FB02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拟安排的项目负责人情况（仅限一人）</w:t>
            </w:r>
          </w:p>
        </w:tc>
        <w:tc>
          <w:tcPr>
            <w:tcW w:w="0" w:type="auto"/>
            <w:noWrap w:val="0"/>
            <w:vAlign w:val="center"/>
          </w:tcPr>
          <w:p w14:paraId="2022C5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8</w:t>
            </w:r>
          </w:p>
        </w:tc>
        <w:tc>
          <w:tcPr>
            <w:tcW w:w="5216" w:type="dxa"/>
            <w:noWrap w:val="0"/>
            <w:vAlign w:val="center"/>
          </w:tcPr>
          <w:p w14:paraId="0CB3A1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rPr>
              <w:t xml:space="preserve">员工以下累计最高得 </w:t>
            </w:r>
            <w:r>
              <w:rPr>
                <w:rFonts w:hint="eastAsia" w:ascii="方正仿宋_GB2312" w:hAnsi="方正仿宋_GB2312" w:eastAsia="方正仿宋_GB2312" w:cs="方正仿宋_GB2312"/>
                <w:color w:val="000000"/>
                <w:sz w:val="24"/>
                <w:szCs w:val="24"/>
                <w:vertAlign w:val="baseline"/>
                <w:lang w:val="en-US" w:eastAsia="zh-CN"/>
              </w:rPr>
              <w:t>8</w:t>
            </w:r>
            <w:r>
              <w:rPr>
                <w:rFonts w:hint="eastAsia" w:ascii="方正仿宋_GB2312" w:hAnsi="方正仿宋_GB2312" w:eastAsia="方正仿宋_GB2312" w:cs="方正仿宋_GB2312"/>
                <w:color w:val="000000"/>
                <w:sz w:val="24"/>
                <w:szCs w:val="24"/>
                <w:vertAlign w:val="baseline"/>
              </w:rPr>
              <w:t>分：</w:t>
            </w:r>
          </w:p>
          <w:p w14:paraId="247130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lang w:eastAsia="zh-CN"/>
              </w:rPr>
            </w:pPr>
            <w:r>
              <w:rPr>
                <w:rFonts w:hint="eastAsia" w:ascii="方正仿宋_GB2312" w:hAnsi="方正仿宋_GB2312" w:eastAsia="方正仿宋_GB2312" w:cs="方正仿宋_GB2312"/>
                <w:color w:val="000000"/>
                <w:sz w:val="24"/>
                <w:szCs w:val="24"/>
                <w:vertAlign w:val="baseline"/>
              </w:rPr>
              <w:t>1.</w:t>
            </w:r>
            <w:r>
              <w:rPr>
                <w:rFonts w:hint="eastAsia" w:ascii="方正仿宋_GB2312" w:hAnsi="方正仿宋_GB2312" w:eastAsia="方正仿宋_GB2312" w:cs="方正仿宋_GB2312"/>
                <w:color w:val="000000"/>
                <w:sz w:val="24"/>
                <w:szCs w:val="24"/>
                <w:vertAlign w:val="baseline"/>
                <w:lang w:val="en-US" w:eastAsia="zh-CN"/>
              </w:rPr>
              <w:t>提供项目经理专业能力相关证书</w:t>
            </w:r>
            <w:r>
              <w:rPr>
                <w:rFonts w:hint="eastAsia" w:ascii="方正仿宋_GB2312" w:hAnsi="方正仿宋_GB2312" w:eastAsia="方正仿宋_GB2312" w:cs="方正仿宋_GB2312"/>
                <w:color w:val="000000"/>
                <w:sz w:val="24"/>
                <w:szCs w:val="24"/>
                <w:vertAlign w:val="baseline"/>
              </w:rPr>
              <w:t>，得</w:t>
            </w:r>
            <w:r>
              <w:rPr>
                <w:rFonts w:hint="eastAsia" w:ascii="方正仿宋_GB2312" w:hAnsi="方正仿宋_GB2312" w:eastAsia="方正仿宋_GB2312" w:cs="方正仿宋_GB2312"/>
                <w:color w:val="000000"/>
                <w:sz w:val="24"/>
                <w:szCs w:val="24"/>
                <w:vertAlign w:val="baseline"/>
                <w:lang w:val="en-US" w:eastAsia="zh-CN"/>
              </w:rPr>
              <w:t>2</w:t>
            </w:r>
            <w:r>
              <w:rPr>
                <w:rFonts w:hint="eastAsia" w:ascii="方正仿宋_GB2312" w:hAnsi="方正仿宋_GB2312" w:eastAsia="方正仿宋_GB2312" w:cs="方正仿宋_GB2312"/>
                <w:color w:val="000000"/>
                <w:sz w:val="24"/>
                <w:szCs w:val="24"/>
                <w:vertAlign w:val="baseline"/>
              </w:rPr>
              <w:t>分；</w:t>
            </w:r>
          </w:p>
          <w:p w14:paraId="1573DD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lang w:val="en-US" w:eastAsia="zh-CN"/>
              </w:rPr>
              <w:t>2</w:t>
            </w:r>
            <w:r>
              <w:rPr>
                <w:rFonts w:hint="eastAsia" w:ascii="方正仿宋_GB2312" w:hAnsi="方正仿宋_GB2312" w:eastAsia="方正仿宋_GB2312" w:cs="方正仿宋_GB2312"/>
                <w:color w:val="000000"/>
                <w:sz w:val="24"/>
                <w:szCs w:val="24"/>
                <w:vertAlign w:val="baseline"/>
              </w:rPr>
              <w:t>.具有</w:t>
            </w:r>
            <w:r>
              <w:rPr>
                <w:rFonts w:hint="eastAsia" w:ascii="方正仿宋_GB2312" w:hAnsi="方正仿宋_GB2312" w:eastAsia="方正仿宋_GB2312" w:cs="方正仿宋_GB2312"/>
                <w:color w:val="000000"/>
                <w:sz w:val="24"/>
                <w:szCs w:val="24"/>
                <w:vertAlign w:val="baseline"/>
                <w:lang w:val="en-US" w:eastAsia="zh-CN"/>
              </w:rPr>
              <w:t>类似</w:t>
            </w:r>
            <w:r>
              <w:rPr>
                <w:rFonts w:hint="eastAsia" w:ascii="方正仿宋_GB2312" w:hAnsi="方正仿宋_GB2312" w:eastAsia="方正仿宋_GB2312" w:cs="方正仿宋_GB2312"/>
                <w:color w:val="000000"/>
                <w:sz w:val="24"/>
                <w:szCs w:val="24"/>
                <w:vertAlign w:val="baseline"/>
              </w:rPr>
              <w:t>项目物业管理经验的得</w:t>
            </w:r>
            <w:r>
              <w:rPr>
                <w:rFonts w:hint="eastAsia" w:ascii="方正仿宋_GB2312" w:hAnsi="方正仿宋_GB2312" w:eastAsia="方正仿宋_GB2312" w:cs="方正仿宋_GB2312"/>
                <w:color w:val="000000"/>
                <w:sz w:val="24"/>
                <w:szCs w:val="24"/>
                <w:vertAlign w:val="baseline"/>
                <w:lang w:val="en-US" w:eastAsia="zh-CN"/>
              </w:rPr>
              <w:t>6</w:t>
            </w:r>
            <w:r>
              <w:rPr>
                <w:rFonts w:hint="eastAsia" w:ascii="方正仿宋_GB2312" w:hAnsi="方正仿宋_GB2312" w:eastAsia="方正仿宋_GB2312" w:cs="方正仿宋_GB2312"/>
                <w:color w:val="000000"/>
                <w:sz w:val="24"/>
                <w:szCs w:val="24"/>
                <w:vertAlign w:val="baseline"/>
              </w:rPr>
              <w:t>分</w:t>
            </w:r>
            <w:r>
              <w:rPr>
                <w:rFonts w:hint="eastAsia" w:ascii="方正仿宋_GB2312" w:hAnsi="方正仿宋_GB2312" w:eastAsia="方正仿宋_GB2312" w:cs="方正仿宋_GB2312"/>
                <w:color w:val="000000"/>
                <w:sz w:val="24"/>
                <w:szCs w:val="24"/>
                <w:vertAlign w:val="baseline"/>
                <w:lang w:eastAsia="zh-CN"/>
              </w:rPr>
              <w:t>，</w:t>
            </w:r>
            <w:r>
              <w:rPr>
                <w:rFonts w:hint="eastAsia" w:ascii="方正仿宋_GB2312" w:hAnsi="方正仿宋_GB2312" w:eastAsia="方正仿宋_GB2312" w:cs="方正仿宋_GB2312"/>
                <w:color w:val="000000"/>
                <w:sz w:val="24"/>
                <w:szCs w:val="24"/>
                <w:vertAlign w:val="baseline"/>
                <w:lang w:val="en-US" w:eastAsia="zh-CN"/>
              </w:rPr>
              <w:t>每提供1项得2分，最多得6分，未提供不得分。</w:t>
            </w:r>
            <w:r>
              <w:rPr>
                <w:rFonts w:hint="eastAsia" w:ascii="方正仿宋_GB2312" w:hAnsi="方正仿宋_GB2312" w:eastAsia="方正仿宋_GB2312" w:cs="方正仿宋_GB2312"/>
                <w:color w:val="000000"/>
                <w:sz w:val="24"/>
                <w:szCs w:val="24"/>
                <w:vertAlign w:val="baseline"/>
                <w:lang w:eastAsia="zh-CN"/>
              </w:rPr>
              <w:t>（提供之前服务对象出具的书面证明）</w:t>
            </w:r>
          </w:p>
          <w:p w14:paraId="631EC7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lang w:val="en-US" w:eastAsia="zh-CN"/>
              </w:rPr>
              <w:t>备注：</w:t>
            </w:r>
          </w:p>
          <w:p w14:paraId="45C546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rPr>
              <w:t>1.要求提供通过投标人或其分公司缴纳的近三个月的任意一个月（由于社保部门原因最近一个月的社保证明无法提供的可往前顺延一个月）的社保证明（至少提供养老保险缴纳证明）作为本单位员工的证明依据；若供应商成立不足三个月的，需提供成立情况说明函（格式自拟），无需提供相关人员社保亦可得分。</w:t>
            </w:r>
          </w:p>
          <w:p w14:paraId="06CD68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rPr>
              <w:t>2.以上资料均要求提供扫描件（或官方网站截图）。评分中出现无证明资料或专家无法凭所提供资料判断是否得分的情况，一律作不得分处理。</w:t>
            </w:r>
          </w:p>
          <w:p w14:paraId="0CD579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vertAlign w:val="baseline"/>
              </w:rPr>
            </w:pPr>
            <w:r>
              <w:rPr>
                <w:rFonts w:hint="eastAsia" w:ascii="方正仿宋_GB2312" w:hAnsi="方正仿宋_GB2312" w:eastAsia="方正仿宋_GB2312" w:cs="方正仿宋_GB2312"/>
                <w:color w:val="000000"/>
                <w:sz w:val="24"/>
                <w:szCs w:val="24"/>
                <w:vertAlign w:val="baseline"/>
              </w:rPr>
              <w:t>3.考察人员工作经验，要求提供合同甲方出具的证明文件作为得分依据。</w:t>
            </w:r>
          </w:p>
        </w:tc>
      </w:tr>
      <w:tr w14:paraId="3C1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2B887C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7563E3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7</w:t>
            </w:r>
          </w:p>
        </w:tc>
        <w:tc>
          <w:tcPr>
            <w:tcW w:w="0" w:type="auto"/>
            <w:noWrap w:val="0"/>
            <w:vAlign w:val="center"/>
          </w:tcPr>
          <w:p w14:paraId="309CAA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拟安排的项目主要团队成员情况（</w:t>
            </w:r>
            <w:r>
              <w:rPr>
                <w:rFonts w:hint="eastAsia" w:ascii="方正仿宋_GB2312" w:hAnsi="方正仿宋_GB2312" w:eastAsia="方正仿宋_GB2312" w:cs="方正仿宋_GB2312"/>
                <w:color w:val="auto"/>
                <w:sz w:val="24"/>
                <w:szCs w:val="24"/>
                <w:vertAlign w:val="baseline"/>
                <w:lang w:eastAsia="zh-CN"/>
              </w:rPr>
              <w:t>含</w:t>
            </w:r>
            <w:r>
              <w:rPr>
                <w:rFonts w:hint="eastAsia" w:ascii="方正仿宋_GB2312" w:hAnsi="方正仿宋_GB2312" w:eastAsia="方正仿宋_GB2312" w:cs="方正仿宋_GB2312"/>
                <w:color w:val="auto"/>
                <w:sz w:val="24"/>
                <w:szCs w:val="24"/>
                <w:vertAlign w:val="baseline"/>
              </w:rPr>
              <w:t>项目负责人）</w:t>
            </w:r>
          </w:p>
        </w:tc>
        <w:tc>
          <w:tcPr>
            <w:tcW w:w="0" w:type="auto"/>
            <w:noWrap w:val="0"/>
            <w:vAlign w:val="center"/>
          </w:tcPr>
          <w:p w14:paraId="124F34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18</w:t>
            </w:r>
          </w:p>
        </w:tc>
        <w:tc>
          <w:tcPr>
            <w:tcW w:w="5216" w:type="dxa"/>
            <w:noWrap w:val="0"/>
            <w:vAlign w:val="center"/>
          </w:tcPr>
          <w:p w14:paraId="07E1FFD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拟安排项目主要团队成员为投标单位员工（以社保为准），否则该人员情况不计分。</w:t>
            </w:r>
          </w:p>
          <w:p w14:paraId="6423EC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1.</w:t>
            </w:r>
            <w:r>
              <w:rPr>
                <w:rFonts w:hint="eastAsia" w:ascii="方正仿宋_GB2312" w:hAnsi="方正仿宋_GB2312" w:eastAsia="方正仿宋_GB2312" w:cs="方正仿宋_GB2312"/>
                <w:color w:val="000000"/>
                <w:sz w:val="24"/>
                <w:szCs w:val="24"/>
                <w:highlight w:val="none"/>
                <w:vertAlign w:val="baseline"/>
                <w:lang w:eastAsia="zh-CN"/>
              </w:rPr>
              <w:t>保洁</w:t>
            </w:r>
            <w:r>
              <w:rPr>
                <w:rFonts w:hint="eastAsia" w:ascii="方正仿宋_GB2312" w:hAnsi="方正仿宋_GB2312" w:eastAsia="方正仿宋_GB2312" w:cs="方正仿宋_GB2312"/>
                <w:color w:val="000000"/>
                <w:sz w:val="24"/>
                <w:szCs w:val="24"/>
                <w:highlight w:val="none"/>
                <w:vertAlign w:val="baseline"/>
              </w:rPr>
              <w:t>主管（</w:t>
            </w:r>
            <w:r>
              <w:rPr>
                <w:rFonts w:hint="eastAsia" w:ascii="方正仿宋_GB2312" w:hAnsi="方正仿宋_GB2312" w:eastAsia="方正仿宋_GB2312" w:cs="方正仿宋_GB2312"/>
                <w:color w:val="000000"/>
                <w:sz w:val="24"/>
                <w:szCs w:val="24"/>
                <w:highlight w:val="none"/>
                <w:vertAlign w:val="baseline"/>
                <w:lang w:val="en-US" w:eastAsia="zh-CN"/>
              </w:rPr>
              <w:t>2</w:t>
            </w:r>
            <w:r>
              <w:rPr>
                <w:rFonts w:hint="eastAsia" w:ascii="方正仿宋_GB2312" w:hAnsi="方正仿宋_GB2312" w:eastAsia="方正仿宋_GB2312" w:cs="方正仿宋_GB2312"/>
                <w:color w:val="000000"/>
                <w:sz w:val="24"/>
                <w:szCs w:val="24"/>
                <w:highlight w:val="none"/>
                <w:vertAlign w:val="baseline"/>
              </w:rPr>
              <w:t xml:space="preserve"> 人）本小项累计最高得 </w:t>
            </w:r>
            <w:r>
              <w:rPr>
                <w:rFonts w:hint="eastAsia" w:ascii="方正仿宋_GB2312" w:hAnsi="方正仿宋_GB2312" w:eastAsia="方正仿宋_GB2312" w:cs="方正仿宋_GB2312"/>
                <w:color w:val="000000"/>
                <w:sz w:val="24"/>
                <w:szCs w:val="24"/>
                <w:highlight w:val="none"/>
                <w:vertAlign w:val="baseline"/>
                <w:lang w:val="en-US" w:eastAsia="zh-CN"/>
              </w:rPr>
              <w:t>6</w:t>
            </w:r>
            <w:r>
              <w:rPr>
                <w:rFonts w:hint="eastAsia" w:ascii="方正仿宋_GB2312" w:hAnsi="方正仿宋_GB2312" w:eastAsia="方正仿宋_GB2312" w:cs="方正仿宋_GB2312"/>
                <w:color w:val="000000"/>
                <w:sz w:val="24"/>
                <w:szCs w:val="24"/>
                <w:highlight w:val="none"/>
                <w:vertAlign w:val="baseline"/>
              </w:rPr>
              <w:t>分</w:t>
            </w:r>
          </w:p>
          <w:p w14:paraId="61BBC0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w:t>
            </w:r>
            <w:r>
              <w:rPr>
                <w:rFonts w:hint="eastAsia" w:ascii="方正仿宋_GB2312" w:hAnsi="方正仿宋_GB2312" w:eastAsia="方正仿宋_GB2312" w:cs="方正仿宋_GB2312"/>
                <w:color w:val="000000"/>
                <w:sz w:val="24"/>
                <w:szCs w:val="24"/>
                <w:highlight w:val="none"/>
                <w:vertAlign w:val="baseline"/>
                <w:lang w:val="en-US" w:eastAsia="zh-CN"/>
              </w:rPr>
              <w:t>1</w:t>
            </w:r>
            <w:r>
              <w:rPr>
                <w:rFonts w:hint="eastAsia" w:ascii="方正仿宋_GB2312" w:hAnsi="方正仿宋_GB2312" w:eastAsia="方正仿宋_GB2312" w:cs="方正仿宋_GB2312"/>
                <w:color w:val="000000"/>
                <w:sz w:val="24"/>
                <w:szCs w:val="24"/>
                <w:highlight w:val="none"/>
                <w:vertAlign w:val="baseline"/>
              </w:rPr>
              <w:t>）具有</w:t>
            </w:r>
            <w:r>
              <w:rPr>
                <w:rFonts w:hint="eastAsia" w:ascii="方正仿宋_GB2312" w:hAnsi="方正仿宋_GB2312" w:eastAsia="方正仿宋_GB2312" w:cs="方正仿宋_GB2312"/>
                <w:color w:val="000000"/>
                <w:sz w:val="24"/>
                <w:szCs w:val="24"/>
                <w:highlight w:val="none"/>
                <w:vertAlign w:val="baseline"/>
                <w:lang w:val="en-US" w:eastAsia="zh-CN"/>
              </w:rPr>
              <w:t>项目经理专业能力相关证书</w:t>
            </w:r>
            <w:r>
              <w:rPr>
                <w:rFonts w:hint="eastAsia" w:ascii="方正仿宋_GB2312" w:hAnsi="方正仿宋_GB2312" w:eastAsia="方正仿宋_GB2312" w:cs="方正仿宋_GB2312"/>
                <w:color w:val="000000"/>
                <w:sz w:val="24"/>
                <w:szCs w:val="24"/>
                <w:highlight w:val="none"/>
                <w:vertAlign w:val="baseline"/>
              </w:rPr>
              <w:t xml:space="preserve">得 </w:t>
            </w:r>
            <w:r>
              <w:rPr>
                <w:rFonts w:hint="eastAsia" w:ascii="方正仿宋_GB2312" w:hAnsi="方正仿宋_GB2312" w:eastAsia="方正仿宋_GB2312" w:cs="方正仿宋_GB2312"/>
                <w:color w:val="000000"/>
                <w:sz w:val="24"/>
                <w:szCs w:val="24"/>
                <w:highlight w:val="none"/>
                <w:vertAlign w:val="baseline"/>
                <w:lang w:val="en-US" w:eastAsia="zh-CN"/>
              </w:rPr>
              <w:t>2</w:t>
            </w:r>
            <w:r>
              <w:rPr>
                <w:rFonts w:hint="eastAsia" w:ascii="方正仿宋_GB2312" w:hAnsi="方正仿宋_GB2312" w:eastAsia="方正仿宋_GB2312" w:cs="方正仿宋_GB2312"/>
                <w:color w:val="000000"/>
                <w:sz w:val="24"/>
                <w:szCs w:val="24"/>
                <w:highlight w:val="none"/>
                <w:vertAlign w:val="baseline"/>
              </w:rPr>
              <w:t>分</w:t>
            </w:r>
            <w:r>
              <w:rPr>
                <w:rFonts w:hint="eastAsia" w:ascii="方正仿宋_GB2312" w:hAnsi="方正仿宋_GB2312" w:eastAsia="方正仿宋_GB2312" w:cs="方正仿宋_GB2312"/>
                <w:color w:val="000000"/>
                <w:sz w:val="24"/>
                <w:szCs w:val="24"/>
                <w:highlight w:val="none"/>
                <w:vertAlign w:val="baseline"/>
                <w:lang w:eastAsia="zh-CN"/>
              </w:rPr>
              <w:t>，</w:t>
            </w:r>
            <w:r>
              <w:rPr>
                <w:rFonts w:hint="eastAsia" w:ascii="方正仿宋_GB2312" w:hAnsi="方正仿宋_GB2312" w:eastAsia="方正仿宋_GB2312" w:cs="方正仿宋_GB2312"/>
                <w:color w:val="000000"/>
                <w:sz w:val="24"/>
                <w:szCs w:val="24"/>
                <w:highlight w:val="none"/>
                <w:vertAlign w:val="baseline"/>
                <w:lang w:val="en-US" w:eastAsia="zh-CN"/>
              </w:rPr>
              <w:t>每提供一人得1分，未提供不得分</w:t>
            </w:r>
            <w:r>
              <w:rPr>
                <w:rFonts w:hint="eastAsia" w:ascii="方正仿宋_GB2312" w:hAnsi="方正仿宋_GB2312" w:eastAsia="方正仿宋_GB2312" w:cs="方正仿宋_GB2312"/>
                <w:color w:val="000000"/>
                <w:sz w:val="24"/>
                <w:szCs w:val="24"/>
                <w:highlight w:val="none"/>
                <w:vertAlign w:val="baseline"/>
              </w:rPr>
              <w:t>。</w:t>
            </w:r>
          </w:p>
          <w:p w14:paraId="4294F4B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000000"/>
                <w:sz w:val="24"/>
                <w:szCs w:val="24"/>
                <w:highlight w:val="none"/>
                <w:vertAlign w:val="baseline"/>
                <w:lang w:val="en-US" w:eastAsia="zh-CN"/>
              </w:rPr>
            </w:pPr>
            <w:r>
              <w:rPr>
                <w:rFonts w:hint="eastAsia" w:ascii="方正仿宋_GB2312" w:hAnsi="方正仿宋_GB2312" w:eastAsia="方正仿宋_GB2312" w:cs="方正仿宋_GB2312"/>
                <w:color w:val="000000"/>
                <w:sz w:val="24"/>
                <w:szCs w:val="24"/>
                <w:highlight w:val="none"/>
                <w:vertAlign w:val="baseline"/>
                <w:lang w:eastAsia="zh-CN"/>
              </w:rPr>
              <w:t>（</w:t>
            </w:r>
            <w:r>
              <w:rPr>
                <w:rFonts w:hint="eastAsia" w:ascii="方正仿宋_GB2312" w:hAnsi="方正仿宋_GB2312" w:eastAsia="方正仿宋_GB2312" w:cs="方正仿宋_GB2312"/>
                <w:color w:val="000000"/>
                <w:sz w:val="24"/>
                <w:szCs w:val="24"/>
                <w:highlight w:val="none"/>
                <w:vertAlign w:val="baseline"/>
                <w:lang w:val="en-US" w:eastAsia="zh-CN"/>
              </w:rPr>
              <w:t>2</w:t>
            </w:r>
            <w:r>
              <w:rPr>
                <w:rFonts w:hint="eastAsia" w:ascii="方正仿宋_GB2312" w:hAnsi="方正仿宋_GB2312" w:eastAsia="方正仿宋_GB2312" w:cs="方正仿宋_GB2312"/>
                <w:color w:val="000000"/>
                <w:sz w:val="24"/>
                <w:szCs w:val="24"/>
                <w:highlight w:val="none"/>
                <w:vertAlign w:val="baseline"/>
                <w:lang w:eastAsia="zh-CN"/>
              </w:rPr>
              <w:t>）</w:t>
            </w:r>
            <w:r>
              <w:rPr>
                <w:rFonts w:hint="eastAsia" w:ascii="方正仿宋_GB2312" w:hAnsi="方正仿宋_GB2312" w:eastAsia="方正仿宋_GB2312" w:cs="方正仿宋_GB2312"/>
                <w:color w:val="000000"/>
                <w:sz w:val="24"/>
                <w:szCs w:val="24"/>
                <w:highlight w:val="none"/>
                <w:vertAlign w:val="baseline"/>
                <w:lang w:val="en-US" w:eastAsia="zh-CN"/>
              </w:rPr>
              <w:t>相关工作证明得2分，每提供一人得1分，未提供不得分。（提供服务对象出具的证明）</w:t>
            </w:r>
          </w:p>
          <w:p w14:paraId="552203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 xml:space="preserve">（3）具有四级（或以上）的建（构）筑物消防员（或消防设施操作员）职业资格证书（或职业技能等级证书）得 </w:t>
            </w:r>
            <w:r>
              <w:rPr>
                <w:rFonts w:hint="eastAsia" w:ascii="方正仿宋_GB2312" w:hAnsi="方正仿宋_GB2312" w:eastAsia="方正仿宋_GB2312" w:cs="方正仿宋_GB2312"/>
                <w:color w:val="000000"/>
                <w:sz w:val="24"/>
                <w:szCs w:val="24"/>
                <w:highlight w:val="none"/>
                <w:vertAlign w:val="baseline"/>
                <w:lang w:val="en-US" w:eastAsia="zh-CN"/>
              </w:rPr>
              <w:t>2</w:t>
            </w:r>
            <w:r>
              <w:rPr>
                <w:rFonts w:hint="eastAsia" w:ascii="方正仿宋_GB2312" w:hAnsi="方正仿宋_GB2312" w:eastAsia="方正仿宋_GB2312" w:cs="方正仿宋_GB2312"/>
                <w:color w:val="000000"/>
                <w:sz w:val="24"/>
                <w:szCs w:val="24"/>
                <w:highlight w:val="none"/>
                <w:vertAlign w:val="baseline"/>
              </w:rPr>
              <w:t xml:space="preserve"> 分</w:t>
            </w:r>
            <w:r>
              <w:rPr>
                <w:rFonts w:hint="eastAsia" w:ascii="方正仿宋_GB2312" w:hAnsi="方正仿宋_GB2312" w:eastAsia="方正仿宋_GB2312" w:cs="方正仿宋_GB2312"/>
                <w:color w:val="000000"/>
                <w:sz w:val="24"/>
                <w:szCs w:val="24"/>
                <w:highlight w:val="none"/>
                <w:vertAlign w:val="baseline"/>
                <w:lang w:eastAsia="zh-CN"/>
              </w:rPr>
              <w:t>，</w:t>
            </w:r>
            <w:r>
              <w:rPr>
                <w:rFonts w:hint="eastAsia" w:ascii="方正仿宋_GB2312" w:hAnsi="方正仿宋_GB2312" w:eastAsia="方正仿宋_GB2312" w:cs="方正仿宋_GB2312"/>
                <w:color w:val="000000"/>
                <w:sz w:val="24"/>
                <w:szCs w:val="24"/>
                <w:highlight w:val="none"/>
                <w:vertAlign w:val="baseline"/>
                <w:lang w:val="en-US" w:eastAsia="zh-CN"/>
              </w:rPr>
              <w:t>每提供一人得1分，未提供不得分。</w:t>
            </w:r>
          </w:p>
          <w:p w14:paraId="50D571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000000"/>
                <w:sz w:val="24"/>
                <w:szCs w:val="24"/>
                <w:highlight w:val="none"/>
                <w:vertAlign w:val="baseline"/>
                <w:lang w:val="en-US" w:eastAsia="zh-CN"/>
              </w:rPr>
            </w:pPr>
            <w:r>
              <w:rPr>
                <w:rFonts w:hint="eastAsia" w:ascii="方正仿宋_GB2312" w:hAnsi="方正仿宋_GB2312" w:eastAsia="方正仿宋_GB2312" w:cs="方正仿宋_GB2312"/>
                <w:color w:val="000000"/>
                <w:sz w:val="24"/>
                <w:szCs w:val="24"/>
                <w:highlight w:val="none"/>
                <w:vertAlign w:val="baseline"/>
              </w:rPr>
              <w:t>2</w:t>
            </w:r>
            <w:r>
              <w:rPr>
                <w:rFonts w:hint="eastAsia" w:ascii="方正仿宋_GB2312" w:hAnsi="方正仿宋_GB2312" w:eastAsia="方正仿宋_GB2312" w:cs="方正仿宋_GB2312"/>
                <w:color w:val="000000"/>
                <w:sz w:val="24"/>
                <w:szCs w:val="24"/>
                <w:highlight w:val="none"/>
                <w:vertAlign w:val="baseline"/>
                <w:lang w:eastAsia="zh-CN"/>
              </w:rPr>
              <w:t>维修</w:t>
            </w:r>
            <w:r>
              <w:rPr>
                <w:rFonts w:hint="eastAsia" w:ascii="方正仿宋_GB2312" w:hAnsi="方正仿宋_GB2312" w:eastAsia="方正仿宋_GB2312" w:cs="方正仿宋_GB2312"/>
                <w:color w:val="000000"/>
                <w:sz w:val="24"/>
                <w:szCs w:val="24"/>
                <w:highlight w:val="none"/>
                <w:vertAlign w:val="baseline"/>
              </w:rPr>
              <w:t>主管（1 人）：本小项累计最高得 3 分</w:t>
            </w:r>
            <w:r>
              <w:rPr>
                <w:rFonts w:hint="eastAsia" w:ascii="方正仿宋_GB2312" w:hAnsi="方正仿宋_GB2312" w:eastAsia="方正仿宋_GB2312" w:cs="方正仿宋_GB2312"/>
                <w:color w:val="000000"/>
                <w:sz w:val="24"/>
                <w:szCs w:val="24"/>
                <w:highlight w:val="none"/>
                <w:vertAlign w:val="baseline"/>
                <w:lang w:val="en-US" w:eastAsia="zh-CN"/>
              </w:rPr>
              <w:t>维修主管一人，</w:t>
            </w:r>
          </w:p>
          <w:p w14:paraId="5A38EF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（1）具有人社部门颁发的中级工程师职称证得 1</w:t>
            </w:r>
            <w:r>
              <w:rPr>
                <w:rFonts w:hint="eastAsia" w:ascii="方正仿宋_GB2312" w:hAnsi="方正仿宋_GB2312" w:eastAsia="方正仿宋_GB2312" w:cs="方正仿宋_GB2312"/>
                <w:color w:val="000000"/>
                <w:sz w:val="24"/>
                <w:szCs w:val="24"/>
                <w:highlight w:val="none"/>
                <w:vertAlign w:val="baseline"/>
                <w:lang w:val="en-US" w:eastAsia="zh-CN"/>
              </w:rPr>
              <w:t>.5</w:t>
            </w:r>
            <w:r>
              <w:rPr>
                <w:rFonts w:hint="eastAsia" w:ascii="方正仿宋_GB2312" w:hAnsi="方正仿宋_GB2312" w:eastAsia="方正仿宋_GB2312" w:cs="方正仿宋_GB2312"/>
                <w:color w:val="000000"/>
                <w:sz w:val="24"/>
                <w:szCs w:val="24"/>
                <w:highlight w:val="none"/>
                <w:vertAlign w:val="baseline"/>
              </w:rPr>
              <w:t>分；</w:t>
            </w:r>
          </w:p>
          <w:p w14:paraId="43C484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（2）具有应急管理部门或安全生产监督管理部门颁发的特种作业设备操作证（操作/准操项目：高压电工作业或低压电工作业）得 1</w:t>
            </w:r>
            <w:r>
              <w:rPr>
                <w:rFonts w:hint="eastAsia" w:ascii="方正仿宋_GB2312" w:hAnsi="方正仿宋_GB2312" w:eastAsia="方正仿宋_GB2312" w:cs="方正仿宋_GB2312"/>
                <w:color w:val="000000"/>
                <w:sz w:val="24"/>
                <w:szCs w:val="24"/>
                <w:highlight w:val="none"/>
                <w:vertAlign w:val="baseline"/>
                <w:lang w:val="en-US" w:eastAsia="zh-CN"/>
              </w:rPr>
              <w:t>.5</w:t>
            </w:r>
            <w:r>
              <w:rPr>
                <w:rFonts w:hint="eastAsia" w:ascii="方正仿宋_GB2312" w:hAnsi="方正仿宋_GB2312" w:eastAsia="方正仿宋_GB2312" w:cs="方正仿宋_GB2312"/>
                <w:color w:val="000000"/>
                <w:sz w:val="24"/>
                <w:szCs w:val="24"/>
                <w:highlight w:val="none"/>
                <w:vertAlign w:val="baseline"/>
              </w:rPr>
              <w:t xml:space="preserve"> 分。</w:t>
            </w:r>
          </w:p>
          <w:p w14:paraId="06A03E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3.</w:t>
            </w:r>
            <w:r>
              <w:rPr>
                <w:rFonts w:hint="eastAsia" w:ascii="方正仿宋_GB2312" w:hAnsi="方正仿宋_GB2312" w:eastAsia="方正仿宋_GB2312" w:cs="方正仿宋_GB2312"/>
                <w:color w:val="000000"/>
                <w:sz w:val="24"/>
                <w:szCs w:val="24"/>
                <w:highlight w:val="none"/>
                <w:vertAlign w:val="baseline"/>
                <w:lang w:eastAsia="zh-CN"/>
              </w:rPr>
              <w:t>保安</w:t>
            </w:r>
            <w:r>
              <w:rPr>
                <w:rFonts w:hint="eastAsia" w:ascii="方正仿宋_GB2312" w:hAnsi="方正仿宋_GB2312" w:eastAsia="方正仿宋_GB2312" w:cs="方正仿宋_GB2312"/>
                <w:color w:val="000000"/>
                <w:sz w:val="24"/>
                <w:szCs w:val="24"/>
                <w:highlight w:val="none"/>
                <w:vertAlign w:val="baseline"/>
              </w:rPr>
              <w:t>主管（1 人）：本小项累计最高得 2 分</w:t>
            </w:r>
          </w:p>
          <w:p w14:paraId="4AD8A3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000000"/>
                <w:sz w:val="24"/>
                <w:szCs w:val="24"/>
                <w:highlight w:val="none"/>
                <w:vertAlign w:val="baseline"/>
                <w:lang w:val="en-US" w:eastAsia="zh-CN"/>
              </w:rPr>
            </w:pPr>
            <w:r>
              <w:rPr>
                <w:rFonts w:hint="eastAsia" w:ascii="方正仿宋_GB2312" w:hAnsi="方正仿宋_GB2312" w:eastAsia="方正仿宋_GB2312" w:cs="方正仿宋_GB2312"/>
                <w:color w:val="000000"/>
                <w:sz w:val="24"/>
                <w:szCs w:val="24"/>
                <w:highlight w:val="none"/>
                <w:vertAlign w:val="baseline"/>
              </w:rPr>
              <w:t>（1）</w:t>
            </w:r>
            <w:r>
              <w:rPr>
                <w:rFonts w:hint="eastAsia" w:ascii="方正仿宋_GB2312" w:hAnsi="方正仿宋_GB2312" w:eastAsia="方正仿宋_GB2312" w:cs="方正仿宋_GB2312"/>
                <w:color w:val="000000"/>
                <w:sz w:val="24"/>
                <w:szCs w:val="24"/>
                <w:highlight w:val="none"/>
                <w:vertAlign w:val="baseline"/>
                <w:lang w:val="en-US" w:eastAsia="zh-CN"/>
              </w:rPr>
              <w:t>提供相关从业证明文件或证书得2分。</w:t>
            </w:r>
          </w:p>
          <w:p w14:paraId="026803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 xml:space="preserve">4.其他技术人员：本小项累计最高得 </w:t>
            </w:r>
            <w:r>
              <w:rPr>
                <w:rFonts w:hint="eastAsia" w:ascii="方正仿宋_GB2312" w:hAnsi="方正仿宋_GB2312" w:eastAsia="方正仿宋_GB2312" w:cs="方正仿宋_GB2312"/>
                <w:color w:val="000000"/>
                <w:sz w:val="24"/>
                <w:szCs w:val="24"/>
                <w:highlight w:val="none"/>
                <w:vertAlign w:val="baseline"/>
                <w:lang w:val="en-US" w:eastAsia="zh-CN"/>
              </w:rPr>
              <w:t>7</w:t>
            </w:r>
            <w:r>
              <w:rPr>
                <w:rFonts w:hint="eastAsia" w:ascii="方正仿宋_GB2312" w:hAnsi="方正仿宋_GB2312" w:eastAsia="方正仿宋_GB2312" w:cs="方正仿宋_GB2312"/>
                <w:color w:val="000000"/>
                <w:sz w:val="24"/>
                <w:szCs w:val="24"/>
                <w:highlight w:val="none"/>
                <w:vertAlign w:val="baseline"/>
              </w:rPr>
              <w:t>分</w:t>
            </w:r>
          </w:p>
          <w:p w14:paraId="7AB288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（1）不少于</w:t>
            </w:r>
            <w:r>
              <w:rPr>
                <w:rFonts w:hint="eastAsia" w:ascii="方正仿宋_GB2312" w:hAnsi="方正仿宋_GB2312" w:eastAsia="方正仿宋_GB2312" w:cs="方正仿宋_GB2312"/>
                <w:color w:val="000000"/>
                <w:sz w:val="24"/>
                <w:szCs w:val="24"/>
                <w:highlight w:val="none"/>
                <w:vertAlign w:val="baseline"/>
                <w:lang w:val="en-US" w:eastAsia="zh-CN"/>
              </w:rPr>
              <w:t>4</w:t>
            </w:r>
            <w:r>
              <w:rPr>
                <w:rFonts w:hint="eastAsia" w:ascii="方正仿宋_GB2312" w:hAnsi="方正仿宋_GB2312" w:eastAsia="方正仿宋_GB2312" w:cs="方正仿宋_GB2312"/>
                <w:color w:val="000000"/>
                <w:sz w:val="24"/>
                <w:szCs w:val="24"/>
                <w:highlight w:val="none"/>
                <w:vertAlign w:val="baseline"/>
              </w:rPr>
              <w:t xml:space="preserve"> 人具有应急管理部门或安全生产监督管理部门颁发的特种作业设备操作证（高压电工作业或低压电工作业或制冷作业）的得</w:t>
            </w:r>
            <w:r>
              <w:rPr>
                <w:rFonts w:hint="eastAsia" w:ascii="方正仿宋_GB2312" w:hAnsi="方正仿宋_GB2312" w:eastAsia="方正仿宋_GB2312" w:cs="方正仿宋_GB2312"/>
                <w:color w:val="000000"/>
                <w:sz w:val="24"/>
                <w:szCs w:val="24"/>
                <w:highlight w:val="none"/>
                <w:vertAlign w:val="baseline"/>
                <w:lang w:val="en-US" w:eastAsia="zh-CN"/>
              </w:rPr>
              <w:t>4</w:t>
            </w:r>
            <w:r>
              <w:rPr>
                <w:rFonts w:hint="eastAsia" w:ascii="方正仿宋_GB2312" w:hAnsi="方正仿宋_GB2312" w:eastAsia="方正仿宋_GB2312" w:cs="方正仿宋_GB2312"/>
                <w:color w:val="000000"/>
                <w:sz w:val="24"/>
                <w:szCs w:val="24"/>
                <w:highlight w:val="none"/>
                <w:vertAlign w:val="baseline"/>
              </w:rPr>
              <w:t>分，</w:t>
            </w:r>
          </w:p>
          <w:p w14:paraId="27F374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其他不得分；</w:t>
            </w:r>
          </w:p>
          <w:p w14:paraId="0CB989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lang w:val="en-US" w:eastAsia="zh-CN"/>
              </w:rPr>
            </w:pPr>
            <w:r>
              <w:rPr>
                <w:rFonts w:hint="eastAsia" w:ascii="方正仿宋_GB2312" w:hAnsi="方正仿宋_GB2312" w:eastAsia="方正仿宋_GB2312" w:cs="方正仿宋_GB2312"/>
                <w:color w:val="000000"/>
                <w:sz w:val="24"/>
                <w:szCs w:val="24"/>
                <w:highlight w:val="none"/>
                <w:vertAlign w:val="baseline"/>
              </w:rPr>
              <w:t xml:space="preserve">（2）不少于 4 人具有建（构）筑物消防员（或消防设施操作员）职业资格证书（或职业技能等级证书）的得 </w:t>
            </w:r>
            <w:r>
              <w:rPr>
                <w:rFonts w:hint="eastAsia" w:ascii="方正仿宋_GB2312" w:hAnsi="方正仿宋_GB2312" w:eastAsia="方正仿宋_GB2312" w:cs="方正仿宋_GB2312"/>
                <w:color w:val="000000"/>
                <w:sz w:val="24"/>
                <w:szCs w:val="24"/>
                <w:highlight w:val="none"/>
                <w:vertAlign w:val="baseline"/>
                <w:lang w:val="en-US" w:eastAsia="zh-CN"/>
              </w:rPr>
              <w:t>3</w:t>
            </w:r>
            <w:r>
              <w:rPr>
                <w:rFonts w:hint="eastAsia" w:ascii="方正仿宋_GB2312" w:hAnsi="方正仿宋_GB2312" w:eastAsia="方正仿宋_GB2312" w:cs="方正仿宋_GB2312"/>
                <w:color w:val="000000"/>
                <w:sz w:val="24"/>
                <w:szCs w:val="24"/>
                <w:highlight w:val="none"/>
                <w:vertAlign w:val="baseline"/>
              </w:rPr>
              <w:t>分，其他不得分。</w:t>
            </w:r>
          </w:p>
          <w:p w14:paraId="34CECD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lang w:val="en-US" w:eastAsia="zh-CN"/>
              </w:rPr>
              <w:t>备注</w:t>
            </w:r>
            <w:r>
              <w:rPr>
                <w:rFonts w:hint="eastAsia" w:ascii="方正仿宋_GB2312" w:hAnsi="方正仿宋_GB2312" w:eastAsia="方正仿宋_GB2312" w:cs="方正仿宋_GB2312"/>
                <w:color w:val="000000"/>
                <w:sz w:val="24"/>
                <w:szCs w:val="24"/>
                <w:highlight w:val="none"/>
                <w:vertAlign w:val="baseline"/>
              </w:rPr>
              <w:t>：</w:t>
            </w:r>
          </w:p>
          <w:p w14:paraId="189106F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1.要求提供通过投标人或其分公司缴纳的近三个月的任意一个月（由于社保部门原因最近一个月的社保证明无法提供的可往前顺延一个月）的社保证明（至少提供养老保险缴纳证明）作为本单位员工的证明依据；若供应商成立不足三个月的，需提供成立情况说明函（格式自拟），无需提供相关人员社保亦可得分。</w:t>
            </w:r>
          </w:p>
          <w:p w14:paraId="6347D9A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000000"/>
                <w:sz w:val="24"/>
                <w:szCs w:val="24"/>
                <w:highlight w:val="none"/>
                <w:vertAlign w:val="baseline"/>
              </w:rPr>
            </w:pPr>
            <w:r>
              <w:rPr>
                <w:rFonts w:hint="eastAsia" w:ascii="方正仿宋_GB2312" w:hAnsi="方正仿宋_GB2312" w:eastAsia="方正仿宋_GB2312" w:cs="方正仿宋_GB2312"/>
                <w:color w:val="000000"/>
                <w:sz w:val="24"/>
                <w:szCs w:val="24"/>
                <w:highlight w:val="none"/>
                <w:vertAlign w:val="baseline"/>
              </w:rPr>
              <w:t>2.以上资料均要求提供扫描件（或官方网站截图）。评分中出现无证明资料或专家无法凭所提供资料判断是否得分的情况，一律作不得分处理。</w:t>
            </w:r>
          </w:p>
        </w:tc>
      </w:tr>
      <w:tr w14:paraId="54FE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restart"/>
            <w:noWrap w:val="0"/>
            <w:vAlign w:val="center"/>
          </w:tcPr>
          <w:p w14:paraId="52539C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0" w:type="auto"/>
            <w:gridSpan w:val="3"/>
            <w:noWrap w:val="0"/>
            <w:vAlign w:val="center"/>
          </w:tcPr>
          <w:p w14:paraId="0EB052D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lang w:eastAsia="zh-CN"/>
              </w:rPr>
              <w:t>商务部分</w:t>
            </w:r>
          </w:p>
        </w:tc>
        <w:tc>
          <w:tcPr>
            <w:tcW w:w="5216" w:type="dxa"/>
            <w:noWrap w:val="0"/>
            <w:vAlign w:val="center"/>
          </w:tcPr>
          <w:p w14:paraId="33DAB1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r>
      <w:tr w14:paraId="765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0A8F138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0" w:type="auto"/>
            <w:noWrap w:val="0"/>
            <w:vAlign w:val="center"/>
          </w:tcPr>
          <w:p w14:paraId="5F9D014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序号</w:t>
            </w:r>
          </w:p>
        </w:tc>
        <w:tc>
          <w:tcPr>
            <w:tcW w:w="0" w:type="auto"/>
            <w:noWrap w:val="0"/>
            <w:vAlign w:val="center"/>
          </w:tcPr>
          <w:p w14:paraId="6467D6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评审因素</w:t>
            </w:r>
          </w:p>
        </w:tc>
        <w:tc>
          <w:tcPr>
            <w:tcW w:w="0" w:type="auto"/>
            <w:noWrap w:val="0"/>
            <w:vAlign w:val="center"/>
          </w:tcPr>
          <w:p w14:paraId="42AA28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分值</w:t>
            </w:r>
          </w:p>
        </w:tc>
        <w:tc>
          <w:tcPr>
            <w:tcW w:w="5216" w:type="dxa"/>
            <w:noWrap w:val="0"/>
            <w:vAlign w:val="center"/>
          </w:tcPr>
          <w:p w14:paraId="0AE206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eastAsia="zh-CN"/>
              </w:rPr>
            </w:pPr>
            <w:r>
              <w:rPr>
                <w:rFonts w:hint="eastAsia" w:ascii="方正仿宋_GB2312" w:hAnsi="方正仿宋_GB2312" w:eastAsia="方正仿宋_GB2312" w:cs="方正仿宋_GB2312"/>
                <w:color w:val="auto"/>
                <w:sz w:val="24"/>
                <w:szCs w:val="24"/>
                <w:vertAlign w:val="baseline"/>
                <w:lang w:eastAsia="zh-CN"/>
              </w:rPr>
              <w:t>评分准则</w:t>
            </w:r>
          </w:p>
        </w:tc>
      </w:tr>
      <w:tr w14:paraId="0FFF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vMerge w:val="continue"/>
            <w:noWrap w:val="0"/>
            <w:vAlign w:val="center"/>
          </w:tcPr>
          <w:p w14:paraId="52B893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rPr>
            </w:pPr>
          </w:p>
        </w:tc>
        <w:tc>
          <w:tcPr>
            <w:tcW w:w="490" w:type="dxa"/>
            <w:noWrap w:val="0"/>
            <w:vAlign w:val="center"/>
          </w:tcPr>
          <w:p w14:paraId="38659B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1414" w:type="dxa"/>
            <w:noWrap w:val="0"/>
            <w:vAlign w:val="center"/>
          </w:tcPr>
          <w:p w14:paraId="1006CFB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供应商同类项目业绩情况</w:t>
            </w:r>
          </w:p>
        </w:tc>
        <w:tc>
          <w:tcPr>
            <w:tcW w:w="493" w:type="dxa"/>
            <w:noWrap w:val="0"/>
            <w:vAlign w:val="center"/>
          </w:tcPr>
          <w:p w14:paraId="5316189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6</w:t>
            </w:r>
          </w:p>
        </w:tc>
        <w:tc>
          <w:tcPr>
            <w:tcW w:w="5216" w:type="dxa"/>
            <w:noWrap w:val="0"/>
            <w:vAlign w:val="center"/>
          </w:tcPr>
          <w:p w14:paraId="1F97F0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（一）评分内容：</w:t>
            </w:r>
          </w:p>
          <w:p w14:paraId="265EEA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rPr>
              <w:t>提供</w:t>
            </w:r>
            <w:r>
              <w:rPr>
                <w:rFonts w:hint="eastAsia" w:ascii="方正仿宋_GB2312" w:hAnsi="方正仿宋_GB2312" w:eastAsia="方正仿宋_GB2312" w:cs="方正仿宋_GB2312"/>
                <w:color w:val="auto"/>
                <w:sz w:val="24"/>
                <w:szCs w:val="24"/>
                <w:vertAlign w:val="baseline"/>
                <w:lang w:val="en-US" w:eastAsia="zh-CN"/>
              </w:rPr>
              <w:t>2023年6月</w:t>
            </w:r>
            <w:r>
              <w:rPr>
                <w:rFonts w:hint="eastAsia" w:ascii="方正仿宋_GB2312" w:hAnsi="方正仿宋_GB2312" w:eastAsia="方正仿宋_GB2312" w:cs="方正仿宋_GB2312"/>
                <w:color w:val="auto"/>
                <w:sz w:val="24"/>
                <w:szCs w:val="24"/>
                <w:vertAlign w:val="baseline"/>
                <w:lang w:eastAsia="zh-CN"/>
              </w:rPr>
              <w:t>至今</w:t>
            </w:r>
            <w:bookmarkStart w:id="69" w:name="_GoBack"/>
            <w:bookmarkEnd w:id="69"/>
            <w:r>
              <w:rPr>
                <w:rFonts w:hint="eastAsia" w:ascii="方正仿宋_GB2312" w:hAnsi="方正仿宋_GB2312" w:eastAsia="方正仿宋_GB2312" w:cs="方正仿宋_GB2312"/>
                <w:color w:val="auto"/>
                <w:sz w:val="24"/>
                <w:szCs w:val="24"/>
                <w:highlight w:val="none"/>
                <w:vertAlign w:val="baseline"/>
              </w:rPr>
              <w:t>类似项目的业绩</w:t>
            </w:r>
            <w:r>
              <w:rPr>
                <w:rFonts w:hint="eastAsia" w:ascii="方正仿宋_GB2312" w:hAnsi="方正仿宋_GB2312" w:eastAsia="方正仿宋_GB2312" w:cs="方正仿宋_GB2312"/>
                <w:color w:val="auto"/>
                <w:sz w:val="24"/>
                <w:szCs w:val="24"/>
                <w:highlight w:val="none"/>
                <w:vertAlign w:val="baseline"/>
                <w:lang w:eastAsia="zh-CN"/>
              </w:rPr>
              <w:t>与业主方签订的</w:t>
            </w:r>
            <w:r>
              <w:rPr>
                <w:rFonts w:hint="eastAsia" w:ascii="方正仿宋_GB2312" w:hAnsi="方正仿宋_GB2312" w:eastAsia="方正仿宋_GB2312" w:cs="方正仿宋_GB2312"/>
                <w:color w:val="auto"/>
                <w:sz w:val="24"/>
                <w:szCs w:val="24"/>
                <w:highlight w:val="none"/>
                <w:vertAlign w:val="baseline"/>
              </w:rPr>
              <w:t>合同</w:t>
            </w:r>
            <w:r>
              <w:rPr>
                <w:rFonts w:hint="eastAsia" w:ascii="方正仿宋_GB2312" w:hAnsi="方正仿宋_GB2312" w:eastAsia="方正仿宋_GB2312" w:cs="方正仿宋_GB2312"/>
                <w:color w:val="auto"/>
                <w:sz w:val="24"/>
                <w:szCs w:val="24"/>
                <w:highlight w:val="none"/>
                <w:vertAlign w:val="baseline"/>
                <w:lang w:eastAsia="zh-CN"/>
              </w:rPr>
              <w:t>或</w:t>
            </w:r>
            <w:r>
              <w:rPr>
                <w:rFonts w:hint="eastAsia" w:ascii="方正仿宋_GB2312" w:hAnsi="方正仿宋_GB2312" w:eastAsia="方正仿宋_GB2312" w:cs="方正仿宋_GB2312"/>
                <w:color w:val="auto"/>
                <w:sz w:val="24"/>
                <w:szCs w:val="24"/>
                <w:highlight w:val="none"/>
                <w:vertAlign w:val="baseline"/>
              </w:rPr>
              <w:t>中标通知书</w:t>
            </w:r>
            <w:r>
              <w:rPr>
                <w:rFonts w:hint="eastAsia" w:ascii="方正仿宋_GB2312" w:hAnsi="方正仿宋_GB2312" w:eastAsia="方正仿宋_GB2312" w:cs="方正仿宋_GB2312"/>
                <w:color w:val="auto"/>
                <w:sz w:val="24"/>
                <w:szCs w:val="24"/>
                <w:vertAlign w:val="baseline"/>
              </w:rPr>
              <w:t xml:space="preserve">每提交一个得 2 分，最高不得超过 </w:t>
            </w:r>
            <w:r>
              <w:rPr>
                <w:rFonts w:hint="eastAsia" w:ascii="方正仿宋_GB2312" w:hAnsi="方正仿宋_GB2312" w:eastAsia="方正仿宋_GB2312" w:cs="方正仿宋_GB2312"/>
                <w:color w:val="auto"/>
                <w:sz w:val="24"/>
                <w:szCs w:val="24"/>
                <w:vertAlign w:val="baseline"/>
                <w:lang w:val="en-US" w:eastAsia="zh-CN"/>
              </w:rPr>
              <w:t>6</w:t>
            </w:r>
            <w:r>
              <w:rPr>
                <w:rFonts w:hint="eastAsia" w:ascii="方正仿宋_GB2312" w:hAnsi="方正仿宋_GB2312" w:eastAsia="方正仿宋_GB2312" w:cs="方正仿宋_GB2312"/>
                <w:color w:val="auto"/>
                <w:sz w:val="24"/>
                <w:szCs w:val="24"/>
                <w:vertAlign w:val="baseline"/>
              </w:rPr>
              <w:t xml:space="preserve"> 分； 未提供本项不得分。</w:t>
            </w:r>
          </w:p>
        </w:tc>
      </w:tr>
    </w:tbl>
    <w:p w14:paraId="245609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spacing w:val="6"/>
          <w:sz w:val="22"/>
          <w:szCs w:val="22"/>
        </w:rPr>
      </w:pPr>
    </w:p>
    <w:p w14:paraId="7379D0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spacing w:val="6"/>
          <w:sz w:val="22"/>
          <w:szCs w:val="22"/>
        </w:rPr>
      </w:pPr>
      <w:r>
        <w:rPr>
          <w:rFonts w:hint="eastAsia" w:ascii="方正仿宋_GBK" w:hAnsi="方正仿宋_GBK" w:eastAsia="方正仿宋_GBK" w:cs="方正仿宋_GBK"/>
          <w:spacing w:val="6"/>
          <w:sz w:val="22"/>
          <w:szCs w:val="22"/>
        </w:rPr>
        <w:t>备注：1、评委应在认真理解本</w:t>
      </w:r>
      <w:r>
        <w:rPr>
          <w:rFonts w:hint="eastAsia" w:ascii="方正仿宋_GBK" w:hAnsi="方正仿宋_GBK" w:eastAsia="方正仿宋_GBK" w:cs="方正仿宋_GBK"/>
          <w:spacing w:val="6"/>
          <w:sz w:val="22"/>
          <w:szCs w:val="22"/>
          <w:lang w:eastAsia="zh-CN"/>
        </w:rPr>
        <w:t>磋商文件</w:t>
      </w:r>
      <w:r>
        <w:rPr>
          <w:rFonts w:hint="eastAsia" w:ascii="方正仿宋_GBK" w:hAnsi="方正仿宋_GBK" w:eastAsia="方正仿宋_GBK" w:cs="方正仿宋_GBK"/>
          <w:spacing w:val="6"/>
          <w:sz w:val="22"/>
          <w:szCs w:val="22"/>
        </w:rPr>
        <w:t>和项目有关情况后，做出需自己负责的按上述内容对</w:t>
      </w:r>
      <w:r>
        <w:rPr>
          <w:rFonts w:hint="eastAsia" w:ascii="方正仿宋_GBK" w:hAnsi="方正仿宋_GBK" w:eastAsia="方正仿宋_GBK" w:cs="方正仿宋_GBK"/>
          <w:spacing w:val="6"/>
          <w:sz w:val="22"/>
          <w:szCs w:val="22"/>
          <w:lang w:eastAsia="zh-CN"/>
        </w:rPr>
        <w:t>供应商</w:t>
      </w:r>
      <w:r>
        <w:rPr>
          <w:rFonts w:hint="eastAsia" w:ascii="方正仿宋_GBK" w:hAnsi="方正仿宋_GBK" w:eastAsia="方正仿宋_GBK" w:cs="方正仿宋_GBK"/>
          <w:spacing w:val="6"/>
          <w:sz w:val="22"/>
          <w:szCs w:val="22"/>
        </w:rPr>
        <w:t>进行评审。</w:t>
      </w:r>
    </w:p>
    <w:p w14:paraId="24506E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spacing w:val="6"/>
          <w:sz w:val="22"/>
          <w:szCs w:val="22"/>
        </w:rPr>
      </w:pPr>
      <w:r>
        <w:rPr>
          <w:rFonts w:hint="eastAsia" w:ascii="方正仿宋_GBK" w:hAnsi="方正仿宋_GBK" w:eastAsia="方正仿宋_GBK" w:cs="方正仿宋_GBK"/>
          <w:spacing w:val="6"/>
          <w:sz w:val="22"/>
          <w:szCs w:val="22"/>
        </w:rPr>
        <w:t>2、技术、商务部分权重</w:t>
      </w:r>
      <w:r>
        <w:rPr>
          <w:rFonts w:hint="eastAsia" w:ascii="方正仿宋_GBK" w:hAnsi="方正仿宋_GBK" w:eastAsia="方正仿宋_GBK" w:cs="方正仿宋_GBK"/>
          <w:spacing w:val="6"/>
          <w:sz w:val="22"/>
          <w:szCs w:val="22"/>
          <w:lang w:val="en-US" w:eastAsia="zh-CN"/>
        </w:rPr>
        <w:t>80</w:t>
      </w:r>
      <w:r>
        <w:rPr>
          <w:rFonts w:hint="eastAsia" w:ascii="方正仿宋_GBK" w:hAnsi="方正仿宋_GBK" w:eastAsia="方正仿宋_GBK" w:cs="方正仿宋_GBK"/>
          <w:spacing w:val="6"/>
          <w:sz w:val="22"/>
          <w:szCs w:val="22"/>
        </w:rPr>
        <w:t>%；</w:t>
      </w:r>
      <w:r>
        <w:rPr>
          <w:rFonts w:hint="eastAsia" w:ascii="方正仿宋_GBK" w:hAnsi="方正仿宋_GBK" w:eastAsia="方正仿宋_GBK" w:cs="方正仿宋_GBK"/>
          <w:spacing w:val="6"/>
          <w:sz w:val="22"/>
          <w:szCs w:val="22"/>
          <w:lang w:eastAsia="zh-CN"/>
        </w:rPr>
        <w:t>响应响应</w:t>
      </w:r>
      <w:r>
        <w:rPr>
          <w:rFonts w:hint="eastAsia" w:ascii="方正仿宋_GBK" w:hAnsi="方正仿宋_GBK" w:eastAsia="方正仿宋_GBK" w:cs="方正仿宋_GBK"/>
          <w:spacing w:val="6"/>
          <w:sz w:val="22"/>
          <w:szCs w:val="22"/>
        </w:rPr>
        <w:t>报价部分权重</w:t>
      </w:r>
      <w:r>
        <w:rPr>
          <w:rFonts w:hint="eastAsia" w:ascii="方正仿宋_GBK" w:hAnsi="方正仿宋_GBK" w:eastAsia="方正仿宋_GBK" w:cs="方正仿宋_GBK"/>
          <w:spacing w:val="6"/>
          <w:sz w:val="22"/>
          <w:szCs w:val="22"/>
          <w:lang w:val="en-US" w:eastAsia="zh-CN"/>
        </w:rPr>
        <w:t>20</w:t>
      </w:r>
      <w:r>
        <w:rPr>
          <w:rFonts w:hint="eastAsia" w:ascii="方正仿宋_GBK" w:hAnsi="方正仿宋_GBK" w:eastAsia="方正仿宋_GBK" w:cs="方正仿宋_GBK"/>
          <w:spacing w:val="6"/>
          <w:sz w:val="22"/>
          <w:szCs w:val="22"/>
        </w:rPr>
        <w:t>%</w:t>
      </w:r>
    </w:p>
    <w:p w14:paraId="27AE73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spacing w:val="6"/>
          <w:sz w:val="22"/>
          <w:szCs w:val="22"/>
        </w:rPr>
      </w:pPr>
      <w:r>
        <w:rPr>
          <w:rFonts w:hint="eastAsia" w:ascii="方正仿宋_GBK" w:hAnsi="方正仿宋_GBK" w:eastAsia="方正仿宋_GBK" w:cs="方正仿宋_GBK"/>
          <w:spacing w:val="6"/>
          <w:sz w:val="22"/>
          <w:szCs w:val="22"/>
        </w:rPr>
        <w:t>3、</w:t>
      </w:r>
      <w:r>
        <w:rPr>
          <w:rFonts w:hint="eastAsia" w:ascii="方正仿宋_GBK" w:hAnsi="方正仿宋_GBK" w:eastAsia="方正仿宋_GBK" w:cs="方正仿宋_GBK"/>
          <w:spacing w:val="6"/>
          <w:sz w:val="22"/>
          <w:szCs w:val="22"/>
          <w:lang w:eastAsia="zh-CN"/>
        </w:rPr>
        <w:t>供应商</w:t>
      </w:r>
      <w:r>
        <w:rPr>
          <w:rFonts w:hint="eastAsia" w:ascii="方正仿宋_GBK" w:hAnsi="方正仿宋_GBK" w:eastAsia="方正仿宋_GBK" w:cs="方正仿宋_GBK"/>
          <w:spacing w:val="6"/>
          <w:sz w:val="22"/>
          <w:szCs w:val="22"/>
        </w:rPr>
        <w:t>最终得分等于技术、商务部分、报价得分之和。</w:t>
      </w:r>
    </w:p>
    <w:p w14:paraId="3AFE20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spacing w:val="6"/>
          <w:sz w:val="22"/>
          <w:szCs w:val="22"/>
        </w:rPr>
      </w:pPr>
      <w:r>
        <w:rPr>
          <w:rFonts w:hint="eastAsia" w:ascii="方正仿宋_GBK" w:hAnsi="方正仿宋_GBK" w:eastAsia="方正仿宋_GBK" w:cs="方正仿宋_GBK"/>
          <w:spacing w:val="6"/>
          <w:sz w:val="22"/>
          <w:szCs w:val="22"/>
        </w:rPr>
        <w:t>4、</w:t>
      </w:r>
      <w:r>
        <w:rPr>
          <w:rFonts w:hint="eastAsia" w:ascii="方正仿宋_GBK" w:hAnsi="方正仿宋_GBK" w:eastAsia="方正仿宋_GBK" w:cs="方正仿宋_GBK"/>
          <w:spacing w:val="6"/>
          <w:sz w:val="22"/>
          <w:szCs w:val="22"/>
          <w:lang w:eastAsia="zh-CN"/>
        </w:rPr>
        <w:t>磋商小组</w:t>
      </w:r>
      <w:r>
        <w:rPr>
          <w:rFonts w:hint="eastAsia" w:ascii="方正仿宋_GBK" w:hAnsi="方正仿宋_GBK" w:eastAsia="方正仿宋_GBK" w:cs="方正仿宋_GBK"/>
          <w:spacing w:val="6"/>
          <w:sz w:val="22"/>
          <w:szCs w:val="22"/>
        </w:rPr>
        <w:t>按照</w:t>
      </w:r>
      <w:r>
        <w:rPr>
          <w:rFonts w:hint="eastAsia" w:ascii="方正仿宋_GBK" w:hAnsi="方正仿宋_GBK" w:eastAsia="方正仿宋_GBK" w:cs="方正仿宋_GBK"/>
          <w:spacing w:val="6"/>
          <w:sz w:val="22"/>
          <w:szCs w:val="22"/>
          <w:lang w:eastAsia="zh-CN"/>
        </w:rPr>
        <w:t>供应商</w:t>
      </w:r>
      <w:r>
        <w:rPr>
          <w:rFonts w:hint="eastAsia" w:ascii="方正仿宋_GBK" w:hAnsi="方正仿宋_GBK" w:eastAsia="方正仿宋_GBK" w:cs="方正仿宋_GBK"/>
          <w:spacing w:val="6"/>
          <w:sz w:val="22"/>
          <w:szCs w:val="22"/>
        </w:rPr>
        <w:t>最终得分由高到底顺序确定出各</w:t>
      </w:r>
      <w:r>
        <w:rPr>
          <w:rFonts w:hint="eastAsia" w:ascii="方正仿宋_GBK" w:hAnsi="方正仿宋_GBK" w:eastAsia="方正仿宋_GBK" w:cs="方正仿宋_GBK"/>
          <w:spacing w:val="6"/>
          <w:sz w:val="22"/>
          <w:szCs w:val="22"/>
          <w:lang w:eastAsia="zh-CN"/>
        </w:rPr>
        <w:t>供应商</w:t>
      </w:r>
      <w:r>
        <w:rPr>
          <w:rFonts w:hint="eastAsia" w:ascii="方正仿宋_GBK" w:hAnsi="方正仿宋_GBK" w:eastAsia="方正仿宋_GBK" w:cs="方正仿宋_GBK"/>
          <w:spacing w:val="6"/>
          <w:sz w:val="22"/>
          <w:szCs w:val="22"/>
        </w:rPr>
        <w:t>排名顺序。</w:t>
      </w:r>
    </w:p>
    <w:p w14:paraId="789055A1"/>
    <w:p w14:paraId="172B0EFC"/>
    <w:p w14:paraId="4046FAA6">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060B03C9">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4F0F8A18">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55C20D46">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F37DF25">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B8C0A00">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08B610E8">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42BB6D09">
      <w:pPr>
        <w:snapToGrid w:val="0"/>
        <w:spacing w:line="300" w:lineRule="exact"/>
        <w:ind w:firstLine="465"/>
        <w:rPr>
          <w:rFonts w:hint="eastAsia"/>
          <w:bCs/>
          <w:highlight w:val="green"/>
        </w:rPr>
      </w:pPr>
      <w:r>
        <w:rPr>
          <w:rFonts w:hint="eastAsia"/>
          <w:bCs/>
          <w:highlight w:val="green"/>
        </w:rPr>
        <w:t>6）具有良好的商业信誉和健全的财务会计制度（</w:t>
      </w:r>
      <w:r>
        <w:rPr>
          <w:rFonts w:hint="eastAsia" w:eastAsia="宋体"/>
          <w:bCs/>
          <w:highlight w:val="green"/>
          <w:lang w:eastAsia="zh-CN"/>
        </w:rPr>
        <w:t>会计事务所出具的2024或2025年度</w:t>
      </w:r>
      <w:r>
        <w:rPr>
          <w:rFonts w:hint="eastAsia" w:eastAsia="宋体"/>
          <w:bCs/>
          <w:highlight w:val="green"/>
          <w:lang w:val="en-US" w:eastAsia="zh-CN"/>
        </w:rPr>
        <w:t>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42C460E2">
      <w:pPr>
        <w:snapToGrid w:val="0"/>
        <w:spacing w:line="300" w:lineRule="exact"/>
        <w:ind w:firstLine="465"/>
        <w:rPr>
          <w:bCs/>
          <w:highlight w:val="green"/>
        </w:rPr>
      </w:pPr>
      <w:r>
        <w:rPr>
          <w:rFonts w:hint="eastAsia"/>
          <w:bCs/>
          <w:highlight w:val="green"/>
        </w:rPr>
        <w:t>7）</w:t>
      </w:r>
      <w:r>
        <w:rPr>
          <w:rFonts w:hint="eastAsia" w:eastAsia="宋体"/>
          <w:bCs/>
          <w:highlight w:val="green"/>
          <w:lang w:eastAsia="zh-CN"/>
        </w:rPr>
        <w:t>企业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61FE9AF4">
      <w:pPr>
        <w:snapToGrid w:val="0"/>
        <w:spacing w:line="300" w:lineRule="exact"/>
        <w:ind w:firstLine="465"/>
        <w:rPr>
          <w:bCs/>
          <w:highlight w:val="green"/>
        </w:rPr>
      </w:pPr>
      <w:r>
        <w:rPr>
          <w:rFonts w:hint="eastAsia" w:eastAsia="宋体"/>
          <w:b/>
          <w:bCs w:val="0"/>
          <w:highlight w:val="green"/>
          <w:lang w:val="en-US" w:eastAsia="zh-CN"/>
        </w:rPr>
        <w:t>8</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14:paraId="25EDDFE0">
      <w:pPr>
        <w:snapToGrid w:val="0"/>
        <w:spacing w:line="300" w:lineRule="exact"/>
        <w:ind w:firstLine="465"/>
        <w:rPr>
          <w:rFonts w:hint="eastAsia"/>
          <w:b/>
          <w:highlight w:val="green"/>
        </w:rPr>
      </w:pPr>
      <w:r>
        <w:rPr>
          <w:rFonts w:hint="eastAsia" w:ascii="宋体" w:hAnsi="宋体" w:eastAsia="宋体" w:cs="宋体"/>
          <w:b/>
          <w:highlight w:val="green"/>
          <w:lang w:val="en-US" w:eastAsia="zh-CN"/>
        </w:rPr>
        <w:t>9</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14:paraId="2DE77C5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b/>
          <w:highlight w:val="green"/>
          <w:lang w:val="en-US" w:eastAsia="zh-CN"/>
        </w:rPr>
        <w:t>10</w:t>
      </w:r>
      <w:r>
        <w:rPr>
          <w:rFonts w:hint="eastAsia"/>
          <w:b/>
          <w:highlight w:val="green"/>
        </w:rPr>
        <w:t>）</w:t>
      </w:r>
      <w:r>
        <w:rPr>
          <w:rFonts w:hint="eastAsia" w:eastAsia="宋体"/>
          <w:b/>
          <w:highlight w:val="green"/>
          <w:lang w:eastAsia="zh-CN"/>
        </w:rPr>
        <w:t>本项目为非专门面向中小微企业采购项目</w:t>
      </w:r>
    </w:p>
    <w:p w14:paraId="50817B04">
      <w:pPr>
        <w:pStyle w:val="6"/>
      </w:pPr>
    </w:p>
    <w:p w14:paraId="556452F0">
      <w:pPr>
        <w:snapToGrid w:val="0"/>
        <w:spacing w:line="300" w:lineRule="exact"/>
        <w:ind w:firstLine="465"/>
        <w:rPr>
          <w:b/>
          <w:highlight w:val="green"/>
        </w:rPr>
      </w:pPr>
    </w:p>
    <w:p w14:paraId="0F2CDE44">
      <w:pPr>
        <w:snapToGrid w:val="0"/>
        <w:spacing w:line="300" w:lineRule="exact"/>
        <w:ind w:firstLine="465"/>
        <w:rPr>
          <w:rFonts w:ascii="Arial" w:hAnsi="Arial" w:eastAsia="宋体"/>
        </w:rPr>
      </w:pPr>
    </w:p>
    <w:p w14:paraId="4065C954">
      <w:pPr>
        <w:keepNext/>
        <w:keepLines/>
        <w:tabs>
          <w:tab w:val="left" w:pos="1680"/>
        </w:tabs>
        <w:spacing w:before="260" w:after="60" w:afterLines="25"/>
        <w:jc w:val="center"/>
        <w:outlineLvl w:val="2"/>
        <w:rPr>
          <w:rFonts w:hint="eastAsia" w:ascii="Arial" w:hAnsi="Arial" w:eastAsia="宋体"/>
          <w:b/>
          <w:sz w:val="32"/>
          <w:szCs w:val="32"/>
        </w:rPr>
      </w:pPr>
    </w:p>
    <w:p w14:paraId="50C6BA8D">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C024023">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161978CE">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0397A0F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99623A8">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238BD7BB">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1515DE16">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3C35800F">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6F7E5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4FD6263">
            <w:pPr>
              <w:jc w:val="center"/>
              <w:rPr>
                <w:rFonts w:hint="eastAsia" w:ascii="宋体" w:hAnsi="宋体"/>
                <w:bCs/>
              </w:rPr>
            </w:pPr>
            <w:r>
              <w:rPr>
                <w:rFonts w:hint="eastAsia" w:eastAsia="宋体"/>
                <w:lang w:eastAsia="zh-CN"/>
              </w:rPr>
              <w:t>KSS(GK)2026-039</w:t>
            </w:r>
          </w:p>
        </w:tc>
        <w:tc>
          <w:tcPr>
            <w:tcW w:w="2906" w:type="dxa"/>
            <w:tcBorders>
              <w:top w:val="single" w:color="auto" w:sz="4" w:space="0"/>
              <w:left w:val="single" w:color="000000" w:sz="4" w:space="0"/>
              <w:bottom w:val="single" w:color="auto" w:sz="4" w:space="0"/>
              <w:right w:val="single" w:color="000000" w:sz="4" w:space="0"/>
            </w:tcBorders>
            <w:vAlign w:val="center"/>
          </w:tcPr>
          <w:p w14:paraId="4C917CF3">
            <w:pPr>
              <w:jc w:val="center"/>
              <w:rPr>
                <w:b/>
                <w:bCs/>
              </w:rPr>
            </w:pPr>
            <w:r>
              <w:rPr>
                <w:rFonts w:hint="eastAsia" w:eastAsia="宋体" w:cs="Times New Roman"/>
                <w:lang w:eastAsia="zh-CN"/>
              </w:rPr>
              <w:t>喀什市人民医院物业管理服务采购项目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05A4C6D3">
            <w:pPr>
              <w:jc w:val="center"/>
              <w:rPr>
                <w:rFonts w:hint="eastAsia" w:ascii="宋体" w:hAnsi="宋体" w:eastAsia="宋体"/>
                <w:bCs/>
                <w:lang w:eastAsia="zh-CN"/>
              </w:rPr>
            </w:pPr>
            <w:r>
              <w:rPr>
                <w:rFonts w:hint="eastAsia" w:ascii="宋体" w:hAnsi="宋体" w:eastAsia="宋体"/>
                <w:bCs/>
                <w:lang w:eastAsia="zh-CN"/>
              </w:rPr>
              <w:t>6200000（陆佰贰拾万元整）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9C605E5">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物</w:t>
            </w:r>
            <w:r>
              <w:rPr>
                <w:rFonts w:hint="eastAsia" w:ascii="宋体" w:hAnsi="宋体" w:eastAsia="宋体" w:cs="宋体"/>
                <w:i w:val="0"/>
                <w:iCs w:val="0"/>
                <w:caps w:val="0"/>
                <w:color w:val="000000"/>
                <w:spacing w:val="0"/>
                <w:sz w:val="24"/>
                <w:szCs w:val="24"/>
                <w:shd w:val="clear" w:fill="FFFFFF"/>
                <w:lang w:val="en-US" w:eastAsia="zh-CN"/>
              </w:rPr>
              <w:t>业</w:t>
            </w:r>
            <w:r>
              <w:rPr>
                <w:rFonts w:hint="eastAsia" w:ascii="宋体" w:hAnsi="宋体" w:eastAsia="宋体" w:cs="宋体"/>
                <w:i w:val="0"/>
                <w:iCs w:val="0"/>
                <w:caps w:val="0"/>
                <w:color w:val="000000"/>
                <w:spacing w:val="0"/>
                <w:sz w:val="24"/>
                <w:szCs w:val="24"/>
                <w:shd w:val="clear" w:fill="FFFFFF"/>
                <w:lang w:eastAsia="zh-CN"/>
              </w:rPr>
              <w:t>管理</w:t>
            </w:r>
          </w:p>
        </w:tc>
      </w:tr>
    </w:tbl>
    <w:p w14:paraId="6ABD4906">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756F8E59">
      <w:pPr>
        <w:pStyle w:val="6"/>
        <w:rPr>
          <w:rFonts w:hint="eastAsia"/>
          <w:lang w:val="en-US" w:eastAsia="zh-CN"/>
        </w:rPr>
      </w:pPr>
    </w:p>
    <w:p w14:paraId="2C416E14">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日，每天上午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34440DC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71F2BA2B">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4BAAE6C6">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37968BE">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日1</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:00:00</w:t>
      </w:r>
    </w:p>
    <w:p w14:paraId="1684CD8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7E37265F">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30A0E5">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73C70C1B">
      <w:pPr>
        <w:pStyle w:val="14"/>
        <w:ind w:firstLine="560" w:firstLineChars="200"/>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本项目不收取投标保证金</w:t>
      </w:r>
    </w:p>
    <w:p w14:paraId="2FF9431E">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4E27FD5A">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3D62B3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62AAD57F">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4E1C265E">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0371C17">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3"/>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FFAFA9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46C1BD01">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EEB3550">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5E5EDA8C">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17A516CA">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喀什市人民医院</w:t>
      </w:r>
    </w:p>
    <w:p w14:paraId="189C2BB6">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喀什市深喀大道171号</w:t>
      </w:r>
    </w:p>
    <w:p w14:paraId="3649C5CA">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韩国栋 18199596746</w:t>
      </w:r>
    </w:p>
    <w:p w14:paraId="77A5E121">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48A34967">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75966451">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118A440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7EB042BE">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354ED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C6E72AA">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F401F3B">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46E633A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7710C0C9">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韩国栋 18199596746</w:t>
      </w:r>
    </w:p>
    <w:p w14:paraId="3389CBF5">
      <w:pPr>
        <w:spacing w:line="560" w:lineRule="exact"/>
        <w:ind w:firstLine="560" w:firstLineChars="200"/>
        <w:rPr>
          <w:rFonts w:hint="eastAsia" w:ascii="仿宋" w:hAnsi="仿宋" w:eastAsia="仿宋"/>
          <w:color w:val="000000"/>
          <w:sz w:val="28"/>
          <w:szCs w:val="28"/>
        </w:rPr>
      </w:pPr>
    </w:p>
    <w:p w14:paraId="6A460706">
      <w:pPr>
        <w:pStyle w:val="14"/>
        <w:spacing w:after="0" w:line="560" w:lineRule="exact"/>
        <w:rPr>
          <w:rFonts w:hint="eastAsia" w:ascii="仿宋" w:hAnsi="仿宋" w:eastAsia="仿宋"/>
          <w:color w:val="000000"/>
          <w:sz w:val="28"/>
          <w:szCs w:val="28"/>
        </w:rPr>
      </w:pPr>
    </w:p>
    <w:p w14:paraId="151ADA0A">
      <w:pPr>
        <w:jc w:val="center"/>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0F9D9E7D">
      <w:pPr>
        <w:keepNext/>
        <w:keepLines/>
        <w:adjustRightInd w:val="0"/>
        <w:spacing w:before="120" w:beforeLines="50" w:after="120" w:afterLines="50"/>
        <w:jc w:val="center"/>
        <w:textAlignment w:val="baseline"/>
        <w:outlineLvl w:val="2"/>
        <w:rPr>
          <w:rFonts w:ascii="宋体" w:hAnsi="宋体" w:eastAsia="宋体"/>
          <w:b/>
          <w:bCs/>
        </w:rPr>
      </w:pPr>
      <w:bookmarkStart w:id="1" w:name="_Toc100052364"/>
      <w:bookmarkStart w:id="2" w:name="_Toc60631620"/>
      <w:bookmarkStart w:id="3" w:name="_Toc73521635"/>
      <w:bookmarkStart w:id="4" w:name="_Toc101074876"/>
      <w:bookmarkStart w:id="5" w:name="_Toc73518117"/>
      <w:bookmarkStart w:id="6" w:name="_Toc73521547"/>
      <w:bookmarkStart w:id="7" w:name="_Toc73517639"/>
      <w:bookmarkStart w:id="8" w:name="_Toc60560625"/>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4D4F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3536F1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53866529">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1D02139">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292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5D243E4">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19B47D9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6DB22B24">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喀什市人民医院</w:t>
            </w:r>
          </w:p>
        </w:tc>
      </w:tr>
      <w:tr w14:paraId="304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39A4AE83">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511201C1">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2519C616">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DCF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FCA792">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3ECA071C">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32FEC059">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61A2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D0A162C">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5045C97B">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A5BBAB8">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14:paraId="33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B88DC49">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46D2AF81">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A75EE59">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7C1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C4FDB8A">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20C22CC5">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402496F3">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781BEA41">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4A8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8D16861">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4F1F91D3">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6B4994EF">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47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AC2FC6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55719321">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760A86FF">
            <w:pPr>
              <w:spacing w:line="240" w:lineRule="atLeast"/>
              <w:ind w:left="814" w:hanging="814" w:hangingChars="354"/>
              <w:rPr>
                <w:rFonts w:hint="eastAsia" w:ascii="宋体" w:hAnsi="宋体" w:cs="宋体"/>
                <w:b/>
                <w:bCs/>
                <w:color w:val="auto"/>
                <w:sz w:val="23"/>
                <w:szCs w:val="23"/>
                <w:u w:val="single"/>
                <w:shd w:val="clear" w:color="auto" w:fill="auto"/>
              </w:rPr>
            </w:pPr>
          </w:p>
          <w:p w14:paraId="61C940AE">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1</w:t>
            </w:r>
            <w:r>
              <w:rPr>
                <w:rFonts w:hint="eastAsia" w:ascii="宋体" w:hAnsi="宋体" w:eastAsia="宋体"/>
                <w:szCs w:val="21"/>
              </w:rPr>
              <w:t>名，随机抽取专家</w:t>
            </w:r>
            <w:r>
              <w:rPr>
                <w:rFonts w:hint="eastAsia" w:ascii="宋体" w:hAnsi="宋体" w:eastAsia="宋体"/>
                <w:szCs w:val="21"/>
                <w:lang w:val="en-US" w:eastAsia="zh-CN"/>
              </w:rPr>
              <w:t>4</w:t>
            </w:r>
            <w:r>
              <w:rPr>
                <w:rFonts w:hint="eastAsia" w:ascii="宋体" w:hAnsi="宋体" w:eastAsia="宋体"/>
                <w:szCs w:val="21"/>
              </w:rPr>
              <w:t>名）</w:t>
            </w:r>
          </w:p>
          <w:p w14:paraId="069FE5A8">
            <w:pPr>
              <w:snapToGrid w:val="0"/>
              <w:jc w:val="center"/>
              <w:rPr>
                <w:rFonts w:hint="eastAsia" w:ascii="宋体" w:hAnsi="宋体" w:eastAsia="宋体" w:cs="Arial"/>
                <w:sz w:val="24"/>
                <w:szCs w:val="21"/>
              </w:rPr>
            </w:pPr>
          </w:p>
        </w:tc>
      </w:tr>
      <w:tr w14:paraId="77E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20603D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02C88DE7">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2B0497A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46C5A098">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21D40053">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C9A193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34FCE51E">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4664F28">
      <w:pPr>
        <w:tabs>
          <w:tab w:val="left" w:pos="720"/>
        </w:tabs>
        <w:rPr>
          <w:rFonts w:ascii="黑体" w:hAnsi="宋体" w:eastAsia="黑体"/>
          <w:bCs/>
        </w:rPr>
      </w:pPr>
      <w:r>
        <w:rPr>
          <w:rFonts w:hint="eastAsia" w:ascii="黑体" w:hAnsi="宋体" w:eastAsia="黑体"/>
          <w:bCs/>
        </w:rPr>
        <w:t>1、关于标项的定义</w:t>
      </w:r>
    </w:p>
    <w:p w14:paraId="2EC5ED51">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67F917DC">
      <w:pPr>
        <w:tabs>
          <w:tab w:val="left" w:pos="720"/>
        </w:tabs>
        <w:rPr>
          <w:rFonts w:ascii="黑体" w:hAnsi="宋体" w:eastAsia="黑体"/>
        </w:rPr>
      </w:pPr>
      <w:r>
        <w:rPr>
          <w:rFonts w:hint="eastAsia" w:ascii="黑体" w:hAnsi="宋体" w:eastAsia="黑体"/>
        </w:rPr>
        <w:t>（二）其他事项</w:t>
      </w:r>
    </w:p>
    <w:p w14:paraId="370A7683">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w:t>
      </w:r>
      <w:r>
        <w:rPr>
          <w:rFonts w:hint="eastAsia" w:ascii="宋体" w:hAnsi="宋体" w:eastAsia="宋体"/>
          <w:lang w:eastAsia="zh-CN"/>
        </w:rPr>
        <w:t>、服务</w:t>
      </w:r>
      <w:r>
        <w:rPr>
          <w:rFonts w:hint="eastAsia" w:ascii="宋体" w:hAnsi="宋体"/>
        </w:rPr>
        <w:t>全部均由优惠主体制造</w:t>
      </w:r>
      <w:r>
        <w:rPr>
          <w:rFonts w:hint="eastAsia" w:ascii="宋体" w:hAnsi="宋体" w:eastAsia="宋体"/>
          <w:lang w:eastAsia="zh-CN"/>
        </w:rPr>
        <w:t>或服务</w:t>
      </w:r>
      <w:r>
        <w:rPr>
          <w:rFonts w:hint="eastAsia" w:ascii="宋体" w:hAnsi="宋体"/>
        </w:rPr>
        <w:t>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9CF8B0E">
      <w:pPr>
        <w:tabs>
          <w:tab w:val="left" w:pos="720"/>
        </w:tabs>
        <w:rPr>
          <w:rFonts w:ascii="黑体" w:hAnsi="宋体" w:eastAsia="黑体"/>
        </w:rPr>
      </w:pPr>
    </w:p>
    <w:p w14:paraId="69225B1D">
      <w:pPr>
        <w:rPr>
          <w:rFonts w:ascii="宋体" w:hAnsi="宋体" w:eastAsia="黑体"/>
          <w:bCs/>
          <w:kern w:val="44"/>
          <w:sz w:val="28"/>
          <w:szCs w:val="44"/>
        </w:rPr>
      </w:pPr>
      <w:r>
        <w:br w:type="page"/>
      </w:r>
    </w:p>
    <w:p w14:paraId="72B5452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3FF1E53E">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E79C23C">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6D42D9F">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38E22A76">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22B4E3E">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30FA56C">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862B015">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4554D5AD">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E6CB804">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7C4FB8F4">
            <w:pPr>
              <w:jc w:val="center"/>
              <w:rPr>
                <w:rFonts w:hint="eastAsia" w:ascii="宋体" w:hAnsi="宋体"/>
                <w:bCs/>
              </w:rPr>
            </w:pPr>
            <w:r>
              <w:rPr>
                <w:rFonts w:hint="eastAsia" w:eastAsia="宋体"/>
                <w:lang w:eastAsia="zh-CN"/>
              </w:rPr>
              <w:t>KSS(GK)2026-039</w:t>
            </w:r>
          </w:p>
        </w:tc>
        <w:tc>
          <w:tcPr>
            <w:tcW w:w="2906" w:type="dxa"/>
            <w:tcBorders>
              <w:top w:val="single" w:color="auto" w:sz="4" w:space="0"/>
              <w:left w:val="single" w:color="000000" w:sz="4" w:space="0"/>
              <w:bottom w:val="single" w:color="auto" w:sz="4" w:space="0"/>
              <w:right w:val="single" w:color="000000" w:sz="4" w:space="0"/>
            </w:tcBorders>
            <w:vAlign w:val="center"/>
          </w:tcPr>
          <w:p w14:paraId="00C34BD9">
            <w:pPr>
              <w:jc w:val="center"/>
              <w:rPr>
                <w:b/>
                <w:bCs/>
              </w:rPr>
            </w:pPr>
            <w:r>
              <w:rPr>
                <w:rFonts w:hint="eastAsia" w:eastAsia="宋体" w:cs="Times New Roman"/>
                <w:lang w:eastAsia="zh-CN"/>
              </w:rPr>
              <w:t>喀什市人民医院物业管理服务采购项目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242344B1">
            <w:pPr>
              <w:jc w:val="center"/>
              <w:rPr>
                <w:rFonts w:hint="eastAsia" w:ascii="宋体" w:hAnsi="宋体" w:eastAsia="宋体"/>
                <w:bCs/>
                <w:lang w:eastAsia="zh-CN"/>
              </w:rPr>
            </w:pPr>
            <w:r>
              <w:rPr>
                <w:rFonts w:hint="eastAsia" w:ascii="宋体" w:hAnsi="宋体" w:eastAsia="宋体"/>
                <w:bCs/>
                <w:lang w:eastAsia="zh-CN"/>
              </w:rPr>
              <w:t>6200000（陆佰贰拾万元整）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8B9F647">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物</w:t>
            </w:r>
            <w:r>
              <w:rPr>
                <w:rFonts w:hint="eastAsia" w:ascii="宋体" w:hAnsi="宋体" w:eastAsia="宋体" w:cs="宋体"/>
                <w:i w:val="0"/>
                <w:iCs w:val="0"/>
                <w:caps w:val="0"/>
                <w:color w:val="000000"/>
                <w:spacing w:val="0"/>
                <w:sz w:val="24"/>
                <w:szCs w:val="24"/>
                <w:shd w:val="clear" w:fill="FFFFFF"/>
                <w:lang w:val="en-US" w:eastAsia="zh-CN"/>
              </w:rPr>
              <w:t>业</w:t>
            </w:r>
            <w:r>
              <w:rPr>
                <w:rFonts w:hint="eastAsia" w:ascii="宋体" w:hAnsi="宋体" w:eastAsia="宋体" w:cs="宋体"/>
                <w:i w:val="0"/>
                <w:iCs w:val="0"/>
                <w:caps w:val="0"/>
                <w:color w:val="000000"/>
                <w:spacing w:val="0"/>
                <w:sz w:val="24"/>
                <w:szCs w:val="24"/>
                <w:shd w:val="clear" w:fill="FFFFFF"/>
                <w:lang w:eastAsia="zh-CN"/>
              </w:rPr>
              <w:t>管理</w:t>
            </w:r>
          </w:p>
        </w:tc>
      </w:tr>
    </w:tbl>
    <w:p w14:paraId="6C167770">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6200000（陆佰贰拾万元整）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157BE0E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0AA6268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1ECDF71B">
      <w:pPr>
        <w:keepNext/>
        <w:keepLines/>
        <w:tabs>
          <w:tab w:val="left" w:pos="1680"/>
        </w:tabs>
        <w:spacing w:before="260" w:after="60" w:afterLines="25"/>
        <w:jc w:val="center"/>
        <w:outlineLvl w:val="2"/>
        <w:rPr>
          <w:rFonts w:hint="eastAsia" w:ascii="宋体" w:hAnsi="宋体" w:eastAsia="宋体"/>
          <w:b/>
          <w:bCs/>
          <w:color w:val="FF0000"/>
          <w:szCs w:val="21"/>
        </w:rPr>
      </w:pPr>
    </w:p>
    <w:p w14:paraId="747180A9">
      <w:pPr>
        <w:keepNext/>
        <w:keepLines/>
        <w:tabs>
          <w:tab w:val="left" w:pos="1680"/>
        </w:tabs>
        <w:spacing w:before="260" w:after="60" w:afterLines="25"/>
        <w:jc w:val="center"/>
        <w:outlineLvl w:val="2"/>
        <w:rPr>
          <w:rFonts w:hint="eastAsia" w:ascii="宋体" w:hAnsi="宋体" w:eastAsia="宋体"/>
          <w:b/>
          <w:bCs/>
          <w:color w:val="FF0000"/>
          <w:szCs w:val="21"/>
        </w:rPr>
      </w:pPr>
    </w:p>
    <w:p w14:paraId="52949EA9">
      <w:pPr>
        <w:keepNext/>
        <w:keepLines/>
        <w:tabs>
          <w:tab w:val="left" w:pos="1680"/>
        </w:tabs>
        <w:spacing w:before="260" w:after="60" w:afterLines="25"/>
        <w:jc w:val="center"/>
        <w:outlineLvl w:val="2"/>
        <w:rPr>
          <w:rFonts w:hint="eastAsia" w:ascii="宋体" w:hAnsi="宋体" w:eastAsia="宋体"/>
          <w:b/>
          <w:bCs/>
          <w:color w:val="FF0000"/>
          <w:szCs w:val="21"/>
        </w:rPr>
      </w:pPr>
    </w:p>
    <w:p w14:paraId="1AD1C434">
      <w:pPr>
        <w:keepNext/>
        <w:keepLines/>
        <w:tabs>
          <w:tab w:val="left" w:pos="1680"/>
        </w:tabs>
        <w:spacing w:before="260" w:after="60" w:afterLines="25"/>
        <w:jc w:val="center"/>
        <w:outlineLvl w:val="2"/>
        <w:rPr>
          <w:rFonts w:ascii="Arial" w:hAnsi="Arial" w:eastAsia="宋体"/>
          <w:b/>
          <w:sz w:val="32"/>
          <w:szCs w:val="32"/>
        </w:rPr>
      </w:pPr>
      <w:r>
        <w:rPr>
          <w:rFonts w:hint="eastAsia" w:ascii="宋体" w:hAnsi="宋体" w:eastAsia="宋体"/>
          <w:b/>
          <w:bCs/>
          <w:color w:val="FF0000"/>
          <w:szCs w:val="21"/>
        </w:rPr>
        <w:t>★</w:t>
      </w: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14:paraId="7DEAD9A7">
      <w:pPr>
        <w:rPr>
          <w:rFonts w:hint="eastAsia" w:ascii="Arial" w:hAnsi="Arial" w:eastAsia="宋体"/>
          <w:b/>
          <w:color w:val="FF0000"/>
          <w:sz w:val="32"/>
          <w:szCs w:val="32"/>
          <w:highlight w:val="cyan"/>
          <w:lang w:eastAsia="zh-CN"/>
        </w:rPr>
      </w:pPr>
      <w:r>
        <w:rPr>
          <w:rFonts w:hint="eastAsia" w:ascii="宋体" w:hAnsi="宋体"/>
          <w:b/>
          <w:color w:val="FF0000"/>
          <w:sz w:val="32"/>
          <w:szCs w:val="32"/>
        </w:rPr>
        <w:t>本项目核心产品为：</w:t>
      </w:r>
      <w:r>
        <w:rPr>
          <w:rFonts w:hint="eastAsia" w:ascii="Arial" w:hAnsi="Arial" w:eastAsia="宋体"/>
          <w:b/>
          <w:color w:val="FF0000"/>
          <w:sz w:val="32"/>
          <w:szCs w:val="32"/>
          <w:highlight w:val="cyan"/>
          <w:lang w:eastAsia="zh-CN"/>
        </w:rPr>
        <w:t>无</w:t>
      </w:r>
    </w:p>
    <w:p w14:paraId="5126AC08">
      <w:pPr>
        <w:pStyle w:val="6"/>
        <w:rPr>
          <w:rFonts w:hint="eastAsia"/>
          <w:lang w:eastAsia="zh-CN"/>
        </w:rPr>
      </w:pPr>
    </w:p>
    <w:p w14:paraId="1AA412AB">
      <w:pPr>
        <w:pStyle w:val="6"/>
        <w:ind w:left="0" w:leftChars="0" w:firstLine="0" w:firstLineChars="0"/>
        <w:rPr>
          <w:rFonts w:hint="eastAsia"/>
          <w:lang w:eastAsia="zh-CN"/>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536DCE78">
      <w:pPr>
        <w:rPr>
          <w:rFonts w:hint="eastAsia"/>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27EF28F0">
      <w:pPr>
        <w:rPr>
          <w:rFonts w:hint="eastAsia"/>
          <w:lang w:eastAsia="zh-CN"/>
        </w:rPr>
      </w:pPr>
    </w:p>
    <w:p w14:paraId="452C87B3">
      <w:pPr>
        <w:rPr>
          <w:rFonts w:hint="eastAsia" w:eastAsia="宋体"/>
          <w:b/>
          <w:bCs/>
          <w:sz w:val="40"/>
          <w:szCs w:val="40"/>
          <w:lang w:eastAsia="zh-CN"/>
        </w:rPr>
      </w:pPr>
      <w:r>
        <w:rPr>
          <w:rFonts w:hint="eastAsia" w:eastAsia="宋体"/>
          <w:b/>
          <w:bCs/>
          <w:sz w:val="40"/>
          <w:szCs w:val="40"/>
          <w:lang w:eastAsia="zh-CN"/>
        </w:rPr>
        <w:t>服务需求明细：</w:t>
      </w:r>
    </w:p>
    <w:p w14:paraId="16593877">
      <w:pPr>
        <w:pStyle w:val="25"/>
        <w:rPr>
          <w:rFonts w:hint="eastAsia"/>
          <w:lang w:val="en-US" w:eastAsia="zh-CN"/>
        </w:rPr>
      </w:pPr>
    </w:p>
    <w:p w14:paraId="429EE3A5">
      <w:pPr>
        <w:pStyle w:val="8"/>
        <w:keepNext w:val="0"/>
        <w:keepLines w:val="0"/>
        <w:pageBreakBefore w:val="0"/>
        <w:widowControl/>
        <w:kinsoku w:val="0"/>
        <w:wordWrap/>
        <w:overflowPunct/>
        <w:topLinePunct w:val="0"/>
        <w:autoSpaceDE w:val="0"/>
        <w:autoSpaceDN w:val="0"/>
        <w:bidi w:val="0"/>
        <w:adjustRightInd w:val="0"/>
        <w:snapToGrid w:val="0"/>
        <w:spacing w:before="78" w:line="620" w:lineRule="exact"/>
        <w:ind w:left="31" w:right="65" w:firstLine="486"/>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喀什市人民医院始建于 1958 年,是一所集医疗、科研、教学、预防保健、康复、社区服务、突发卫生公共事件应急救治为一体的二级甲等综合性医院，编制床位499</w:t>
      </w:r>
      <w:r>
        <w:rPr>
          <w:rFonts w:hint="eastAsia" w:ascii="方正仿宋_GBK" w:hAnsi="方正仿宋_GBK" w:eastAsia="方正仿宋_GBK" w:cs="方正仿宋_GBK"/>
          <w:spacing w:val="6"/>
          <w:sz w:val="32"/>
          <w:szCs w:val="32"/>
          <w:lang w:val="en-US" w:eastAsia="zh-CN"/>
        </w:rPr>
        <w:t>张</w:t>
      </w:r>
      <w:r>
        <w:rPr>
          <w:rFonts w:hint="eastAsia" w:ascii="方正仿宋_GBK" w:hAnsi="方正仿宋_GBK" w:eastAsia="方正仿宋_GBK" w:cs="方正仿宋_GBK"/>
          <w:spacing w:val="6"/>
          <w:sz w:val="32"/>
          <w:szCs w:val="32"/>
        </w:rPr>
        <w:t>，开床位 845</w:t>
      </w:r>
      <w:r>
        <w:rPr>
          <w:rFonts w:hint="eastAsia" w:ascii="方正仿宋_GBK" w:hAnsi="方正仿宋_GBK" w:eastAsia="方正仿宋_GBK" w:cs="方正仿宋_GBK"/>
          <w:spacing w:val="6"/>
          <w:sz w:val="32"/>
          <w:szCs w:val="32"/>
          <w:lang w:val="en-US" w:eastAsia="zh-CN"/>
        </w:rPr>
        <w:t>张</w:t>
      </w:r>
      <w:r>
        <w:rPr>
          <w:rFonts w:hint="eastAsia" w:ascii="方正仿宋_GBK" w:hAnsi="方正仿宋_GBK" w:eastAsia="方正仿宋_GBK" w:cs="方正仿宋_GBK"/>
          <w:spacing w:val="6"/>
          <w:sz w:val="32"/>
          <w:szCs w:val="32"/>
        </w:rPr>
        <w:t>， 占地面积 9.5 万平方米，分为两个院区：老院区位于喀什市健康路91 号，总院区位于喀什市朝阳路 181 号。</w:t>
      </w:r>
    </w:p>
    <w:p w14:paraId="6B7BD42D">
      <w:pPr>
        <w:pStyle w:val="8"/>
        <w:keepNext w:val="0"/>
        <w:keepLines w:val="0"/>
        <w:pageBreakBefore w:val="0"/>
        <w:widowControl/>
        <w:kinsoku w:val="0"/>
        <w:wordWrap/>
        <w:overflowPunct/>
        <w:topLinePunct w:val="0"/>
        <w:autoSpaceDE w:val="0"/>
        <w:autoSpaceDN w:val="0"/>
        <w:bidi w:val="0"/>
        <w:adjustRightInd w:val="0"/>
        <w:snapToGrid w:val="0"/>
        <w:spacing w:line="620" w:lineRule="exact"/>
        <w:ind w:left="522"/>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两个院区目前基本情况：</w:t>
      </w:r>
    </w:p>
    <w:p w14:paraId="1FFE1A96">
      <w:pPr>
        <w:pStyle w:val="8"/>
        <w:keepNext w:val="0"/>
        <w:keepLines w:val="0"/>
        <w:pageBreakBefore w:val="0"/>
        <w:widowControl/>
        <w:kinsoku w:val="0"/>
        <w:wordWrap/>
        <w:overflowPunct/>
        <w:topLinePunct w:val="0"/>
        <w:autoSpaceDE w:val="0"/>
        <w:autoSpaceDN w:val="0"/>
        <w:bidi w:val="0"/>
        <w:adjustRightInd w:val="0"/>
        <w:snapToGrid w:val="0"/>
        <w:spacing w:before="180" w:line="620" w:lineRule="exact"/>
        <w:ind w:left="29" w:right="26" w:firstLine="485"/>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（1）总院区2018年6月开始使用，占地面积：66651.21 ㎡（100.1 亩），使用面积：99346.21 ㎡ ，分为 8 栋建筑（六号、七号、八号楼待使用）:1.一号门诊楼使用面积：8572.76 ㎡ ，2.二号医技楼使用面积：7477.42 ㎡ ，3.三号住院楼使用面积：5878.73 ㎡，4.四号外科楼使用面积：14982.77 ㎡，5.五号感染楼使用面积：5902.4 ㎡ ，6.六号特色专科楼使用面积：6450.1 ㎡ ，7.七号内科楼使用面积：22082.03 ㎡ ，8.八号中医康复综合楼使用面积：28000.00 ㎡；</w:t>
      </w:r>
    </w:p>
    <w:p w14:paraId="043C632A">
      <w:pPr>
        <w:pStyle w:val="8"/>
        <w:keepNext w:val="0"/>
        <w:keepLines w:val="0"/>
        <w:pageBreakBefore w:val="0"/>
        <w:widowControl/>
        <w:kinsoku w:val="0"/>
        <w:wordWrap/>
        <w:overflowPunct/>
        <w:topLinePunct w:val="0"/>
        <w:autoSpaceDE w:val="0"/>
        <w:autoSpaceDN w:val="0"/>
        <w:bidi w:val="0"/>
        <w:adjustRightInd w:val="0"/>
        <w:snapToGrid w:val="0"/>
        <w:spacing w:line="620" w:lineRule="exact"/>
        <w:ind w:left="24" w:firstLine="490"/>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（2）老院占地面积：19078.55 ㎡（28.6 亩），使用面积：18754.18 ㎡，分为3栋建筑：1.健康管理中心楼使用面积 3816.6 ㎡；2.门诊楼使用面积：10686㎡ ；3.住院楼使用面积：4251.58 ㎡；</w:t>
      </w:r>
    </w:p>
    <w:p w14:paraId="262F71FD">
      <w:pPr>
        <w:pStyle w:val="8"/>
        <w:keepNext w:val="0"/>
        <w:keepLines w:val="0"/>
        <w:pageBreakBefore w:val="0"/>
        <w:widowControl/>
        <w:kinsoku w:val="0"/>
        <w:wordWrap/>
        <w:overflowPunct/>
        <w:topLinePunct w:val="0"/>
        <w:autoSpaceDE w:val="0"/>
        <w:autoSpaceDN w:val="0"/>
        <w:bidi w:val="0"/>
        <w:adjustRightInd w:val="0"/>
        <w:snapToGrid w:val="0"/>
        <w:spacing w:before="180" w:line="620" w:lineRule="exact"/>
        <w:ind w:left="29" w:right="26" w:firstLine="485"/>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两院区合计室外面积：19354.7㎡（总院</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10679.7㎡、老院区：8675㎡），绿化面积:9710㎡（总院：8301㎡、老院区：1409㎡）</w:t>
      </w:r>
    </w:p>
    <w:p w14:paraId="4FC10142">
      <w:pPr>
        <w:pStyle w:val="8"/>
        <w:keepNext w:val="0"/>
        <w:keepLines w:val="0"/>
        <w:pageBreakBefore w:val="0"/>
        <w:widowControl/>
        <w:kinsoku w:val="0"/>
        <w:wordWrap/>
        <w:overflowPunct/>
        <w:topLinePunct w:val="0"/>
        <w:autoSpaceDE w:val="0"/>
        <w:autoSpaceDN w:val="0"/>
        <w:bidi w:val="0"/>
        <w:adjustRightInd w:val="0"/>
        <w:snapToGrid w:val="0"/>
        <w:spacing w:before="62" w:line="620" w:lineRule="exact"/>
        <w:ind w:left="509"/>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服务内容如下：</w:t>
      </w:r>
    </w:p>
    <w:p w14:paraId="774DEB55">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spacing w:val="6"/>
          <w:sz w:val="32"/>
          <w:szCs w:val="32"/>
        </w:rPr>
      </w:pPr>
      <w:r>
        <w:rPr>
          <w:rFonts w:hint="eastAsia" w:ascii="方正黑体_GBK" w:hAnsi="方正黑体_GBK" w:eastAsia="方正黑体_GBK" w:cs="方正黑体_GBK"/>
          <w:b/>
          <w:bCs/>
          <w:spacing w:val="6"/>
          <w:sz w:val="32"/>
          <w:szCs w:val="32"/>
        </w:rPr>
        <w:t>1.工程管理</w:t>
      </w:r>
    </w:p>
    <w:p w14:paraId="1522DE6B">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1.1 电梯维保</w:t>
      </w:r>
    </w:p>
    <w:p w14:paraId="5B6A07BD">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1.1.1 概括范围</w:t>
      </w:r>
    </w:p>
    <w:p w14:paraId="11F2CB79">
      <w:pPr>
        <w:pStyle w:val="8"/>
        <w:keepNext w:val="0"/>
        <w:keepLines w:val="0"/>
        <w:pageBreakBefore w:val="0"/>
        <w:widowControl/>
        <w:kinsoku w:val="0"/>
        <w:wordWrap/>
        <w:overflowPunct/>
        <w:topLinePunct w:val="0"/>
        <w:autoSpaceDE w:val="0"/>
        <w:autoSpaceDN w:val="0"/>
        <w:bidi w:val="0"/>
        <w:adjustRightInd w:val="0"/>
        <w:snapToGrid w:val="0"/>
        <w:spacing w:before="180" w:line="620" w:lineRule="exact"/>
        <w:ind w:left="29" w:right="26" w:firstLine="485"/>
        <w:jc w:val="both"/>
        <w:textAlignment w:val="baseline"/>
        <w:rPr>
          <w:rFonts w:hint="default"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rPr>
        <w:t>中标物业公司负责全部电梯的日常巡查、运行管理、维护保养（含电梯维修配件）、安检年审、保险费，应急维修及应急事故处理等工作。</w:t>
      </w:r>
      <w:r>
        <w:rPr>
          <w:rFonts w:hint="eastAsia" w:ascii="方正仿宋_GBK" w:hAnsi="方正仿宋_GBK" w:eastAsia="方正仿宋_GBK" w:cs="方正仿宋_GBK"/>
          <w:spacing w:val="6"/>
          <w:sz w:val="32"/>
          <w:szCs w:val="32"/>
          <w:lang w:val="en-US" w:eastAsia="zh-CN"/>
        </w:rPr>
        <w:t>注：允许</w:t>
      </w:r>
      <w:r>
        <w:rPr>
          <w:rFonts w:hint="eastAsia" w:ascii="方正仿宋_GBK" w:hAnsi="方正仿宋_GBK" w:eastAsia="方正仿宋_GBK" w:cs="方正仿宋_GBK"/>
          <w:spacing w:val="6"/>
          <w:sz w:val="32"/>
          <w:szCs w:val="32"/>
        </w:rPr>
        <w:t>物业公司</w:t>
      </w:r>
      <w:r>
        <w:rPr>
          <w:rFonts w:hint="eastAsia" w:ascii="方正仿宋_GBK" w:hAnsi="方正仿宋_GBK" w:eastAsia="方正仿宋_GBK" w:cs="方正仿宋_GBK"/>
          <w:spacing w:val="6"/>
          <w:sz w:val="32"/>
          <w:szCs w:val="32"/>
          <w:lang w:val="en-US" w:eastAsia="zh-CN"/>
        </w:rPr>
        <w:t>将电梯维保工作分包给具有特种设备维修资质的专业单位</w:t>
      </w:r>
    </w:p>
    <w:p w14:paraId="5295C648">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1.1.2 服务要求</w:t>
      </w:r>
    </w:p>
    <w:p w14:paraId="1E2D230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rPr>
        <w:t>中标物业公司必须提前两个月做好电梯年检工作的申报及做自检报告，并向市相关单位办理电梯安全年检手续，保证取得《电扶梯运行许可证》，年检费、保险费、维护保养（含电梯维修配件）费用由中标物业公司负责</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上述资料均由中标物业公司提供采购人存档备查。采购人配合中标物业公司开展电梯年检、保</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险费等所需的材料提供。</w:t>
      </w:r>
      <w:r>
        <w:rPr>
          <w:rFonts w:hint="eastAsia" w:ascii="方正仿宋_GBK" w:hAnsi="方正仿宋_GBK" w:eastAsia="方正仿宋_GBK" w:cs="方正仿宋_GBK"/>
          <w:spacing w:val="6"/>
          <w:sz w:val="32"/>
          <w:szCs w:val="32"/>
          <w:lang w:val="en-US" w:eastAsia="zh-CN"/>
        </w:rPr>
        <w:t>负责每日巡检、填写上级部门所需日管控、周排查、月调度等资料并负责按时上传相关平台；负责电梯应急演练、相关培训；两院区配置特种设备安全员，负责并确保电梯正常运行；</w:t>
      </w:r>
    </w:p>
    <w:p w14:paraId="272B0F88">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1.2 综合维修服务</w:t>
      </w:r>
    </w:p>
    <w:p w14:paraId="405C41AC">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1.2.1 概括范围</w:t>
      </w:r>
    </w:p>
    <w:p w14:paraId="41C33E7C">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29" w:firstLine="483"/>
        <w:jc w:val="both"/>
        <w:textAlignment w:val="baseline"/>
        <w:rPr>
          <w:spacing w:val="6"/>
        </w:rPr>
      </w:pPr>
      <w:r>
        <w:rPr>
          <w:rFonts w:hint="eastAsia" w:ascii="方正仿宋_GBK" w:hAnsi="方正仿宋_GBK" w:eastAsia="方正仿宋_GBK" w:cs="方正仿宋_GBK"/>
          <w:spacing w:val="6"/>
          <w:sz w:val="32"/>
          <w:szCs w:val="32"/>
          <w:lang w:val="en-US" w:eastAsia="zh-CN"/>
        </w:rPr>
        <w:t>具有维修保障能力，保障医院水、电、暖、气、空调、木、门窗等设施正常使用。按要求提供足够的各技术工种专业人员，特殊工种须持证上岗，加强技术培训及人员管理，保证完成院内各种水、电、暖、气、空调、泥瓦、木工、焊、机械、空调、消防疏散指示灯、应急灯更换维修等工作，确保医院正常工作的顺利进行。</w:t>
      </w:r>
    </w:p>
    <w:p w14:paraId="72E4926F">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1.2.2 服务内容</w:t>
      </w:r>
    </w:p>
    <w:p w14:paraId="177F73B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保证医院业务范畴内供水、供电、供暖、供气、空调系统正常，零星修缮；院内门窗维修、调校，办公桌椅柜子木工维修；</w:t>
      </w:r>
    </w:p>
    <w:p w14:paraId="6B7A0D9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发电机房，高低压配电室，供热站、生活水箱房正常维修和保养；</w:t>
      </w:r>
    </w:p>
    <w:p w14:paraId="2110FD8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default"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墙面瓷砖，院内地面凹陷恢复，院内下水主管道清理和维修；</w:t>
      </w:r>
    </w:p>
    <w:p w14:paraId="76C8C76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门锁安装、维修；</w:t>
      </w:r>
    </w:p>
    <w:p w14:paraId="2B2DC33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卫浴设施维修更换；</w:t>
      </w:r>
    </w:p>
    <w:p w14:paraId="04B7341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开水器供水、供电、排水，定期巡查、维修；</w:t>
      </w:r>
    </w:p>
    <w:p w14:paraId="75A65B4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各科室安装小杂活；窗帘拆装；</w:t>
      </w:r>
    </w:p>
    <w:p w14:paraId="3893A6A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做好维修耗材件建档及被查制度，300 元以上材料费由院方支付；</w:t>
      </w:r>
    </w:p>
    <w:p w14:paraId="6F50094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做好医院相关节能管理工作。</w:t>
      </w:r>
    </w:p>
    <w:p w14:paraId="0AD52203">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1.3 机电设备应急事件处置</w:t>
      </w:r>
    </w:p>
    <w:p w14:paraId="6778099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确保维护的设备安全、经济、可靠、持续运行，定期保养延长设备的使用寿命；</w:t>
      </w:r>
    </w:p>
    <w:p w14:paraId="4496162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电工班人员必须持有上岗证。熟悉所有的电气设备性能、线路的分布走向，懂得电的线路维修和设备维修，及时排除故障使电器使用正常，动手能力强，一专多能，解决实际困难。</w:t>
      </w:r>
    </w:p>
    <w:p w14:paraId="44444E7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各种设备运行操作须有规范文件，各岗位均有职责和操作手册并有检查考评等各项制度；</w:t>
      </w:r>
    </w:p>
    <w:p w14:paraId="7D24B5F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针对涉及中标物业公司负责的机电管理服务范围内发生的各类突发事件，中标物业公司必须有完善的应急预案与处置措施；</w:t>
      </w:r>
    </w:p>
    <w:p w14:paraId="629FB9A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中标物业公司须承担机电设备保养维护费用及因人为因素、管理因素引起的设备故障、设备损坏或由此带来的其它事故责任；</w:t>
      </w:r>
    </w:p>
    <w:p w14:paraId="644E0747">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1.4 档案建立</w:t>
      </w:r>
    </w:p>
    <w:p w14:paraId="0B42DE1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档案建立与管理归属医院总务科运行及安全小组负责监督、协调、指导、考评中标服务方的工作；</w:t>
      </w:r>
    </w:p>
    <w:p w14:paraId="0489909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建立日常管理规章制度，健全各种设备、设施的运行维护计划、记录及机电管理内容的基础档案；</w:t>
      </w:r>
    </w:p>
    <w:p w14:paraId="4272DA4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分为收集、整理、归纳、利用四环节，包括施工及竣工验收阶段信息、建立委托关系阶段信息、 日常管理信息等；</w:t>
      </w:r>
    </w:p>
    <w:p w14:paraId="2FEAD85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要求中标物业公司按月份提交月总结报告及其附件，按季度提交人事类、制度类、日常管理文件类、管理类文件，相应文件按采购单位要求格式提供，并登记移交清单，进行汇总；</w:t>
      </w:r>
    </w:p>
    <w:p w14:paraId="1444537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建立医院机电管理服务档案并负责记载有关变更情况，并保管好采购单位提供的物业和有关资料，如因中标物业公司过失造成的丢失、损坏造成采购单位损失，应承担相应责任；</w:t>
      </w:r>
    </w:p>
    <w:p w14:paraId="18DAD46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中标物业公司按采购单位规定时间提交机电管理服务年度工作计划、月工作质量控制实施方案和工作总结。</w:t>
      </w:r>
    </w:p>
    <w:p w14:paraId="03724B06">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1.5 维修材料费用</w:t>
      </w:r>
    </w:p>
    <w:p w14:paraId="6B4C3BC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日常维修涉及的人工服务及需使用的工具等均由中标物业公司负责；</w:t>
      </w:r>
    </w:p>
    <w:p w14:paraId="6594EF9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房屋基础维护以及设施设备日常维修单次单件单价300 元以下（含300 元）的材料，例如：节水型水龙头、节能灯具、暖气配件、空调配件、电梯配件、瓷砖等，由物业管理公司承担；其它单次单件单价300 元以上的维修材料，中标物业公司需征得采购方审核同意后实施，费用由采购方承担。关于日常维修的界定如下：</w:t>
      </w:r>
    </w:p>
    <w:p w14:paraId="3D2B952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日常维修指零星维修或医疗设备附属保养及医疗辅助工程，不包含医疗设施设备：指及时修复小损小坏，以保持原来建筑完整或设备、设施正常运行状态为目的的日常养护，其工程量虽小，但关系到使用便利，服务性强，必须及时解决的小的故障的维修业务（不包含采购人新增设备设施或新加装所需耗材）。日常维修采购人不另行支付人工费。</w:t>
      </w:r>
    </w:p>
    <w:p w14:paraId="5F641B7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520"/>
        <w:textAlignment w:val="baseline"/>
        <w:rPr>
          <w:rFonts w:hint="eastAsia" w:ascii="方正黑体_GBK" w:hAnsi="方正黑体_GBK" w:eastAsia="方正黑体_GBK" w:cs="方正黑体_GBK"/>
          <w:b/>
          <w:bCs/>
          <w:spacing w:val="6"/>
          <w:sz w:val="32"/>
          <w:szCs w:val="32"/>
        </w:rPr>
      </w:pPr>
      <w:r>
        <w:rPr>
          <w:rFonts w:hint="eastAsia" w:ascii="方正黑体_GBK" w:hAnsi="方正黑体_GBK" w:eastAsia="方正黑体_GBK" w:cs="方正黑体_GBK"/>
          <w:b/>
          <w:bCs/>
          <w:spacing w:val="6"/>
          <w:sz w:val="32"/>
          <w:szCs w:val="32"/>
        </w:rPr>
        <w:t>2.保洁管理服务</w:t>
      </w:r>
    </w:p>
    <w:p w14:paraId="35843BED">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spacing w:val="6"/>
          <w:sz w:val="32"/>
          <w:szCs w:val="32"/>
        </w:rPr>
      </w:pPr>
      <w:r>
        <w:rPr>
          <w:rFonts w:hint="eastAsia" w:ascii="方正仿宋_GBK" w:hAnsi="方正仿宋_GBK" w:eastAsia="方正仿宋_GBK" w:cs="方正仿宋_GBK"/>
          <w:b/>
          <w:bCs/>
          <w:spacing w:val="6"/>
          <w:sz w:val="32"/>
          <w:szCs w:val="32"/>
        </w:rPr>
        <w:t>2.1 保洁管理服务范围和内容</w:t>
      </w:r>
    </w:p>
    <w:p w14:paraId="2D72416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 院内全方位立体的清洁卫生及环境美化工作；</w:t>
      </w:r>
    </w:p>
    <w:p w14:paraId="2857B2A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2.1.2 生活垃圾的收集、医疗垃圾收集；</w:t>
      </w:r>
    </w:p>
    <w:p w14:paraId="0E34E52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2.1.3 院内所有污水井、所有雨水井等下水道清淤、疏通及无害化处理；</w:t>
      </w:r>
    </w:p>
    <w:p w14:paraId="426CF1C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2.1.4 常规物业服务期内全院范围的定期专项清洁；</w:t>
      </w:r>
    </w:p>
    <w:p w14:paraId="26DDC33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2.1.5 医疗场所、病房、卫生间的专业清洁与消毒；手术室清洁卫生与表面消毒；</w:t>
      </w:r>
    </w:p>
    <w:p w14:paraId="66E80AD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2.1.6 因管理因素造成医院及周边环境污染，以及人身伤害或由此引发的其它事故，由中标物业公司承担全部责任；</w:t>
      </w:r>
    </w:p>
    <w:p w14:paraId="2CA48F0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2.1.7 与洗涤公司对接，做好对各科室的洗涤、消毒物品的下收下送；</w:t>
      </w:r>
    </w:p>
    <w:p w14:paraId="6BFB61F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2.1.8 中标物业公司需配备日常保洁用品及智慧扫地机器人、洒水车等智能设施，提升工作效率。</w:t>
      </w:r>
    </w:p>
    <w:p w14:paraId="22769229">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2.2 病区（含房间、通道楼梯、治疗室）</w:t>
      </w:r>
    </w:p>
    <w:p w14:paraId="0EDA2D5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经过保洁后，地面应无可见的任何垃圾杂物、积水及水滴，在正常光照条件下，应无明显的拖布擦拭痕迹。石材及 PVC 地面正常目视条件下抛光面应光亮平滑，无明显的凹凸不平与毛钝感。桌、柜、椅、门框、窗沿、墙面、天花、灯具、地毯等物品表面应无可视污渍、尘土、痕迹及异味，在物体转折处用手擦拭应无明显的尘埃。</w:t>
      </w:r>
    </w:p>
    <w:p w14:paraId="5B63DE3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2.2.1 地面无尘土、污迹、烟头、纸屑及垃圾，墙壁干净整洁，空调 口、排风口定期清洁，每两周一次；</w:t>
      </w:r>
    </w:p>
    <w:p w14:paraId="11005BA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2.2.2 家具、台面、沙发外表干净，无杂物，无污迹；</w:t>
      </w:r>
    </w:p>
    <w:p w14:paraId="5D01810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2.2.3 洗手间洗手池、水龙头、洗手池台面、镜面、大便器光亮，无污迹；</w:t>
      </w:r>
    </w:p>
    <w:p w14:paraId="14D9795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2.2.4 纸篓外表干净，每日清倒，污物量不得超过桶体的三分之二；</w:t>
      </w:r>
    </w:p>
    <w:p w14:paraId="15820B9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2.2.5 灯具表面清洁，每二周擦拭一次；</w:t>
      </w:r>
    </w:p>
    <w:p w14:paraId="3F98E1F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2.2.6 门、窗无尘土、污迹，玻璃窗每周擦拭一次（人力可达处）。</w:t>
      </w:r>
    </w:p>
    <w:p w14:paraId="0AFC297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b/>
          <w:bCs/>
          <w:spacing w:val="6"/>
          <w:sz w:val="32"/>
          <w:szCs w:val="32"/>
          <w:lang w:val="en-US" w:eastAsia="zh-CN"/>
        </w:rPr>
      </w:pPr>
      <w:r>
        <w:rPr>
          <w:rFonts w:hint="eastAsia" w:ascii="方正仿宋_GBK" w:hAnsi="方正仿宋_GBK" w:eastAsia="方正仿宋_GBK" w:cs="方正仿宋_GBK"/>
          <w:b/>
          <w:bCs/>
          <w:spacing w:val="6"/>
          <w:sz w:val="32"/>
          <w:szCs w:val="32"/>
          <w:lang w:val="en-US" w:eastAsia="zh-CN"/>
        </w:rPr>
        <w:t>2.3 公共部位</w:t>
      </w:r>
    </w:p>
    <w:p w14:paraId="7F7037A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2.3.1 地面无尘土、污迹、烟头、纸屑及垃圾，墙壁干净整洁，无乱张贴；发现墙体、天花、门窗等公共设施损坏及时上报；</w:t>
      </w:r>
    </w:p>
    <w:p w14:paraId="32E1637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2.3.2 地面干净，无积水、烟头、纸屑及垃圾，洗手池、水龙头、洗手池台面、镜面无污迹；门窗及隔板干净，无无尘土、污迹；</w:t>
      </w:r>
    </w:p>
    <w:p w14:paraId="7F1A844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spacing w:val="6"/>
        </w:rPr>
      </w:pPr>
      <w:r>
        <w:rPr>
          <w:rFonts w:hint="eastAsia" w:ascii="方正仿宋_GBK" w:hAnsi="方正仿宋_GBK" w:eastAsia="方正仿宋_GBK" w:cs="方正仿宋_GBK"/>
          <w:spacing w:val="6"/>
          <w:sz w:val="32"/>
          <w:szCs w:val="32"/>
          <w:lang w:val="en-US" w:eastAsia="zh-CN"/>
        </w:rPr>
        <w:t>2.3.3 雨污水井、盖：排水通畅，井盖没有明显裂纹或破损，井壁没有塌裂，明暗沟：沟体完好，明沟盖板齐全，沟渠通畅无阻塞；</w:t>
      </w:r>
    </w:p>
    <w:p w14:paraId="557A4390">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2.4 电梯厢内及电梯厅</w:t>
      </w:r>
    </w:p>
    <w:p w14:paraId="40DF9B0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2.4.1 厢体内光洁明亮，每日用不锈钢清洁油、粉擦拭；无尘土，无任何印迹；</w:t>
      </w:r>
    </w:p>
    <w:p w14:paraId="719160B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2.4.2 电梯轿厢内地垫需每日清洁更换；</w:t>
      </w:r>
    </w:p>
    <w:p w14:paraId="15C276A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2.4.3 照明灯具定期擦拭，每周一次；</w:t>
      </w:r>
    </w:p>
    <w:p w14:paraId="097DE35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2.4.4 必须专人负责，随时清理脏、污，对电梯异常及时上报。</w:t>
      </w:r>
    </w:p>
    <w:p w14:paraId="03D059CF">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2.5 卫生间</w:t>
      </w:r>
    </w:p>
    <w:p w14:paraId="746CDF9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2.5.1 每个公共卫生间均须定人定岗，确保卫生、干净、无异味；</w:t>
      </w:r>
    </w:p>
    <w:p w14:paraId="6552B0F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2.5.2 地面：无尘土、碎纸、垃圾、积水、污渍，凡含酸性的清洁剂不允许洒落在地面上；</w:t>
      </w:r>
    </w:p>
    <w:p w14:paraId="71A69DD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2.5.3 洗手池：池壁无污垢、痰迹、头发等不洁物；</w:t>
      </w:r>
    </w:p>
    <w:p w14:paraId="373063D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2.5.4水龙头：光亮洁净，无任何污垢；</w:t>
      </w:r>
    </w:p>
    <w:p w14:paraId="6B1EF44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2.5.5 烘手器：光亮洁净，无尘土、污迹、污垢；</w:t>
      </w:r>
    </w:p>
    <w:p w14:paraId="397911C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2.5.6 小便器：无尿碱、水锈印迹（黄渍）、无污垢，喷水嘴应洁净，除臭球每周更换一次；</w:t>
      </w:r>
    </w:p>
    <w:p w14:paraId="2CF8AB0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2.5.7 大便器：内外洁净，无大便痕迹，无污垢黄渍；</w:t>
      </w:r>
    </w:p>
    <w:p w14:paraId="397F009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2.5.8 手纸架：光亮洁净，无手印；</w:t>
      </w:r>
    </w:p>
    <w:p w14:paraId="7142BCB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2.5.9 纸篓：外表干净，每日清倒，污物量不能超过桶体 2/3，无破损；</w:t>
      </w:r>
    </w:p>
    <w:p w14:paraId="71C80CC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2.5.10 天花板：无尘土、污迹，定期清抹，每周一次；</w:t>
      </w:r>
    </w:p>
    <w:p w14:paraId="32A7E8B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2.5.11 隔板：无尘土、污迹、手印清抹；</w:t>
      </w:r>
    </w:p>
    <w:p w14:paraId="507C7B1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2.5.12 墙壁：无灰尘、污迹，无乱张贴（如有破损应及时上报）；</w:t>
      </w:r>
    </w:p>
    <w:p w14:paraId="0B551A5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spacing w:val="6"/>
        </w:rPr>
      </w:pPr>
      <w:r>
        <w:rPr>
          <w:rFonts w:hint="eastAsia" w:ascii="方正仿宋_GBK" w:hAnsi="方正仿宋_GBK" w:eastAsia="方正仿宋_GBK" w:cs="方正仿宋_GBK"/>
          <w:spacing w:val="6"/>
          <w:sz w:val="32"/>
          <w:szCs w:val="32"/>
          <w:lang w:val="en-US" w:eastAsia="zh-CN"/>
        </w:rPr>
        <w:t>2.5.13 清洁剂、清扫工具等按指定位置分类放置。</w:t>
      </w:r>
    </w:p>
    <w:p w14:paraId="11744F4D">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2.6 办公室</w:t>
      </w:r>
    </w:p>
    <w:p w14:paraId="5F3166C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2.6.1 地面：无灰尘、污迹、烟头、垃圾；</w:t>
      </w:r>
    </w:p>
    <w:p w14:paraId="61AEA18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2.6.2 墙壁：无灰尘、污迹，无乱张贴（如有破损应及时上报）；</w:t>
      </w:r>
    </w:p>
    <w:p w14:paraId="1A4F3B2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2.6.3 门：无灰尘、污迹，拉手洁净；</w:t>
      </w:r>
    </w:p>
    <w:p w14:paraId="75D6C34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2.6.4 窗：无灰尘、污迹，拉手洁净，每周擦拭一次（仅限人力可达处）；</w:t>
      </w:r>
    </w:p>
    <w:p w14:paraId="2655795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2.6.5 灯具：无灰尘、污迹，每月擦拭一次；</w:t>
      </w:r>
    </w:p>
    <w:p w14:paraId="0B29EC3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2.6.6 洗手盆：无污迹，龙头无污垢；</w:t>
      </w:r>
    </w:p>
    <w:p w14:paraId="22FEBBE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2.6.7 垃圾桶：外表干净，每日清倒，污物量不能超过桶体 2/3；</w:t>
      </w:r>
    </w:p>
    <w:p w14:paraId="31DFBFB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2.6.8 家用电器：洁净，无污迹；</w:t>
      </w:r>
    </w:p>
    <w:p w14:paraId="328C11C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2.6.9 柜：洁净；</w:t>
      </w:r>
    </w:p>
    <w:p w14:paraId="57B2461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2.6.10 清洁频次不少于 2 次/周。</w:t>
      </w:r>
    </w:p>
    <w:p w14:paraId="05D974D4">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spacing w:val="6"/>
          <w:sz w:val="32"/>
          <w:szCs w:val="32"/>
        </w:rPr>
      </w:pPr>
      <w:r>
        <w:rPr>
          <w:rFonts w:hint="eastAsia" w:ascii="方正楷体_GBK" w:hAnsi="方正楷体_GBK" w:eastAsia="方正楷体_GBK" w:cs="方正楷体_GBK"/>
          <w:b/>
          <w:bCs/>
          <w:spacing w:val="6"/>
          <w:sz w:val="32"/>
          <w:szCs w:val="32"/>
        </w:rPr>
        <w:t>2.7 会议室</w:t>
      </w:r>
    </w:p>
    <w:p w14:paraId="05B6DA5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2.7.1 地面：无灰尘、污迹、烟头、垃圾；</w:t>
      </w:r>
    </w:p>
    <w:p w14:paraId="7B6AD75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2.7.2 墙壁：无灰尘、污迹；无乱张贴（如有破损应及时上报）；</w:t>
      </w:r>
    </w:p>
    <w:p w14:paraId="373B5AA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2.7.3 门：无灰尘、污迹，拉手洁净；</w:t>
      </w:r>
    </w:p>
    <w:p w14:paraId="7474911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2.7.4 窗：无灰尘、污迹，拉手洁净，每周擦拭一次（仅限人力可达处）；</w:t>
      </w:r>
    </w:p>
    <w:p w14:paraId="03D08ED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2.7.5 灯具：无灰尘、污迹，每月擦拭一次；</w:t>
      </w:r>
    </w:p>
    <w:p w14:paraId="42EA4BE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2.7.6 沙发、座椅：无灰尘、无污迹；</w:t>
      </w:r>
    </w:p>
    <w:p w14:paraId="1D8E9E3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2.7.7 柜、装饰物：洁净；</w:t>
      </w:r>
    </w:p>
    <w:p w14:paraId="0CCF5DA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2.7.8 家用电器：洁净，无污迹，电线、开关：洁净；</w:t>
      </w:r>
    </w:p>
    <w:p w14:paraId="4F69C52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2.7.9 垃圾桶：外表干净，每日清倒，污物量不能超过桶体 2/3。</w:t>
      </w:r>
    </w:p>
    <w:p w14:paraId="4E3B4F0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2.8 医疗废物管理</w:t>
      </w:r>
    </w:p>
    <w:p w14:paraId="7A93AD2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负责到全院各科室、病区、与科室、病区医院人员进行医疗废物袋的数量交接及签字确认工作；负责各科室、病区已移交的医疗废物的运送及称重；</w:t>
      </w:r>
    </w:p>
    <w:p w14:paraId="2F89958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2.8.1 按院感要求，协助病区护士做好病区内医疗废物的交接、登记、转运工作；</w:t>
      </w:r>
    </w:p>
    <w:p w14:paraId="15421E0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2.8.2 按照医疗废物追溯管理要求；</w:t>
      </w:r>
    </w:p>
    <w:p w14:paraId="0815254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spacing w:val="6"/>
        </w:rPr>
      </w:pPr>
      <w:r>
        <w:rPr>
          <w:rFonts w:hint="eastAsia" w:ascii="方正仿宋_GBK" w:hAnsi="方正仿宋_GBK" w:eastAsia="方正仿宋_GBK" w:cs="方正仿宋_GBK"/>
          <w:spacing w:val="6"/>
          <w:sz w:val="32"/>
          <w:szCs w:val="32"/>
          <w:lang w:val="en-US" w:eastAsia="zh-CN"/>
        </w:rPr>
        <w:t>2.8.3 将已与科室进行交接并在手持机上签字确认的医疗废物移交到医院“ 医疗废物暂存处 ”并进行数量确认及称重、签字确认的工作</w:t>
      </w:r>
      <w:r>
        <w:rPr>
          <w:spacing w:val="6"/>
        </w:rPr>
        <w:t>。</w:t>
      </w:r>
    </w:p>
    <w:p w14:paraId="555AB737">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2.9 各类物体清洁和消毒</w:t>
      </w:r>
    </w:p>
    <w:p w14:paraId="670DBAD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2.9.1 消毒原则：严格按照院感要求执行。清洁区、半污染区和污染区应分别进行常规清洁、消毒处理。清洁区和污染区的消毒要求、方法和重点有所不同，若清洁区与污染区无明显界限，按污染区处理；</w:t>
      </w:r>
    </w:p>
    <w:p w14:paraId="4044207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2.9.2 中标物业公司须按照院感标准对服务人员进行专业的岗前培训，作业流程符合公共环境灭菌消毒作业要求，作业人员经考核合格后才能上岗；</w:t>
      </w:r>
    </w:p>
    <w:p w14:paraId="2EC690B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2.9.3 各种物体表面的清洁和消毒：</w:t>
      </w:r>
    </w:p>
    <w:p w14:paraId="28C0D28F">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spacing w:val="6"/>
        </w:rPr>
        <w:sectPr>
          <w:pgSz w:w="11906" w:h="16839"/>
          <w:pgMar w:top="1984" w:right="1531" w:bottom="1701" w:left="1531" w:header="0" w:footer="0" w:gutter="0"/>
          <w:cols w:space="720" w:num="1"/>
        </w:sectPr>
      </w:pPr>
    </w:p>
    <w:p w14:paraId="6BDE14B3">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ascii="Arial"/>
          <w:spacing w:val="6"/>
          <w:sz w:val="2"/>
        </w:rPr>
      </w:pPr>
    </w:p>
    <w:tbl>
      <w:tblPr>
        <w:tblStyle w:val="3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2005"/>
        <w:gridCol w:w="2126"/>
        <w:gridCol w:w="1522"/>
        <w:gridCol w:w="1895"/>
      </w:tblGrid>
      <w:tr w14:paraId="0D45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56" w:type="dxa"/>
            <w:vAlign w:val="top"/>
          </w:tcPr>
          <w:p w14:paraId="3183D2FE">
            <w:pPr>
              <w:pStyle w:val="38"/>
              <w:keepNext w:val="0"/>
              <w:keepLines w:val="0"/>
              <w:pageBreakBefore w:val="0"/>
              <w:widowControl/>
              <w:kinsoku w:val="0"/>
              <w:wordWrap/>
              <w:overflowPunct/>
              <w:topLinePunct w:val="0"/>
              <w:autoSpaceDE w:val="0"/>
              <w:autoSpaceDN w:val="0"/>
              <w:bidi w:val="0"/>
              <w:adjustRightInd w:val="0"/>
              <w:snapToGrid w:val="0"/>
              <w:spacing w:before="120" w:line="620" w:lineRule="exact"/>
              <w:ind w:left="259"/>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总项</w:t>
            </w:r>
          </w:p>
        </w:tc>
        <w:tc>
          <w:tcPr>
            <w:tcW w:w="2005" w:type="dxa"/>
            <w:vAlign w:val="top"/>
          </w:tcPr>
          <w:p w14:paraId="04EDD020">
            <w:pPr>
              <w:pStyle w:val="38"/>
              <w:keepNext w:val="0"/>
              <w:keepLines w:val="0"/>
              <w:pageBreakBefore w:val="0"/>
              <w:widowControl/>
              <w:kinsoku w:val="0"/>
              <w:wordWrap/>
              <w:overflowPunct/>
              <w:topLinePunct w:val="0"/>
              <w:autoSpaceDE w:val="0"/>
              <w:autoSpaceDN w:val="0"/>
              <w:bidi w:val="0"/>
              <w:adjustRightInd w:val="0"/>
              <w:snapToGrid w:val="0"/>
              <w:spacing w:before="120" w:line="620" w:lineRule="exact"/>
              <w:ind w:left="777"/>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分项</w:t>
            </w:r>
          </w:p>
        </w:tc>
        <w:tc>
          <w:tcPr>
            <w:tcW w:w="2126" w:type="dxa"/>
            <w:vAlign w:val="top"/>
          </w:tcPr>
          <w:p w14:paraId="66EFA117">
            <w:pPr>
              <w:pStyle w:val="38"/>
              <w:keepNext w:val="0"/>
              <w:keepLines w:val="0"/>
              <w:pageBreakBefore w:val="0"/>
              <w:widowControl/>
              <w:kinsoku w:val="0"/>
              <w:wordWrap/>
              <w:overflowPunct/>
              <w:topLinePunct w:val="0"/>
              <w:autoSpaceDE w:val="0"/>
              <w:autoSpaceDN w:val="0"/>
              <w:bidi w:val="0"/>
              <w:adjustRightInd w:val="0"/>
              <w:snapToGrid w:val="0"/>
              <w:spacing w:before="121" w:line="620" w:lineRule="exact"/>
              <w:ind w:left="507"/>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处理原则</w:t>
            </w:r>
          </w:p>
        </w:tc>
        <w:tc>
          <w:tcPr>
            <w:tcW w:w="1522" w:type="dxa"/>
            <w:vAlign w:val="top"/>
          </w:tcPr>
          <w:p w14:paraId="3188D3DC">
            <w:pPr>
              <w:pStyle w:val="38"/>
              <w:keepNext w:val="0"/>
              <w:keepLines w:val="0"/>
              <w:pageBreakBefore w:val="0"/>
              <w:widowControl/>
              <w:kinsoku w:val="0"/>
              <w:wordWrap/>
              <w:overflowPunct/>
              <w:topLinePunct w:val="0"/>
              <w:autoSpaceDE w:val="0"/>
              <w:autoSpaceDN w:val="0"/>
              <w:bidi w:val="0"/>
              <w:adjustRightInd w:val="0"/>
              <w:snapToGrid w:val="0"/>
              <w:spacing w:before="121" w:line="620" w:lineRule="exact"/>
              <w:ind w:left="409"/>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内容标准</w:t>
            </w:r>
          </w:p>
        </w:tc>
        <w:tc>
          <w:tcPr>
            <w:tcW w:w="1895" w:type="dxa"/>
            <w:vAlign w:val="top"/>
          </w:tcPr>
          <w:p w14:paraId="56CB0CD3">
            <w:pPr>
              <w:pStyle w:val="38"/>
              <w:keepNext w:val="0"/>
              <w:keepLines w:val="0"/>
              <w:pageBreakBefore w:val="0"/>
              <w:widowControl/>
              <w:kinsoku w:val="0"/>
              <w:wordWrap/>
              <w:overflowPunct/>
              <w:topLinePunct w:val="0"/>
              <w:autoSpaceDE w:val="0"/>
              <w:autoSpaceDN w:val="0"/>
              <w:bidi w:val="0"/>
              <w:adjustRightInd w:val="0"/>
              <w:snapToGrid w:val="0"/>
              <w:spacing w:before="120" w:line="620" w:lineRule="exact"/>
              <w:ind w:left="118"/>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清洁和消毒周期</w:t>
            </w:r>
          </w:p>
        </w:tc>
      </w:tr>
      <w:tr w14:paraId="161F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6" w:type="dxa"/>
            <w:vMerge w:val="restart"/>
            <w:tcBorders>
              <w:bottom w:val="nil"/>
            </w:tcBorders>
            <w:vAlign w:val="top"/>
          </w:tcPr>
          <w:p w14:paraId="01C267D7">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2718FFB2">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7AB10100">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left="252"/>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地面</w:t>
            </w:r>
          </w:p>
        </w:tc>
        <w:tc>
          <w:tcPr>
            <w:tcW w:w="2005" w:type="dxa"/>
            <w:vAlign w:val="top"/>
          </w:tcPr>
          <w:p w14:paraId="3EC197A1">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无明显污染</w:t>
            </w:r>
          </w:p>
        </w:tc>
        <w:tc>
          <w:tcPr>
            <w:tcW w:w="2126" w:type="dxa"/>
            <w:vAlign w:val="top"/>
          </w:tcPr>
          <w:p w14:paraId="5DE75834">
            <w:pPr>
              <w:pStyle w:val="38"/>
              <w:keepNext w:val="0"/>
              <w:keepLines w:val="0"/>
              <w:pageBreakBefore w:val="0"/>
              <w:widowControl/>
              <w:kinsoku w:val="0"/>
              <w:wordWrap/>
              <w:overflowPunct/>
              <w:topLinePunct w:val="0"/>
              <w:autoSpaceDE w:val="0"/>
              <w:autoSpaceDN w:val="0"/>
              <w:bidi w:val="0"/>
              <w:adjustRightInd w:val="0"/>
              <w:snapToGrid w:val="0"/>
              <w:spacing w:before="114" w:line="620" w:lineRule="exact"/>
              <w:ind w:right="12"/>
              <w:jc w:val="both"/>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湿式清扫，及时清理保洁</w:t>
            </w:r>
          </w:p>
        </w:tc>
        <w:tc>
          <w:tcPr>
            <w:tcW w:w="1522" w:type="dxa"/>
            <w:vMerge w:val="restart"/>
            <w:tcBorders>
              <w:bottom w:val="nil"/>
            </w:tcBorders>
            <w:vAlign w:val="top"/>
          </w:tcPr>
          <w:p w14:paraId="6D4C4762">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1FBC954E">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firstLine="664" w:firstLineChars="20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清洁</w:t>
            </w:r>
          </w:p>
        </w:tc>
        <w:tc>
          <w:tcPr>
            <w:tcW w:w="1895" w:type="dxa"/>
            <w:vMerge w:val="restart"/>
            <w:tcBorders>
              <w:bottom w:val="nil"/>
            </w:tcBorders>
            <w:vAlign w:val="top"/>
          </w:tcPr>
          <w:p w14:paraId="2B98AF1A">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right="45"/>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2次/日，适时清理</w:t>
            </w:r>
          </w:p>
        </w:tc>
      </w:tr>
      <w:tr w14:paraId="03DD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6" w:type="dxa"/>
            <w:vMerge w:val="continue"/>
            <w:tcBorders>
              <w:top w:val="nil"/>
            </w:tcBorders>
            <w:vAlign w:val="top"/>
          </w:tcPr>
          <w:p w14:paraId="203C5A7E">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tc>
        <w:tc>
          <w:tcPr>
            <w:tcW w:w="2005" w:type="dxa"/>
            <w:vAlign w:val="top"/>
          </w:tcPr>
          <w:p w14:paraId="488ACAC4">
            <w:pPr>
              <w:pStyle w:val="38"/>
              <w:keepNext w:val="0"/>
              <w:keepLines w:val="0"/>
              <w:pageBreakBefore w:val="0"/>
              <w:widowControl/>
              <w:kinsoku w:val="0"/>
              <w:wordWrap/>
              <w:overflowPunct/>
              <w:topLinePunct w:val="0"/>
              <w:autoSpaceDE w:val="0"/>
              <w:autoSpaceDN w:val="0"/>
              <w:bidi w:val="0"/>
              <w:adjustRightInd w:val="0"/>
              <w:snapToGrid w:val="0"/>
              <w:spacing w:before="117" w:line="620" w:lineRule="exact"/>
              <w:ind w:left="545"/>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受到污染</w:t>
            </w:r>
          </w:p>
        </w:tc>
        <w:tc>
          <w:tcPr>
            <w:tcW w:w="2126" w:type="dxa"/>
            <w:vAlign w:val="top"/>
          </w:tcPr>
          <w:p w14:paraId="14AF7A48">
            <w:pPr>
              <w:pStyle w:val="38"/>
              <w:keepNext w:val="0"/>
              <w:keepLines w:val="0"/>
              <w:pageBreakBefore w:val="0"/>
              <w:widowControl/>
              <w:kinsoku w:val="0"/>
              <w:wordWrap/>
              <w:overflowPunct/>
              <w:topLinePunct w:val="0"/>
              <w:autoSpaceDE w:val="0"/>
              <w:autoSpaceDN w:val="0"/>
              <w:bidi w:val="0"/>
              <w:adjustRightInd w:val="0"/>
              <w:snapToGrid w:val="0"/>
              <w:spacing w:before="116"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消毒溶液擦洗</w:t>
            </w:r>
          </w:p>
        </w:tc>
        <w:tc>
          <w:tcPr>
            <w:tcW w:w="1522" w:type="dxa"/>
            <w:vMerge w:val="continue"/>
            <w:tcBorders>
              <w:top w:val="nil"/>
            </w:tcBorders>
            <w:vAlign w:val="top"/>
          </w:tcPr>
          <w:p w14:paraId="22D50BC8">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tc>
        <w:tc>
          <w:tcPr>
            <w:tcW w:w="1895" w:type="dxa"/>
            <w:vMerge w:val="continue"/>
            <w:tcBorders>
              <w:top w:val="nil"/>
            </w:tcBorders>
            <w:vAlign w:val="top"/>
          </w:tcPr>
          <w:p w14:paraId="4FCD9204">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tc>
      </w:tr>
      <w:tr w14:paraId="6F85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56" w:type="dxa"/>
            <w:vAlign w:val="top"/>
          </w:tcPr>
          <w:p w14:paraId="4B65A151">
            <w:pPr>
              <w:pStyle w:val="38"/>
              <w:keepNext w:val="0"/>
              <w:keepLines w:val="0"/>
              <w:pageBreakBefore w:val="0"/>
              <w:widowControl/>
              <w:kinsoku w:val="0"/>
              <w:wordWrap/>
              <w:overflowPunct/>
              <w:topLinePunct w:val="0"/>
              <w:autoSpaceDE w:val="0"/>
              <w:autoSpaceDN w:val="0"/>
              <w:bidi w:val="0"/>
              <w:adjustRightInd w:val="0"/>
              <w:snapToGrid w:val="0"/>
              <w:spacing w:before="117" w:line="620" w:lineRule="exact"/>
              <w:ind w:left="251"/>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墙面</w:t>
            </w:r>
          </w:p>
        </w:tc>
        <w:tc>
          <w:tcPr>
            <w:tcW w:w="2005" w:type="dxa"/>
            <w:vAlign w:val="top"/>
          </w:tcPr>
          <w:p w14:paraId="4CD37866">
            <w:pPr>
              <w:pStyle w:val="38"/>
              <w:keepNext w:val="0"/>
              <w:keepLines w:val="0"/>
              <w:pageBreakBefore w:val="0"/>
              <w:widowControl/>
              <w:kinsoku w:val="0"/>
              <w:wordWrap/>
              <w:overflowPunct/>
              <w:topLinePunct w:val="0"/>
              <w:autoSpaceDE w:val="0"/>
              <w:autoSpaceDN w:val="0"/>
              <w:bidi w:val="0"/>
              <w:adjustRightInd w:val="0"/>
              <w:snapToGrid w:val="0"/>
              <w:spacing w:before="117" w:line="620" w:lineRule="exact"/>
              <w:ind w:left="802"/>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同上</w:t>
            </w:r>
          </w:p>
        </w:tc>
        <w:tc>
          <w:tcPr>
            <w:tcW w:w="2126" w:type="dxa"/>
            <w:vAlign w:val="top"/>
          </w:tcPr>
          <w:p w14:paraId="0D1F7209">
            <w:pPr>
              <w:pStyle w:val="38"/>
              <w:keepNext w:val="0"/>
              <w:keepLines w:val="0"/>
              <w:pageBreakBefore w:val="0"/>
              <w:widowControl/>
              <w:kinsoku w:val="0"/>
              <w:wordWrap/>
              <w:overflowPunct/>
              <w:topLinePunct w:val="0"/>
              <w:autoSpaceDE w:val="0"/>
              <w:autoSpaceDN w:val="0"/>
              <w:bidi w:val="0"/>
              <w:adjustRightInd w:val="0"/>
              <w:snapToGrid w:val="0"/>
              <w:spacing w:before="116" w:line="620" w:lineRule="exact"/>
              <w:ind w:left="272"/>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清水或消毒液</w:t>
            </w:r>
          </w:p>
        </w:tc>
        <w:tc>
          <w:tcPr>
            <w:tcW w:w="1522" w:type="dxa"/>
            <w:vAlign w:val="top"/>
          </w:tcPr>
          <w:p w14:paraId="0BC9A758">
            <w:pPr>
              <w:pStyle w:val="38"/>
              <w:keepNext w:val="0"/>
              <w:keepLines w:val="0"/>
              <w:pageBreakBefore w:val="0"/>
              <w:widowControl/>
              <w:kinsoku w:val="0"/>
              <w:wordWrap/>
              <w:overflowPunct/>
              <w:topLinePunct w:val="0"/>
              <w:autoSpaceDE w:val="0"/>
              <w:autoSpaceDN w:val="0"/>
              <w:bidi w:val="0"/>
              <w:adjustRightInd w:val="0"/>
              <w:snapToGrid w:val="0"/>
              <w:spacing w:before="117" w:line="620" w:lineRule="exact"/>
              <w:ind w:left="65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同上</w:t>
            </w:r>
          </w:p>
        </w:tc>
        <w:tc>
          <w:tcPr>
            <w:tcW w:w="1895" w:type="dxa"/>
            <w:vAlign w:val="top"/>
          </w:tcPr>
          <w:p w14:paraId="34EC20ED">
            <w:pPr>
              <w:pStyle w:val="38"/>
              <w:keepNext w:val="0"/>
              <w:keepLines w:val="0"/>
              <w:pageBreakBefore w:val="0"/>
              <w:widowControl/>
              <w:kinsoku w:val="0"/>
              <w:wordWrap/>
              <w:overflowPunct/>
              <w:topLinePunct w:val="0"/>
              <w:autoSpaceDE w:val="0"/>
              <w:autoSpaceDN w:val="0"/>
              <w:bidi w:val="0"/>
              <w:adjustRightInd w:val="0"/>
              <w:snapToGrid w:val="0"/>
              <w:spacing w:before="117" w:line="620" w:lineRule="exact"/>
              <w:ind w:left="55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1 次/周</w:t>
            </w:r>
          </w:p>
        </w:tc>
      </w:tr>
      <w:tr w14:paraId="7D42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56" w:type="dxa"/>
            <w:vAlign w:val="top"/>
          </w:tcPr>
          <w:p w14:paraId="776741E0">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right="115"/>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室内物品表面</w:t>
            </w:r>
          </w:p>
        </w:tc>
        <w:tc>
          <w:tcPr>
            <w:tcW w:w="2005" w:type="dxa"/>
            <w:vAlign w:val="top"/>
          </w:tcPr>
          <w:p w14:paraId="21EEFB2B">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right="445"/>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办公用品、病区用品</w:t>
            </w:r>
          </w:p>
        </w:tc>
        <w:tc>
          <w:tcPr>
            <w:tcW w:w="2126" w:type="dxa"/>
            <w:vAlign w:val="top"/>
          </w:tcPr>
          <w:p w14:paraId="48024944">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right="132"/>
              <w:jc w:val="lef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湿式清洁或消毒液</w:t>
            </w:r>
          </w:p>
        </w:tc>
        <w:tc>
          <w:tcPr>
            <w:tcW w:w="1522" w:type="dxa"/>
            <w:vAlign w:val="top"/>
          </w:tcPr>
          <w:p w14:paraId="27D007A2">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right="5"/>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清洁，防止病原菌扩散 100%</w:t>
            </w:r>
          </w:p>
        </w:tc>
        <w:tc>
          <w:tcPr>
            <w:tcW w:w="1895" w:type="dxa"/>
            <w:vAlign w:val="top"/>
          </w:tcPr>
          <w:p w14:paraId="39E42C8E">
            <w:pPr>
              <w:pStyle w:val="38"/>
              <w:keepNext w:val="0"/>
              <w:keepLines w:val="0"/>
              <w:pageBreakBefore w:val="0"/>
              <w:widowControl/>
              <w:kinsoku w:val="0"/>
              <w:wordWrap/>
              <w:overflowPunct/>
              <w:topLinePunct w:val="0"/>
              <w:autoSpaceDE w:val="0"/>
              <w:autoSpaceDN w:val="0"/>
              <w:bidi w:val="0"/>
              <w:adjustRightInd w:val="0"/>
              <w:snapToGrid w:val="0"/>
              <w:spacing w:before="118" w:line="620" w:lineRule="exact"/>
              <w:ind w:left="123"/>
              <w:textAlignment w:val="baseline"/>
              <w:rPr>
                <w:rFonts w:hint="default"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普通病房1次/日，特殊科室 2次/日</w:t>
            </w:r>
          </w:p>
        </w:tc>
      </w:tr>
      <w:tr w14:paraId="28E2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56" w:type="dxa"/>
            <w:vMerge w:val="restart"/>
            <w:tcBorders>
              <w:bottom w:val="nil"/>
            </w:tcBorders>
            <w:vAlign w:val="top"/>
          </w:tcPr>
          <w:p w14:paraId="28C59D57">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63F2AFF0">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left="157" w:right="115" w:hanging="24"/>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其他物品表面</w:t>
            </w:r>
          </w:p>
        </w:tc>
        <w:tc>
          <w:tcPr>
            <w:tcW w:w="2005" w:type="dxa"/>
            <w:vAlign w:val="top"/>
          </w:tcPr>
          <w:p w14:paraId="138EE999">
            <w:pPr>
              <w:pStyle w:val="38"/>
              <w:keepNext w:val="0"/>
              <w:keepLines w:val="0"/>
              <w:pageBreakBefore w:val="0"/>
              <w:widowControl/>
              <w:kinsoku w:val="0"/>
              <w:wordWrap/>
              <w:overflowPunct/>
              <w:topLinePunct w:val="0"/>
              <w:autoSpaceDE w:val="0"/>
              <w:autoSpaceDN w:val="0"/>
              <w:bidi w:val="0"/>
              <w:adjustRightInd w:val="0"/>
              <w:snapToGrid w:val="0"/>
              <w:spacing w:before="118" w:line="620" w:lineRule="exact"/>
              <w:ind w:left="197" w:right="85" w:hanging="12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门把手、水龙头、门窗、洗手池等</w:t>
            </w:r>
          </w:p>
        </w:tc>
        <w:tc>
          <w:tcPr>
            <w:tcW w:w="2126" w:type="dxa"/>
            <w:vAlign w:val="top"/>
          </w:tcPr>
          <w:p w14:paraId="5A80713F">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firstLine="332" w:firstLineChars="10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033CB382">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firstLine="332" w:firstLineChars="10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保持清洁</w:t>
            </w:r>
          </w:p>
        </w:tc>
        <w:tc>
          <w:tcPr>
            <w:tcW w:w="1522" w:type="dxa"/>
            <w:vMerge w:val="restart"/>
            <w:tcBorders>
              <w:bottom w:val="nil"/>
            </w:tcBorders>
            <w:vAlign w:val="top"/>
          </w:tcPr>
          <w:p w14:paraId="792002F9">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4F3B666B">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48F08450">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left="29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同清洁标准</w:t>
            </w:r>
          </w:p>
        </w:tc>
        <w:tc>
          <w:tcPr>
            <w:tcW w:w="1895" w:type="dxa"/>
            <w:vMerge w:val="restart"/>
            <w:tcBorders>
              <w:bottom w:val="nil"/>
            </w:tcBorders>
            <w:vAlign w:val="top"/>
          </w:tcPr>
          <w:p w14:paraId="3726113B">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p>
          <w:p w14:paraId="5704E3A1">
            <w:pPr>
              <w:pStyle w:val="38"/>
              <w:keepNext w:val="0"/>
              <w:keepLines w:val="0"/>
              <w:pageBreakBefore w:val="0"/>
              <w:widowControl/>
              <w:kinsoku w:val="0"/>
              <w:wordWrap/>
              <w:overflowPunct/>
              <w:topLinePunct w:val="0"/>
              <w:autoSpaceDE w:val="0"/>
              <w:autoSpaceDN w:val="0"/>
              <w:bidi w:val="0"/>
              <w:adjustRightInd w:val="0"/>
              <w:snapToGrid w:val="0"/>
              <w:spacing w:before="78" w:line="620" w:lineRule="exact"/>
              <w:ind w:left="362" w:right="105" w:hanging="236"/>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消毒1次/日保持适时清理</w:t>
            </w:r>
          </w:p>
        </w:tc>
      </w:tr>
      <w:tr w14:paraId="012E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56" w:type="dxa"/>
            <w:vMerge w:val="continue"/>
            <w:tcBorders>
              <w:top w:val="nil"/>
            </w:tcBorders>
            <w:vAlign w:val="top"/>
          </w:tcPr>
          <w:p w14:paraId="46CA9CAB">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ascii="Arial"/>
                <w:spacing w:val="6"/>
                <w:sz w:val="21"/>
              </w:rPr>
            </w:pPr>
          </w:p>
        </w:tc>
        <w:tc>
          <w:tcPr>
            <w:tcW w:w="2005" w:type="dxa"/>
            <w:vAlign w:val="top"/>
          </w:tcPr>
          <w:p w14:paraId="010D0B39">
            <w:pPr>
              <w:pStyle w:val="38"/>
              <w:keepNext w:val="0"/>
              <w:keepLines w:val="0"/>
              <w:pageBreakBefore w:val="0"/>
              <w:widowControl/>
              <w:kinsoku w:val="0"/>
              <w:wordWrap/>
              <w:overflowPunct/>
              <w:topLinePunct w:val="0"/>
              <w:autoSpaceDE w:val="0"/>
              <w:autoSpaceDN w:val="0"/>
              <w:bidi w:val="0"/>
              <w:adjustRightInd w:val="0"/>
              <w:snapToGrid w:val="0"/>
              <w:spacing w:before="118" w:line="620" w:lineRule="exact"/>
              <w:ind w:left="197" w:right="85" w:hanging="120"/>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公共卫生间、便池</w:t>
            </w:r>
          </w:p>
        </w:tc>
        <w:tc>
          <w:tcPr>
            <w:tcW w:w="2126" w:type="dxa"/>
            <w:vAlign w:val="top"/>
          </w:tcPr>
          <w:p w14:paraId="0AEC841D">
            <w:pPr>
              <w:pStyle w:val="38"/>
              <w:keepNext w:val="0"/>
              <w:keepLines w:val="0"/>
              <w:pageBreakBefore w:val="0"/>
              <w:widowControl/>
              <w:kinsoku w:val="0"/>
              <w:wordWrap/>
              <w:overflowPunct/>
              <w:topLinePunct w:val="0"/>
              <w:autoSpaceDE w:val="0"/>
              <w:autoSpaceDN w:val="0"/>
              <w:bidi w:val="0"/>
              <w:adjustRightInd w:val="0"/>
              <w:snapToGrid w:val="0"/>
              <w:spacing w:before="118" w:line="620" w:lineRule="exact"/>
              <w:ind w:left="372" w:leftChars="155" w:right="85" w:firstLine="142" w:firstLineChars="43"/>
              <w:textAlignment w:val="baseline"/>
              <w:rPr>
                <w:rFonts w:hint="eastAsia" w:ascii="方正仿宋_GBK" w:hAnsi="方正仿宋_GBK" w:eastAsia="方正仿宋_GBK" w:cs="方正仿宋_GBK"/>
                <w:snapToGrid w:val="0"/>
                <w:color w:val="000000"/>
                <w:spacing w:val="6"/>
                <w:kern w:val="0"/>
                <w:sz w:val="32"/>
                <w:szCs w:val="32"/>
                <w:lang w:val="en-US" w:eastAsia="zh-CN" w:bidi="ar-SA"/>
              </w:rPr>
            </w:pPr>
            <w:r>
              <w:rPr>
                <w:rFonts w:hint="eastAsia" w:ascii="方正仿宋_GBK" w:hAnsi="方正仿宋_GBK" w:eastAsia="方正仿宋_GBK" w:cs="方正仿宋_GBK"/>
                <w:snapToGrid w:val="0"/>
                <w:color w:val="000000"/>
                <w:spacing w:val="6"/>
                <w:kern w:val="0"/>
                <w:sz w:val="32"/>
                <w:szCs w:val="32"/>
                <w:lang w:val="en-US" w:eastAsia="zh-CN" w:bidi="ar-SA"/>
              </w:rPr>
              <w:t>随时清洁</w:t>
            </w:r>
          </w:p>
        </w:tc>
        <w:tc>
          <w:tcPr>
            <w:tcW w:w="1522" w:type="dxa"/>
            <w:vMerge w:val="continue"/>
            <w:tcBorders>
              <w:top w:val="nil"/>
            </w:tcBorders>
            <w:vAlign w:val="top"/>
          </w:tcPr>
          <w:p w14:paraId="53C5A446">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ascii="Arial"/>
                <w:spacing w:val="6"/>
                <w:sz w:val="21"/>
              </w:rPr>
            </w:pPr>
          </w:p>
        </w:tc>
        <w:tc>
          <w:tcPr>
            <w:tcW w:w="1895" w:type="dxa"/>
            <w:vMerge w:val="continue"/>
            <w:tcBorders>
              <w:top w:val="nil"/>
            </w:tcBorders>
            <w:vAlign w:val="top"/>
          </w:tcPr>
          <w:p w14:paraId="3D024DF1">
            <w:pPr>
              <w:keepNext w:val="0"/>
              <w:keepLines w:val="0"/>
              <w:pageBreakBefore w:val="0"/>
              <w:widowControl/>
              <w:kinsoku w:val="0"/>
              <w:wordWrap/>
              <w:overflowPunct/>
              <w:topLinePunct w:val="0"/>
              <w:autoSpaceDE w:val="0"/>
              <w:autoSpaceDN w:val="0"/>
              <w:bidi w:val="0"/>
              <w:adjustRightInd w:val="0"/>
              <w:snapToGrid w:val="0"/>
              <w:spacing w:line="620" w:lineRule="exact"/>
              <w:textAlignment w:val="baseline"/>
              <w:rPr>
                <w:rFonts w:ascii="Arial"/>
                <w:spacing w:val="6"/>
                <w:sz w:val="21"/>
              </w:rPr>
            </w:pPr>
          </w:p>
        </w:tc>
      </w:tr>
    </w:tbl>
    <w:p w14:paraId="7EB2820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firstLine="664" w:firstLineChars="200"/>
        <w:textAlignment w:val="baseline"/>
        <w:rPr>
          <w:rFonts w:hint="eastAsia" w:ascii="方正楷体_GBK" w:hAnsi="方正楷体_GBK" w:eastAsia="方正楷体_GBK" w:cs="方正楷体_GBK"/>
          <w:b/>
          <w:bCs/>
          <w:spacing w:val="6"/>
          <w:sz w:val="32"/>
          <w:szCs w:val="32"/>
        </w:rPr>
      </w:pPr>
    </w:p>
    <w:p w14:paraId="3F237BE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firstLine="664" w:firstLineChars="200"/>
        <w:textAlignment w:val="baseline"/>
        <w:rPr>
          <w:rFonts w:hint="eastAsia" w:ascii="方正楷体_GBK" w:hAnsi="方正楷体_GBK" w:eastAsia="方正楷体_GBK" w:cs="方正楷体_GBK"/>
          <w:b/>
          <w:bCs/>
          <w:spacing w:val="6"/>
          <w:sz w:val="32"/>
          <w:szCs w:val="32"/>
        </w:rPr>
      </w:pPr>
    </w:p>
    <w:p w14:paraId="2D7BEEF4">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firstLine="664" w:firstLineChars="20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2.10 垃圾处理</w:t>
      </w:r>
    </w:p>
    <w:p w14:paraId="4D8D2A9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对垃圾进行分类收集，生活垃圾严格按照相关规定执行，及时购买垃圾票，对接环保局清运；医疗垃圾用医疗垃圾黄色专用袋装，可回收用绿色垃圾袋，放射性废弃物和其它特殊的废弃物使用有特殊标志的污物袋进行收集。使用合格的包装物、容器，使用的污物袋应坚韧耐用、不漏水且能符合国家相关规定，生活垃圾袋由中标物业公司负责采购，医疗垃圾袋、污染袋、锐器盒等由采购人负责采购。</w:t>
      </w:r>
    </w:p>
    <w:p w14:paraId="1FB0C9A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2.10.1 严格按照《医疗废物管理条例》和卫生部《医疗废物管理办法》的规定对医疗废物进行分类收集，制定医疗废物收集工作流程和操作要求及标准，有关人员的工作职责及发生医疗废物流失、泄露、扩散和意外事故的应急方案，定期对员工进行知识的培训和参加医院组织的相关知识的培训；</w:t>
      </w:r>
    </w:p>
    <w:p w14:paraId="2621700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2.10.2 指定专人每日定时、定点，按规定的路线运送医疗废物，在规定时限内将医疗废物集中到指定停发地点。</w:t>
      </w:r>
    </w:p>
    <w:p w14:paraId="4A60F05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2.10.3 严禁转让、买卖医疗废物。严禁在非收集、非暂时贮存地点倾倒、堆放医疗废物，严禁将医疗废物混入其它废物和生活垃圾；</w:t>
      </w:r>
    </w:p>
    <w:p w14:paraId="4B29649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2.10.4 垃圾处理达标、及时，避免二次污染；</w:t>
      </w:r>
    </w:p>
    <w:p w14:paraId="02A658E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2.10.5 对院内垃圾的处理必须符合医院院感科的要求；</w:t>
      </w:r>
    </w:p>
    <w:p w14:paraId="1AE7D79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2.10.6 负责回收医院内电池，按照环保相关要求进行处理；</w:t>
      </w:r>
    </w:p>
    <w:p w14:paraId="6CF8D52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2.10.7 负责协助监督装修施工单位落实医院零星装饰装修工程所产生的装修垃圾外运，垃圾运输费用由装修施工单位支付；</w:t>
      </w:r>
    </w:p>
    <w:p w14:paraId="1185B98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2.10.8 负责监督装修人员将建筑垃圾运送到院内指定地点堆放；确保院内无乱堆放装修垃圾的行为；</w:t>
      </w:r>
    </w:p>
    <w:p w14:paraId="7CB01BFA">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spacing w:val="6"/>
          <w:sz w:val="32"/>
          <w:szCs w:val="32"/>
        </w:rPr>
      </w:pPr>
      <w:r>
        <w:rPr>
          <w:rFonts w:hint="eastAsia" w:ascii="方正楷体_GBK" w:hAnsi="方正楷体_GBK" w:eastAsia="方正楷体_GBK" w:cs="方正楷体_GBK"/>
          <w:b w:val="0"/>
          <w:bCs w:val="0"/>
          <w:spacing w:val="6"/>
          <w:sz w:val="32"/>
          <w:szCs w:val="32"/>
        </w:rPr>
        <w:t>2.11 清雪服务</w:t>
      </w:r>
    </w:p>
    <w:p w14:paraId="23D1458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2.11.1 以“先主次干道，后侧道；先通道路、后清积雪；先重点部位、后全面铺开 ”的作业程序组织实施清雪工作；</w:t>
      </w:r>
    </w:p>
    <w:p w14:paraId="5C97A0D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2.11.2 以提供畅通无阻的院区道路环境为服务原则，全面完成清雪工作；</w:t>
      </w:r>
    </w:p>
    <w:p w14:paraId="241E91C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2.11.3 主要干道要清扫出通道后，按照“就近 ”原则划分清雪区域；</w:t>
      </w:r>
    </w:p>
    <w:p w14:paraId="3077261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2.11.4 院内不得随意堆放积雪，中小雪堆放不超过一天，大暴雪堆放不超过两天；</w:t>
      </w:r>
    </w:p>
    <w:p w14:paraId="549BDF8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2.11.5 负责清雪工作的组织、协调与统筹工作，保证清雪工作及时、有序进行；</w:t>
      </w:r>
    </w:p>
    <w:p w14:paraId="111214F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2.11.6 甲方指定屋面、雨棚等清雪区域，需及时清理；</w:t>
      </w:r>
    </w:p>
    <w:p w14:paraId="756F4F0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2.11.7 负责清雪工具的保障工作，做到清雪工具专人负责、运送到位，并负责回收。</w:t>
      </w:r>
    </w:p>
    <w:p w14:paraId="655065D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b/>
          <w:bCs/>
          <w:spacing w:val="6"/>
          <w:sz w:val="32"/>
          <w:szCs w:val="32"/>
          <w:lang w:val="en-US" w:eastAsia="zh-CN"/>
        </w:rPr>
      </w:pPr>
      <w:r>
        <w:rPr>
          <w:rFonts w:hint="eastAsia" w:ascii="方正仿宋_GBK" w:hAnsi="方正仿宋_GBK" w:eastAsia="方正仿宋_GBK" w:cs="方正仿宋_GBK"/>
          <w:b/>
          <w:bCs/>
          <w:spacing w:val="6"/>
          <w:sz w:val="32"/>
          <w:szCs w:val="32"/>
          <w:lang w:val="en-US" w:eastAsia="zh-CN"/>
        </w:rPr>
        <w:t>2.12 各楼栋地下室、地下停车场服务</w:t>
      </w:r>
    </w:p>
    <w:p w14:paraId="3390BBD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2.12.1 负责各楼栋地下室、地下停车场公共区域卫生督导检查，督促保洁人员按标准开展地面清扫、垃圾清运、排水沟及集水井杂物清理工作，做到无积存垃圾、无废弃杂物；</w:t>
      </w:r>
    </w:p>
    <w:p w14:paraId="370DBAE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default"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spacing w:val="6"/>
          <w:sz w:val="32"/>
          <w:szCs w:val="32"/>
          <w:lang w:val="en-US" w:eastAsia="zh-CN"/>
        </w:rPr>
        <w:t>2.12.2定期</w:t>
      </w:r>
      <w:r>
        <w:rPr>
          <w:rFonts w:hint="eastAsia" w:ascii="方正仿宋_GBK" w:hAnsi="方正仿宋_GBK" w:eastAsia="方正仿宋_GBK" w:cs="方正仿宋_GBK"/>
          <w:color w:val="auto"/>
          <w:spacing w:val="6"/>
          <w:sz w:val="32"/>
          <w:szCs w:val="32"/>
          <w:lang w:val="en-US" w:eastAsia="zh-CN"/>
        </w:rPr>
        <w:t>对停车场地面油污、积水、墙面浮尘、管道周边卫生进行专项清理，雨天过后及时清扫积水淤泥，避免积水发霉、蚊虫滋生。</w:t>
      </w:r>
    </w:p>
    <w:p w14:paraId="5042D73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520"/>
        <w:textAlignment w:val="baseline"/>
        <w:rPr>
          <w:rFonts w:hint="eastAsia" w:ascii="方正黑体_GBK" w:hAnsi="方正黑体_GBK" w:eastAsia="方正黑体_GBK" w:cs="方正黑体_GBK"/>
          <w:b/>
          <w:bCs/>
          <w:color w:val="auto"/>
          <w:spacing w:val="6"/>
          <w:sz w:val="32"/>
          <w:szCs w:val="32"/>
        </w:rPr>
      </w:pPr>
      <w:r>
        <w:rPr>
          <w:rFonts w:hint="eastAsia" w:ascii="方正黑体_GBK" w:hAnsi="方正黑体_GBK" w:eastAsia="方正黑体_GBK" w:cs="方正黑体_GBK"/>
          <w:b/>
          <w:bCs/>
          <w:color w:val="auto"/>
          <w:spacing w:val="6"/>
          <w:sz w:val="32"/>
          <w:szCs w:val="32"/>
        </w:rPr>
        <w:t>3.室外绿化养护模块</w:t>
      </w:r>
    </w:p>
    <w:p w14:paraId="22B0D17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rPr>
      </w:pPr>
      <w:r>
        <w:rPr>
          <w:rFonts w:hint="eastAsia" w:ascii="方正楷体_GBK" w:hAnsi="方正楷体_GBK" w:eastAsia="方正楷体_GBK" w:cs="方正楷体_GBK"/>
          <w:b/>
          <w:bCs/>
          <w:color w:val="auto"/>
          <w:spacing w:val="6"/>
          <w:sz w:val="32"/>
          <w:szCs w:val="32"/>
        </w:rPr>
        <w:t>3.1 草坪养护</w:t>
      </w:r>
    </w:p>
    <w:p w14:paraId="35E9D96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草地无石块、纸屑、垃圾等杂物，保洁率达 99％以上；</w:t>
      </w:r>
    </w:p>
    <w:p w14:paraId="7EB3943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草地无人为破坏，缺损的及时补植，绿化完好率达 99％以上；</w:t>
      </w:r>
    </w:p>
    <w:p w14:paraId="60274DE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清除杂草，无明显高于 15cm 的杂草，草地纯度达 99％以上；</w:t>
      </w:r>
    </w:p>
    <w:p w14:paraId="5C069A1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适时适量浇水施肥，肥不伤草，长势优良；</w:t>
      </w:r>
    </w:p>
    <w:p w14:paraId="6715D42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适时剪草，留茬高 4—6 厘米，修剪平整、美观，边缘整齐；</w:t>
      </w:r>
    </w:p>
    <w:p w14:paraId="79A73B2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草地嫩绿，无烂草、感病草；</w:t>
      </w:r>
    </w:p>
    <w:p w14:paraId="459D8770">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color w:val="auto"/>
          <w:spacing w:val="6"/>
          <w:sz w:val="32"/>
          <w:szCs w:val="32"/>
        </w:rPr>
      </w:pPr>
      <w:r>
        <w:rPr>
          <w:rFonts w:hint="eastAsia" w:ascii="方正楷体_GBK" w:hAnsi="方正楷体_GBK" w:eastAsia="方正楷体_GBK" w:cs="方正楷体_GBK"/>
          <w:b/>
          <w:bCs/>
          <w:color w:val="auto"/>
          <w:spacing w:val="6"/>
          <w:sz w:val="32"/>
          <w:szCs w:val="32"/>
        </w:rPr>
        <w:t>3.2 乔木养护</w:t>
      </w:r>
    </w:p>
    <w:p w14:paraId="014FF00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生长健壮、形态整齐、无凌乱枝条和冗长枝叶；适时适量浇水、松土、施肥，采用穴施和沟施肥，覆土平整，肥料不露出土面；基部无 30cm 高以上枝叶，无杂草、杂物，土面不板结，透气良好；</w:t>
      </w:r>
    </w:p>
    <w:p w14:paraId="5101D61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及时修剪，保持造型优美，修剪截口与枝位平齐，主侧枝分布均匀；无明显病害枝。</w:t>
      </w:r>
    </w:p>
    <w:p w14:paraId="1295ECC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rPr>
      </w:pPr>
      <w:r>
        <w:rPr>
          <w:rFonts w:hint="eastAsia" w:ascii="方正楷体_GBK" w:hAnsi="方正楷体_GBK" w:eastAsia="方正楷体_GBK" w:cs="方正楷体_GBK"/>
          <w:b/>
          <w:bCs/>
          <w:color w:val="auto"/>
          <w:spacing w:val="6"/>
          <w:sz w:val="32"/>
          <w:szCs w:val="32"/>
        </w:rPr>
        <w:t>3.3 灌木养护</w:t>
      </w:r>
    </w:p>
    <w:p w14:paraId="33ADEF4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株形整齐、造型植物轮廓清晰，修剪面平直整齐，棱角分明；</w:t>
      </w:r>
    </w:p>
    <w:p w14:paraId="5265642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适时适量浇水、松土、施肥，采用穴施和沟施肥，覆土平整，肥料不露出土面；灌木脚部整齐清洁，无过长杂草杂物，无严重黄叶、积尘；</w:t>
      </w:r>
    </w:p>
    <w:p w14:paraId="14EBA52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及时修剪，造型优美；</w:t>
      </w:r>
    </w:p>
    <w:p w14:paraId="27792C8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无长于 20 厘米以上枯枝黄叶；</w:t>
      </w:r>
    </w:p>
    <w:p w14:paraId="1A408CF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无明显病害枝；</w:t>
      </w:r>
    </w:p>
    <w:p w14:paraId="3739F14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对遭受自然和人为损害的花木及时修补、扶持和补苗。</w:t>
      </w:r>
    </w:p>
    <w:p w14:paraId="3A1C5AF8">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rPr>
      </w:pPr>
      <w:r>
        <w:rPr>
          <w:rFonts w:hint="eastAsia" w:ascii="方正楷体_GBK" w:hAnsi="方正楷体_GBK" w:eastAsia="方正楷体_GBK" w:cs="方正楷体_GBK"/>
          <w:b/>
          <w:bCs/>
          <w:color w:val="auto"/>
          <w:spacing w:val="6"/>
          <w:sz w:val="32"/>
          <w:szCs w:val="32"/>
        </w:rPr>
        <w:t>3.4 绿篱养护</w:t>
      </w:r>
    </w:p>
    <w:p w14:paraId="2D234D6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造型绿篱轮廓清晰，棱角分明；</w:t>
      </w:r>
    </w:p>
    <w:p w14:paraId="6618F22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绿篱侧面垂直，平面水平，无明显缺剪漏剪，无崩口，脚步整齐；</w:t>
      </w:r>
    </w:p>
    <w:p w14:paraId="7DF1B2C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每次修剪原则上不超过上一次剪 口，已定型的绿篱新枝留高不超过 5cm；绿篱修剪应有坡度变化，但坡度应平滑，不能有明显交接口；</w:t>
      </w:r>
    </w:p>
    <w:p w14:paraId="110C446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绿篱内生长出的杂生植物，爬藤等应及时予以连根清除；</w:t>
      </w:r>
    </w:p>
    <w:p w14:paraId="708D9EDB">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rPr>
      </w:pPr>
      <w:r>
        <w:rPr>
          <w:rFonts w:hint="eastAsia" w:ascii="方正楷体_GBK" w:hAnsi="方正楷体_GBK" w:eastAsia="方正楷体_GBK" w:cs="方正楷体_GBK"/>
          <w:b/>
          <w:bCs/>
          <w:color w:val="auto"/>
          <w:spacing w:val="6"/>
          <w:sz w:val="32"/>
          <w:szCs w:val="32"/>
        </w:rPr>
        <w:t>3.5 绿化养护服务其他要求</w:t>
      </w:r>
    </w:p>
    <w:p w14:paraId="4467008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由中标物业公司原因造成的苗木死亡，补植费用由中标物业公司承担。</w:t>
      </w:r>
    </w:p>
    <w:p w14:paraId="0C022EF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520"/>
        <w:textAlignment w:val="baseline"/>
        <w:rPr>
          <w:rFonts w:hint="eastAsia" w:ascii="方正黑体_GBK" w:hAnsi="方正黑体_GBK" w:eastAsia="方正黑体_GBK" w:cs="方正黑体_GBK"/>
          <w:b/>
          <w:bCs/>
          <w:color w:val="auto"/>
          <w:spacing w:val="6"/>
          <w:sz w:val="32"/>
          <w:szCs w:val="32"/>
        </w:rPr>
      </w:pPr>
      <w:r>
        <w:rPr>
          <w:rFonts w:hint="eastAsia" w:ascii="方正黑体_GBK" w:hAnsi="方正黑体_GBK" w:eastAsia="方正黑体_GBK" w:cs="方正黑体_GBK"/>
          <w:b/>
          <w:bCs/>
          <w:color w:val="auto"/>
          <w:spacing w:val="6"/>
          <w:sz w:val="32"/>
          <w:szCs w:val="32"/>
        </w:rPr>
        <w:t>4.安全保卫模块</w:t>
      </w:r>
    </w:p>
    <w:p w14:paraId="6B3E0565">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color w:val="auto"/>
          <w:spacing w:val="6"/>
          <w:sz w:val="32"/>
          <w:szCs w:val="32"/>
          <w:highlight w:val="none"/>
        </w:rPr>
      </w:pPr>
      <w:r>
        <w:rPr>
          <w:rFonts w:hint="eastAsia" w:ascii="方正楷体_GBK" w:hAnsi="方正楷体_GBK" w:eastAsia="方正楷体_GBK" w:cs="方正楷体_GBK"/>
          <w:b w:val="0"/>
          <w:bCs w:val="0"/>
          <w:color w:val="auto"/>
          <w:spacing w:val="6"/>
          <w:sz w:val="32"/>
          <w:szCs w:val="32"/>
        </w:rPr>
        <w:t>4</w:t>
      </w:r>
      <w:r>
        <w:rPr>
          <w:rFonts w:hint="eastAsia" w:ascii="方正楷体_GBK" w:hAnsi="方正楷体_GBK" w:eastAsia="方正楷体_GBK" w:cs="方正楷体_GBK"/>
          <w:b w:val="0"/>
          <w:bCs w:val="0"/>
          <w:color w:val="auto"/>
          <w:spacing w:val="6"/>
          <w:sz w:val="32"/>
          <w:szCs w:val="32"/>
          <w:highlight w:val="none"/>
        </w:rPr>
        <w:t>.1 院内公共秩序维护与管理服务</w:t>
      </w:r>
    </w:p>
    <w:p w14:paraId="6AC2C07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坚持“预防为主、防治结合、服务第一、患者至上 ”方针；按照公安部门的规定并结合我院实际情况设置保卫机构；</w:t>
      </w:r>
    </w:p>
    <w:p w14:paraId="432B65F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有完善的治安管理制度和工作程序；</w:t>
      </w:r>
    </w:p>
    <w:p w14:paraId="0D2AB17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维护医院就医秩序，医院工作人员和患者在院内的人身安全防范；</w:t>
      </w:r>
    </w:p>
    <w:p w14:paraId="3CD030B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医院和患者在院内的财产安全防范；</w:t>
      </w:r>
    </w:p>
    <w:p w14:paraId="06E5D5F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能有效地配合公安部门打击区域内违法犯罪行为。高效的巡视和值班制度：保安员24小时巡视、值班，分为门卫、消防监控和流动巡视三方面；</w:t>
      </w:r>
    </w:p>
    <w:p w14:paraId="19AA725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drawing>
          <wp:anchor distT="0" distB="0" distL="0" distR="0" simplePos="0" relativeHeight="251659264" behindDoc="1" locked="0" layoutInCell="1" allowOverlap="1">
            <wp:simplePos x="0" y="0"/>
            <wp:positionH relativeFrom="column">
              <wp:posOffset>3206115</wp:posOffset>
            </wp:positionH>
            <wp:positionV relativeFrom="paragraph">
              <wp:posOffset>374015</wp:posOffset>
            </wp:positionV>
            <wp:extent cx="6350" cy="198120"/>
            <wp:effectExtent l="0" t="0" r="0" b="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6350" cy="198120"/>
                    </a:xfrm>
                    <a:prstGeom prst="rect">
                      <a:avLst/>
                    </a:prstGeom>
                  </pic:spPr>
                </pic:pic>
              </a:graphicData>
            </a:graphic>
          </wp:anchor>
        </w:drawing>
      </w:r>
      <w:r>
        <w:rPr>
          <w:rFonts w:hint="eastAsia" w:ascii="方正仿宋_GBK" w:hAnsi="方正仿宋_GBK" w:eastAsia="方正仿宋_GBK" w:cs="方正仿宋_GBK"/>
          <w:color w:val="auto"/>
          <w:spacing w:val="6"/>
          <w:sz w:val="32"/>
          <w:szCs w:val="32"/>
          <w:highlight w:val="none"/>
          <w:lang w:val="en-US" w:eastAsia="zh-CN"/>
        </w:rPr>
        <w:t>突发事件处理预案：工作人员应具备一定的法律知识，处置突发事件时做到依法处理，避免激化矛盾。如处理物品遗失、突然死亡、打架斗殴、流氓滋扰、医患冲突、抢劫、爆炸、火灾等突发事件应急预案；</w:t>
      </w:r>
    </w:p>
    <w:p w14:paraId="74F10F5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维持院内交通确保行人及车辆安全；</w:t>
      </w:r>
    </w:p>
    <w:p w14:paraId="232B910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承担抢险救灾及社会治安责任与任务包括打击医托的任务；院内公共场所出现的不良事件，由中标物业公司协助处理。</w:t>
      </w:r>
    </w:p>
    <w:p w14:paraId="08AAC601">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成立突发事件（处突、医闹、消防等）应急小组，保持日间定时、定路线武装巡视，确保医院正常医疗秩序；</w:t>
      </w:r>
    </w:p>
    <w:p w14:paraId="3963DD8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highlight w:val="none"/>
          <w:lang w:val="en-US" w:eastAsia="zh-CN"/>
        </w:rPr>
        <w:t>秩序维护员夜间除值班外，必须有应急队</w:t>
      </w:r>
      <w:r>
        <w:rPr>
          <w:rFonts w:hint="eastAsia" w:ascii="方正仿宋_GBK" w:hAnsi="方正仿宋_GBK" w:eastAsia="方正仿宋_GBK" w:cs="方正仿宋_GBK"/>
          <w:color w:val="auto"/>
          <w:spacing w:val="6"/>
          <w:sz w:val="32"/>
          <w:szCs w:val="32"/>
          <w:lang w:val="en-US" w:eastAsia="zh-CN"/>
        </w:rPr>
        <w:t>伍，由医院提供备勤用房；</w:t>
      </w:r>
    </w:p>
    <w:p w14:paraId="1C07AE0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因管理因素造成医院人身财产和人身伤害事故，或由此引发的其它责任由中标单位全部承担；</w:t>
      </w:r>
    </w:p>
    <w:p w14:paraId="1434DC9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lang w:val="en-US" w:eastAsia="zh-CN"/>
        </w:rPr>
        <w:t>中标物业公司需提供安</w:t>
      </w:r>
      <w:r>
        <w:rPr>
          <w:rFonts w:hint="eastAsia" w:ascii="方正仿宋_GBK" w:hAnsi="方正仿宋_GBK" w:eastAsia="方正仿宋_GBK" w:cs="方正仿宋_GBK"/>
          <w:color w:val="auto"/>
          <w:spacing w:val="6"/>
          <w:sz w:val="32"/>
          <w:szCs w:val="32"/>
          <w:highlight w:val="none"/>
          <w:lang w:val="en-US" w:eastAsia="zh-CN"/>
        </w:rPr>
        <w:t>保所需的相关防护器材、装备。</w:t>
      </w:r>
    </w:p>
    <w:p w14:paraId="1A95E8BA">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lang w:val="en-US" w:eastAsia="zh-CN"/>
        </w:rPr>
      </w:pPr>
      <w:r>
        <w:rPr>
          <w:rFonts w:hint="eastAsia" w:ascii="方正楷体_GBK" w:hAnsi="方正楷体_GBK" w:eastAsia="方正楷体_GBK" w:cs="方正楷体_GBK"/>
          <w:b/>
          <w:bCs/>
          <w:color w:val="auto"/>
          <w:spacing w:val="6"/>
          <w:sz w:val="32"/>
          <w:szCs w:val="32"/>
          <w:highlight w:val="none"/>
          <w:lang w:val="en-US" w:eastAsia="zh-CN"/>
        </w:rPr>
        <w:t>4.2 消防管理</w:t>
      </w:r>
    </w:p>
    <w:p w14:paraId="0B09276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坚持“预防为主防消结合 ”的方针；</w:t>
      </w:r>
    </w:p>
    <w:p w14:paraId="3F96D17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建立符合消防法的消防规章制度，每季度组织开展1次消防演练；</w:t>
      </w:r>
    </w:p>
    <w:p w14:paraId="273E8F5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建立相关制度：消防值班制度、防火档案制度、防火岗位制度、设备管理及依据相关法规简历完善制度；</w:t>
      </w:r>
    </w:p>
    <w:p w14:paraId="6F3E0F0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制定突发事件预案；</w:t>
      </w:r>
    </w:p>
    <w:p w14:paraId="287A943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成立志愿消防队，以便及时处置初起火灾。</w:t>
      </w:r>
    </w:p>
    <w:p w14:paraId="2526A63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4.3 停车场管理</w:t>
      </w:r>
    </w:p>
    <w:p w14:paraId="4DDA738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落实停车场管理制度、做好车辆管理工作和防损、防盗工作；</w:t>
      </w:r>
    </w:p>
    <w:p w14:paraId="423108C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停车场必须有足够人员，并配备通讯设备，对医院车辆及时疏导，维持院内交通顺畅、确保行人及车辆安全，保证消防通道、医院大门等道路畅通；</w:t>
      </w:r>
    </w:p>
    <w:p w14:paraId="21D6029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对停车场设施进行巡查，标识清楚，字体清晰，车位画线、禁停线清楚，车场内无安全隐患，发现标识标牌缺损或存在安全隐患，及时上报医院；有完善的车场管理制度；</w:t>
      </w:r>
    </w:p>
    <w:p w14:paraId="70BA98A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院内车辆疏导，协助停车场收费工作，保证准确无误的按收费标准收费，必需时协助医院财务科核对费用明细（停车场收入归医院所有）；</w:t>
      </w:r>
    </w:p>
    <w:p w14:paraId="6F081DB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积极引导、指挥责任区的车辆按规定行驶、停放，保障道路畅通，“十 ”字路 口、“T ”字路口、拐弯掉头路口、主干道、单行道、黄格线内严禁停泊车辆，加强大门岗位和其他岗位的联络，互通停车信息；</w:t>
      </w:r>
    </w:p>
    <w:p w14:paraId="77CACED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对乱停乱放行为予以劝喻，对不听劝喻的及时汇报班、队长处理，并避免与对方直接发生纠纷；</w:t>
      </w:r>
    </w:p>
    <w:p w14:paraId="38A4B89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停车场（尤其在主干道）内发生刮碰事件，采用手机拍照后，尽快将车挪移，以免影响交通，有人员受伤时，应尽快帮助将伤者送急诊科诊疗；</w:t>
      </w:r>
    </w:p>
    <w:p w14:paraId="02DE395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保障责任区内路障（雪糕筒）摆放的整齐和美观，发现损坏及时更换，并将损坏的路障（雪糕筒）送至垃圾收集点；</w:t>
      </w:r>
    </w:p>
    <w:p w14:paraId="3738DD5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负责管控责任区内停放的自行车、电动车。</w:t>
      </w:r>
    </w:p>
    <w:p w14:paraId="1FEBBCEC">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lang w:val="en-US" w:eastAsia="zh-CN"/>
        </w:rPr>
      </w:pPr>
      <w:r>
        <w:rPr>
          <w:rFonts w:hint="eastAsia" w:ascii="方正仿宋_GBK" w:hAnsi="方正仿宋_GBK" w:eastAsia="方正仿宋_GBK" w:cs="方正仿宋_GBK"/>
          <w:b/>
          <w:bCs/>
          <w:color w:val="auto"/>
          <w:spacing w:val="6"/>
          <w:sz w:val="32"/>
          <w:szCs w:val="32"/>
          <w:highlight w:val="none"/>
        </w:rPr>
        <w:t>4.3.1 车场</w:t>
      </w:r>
      <w:r>
        <w:rPr>
          <w:rFonts w:hint="eastAsia" w:ascii="方正仿宋_GBK" w:hAnsi="方正仿宋_GBK" w:eastAsia="方正仿宋_GBK" w:cs="方正仿宋_GBK"/>
          <w:b/>
          <w:bCs/>
          <w:color w:val="auto"/>
          <w:spacing w:val="6"/>
          <w:sz w:val="32"/>
          <w:szCs w:val="32"/>
          <w:highlight w:val="none"/>
          <w:lang w:val="en-US" w:eastAsia="zh-CN"/>
        </w:rPr>
        <w:t>巡查</w:t>
      </w:r>
    </w:p>
    <w:p w14:paraId="1484851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保障医院公务车辆或特定车辆的正常停放；</w:t>
      </w:r>
    </w:p>
    <w:p w14:paraId="38F3AF6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加强对责任区的安全巡查，维护正常的停车秩序，保障车辆的停放安全，无特殊情况，不得离开责任区；</w:t>
      </w:r>
    </w:p>
    <w:p w14:paraId="71FB3AE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加强对责任区巡查，尤其是暴雨天气要密集关注车库的进水和排水情况，发现问题及时汇报；</w:t>
      </w:r>
    </w:p>
    <w:p w14:paraId="256C58F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熟悉消防设施的位置和火警的处置方法，定时检查责任区的消防设备设施（包括防火门门、门禁、消防指示灯等），发现异常及时汇报，并协助处理；</w:t>
      </w:r>
    </w:p>
    <w:p w14:paraId="64C4DB2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所有物品搬出医院必须凭相关科室开具的证明方可放行。</w:t>
      </w:r>
    </w:p>
    <w:p w14:paraId="365D60D2">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4.3.2 大门车辆管控：</w:t>
      </w:r>
    </w:p>
    <w:p w14:paraId="425BC8A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highlight w:val="none"/>
          <w:lang w:val="en-US" w:eastAsia="zh-CN"/>
        </w:rPr>
        <w:t>维持车辆排队入院的秩序，根据实际调整管控措施</w:t>
      </w:r>
      <w:r>
        <w:rPr>
          <w:rFonts w:hint="eastAsia" w:ascii="方正仿宋_GBK" w:hAnsi="方正仿宋_GBK" w:eastAsia="方正仿宋_GBK" w:cs="方正仿宋_GBK"/>
          <w:color w:val="auto"/>
          <w:spacing w:val="6"/>
          <w:sz w:val="32"/>
          <w:szCs w:val="32"/>
          <w:lang w:val="en-US" w:eastAsia="zh-CN"/>
        </w:rPr>
        <w:t>；</w:t>
      </w:r>
    </w:p>
    <w:p w14:paraId="7FB0C1F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协助救护车、抢险车、危重病人车辆走绿色通道或者优先放行；</w:t>
      </w:r>
    </w:p>
    <w:p w14:paraId="7397EED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阻止小贩进入医院乱摆卖，对不听阻止劝喻的及时汇报至班、队长处理。</w:t>
      </w:r>
    </w:p>
    <w:p w14:paraId="0B6B6FE3">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rPr>
      </w:pPr>
      <w:r>
        <w:rPr>
          <w:rFonts w:hint="eastAsia" w:ascii="方正楷体_GBK" w:hAnsi="方正楷体_GBK" w:eastAsia="方正楷体_GBK" w:cs="方正楷体_GBK"/>
          <w:b/>
          <w:bCs/>
          <w:color w:val="auto"/>
          <w:spacing w:val="6"/>
          <w:sz w:val="32"/>
          <w:szCs w:val="32"/>
        </w:rPr>
        <w:t>4.4 保安员服务</w:t>
      </w:r>
    </w:p>
    <w:p w14:paraId="1AA8D4A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仪表整洁、言行举止得体；</w:t>
      </w:r>
    </w:p>
    <w:p w14:paraId="0E2D594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lang w:val="en-US" w:eastAsia="zh-CN"/>
        </w:rPr>
        <w:t>模范遵守国家法令、法规，</w:t>
      </w:r>
      <w:r>
        <w:rPr>
          <w:rFonts w:hint="eastAsia" w:ascii="方正仿宋_GBK" w:hAnsi="方正仿宋_GBK" w:eastAsia="方正仿宋_GBK" w:cs="方正仿宋_GBK"/>
          <w:color w:val="auto"/>
          <w:spacing w:val="6"/>
          <w:sz w:val="32"/>
          <w:szCs w:val="32"/>
          <w:highlight w:val="none"/>
          <w:lang w:val="en-US" w:eastAsia="zh-CN"/>
        </w:rPr>
        <w:t>依法办事；</w:t>
      </w:r>
    </w:p>
    <w:p w14:paraId="66A9A85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坚守岗位，保持高度警惕，预防治安案件的发生，巡视人员做到对医院各楼层不停巡视，对可疑人员进行询问，发生事件及时制止；</w:t>
      </w:r>
    </w:p>
    <w:p w14:paraId="50913E3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val="en-US" w:eastAsia="zh-CN"/>
        </w:rPr>
        <w:t>积极配合卫生、绿化、维修等其他服务，制止违法行为，防止破坏，不能制止解决的向主管报告；</w:t>
      </w:r>
    </w:p>
    <w:p w14:paraId="1147824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lang w:val="en-US" w:eastAsia="zh-CN"/>
        </w:rPr>
        <w:t>熟悉和爱护医院内配套的公共设施、机电设备、消防器</w:t>
      </w:r>
      <w:r>
        <w:rPr>
          <w:rFonts w:hint="eastAsia" w:ascii="方正仿宋_GBK" w:hAnsi="方正仿宋_GBK" w:eastAsia="方正仿宋_GBK" w:cs="方正仿宋_GBK"/>
          <w:color w:val="auto"/>
          <w:spacing w:val="6"/>
          <w:sz w:val="32"/>
          <w:szCs w:val="32"/>
          <w:highlight w:val="none"/>
          <w:lang w:val="en-US" w:eastAsia="zh-CN"/>
        </w:rPr>
        <w:t>材，并熟练掌握各种灭火器材的使用方法；</w:t>
      </w:r>
    </w:p>
    <w:p w14:paraId="2D410C4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积极协助公安机关开展各项治安防范活动或行动，努力完成各项治安服务工作；密切联系群众，积极向采购单位进行治安防范和管理方面的宣传；</w:t>
      </w:r>
    </w:p>
    <w:p w14:paraId="41C1885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巡查时需检查消防栓内配置的消防设备是否完整无损坏及是否在有效期内，必须保证消防栓封条完整；如发现问题及时上报。</w:t>
      </w:r>
    </w:p>
    <w:p w14:paraId="3C967BE8">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 岗位服务内容</w:t>
      </w:r>
    </w:p>
    <w:p w14:paraId="6634A69C">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4.4.1.1 普通保安员：</w:t>
      </w:r>
    </w:p>
    <w:p w14:paraId="50102184">
      <w:pPr>
        <w:pStyle w:val="8"/>
        <w:keepNext w:val="0"/>
        <w:keepLines w:val="0"/>
        <w:pageBreakBefore w:val="0"/>
        <w:widowControl/>
        <w:kinsoku w:val="0"/>
        <w:wordWrap/>
        <w:overflowPunct/>
        <w:topLinePunct w:val="0"/>
        <w:autoSpaceDE w:val="0"/>
        <w:autoSpaceDN w:val="0"/>
        <w:bidi w:val="0"/>
        <w:adjustRightInd w:val="0"/>
        <w:snapToGrid w:val="0"/>
        <w:spacing w:before="180" w:line="620" w:lineRule="exact"/>
        <w:ind w:left="29" w:right="8" w:firstLine="503"/>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门卫守护来访登记、安全巡查、防火防盗、控烟、探视管理、就医及交通秩序维护（包括自行车、电动单车的停放管理），保证院容院貌符合医院的要求。</w:t>
      </w:r>
    </w:p>
    <w:p w14:paraId="611B3757">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4.4.1.2 门卫守护</w:t>
      </w:r>
    </w:p>
    <w:p w14:paraId="52D9D15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对院区进行核对，确认信息无误后，方可登记放行。有疑问立即报告科室工作人员。协助存放和发放陪护床，医院外人员的陪护床不得放入仓库，物业工作人员严禁参与卖床、租床活动。</w:t>
      </w:r>
    </w:p>
    <w:p w14:paraId="13BD7E30">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4.4.1.3 门诊楼、住院部守护、巡</w:t>
      </w:r>
      <w:r>
        <w:rPr>
          <w:rFonts w:hint="eastAsia" w:ascii="方正仿宋_GBK" w:hAnsi="方正仿宋_GBK" w:eastAsia="方正仿宋_GBK" w:cs="方正仿宋_GBK"/>
          <w:b/>
          <w:bCs/>
          <w:color w:val="auto"/>
          <w:spacing w:val="6"/>
          <w:sz w:val="32"/>
          <w:szCs w:val="32"/>
          <w:highlight w:val="none"/>
          <w:lang w:val="en-US" w:eastAsia="zh-CN"/>
        </w:rPr>
        <w:t>查</w:t>
      </w:r>
      <w:r>
        <w:rPr>
          <w:rFonts w:hint="eastAsia" w:ascii="方正仿宋_GBK" w:hAnsi="方正仿宋_GBK" w:eastAsia="方正仿宋_GBK" w:cs="方正仿宋_GBK"/>
          <w:b/>
          <w:bCs/>
          <w:color w:val="auto"/>
          <w:spacing w:val="6"/>
          <w:sz w:val="32"/>
          <w:szCs w:val="32"/>
          <w:highlight w:val="none"/>
        </w:rPr>
        <w:t>：</w:t>
      </w:r>
    </w:p>
    <w:p w14:paraId="5219091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对进入责任区域散发传单、小卡片人员进行劝喻和驱赶，让其离开责任区，并销毁其散发的资料；</w:t>
      </w:r>
    </w:p>
    <w:p w14:paraId="4FB0AA1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维护就医秩序，尤其在高峰期要加强巡查，提醒患者小心财物；发生争吵尤其是发生医患纠纷，应及时上前劝喻，保护好医护人员不受伤害；</w:t>
      </w:r>
    </w:p>
    <w:p w14:paraId="7CD3DC50">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尽可能的为医护人员和来院就诊的人员提供帮助，面对问询礼貌回答，对不清楚的问题可引导至护士站提供帮助；</w:t>
      </w:r>
    </w:p>
    <w:p w14:paraId="6FC9418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加强对责任区的安全守卫，尤其中、夜班期间，要按规定及时锁门、开门，加强对重点部位的巡逻，查看各科室的门、窗是否完好、关闭，发现异常情况及时汇报。未经班、队长许可不得自行离开责任区；异常天气来临前，及时关闭相关的门、窗；夜间，关闭多余的照明及空调设备；</w:t>
      </w:r>
    </w:p>
    <w:p w14:paraId="64F68FB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按规定进行巡逻签到，根据岗位要求协助管控空调温度；</w:t>
      </w:r>
    </w:p>
    <w:p w14:paraId="0B2884AA">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熟悉消防设施的位置和火警的处置方法，定时检查责任区的消防设备设施（包括防火门、门禁、消防指示灯等），发现异常及时汇报、处理；</w:t>
      </w:r>
    </w:p>
    <w:p w14:paraId="778A664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协助医院处理院内突发事件。</w:t>
      </w:r>
    </w:p>
    <w:p w14:paraId="075A4337">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4.4.1.4 特勤保安员</w:t>
      </w:r>
    </w:p>
    <w:p w14:paraId="35191622">
      <w:pPr>
        <w:pStyle w:val="8"/>
        <w:keepNext w:val="0"/>
        <w:keepLines w:val="0"/>
        <w:pageBreakBefore w:val="0"/>
        <w:widowControl/>
        <w:kinsoku w:val="0"/>
        <w:wordWrap/>
        <w:overflowPunct/>
        <w:topLinePunct w:val="0"/>
        <w:autoSpaceDE w:val="0"/>
        <w:autoSpaceDN w:val="0"/>
        <w:bidi w:val="0"/>
        <w:adjustRightInd w:val="0"/>
        <w:snapToGrid w:val="0"/>
        <w:spacing w:before="181" w:line="620" w:lineRule="exact"/>
        <w:ind w:left="40" w:right="56" w:firstLine="474"/>
        <w:jc w:val="both"/>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维持医院正常医疗秩序，</w:t>
      </w:r>
      <w:r>
        <w:rPr>
          <w:rFonts w:hint="eastAsia" w:ascii="方正仿宋_GBK" w:hAnsi="方正仿宋_GBK" w:eastAsia="方正仿宋_GBK" w:cs="方正仿宋_GBK"/>
          <w:color w:val="auto"/>
          <w:spacing w:val="6"/>
          <w:sz w:val="32"/>
          <w:szCs w:val="32"/>
          <w:highlight w:val="none"/>
          <w:lang w:val="en-US" w:eastAsia="zh-CN"/>
        </w:rPr>
        <w:t>负责院内应急处突工作，保障医护人员和就医患者的安全，清理“ 医托 ”、打击“ 医闹 ”等，履行微型消防站工作职责，加强消防隐患及安全隐患排查等。</w:t>
      </w:r>
    </w:p>
    <w:p w14:paraId="42B7FEE7">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4.4.1.5 应急队</w:t>
      </w:r>
    </w:p>
    <w:p w14:paraId="17155A9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武装防控，维护正常秩序；协助公安机关打击“ 医闹 ”、暴力伤医等不法行为；协助财务部门做好现金交易活动的安全保卫工作；</w:t>
      </w:r>
    </w:p>
    <w:p w14:paraId="06DFF0F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协助医院治安室及辖区派出所、警务站加强治安防控，保障医院周边的治安环境；</w:t>
      </w:r>
    </w:p>
    <w:p w14:paraId="5CA9090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eastAsia="仿宋"/>
          <w:color w:val="auto"/>
          <w:spacing w:val="6"/>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具有完善的应急预案，定期组织应急队伍的训练与演练，通过应急预案管理能力评价并具有成熟的应急体系。</w:t>
      </w:r>
    </w:p>
    <w:p w14:paraId="0FE47FF8">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4.4.1.6 微型消防站</w:t>
      </w:r>
    </w:p>
    <w:p w14:paraId="024ED92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根据火灾报告、救援求助，及时赶赴现场实施火灾扑救和应急救援。熟悉医院情况，根据医院灭火救援预案，定期开展灭火救援演练；</w:t>
      </w:r>
    </w:p>
    <w:p w14:paraId="2603DC2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开展防火巡查、日常训练和消防宣传教育，普及消防安全知识。落实消防安全户籍化管理工作和消防安全标准化管理工作。</w:t>
      </w:r>
    </w:p>
    <w:p w14:paraId="52AE47D4">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ind w:left="520"/>
        <w:textAlignment w:val="baseline"/>
        <w:rPr>
          <w:rFonts w:hint="eastAsia" w:ascii="方正仿宋_GBK" w:hAnsi="方正仿宋_GBK" w:eastAsia="方正仿宋_GBK" w:cs="方正仿宋_GBK"/>
          <w:b/>
          <w:bCs/>
          <w:color w:val="auto"/>
          <w:spacing w:val="6"/>
          <w:sz w:val="32"/>
          <w:szCs w:val="32"/>
          <w:highlight w:val="none"/>
        </w:rPr>
      </w:pPr>
      <w:r>
        <w:rPr>
          <w:rFonts w:hint="eastAsia" w:ascii="方正仿宋_GBK" w:hAnsi="方正仿宋_GBK" w:eastAsia="方正仿宋_GBK" w:cs="方正仿宋_GBK"/>
          <w:b/>
          <w:bCs/>
          <w:color w:val="auto"/>
          <w:spacing w:val="6"/>
          <w:sz w:val="32"/>
          <w:szCs w:val="32"/>
          <w:highlight w:val="none"/>
        </w:rPr>
        <w:t>4.4.1.7 消防监控中心</w:t>
      </w:r>
    </w:p>
    <w:p w14:paraId="675C86F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drawing>
          <wp:anchor distT="0" distB="0" distL="0" distR="0" simplePos="0" relativeHeight="251660288" behindDoc="1" locked="0" layoutInCell="1" allowOverlap="1">
            <wp:simplePos x="0" y="0"/>
            <wp:positionH relativeFrom="column">
              <wp:posOffset>5280025</wp:posOffset>
            </wp:positionH>
            <wp:positionV relativeFrom="paragraph">
              <wp:posOffset>1824990</wp:posOffset>
            </wp:positionV>
            <wp:extent cx="6350" cy="297180"/>
            <wp:effectExtent l="0" t="0" r="0" b="0"/>
            <wp:wrapNone/>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9"/>
                    <a:stretch>
                      <a:fillRect/>
                    </a:stretch>
                  </pic:blipFill>
                  <pic:spPr>
                    <a:xfrm>
                      <a:off x="0" y="0"/>
                      <a:ext cx="6350" cy="297180"/>
                    </a:xfrm>
                    <a:prstGeom prst="rect">
                      <a:avLst/>
                    </a:prstGeom>
                  </pic:spPr>
                </pic:pic>
              </a:graphicData>
            </a:graphic>
          </wp:anchor>
        </w:drawing>
      </w:r>
      <w:r>
        <w:rPr>
          <w:rFonts w:hint="eastAsia" w:ascii="方正仿宋_GBK" w:hAnsi="方正仿宋_GBK" w:eastAsia="方正仿宋_GBK" w:cs="方正仿宋_GBK"/>
          <w:color w:val="auto"/>
          <w:spacing w:val="6"/>
          <w:sz w:val="32"/>
          <w:szCs w:val="32"/>
          <w:highlight w:val="none"/>
          <w:lang w:val="en-US" w:eastAsia="zh-CN"/>
        </w:rPr>
        <w:t>消防中心安排专职人员管理：消防中心专职人员必须持有有效的国家级消防操作证书，经常巡视检查消防系统设备和设施，发现问题及时催促消防维保公司进行检修。保障设备完好，运行正常。消防中心每个工作人员要熟悉消防知识,了解所有消防范围的阀门、管道、水龙头口、按钮位置、警铃位置、探头位置、进风口、出风口的设备位置、接线盒的安装位置和电缆、电线槽走向。熟悉消防中心设备的性能、操作、简单维修，逐步达到较为复杂维修。每天巡查安全疏散通道、消防门、应急灯、安全出口指示标志等，确保通道畅通、消防设施完好。</w:t>
      </w:r>
    </w:p>
    <w:p w14:paraId="4D85C18B">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接听来电，及时做好记录，传达并跟进落实情况，必要时及时汇报。了解和熟悉医院在日常生活和生产施工过程中的火灾危险因素，协助相关部门建立建全防火安全制度，完善、落实防火措施。</w:t>
      </w:r>
    </w:p>
    <w:p w14:paraId="78E56DCA">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4.5 人员要求</w:t>
      </w:r>
    </w:p>
    <w:p w14:paraId="4C21C4B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drawing>
          <wp:anchor distT="0" distB="0" distL="0" distR="0" simplePos="0" relativeHeight="251661312" behindDoc="1" locked="0" layoutInCell="1" allowOverlap="1">
            <wp:simplePos x="0" y="0"/>
            <wp:positionH relativeFrom="column">
              <wp:posOffset>3053715</wp:posOffset>
            </wp:positionH>
            <wp:positionV relativeFrom="paragraph">
              <wp:posOffset>238760</wp:posOffset>
            </wp:positionV>
            <wp:extent cx="6350" cy="1981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6350" cy="198120"/>
                    </a:xfrm>
                    <a:prstGeom prst="rect">
                      <a:avLst/>
                    </a:prstGeom>
                  </pic:spPr>
                </pic:pic>
              </a:graphicData>
            </a:graphic>
          </wp:anchor>
        </w:drawing>
      </w:r>
      <w:r>
        <w:rPr>
          <w:rFonts w:hint="eastAsia" w:ascii="方正仿宋_GBK" w:hAnsi="方正仿宋_GBK" w:eastAsia="方正仿宋_GBK" w:cs="方正仿宋_GBK"/>
          <w:color w:val="auto"/>
          <w:spacing w:val="6"/>
          <w:sz w:val="32"/>
          <w:szCs w:val="32"/>
          <w:highlight w:val="none"/>
          <w:lang w:val="en-US" w:eastAsia="zh-CN"/>
        </w:rPr>
        <w:t>所有保安员必须身体健康，政治思想觉悟高，品行良好，政审合格，所有上岗人员均具备国通语交流能力，无违法犯罪前科；</w:t>
      </w:r>
    </w:p>
    <w:p w14:paraId="684C248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所有保安员（包括消控室人员）以男性为主（男女比例不得超 5:1、年龄 18-45 岁之间）；经过岗前培训，持证上岗；上岗前签订廉洁服务保证书；所有保安员必须经过专业培训和基础护卫培训，掌握基础交通指挥、医疗救护等相关方面知识；</w:t>
      </w:r>
    </w:p>
    <w:p w14:paraId="598DB22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中标单位须依法与被录用的保安员签订劳动合同、购买社会保险。</w:t>
      </w:r>
    </w:p>
    <w:p w14:paraId="409B2BF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须有治安、消防及紧急事故应急预案，各岗位职责健全并有操作手册，通过保安服务相关认证。</w:t>
      </w:r>
    </w:p>
    <w:p w14:paraId="1104099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520"/>
        <w:textAlignment w:val="baseline"/>
        <w:rPr>
          <w:rFonts w:hint="eastAsia" w:ascii="方正黑体_GBK" w:hAnsi="方正黑体_GBK" w:eastAsia="方正黑体_GBK" w:cs="方正黑体_GBK"/>
          <w:b/>
          <w:bCs/>
          <w:color w:val="auto"/>
          <w:spacing w:val="6"/>
          <w:sz w:val="32"/>
          <w:szCs w:val="32"/>
          <w:highlight w:val="none"/>
        </w:rPr>
      </w:pPr>
      <w:r>
        <w:rPr>
          <w:rFonts w:hint="eastAsia" w:ascii="方正黑体_GBK" w:hAnsi="方正黑体_GBK" w:eastAsia="方正黑体_GBK" w:cs="方正黑体_GBK"/>
          <w:b/>
          <w:bCs/>
          <w:color w:val="auto"/>
          <w:spacing w:val="6"/>
          <w:sz w:val="32"/>
          <w:szCs w:val="32"/>
          <w:highlight w:val="none"/>
        </w:rPr>
        <w:t>四、项目相关要求</w:t>
      </w:r>
    </w:p>
    <w:p w14:paraId="27D6D0CB">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（一）总体服务要求</w:t>
      </w:r>
    </w:p>
    <w:p w14:paraId="27BDB2F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518"/>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为保证服务质量，中标物业公司应严格按照国家法律法规要求合法用工。</w:t>
      </w:r>
    </w:p>
    <w:p w14:paraId="094EE2B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1.人员要求</w:t>
      </w:r>
    </w:p>
    <w:p w14:paraId="054030B5">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中标物业公司应严格按照国家法律法规要求合法用工。所有服务模块均应接受医院后勤管理服务中心统一调度，对于医院指派的工作应及时响应并及时反馈完成情况；</w:t>
      </w:r>
    </w:p>
    <w:p w14:paraId="72B5574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人员管理要求：中标物业公司配置的驻点物业管理人员应配合采购单位管理、服从采购单位安排、响应采购单位服务需求的。凡是阻碍采购单位管理、影响采购单位声誉、不称职及不配合管理的人员，采购单位经考核后有权提出更换要求，中标物业公司需在接到采购单位通知之日起 30 日内完成更换，否则采购单位对不合格人员所在岗位按缺岗处理；</w:t>
      </w:r>
    </w:p>
    <w:p w14:paraId="75DD2B2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中标物业公司必须制定合理的绩效考核机制，提高员工的工作积极性；</w:t>
      </w:r>
    </w:p>
    <w:p w14:paraId="168BD8E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中标物业公司及本项目有关的服务人员不得在本项目服务范围内从事与本项目所规定范围与服务内容无关的活动，不得干扰采购单位的正常工作秩序，不得泄露采购人的商业及有关信息。</w:t>
      </w:r>
    </w:p>
    <w:p w14:paraId="4364B098">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2.关于工作时间</w:t>
      </w:r>
    </w:p>
    <w:p w14:paraId="3FD9AAC8">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中标物业公司应合法用工，依法与员工签订用工协议并足额支付员工薪酬；</w:t>
      </w:r>
    </w:p>
    <w:p w14:paraId="727995F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若中标物业公司确实因为员工离职或因科室业务需求增加人员等原因，短时间内无法招录到合适人员到岗，可经向采购方主管部门报备，获得批准后安排人员加班替岗，不降低服务标准以满足现场服务需求。</w:t>
      </w:r>
    </w:p>
    <w:p w14:paraId="02429D2F">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3.管理用房及员工住宿用房</w:t>
      </w:r>
    </w:p>
    <w:p w14:paraId="71B8100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采购单位仅提供物业值班用房、物业管理办公室、仓库和维修场所给中标物业公司，所产生的水、电费用由采购方承担；所有中标物业公司办公和管理所需设施设备的投入、维修、维护均由中标物业公司自行承担。中标物业公司办公和管理所需用房的修缮、网络、直线电话、饮用水、办公家具及日常办公物资等费用均由中标物业公司自行承担。</w:t>
      </w:r>
    </w:p>
    <w:p w14:paraId="2EBEEC5F">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4.持证上岗管理</w:t>
      </w:r>
    </w:p>
    <w:p w14:paraId="39F3010F">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物业各岗位所涉及到需持证上岗的应按照国家法律法规要求做到持证上岗；</w:t>
      </w:r>
    </w:p>
    <w:p w14:paraId="10A4AD8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对于所在岗位应持证上岗而未持证上岗的人员，所出现安全事故、纠纷等与采购单位无关，全部责任由中标物业公司承担。</w:t>
      </w:r>
    </w:p>
    <w:p w14:paraId="258622FB">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5.管理人员要求</w:t>
      </w:r>
    </w:p>
    <w:p w14:paraId="5BBD0E0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配置的驻点物业管理人员应是能配合采购单位管理、服从采购单位安排、响应采购单位服务需求的。凡是阻碍采购单位管理、影响采购单位声誉、不称职及不配合管理的人员，采购单位有权提出更换要求，中标物业公司需在接到采购单位通知后三十天内完成更换；</w:t>
      </w:r>
    </w:p>
    <w:p w14:paraId="42812CC2">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主管及以上级别员工的变动，需要至少提前 2 周向采购人报备并取得采购人的同意方可变更。</w:t>
      </w:r>
    </w:p>
    <w:p w14:paraId="41697965">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6.建立专业培训组</w:t>
      </w:r>
    </w:p>
    <w:p w14:paraId="6F2CD26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必需建立专门培训队伍，健全各部门岗位培训机制，完善岗前培训制度及日常培训，中标物业公司必须给所有进场服务人员购买人身意外险。确保各岗位人员上岗前接受专业培训并能满足科室实际需求，日常加强职业安全培训保证员工上岗资质及安全意识和能力，制定各岗位操作指引手册，避免员工缺乏指导及无法识别潜在的紧急情况。需按照要求制定各部门的年度培训计划，定时组织员工参加采购单位院感培训。</w:t>
      </w:r>
    </w:p>
    <w:p w14:paraId="05946010">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7.建章立制</w:t>
      </w:r>
    </w:p>
    <w:p w14:paraId="2CEC63C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须在进场一个月内建立物业管理相关的管理制度和各部门的现场监管手册（包含但不限于规章制度、操作流程等），采购单位到现场检查管理资料，包括各模块的自查记录、会议记录、自主培训记录等。</w:t>
      </w:r>
    </w:p>
    <w:p w14:paraId="31B1AF06">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8.建立员工职业安全管理</w:t>
      </w:r>
    </w:p>
    <w:p w14:paraId="2C56DEF7">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中标物业公司必需采用现代化管理模式以及安全生产标准化规程，使包括安全生产管理在内的所有后勤物业服务项目科学化、规范化和法制化。对各工种进行评估，确定风险是否可控，并持续改善。</w:t>
      </w:r>
    </w:p>
    <w:p w14:paraId="353F44A3">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9.工伤管理</w:t>
      </w:r>
    </w:p>
    <w:p w14:paraId="158BA426">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应设定专员负责跟进中标物业公司所属员工工伤管理工作，制定员工工伤管理流程。因采购单位所属员工造成中标物业公司所属员工被污染医疗器械或锐器划伤或其它意外故的，应由采购单位所属科室及相关责任人负责，由采购单位按相应流程进一步处理；中标物业公司所属员工因自身操作不当或不慎受伤造成的伤害，由中标物业公司负责。</w:t>
      </w:r>
    </w:p>
    <w:p w14:paraId="30C7A8C8">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10.新增人员及派工管理</w:t>
      </w:r>
    </w:p>
    <w:p w14:paraId="7DE6FCBC">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50" w:firstLine="510"/>
        <w:jc w:val="both"/>
        <w:textAlignment w:val="baseline"/>
        <w:rPr>
          <w:color w:val="auto"/>
          <w:spacing w:val="6"/>
          <w:highlight w:val="none"/>
        </w:rPr>
      </w:pPr>
      <w:r>
        <w:rPr>
          <w:rFonts w:hint="eastAsia" w:ascii="方正仿宋_GBK" w:hAnsi="方正仿宋_GBK" w:eastAsia="方正仿宋_GBK" w:cs="方正仿宋_GBK"/>
          <w:color w:val="auto"/>
          <w:spacing w:val="6"/>
          <w:sz w:val="32"/>
          <w:szCs w:val="32"/>
          <w:highlight w:val="none"/>
          <w:lang w:val="en-US" w:eastAsia="zh-CN"/>
        </w:rPr>
        <w:t>由于医院业务发展而造成的人员变动，需经医院审批通过后方可增减，用工待遇遵守国家法规及本地政府规定，支付人员的工资、津贴及各种社会保险，在每月物业管理费中对变动人员按照标准增减费用。</w:t>
      </w:r>
    </w:p>
    <w:p w14:paraId="0784A5E4">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11. 自查管理</w:t>
      </w:r>
    </w:p>
    <w:p w14:paraId="09DC908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val="0"/>
          <w:bCs w:val="0"/>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中标物业公司应按照采购单位要求，结合监管细则，分区确定</w:t>
      </w:r>
      <w:r>
        <w:rPr>
          <w:rFonts w:hint="eastAsia" w:ascii="方正楷体_GBK" w:hAnsi="方正楷体_GBK" w:eastAsia="方正楷体_GBK" w:cs="方正楷体_GBK"/>
          <w:b w:val="0"/>
          <w:bCs w:val="0"/>
          <w:color w:val="auto"/>
          <w:spacing w:val="6"/>
          <w:sz w:val="32"/>
          <w:szCs w:val="32"/>
          <w:highlight w:val="none"/>
          <w:lang w:val="en-US" w:eastAsia="zh-CN"/>
        </w:rPr>
        <w:t>责任人，定期巡查。</w:t>
      </w:r>
    </w:p>
    <w:p w14:paraId="3D34B37E">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12. 日常工作响应及应急响应要求</w:t>
      </w:r>
    </w:p>
    <w:p w14:paraId="5D3F32B4">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日常工作响应——对于采购单位下达的工作任务能快速有效的响应并落实解决；对现场存在的问题能快速有效的跟进并解决；</w:t>
      </w:r>
    </w:p>
    <w:p w14:paraId="1A55E14E">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应急响应——中标物业公司应建立健全应急响应机制，当采购单位所属区域内出现暴力、 自然灾害或其它紧急突发情况时，中标物业公司应按应急响应一、二、三级予以响应：一级突发情况必须 5 分钟到达现场；二级突发情况必须 15分钟到达现场；三级突发情况必须 25 分钟到达现场。</w:t>
      </w:r>
    </w:p>
    <w:p w14:paraId="51F2B825">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13.满意度调查管理</w:t>
      </w:r>
    </w:p>
    <w:p w14:paraId="03B654A9">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中标物业公司应按季度开展整个项目的物业服务满意度调查工作（每年不能少于四次），并针对满意度调查情况进行跟踪整改并及时反馈给采购单位，要求满意率不低于80%，满意度调查相关资料按时提交至采购单位对应的监管部门。</w:t>
      </w:r>
    </w:p>
    <w:p w14:paraId="71AC3EE0">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color w:val="auto"/>
          <w:spacing w:val="6"/>
          <w:sz w:val="32"/>
          <w:szCs w:val="32"/>
          <w:highlight w:val="none"/>
        </w:rPr>
      </w:pPr>
      <w:r>
        <w:rPr>
          <w:rFonts w:hint="eastAsia" w:ascii="方正楷体_GBK" w:hAnsi="方正楷体_GBK" w:eastAsia="方正楷体_GBK" w:cs="方正楷体_GBK"/>
          <w:b/>
          <w:bCs/>
          <w:color w:val="auto"/>
          <w:spacing w:val="6"/>
          <w:sz w:val="32"/>
          <w:szCs w:val="32"/>
          <w:highlight w:val="none"/>
        </w:rPr>
        <w:t>14.服务期结束后的移交工作要求</w:t>
      </w:r>
    </w:p>
    <w:p w14:paraId="329EFB1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color w:val="auto"/>
          <w:spacing w:val="6"/>
          <w:sz w:val="32"/>
          <w:szCs w:val="32"/>
          <w:highlight w:val="none"/>
          <w:lang w:val="en-US" w:eastAsia="zh-CN"/>
        </w:rPr>
        <w:t>本项目服务期结束时，中标物业公司在服务期结束之日起 30 天内按要求向采购单位移交原委托管理的全部管理用房、设备材料等相关资产，移交经过分类整理的各类管理档案等文件资料原件。因中标物业公司原因，未按时完成移交，由此产生的一切后果由中标物业公司承担。</w:t>
      </w:r>
    </w:p>
    <w:p w14:paraId="6DB2619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ascii="方正楷体_GBK" w:hAnsi="方正楷体_GBK" w:eastAsia="方正楷体_GBK" w:cs="方正楷体_GBK"/>
          <w:b/>
          <w:bCs/>
          <w:spacing w:val="6"/>
          <w:sz w:val="32"/>
          <w:szCs w:val="32"/>
          <w:highlight w:val="none"/>
        </w:rPr>
      </w:pPr>
      <w:r>
        <w:rPr>
          <w:rFonts w:hint="eastAsia" w:ascii="方正楷体_GBK" w:hAnsi="方正楷体_GBK" w:eastAsia="方正楷体_GBK" w:cs="方正楷体_GBK"/>
          <w:b/>
          <w:bCs/>
          <w:spacing w:val="6"/>
          <w:sz w:val="32"/>
          <w:szCs w:val="32"/>
          <w:highlight w:val="none"/>
          <w:lang w:val="en-US" w:eastAsia="zh-CN"/>
        </w:rPr>
        <w:t>15.</w:t>
      </w:r>
      <w:r>
        <w:rPr>
          <w:rFonts w:hint="eastAsia" w:ascii="方正楷体_GBK" w:hAnsi="方正楷体_GBK" w:eastAsia="方正楷体_GBK" w:cs="方正楷体_GBK"/>
          <w:b/>
          <w:bCs/>
          <w:spacing w:val="6"/>
          <w:sz w:val="32"/>
          <w:szCs w:val="32"/>
          <w:highlight w:val="none"/>
        </w:rPr>
        <w:t>常规物业人员配置</w:t>
      </w:r>
    </w:p>
    <w:p w14:paraId="7E6756DD">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left="30" w:right="15" w:firstLine="510"/>
        <w:jc w:val="both"/>
        <w:textAlignment w:val="baseline"/>
        <w:rPr>
          <w:rFonts w:hint="eastAsia"/>
          <w:spacing w:val="6"/>
          <w:highlight w:val="none"/>
          <w:lang w:eastAsia="zh-CN"/>
        </w:rPr>
      </w:pPr>
      <w:r>
        <w:rPr>
          <w:rFonts w:hint="eastAsia" w:ascii="方正仿宋_GBK" w:hAnsi="方正仿宋_GBK" w:eastAsia="方正仿宋_GBK" w:cs="方正仿宋_GBK"/>
          <w:spacing w:val="6"/>
          <w:sz w:val="32"/>
          <w:szCs w:val="32"/>
          <w:highlight w:val="none"/>
          <w:lang w:val="en-US" w:eastAsia="zh-CN"/>
        </w:rPr>
        <w:t>本项目配置总岗位数（含管理人员）配置如下：</w:t>
      </w:r>
    </w:p>
    <w:tbl>
      <w:tblPr>
        <w:tblStyle w:val="39"/>
        <w:tblW w:w="8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2000"/>
        <w:gridCol w:w="3203"/>
        <w:gridCol w:w="1901"/>
      </w:tblGrid>
      <w:tr w14:paraId="7EF6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6" w:type="dxa"/>
            <w:vAlign w:val="top"/>
          </w:tcPr>
          <w:p w14:paraId="5C3FB48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序号</w:t>
            </w:r>
          </w:p>
        </w:tc>
        <w:tc>
          <w:tcPr>
            <w:tcW w:w="2000" w:type="dxa"/>
            <w:vAlign w:val="top"/>
          </w:tcPr>
          <w:p w14:paraId="00A8242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部门</w:t>
            </w:r>
          </w:p>
        </w:tc>
        <w:tc>
          <w:tcPr>
            <w:tcW w:w="3203" w:type="dxa"/>
            <w:vAlign w:val="top"/>
          </w:tcPr>
          <w:p w14:paraId="43530D7E">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岗位</w:t>
            </w:r>
          </w:p>
        </w:tc>
        <w:tc>
          <w:tcPr>
            <w:tcW w:w="1901" w:type="dxa"/>
            <w:vAlign w:val="top"/>
          </w:tcPr>
          <w:p w14:paraId="601A45D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人员配置</w:t>
            </w:r>
          </w:p>
        </w:tc>
      </w:tr>
      <w:tr w14:paraId="502E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246" w:type="dxa"/>
            <w:vAlign w:val="top"/>
          </w:tcPr>
          <w:p w14:paraId="7ACF360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c>
          <w:tcPr>
            <w:tcW w:w="2000" w:type="dxa"/>
            <w:vMerge w:val="restart"/>
            <w:tcBorders>
              <w:bottom w:val="nil"/>
            </w:tcBorders>
            <w:vAlign w:val="top"/>
          </w:tcPr>
          <w:p w14:paraId="581A8EDF">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p w14:paraId="3A8D2AC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p w14:paraId="3AE14F48">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right="15" w:firstLine="664" w:firstLineChars="20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办公室</w:t>
            </w:r>
          </w:p>
        </w:tc>
        <w:tc>
          <w:tcPr>
            <w:tcW w:w="3203" w:type="dxa"/>
            <w:vAlign w:val="top"/>
          </w:tcPr>
          <w:p w14:paraId="72180B1A">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项目经理</w:t>
            </w:r>
          </w:p>
        </w:tc>
        <w:tc>
          <w:tcPr>
            <w:tcW w:w="1901" w:type="dxa"/>
            <w:vAlign w:val="top"/>
          </w:tcPr>
          <w:p w14:paraId="752AB57C">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r>
      <w:tr w14:paraId="584E9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46" w:type="dxa"/>
            <w:vAlign w:val="top"/>
          </w:tcPr>
          <w:p w14:paraId="1D57EAF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2</w:t>
            </w:r>
          </w:p>
        </w:tc>
        <w:tc>
          <w:tcPr>
            <w:tcW w:w="2000" w:type="dxa"/>
            <w:vMerge w:val="continue"/>
            <w:tcBorders>
              <w:top w:val="nil"/>
              <w:bottom w:val="nil"/>
            </w:tcBorders>
            <w:vAlign w:val="top"/>
          </w:tcPr>
          <w:p w14:paraId="790E9BB1">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48E9E9D3">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工程主管</w:t>
            </w:r>
          </w:p>
        </w:tc>
        <w:tc>
          <w:tcPr>
            <w:tcW w:w="1901" w:type="dxa"/>
            <w:vAlign w:val="top"/>
          </w:tcPr>
          <w:p w14:paraId="7478E5E3">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r>
      <w:tr w14:paraId="6407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6" w:type="dxa"/>
            <w:vAlign w:val="top"/>
          </w:tcPr>
          <w:p w14:paraId="51D6ED9C">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3</w:t>
            </w:r>
          </w:p>
        </w:tc>
        <w:tc>
          <w:tcPr>
            <w:tcW w:w="2000" w:type="dxa"/>
            <w:vMerge w:val="continue"/>
            <w:tcBorders>
              <w:top w:val="nil"/>
              <w:bottom w:val="nil"/>
            </w:tcBorders>
            <w:vAlign w:val="top"/>
          </w:tcPr>
          <w:p w14:paraId="576F6C76">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428AFD10">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保洁主管</w:t>
            </w:r>
          </w:p>
        </w:tc>
        <w:tc>
          <w:tcPr>
            <w:tcW w:w="1901" w:type="dxa"/>
            <w:vAlign w:val="top"/>
          </w:tcPr>
          <w:p w14:paraId="796D646E">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r>
      <w:tr w14:paraId="6955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6" w:type="dxa"/>
            <w:vAlign w:val="top"/>
          </w:tcPr>
          <w:p w14:paraId="7644B85B">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4</w:t>
            </w:r>
          </w:p>
        </w:tc>
        <w:tc>
          <w:tcPr>
            <w:tcW w:w="2000" w:type="dxa"/>
            <w:vMerge w:val="continue"/>
            <w:tcBorders>
              <w:top w:val="nil"/>
              <w:bottom w:val="nil"/>
            </w:tcBorders>
            <w:vAlign w:val="top"/>
          </w:tcPr>
          <w:p w14:paraId="73FDD2F1">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38B85AC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秩序维护主管</w:t>
            </w:r>
          </w:p>
        </w:tc>
        <w:tc>
          <w:tcPr>
            <w:tcW w:w="1901" w:type="dxa"/>
            <w:vAlign w:val="top"/>
          </w:tcPr>
          <w:p w14:paraId="5E04770A">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r>
      <w:tr w14:paraId="6E785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246" w:type="dxa"/>
            <w:vAlign w:val="top"/>
          </w:tcPr>
          <w:p w14:paraId="7B612E3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5</w:t>
            </w:r>
          </w:p>
        </w:tc>
        <w:tc>
          <w:tcPr>
            <w:tcW w:w="2000" w:type="dxa"/>
            <w:vMerge w:val="continue"/>
            <w:tcBorders>
              <w:top w:val="nil"/>
            </w:tcBorders>
            <w:vAlign w:val="top"/>
          </w:tcPr>
          <w:p w14:paraId="392DD2F6">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130CF193">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文员</w:t>
            </w:r>
          </w:p>
        </w:tc>
        <w:tc>
          <w:tcPr>
            <w:tcW w:w="1901" w:type="dxa"/>
            <w:vAlign w:val="top"/>
          </w:tcPr>
          <w:p w14:paraId="2846F55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w:t>
            </w:r>
          </w:p>
        </w:tc>
      </w:tr>
      <w:tr w14:paraId="71D9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6" w:type="dxa"/>
            <w:vAlign w:val="top"/>
          </w:tcPr>
          <w:p w14:paraId="6DC8907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6</w:t>
            </w:r>
          </w:p>
        </w:tc>
        <w:tc>
          <w:tcPr>
            <w:tcW w:w="2000" w:type="dxa"/>
            <w:vMerge w:val="restart"/>
            <w:tcBorders>
              <w:bottom w:val="nil"/>
            </w:tcBorders>
            <w:vAlign w:val="top"/>
          </w:tcPr>
          <w:p w14:paraId="4AA2BF71">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right="15" w:firstLine="664" w:firstLineChars="20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工程部</w:t>
            </w:r>
          </w:p>
        </w:tc>
        <w:tc>
          <w:tcPr>
            <w:tcW w:w="3203" w:type="dxa"/>
            <w:vAlign w:val="top"/>
          </w:tcPr>
          <w:p w14:paraId="0E7018A8">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维修工</w:t>
            </w:r>
          </w:p>
        </w:tc>
        <w:tc>
          <w:tcPr>
            <w:tcW w:w="1901" w:type="dxa"/>
            <w:vAlign w:val="top"/>
          </w:tcPr>
          <w:p w14:paraId="7C61439E">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7</w:t>
            </w:r>
          </w:p>
        </w:tc>
      </w:tr>
      <w:tr w14:paraId="62D87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246" w:type="dxa"/>
            <w:vAlign w:val="top"/>
          </w:tcPr>
          <w:p w14:paraId="23D8A26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7</w:t>
            </w:r>
          </w:p>
        </w:tc>
        <w:tc>
          <w:tcPr>
            <w:tcW w:w="2000" w:type="dxa"/>
            <w:vMerge w:val="continue"/>
            <w:tcBorders>
              <w:top w:val="nil"/>
            </w:tcBorders>
            <w:vAlign w:val="top"/>
          </w:tcPr>
          <w:p w14:paraId="569C619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3AD213BC">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绿化养护工</w:t>
            </w:r>
          </w:p>
        </w:tc>
        <w:tc>
          <w:tcPr>
            <w:tcW w:w="1901" w:type="dxa"/>
            <w:vAlign w:val="top"/>
          </w:tcPr>
          <w:p w14:paraId="14C4125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5</w:t>
            </w:r>
          </w:p>
        </w:tc>
      </w:tr>
      <w:tr w14:paraId="49DA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6" w:type="dxa"/>
            <w:vAlign w:val="top"/>
          </w:tcPr>
          <w:p w14:paraId="48F0B209">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8</w:t>
            </w:r>
          </w:p>
        </w:tc>
        <w:tc>
          <w:tcPr>
            <w:tcW w:w="2000" w:type="dxa"/>
            <w:vMerge w:val="restart"/>
            <w:tcBorders>
              <w:bottom w:val="nil"/>
            </w:tcBorders>
            <w:vAlign w:val="top"/>
          </w:tcPr>
          <w:p w14:paraId="629E40A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p w14:paraId="61B5F7E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right="15"/>
              <w:jc w:val="center"/>
              <w:textAlignment w:val="baseline"/>
              <w:rPr>
                <w:rFonts w:hint="eastAsia" w:ascii="方正仿宋_GBK" w:hAnsi="方正仿宋_GBK" w:eastAsia="方正仿宋_GBK" w:cs="方正仿宋_GBK"/>
                <w:spacing w:val="6"/>
                <w:sz w:val="32"/>
                <w:szCs w:val="32"/>
                <w:highlight w:val="none"/>
                <w:lang w:val="en-US" w:eastAsia="zh-CN"/>
              </w:rPr>
            </w:pPr>
          </w:p>
          <w:p w14:paraId="32337FB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right="15" w:firstLine="664" w:firstLineChars="20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保洁部</w:t>
            </w:r>
          </w:p>
        </w:tc>
        <w:tc>
          <w:tcPr>
            <w:tcW w:w="3203" w:type="dxa"/>
            <w:vAlign w:val="top"/>
          </w:tcPr>
          <w:p w14:paraId="4AB33FE3">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保洁领班</w:t>
            </w:r>
          </w:p>
        </w:tc>
        <w:tc>
          <w:tcPr>
            <w:tcW w:w="1901" w:type="dxa"/>
            <w:vAlign w:val="top"/>
          </w:tcPr>
          <w:p w14:paraId="0360B974">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2</w:t>
            </w:r>
          </w:p>
        </w:tc>
      </w:tr>
      <w:tr w14:paraId="5DDF7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246" w:type="dxa"/>
            <w:vAlign w:val="top"/>
          </w:tcPr>
          <w:p w14:paraId="68735FA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9</w:t>
            </w:r>
          </w:p>
        </w:tc>
        <w:tc>
          <w:tcPr>
            <w:tcW w:w="2000" w:type="dxa"/>
            <w:vMerge w:val="continue"/>
            <w:tcBorders>
              <w:top w:val="nil"/>
              <w:bottom w:val="nil"/>
            </w:tcBorders>
            <w:vAlign w:val="top"/>
          </w:tcPr>
          <w:p w14:paraId="4A7B5E3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0E38618A">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室内保洁员</w:t>
            </w:r>
          </w:p>
        </w:tc>
        <w:tc>
          <w:tcPr>
            <w:tcW w:w="1901" w:type="dxa"/>
            <w:vAlign w:val="top"/>
          </w:tcPr>
          <w:p w14:paraId="29F0C820">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80</w:t>
            </w:r>
          </w:p>
        </w:tc>
      </w:tr>
      <w:tr w14:paraId="49C3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246" w:type="dxa"/>
            <w:vAlign w:val="top"/>
          </w:tcPr>
          <w:p w14:paraId="16D58734">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10</w:t>
            </w:r>
          </w:p>
        </w:tc>
        <w:tc>
          <w:tcPr>
            <w:tcW w:w="2000" w:type="dxa"/>
            <w:vMerge w:val="continue"/>
            <w:tcBorders>
              <w:top w:val="nil"/>
              <w:bottom w:val="nil"/>
            </w:tcBorders>
            <w:vAlign w:val="top"/>
          </w:tcPr>
          <w:p w14:paraId="7315DDB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7EB9408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室外保洁员</w:t>
            </w:r>
          </w:p>
        </w:tc>
        <w:tc>
          <w:tcPr>
            <w:tcW w:w="1901" w:type="dxa"/>
            <w:vAlign w:val="top"/>
          </w:tcPr>
          <w:p w14:paraId="75503A40">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5</w:t>
            </w:r>
          </w:p>
        </w:tc>
      </w:tr>
      <w:tr w14:paraId="0C3C0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246" w:type="dxa"/>
            <w:vAlign w:val="top"/>
          </w:tcPr>
          <w:p w14:paraId="625F5601">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11</w:t>
            </w:r>
          </w:p>
        </w:tc>
        <w:tc>
          <w:tcPr>
            <w:tcW w:w="2000" w:type="dxa"/>
            <w:vMerge w:val="continue"/>
            <w:tcBorders>
              <w:top w:val="nil"/>
            </w:tcBorders>
            <w:vAlign w:val="top"/>
          </w:tcPr>
          <w:p w14:paraId="1276147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tc>
        <w:tc>
          <w:tcPr>
            <w:tcW w:w="3203" w:type="dxa"/>
            <w:vAlign w:val="top"/>
          </w:tcPr>
          <w:p w14:paraId="2716842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手术室护工</w:t>
            </w:r>
          </w:p>
        </w:tc>
        <w:tc>
          <w:tcPr>
            <w:tcW w:w="1901" w:type="dxa"/>
            <w:vAlign w:val="top"/>
          </w:tcPr>
          <w:p w14:paraId="17528CE0">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2</w:t>
            </w:r>
          </w:p>
        </w:tc>
      </w:tr>
      <w:tr w14:paraId="29B2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46" w:type="dxa"/>
            <w:vAlign w:val="top"/>
          </w:tcPr>
          <w:p w14:paraId="677CBCC7">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12</w:t>
            </w:r>
          </w:p>
        </w:tc>
        <w:tc>
          <w:tcPr>
            <w:tcW w:w="2000" w:type="dxa"/>
            <w:vMerge w:val="restart"/>
            <w:tcBorders>
              <w:bottom w:val="nil"/>
            </w:tcBorders>
            <w:vAlign w:val="top"/>
          </w:tcPr>
          <w:p w14:paraId="28A455C2">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p>
          <w:p w14:paraId="49A99B18">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right="15" w:firstLine="332" w:firstLineChars="10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秩序维护部</w:t>
            </w:r>
          </w:p>
        </w:tc>
        <w:tc>
          <w:tcPr>
            <w:tcW w:w="3203" w:type="dxa"/>
            <w:vAlign w:val="top"/>
          </w:tcPr>
          <w:p w14:paraId="62679E89">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秩序维护领班</w:t>
            </w:r>
          </w:p>
        </w:tc>
        <w:tc>
          <w:tcPr>
            <w:tcW w:w="1901" w:type="dxa"/>
            <w:vAlign w:val="top"/>
          </w:tcPr>
          <w:p w14:paraId="50EDEBB5">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2</w:t>
            </w:r>
          </w:p>
        </w:tc>
      </w:tr>
      <w:tr w14:paraId="4128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6" w:type="dxa"/>
            <w:vAlign w:val="top"/>
          </w:tcPr>
          <w:p w14:paraId="41604843">
            <w:pPr>
              <w:pStyle w:val="38"/>
              <w:keepNext w:val="0"/>
              <w:keepLines w:val="0"/>
              <w:pageBreakBefore w:val="0"/>
              <w:widowControl/>
              <w:kinsoku w:val="0"/>
              <w:wordWrap/>
              <w:overflowPunct/>
              <w:topLinePunct w:val="0"/>
              <w:autoSpaceDE w:val="0"/>
              <w:autoSpaceDN w:val="0"/>
              <w:bidi w:val="0"/>
              <w:adjustRightInd w:val="0"/>
              <w:snapToGrid w:val="0"/>
              <w:spacing w:before="167" w:line="540" w:lineRule="exact"/>
              <w:ind w:left="525"/>
              <w:jc w:val="center"/>
              <w:textAlignment w:val="baseline"/>
              <w:rPr>
                <w:rFonts w:hint="eastAsia" w:ascii="方正仿宋_GBK" w:hAnsi="方正仿宋_GBK" w:eastAsia="方正仿宋_GBK" w:cs="方正仿宋_GBK"/>
                <w:snapToGrid w:val="0"/>
                <w:color w:val="000000"/>
                <w:spacing w:val="6"/>
                <w:kern w:val="0"/>
                <w:sz w:val="32"/>
                <w:szCs w:val="32"/>
                <w:highlight w:val="none"/>
                <w:lang w:val="en-US" w:eastAsia="zh-CN" w:bidi="ar-SA"/>
              </w:rPr>
            </w:pPr>
            <w:r>
              <w:rPr>
                <w:rFonts w:hint="eastAsia" w:ascii="方正仿宋_GBK" w:hAnsi="方正仿宋_GBK" w:eastAsia="方正仿宋_GBK" w:cs="方正仿宋_GBK"/>
                <w:snapToGrid w:val="0"/>
                <w:color w:val="000000"/>
                <w:spacing w:val="6"/>
                <w:kern w:val="0"/>
                <w:sz w:val="32"/>
                <w:szCs w:val="32"/>
                <w:highlight w:val="none"/>
                <w:lang w:val="en-US" w:eastAsia="zh-CN" w:bidi="ar-SA"/>
              </w:rPr>
              <w:t>13</w:t>
            </w:r>
          </w:p>
        </w:tc>
        <w:tc>
          <w:tcPr>
            <w:tcW w:w="2000" w:type="dxa"/>
            <w:vMerge w:val="continue"/>
            <w:tcBorders>
              <w:top w:val="nil"/>
              <w:bottom w:val="nil"/>
            </w:tcBorders>
            <w:vAlign w:val="top"/>
          </w:tcPr>
          <w:p w14:paraId="0DF6845C">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仿宋_GBK" w:hAnsi="方正仿宋_GBK" w:eastAsia="方正仿宋_GBK" w:cs="方正仿宋_GBK"/>
                <w:snapToGrid w:val="0"/>
                <w:color w:val="000000"/>
                <w:spacing w:val="6"/>
                <w:kern w:val="0"/>
                <w:sz w:val="32"/>
                <w:szCs w:val="32"/>
                <w:highlight w:val="none"/>
                <w:lang w:val="en-US" w:eastAsia="zh-CN" w:bidi="ar-SA"/>
              </w:rPr>
            </w:pPr>
          </w:p>
        </w:tc>
        <w:tc>
          <w:tcPr>
            <w:tcW w:w="3203" w:type="dxa"/>
            <w:vAlign w:val="top"/>
          </w:tcPr>
          <w:p w14:paraId="4EF4F40E">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秩序维护员</w:t>
            </w:r>
          </w:p>
        </w:tc>
        <w:tc>
          <w:tcPr>
            <w:tcW w:w="1901" w:type="dxa"/>
            <w:vAlign w:val="top"/>
          </w:tcPr>
          <w:p w14:paraId="21EC7AFB">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34</w:t>
            </w:r>
          </w:p>
        </w:tc>
      </w:tr>
      <w:tr w14:paraId="0042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246" w:type="dxa"/>
            <w:vAlign w:val="top"/>
          </w:tcPr>
          <w:p w14:paraId="5D0F81C1">
            <w:pPr>
              <w:pStyle w:val="38"/>
              <w:keepNext w:val="0"/>
              <w:keepLines w:val="0"/>
              <w:pageBreakBefore w:val="0"/>
              <w:widowControl/>
              <w:kinsoku w:val="0"/>
              <w:wordWrap/>
              <w:overflowPunct/>
              <w:topLinePunct w:val="0"/>
              <w:autoSpaceDE w:val="0"/>
              <w:autoSpaceDN w:val="0"/>
              <w:bidi w:val="0"/>
              <w:adjustRightInd w:val="0"/>
              <w:snapToGrid w:val="0"/>
              <w:spacing w:before="168" w:line="540" w:lineRule="exact"/>
              <w:ind w:left="525"/>
              <w:jc w:val="center"/>
              <w:textAlignment w:val="baseline"/>
              <w:rPr>
                <w:spacing w:val="6"/>
                <w:highlight w:val="none"/>
              </w:rPr>
            </w:pPr>
            <w:r>
              <w:rPr>
                <w:rFonts w:hint="eastAsia" w:ascii="方正仿宋_GBK" w:hAnsi="方正仿宋_GBK" w:eastAsia="方正仿宋_GBK" w:cs="方正仿宋_GBK"/>
                <w:snapToGrid w:val="0"/>
                <w:color w:val="000000"/>
                <w:spacing w:val="6"/>
                <w:kern w:val="0"/>
                <w:sz w:val="32"/>
                <w:szCs w:val="32"/>
                <w:highlight w:val="none"/>
                <w:lang w:val="en-US" w:eastAsia="zh-CN" w:bidi="ar-SA"/>
              </w:rPr>
              <w:t>14</w:t>
            </w:r>
          </w:p>
        </w:tc>
        <w:tc>
          <w:tcPr>
            <w:tcW w:w="2000" w:type="dxa"/>
            <w:vMerge w:val="continue"/>
            <w:tcBorders>
              <w:top w:val="nil"/>
            </w:tcBorders>
            <w:vAlign w:val="top"/>
          </w:tcPr>
          <w:p w14:paraId="084B088D">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ascii="Arial"/>
                <w:spacing w:val="6"/>
                <w:sz w:val="21"/>
                <w:highlight w:val="none"/>
              </w:rPr>
            </w:pPr>
          </w:p>
        </w:tc>
        <w:tc>
          <w:tcPr>
            <w:tcW w:w="3203" w:type="dxa"/>
            <w:vAlign w:val="top"/>
          </w:tcPr>
          <w:p w14:paraId="741A6EE0">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消防监控</w:t>
            </w:r>
          </w:p>
        </w:tc>
        <w:tc>
          <w:tcPr>
            <w:tcW w:w="1901" w:type="dxa"/>
            <w:vAlign w:val="top"/>
          </w:tcPr>
          <w:p w14:paraId="291A640C">
            <w:pPr>
              <w:pStyle w:val="8"/>
              <w:keepNext w:val="0"/>
              <w:keepLines w:val="0"/>
              <w:pageBreakBefore w:val="0"/>
              <w:widowControl/>
              <w:kinsoku w:val="0"/>
              <w:wordWrap/>
              <w:overflowPunct/>
              <w:topLinePunct w:val="0"/>
              <w:autoSpaceDE w:val="0"/>
              <w:autoSpaceDN w:val="0"/>
              <w:bidi w:val="0"/>
              <w:adjustRightInd w:val="0"/>
              <w:snapToGrid w:val="0"/>
              <w:spacing w:before="179" w:line="540" w:lineRule="exact"/>
              <w:ind w:left="30" w:right="15" w:firstLine="510"/>
              <w:jc w:val="center"/>
              <w:textAlignment w:val="baseline"/>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8</w:t>
            </w:r>
          </w:p>
        </w:tc>
      </w:tr>
      <w:tr w14:paraId="71EA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49" w:type="dxa"/>
            <w:gridSpan w:val="3"/>
            <w:vAlign w:val="top"/>
          </w:tcPr>
          <w:p w14:paraId="3FF955F2">
            <w:pPr>
              <w:pStyle w:val="38"/>
              <w:keepNext w:val="0"/>
              <w:keepLines w:val="0"/>
              <w:pageBreakBefore w:val="0"/>
              <w:widowControl/>
              <w:kinsoku w:val="0"/>
              <w:wordWrap/>
              <w:overflowPunct/>
              <w:topLinePunct w:val="0"/>
              <w:autoSpaceDE w:val="0"/>
              <w:autoSpaceDN w:val="0"/>
              <w:bidi w:val="0"/>
              <w:adjustRightInd w:val="0"/>
              <w:snapToGrid w:val="0"/>
              <w:spacing w:before="167" w:line="540" w:lineRule="exact"/>
              <w:ind w:left="3006"/>
              <w:jc w:val="center"/>
              <w:textAlignment w:val="baseline"/>
              <w:rPr>
                <w:spacing w:val="6"/>
                <w:highlight w:val="none"/>
              </w:rPr>
            </w:pPr>
            <w:r>
              <w:rPr>
                <w:rFonts w:hint="eastAsia" w:ascii="方正仿宋_GBK" w:hAnsi="方正仿宋_GBK" w:eastAsia="方正仿宋_GBK" w:cs="方正仿宋_GBK"/>
                <w:snapToGrid w:val="0"/>
                <w:color w:val="000000"/>
                <w:spacing w:val="6"/>
                <w:kern w:val="0"/>
                <w:sz w:val="32"/>
                <w:szCs w:val="32"/>
                <w:highlight w:val="none"/>
                <w:lang w:val="en-US" w:eastAsia="zh-CN" w:bidi="ar-SA"/>
              </w:rPr>
              <w:t>合计</w:t>
            </w:r>
          </w:p>
        </w:tc>
        <w:tc>
          <w:tcPr>
            <w:tcW w:w="1901" w:type="dxa"/>
            <w:vAlign w:val="top"/>
          </w:tcPr>
          <w:p w14:paraId="119821EF">
            <w:pPr>
              <w:pStyle w:val="38"/>
              <w:keepNext w:val="0"/>
              <w:keepLines w:val="0"/>
              <w:pageBreakBefore w:val="0"/>
              <w:widowControl/>
              <w:kinsoku w:val="0"/>
              <w:wordWrap/>
              <w:overflowPunct/>
              <w:topLinePunct w:val="0"/>
              <w:autoSpaceDE w:val="0"/>
              <w:autoSpaceDN w:val="0"/>
              <w:bidi w:val="0"/>
              <w:adjustRightInd w:val="0"/>
              <w:snapToGrid w:val="0"/>
              <w:spacing w:before="167" w:line="540" w:lineRule="exact"/>
              <w:ind w:firstLine="996" w:firstLineChars="300"/>
              <w:jc w:val="center"/>
              <w:textAlignment w:val="baseline"/>
              <w:rPr>
                <w:rFonts w:hint="default" w:eastAsia="仿宋"/>
                <w:spacing w:val="6"/>
                <w:highlight w:val="none"/>
                <w:lang w:val="en-US" w:eastAsia="zh-CN"/>
              </w:rPr>
            </w:pPr>
            <w:r>
              <w:rPr>
                <w:rFonts w:hint="eastAsia" w:ascii="方正仿宋_GBK" w:hAnsi="方正仿宋_GBK" w:eastAsia="方正仿宋_GBK" w:cs="方正仿宋_GBK"/>
                <w:snapToGrid w:val="0"/>
                <w:color w:val="000000"/>
                <w:spacing w:val="6"/>
                <w:kern w:val="0"/>
                <w:sz w:val="32"/>
                <w:szCs w:val="32"/>
                <w:highlight w:val="none"/>
                <w:lang w:val="en-US" w:eastAsia="zh-CN" w:bidi="ar-SA"/>
              </w:rPr>
              <w:t>150</w:t>
            </w:r>
          </w:p>
        </w:tc>
      </w:tr>
    </w:tbl>
    <w:p w14:paraId="33010361">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highlight w:val="none"/>
        </w:rPr>
      </w:pPr>
    </w:p>
    <w:p w14:paraId="5E20DFD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highlight w:val="none"/>
          <w:lang w:val="en-US" w:eastAsia="zh-CN"/>
        </w:rPr>
      </w:pPr>
      <w:r>
        <w:rPr>
          <w:rFonts w:hint="eastAsia" w:ascii="方正楷体_GBK" w:hAnsi="方正楷体_GBK" w:eastAsia="方正楷体_GBK" w:cs="方正楷体_GBK"/>
          <w:b/>
          <w:bCs/>
          <w:spacing w:val="6"/>
          <w:sz w:val="32"/>
          <w:szCs w:val="32"/>
          <w:highlight w:val="none"/>
          <w:lang w:val="en-US" w:eastAsia="zh-CN"/>
        </w:rPr>
        <w:t>16.医疗废物专项管理规定</w:t>
      </w:r>
    </w:p>
    <w:p w14:paraId="21E9BC59">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医院物业必须严格遵守《医疗废物管理条例》及《医疗废物管理办法》的规定。</w:t>
      </w:r>
    </w:p>
    <w:p w14:paraId="05149C26">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default" w:ascii="方正楷体_GBK" w:hAnsi="方正楷体_GBK" w:eastAsia="方正楷体_GBK" w:cs="方正楷体_GBK"/>
          <w:b/>
          <w:bCs/>
          <w:spacing w:val="6"/>
          <w:sz w:val="32"/>
          <w:szCs w:val="32"/>
          <w:highlight w:val="none"/>
          <w:lang w:val="en-US" w:eastAsia="zh-CN"/>
        </w:rPr>
      </w:pPr>
      <w:r>
        <w:rPr>
          <w:rFonts w:hint="eastAsia" w:ascii="方正楷体_GBK" w:hAnsi="方正楷体_GBK" w:eastAsia="方正楷体_GBK" w:cs="方正楷体_GBK"/>
          <w:b/>
          <w:bCs/>
          <w:spacing w:val="6"/>
          <w:sz w:val="32"/>
          <w:szCs w:val="32"/>
          <w:highlight w:val="none"/>
          <w:lang w:val="en-US" w:eastAsia="zh-CN"/>
        </w:rPr>
        <w:t>17.物业设备配置</w:t>
      </w:r>
    </w:p>
    <w:p w14:paraId="4459908D">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 xml:space="preserve"> 一、保洁设备（最低配置）</w:t>
      </w:r>
    </w:p>
    <w:p w14:paraId="391AE3E3">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（1）大型机械</w:t>
      </w:r>
    </w:p>
    <w:p w14:paraId="5E7067E4">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手推式洗地机：水箱40L，刷盘≥17寸，全自动洗地吸干；≥1台/万㎡ </w:t>
      </w:r>
    </w:p>
    <w:p w14:paraId="698676E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吸尘吸水机：干湿两用，55L，功率≥2000W；≥2台</w:t>
      </w:r>
    </w:p>
    <w:p w14:paraId="68FB68D5">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三速吹风机：功率≥1000W，地面吹干；≥2台</w:t>
      </w:r>
    </w:p>
    <w:p w14:paraId="25495F4C">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高压清洗机：压力150–200bar，流量≥15L/min；≥1台</w:t>
      </w:r>
    </w:p>
    <w:p w14:paraId="6A4A9475">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多功能保洁车：带刹车、工具挂架；≥3台 </w:t>
      </w:r>
    </w:p>
    <w:p w14:paraId="0F2F6850">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（2）小型工具（最低）</w:t>
      </w:r>
    </w:p>
    <w:p w14:paraId="2F90FBFE">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玻璃刮：T型，不锈钢胶条；≥5套</w:t>
      </w:r>
    </w:p>
    <w:p w14:paraId="69E9389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涂水器：T型，毛套；≥5个</w:t>
      </w:r>
    </w:p>
    <w:p w14:paraId="4B44CB2C">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榨水车：24L，双桶；≥4个 </w:t>
      </w:r>
    </w:p>
    <w:p w14:paraId="727D1FF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地刷/硬毛刷：长柄；≥8把</w:t>
      </w:r>
    </w:p>
    <w:p w14:paraId="395E27D8">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防风簸箕：≥5个</w:t>
      </w:r>
    </w:p>
    <w:p w14:paraId="3B58098D">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尘推：80cm，棉制；≥10把</w:t>
      </w:r>
    </w:p>
    <w:p w14:paraId="6BDDE29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清洁指示牌：小心地滑/作业中；≥10个</w:t>
      </w:r>
    </w:p>
    <w:p w14:paraId="7B589068">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二、安保设备（最低配置）</w:t>
      </w:r>
    </w:p>
    <w:p w14:paraId="5FB8F5D4">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（1）防暴/安防</w:t>
      </w:r>
    </w:p>
    <w:p w14:paraId="61CC44D5">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对讲机：高频，5km，续航≥8h；≥4台</w:t>
      </w:r>
    </w:p>
    <w:p w14:paraId="01925AA7">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保安八件套：盾牌、头盔、防刺服、钢叉、脚叉、强光手电、防暴棍、防刺手套；≥2套</w:t>
      </w:r>
    </w:p>
    <w:p w14:paraId="18819539">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强光手电：警用级，续航≥2h；≥4支</w:t>
      </w:r>
    </w:p>
    <w:p w14:paraId="155C469A">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警戒带+支架：≥2套</w:t>
      </w:r>
    </w:p>
    <w:p w14:paraId="7AB2B373">
      <w:pPr>
        <w:spacing w:after="2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w:t>
      </w:r>
      <w:r>
        <w:rPr>
          <w:rFonts w:hint="eastAsia" w:ascii="方正仿宋_GBK" w:hAnsi="方正仿宋_GBK" w:eastAsia="方正仿宋_GBK" w:cs="方正仿宋_GBK"/>
          <w:b/>
          <w:bCs/>
          <w:spacing w:val="6"/>
          <w:sz w:val="32"/>
          <w:szCs w:val="32"/>
          <w:highlight w:val="none"/>
          <w:lang w:val="en-US" w:eastAsia="zh-CN"/>
        </w:rPr>
        <w:t>三、维修设备（最低配置）</w:t>
      </w:r>
      <w:r>
        <w:rPr>
          <w:rFonts w:hint="eastAsia" w:ascii="方正仿宋_GBK" w:hAnsi="方正仿宋_GBK" w:eastAsia="方正仿宋_GBK" w:cs="方正仿宋_GBK"/>
          <w:spacing w:val="6"/>
          <w:sz w:val="32"/>
          <w:szCs w:val="32"/>
          <w:highlight w:val="none"/>
          <w:lang w:val="en-US" w:eastAsia="zh-CN"/>
        </w:rPr>
        <w:t xml:space="preserve"> </w:t>
      </w:r>
    </w:p>
    <w:p w14:paraId="19EA2E1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（1）电工类</w:t>
      </w:r>
    </w:p>
    <w:p w14:paraId="606A2A4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数字万用表：福禄克级；≥1块</w:t>
      </w:r>
    </w:p>
    <w:p w14:paraId="6911A5D8">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钳形电流表：≥1块</w:t>
      </w:r>
    </w:p>
    <w:p w14:paraId="72B568BC">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接地电阻测试仪：0–200Ω；≥1台</w:t>
      </w:r>
    </w:p>
    <w:p w14:paraId="7223D963">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手电钻：博世GBM13RE，220V；≥2台</w:t>
      </w:r>
    </w:p>
    <w:p w14:paraId="18AF22E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电锤：博世2-26RE，冲击≥2.6J；≥1台</w:t>
      </w:r>
    </w:p>
    <w:p w14:paraId="25209E1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（2）金工/木工</w:t>
      </w:r>
      <w:r>
        <w:rPr>
          <w:rFonts w:hint="eastAsia" w:ascii="方正仿宋_GBK" w:hAnsi="方正仿宋_GBK" w:eastAsia="方正仿宋_GBK" w:cs="方正仿宋_GBK"/>
          <w:spacing w:val="6"/>
          <w:sz w:val="32"/>
          <w:szCs w:val="32"/>
          <w:highlight w:val="none"/>
          <w:lang w:val="en-US" w:eastAsia="zh-CN"/>
        </w:rPr>
        <w:t xml:space="preserve"> </w:t>
      </w:r>
    </w:p>
    <w:p w14:paraId="54AD8571">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台虎钳：200#；≥1台</w:t>
      </w:r>
    </w:p>
    <w:p w14:paraId="2B4ECEC9">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台钻：16mm；≥1台</w:t>
      </w:r>
    </w:p>
    <w:p w14:paraId="64855F19">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砂轮机：台式，250W；≥1台</w:t>
      </w:r>
    </w:p>
    <w:p w14:paraId="3182933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电焊机：BR1-200，220/380V；≥1台</w:t>
      </w:r>
    </w:p>
    <w:p w14:paraId="0A2AA2B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拉马：三爪，10吨；≥1套</w:t>
      </w:r>
    </w:p>
    <w:p w14:paraId="4E9B24B3">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w:t>
      </w:r>
    </w:p>
    <w:p w14:paraId="7EEB01CF">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 xml:space="preserve">（3）登高/通用 </w:t>
      </w:r>
    </w:p>
    <w:p w14:paraId="5D2C9005">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铝合金梯子：3m、6m、10m；各≥1架</w:t>
      </w:r>
    </w:p>
    <w:p w14:paraId="744B917E">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人字梯：2m、3m；各≥2架</w:t>
      </w:r>
    </w:p>
    <w:p w14:paraId="4976383A">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热风枪：调温，≥2000W；≥1把</w:t>
      </w:r>
    </w:p>
    <w:p w14:paraId="323C0C2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 xml:space="preserve"> 四、绿化养护设备（最低配置）</w:t>
      </w:r>
      <w:r>
        <w:rPr>
          <w:rFonts w:hint="eastAsia" w:ascii="方正仿宋_GBK" w:hAnsi="方正仿宋_GBK" w:eastAsia="方正仿宋_GBK" w:cs="方正仿宋_GBK"/>
          <w:spacing w:val="6"/>
          <w:sz w:val="32"/>
          <w:szCs w:val="32"/>
          <w:highlight w:val="none"/>
          <w:lang w:val="en-US" w:eastAsia="zh-CN"/>
        </w:rPr>
        <w:t xml:space="preserve"> </w:t>
      </w:r>
    </w:p>
    <w:p w14:paraId="56D86D80">
      <w:pPr>
        <w:spacing w:after="20"/>
        <w:ind w:firstLine="664" w:firstLineChars="200"/>
        <w:rPr>
          <w:rFonts w:hint="eastAsia" w:ascii="方正仿宋_GBK" w:hAnsi="方正仿宋_GBK" w:eastAsia="方正仿宋_GBK" w:cs="方正仿宋_GBK"/>
          <w:b/>
          <w:bCs/>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（1）修剪类</w:t>
      </w:r>
    </w:p>
    <w:p w14:paraId="76B44958">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汽油割草机：1.5kW，手推；≥1台/5000㎡</w:t>
      </w:r>
    </w:p>
    <w:p w14:paraId="14B21A6A">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绿篱机：双刃，汽油/锂电；≥1台</w:t>
      </w:r>
    </w:p>
    <w:p w14:paraId="681BE210">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高枝剪：伸缩，3–5m；≥1把</w:t>
      </w:r>
    </w:p>
    <w:p w14:paraId="3A4FE25A">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修枝锯/手锯：≥2把 </w:t>
      </w:r>
    </w:p>
    <w:p w14:paraId="7FAB9C8D">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（2）动力类</w:t>
      </w:r>
    </w:p>
    <w:p w14:paraId="38B5C68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油锯：18寸，汽油；≥1台</w:t>
      </w:r>
    </w:p>
    <w:p w14:paraId="4598A73A">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吹风机（吹叶）：汽油，≥2kW；≥1台</w:t>
      </w:r>
    </w:p>
    <w:p w14:paraId="251C6358">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高压喷雾器：背负式，16L；≥2台</w:t>
      </w:r>
    </w:p>
    <w:p w14:paraId="7DB4C154">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（3）浇灌类</w:t>
      </w:r>
    </w:p>
    <w:p w14:paraId="15AC5530">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洒水壶：5–10L；≥4个</w:t>
      </w:r>
    </w:p>
    <w:p w14:paraId="7E6BF64D">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快速取水阀+水管：φ25，20m；≥2套</w:t>
      </w:r>
    </w:p>
    <w:p w14:paraId="36C7439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w:t>
      </w:r>
    </w:p>
    <w:p w14:paraId="40A42BAC">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w:t>
      </w:r>
    </w:p>
    <w:p w14:paraId="243FD5D0">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w:t>
      </w:r>
    </w:p>
    <w:p w14:paraId="5F16DE7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b/>
          <w:bCs/>
          <w:spacing w:val="6"/>
          <w:sz w:val="32"/>
          <w:szCs w:val="32"/>
          <w:highlight w:val="none"/>
          <w:lang w:val="en-US" w:eastAsia="zh-CN"/>
        </w:rPr>
        <w:t>五、办公设备（最低配置，10人以内）</w:t>
      </w:r>
    </w:p>
    <w:p w14:paraId="1BA7C4B7">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台式电脑：i5/16G/512G；≥2台</w:t>
      </w:r>
    </w:p>
    <w:p w14:paraId="7FDDDD20">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笔记本电脑：≥1台</w:t>
      </w:r>
    </w:p>
    <w:p w14:paraId="0EF95F3E">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多功能一体机（打印/复印/扫描）：A4，黑白；≥1台 </w:t>
      </w:r>
    </w:p>
    <w:p w14:paraId="2A678D6B">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彩色打印机：A4；≥1台（可选） </w:t>
      </w:r>
    </w:p>
    <w:p w14:paraId="1FA8F093">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xml:space="preserve">- 碎纸机：≥1台 </w:t>
      </w:r>
    </w:p>
    <w:p w14:paraId="783E23AF">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传真机（可选）：≥1台</w:t>
      </w:r>
    </w:p>
    <w:p w14:paraId="2042489D">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空调：1.5匹壁挂；≥2台</w:t>
      </w:r>
    </w:p>
    <w:p w14:paraId="35A75692">
      <w:pPr>
        <w:spacing w:after="20"/>
        <w:ind w:firstLine="664" w:firstLineChars="200"/>
        <w:rPr>
          <w:rFonts w:hint="eastAsia" w:ascii="方正仿宋_GBK" w:hAnsi="方正仿宋_GBK" w:eastAsia="方正仿宋_GBK" w:cs="方正仿宋_GBK"/>
          <w:spacing w:val="6"/>
          <w:sz w:val="32"/>
          <w:szCs w:val="32"/>
          <w:highlight w:val="none"/>
          <w:lang w:val="en-US" w:eastAsia="zh-CN"/>
        </w:rPr>
      </w:pPr>
      <w:r>
        <w:rPr>
          <w:rFonts w:hint="eastAsia" w:ascii="方正仿宋_GBK" w:hAnsi="方正仿宋_GBK" w:eastAsia="方正仿宋_GBK" w:cs="方正仿宋_GBK"/>
          <w:spacing w:val="6"/>
          <w:sz w:val="32"/>
          <w:szCs w:val="32"/>
          <w:highlight w:val="none"/>
          <w:lang w:val="en-US" w:eastAsia="zh-CN"/>
        </w:rPr>
        <w:t>- 饮水机：≥1台</w:t>
      </w:r>
    </w:p>
    <w:p w14:paraId="0FF279E9">
      <w:pPr>
        <w:spacing w:after="20"/>
        <w:ind w:firstLine="664" w:firstLineChars="200"/>
        <w:rPr>
          <w:rFonts w:hint="default" w:ascii="方正楷体_GBK" w:hAnsi="方正楷体_GBK" w:eastAsia="方正楷体_GBK" w:cs="方正楷体_GBK"/>
          <w:b/>
          <w:bCs/>
          <w:spacing w:val="6"/>
          <w:sz w:val="32"/>
          <w:szCs w:val="32"/>
          <w:lang w:val="en-US" w:eastAsia="zh-CN"/>
        </w:rPr>
      </w:pPr>
      <w:r>
        <w:rPr>
          <w:rFonts w:hint="eastAsia" w:ascii="方正仿宋_GBK" w:hAnsi="方正仿宋_GBK" w:eastAsia="方正仿宋_GBK" w:cs="方正仿宋_GBK"/>
          <w:spacing w:val="6"/>
          <w:sz w:val="32"/>
          <w:szCs w:val="32"/>
          <w:lang w:val="en-US" w:eastAsia="zh-CN"/>
        </w:rPr>
        <w:t>- 办公桌椅：≥</w:t>
      </w:r>
    </w:p>
    <w:p w14:paraId="04FF0C82">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520"/>
        <w:textAlignment w:val="baseline"/>
        <w:rPr>
          <w:rFonts w:hint="eastAsia" w:ascii="方正楷体_GBK" w:hAnsi="方正楷体_GBK" w:eastAsia="方正楷体_GBK" w:cs="方正楷体_GBK"/>
          <w:b/>
          <w:bCs/>
          <w:spacing w:val="6"/>
          <w:sz w:val="32"/>
          <w:szCs w:val="32"/>
        </w:rPr>
      </w:pPr>
      <w:r>
        <w:rPr>
          <w:rFonts w:hint="eastAsia" w:ascii="方正楷体_GBK" w:hAnsi="方正楷体_GBK" w:eastAsia="方正楷体_GBK" w:cs="方正楷体_GBK"/>
          <w:b/>
          <w:bCs/>
          <w:spacing w:val="6"/>
          <w:sz w:val="32"/>
          <w:szCs w:val="32"/>
        </w:rPr>
        <w:t>（二）投标报价范围</w:t>
      </w:r>
    </w:p>
    <w:p w14:paraId="2A125611">
      <w:pPr>
        <w:pStyle w:val="8"/>
        <w:keepNext w:val="0"/>
        <w:keepLines w:val="0"/>
        <w:pageBreakBefore w:val="0"/>
        <w:widowControl/>
        <w:kinsoku w:val="0"/>
        <w:wordWrap/>
        <w:overflowPunct/>
        <w:topLinePunct w:val="0"/>
        <w:autoSpaceDE w:val="0"/>
        <w:autoSpaceDN w:val="0"/>
        <w:bidi w:val="0"/>
        <w:adjustRightInd w:val="0"/>
        <w:snapToGrid w:val="0"/>
        <w:spacing w:before="178" w:line="620" w:lineRule="exact"/>
        <w:ind w:left="33" w:firstLine="475"/>
        <w:jc w:val="both"/>
        <w:textAlignment w:val="baseline"/>
        <w:rPr>
          <w:spacing w:val="6"/>
        </w:rPr>
      </w:pPr>
      <w:r>
        <w:rPr>
          <w:rFonts w:hint="eastAsia" w:ascii="方正仿宋_GBK" w:hAnsi="方正仿宋_GBK" w:eastAsia="方正仿宋_GBK" w:cs="方正仿宋_GBK"/>
          <w:spacing w:val="6"/>
          <w:sz w:val="32"/>
          <w:szCs w:val="32"/>
          <w:lang w:val="en-US" w:eastAsia="zh-CN"/>
        </w:rPr>
        <w:t>投标报价包括承揽本项目物业服务一年的全部费用，包括人工工资（保险）、管理费、税金及招投标等所有费用，投标人应根据自身情况做出合理报价，缺报漏报的费用由投标人自行承担。</w:t>
      </w:r>
    </w:p>
    <w:p w14:paraId="2AB7A39D">
      <w:pPr>
        <w:rPr>
          <w:rFonts w:hint="eastAsia"/>
          <w:lang w:eastAsia="zh-CN"/>
        </w:rPr>
      </w:pPr>
    </w:p>
    <w:p w14:paraId="1C2E2615">
      <w:pPr>
        <w:rPr>
          <w:color w:val="FF0000"/>
        </w:rPr>
      </w:pPr>
      <w:r>
        <w:rPr>
          <w:rFonts w:hint="eastAsia"/>
          <w:color w:val="FF0000"/>
        </w:rPr>
        <w:t>备注：</w:t>
      </w:r>
      <w:r>
        <w:rPr>
          <w:rFonts w:hint="eastAsia" w:eastAsia="宋体"/>
          <w:color w:val="FF0000"/>
          <w:lang w:val="en-US" w:eastAsia="zh-CN"/>
        </w:rPr>
        <w:t>1</w:t>
      </w:r>
      <w:r>
        <w:rPr>
          <w:rFonts w:hint="eastAsia"/>
          <w:color w:val="FF0000"/>
        </w:rPr>
        <w:t>、如注明有单价控制金额的产品，投标人对该产品的报价不得超过控制金额，否则将作投标无效处理。</w:t>
      </w:r>
    </w:p>
    <w:p w14:paraId="59E8BBFE">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2139F447">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2C1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11CCA9A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16A32404">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645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F169536">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2B5FC5D9">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14:paraId="1119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14:paraId="497E7261">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服务期限及服务地点</w:t>
            </w:r>
          </w:p>
        </w:tc>
        <w:tc>
          <w:tcPr>
            <w:tcW w:w="8389" w:type="dxa"/>
            <w:tcBorders>
              <w:top w:val="single" w:color="auto" w:sz="4" w:space="0"/>
              <w:left w:val="single" w:color="auto" w:sz="4" w:space="0"/>
              <w:bottom w:val="single" w:color="auto" w:sz="4" w:space="0"/>
              <w:right w:val="single" w:color="auto" w:sz="4" w:space="0"/>
            </w:tcBorders>
            <w:vAlign w:val="center"/>
          </w:tcPr>
          <w:p w14:paraId="6617D823">
            <w:pPr>
              <w:pStyle w:val="8"/>
              <w:keepNext w:val="0"/>
              <w:keepLines w:val="0"/>
              <w:pageBreakBefore w:val="0"/>
              <w:widowControl/>
              <w:kinsoku w:val="0"/>
              <w:wordWrap/>
              <w:overflowPunct/>
              <w:topLinePunct w:val="0"/>
              <w:autoSpaceDE w:val="0"/>
              <w:autoSpaceDN w:val="0"/>
              <w:bidi w:val="0"/>
              <w:adjustRightInd w:val="0"/>
              <w:snapToGrid w:val="0"/>
              <w:spacing w:before="179" w:line="620" w:lineRule="exact"/>
              <w:ind w:right="32"/>
              <w:jc w:val="both"/>
              <w:textAlignment w:val="baseline"/>
              <w:rPr>
                <w:rFonts w:hint="eastAsia" w:ascii="微软雅黑" w:hAnsi="微软雅黑" w:eastAsia="微软雅黑" w:cs="微软雅黑"/>
                <w:i w:val="0"/>
                <w:iCs w:val="0"/>
                <w:caps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本次招标确定服务期限为三年，合同实行一年一签。每年度服务期满后，采购人将对中标单位上一年度履职情况开展综合考核，考核结果作为是否续签下一年度合同的主要依据。</w:t>
            </w:r>
          </w:p>
          <w:p w14:paraId="672CACCD">
            <w:pPr>
              <w:spacing w:after="60" w:afterLines="25" w:line="360" w:lineRule="exact"/>
              <w:rPr>
                <w:rFonts w:hint="default" w:ascii="宋体" w:hAnsi="宋体" w:eastAsia="微软雅黑" w:cs="宋体"/>
                <w:sz w:val="22"/>
                <w:szCs w:val="21"/>
                <w:lang w:val="en-US" w:eastAsia="zh-CN"/>
              </w:rPr>
            </w:pPr>
          </w:p>
        </w:tc>
      </w:tr>
      <w:tr w14:paraId="2EB8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14:paraId="590E0E17">
            <w:pPr>
              <w:spacing w:after="60" w:afterLines="25" w:line="360" w:lineRule="exact"/>
              <w:rPr>
                <w:rFonts w:hint="eastAsia" w:ascii="宋体" w:hAnsi="宋体" w:eastAsia="宋体" w:cs="仿宋_GB2312"/>
                <w:color w:val="FF0000"/>
                <w:sz w:val="22"/>
                <w:szCs w:val="28"/>
                <w:highlight w:val="green"/>
                <w:lang w:val="en-US" w:eastAsia="zh-CN"/>
              </w:rPr>
            </w:pPr>
            <w:r>
              <w:rPr>
                <w:rFonts w:hint="eastAsia" w:ascii="宋体" w:hAnsi="宋体" w:eastAsia="宋体"/>
                <w:b/>
                <w:bCs/>
                <w:color w:val="FF0000"/>
                <w:sz w:val="22"/>
                <w:szCs w:val="21"/>
              </w:rPr>
              <w:t>★</w:t>
            </w:r>
            <w:r>
              <w:rPr>
                <w:rFonts w:hint="eastAsia" w:ascii="宋体" w:hAnsi="宋体" w:eastAsia="宋体"/>
                <w:b/>
                <w:bCs/>
                <w:color w:val="FF0000"/>
                <w:sz w:val="22"/>
                <w:szCs w:val="21"/>
                <w:lang w:val="en-US" w:eastAsia="zh-CN"/>
              </w:rPr>
              <w:t>承诺</w:t>
            </w:r>
          </w:p>
        </w:tc>
        <w:tc>
          <w:tcPr>
            <w:tcW w:w="8389" w:type="dxa"/>
            <w:tcBorders>
              <w:top w:val="single" w:color="auto" w:sz="4" w:space="0"/>
              <w:left w:val="single" w:color="auto" w:sz="4" w:space="0"/>
              <w:bottom w:val="single" w:color="auto" w:sz="4" w:space="0"/>
              <w:right w:val="single" w:color="auto" w:sz="4" w:space="0"/>
            </w:tcBorders>
            <w:vAlign w:val="center"/>
          </w:tcPr>
          <w:p w14:paraId="64FCBF1F">
            <w:pPr>
              <w:spacing w:after="60" w:afterLines="25" w:line="360" w:lineRule="exact"/>
              <w:rPr>
                <w:rFonts w:hint="default" w:ascii="微软雅黑" w:hAnsi="微软雅黑" w:eastAsia="微软雅黑" w:cs="微软雅黑"/>
                <w:i w:val="0"/>
                <w:iCs w:val="0"/>
                <w:caps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医院发生突发情况时，优先保障医院正常运行，所产生的材料相关费用由公司先行承担，突发问题解决后再与医院共同协商费用。提供承诺函。</w:t>
            </w:r>
          </w:p>
        </w:tc>
      </w:tr>
      <w:tr w14:paraId="507A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E59A91B">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6E2CC7AF">
            <w:pPr>
              <w:pStyle w:val="8"/>
              <w:keepNext w:val="0"/>
              <w:keepLines w:val="0"/>
              <w:pageBreakBefore w:val="0"/>
              <w:widowControl/>
              <w:kinsoku w:val="0"/>
              <w:wordWrap/>
              <w:overflowPunct/>
              <w:topLinePunct w:val="0"/>
              <w:autoSpaceDE w:val="0"/>
              <w:autoSpaceDN w:val="0"/>
              <w:bidi w:val="0"/>
              <w:adjustRightInd w:val="0"/>
              <w:snapToGrid w:val="0"/>
              <w:spacing w:before="182" w:line="620" w:lineRule="exact"/>
              <w:textAlignment w:val="baseline"/>
              <w:rPr>
                <w:rFonts w:hint="default" w:ascii="微软雅黑" w:hAnsi="微软雅黑" w:eastAsia="微软雅黑" w:cs="微软雅黑"/>
                <w:i w:val="0"/>
                <w:iCs w:val="0"/>
                <w:caps w:val="0"/>
                <w:color w:val="333333"/>
                <w:spacing w:val="0"/>
                <w:sz w:val="21"/>
                <w:szCs w:val="21"/>
                <w:highlight w:val="none"/>
                <w:shd w:val="clear" w:fill="FFFFFF"/>
                <w:lang w:val="en-US" w:eastAsia="zh-CN"/>
              </w:rPr>
            </w:pP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按月支付物业管理费，当月实付物业管理费=当月应付物业管理费-考核扣除费用（如有）。中标物业公司次月 10 日前提供上月物业管理费付款资料，经采购单位审核无误后办理支付，遇节假日可适当顺延。根据物业需求完成情况，对于违反服务需求的，当月扣款当月支付金额的 10%-30%。</w:t>
            </w:r>
          </w:p>
          <w:p w14:paraId="0B262CE1">
            <w:pPr>
              <w:spacing w:after="60" w:afterLines="25" w:line="360" w:lineRule="exact"/>
              <w:rPr>
                <w:rFonts w:ascii="宋体" w:hAnsi="宋体" w:eastAsia="宋体"/>
                <w:sz w:val="22"/>
                <w:szCs w:val="21"/>
                <w:highlight w:val="none"/>
              </w:rPr>
            </w:pPr>
          </w:p>
        </w:tc>
      </w:tr>
      <w:tr w14:paraId="45E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57EB5921">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33AD0857">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喀什市人民医院</w:t>
            </w:r>
            <w:r>
              <w:rPr>
                <w:rFonts w:hint="eastAsia" w:ascii="宋体" w:hAnsi="宋体" w:eastAsia="宋体" w:cs="仿宋_GB2312"/>
                <w:sz w:val="22"/>
                <w:szCs w:val="28"/>
              </w:rPr>
              <w:t>组织验收。</w:t>
            </w:r>
          </w:p>
        </w:tc>
      </w:tr>
    </w:tbl>
    <w:p w14:paraId="2F6C2EE7">
      <w:pPr>
        <w:tabs>
          <w:tab w:val="left" w:pos="7016"/>
        </w:tabs>
        <w:rPr>
          <w:rFonts w:ascii="Arial" w:hAnsi="Arial" w:eastAsia="宋体"/>
        </w:rPr>
      </w:pPr>
      <w:r>
        <w:rPr>
          <w:rFonts w:ascii="Arial" w:hAnsi="Arial" w:eastAsia="宋体"/>
        </w:rPr>
        <w:tab/>
      </w:r>
    </w:p>
    <w:p w14:paraId="79E093B6">
      <w:pPr>
        <w:pStyle w:val="6"/>
        <w:rPr>
          <w:rFonts w:ascii="Arial" w:hAnsi="Arial" w:eastAsia="宋体"/>
        </w:rPr>
      </w:pPr>
    </w:p>
    <w:p w14:paraId="11A06C15">
      <w:pPr>
        <w:rPr>
          <w:rFonts w:ascii="Arial" w:hAnsi="Arial" w:eastAsia="宋体"/>
        </w:rPr>
      </w:pPr>
    </w:p>
    <w:p w14:paraId="73F04E51">
      <w:pPr>
        <w:pStyle w:val="6"/>
        <w:rPr>
          <w:rFonts w:ascii="Arial" w:hAnsi="Arial" w:eastAsia="宋体"/>
        </w:rPr>
      </w:pPr>
    </w:p>
    <w:p w14:paraId="7FCBA8E6">
      <w:pPr>
        <w:rPr>
          <w:rFonts w:ascii="Arial" w:hAnsi="Arial" w:eastAsia="宋体"/>
        </w:rPr>
      </w:pPr>
    </w:p>
    <w:p w14:paraId="77117057">
      <w:pPr>
        <w:pStyle w:val="6"/>
        <w:rPr>
          <w:rFonts w:ascii="Arial" w:hAnsi="Arial" w:eastAsia="宋体"/>
        </w:rPr>
      </w:pPr>
    </w:p>
    <w:p w14:paraId="07A716BA">
      <w:pPr>
        <w:rPr>
          <w:rFonts w:ascii="Arial" w:hAnsi="Arial" w:eastAsia="宋体"/>
        </w:rPr>
      </w:pPr>
    </w:p>
    <w:p w14:paraId="5796F7BE">
      <w:pPr>
        <w:pStyle w:val="6"/>
        <w:rPr>
          <w:rFonts w:ascii="Arial" w:hAnsi="Arial" w:eastAsia="宋体"/>
        </w:rPr>
      </w:pPr>
    </w:p>
    <w:p w14:paraId="47C234F9">
      <w:pPr>
        <w:rPr>
          <w:rFonts w:ascii="Arial" w:hAnsi="Arial" w:eastAsia="宋体"/>
        </w:rPr>
      </w:pPr>
    </w:p>
    <w:p w14:paraId="15DF268B">
      <w:pPr>
        <w:pStyle w:val="6"/>
      </w:pPr>
    </w:p>
    <w:p w14:paraId="02469952"/>
    <w:p w14:paraId="4F03C296">
      <w:pPr>
        <w:pStyle w:val="4"/>
      </w:pPr>
    </w:p>
    <w:p w14:paraId="21E7BF6C">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343F78F9">
      <w:pPr>
        <w:pStyle w:val="6"/>
        <w:numPr>
          <w:ilvl w:val="0"/>
          <w:numId w:val="0"/>
        </w:numPr>
      </w:pPr>
    </w:p>
    <w:p w14:paraId="4D7C3C4F"/>
    <w:p w14:paraId="0DA3E73C">
      <w:pPr>
        <w:pStyle w:val="6"/>
        <w:ind w:left="0" w:leftChars="0" w:firstLine="0" w:firstLineChars="0"/>
        <w:rPr>
          <w:rFonts w:hint="eastAsia" w:eastAsia="宋体"/>
          <w:lang w:eastAsia="zh-CN"/>
        </w:rPr>
      </w:pPr>
      <w:r>
        <w:rPr>
          <w:rFonts w:hint="eastAsia" w:eastAsia="宋体"/>
          <w:lang w:eastAsia="zh-CN"/>
        </w:rPr>
        <w:t>详见二、服务需求明细</w:t>
      </w:r>
    </w:p>
    <w:p w14:paraId="5AAF78EC">
      <w:pPr>
        <w:rPr>
          <w:rFonts w:hint="eastAsia" w:eastAsia="宋体"/>
          <w:lang w:eastAsia="zh-CN"/>
        </w:rPr>
      </w:pPr>
    </w:p>
    <w:p w14:paraId="0E37556D">
      <w:pPr>
        <w:pStyle w:val="6"/>
        <w:rPr>
          <w:rFonts w:hint="eastAsia" w:eastAsia="宋体"/>
          <w:lang w:eastAsia="zh-CN"/>
        </w:rPr>
      </w:pPr>
    </w:p>
    <w:p w14:paraId="0C80DFFE"/>
    <w:p w14:paraId="56BB434D">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1C78C473">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39E92981">
      <w:pPr>
        <w:jc w:val="center"/>
        <w:rPr>
          <w:rFonts w:ascii="黑体" w:eastAsia="黑体"/>
          <w:b/>
          <w:bCs/>
          <w:color w:val="FF0000"/>
          <w:sz w:val="28"/>
        </w:rPr>
      </w:pPr>
    </w:p>
    <w:p w14:paraId="49AA7571">
      <w:pPr>
        <w:rPr>
          <w:rFonts w:ascii="宋体" w:hAnsi="宋体" w:eastAsia="黑体"/>
          <w:bCs/>
          <w:kern w:val="44"/>
          <w:sz w:val="32"/>
          <w:szCs w:val="32"/>
        </w:rPr>
      </w:pPr>
      <w:r>
        <w:rPr>
          <w:rFonts w:hint="eastAsia" w:ascii="宋体" w:hAnsi="宋体" w:eastAsia="黑体"/>
          <w:bCs/>
          <w:kern w:val="44"/>
          <w:sz w:val="32"/>
          <w:szCs w:val="32"/>
        </w:rPr>
        <w:t>投标文件组成：</w:t>
      </w:r>
    </w:p>
    <w:p w14:paraId="61C8390D">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0A1E5360">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412A04B2">
      <w:pPr>
        <w:numPr>
          <w:ilvl w:val="0"/>
          <w:numId w:val="5"/>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政府采购投标及履约承诺函</w:t>
      </w:r>
      <w:bookmarkEnd w:id="9"/>
      <w:r>
        <w:rPr>
          <w:rFonts w:hint="eastAsia" w:ascii="宋体" w:hAnsi="宋体" w:eastAsia="宋体"/>
          <w:sz w:val="30"/>
          <w:szCs w:val="30"/>
        </w:rPr>
        <w:t>；</w:t>
      </w:r>
    </w:p>
    <w:p w14:paraId="3B979D25">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26B28A61">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会计事务所出具的2024或2025年度任意一年的年度财务审计报告书扫描件或影印件；（新办企业（营业执照所标注的成立日期距本项目开标日期一年内为新办企业）提供银行资信证明扫描件或影印件）；</w:t>
      </w:r>
    </w:p>
    <w:p w14:paraId="78FC5227">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企业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A44FEF7">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14:paraId="57F13EF1">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67575F33">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7B4B664C">
      <w:pPr>
        <w:numPr>
          <w:ilvl w:val="0"/>
          <w:numId w:val="5"/>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208FF11F">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2A4AB9C6">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C35642B">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53F7DB4F">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3A16DE4B">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（本项目为服务类，如有需求参照本表填写）</w:t>
      </w:r>
      <w:r>
        <w:rPr>
          <w:rFonts w:hint="eastAsia" w:ascii="宋体" w:hAnsi="宋体" w:eastAsia="宋体" w:cs="Times New Roman"/>
          <w:bCs/>
          <w:sz w:val="30"/>
          <w:szCs w:val="30"/>
        </w:rPr>
        <w:t>；</w:t>
      </w:r>
    </w:p>
    <w:p w14:paraId="602D0234">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6978EA1A">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1A8B71AB">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440C5A4F">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1ECD0DB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2B2AD947">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14:paraId="678B775A">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01CDA3E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74879ED4">
      <w:pPr>
        <w:snapToGrid w:val="0"/>
        <w:spacing w:after="60" w:afterLines="25"/>
        <w:rPr>
          <w:rFonts w:ascii="宋体" w:hAnsi="宋体" w:eastAsia="宋体" w:cs="宋体"/>
          <w:b/>
          <w:color w:val="FF0000"/>
          <w:sz w:val="32"/>
          <w:szCs w:val="32"/>
        </w:rPr>
      </w:pPr>
      <w:r>
        <w:br w:type="page"/>
      </w:r>
    </w:p>
    <w:p w14:paraId="37974B62">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67EE1979">
      <w:pPr>
        <w:spacing w:line="440" w:lineRule="exact"/>
        <w:rPr>
          <w:rFonts w:hint="eastAsia" w:asciiTheme="minorEastAsia" w:hAnsiTheme="minorEastAsia" w:eastAsiaTheme="minorEastAsia" w:cstheme="minorEastAsia"/>
          <w:b w:val="0"/>
          <w:bCs w:val="0"/>
          <w:szCs w:val="21"/>
        </w:rPr>
      </w:pPr>
    </w:p>
    <w:p w14:paraId="37021B9F">
      <w:pPr>
        <w:spacing w:line="440" w:lineRule="exact"/>
        <w:rPr>
          <w:rFonts w:hint="eastAsia" w:asciiTheme="minorEastAsia" w:hAnsiTheme="minorEastAsia" w:eastAsiaTheme="minorEastAsia" w:cstheme="minorEastAsia"/>
          <w:b w:val="0"/>
          <w:bCs w:val="0"/>
          <w:szCs w:val="21"/>
        </w:rPr>
      </w:pPr>
    </w:p>
    <w:p w14:paraId="1F5D1FF3">
      <w:pPr>
        <w:spacing w:line="440" w:lineRule="exact"/>
        <w:rPr>
          <w:rFonts w:hint="eastAsia" w:asciiTheme="minorEastAsia" w:hAnsiTheme="minorEastAsia" w:eastAsiaTheme="minorEastAsia" w:cstheme="minorEastAsia"/>
          <w:b w:val="0"/>
          <w:bCs w:val="0"/>
          <w:szCs w:val="21"/>
        </w:rPr>
      </w:pPr>
    </w:p>
    <w:p w14:paraId="31595212">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3A6C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3D6C868">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B49DFB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5188B66D">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11E7349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66A88802">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07E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279B6697">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DB373B5">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1CF6D4E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02CC9341">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6192D668">
            <w:pPr>
              <w:spacing w:line="440" w:lineRule="exact"/>
              <w:jc w:val="center"/>
              <w:rPr>
                <w:rFonts w:hint="eastAsia" w:asciiTheme="minorEastAsia" w:hAnsiTheme="minorEastAsia" w:eastAsiaTheme="minorEastAsia" w:cstheme="minorEastAsia"/>
                <w:b w:val="0"/>
                <w:bCs w:val="0"/>
                <w:sz w:val="24"/>
                <w:szCs w:val="28"/>
              </w:rPr>
            </w:pPr>
          </w:p>
        </w:tc>
      </w:tr>
    </w:tbl>
    <w:p w14:paraId="50823E3F">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490EED4E">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8045EF8">
      <w:pPr>
        <w:spacing w:line="600" w:lineRule="exact"/>
        <w:ind w:firstLine="560" w:firstLineChars="200"/>
        <w:rPr>
          <w:rFonts w:hint="eastAsia" w:asciiTheme="minorEastAsia" w:hAnsiTheme="minorEastAsia" w:eastAsiaTheme="minorEastAsia" w:cstheme="minorEastAsia"/>
          <w:sz w:val="28"/>
          <w:szCs w:val="28"/>
        </w:rPr>
      </w:pPr>
    </w:p>
    <w:p w14:paraId="2254C1DF">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3D1764F">
      <w:pPr>
        <w:pStyle w:val="17"/>
        <w:rPr>
          <w:rFonts w:hint="eastAsia" w:asciiTheme="minorEastAsia" w:hAnsiTheme="minorEastAsia" w:eastAsiaTheme="minorEastAsia" w:cstheme="minorEastAsia"/>
        </w:rPr>
      </w:pPr>
    </w:p>
    <w:p w14:paraId="102F64CC">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56478C">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C92330B">
      <w:pPr>
        <w:pStyle w:val="14"/>
        <w:rPr>
          <w:rFonts w:hint="eastAsia" w:ascii="仿宋" w:hAnsi="仿宋" w:eastAsia="仿宋"/>
          <w:sz w:val="28"/>
          <w:szCs w:val="28"/>
        </w:rPr>
      </w:pPr>
    </w:p>
    <w:p w14:paraId="280F5882">
      <w:pPr>
        <w:pStyle w:val="14"/>
        <w:rPr>
          <w:rFonts w:hint="eastAsia" w:ascii="仿宋" w:hAnsi="仿宋" w:eastAsia="仿宋"/>
          <w:sz w:val="28"/>
          <w:szCs w:val="28"/>
        </w:rPr>
      </w:pPr>
    </w:p>
    <w:p w14:paraId="16A35BE2">
      <w:pPr>
        <w:pStyle w:val="14"/>
        <w:rPr>
          <w:rFonts w:hint="eastAsia" w:ascii="仿宋" w:hAnsi="仿宋" w:eastAsia="仿宋"/>
          <w:sz w:val="28"/>
          <w:szCs w:val="28"/>
        </w:rPr>
      </w:pPr>
    </w:p>
    <w:p w14:paraId="7CE11507">
      <w:pPr>
        <w:pStyle w:val="14"/>
        <w:rPr>
          <w:rFonts w:hint="eastAsia" w:ascii="仿宋" w:hAnsi="仿宋" w:eastAsia="仿宋"/>
          <w:sz w:val="28"/>
          <w:szCs w:val="28"/>
        </w:rPr>
      </w:pPr>
    </w:p>
    <w:p w14:paraId="450DF8B4">
      <w:pPr>
        <w:spacing w:after="60" w:afterLines="25" w:line="300" w:lineRule="auto"/>
      </w:pPr>
    </w:p>
    <w:p w14:paraId="667B3986">
      <w:pPr>
        <w:spacing w:after="60" w:afterLines="25" w:line="300" w:lineRule="auto"/>
      </w:pPr>
    </w:p>
    <w:p w14:paraId="1D118796">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64004C65">
      <w:pPr>
        <w:snapToGrid w:val="0"/>
        <w:spacing w:line="360" w:lineRule="auto"/>
        <w:rPr>
          <w:rFonts w:ascii="Arial" w:hAnsi="Arial" w:eastAsia="宋体"/>
        </w:rPr>
      </w:pPr>
    </w:p>
    <w:p w14:paraId="4DB30002">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喀什市人民医院</w:t>
      </w:r>
    </w:p>
    <w:p w14:paraId="2BE2E512">
      <w:pPr>
        <w:ind w:right="-815" w:firstLine="480" w:firstLineChars="200"/>
        <w:rPr>
          <w:rFonts w:ascii="宋体" w:hAnsi="宋体"/>
          <w:szCs w:val="21"/>
        </w:rPr>
      </w:pPr>
      <w:r>
        <w:rPr>
          <w:rFonts w:hint="eastAsia" w:ascii="宋体" w:hAnsi="宋体"/>
          <w:szCs w:val="21"/>
        </w:rPr>
        <w:t>我单位承诺：</w:t>
      </w:r>
    </w:p>
    <w:p w14:paraId="065C8760">
      <w:pPr>
        <w:ind w:firstLine="480" w:firstLineChars="200"/>
        <w:rPr>
          <w:rFonts w:ascii="宋体" w:hAnsi="宋体"/>
          <w:szCs w:val="21"/>
        </w:rPr>
      </w:pPr>
      <w:r>
        <w:rPr>
          <w:rFonts w:hint="eastAsia" w:ascii="宋体" w:hAnsi="宋体"/>
          <w:szCs w:val="21"/>
        </w:rPr>
        <w:t>1.我单位本招标项目所提供的货物或服务未侵犯知识产权。</w:t>
      </w:r>
    </w:p>
    <w:p w14:paraId="6D8ACC6F">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F8236D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38208920">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38295B9F">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0401BDD8">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6BBF9E01">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92778A6">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66C8D1E">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D7FA0">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119E09DF">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rPr>
        <w:t>设计权等知识产权和侵犯其所有权、抵押权等物权及其他权利而引发的纠纷；如有纠纷，我单位承担全部责任。</w:t>
      </w:r>
    </w:p>
    <w:p w14:paraId="6CE86BA3">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745A4309">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B5C4200">
      <w:pPr>
        <w:snapToGrid w:val="0"/>
        <w:rPr>
          <w:rFonts w:ascii="宋体" w:hAnsi="宋体" w:eastAsia="宋体"/>
        </w:rPr>
      </w:pPr>
    </w:p>
    <w:p w14:paraId="00CBDC44">
      <w:pPr>
        <w:snapToGrid w:val="0"/>
        <w:ind w:right="420"/>
        <w:rPr>
          <w:rFonts w:ascii="宋体" w:hAnsi="宋体" w:eastAsia="宋体"/>
        </w:rPr>
      </w:pPr>
      <w:r>
        <w:rPr>
          <w:rFonts w:hint="eastAsia" w:ascii="宋体" w:hAnsi="宋体" w:eastAsia="宋体"/>
        </w:rPr>
        <w:t xml:space="preserve">                       投标单位（投标人）名称</w:t>
      </w:r>
      <w:r>
        <w:rPr>
          <w:rFonts w:hint="eastAsia" w:asciiTheme="minorEastAsia" w:hAnsiTheme="minorEastAsia" w:eastAsiaTheme="minorEastAsia" w:cstheme="minorEastAsia"/>
          <w:sz w:val="28"/>
          <w:szCs w:val="28"/>
        </w:rPr>
        <w:t>（单位盖章）</w:t>
      </w:r>
      <w:r>
        <w:rPr>
          <w:rFonts w:hint="eastAsia" w:ascii="宋体" w:hAnsi="宋体" w:eastAsia="宋体"/>
        </w:rPr>
        <w:t>：</w:t>
      </w:r>
    </w:p>
    <w:p w14:paraId="6BA94BBD">
      <w:pPr>
        <w:snapToGrid w:val="0"/>
        <w:ind w:right="450" w:firstLine="480" w:firstLineChars="200"/>
        <w:jc w:val="right"/>
        <w:rPr>
          <w:rFonts w:ascii="宋体" w:hAnsi="宋体" w:eastAsia="宋体"/>
        </w:rPr>
      </w:pPr>
      <w:r>
        <w:rPr>
          <w:rFonts w:hint="eastAsia" w:ascii="宋体" w:hAnsi="宋体" w:eastAsia="宋体"/>
        </w:rPr>
        <w:t>年月日</w:t>
      </w:r>
    </w:p>
    <w:p w14:paraId="2D2A2D08">
      <w:pPr>
        <w:snapToGrid w:val="0"/>
        <w:spacing w:line="360" w:lineRule="auto"/>
        <w:ind w:right="450" w:firstLine="480" w:firstLineChars="200"/>
        <w:jc w:val="right"/>
        <w:rPr>
          <w:rFonts w:ascii="仿宋" w:hAnsi="仿宋" w:eastAsia="仿宋"/>
        </w:rPr>
      </w:pPr>
    </w:p>
    <w:p w14:paraId="2638A8F2">
      <w:pPr>
        <w:snapToGrid w:val="0"/>
        <w:spacing w:line="360" w:lineRule="auto"/>
        <w:ind w:right="450" w:firstLine="480" w:firstLineChars="200"/>
        <w:jc w:val="right"/>
        <w:rPr>
          <w:rFonts w:ascii="仿宋" w:hAnsi="仿宋" w:eastAsia="仿宋"/>
        </w:rPr>
      </w:pPr>
    </w:p>
    <w:p w14:paraId="5D958A1D">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D67F5C1">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B5ADEBF">
      <w:pPr>
        <w:rPr>
          <w:rFonts w:hint="eastAsia"/>
        </w:rPr>
      </w:pPr>
    </w:p>
    <w:p w14:paraId="0C40F7CD">
      <w:pPr>
        <w:rPr>
          <w:rFonts w:hint="eastAsia"/>
        </w:rPr>
      </w:pPr>
    </w:p>
    <w:p w14:paraId="6E75522D">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66130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0788886B">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7AFDE771">
      <w:pPr>
        <w:pStyle w:val="16"/>
        <w:rPr>
          <w:rFonts w:hint="eastAsia"/>
        </w:rPr>
      </w:pPr>
    </w:p>
    <w:p w14:paraId="3772C18E">
      <w:pPr>
        <w:rPr>
          <w:rFonts w:hint="eastAsia"/>
        </w:rPr>
      </w:pPr>
    </w:p>
    <w:p w14:paraId="61831E06">
      <w:pPr>
        <w:pStyle w:val="16"/>
        <w:rPr>
          <w:rFonts w:hint="eastAsia"/>
        </w:rPr>
      </w:pPr>
    </w:p>
    <w:p w14:paraId="60C8CF4C">
      <w:pPr>
        <w:rPr>
          <w:rFonts w:hint="eastAsia"/>
        </w:rPr>
      </w:pPr>
    </w:p>
    <w:p w14:paraId="5312639D">
      <w:pPr>
        <w:pStyle w:val="16"/>
        <w:rPr>
          <w:rFonts w:hint="eastAsia"/>
        </w:rPr>
      </w:pPr>
    </w:p>
    <w:p w14:paraId="4B19C4CD">
      <w:pPr>
        <w:rPr>
          <w:rFonts w:hint="eastAsia"/>
        </w:rPr>
      </w:pPr>
    </w:p>
    <w:p w14:paraId="39B23386">
      <w:pPr>
        <w:pStyle w:val="16"/>
        <w:rPr>
          <w:rFonts w:hint="eastAsia"/>
        </w:rPr>
      </w:pPr>
    </w:p>
    <w:p w14:paraId="2150D2E3">
      <w:pPr>
        <w:rPr>
          <w:rFonts w:hint="eastAsia"/>
        </w:rPr>
      </w:pPr>
    </w:p>
    <w:p w14:paraId="52D1BBAE">
      <w:pPr>
        <w:pStyle w:val="16"/>
        <w:rPr>
          <w:rFonts w:hint="eastAsia"/>
        </w:rPr>
      </w:pPr>
    </w:p>
    <w:p w14:paraId="5B75D22C">
      <w:pPr>
        <w:rPr>
          <w:rFonts w:hint="eastAsia"/>
        </w:rPr>
      </w:pPr>
    </w:p>
    <w:p w14:paraId="43F86437">
      <w:pPr>
        <w:pStyle w:val="16"/>
        <w:rPr>
          <w:rFonts w:hint="eastAsia"/>
        </w:rPr>
      </w:pPr>
    </w:p>
    <w:p w14:paraId="6A3D35F1">
      <w:pPr>
        <w:rPr>
          <w:rFonts w:hint="eastAsia"/>
        </w:rPr>
      </w:pPr>
    </w:p>
    <w:p w14:paraId="73BDC5E9">
      <w:pPr>
        <w:pStyle w:val="16"/>
        <w:rPr>
          <w:rFonts w:hint="eastAsia"/>
        </w:rPr>
      </w:pPr>
    </w:p>
    <w:p w14:paraId="02CDC7BD">
      <w:pPr>
        <w:rPr>
          <w:rFonts w:hint="eastAsia"/>
        </w:rPr>
      </w:pPr>
    </w:p>
    <w:p w14:paraId="4B633287">
      <w:pPr>
        <w:pStyle w:val="16"/>
        <w:rPr>
          <w:rFonts w:hint="eastAsia"/>
        </w:rPr>
      </w:pPr>
    </w:p>
    <w:p w14:paraId="295C544C">
      <w:pPr>
        <w:rPr>
          <w:rFonts w:hint="eastAsia"/>
        </w:rPr>
      </w:pPr>
    </w:p>
    <w:p w14:paraId="0C39E9D0">
      <w:pPr>
        <w:pStyle w:val="16"/>
        <w:rPr>
          <w:rFonts w:hint="eastAsia"/>
        </w:rPr>
      </w:pPr>
    </w:p>
    <w:p w14:paraId="7FEC3AE2">
      <w:pPr>
        <w:rPr>
          <w:rFonts w:hint="eastAsia"/>
        </w:rPr>
      </w:pPr>
    </w:p>
    <w:p w14:paraId="4A923F59">
      <w:pPr>
        <w:pStyle w:val="16"/>
        <w:rPr>
          <w:rFonts w:hint="eastAsia"/>
        </w:rPr>
      </w:pPr>
    </w:p>
    <w:p w14:paraId="1F711B1E">
      <w:pPr>
        <w:rPr>
          <w:rFonts w:hint="eastAsia"/>
        </w:rPr>
      </w:pPr>
    </w:p>
    <w:p w14:paraId="35C17C2A">
      <w:pPr>
        <w:pStyle w:val="16"/>
        <w:rPr>
          <w:rFonts w:hint="eastAsia"/>
        </w:rPr>
      </w:pPr>
    </w:p>
    <w:p w14:paraId="2E8DD932">
      <w:pPr>
        <w:rPr>
          <w:rFonts w:hint="eastAsia"/>
        </w:rPr>
      </w:pPr>
    </w:p>
    <w:p w14:paraId="70BDF5F4">
      <w:pPr>
        <w:pStyle w:val="16"/>
        <w:rPr>
          <w:rFonts w:hint="eastAsia"/>
        </w:rPr>
      </w:pPr>
    </w:p>
    <w:p w14:paraId="6BC863FE">
      <w:pPr>
        <w:rPr>
          <w:rFonts w:hint="eastAsia"/>
        </w:rPr>
      </w:pPr>
    </w:p>
    <w:p w14:paraId="033572ED">
      <w:pPr>
        <w:pStyle w:val="16"/>
        <w:rPr>
          <w:rFonts w:hint="eastAsia"/>
        </w:rPr>
      </w:pPr>
    </w:p>
    <w:p w14:paraId="40DCF078">
      <w:pPr>
        <w:rPr>
          <w:rFonts w:hint="eastAsia"/>
        </w:rPr>
      </w:pPr>
    </w:p>
    <w:p w14:paraId="20F1415A">
      <w:pPr>
        <w:pStyle w:val="16"/>
        <w:rPr>
          <w:rFonts w:hint="eastAsia"/>
        </w:rPr>
      </w:pPr>
    </w:p>
    <w:p w14:paraId="1B214357">
      <w:pPr>
        <w:pStyle w:val="16"/>
        <w:ind w:left="0" w:leftChars="0" w:firstLine="0" w:firstLineChars="0"/>
        <w:rPr>
          <w:rFonts w:hint="eastAsia"/>
        </w:rPr>
      </w:pPr>
    </w:p>
    <w:p w14:paraId="23973DE9">
      <w:pPr>
        <w:rPr>
          <w:rFonts w:hint="eastAsia"/>
        </w:rPr>
      </w:pPr>
    </w:p>
    <w:p w14:paraId="7639382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2AD3335D">
      <w:pPr>
        <w:tabs>
          <w:tab w:val="left" w:pos="5580"/>
        </w:tabs>
        <w:spacing w:line="240" w:lineRule="atLeast"/>
        <w:ind w:left="1156" w:leftChars="257" w:hanging="540"/>
        <w:rPr>
          <w:rFonts w:hint="eastAsia" w:ascii="仿宋_GB2312" w:eastAsia="仿宋_GB2312"/>
          <w:sz w:val="24"/>
        </w:rPr>
      </w:pPr>
    </w:p>
    <w:p w14:paraId="753A570D">
      <w:pPr>
        <w:pStyle w:val="28"/>
        <w:numPr>
          <w:ilvl w:val="0"/>
          <w:numId w:val="0"/>
        </w:numPr>
        <w:ind w:left="900" w:leftChars="0"/>
        <w:jc w:val="both"/>
        <w:rPr>
          <w:rFonts w:hint="eastAsia" w:eastAsia="宋体"/>
          <w:lang w:eastAsia="zh-CN"/>
        </w:rPr>
      </w:pPr>
      <w:r>
        <w:rPr>
          <w:rFonts w:hint="eastAsia" w:eastAsia="宋体"/>
          <w:lang w:eastAsia="zh-CN"/>
        </w:rPr>
        <w:t>说明：</w:t>
      </w:r>
    </w:p>
    <w:p w14:paraId="125EE8F8">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1、提供会计事务所出具的</w:t>
      </w:r>
      <w:r>
        <w:rPr>
          <w:rFonts w:hint="eastAsia" w:ascii="仿宋_GB2312" w:eastAsia="仿宋_GB2312"/>
          <w:sz w:val="24"/>
          <w:lang w:eastAsia="zh-CN"/>
        </w:rPr>
        <w:t>2024或2025</w:t>
      </w:r>
      <w:r>
        <w:rPr>
          <w:rFonts w:hint="eastAsia" w:ascii="仿宋_GB2312" w:eastAsia="仿宋_GB2312"/>
          <w:sz w:val="24"/>
        </w:rPr>
        <w:t>年度任意一年的年度财务审计报告书扫描件或影印件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12957AFE">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2E7BB8D4">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0042CDFE">
      <w:pPr>
        <w:jc w:val="center"/>
        <w:rPr>
          <w:rFonts w:hint="eastAsia" w:asciiTheme="majorEastAsia" w:hAnsiTheme="majorEastAsia" w:eastAsiaTheme="majorEastAsia" w:cstheme="majorEastAsia"/>
          <w:b/>
          <w:bCs/>
          <w:szCs w:val="20"/>
          <w:lang w:val="en-US" w:eastAsia="zh-CN"/>
        </w:rPr>
      </w:pPr>
    </w:p>
    <w:p w14:paraId="4E56A8B2">
      <w:pPr>
        <w:jc w:val="center"/>
        <w:rPr>
          <w:rFonts w:hint="eastAsia" w:asciiTheme="majorEastAsia" w:hAnsiTheme="majorEastAsia" w:eastAsiaTheme="majorEastAsia" w:cstheme="majorEastAsia"/>
          <w:b/>
          <w:bCs/>
          <w:szCs w:val="20"/>
          <w:lang w:val="en-US" w:eastAsia="zh-CN"/>
        </w:rPr>
      </w:pPr>
    </w:p>
    <w:p w14:paraId="63162496">
      <w:pPr>
        <w:pStyle w:val="16"/>
        <w:rPr>
          <w:rFonts w:hint="eastAsia" w:asciiTheme="majorEastAsia" w:hAnsiTheme="majorEastAsia" w:eastAsiaTheme="majorEastAsia" w:cstheme="majorEastAsia"/>
          <w:b/>
          <w:bCs/>
          <w:szCs w:val="20"/>
          <w:lang w:val="en-US" w:eastAsia="zh-CN"/>
        </w:rPr>
      </w:pPr>
    </w:p>
    <w:p w14:paraId="19071BCD">
      <w:pPr>
        <w:rPr>
          <w:rFonts w:hint="eastAsia" w:asciiTheme="majorEastAsia" w:hAnsiTheme="majorEastAsia" w:eastAsiaTheme="majorEastAsia" w:cstheme="majorEastAsia"/>
          <w:b/>
          <w:bCs/>
          <w:szCs w:val="20"/>
          <w:lang w:val="en-US" w:eastAsia="zh-CN"/>
        </w:rPr>
      </w:pPr>
    </w:p>
    <w:p w14:paraId="259AE6EB">
      <w:pPr>
        <w:pStyle w:val="16"/>
        <w:rPr>
          <w:rFonts w:hint="eastAsia" w:asciiTheme="majorEastAsia" w:hAnsiTheme="majorEastAsia" w:eastAsiaTheme="majorEastAsia" w:cstheme="majorEastAsia"/>
          <w:b/>
          <w:bCs/>
          <w:szCs w:val="20"/>
          <w:lang w:val="en-US" w:eastAsia="zh-CN"/>
        </w:rPr>
      </w:pPr>
    </w:p>
    <w:p w14:paraId="010AB339">
      <w:pPr>
        <w:rPr>
          <w:rFonts w:hint="eastAsia" w:asciiTheme="majorEastAsia" w:hAnsiTheme="majorEastAsia" w:eastAsiaTheme="majorEastAsia" w:cstheme="majorEastAsia"/>
          <w:b/>
          <w:bCs/>
          <w:szCs w:val="20"/>
          <w:lang w:val="en-US" w:eastAsia="zh-CN"/>
        </w:rPr>
      </w:pPr>
    </w:p>
    <w:p w14:paraId="2A4E4FC5">
      <w:pPr>
        <w:pStyle w:val="16"/>
        <w:rPr>
          <w:rFonts w:hint="eastAsia" w:asciiTheme="majorEastAsia" w:hAnsiTheme="majorEastAsia" w:eastAsiaTheme="majorEastAsia" w:cstheme="majorEastAsia"/>
          <w:b/>
          <w:bCs/>
          <w:szCs w:val="20"/>
          <w:lang w:val="en-US" w:eastAsia="zh-CN"/>
        </w:rPr>
      </w:pPr>
    </w:p>
    <w:p w14:paraId="505C0930">
      <w:pPr>
        <w:rPr>
          <w:rFonts w:hint="eastAsia" w:asciiTheme="majorEastAsia" w:hAnsiTheme="majorEastAsia" w:eastAsiaTheme="majorEastAsia" w:cstheme="majorEastAsia"/>
          <w:b/>
          <w:bCs/>
          <w:szCs w:val="20"/>
          <w:lang w:val="en-US" w:eastAsia="zh-CN"/>
        </w:rPr>
      </w:pPr>
    </w:p>
    <w:p w14:paraId="3E4E748E">
      <w:pPr>
        <w:pStyle w:val="16"/>
        <w:rPr>
          <w:rFonts w:hint="eastAsia" w:asciiTheme="majorEastAsia" w:hAnsiTheme="majorEastAsia" w:eastAsiaTheme="majorEastAsia" w:cstheme="majorEastAsia"/>
          <w:b/>
          <w:bCs/>
          <w:szCs w:val="20"/>
          <w:lang w:val="en-US" w:eastAsia="zh-CN"/>
        </w:rPr>
      </w:pPr>
    </w:p>
    <w:p w14:paraId="4E15A19B">
      <w:pPr>
        <w:rPr>
          <w:rFonts w:hint="eastAsia" w:asciiTheme="majorEastAsia" w:hAnsiTheme="majorEastAsia" w:eastAsiaTheme="majorEastAsia" w:cstheme="majorEastAsia"/>
          <w:b/>
          <w:bCs/>
          <w:szCs w:val="20"/>
          <w:lang w:val="en-US" w:eastAsia="zh-CN"/>
        </w:rPr>
      </w:pPr>
    </w:p>
    <w:p w14:paraId="5B8C9130">
      <w:pPr>
        <w:pStyle w:val="16"/>
        <w:rPr>
          <w:rFonts w:hint="eastAsia" w:asciiTheme="majorEastAsia" w:hAnsiTheme="majorEastAsia" w:eastAsiaTheme="majorEastAsia" w:cstheme="majorEastAsia"/>
          <w:b/>
          <w:bCs/>
          <w:szCs w:val="20"/>
          <w:lang w:val="en-US" w:eastAsia="zh-CN"/>
        </w:rPr>
      </w:pPr>
    </w:p>
    <w:p w14:paraId="4C233A6D">
      <w:pPr>
        <w:rPr>
          <w:rFonts w:hint="eastAsia" w:asciiTheme="majorEastAsia" w:hAnsiTheme="majorEastAsia" w:eastAsiaTheme="majorEastAsia" w:cstheme="majorEastAsia"/>
          <w:b/>
          <w:bCs/>
          <w:szCs w:val="20"/>
          <w:lang w:val="en-US" w:eastAsia="zh-CN"/>
        </w:rPr>
      </w:pPr>
    </w:p>
    <w:p w14:paraId="266592B7">
      <w:pPr>
        <w:pStyle w:val="16"/>
        <w:rPr>
          <w:rFonts w:hint="eastAsia" w:asciiTheme="majorEastAsia" w:hAnsiTheme="majorEastAsia" w:eastAsiaTheme="majorEastAsia" w:cstheme="majorEastAsia"/>
          <w:b/>
          <w:bCs/>
          <w:szCs w:val="20"/>
          <w:lang w:val="en-US" w:eastAsia="zh-CN"/>
        </w:rPr>
      </w:pPr>
    </w:p>
    <w:p w14:paraId="1B40D6AB">
      <w:pPr>
        <w:rPr>
          <w:rFonts w:hint="eastAsia" w:asciiTheme="majorEastAsia" w:hAnsiTheme="majorEastAsia" w:eastAsiaTheme="majorEastAsia" w:cstheme="majorEastAsia"/>
          <w:b/>
          <w:bCs/>
          <w:szCs w:val="20"/>
          <w:lang w:val="en-US" w:eastAsia="zh-CN"/>
        </w:rPr>
      </w:pPr>
    </w:p>
    <w:p w14:paraId="402E19AC">
      <w:pPr>
        <w:pStyle w:val="16"/>
        <w:rPr>
          <w:rFonts w:hint="eastAsia" w:asciiTheme="majorEastAsia" w:hAnsiTheme="majorEastAsia" w:eastAsiaTheme="majorEastAsia" w:cstheme="majorEastAsia"/>
          <w:b/>
          <w:bCs/>
          <w:szCs w:val="20"/>
          <w:lang w:val="en-US" w:eastAsia="zh-CN"/>
        </w:rPr>
      </w:pPr>
    </w:p>
    <w:p w14:paraId="51DC1232">
      <w:pPr>
        <w:rPr>
          <w:rFonts w:hint="eastAsia" w:asciiTheme="majorEastAsia" w:hAnsiTheme="majorEastAsia" w:eastAsiaTheme="majorEastAsia" w:cstheme="majorEastAsia"/>
          <w:b/>
          <w:bCs/>
          <w:szCs w:val="20"/>
          <w:lang w:val="en-US" w:eastAsia="zh-CN"/>
        </w:rPr>
      </w:pPr>
    </w:p>
    <w:p w14:paraId="41C7B422">
      <w:pPr>
        <w:pStyle w:val="16"/>
        <w:rPr>
          <w:rFonts w:hint="eastAsia" w:asciiTheme="majorEastAsia" w:hAnsiTheme="majorEastAsia" w:eastAsiaTheme="majorEastAsia" w:cstheme="majorEastAsia"/>
          <w:b/>
          <w:bCs/>
          <w:szCs w:val="20"/>
          <w:lang w:val="en-US" w:eastAsia="zh-CN"/>
        </w:rPr>
      </w:pPr>
    </w:p>
    <w:p w14:paraId="21BEA4E7">
      <w:pPr>
        <w:rPr>
          <w:rFonts w:hint="eastAsia" w:asciiTheme="majorEastAsia" w:hAnsiTheme="majorEastAsia" w:eastAsiaTheme="majorEastAsia" w:cstheme="majorEastAsia"/>
          <w:b/>
          <w:bCs/>
          <w:szCs w:val="20"/>
          <w:lang w:val="en-US" w:eastAsia="zh-CN"/>
        </w:rPr>
      </w:pPr>
    </w:p>
    <w:p w14:paraId="77521B14">
      <w:pPr>
        <w:pStyle w:val="16"/>
        <w:rPr>
          <w:rFonts w:hint="eastAsia" w:asciiTheme="majorEastAsia" w:hAnsiTheme="majorEastAsia" w:eastAsiaTheme="majorEastAsia" w:cstheme="majorEastAsia"/>
          <w:b/>
          <w:bCs/>
          <w:szCs w:val="20"/>
          <w:lang w:val="en-US" w:eastAsia="zh-CN"/>
        </w:rPr>
      </w:pPr>
    </w:p>
    <w:p w14:paraId="2D112F64">
      <w:pPr>
        <w:rPr>
          <w:rFonts w:hint="eastAsia" w:asciiTheme="majorEastAsia" w:hAnsiTheme="majorEastAsia" w:eastAsiaTheme="majorEastAsia" w:cstheme="majorEastAsia"/>
          <w:b/>
          <w:bCs/>
          <w:szCs w:val="20"/>
          <w:lang w:val="en-US" w:eastAsia="zh-CN"/>
        </w:rPr>
      </w:pPr>
    </w:p>
    <w:p w14:paraId="7A2C8F72">
      <w:pPr>
        <w:pStyle w:val="16"/>
        <w:rPr>
          <w:rFonts w:hint="eastAsia" w:asciiTheme="majorEastAsia" w:hAnsiTheme="majorEastAsia" w:eastAsiaTheme="majorEastAsia" w:cstheme="majorEastAsia"/>
          <w:b/>
          <w:bCs/>
          <w:szCs w:val="20"/>
          <w:lang w:val="en-US" w:eastAsia="zh-CN"/>
        </w:rPr>
      </w:pPr>
    </w:p>
    <w:p w14:paraId="3490CBBD">
      <w:pPr>
        <w:rPr>
          <w:rFonts w:hint="eastAsia" w:asciiTheme="majorEastAsia" w:hAnsiTheme="majorEastAsia" w:eastAsiaTheme="majorEastAsia" w:cstheme="majorEastAsia"/>
          <w:b/>
          <w:bCs/>
          <w:szCs w:val="20"/>
          <w:lang w:val="en-US" w:eastAsia="zh-CN"/>
        </w:rPr>
      </w:pPr>
    </w:p>
    <w:p w14:paraId="0481348A">
      <w:pPr>
        <w:pStyle w:val="16"/>
        <w:rPr>
          <w:rFonts w:hint="eastAsia" w:asciiTheme="majorEastAsia" w:hAnsiTheme="majorEastAsia" w:eastAsiaTheme="majorEastAsia" w:cstheme="majorEastAsia"/>
          <w:b/>
          <w:bCs/>
          <w:szCs w:val="20"/>
          <w:lang w:val="en-US" w:eastAsia="zh-CN"/>
        </w:rPr>
      </w:pPr>
    </w:p>
    <w:p w14:paraId="7E706D5F">
      <w:pPr>
        <w:rPr>
          <w:rFonts w:hint="eastAsia" w:asciiTheme="majorEastAsia" w:hAnsiTheme="majorEastAsia" w:eastAsiaTheme="majorEastAsia" w:cstheme="majorEastAsia"/>
          <w:b/>
          <w:bCs/>
          <w:szCs w:val="20"/>
          <w:lang w:val="en-US" w:eastAsia="zh-CN"/>
        </w:rPr>
      </w:pPr>
    </w:p>
    <w:p w14:paraId="78E805AD">
      <w:pPr>
        <w:pStyle w:val="16"/>
        <w:ind w:left="0" w:leftChars="0" w:firstLine="0" w:firstLineChars="0"/>
        <w:rPr>
          <w:rFonts w:hint="eastAsia"/>
          <w:lang w:val="en-US" w:eastAsia="zh-CN"/>
        </w:rPr>
      </w:pPr>
    </w:p>
    <w:p w14:paraId="065E37DD">
      <w:pPr>
        <w:rPr>
          <w:rFonts w:hint="eastAsia"/>
          <w:lang w:val="en-US" w:eastAsia="zh-CN"/>
        </w:rPr>
      </w:pPr>
    </w:p>
    <w:p w14:paraId="5E7F7C90">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558A2F2A">
      <w:pPr>
        <w:tabs>
          <w:tab w:val="left" w:pos="5580"/>
        </w:tabs>
        <w:spacing w:line="240" w:lineRule="atLeast"/>
        <w:ind w:left="540"/>
        <w:rPr>
          <w:rFonts w:hint="eastAsia" w:ascii="仿宋_GB2312" w:eastAsia="仿宋_GB2312"/>
          <w:sz w:val="24"/>
          <w:lang w:val="en-US" w:eastAsia="zh-CN"/>
        </w:rPr>
      </w:pPr>
    </w:p>
    <w:p w14:paraId="1C4C9A07">
      <w:pPr>
        <w:tabs>
          <w:tab w:val="left" w:pos="5580"/>
        </w:tabs>
        <w:spacing w:line="240" w:lineRule="atLeast"/>
        <w:ind w:left="540"/>
        <w:rPr>
          <w:rFonts w:hint="eastAsia" w:ascii="仿宋_GB2312" w:eastAsia="仿宋_GB2312"/>
          <w:sz w:val="24"/>
          <w:lang w:val="en-US" w:eastAsia="zh-CN"/>
        </w:rPr>
      </w:pPr>
    </w:p>
    <w:p w14:paraId="36EC934C">
      <w:pPr>
        <w:numPr>
          <w:ilvl w:val="0"/>
          <w:numId w:val="6"/>
        </w:numPr>
        <w:tabs>
          <w:tab w:val="left" w:pos="5580"/>
        </w:tabs>
        <w:spacing w:line="240" w:lineRule="atLeast"/>
        <w:ind w:left="540"/>
        <w:rPr>
          <w:rFonts w:hint="eastAsia" w:ascii="仿宋_GB2312" w:eastAsia="仿宋_GB2312"/>
          <w:sz w:val="24"/>
          <w:lang w:val="en-US" w:eastAsia="zh-CN"/>
        </w:rPr>
      </w:pPr>
      <w:r>
        <w:rPr>
          <w:rFonts w:hint="eastAsia" w:ascii="仿宋_GB2312" w:eastAsia="仿宋_GB2312"/>
          <w:sz w:val="24"/>
          <w:lang w:val="en-US" w:eastAsia="zh-CN"/>
        </w:rPr>
        <w:t>1、企业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B6EDFCC">
      <w:pPr>
        <w:pStyle w:val="16"/>
        <w:numPr>
          <w:ilvl w:val="0"/>
          <w:numId w:val="0"/>
        </w:numPr>
        <w:rPr>
          <w:rFonts w:hint="eastAsia"/>
          <w:lang w:val="en-US" w:eastAsia="zh-CN"/>
        </w:rPr>
      </w:pPr>
    </w:p>
    <w:p w14:paraId="2BB4E2EF">
      <w:pPr>
        <w:rPr>
          <w:rFonts w:hint="eastAsia"/>
          <w:lang w:val="en-US" w:eastAsia="zh-CN"/>
        </w:rPr>
      </w:pPr>
    </w:p>
    <w:p w14:paraId="7964A083">
      <w:pPr>
        <w:pStyle w:val="16"/>
        <w:rPr>
          <w:rFonts w:hint="eastAsia"/>
          <w:lang w:val="en-US" w:eastAsia="zh-CN"/>
        </w:rPr>
      </w:pPr>
    </w:p>
    <w:p w14:paraId="5BD79625">
      <w:pPr>
        <w:rPr>
          <w:rFonts w:hint="eastAsia"/>
          <w:lang w:val="en-US" w:eastAsia="zh-CN"/>
        </w:rPr>
      </w:pPr>
    </w:p>
    <w:p w14:paraId="5BF1E059">
      <w:pPr>
        <w:pStyle w:val="16"/>
        <w:rPr>
          <w:rFonts w:hint="eastAsia"/>
          <w:lang w:val="en-US" w:eastAsia="zh-CN"/>
        </w:rPr>
      </w:pPr>
    </w:p>
    <w:p w14:paraId="1A52BC76">
      <w:pPr>
        <w:rPr>
          <w:rFonts w:hint="eastAsia"/>
          <w:lang w:val="en-US" w:eastAsia="zh-CN"/>
        </w:rPr>
      </w:pPr>
    </w:p>
    <w:p w14:paraId="5C23A84F">
      <w:pPr>
        <w:pStyle w:val="16"/>
        <w:rPr>
          <w:rFonts w:hint="eastAsia"/>
          <w:lang w:val="en-US" w:eastAsia="zh-CN"/>
        </w:rPr>
      </w:pPr>
    </w:p>
    <w:p w14:paraId="61C1B130">
      <w:pPr>
        <w:rPr>
          <w:rFonts w:hint="eastAsia"/>
          <w:lang w:val="en-US" w:eastAsia="zh-CN"/>
        </w:rPr>
      </w:pPr>
    </w:p>
    <w:p w14:paraId="767FE606">
      <w:pPr>
        <w:pStyle w:val="16"/>
        <w:rPr>
          <w:rFonts w:hint="eastAsia"/>
          <w:lang w:val="en-US" w:eastAsia="zh-CN"/>
        </w:rPr>
      </w:pPr>
    </w:p>
    <w:p w14:paraId="6D9FBFFD">
      <w:pPr>
        <w:rPr>
          <w:rFonts w:hint="eastAsia"/>
          <w:lang w:val="en-US" w:eastAsia="zh-CN"/>
        </w:rPr>
      </w:pPr>
    </w:p>
    <w:p w14:paraId="6DB9335A">
      <w:pPr>
        <w:pStyle w:val="16"/>
        <w:rPr>
          <w:rFonts w:hint="eastAsia"/>
          <w:lang w:val="en-US" w:eastAsia="zh-CN"/>
        </w:rPr>
      </w:pPr>
    </w:p>
    <w:p w14:paraId="14B20A18">
      <w:pPr>
        <w:rPr>
          <w:rFonts w:hint="eastAsia"/>
          <w:lang w:val="en-US" w:eastAsia="zh-CN"/>
        </w:rPr>
      </w:pPr>
    </w:p>
    <w:p w14:paraId="0640B406">
      <w:pPr>
        <w:rPr>
          <w:rFonts w:hint="eastAsia"/>
          <w:lang w:val="en-US" w:eastAsia="zh-CN"/>
        </w:rPr>
      </w:pPr>
    </w:p>
    <w:p w14:paraId="46D4B99D">
      <w:pPr>
        <w:pStyle w:val="16"/>
        <w:rPr>
          <w:rFonts w:hint="eastAsia"/>
          <w:lang w:val="en-US" w:eastAsia="zh-CN"/>
        </w:rPr>
      </w:pPr>
    </w:p>
    <w:p w14:paraId="777CB96F">
      <w:pPr>
        <w:rPr>
          <w:rFonts w:hint="eastAsia"/>
          <w:lang w:val="en-US" w:eastAsia="zh-CN"/>
        </w:rPr>
      </w:pPr>
    </w:p>
    <w:p w14:paraId="6B8E57C3">
      <w:pPr>
        <w:pStyle w:val="16"/>
        <w:rPr>
          <w:rFonts w:hint="eastAsia"/>
          <w:lang w:val="en-US" w:eastAsia="zh-CN"/>
        </w:rPr>
      </w:pPr>
    </w:p>
    <w:p w14:paraId="522DD68A">
      <w:pPr>
        <w:rPr>
          <w:rFonts w:hint="eastAsia"/>
          <w:lang w:val="en-US" w:eastAsia="zh-CN"/>
        </w:rPr>
      </w:pPr>
    </w:p>
    <w:p w14:paraId="01212F2D">
      <w:pPr>
        <w:pStyle w:val="16"/>
        <w:rPr>
          <w:rFonts w:hint="eastAsia"/>
          <w:lang w:val="en-US" w:eastAsia="zh-CN"/>
        </w:rPr>
      </w:pPr>
    </w:p>
    <w:p w14:paraId="0949EC43">
      <w:pPr>
        <w:rPr>
          <w:rFonts w:hint="eastAsia"/>
          <w:lang w:val="en-US" w:eastAsia="zh-CN"/>
        </w:rPr>
      </w:pPr>
    </w:p>
    <w:p w14:paraId="4CF76235">
      <w:pPr>
        <w:pStyle w:val="16"/>
        <w:rPr>
          <w:rFonts w:hint="eastAsia"/>
          <w:lang w:val="en-US" w:eastAsia="zh-CN"/>
        </w:rPr>
      </w:pPr>
    </w:p>
    <w:p w14:paraId="18368619">
      <w:pPr>
        <w:rPr>
          <w:rFonts w:hint="eastAsia"/>
          <w:lang w:val="en-US" w:eastAsia="zh-CN"/>
        </w:rPr>
      </w:pPr>
    </w:p>
    <w:p w14:paraId="30236216">
      <w:pPr>
        <w:pStyle w:val="16"/>
        <w:rPr>
          <w:rFonts w:hint="eastAsia"/>
          <w:lang w:val="en-US" w:eastAsia="zh-CN"/>
        </w:rPr>
      </w:pPr>
    </w:p>
    <w:p w14:paraId="38C38B78">
      <w:pPr>
        <w:rPr>
          <w:rFonts w:hint="eastAsia"/>
          <w:lang w:val="en-US" w:eastAsia="zh-CN"/>
        </w:rPr>
      </w:pPr>
    </w:p>
    <w:p w14:paraId="27EE05AD">
      <w:pPr>
        <w:pStyle w:val="16"/>
        <w:rPr>
          <w:rFonts w:hint="eastAsia"/>
          <w:lang w:val="en-US" w:eastAsia="zh-CN"/>
        </w:rPr>
      </w:pPr>
    </w:p>
    <w:p w14:paraId="0236DB90">
      <w:pPr>
        <w:rPr>
          <w:rFonts w:hint="eastAsia"/>
          <w:lang w:val="en-US" w:eastAsia="zh-CN"/>
        </w:rPr>
      </w:pPr>
    </w:p>
    <w:p w14:paraId="4FBB4940">
      <w:pPr>
        <w:pStyle w:val="16"/>
        <w:ind w:left="0" w:leftChars="0" w:firstLine="0" w:firstLineChars="0"/>
        <w:rPr>
          <w:rFonts w:hint="eastAsia"/>
          <w:lang w:val="en-US" w:eastAsia="zh-CN"/>
        </w:rPr>
      </w:pPr>
    </w:p>
    <w:p w14:paraId="2C90331B">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14:paraId="4762BBFB">
      <w:pPr>
        <w:jc w:val="center"/>
        <w:rPr>
          <w:rFonts w:hint="eastAsia" w:ascii="仿宋" w:hAnsi="仿宋" w:eastAsia="仿宋"/>
          <w:sz w:val="28"/>
          <w:szCs w:val="28"/>
        </w:rPr>
      </w:pPr>
    </w:p>
    <w:p w14:paraId="05F3D457">
      <w:pPr>
        <w:pStyle w:val="10"/>
        <w:tabs>
          <w:tab w:val="left" w:pos="5580"/>
        </w:tabs>
        <w:spacing w:line="240" w:lineRule="atLeast"/>
        <w:ind w:left="1156" w:leftChars="257" w:hanging="540"/>
        <w:rPr>
          <w:rFonts w:hint="eastAsia" w:ascii="仿宋_GB2312" w:hAnsi="宋体" w:eastAsia="仿宋_GB2312"/>
          <w:b w:val="0"/>
          <w:bCs/>
          <w:sz w:val="24"/>
          <w:lang w:eastAsia="zh-CN"/>
        </w:rPr>
        <w:sectPr>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w:t>
      </w:r>
      <w:r>
        <w:rPr>
          <w:rFonts w:hint="eastAsia" w:ascii="仿宋_GB2312" w:hAnsi="宋体" w:eastAsia="仿宋_GB2312"/>
          <w:b w:val="0"/>
          <w:bCs/>
          <w:sz w:val="24"/>
          <w:lang w:eastAsia="zh-CN"/>
        </w:rPr>
        <w:t>建议注明投标或响应保证金项目名称，未注明项目名称的不作废标处理。重新开展采购活动的项目，若供应商告知采购人再次进行投标或响应的，未退还的投标或响应保证金则自动转为新项目的投标保证金。</w:t>
      </w:r>
    </w:p>
    <w:p w14:paraId="02C0EF1F">
      <w:pPr>
        <w:pStyle w:val="16"/>
        <w:ind w:left="0" w:leftChars="0" w:firstLine="0" w:firstLineChars="0"/>
        <w:rPr>
          <w:rFonts w:hint="eastAsia"/>
        </w:rPr>
      </w:pPr>
    </w:p>
    <w:p w14:paraId="0087C39E">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14:paraId="4A9334C5">
      <w:pPr>
        <w:ind w:firstLine="7680" w:firstLineChars="3200"/>
        <w:rPr>
          <w:rFonts w:hint="eastAsia" w:ascii="仿宋" w:hAnsi="仿宋" w:eastAsia="仿宋"/>
        </w:rPr>
      </w:pPr>
      <w:r>
        <w:rPr>
          <w:rFonts w:hint="eastAsia" w:ascii="仿宋" w:hAnsi="仿宋" w:eastAsia="仿宋"/>
        </w:rPr>
        <w:t>编号：</w:t>
      </w:r>
    </w:p>
    <w:p w14:paraId="19A0DFB9">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32D49725">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5EAEA05">
      <w:pPr>
        <w:ind w:firstLine="480" w:firstLineChars="200"/>
        <w:rPr>
          <w:rFonts w:hint="eastAsia" w:ascii="仿宋" w:hAnsi="仿宋" w:eastAsia="仿宋"/>
        </w:rPr>
      </w:pPr>
      <w:r>
        <w:rPr>
          <w:rFonts w:hint="eastAsia" w:ascii="仿宋" w:hAnsi="仿宋" w:eastAsia="仿宋"/>
        </w:rPr>
        <w:t>一、保证责任的情形及保证金额</w:t>
      </w:r>
    </w:p>
    <w:p w14:paraId="020E533E">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14:paraId="0EEA8A4E">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14:paraId="1FC22913">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14:paraId="71221E90">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14:paraId="6D02FEA8">
      <w:pPr>
        <w:ind w:firstLine="480" w:firstLineChars="200"/>
        <w:rPr>
          <w:rFonts w:hint="eastAsia" w:ascii="仿宋" w:hAnsi="仿宋" w:eastAsia="仿宋"/>
        </w:rPr>
      </w:pPr>
      <w:r>
        <w:rPr>
          <w:rFonts w:hint="eastAsia" w:ascii="仿宋" w:hAnsi="仿宋" w:eastAsia="仿宋"/>
        </w:rPr>
        <w:t>二、保证的方式及保证期间</w:t>
      </w:r>
    </w:p>
    <w:p w14:paraId="6B7934BD">
      <w:pPr>
        <w:ind w:firstLine="480" w:firstLineChars="200"/>
        <w:rPr>
          <w:rFonts w:hint="eastAsia" w:ascii="仿宋" w:hAnsi="仿宋" w:eastAsia="仿宋"/>
        </w:rPr>
      </w:pPr>
      <w:r>
        <w:rPr>
          <w:rFonts w:hint="eastAsia" w:ascii="仿宋" w:hAnsi="仿宋" w:eastAsia="仿宋"/>
        </w:rPr>
        <w:t>我方保证的方式为：连带责任保证。</w:t>
      </w:r>
    </w:p>
    <w:p w14:paraId="59D04771">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4E149188">
      <w:pPr>
        <w:ind w:firstLine="480" w:firstLineChars="200"/>
        <w:rPr>
          <w:rFonts w:hint="eastAsia" w:ascii="仿宋" w:hAnsi="仿宋" w:eastAsia="仿宋"/>
        </w:rPr>
      </w:pPr>
      <w:r>
        <w:rPr>
          <w:rFonts w:hint="eastAsia" w:ascii="仿宋" w:hAnsi="仿宋" w:eastAsia="仿宋"/>
        </w:rPr>
        <w:t>三、承担保证责任的程序</w:t>
      </w:r>
    </w:p>
    <w:p w14:paraId="79E465B6">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F56900C">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14:paraId="7BFFA734">
      <w:pPr>
        <w:ind w:firstLine="480" w:firstLineChars="200"/>
        <w:rPr>
          <w:rFonts w:hint="eastAsia" w:ascii="仿宋" w:hAnsi="仿宋" w:eastAsia="仿宋"/>
        </w:rPr>
      </w:pPr>
      <w:r>
        <w:rPr>
          <w:rFonts w:hint="eastAsia" w:ascii="仿宋" w:hAnsi="仿宋" w:eastAsia="仿宋"/>
        </w:rPr>
        <w:t>四、保证责任的终止</w:t>
      </w:r>
    </w:p>
    <w:p w14:paraId="7406A57A">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0200D643">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445454AF">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50BAC01D">
      <w:pPr>
        <w:ind w:firstLine="480" w:firstLineChars="200"/>
        <w:rPr>
          <w:rFonts w:hint="eastAsia" w:ascii="仿宋" w:hAnsi="仿宋" w:eastAsia="仿宋"/>
        </w:rPr>
      </w:pPr>
      <w:r>
        <w:rPr>
          <w:rFonts w:hint="eastAsia" w:ascii="仿宋" w:hAnsi="仿宋" w:eastAsia="仿宋"/>
        </w:rPr>
        <w:t>五、免责条款</w:t>
      </w:r>
    </w:p>
    <w:p w14:paraId="579585D1">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14:paraId="759371BD">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14:paraId="23A36E17">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14:paraId="0992FF25">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14:paraId="5A0D5A3F">
      <w:pPr>
        <w:ind w:firstLine="480" w:firstLineChars="200"/>
        <w:rPr>
          <w:rFonts w:hint="eastAsia" w:ascii="仿宋" w:hAnsi="仿宋" w:eastAsia="仿宋"/>
        </w:rPr>
      </w:pPr>
      <w:r>
        <w:rPr>
          <w:rFonts w:hint="eastAsia" w:ascii="仿宋" w:hAnsi="仿宋" w:eastAsia="仿宋"/>
        </w:rPr>
        <w:t>六、争议的解决</w:t>
      </w:r>
    </w:p>
    <w:p w14:paraId="5CA83FF3">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34C3CCA5">
      <w:pPr>
        <w:ind w:firstLine="480" w:firstLineChars="200"/>
        <w:rPr>
          <w:rFonts w:hint="eastAsia" w:ascii="仿宋" w:hAnsi="仿宋" w:eastAsia="仿宋"/>
        </w:rPr>
      </w:pPr>
      <w:r>
        <w:rPr>
          <w:rFonts w:hint="eastAsia" w:ascii="仿宋" w:hAnsi="仿宋" w:eastAsia="仿宋"/>
        </w:rPr>
        <w:t>七、保函的生效</w:t>
      </w:r>
    </w:p>
    <w:p w14:paraId="06D0C990">
      <w:pPr>
        <w:ind w:firstLine="480" w:firstLineChars="200"/>
        <w:rPr>
          <w:rFonts w:ascii="仿宋" w:hAnsi="仿宋" w:eastAsia="仿宋"/>
        </w:rPr>
      </w:pPr>
      <w:r>
        <w:rPr>
          <w:rFonts w:hint="eastAsia" w:ascii="仿宋" w:hAnsi="仿宋" w:eastAsia="仿宋"/>
        </w:rPr>
        <w:t>本保函自我方加盖公章之日起生效。</w:t>
      </w:r>
    </w:p>
    <w:p w14:paraId="66745571">
      <w:pPr>
        <w:ind w:firstLine="6360" w:firstLineChars="2650"/>
        <w:rPr>
          <w:rFonts w:hint="eastAsia" w:ascii="仿宋" w:hAnsi="仿宋" w:eastAsia="仿宋"/>
        </w:rPr>
      </w:pPr>
      <w:r>
        <w:rPr>
          <w:rFonts w:hint="eastAsia" w:ascii="仿宋" w:hAnsi="仿宋" w:eastAsia="仿宋"/>
        </w:rPr>
        <w:t>保证人：（公章）</w:t>
      </w:r>
    </w:p>
    <w:p w14:paraId="0970BBA7">
      <w:pPr>
        <w:rPr>
          <w:rFonts w:ascii="仿宋" w:hAnsi="仿宋" w:eastAsia="仿宋"/>
        </w:rPr>
      </w:pPr>
      <w:r>
        <w:rPr>
          <w:rFonts w:ascii="仿宋" w:hAnsi="仿宋" w:eastAsia="仿宋"/>
        </w:rPr>
        <w:t xml:space="preserve">                               </w:t>
      </w:r>
    </w:p>
    <w:p w14:paraId="3F8AC1A4">
      <w:pPr>
        <w:jc w:val="right"/>
        <w:rPr>
          <w:rFonts w:hint="eastAsia" w:ascii="仿宋" w:hAnsi="仿宋" w:eastAsia="仿宋"/>
        </w:rPr>
      </w:pPr>
      <w:r>
        <w:rPr>
          <w:rFonts w:hint="eastAsia" w:ascii="仿宋" w:hAnsi="仿宋" w:eastAsia="仿宋"/>
        </w:rPr>
        <w:t>年     月      日</w:t>
      </w:r>
    </w:p>
    <w:p w14:paraId="2CA3170F">
      <w:pPr>
        <w:pStyle w:val="16"/>
      </w:pPr>
    </w:p>
    <w:p w14:paraId="180DDE95"/>
    <w:p w14:paraId="0DC9274B">
      <w:pPr>
        <w:pStyle w:val="16"/>
      </w:pPr>
    </w:p>
    <w:p w14:paraId="7ABD19EA"/>
    <w:p w14:paraId="72CCF566">
      <w:pPr>
        <w:pStyle w:val="16"/>
      </w:pPr>
    </w:p>
    <w:p w14:paraId="5B65CB99"/>
    <w:p w14:paraId="39C2DFC3">
      <w:pPr>
        <w:pStyle w:val="16"/>
      </w:pPr>
    </w:p>
    <w:p w14:paraId="418A1336"/>
    <w:p w14:paraId="39012CF4">
      <w:pPr>
        <w:pStyle w:val="16"/>
      </w:pPr>
    </w:p>
    <w:p w14:paraId="043017DF"/>
    <w:p w14:paraId="378DADB3">
      <w:pPr>
        <w:pStyle w:val="16"/>
      </w:pPr>
    </w:p>
    <w:p w14:paraId="68A4E8FF"/>
    <w:p w14:paraId="06CE4A68">
      <w:pPr>
        <w:pStyle w:val="16"/>
      </w:pPr>
    </w:p>
    <w:p w14:paraId="7F2178E4"/>
    <w:p w14:paraId="50CB3DB5">
      <w:pPr>
        <w:pStyle w:val="16"/>
      </w:pPr>
    </w:p>
    <w:p w14:paraId="1E514F48"/>
    <w:p w14:paraId="1BD19066">
      <w:pPr>
        <w:pStyle w:val="16"/>
      </w:pPr>
    </w:p>
    <w:p w14:paraId="3FDD80E2"/>
    <w:p w14:paraId="59B29352">
      <w:pPr>
        <w:pStyle w:val="16"/>
      </w:pPr>
    </w:p>
    <w:p w14:paraId="179E6B88"/>
    <w:p w14:paraId="0F5168E9">
      <w:pPr>
        <w:pStyle w:val="16"/>
      </w:pPr>
    </w:p>
    <w:p w14:paraId="063307F7"/>
    <w:p w14:paraId="186197CA">
      <w:pPr>
        <w:pStyle w:val="16"/>
      </w:pPr>
    </w:p>
    <w:p w14:paraId="63DD7CF6"/>
    <w:p w14:paraId="7040154C">
      <w:pPr>
        <w:pStyle w:val="16"/>
      </w:pPr>
    </w:p>
    <w:p w14:paraId="3010FB3F"/>
    <w:p w14:paraId="763C2ED4">
      <w:pPr>
        <w:pStyle w:val="16"/>
      </w:pPr>
    </w:p>
    <w:p w14:paraId="6602A8C6"/>
    <w:p w14:paraId="01726668">
      <w:pPr>
        <w:pStyle w:val="16"/>
      </w:pPr>
    </w:p>
    <w:p w14:paraId="58F6AB0F"/>
    <w:p w14:paraId="1B532B31">
      <w:pPr>
        <w:pStyle w:val="16"/>
        <w:numPr>
          <w:ilvl w:val="0"/>
          <w:numId w:val="0"/>
        </w:numPr>
      </w:pPr>
    </w:p>
    <w:p w14:paraId="0C8E9C4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46ECAAE7">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6C4CA9D">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1、该部分内容由投标人根据自身实际情况填写，投标人提供的声明函不属实的，属于提供虚假资料谋取中标，依照《中华人民共和国政府采购法》等国家有关规定追究相应责任。</w:t>
      </w:r>
    </w:p>
    <w:p w14:paraId="201A2D59">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118A33A1">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03CC2ED2">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8E56158">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D5392DD">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23444EEC">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A0A2D6C">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7C8DDEF4">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714EB5BB">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7E324F9E">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59C2EA2C">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6D572EC1">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683235D2">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09BA16C2">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613FB6B1">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4DE4015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2462CD4E">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小</w:t>
      </w:r>
      <w:r>
        <w:rPr>
          <w:rFonts w:hint="eastAsia" w:ascii="Arial" w:hAnsi="Arial" w:eastAsia="宋体"/>
          <w:b/>
          <w:lang w:eastAsia="zh-CN"/>
        </w:rPr>
        <w:t>微</w:t>
      </w:r>
      <w:r>
        <w:rPr>
          <w:rFonts w:hint="eastAsia" w:ascii="Arial" w:hAnsi="Arial" w:eastAsia="宋体"/>
          <w:b/>
        </w:rPr>
        <w:t>企业声明函（货物）</w:t>
      </w:r>
    </w:p>
    <w:p w14:paraId="658B0ABB">
      <w:pPr>
        <w:pStyle w:val="6"/>
      </w:pPr>
    </w:p>
    <w:p w14:paraId="2502592E">
      <w:pPr>
        <w:spacing w:after="60" w:afterLines="25" w:line="300" w:lineRule="auto"/>
        <w:ind w:right="420"/>
        <w:rPr>
          <w:rFonts w:ascii="Arial" w:hAnsi="Arial" w:eastAsia="宋体"/>
          <w:szCs w:val="21"/>
        </w:rPr>
      </w:pPr>
      <w:bookmarkStart w:id="13"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3"/>
    </w:p>
    <w:p w14:paraId="6FA4B301">
      <w:pPr>
        <w:spacing w:after="60" w:afterLines="25" w:line="300" w:lineRule="auto"/>
        <w:ind w:right="420" w:firstLine="6385" w:firstLineChars="2650"/>
        <w:rPr>
          <w:rFonts w:ascii="Arial" w:hAnsi="Arial" w:eastAsia="宋体"/>
          <w:b/>
          <w:szCs w:val="21"/>
        </w:rPr>
      </w:pPr>
    </w:p>
    <w:p w14:paraId="359E5EA8">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36C0E166">
      <w:pPr>
        <w:pStyle w:val="6"/>
        <w:rPr>
          <w:rFonts w:hint="eastAsia" w:ascii="Arial" w:hAnsi="Arial" w:eastAsia="宋体"/>
          <w:b/>
          <w:szCs w:val="21"/>
          <w:lang w:val="en-US" w:eastAsia="zh-CN"/>
        </w:rPr>
      </w:pPr>
    </w:p>
    <w:p w14:paraId="43F992D0">
      <w:pPr>
        <w:rPr>
          <w:rFonts w:hint="eastAsia" w:ascii="Arial" w:hAnsi="Arial" w:eastAsia="宋体"/>
          <w:b/>
          <w:szCs w:val="21"/>
          <w:lang w:val="en-US" w:eastAsia="zh-CN"/>
        </w:rPr>
      </w:pPr>
    </w:p>
    <w:p w14:paraId="32CC0B07">
      <w:pPr>
        <w:pStyle w:val="6"/>
        <w:rPr>
          <w:rFonts w:hint="eastAsia" w:ascii="Arial" w:hAnsi="Arial" w:eastAsia="宋体"/>
          <w:b/>
          <w:szCs w:val="21"/>
          <w:lang w:val="en-US" w:eastAsia="zh-CN"/>
        </w:rPr>
      </w:pPr>
    </w:p>
    <w:p w14:paraId="5728D519">
      <w:pPr>
        <w:rPr>
          <w:rFonts w:hint="eastAsia" w:ascii="Arial" w:hAnsi="Arial" w:eastAsia="宋体"/>
          <w:b/>
          <w:szCs w:val="21"/>
          <w:lang w:val="en-US" w:eastAsia="zh-CN"/>
        </w:rPr>
      </w:pPr>
    </w:p>
    <w:p w14:paraId="2C86CB7C">
      <w:pPr>
        <w:pStyle w:val="6"/>
        <w:rPr>
          <w:rFonts w:hint="eastAsia" w:ascii="Arial" w:hAnsi="Arial" w:eastAsia="宋体"/>
          <w:b/>
          <w:szCs w:val="21"/>
          <w:lang w:val="en-US" w:eastAsia="zh-CN"/>
        </w:rPr>
      </w:pPr>
    </w:p>
    <w:p w14:paraId="4023DEA7">
      <w:pPr>
        <w:rPr>
          <w:rFonts w:hint="eastAsia" w:ascii="Arial" w:hAnsi="Arial" w:eastAsia="宋体"/>
          <w:b/>
          <w:szCs w:val="21"/>
          <w:lang w:val="en-US" w:eastAsia="zh-CN"/>
        </w:rPr>
      </w:pPr>
    </w:p>
    <w:p w14:paraId="116694FC">
      <w:pPr>
        <w:pStyle w:val="6"/>
        <w:rPr>
          <w:rFonts w:hint="eastAsia" w:ascii="Arial" w:hAnsi="Arial" w:eastAsia="宋体"/>
          <w:b/>
          <w:szCs w:val="21"/>
          <w:lang w:val="en-US" w:eastAsia="zh-CN"/>
        </w:rPr>
      </w:pPr>
    </w:p>
    <w:p w14:paraId="30443ED2">
      <w:pPr>
        <w:rPr>
          <w:rFonts w:hint="eastAsia" w:ascii="Arial" w:hAnsi="Arial" w:eastAsia="宋体"/>
          <w:b/>
          <w:szCs w:val="21"/>
          <w:lang w:val="en-US" w:eastAsia="zh-CN"/>
        </w:rPr>
      </w:pPr>
    </w:p>
    <w:p w14:paraId="3216C32D">
      <w:pPr>
        <w:pStyle w:val="6"/>
        <w:rPr>
          <w:rFonts w:hint="eastAsia" w:ascii="Arial" w:hAnsi="Arial" w:eastAsia="宋体"/>
          <w:b/>
          <w:szCs w:val="21"/>
          <w:lang w:val="en-US" w:eastAsia="zh-CN"/>
        </w:rPr>
      </w:pPr>
    </w:p>
    <w:p w14:paraId="693EAB72">
      <w:pPr>
        <w:rPr>
          <w:rFonts w:hint="eastAsia" w:ascii="Arial" w:hAnsi="Arial" w:eastAsia="宋体"/>
          <w:b/>
          <w:szCs w:val="21"/>
          <w:lang w:val="en-US" w:eastAsia="zh-CN"/>
        </w:rPr>
      </w:pPr>
    </w:p>
    <w:p w14:paraId="274341BA">
      <w:pPr>
        <w:pStyle w:val="6"/>
        <w:rPr>
          <w:rFonts w:hint="default"/>
          <w:lang w:val="en-US" w:eastAsia="zh-CN"/>
        </w:rPr>
      </w:pPr>
    </w:p>
    <w:p w14:paraId="0103DB5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00158C1A">
      <w:pPr>
        <w:rPr>
          <w:rFonts w:ascii="宋体" w:hAnsi="宋体" w:eastAsia="宋体"/>
          <w:b/>
        </w:rPr>
      </w:pPr>
      <w:r>
        <w:br w:type="page"/>
      </w:r>
    </w:p>
    <w:p w14:paraId="0066B82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9358E2B">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36494F1D">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C3E941E">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6895B5EC">
      <w:pPr>
        <w:spacing w:after="60" w:afterLines="25" w:line="300" w:lineRule="auto"/>
        <w:ind w:firstLine="480" w:firstLineChars="200"/>
        <w:rPr>
          <w:rFonts w:ascii="宋体" w:hAnsi="宋体"/>
          <w:szCs w:val="21"/>
        </w:rPr>
      </w:pPr>
      <w:r>
        <w:rPr>
          <w:rFonts w:ascii="宋体" w:hAnsi="宋体"/>
          <w:szCs w:val="21"/>
        </w:rPr>
        <w:t xml:space="preserve">…… </w:t>
      </w:r>
    </w:p>
    <w:p w14:paraId="4491AAC3">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01FB758">
      <w:pPr>
        <w:spacing w:after="60" w:afterLines="25" w:line="300" w:lineRule="auto"/>
        <w:jc w:val="right"/>
        <w:rPr>
          <w:rFonts w:ascii="宋体" w:hAnsi="宋体"/>
          <w:szCs w:val="21"/>
        </w:rPr>
      </w:pPr>
    </w:p>
    <w:p w14:paraId="45DFB1B9">
      <w:pPr>
        <w:spacing w:after="60" w:afterLines="25" w:line="300" w:lineRule="auto"/>
        <w:ind w:right="420" w:firstLine="3840" w:firstLineChars="1600"/>
        <w:rPr>
          <w:rFonts w:ascii="宋体" w:hAnsi="宋体"/>
          <w:szCs w:val="21"/>
        </w:rPr>
      </w:pPr>
      <w:r>
        <w:rPr>
          <w:rFonts w:hint="eastAsia" w:ascii="宋体" w:hAnsi="宋体"/>
          <w:szCs w:val="21"/>
        </w:rPr>
        <w:t>投标人（投标单位）（单位盖章）：</w:t>
      </w:r>
    </w:p>
    <w:p w14:paraId="101D48F6">
      <w:pPr>
        <w:spacing w:after="60" w:afterLines="25" w:line="300" w:lineRule="auto"/>
        <w:ind w:right="420" w:firstLine="5280" w:firstLineChars="2200"/>
        <w:rPr>
          <w:rFonts w:ascii="宋体" w:hAnsi="宋体"/>
          <w:szCs w:val="21"/>
        </w:rPr>
      </w:pPr>
      <w:r>
        <w:rPr>
          <w:rFonts w:hint="eastAsia" w:ascii="宋体" w:hAnsi="宋体"/>
          <w:szCs w:val="21"/>
        </w:rPr>
        <w:t>日期：</w:t>
      </w:r>
    </w:p>
    <w:p w14:paraId="14011E7D">
      <w:pPr>
        <w:spacing w:after="60" w:afterLines="25" w:line="300" w:lineRule="auto"/>
        <w:jc w:val="right"/>
        <w:rPr>
          <w:rFonts w:ascii="宋体" w:hAnsi="宋体"/>
          <w:b/>
          <w:color w:val="FF0000"/>
          <w:sz w:val="28"/>
          <w:szCs w:val="28"/>
        </w:rPr>
      </w:pPr>
    </w:p>
    <w:p w14:paraId="0825FDE1">
      <w:pPr>
        <w:spacing w:after="60" w:afterLines="25" w:line="300" w:lineRule="auto"/>
        <w:jc w:val="right"/>
        <w:rPr>
          <w:rFonts w:ascii="Arial" w:hAnsi="Arial" w:eastAsia="宋体"/>
          <w:b/>
          <w:color w:val="FF0000"/>
          <w:sz w:val="28"/>
          <w:szCs w:val="28"/>
        </w:rPr>
      </w:pPr>
    </w:p>
    <w:p w14:paraId="7BFF2E8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06770F27">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1C91686B">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AB238F8">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3B9CDA15">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5DF68491">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D1EE11">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1778988">
      <w:pPr>
        <w:pStyle w:val="28"/>
        <w:numPr>
          <w:ilvl w:val="0"/>
          <w:numId w:val="0"/>
        </w:numPr>
        <w:ind w:left="3600" w:leftChars="0"/>
        <w:jc w:val="both"/>
      </w:pPr>
    </w:p>
    <w:p w14:paraId="4ED7B9E7">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2943BDBF">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2DD5046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679B0C9A">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D24DEE5">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5095E9F3">
      <w:pPr>
        <w:spacing w:after="60" w:afterLines="25" w:line="300" w:lineRule="auto"/>
        <w:ind w:firstLine="482" w:firstLineChars="200"/>
        <w:rPr>
          <w:rFonts w:ascii="Arial" w:hAnsi="Arial" w:eastAsia="宋体"/>
          <w:b/>
          <w:color w:val="FF0000"/>
          <w:szCs w:val="21"/>
        </w:rPr>
      </w:pPr>
    </w:p>
    <w:p w14:paraId="49CF0E46">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2182A68A">
      <w:pPr>
        <w:spacing w:after="60" w:afterLines="25" w:line="300" w:lineRule="auto"/>
        <w:ind w:firstLine="482" w:firstLineChars="200"/>
        <w:rPr>
          <w:rFonts w:ascii="Arial" w:hAnsi="Arial" w:eastAsia="宋体"/>
          <w:b/>
          <w:color w:val="FF0000"/>
          <w:szCs w:val="21"/>
        </w:rPr>
      </w:pPr>
    </w:p>
    <w:p w14:paraId="453638DE">
      <w:pPr>
        <w:spacing w:after="60" w:afterLines="25" w:line="300" w:lineRule="auto"/>
        <w:ind w:firstLine="482" w:firstLineChars="200"/>
        <w:rPr>
          <w:rFonts w:ascii="Arial" w:hAnsi="Arial" w:eastAsia="宋体"/>
          <w:b/>
          <w:color w:val="FF0000"/>
          <w:szCs w:val="21"/>
        </w:rPr>
      </w:pPr>
    </w:p>
    <w:p w14:paraId="559079D1">
      <w:pPr>
        <w:wordWrap w:val="0"/>
        <w:spacing w:after="60" w:afterLines="25" w:line="300" w:lineRule="auto"/>
        <w:ind w:right="420"/>
        <w:jc w:val="right"/>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5A408392">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06AB6FEA">
      <w:pPr>
        <w:rPr>
          <w:rFonts w:ascii="宋体" w:hAnsi="宋体" w:eastAsia="宋体"/>
          <w:b/>
        </w:rPr>
      </w:pPr>
      <w:r>
        <w:br w:type="page"/>
      </w:r>
    </w:p>
    <w:p w14:paraId="23F99922">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63B07F4E">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43194C9E">
      <w:pPr>
        <w:spacing w:after="60" w:afterLines="25" w:line="300" w:lineRule="auto"/>
        <w:rPr>
          <w:rFonts w:ascii="宋体" w:hAnsi="宋体" w:eastAsia="宋体"/>
          <w:szCs w:val="21"/>
        </w:rPr>
      </w:pPr>
      <w:r>
        <w:rPr>
          <w:rFonts w:hint="eastAsia" w:ascii="宋体" w:hAnsi="宋体" w:eastAsia="宋体"/>
          <w:szCs w:val="21"/>
        </w:rPr>
        <w:t xml:space="preserve">  </w:t>
      </w:r>
    </w:p>
    <w:p w14:paraId="061E4253">
      <w:pPr>
        <w:spacing w:after="60" w:afterLines="25" w:line="300" w:lineRule="auto"/>
        <w:rPr>
          <w:rFonts w:ascii="Arial" w:hAnsi="Arial" w:eastAsia="宋体"/>
        </w:rPr>
      </w:pPr>
    </w:p>
    <w:p w14:paraId="67454139">
      <w:pPr>
        <w:spacing w:after="60" w:afterLines="25" w:line="300" w:lineRule="auto"/>
        <w:rPr>
          <w:rFonts w:ascii="Arial" w:hAnsi="Arial" w:eastAsia="宋体"/>
        </w:rPr>
      </w:pPr>
    </w:p>
    <w:p w14:paraId="2C83646D">
      <w:pPr>
        <w:spacing w:after="60" w:afterLines="25" w:line="300" w:lineRule="auto"/>
        <w:rPr>
          <w:rFonts w:ascii="Arial" w:hAnsi="Arial" w:eastAsia="宋体"/>
        </w:rPr>
      </w:pPr>
    </w:p>
    <w:p w14:paraId="7F597EC7">
      <w:pPr>
        <w:snapToGrid w:val="0"/>
        <w:spacing w:after="60" w:afterLines="25" w:line="300" w:lineRule="auto"/>
        <w:ind w:firstLine="480" w:firstLineChars="200"/>
        <w:jc w:val="center"/>
        <w:rPr>
          <w:rFonts w:hint="eastAsia" w:ascii="Arial" w:hAnsi="Arial" w:eastAsia="宋体"/>
          <w:color w:val="FF0000"/>
          <w:highlight w:val="yellow"/>
        </w:rPr>
      </w:pPr>
    </w:p>
    <w:p w14:paraId="1865F27D">
      <w:pPr>
        <w:snapToGrid w:val="0"/>
        <w:spacing w:after="60" w:afterLines="25" w:line="300" w:lineRule="auto"/>
        <w:ind w:firstLine="480" w:firstLineChars="200"/>
        <w:jc w:val="center"/>
        <w:rPr>
          <w:rFonts w:hint="eastAsia" w:ascii="Arial" w:hAnsi="Arial" w:eastAsia="宋体"/>
          <w:color w:val="FF0000"/>
          <w:highlight w:val="yellow"/>
        </w:rPr>
      </w:pPr>
    </w:p>
    <w:p w14:paraId="57377D98">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14:paraId="58738C4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16ADDE6">
      <w:pPr>
        <w:pStyle w:val="13"/>
        <w:numPr>
          <w:ilvl w:val="0"/>
          <w:numId w:val="0"/>
        </w:numPr>
        <w:rPr>
          <w:rFonts w:hint="eastAsia"/>
          <w:lang w:val="en-US" w:eastAsia="zh-CN"/>
        </w:rPr>
      </w:pPr>
    </w:p>
    <w:p w14:paraId="5BB835C1">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14:paraId="707EEE79">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F5C5BB1">
      <w:pPr>
        <w:snapToGrid w:val="0"/>
        <w:spacing w:after="60" w:afterLines="25" w:line="300" w:lineRule="auto"/>
        <w:ind w:firstLine="480" w:firstLineChars="200"/>
        <w:jc w:val="center"/>
        <w:rPr>
          <w:rFonts w:hint="eastAsia" w:ascii="Arial" w:hAnsi="Arial" w:eastAsia="宋体"/>
          <w:color w:val="FF0000"/>
          <w:highlight w:val="yellow"/>
        </w:rPr>
      </w:pPr>
    </w:p>
    <w:p w14:paraId="5AA98B7C">
      <w:pPr>
        <w:snapToGrid w:val="0"/>
        <w:spacing w:after="60" w:afterLines="25" w:line="300" w:lineRule="auto"/>
        <w:ind w:firstLine="480" w:firstLineChars="200"/>
        <w:jc w:val="center"/>
      </w:pPr>
      <w:r>
        <w:br w:type="page"/>
      </w:r>
    </w:p>
    <w:p w14:paraId="571C6D88">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14:paraId="34E5B418">
      <w:pPr>
        <w:snapToGrid w:val="0"/>
        <w:spacing w:line="360" w:lineRule="auto"/>
        <w:rPr>
          <w:rFonts w:ascii="Arial" w:hAnsi="Arial" w:eastAsia="宋体"/>
        </w:rPr>
      </w:pPr>
    </w:p>
    <w:p w14:paraId="4C96AF24">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喀什市人民医院</w:t>
      </w:r>
    </w:p>
    <w:p w14:paraId="205FB24E">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KSS(GK)2026-039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喀什市人民医院物业管理服务采购项目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2B86BF7E">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538C40">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227773F1">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68BE8D4B">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D7CAE25">
      <w:pPr>
        <w:snapToGrid w:val="0"/>
        <w:spacing w:line="360" w:lineRule="auto"/>
        <w:ind w:firstLine="560"/>
        <w:rPr>
          <w:rFonts w:ascii="Arial" w:hAnsi="Arial" w:eastAsia="宋体" w:cs="Arial"/>
        </w:rPr>
      </w:pPr>
    </w:p>
    <w:p w14:paraId="39D199A3">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宋体" w:hAnsi="宋体"/>
          <w:szCs w:val="21"/>
        </w:rPr>
        <w:t>（单位盖章）</w:t>
      </w:r>
      <w:r>
        <w:rPr>
          <w:rFonts w:hint="eastAsia" w:ascii="Arial" w:hAnsi="Arial" w:eastAsia="宋体" w:cs="Arial"/>
        </w:rPr>
        <w:t>：</w:t>
      </w:r>
    </w:p>
    <w:p w14:paraId="44B681EE">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0C307EFA">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383240E4">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2A1372E9">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58635A05">
      <w:pPr>
        <w:snapToGrid w:val="0"/>
        <w:spacing w:line="360" w:lineRule="auto"/>
        <w:ind w:firstLine="560"/>
        <w:rPr>
          <w:rFonts w:ascii="Arial" w:hAnsi="Arial" w:eastAsia="宋体" w:cs="Arial"/>
        </w:rPr>
      </w:pPr>
    </w:p>
    <w:p w14:paraId="3F0D901A">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szCs w:val="21"/>
        </w:rPr>
        <w:t>（签字或盖章）</w:t>
      </w:r>
      <w:r>
        <w:rPr>
          <w:rFonts w:hint="eastAsia" w:ascii="Arial" w:hAnsi="Arial" w:eastAsia="宋体" w:cs="Arial"/>
        </w:rPr>
        <w:t>：</w:t>
      </w:r>
    </w:p>
    <w:p w14:paraId="6D5C0B35">
      <w:pPr>
        <w:snapToGrid w:val="0"/>
        <w:spacing w:line="360" w:lineRule="auto"/>
        <w:rPr>
          <w:rFonts w:ascii="Arial" w:hAnsi="Arial" w:eastAsia="宋体" w:cs="Arial"/>
        </w:rPr>
      </w:pPr>
      <w:r>
        <w:rPr>
          <w:rFonts w:hint="eastAsia" w:ascii="Arial" w:hAnsi="Arial" w:eastAsia="宋体" w:cs="Arial"/>
        </w:rPr>
        <w:t>联系电话：</w:t>
      </w:r>
    </w:p>
    <w:p w14:paraId="508CCBD5">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449F7F48">
      <w:pPr>
        <w:snapToGrid w:val="0"/>
        <w:spacing w:line="360" w:lineRule="auto"/>
        <w:rPr>
          <w:rFonts w:ascii="Arial" w:hAnsi="Arial" w:eastAsia="宋体"/>
        </w:rPr>
      </w:pPr>
    </w:p>
    <w:p w14:paraId="20372514">
      <w:pPr>
        <w:spacing w:after="60" w:afterLines="25" w:line="300" w:lineRule="auto"/>
      </w:pPr>
    </w:p>
    <w:p w14:paraId="29268BE2">
      <w:pPr>
        <w:pStyle w:val="16"/>
      </w:pPr>
    </w:p>
    <w:p w14:paraId="287EF608"/>
    <w:p w14:paraId="438231D2">
      <w:pPr>
        <w:spacing w:after="60" w:afterLines="25" w:line="300" w:lineRule="auto"/>
      </w:pPr>
    </w:p>
    <w:p w14:paraId="0BFCC16E">
      <w:pPr>
        <w:spacing w:after="60" w:afterLines="25" w:line="300" w:lineRule="auto"/>
      </w:pPr>
    </w:p>
    <w:p w14:paraId="50E2BB75">
      <w:pPr>
        <w:spacing w:after="60" w:afterLines="25" w:line="300" w:lineRule="auto"/>
      </w:pPr>
    </w:p>
    <w:p w14:paraId="420D07C3">
      <w:pPr>
        <w:spacing w:after="60" w:afterLines="25" w:line="300" w:lineRule="auto"/>
      </w:pPr>
    </w:p>
    <w:p w14:paraId="204089DD">
      <w:pPr>
        <w:pStyle w:val="6"/>
      </w:pPr>
    </w:p>
    <w:p w14:paraId="4849618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14:paraId="2A540B0C">
      <w:pPr>
        <w:spacing w:line="300" w:lineRule="auto"/>
        <w:ind w:left="140"/>
        <w:jc w:val="center"/>
        <w:rPr>
          <w:rFonts w:hint="eastAsia" w:ascii="Arial" w:hAnsi="Arial" w:eastAsia="宋体" w:cs="Arial"/>
          <w:b/>
        </w:rPr>
      </w:pPr>
    </w:p>
    <w:p w14:paraId="5DC5FCDB">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0FDF42FB">
      <w:pPr>
        <w:spacing w:line="480" w:lineRule="atLeast"/>
        <w:ind w:firstLine="480" w:firstLineChars="200"/>
        <w:rPr>
          <w:rFonts w:ascii="Arial" w:hAnsi="Arial" w:eastAsia="仿宋_GB2312"/>
        </w:rPr>
      </w:pPr>
    </w:p>
    <w:p w14:paraId="78E90AAF">
      <w:pPr>
        <w:spacing w:line="300" w:lineRule="auto"/>
        <w:rPr>
          <w:rFonts w:ascii="Arial" w:hAnsi="Arial" w:eastAsia="宋体"/>
          <w:szCs w:val="21"/>
          <w:u w:val="single"/>
        </w:rPr>
      </w:pPr>
      <w:r>
        <w:rPr>
          <w:rFonts w:hint="eastAsia" w:ascii="Arial" w:hAnsi="Arial" w:eastAsia="宋体"/>
          <w:szCs w:val="21"/>
        </w:rPr>
        <w:t>单位名称：</w:t>
      </w:r>
    </w:p>
    <w:p w14:paraId="566E60A6">
      <w:pPr>
        <w:spacing w:line="300" w:lineRule="auto"/>
        <w:rPr>
          <w:rFonts w:ascii="Arial" w:hAnsi="Arial" w:eastAsia="宋体"/>
          <w:szCs w:val="21"/>
          <w:u w:val="single"/>
        </w:rPr>
      </w:pPr>
      <w:r>
        <w:rPr>
          <w:rFonts w:hint="eastAsia" w:ascii="Arial" w:hAnsi="Arial" w:eastAsia="宋体"/>
          <w:szCs w:val="21"/>
        </w:rPr>
        <w:t>地址：</w:t>
      </w:r>
    </w:p>
    <w:p w14:paraId="7F6A4B8D">
      <w:pPr>
        <w:spacing w:line="300" w:lineRule="auto"/>
        <w:rPr>
          <w:rFonts w:hint="eastAsia" w:ascii="Arial" w:hAnsi="Arial" w:eastAsia="宋体"/>
          <w:szCs w:val="21"/>
        </w:rPr>
      </w:pPr>
      <w:r>
        <w:rPr>
          <w:rFonts w:hint="eastAsia" w:ascii="Arial" w:hAnsi="Arial" w:eastAsia="宋体"/>
          <w:szCs w:val="21"/>
        </w:rPr>
        <w:t>姓名（签字或盖章）：</w:t>
      </w:r>
    </w:p>
    <w:p w14:paraId="382EBD68">
      <w:pPr>
        <w:spacing w:line="300" w:lineRule="auto"/>
        <w:rPr>
          <w:rFonts w:ascii="Arial" w:hAnsi="Arial" w:eastAsia="宋体"/>
          <w:szCs w:val="21"/>
          <w:u w:val="single"/>
        </w:rPr>
      </w:pPr>
      <w:r>
        <w:rPr>
          <w:rFonts w:hint="eastAsia" w:ascii="Arial" w:hAnsi="Arial" w:eastAsia="宋体"/>
          <w:szCs w:val="21"/>
        </w:rPr>
        <w:t>性别：年龄：职务：</w:t>
      </w:r>
    </w:p>
    <w:p w14:paraId="207B8700">
      <w:pPr>
        <w:spacing w:line="300" w:lineRule="auto"/>
        <w:rPr>
          <w:rFonts w:ascii="Arial" w:hAnsi="Arial" w:eastAsia="宋体"/>
          <w:szCs w:val="21"/>
        </w:rPr>
      </w:pPr>
      <w:r>
        <w:rPr>
          <w:rFonts w:hint="eastAsia" w:ascii="Arial" w:hAnsi="Arial" w:eastAsia="宋体"/>
          <w:szCs w:val="21"/>
        </w:rPr>
        <w:t>系（投标人名称）的法定代表人。</w:t>
      </w:r>
    </w:p>
    <w:p w14:paraId="2153204F">
      <w:pPr>
        <w:spacing w:line="300" w:lineRule="auto"/>
        <w:rPr>
          <w:rFonts w:ascii="Arial" w:hAnsi="Arial" w:eastAsia="宋体"/>
          <w:szCs w:val="21"/>
        </w:rPr>
      </w:pPr>
      <w:r>
        <w:rPr>
          <w:rFonts w:hint="eastAsia" w:ascii="Arial" w:hAnsi="Arial" w:eastAsia="宋体"/>
          <w:szCs w:val="21"/>
        </w:rPr>
        <w:t>特此证明</w:t>
      </w:r>
    </w:p>
    <w:p w14:paraId="5925F1E1">
      <w:pPr>
        <w:spacing w:line="300" w:lineRule="auto"/>
        <w:rPr>
          <w:rFonts w:ascii="Arial" w:hAnsi="Arial" w:eastAsia="宋体"/>
          <w:szCs w:val="21"/>
        </w:rPr>
      </w:pPr>
    </w:p>
    <w:p w14:paraId="034C6F50">
      <w:pPr>
        <w:spacing w:line="300" w:lineRule="auto"/>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398DCA67">
      <w:pPr>
        <w:spacing w:line="300" w:lineRule="auto"/>
        <w:rPr>
          <w:rFonts w:ascii="Arial" w:hAnsi="Arial" w:eastAsia="宋体"/>
          <w:szCs w:val="21"/>
        </w:rPr>
      </w:pPr>
      <w:r>
        <w:rPr>
          <w:rFonts w:hint="eastAsia" w:ascii="Arial" w:hAnsi="Arial" w:eastAsia="宋体"/>
          <w:szCs w:val="21"/>
        </w:rPr>
        <w:t>日期：年月日</w:t>
      </w:r>
    </w:p>
    <w:p w14:paraId="3FCAB20B">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7495B9F9">
      <w:pPr>
        <w:spacing w:line="500" w:lineRule="exact"/>
        <w:ind w:firstLine="480" w:firstLineChars="200"/>
        <w:rPr>
          <w:rFonts w:ascii="Arial" w:hAnsi="Arial" w:eastAsia="宋体"/>
        </w:rPr>
      </w:pPr>
    </w:p>
    <w:p w14:paraId="4108E81B">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35D44984">
      <w:pPr>
        <w:spacing w:line="500" w:lineRule="exact"/>
        <w:rPr>
          <w:rFonts w:ascii="宋体" w:hAnsi="宋体" w:eastAsia="宋体"/>
          <w:b/>
          <w:color w:val="FF0000"/>
          <w:sz w:val="32"/>
          <w:szCs w:val="32"/>
        </w:rPr>
      </w:pPr>
    </w:p>
    <w:p w14:paraId="1CFCCAA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77E55A">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AD5E08F">
      <w:pPr>
        <w:spacing w:line="500" w:lineRule="exact"/>
        <w:ind w:firstLine="480" w:firstLineChars="200"/>
        <w:rPr>
          <w:rFonts w:ascii="Arial" w:hAnsi="Arial" w:eastAsia="宋体"/>
        </w:rPr>
      </w:pPr>
    </w:p>
    <w:p w14:paraId="2B03025A">
      <w:pPr>
        <w:pStyle w:val="16"/>
        <w:rPr>
          <w:rFonts w:hint="eastAsia"/>
          <w:lang w:val="en-US" w:eastAsia="zh-CN"/>
        </w:rPr>
      </w:pPr>
    </w:p>
    <w:p w14:paraId="6218AAA3">
      <w:pPr>
        <w:rPr>
          <w:rFonts w:hint="eastAsia"/>
          <w:lang w:val="en-US" w:eastAsia="zh-CN"/>
        </w:rPr>
      </w:pPr>
    </w:p>
    <w:p w14:paraId="235578F3">
      <w:pPr>
        <w:pStyle w:val="16"/>
        <w:rPr>
          <w:rFonts w:hint="eastAsia"/>
          <w:lang w:val="en-US" w:eastAsia="zh-CN"/>
        </w:rPr>
      </w:pPr>
    </w:p>
    <w:p w14:paraId="6534E2A0">
      <w:pPr>
        <w:rPr>
          <w:rFonts w:hint="eastAsia"/>
          <w:lang w:val="en-US" w:eastAsia="zh-CN"/>
        </w:rPr>
      </w:pPr>
    </w:p>
    <w:p w14:paraId="03920A6E">
      <w:pPr>
        <w:pStyle w:val="16"/>
        <w:rPr>
          <w:rFonts w:hint="eastAsia"/>
          <w:lang w:val="en-US" w:eastAsia="zh-CN"/>
        </w:rPr>
      </w:pPr>
    </w:p>
    <w:p w14:paraId="03F5F05F">
      <w:pPr>
        <w:rPr>
          <w:rFonts w:hint="eastAsia"/>
          <w:lang w:val="en-US" w:eastAsia="zh-CN"/>
        </w:rPr>
      </w:pPr>
    </w:p>
    <w:p w14:paraId="476B812E">
      <w:pPr>
        <w:pStyle w:val="6"/>
        <w:rPr>
          <w:rFonts w:hint="eastAsia"/>
          <w:lang w:val="en-US" w:eastAsia="zh-CN"/>
        </w:rPr>
      </w:pPr>
    </w:p>
    <w:p w14:paraId="2615917F">
      <w:pPr>
        <w:rPr>
          <w:rFonts w:hint="eastAsia"/>
          <w:lang w:val="en-US" w:eastAsia="zh-CN"/>
        </w:rPr>
      </w:pPr>
    </w:p>
    <w:p w14:paraId="28CE46EF">
      <w:pPr>
        <w:pStyle w:val="16"/>
        <w:rPr>
          <w:rFonts w:hint="eastAsia"/>
          <w:lang w:val="en-US" w:eastAsia="zh-CN"/>
        </w:rPr>
      </w:pPr>
    </w:p>
    <w:p w14:paraId="6F32D791">
      <w:pPr>
        <w:rPr>
          <w:rFonts w:hint="eastAsia"/>
          <w:lang w:val="en-US" w:eastAsia="zh-CN"/>
        </w:rPr>
      </w:pPr>
    </w:p>
    <w:p w14:paraId="51A333AD">
      <w:pPr>
        <w:pStyle w:val="6"/>
        <w:rPr>
          <w:rFonts w:hint="eastAsia"/>
          <w:lang w:val="en-US" w:eastAsia="zh-CN"/>
        </w:rPr>
      </w:pPr>
    </w:p>
    <w:p w14:paraId="0398FA7B">
      <w:pPr>
        <w:pStyle w:val="16"/>
        <w:ind w:left="0" w:leftChars="0" w:firstLine="0" w:firstLineChars="0"/>
        <w:rPr>
          <w:rFonts w:hint="eastAsia"/>
          <w:lang w:val="en-US" w:eastAsia="zh-CN"/>
        </w:rPr>
      </w:pPr>
    </w:p>
    <w:p w14:paraId="683A6535">
      <w:pPr>
        <w:rPr>
          <w:rFonts w:hint="eastAsia"/>
          <w:lang w:val="en-US" w:eastAsia="zh-CN"/>
        </w:rPr>
      </w:pPr>
    </w:p>
    <w:p w14:paraId="5B7809EB">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14:paraId="68648CD3">
      <w:pPr>
        <w:spacing w:line="300" w:lineRule="auto"/>
        <w:ind w:left="140"/>
        <w:jc w:val="center"/>
        <w:rPr>
          <w:rFonts w:hint="eastAsia" w:ascii="Arial" w:hAnsi="Arial" w:eastAsia="宋体" w:cs="Arial"/>
          <w:b/>
        </w:rPr>
      </w:pPr>
    </w:p>
    <w:p w14:paraId="2D477286">
      <w:pPr>
        <w:spacing w:line="300" w:lineRule="auto"/>
        <w:ind w:left="140"/>
        <w:jc w:val="center"/>
        <w:rPr>
          <w:rFonts w:hint="eastAsia" w:ascii="Arial" w:hAnsi="Arial" w:eastAsia="宋体" w:cs="Arial"/>
          <w:b/>
        </w:rPr>
      </w:pPr>
    </w:p>
    <w:p w14:paraId="7E08F350">
      <w:pPr>
        <w:spacing w:line="300" w:lineRule="auto"/>
        <w:ind w:left="140"/>
        <w:jc w:val="center"/>
        <w:rPr>
          <w:rFonts w:ascii="Arial" w:hAnsi="Arial" w:eastAsia="宋体" w:cs="Arial"/>
          <w:b/>
        </w:rPr>
      </w:pPr>
      <w:r>
        <w:rPr>
          <w:rFonts w:hint="eastAsia" w:ascii="Arial" w:hAnsi="Arial" w:eastAsia="宋体" w:cs="Arial"/>
          <w:b/>
        </w:rPr>
        <w:t>法定代表人授权书</w:t>
      </w:r>
    </w:p>
    <w:p w14:paraId="03810915">
      <w:pPr>
        <w:spacing w:line="360" w:lineRule="auto"/>
        <w:ind w:firstLine="480" w:firstLineChars="200"/>
        <w:rPr>
          <w:rFonts w:ascii="Arial" w:hAnsi="Arial" w:eastAsia="宋体"/>
          <w:szCs w:val="21"/>
        </w:rPr>
      </w:pPr>
    </w:p>
    <w:p w14:paraId="07732F2A">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30C3D8E2">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313717C7">
      <w:pPr>
        <w:spacing w:line="300" w:lineRule="auto"/>
        <w:rPr>
          <w:rFonts w:ascii="Arial" w:hAnsi="Arial" w:eastAsia="宋体"/>
          <w:szCs w:val="21"/>
        </w:rPr>
      </w:pPr>
    </w:p>
    <w:p w14:paraId="234342B0">
      <w:pPr>
        <w:spacing w:line="360" w:lineRule="auto"/>
        <w:ind w:left="3840" w:leftChars="1600"/>
        <w:rPr>
          <w:rFonts w:hint="eastAsia" w:ascii="Arial" w:hAnsi="Arial" w:eastAsia="宋体"/>
          <w:szCs w:val="21"/>
        </w:rPr>
      </w:pPr>
      <w:r>
        <w:rPr>
          <w:rFonts w:hint="eastAsia" w:ascii="Arial" w:hAnsi="Arial" w:eastAsia="宋体"/>
          <w:szCs w:val="21"/>
        </w:rPr>
        <w:t>投标人代表（签字或盖章）：</w:t>
      </w:r>
    </w:p>
    <w:p w14:paraId="097DD5A8">
      <w:pPr>
        <w:spacing w:line="360" w:lineRule="auto"/>
        <w:ind w:left="3840" w:leftChars="1600"/>
        <w:rPr>
          <w:rFonts w:ascii="仿宋" w:hAnsi="仿宋" w:eastAsia="仿宋"/>
          <w:sz w:val="28"/>
          <w:szCs w:val="28"/>
          <w:u w:val="single"/>
        </w:rPr>
      </w:pPr>
      <w:r>
        <w:rPr>
          <w:rFonts w:hint="eastAsia" w:ascii="Arial" w:hAnsi="Arial" w:eastAsia="宋体"/>
          <w:szCs w:val="21"/>
        </w:rPr>
        <w:t>性别：</w:t>
      </w:r>
    </w:p>
    <w:p w14:paraId="76E8DC0D">
      <w:pPr>
        <w:spacing w:line="360" w:lineRule="auto"/>
        <w:ind w:left="3840" w:leftChars="1600"/>
        <w:rPr>
          <w:rFonts w:ascii="Arial" w:hAnsi="Arial" w:eastAsia="宋体"/>
          <w:szCs w:val="21"/>
        </w:rPr>
      </w:pPr>
      <w:r>
        <w:rPr>
          <w:rFonts w:hint="eastAsia" w:ascii="Arial" w:hAnsi="Arial" w:eastAsia="宋体"/>
          <w:szCs w:val="21"/>
        </w:rPr>
        <w:t>联系电话：手机：</w:t>
      </w:r>
    </w:p>
    <w:p w14:paraId="5CB8037B">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5E6DDB34">
      <w:pPr>
        <w:spacing w:line="360" w:lineRule="auto"/>
        <w:ind w:left="3840" w:leftChars="1600"/>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61C262AF">
      <w:pPr>
        <w:spacing w:line="360" w:lineRule="auto"/>
        <w:ind w:left="3840" w:leftChars="1600"/>
        <w:rPr>
          <w:rFonts w:ascii="Arial" w:hAnsi="Arial" w:eastAsia="宋体"/>
          <w:szCs w:val="21"/>
        </w:rPr>
      </w:pPr>
      <w:r>
        <w:rPr>
          <w:rFonts w:hint="eastAsia" w:ascii="Arial" w:hAnsi="Arial" w:eastAsia="宋体"/>
          <w:szCs w:val="21"/>
        </w:rPr>
        <w:t>法定代表人（签字或盖章）：</w:t>
      </w:r>
    </w:p>
    <w:p w14:paraId="71DB0B33">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7D8652B4">
      <w:pPr>
        <w:spacing w:line="500" w:lineRule="exact"/>
        <w:ind w:firstLine="480" w:firstLineChars="200"/>
        <w:rPr>
          <w:rFonts w:ascii="Arial" w:hAnsi="Arial" w:eastAsia="宋体"/>
        </w:rPr>
      </w:pPr>
    </w:p>
    <w:p w14:paraId="7E23D8E6">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3B402A96">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3DF2F851">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67A44CE2">
      <w:pPr>
        <w:rPr>
          <w:rFonts w:hint="eastAsia"/>
          <w:lang w:val="en-US" w:eastAsia="zh-CN"/>
        </w:rPr>
      </w:pPr>
    </w:p>
    <w:p w14:paraId="71C9C60A">
      <w:pPr>
        <w:pStyle w:val="14"/>
        <w:rPr>
          <w:rFonts w:hint="eastAsia"/>
          <w:lang w:val="en-US" w:eastAsia="zh-CN"/>
        </w:rPr>
      </w:pPr>
    </w:p>
    <w:p w14:paraId="3AD39A69">
      <w:pPr>
        <w:pStyle w:val="14"/>
        <w:rPr>
          <w:rFonts w:hint="eastAsia"/>
          <w:lang w:val="en-US" w:eastAsia="zh-CN"/>
        </w:rPr>
      </w:pPr>
    </w:p>
    <w:p w14:paraId="447EBFC8">
      <w:pPr>
        <w:pStyle w:val="14"/>
        <w:rPr>
          <w:rFonts w:hint="eastAsia"/>
          <w:lang w:val="en-US" w:eastAsia="zh-CN"/>
        </w:rPr>
      </w:pPr>
    </w:p>
    <w:p w14:paraId="2F5E2B13">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（本项目为服务类，如有需求参照本表填写）</w:t>
      </w:r>
    </w:p>
    <w:p w14:paraId="68398CE1">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0F5498BA">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07D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6E339020">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DD0461B">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20FEDB6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EAA109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346F8D43">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6E8D4B60">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65DF624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58D51680">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0B0996B3">
            <w:pPr>
              <w:spacing w:after="60" w:afterLines="25" w:line="300" w:lineRule="auto"/>
              <w:jc w:val="center"/>
              <w:rPr>
                <w:rFonts w:ascii="Arial" w:hAnsi="Arial" w:eastAsia="宋体"/>
              </w:rPr>
            </w:pPr>
            <w:r>
              <w:rPr>
                <w:rFonts w:hint="eastAsia" w:ascii="Arial" w:hAnsi="Arial" w:eastAsia="宋体"/>
              </w:rPr>
              <w:t>合价(元)</w:t>
            </w:r>
          </w:p>
        </w:tc>
      </w:tr>
      <w:tr w14:paraId="7D1F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0D2277E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3FAF8C11">
            <w:pPr>
              <w:spacing w:after="60" w:afterLines="25" w:line="300" w:lineRule="auto"/>
              <w:rPr>
                <w:rFonts w:ascii="Arial" w:hAnsi="Arial" w:eastAsia="宋体"/>
                <w:b/>
              </w:rPr>
            </w:pPr>
          </w:p>
        </w:tc>
        <w:tc>
          <w:tcPr>
            <w:tcW w:w="1417" w:type="dxa"/>
          </w:tcPr>
          <w:p w14:paraId="213FC2E6">
            <w:pPr>
              <w:spacing w:after="60" w:afterLines="25" w:line="300" w:lineRule="auto"/>
              <w:rPr>
                <w:rFonts w:ascii="Arial" w:hAnsi="Arial" w:eastAsia="宋体"/>
              </w:rPr>
            </w:pPr>
          </w:p>
        </w:tc>
        <w:tc>
          <w:tcPr>
            <w:tcW w:w="993" w:type="dxa"/>
          </w:tcPr>
          <w:p w14:paraId="6C13B099">
            <w:pPr>
              <w:spacing w:after="60" w:afterLines="25" w:line="300" w:lineRule="auto"/>
              <w:rPr>
                <w:rFonts w:ascii="Arial" w:hAnsi="Arial" w:eastAsia="宋体"/>
              </w:rPr>
            </w:pPr>
          </w:p>
        </w:tc>
        <w:tc>
          <w:tcPr>
            <w:tcW w:w="992" w:type="dxa"/>
          </w:tcPr>
          <w:p w14:paraId="21582352">
            <w:pPr>
              <w:spacing w:after="60" w:afterLines="25" w:line="300" w:lineRule="auto"/>
              <w:rPr>
                <w:rFonts w:ascii="Arial" w:hAnsi="Arial" w:eastAsia="宋体"/>
              </w:rPr>
            </w:pPr>
          </w:p>
        </w:tc>
        <w:tc>
          <w:tcPr>
            <w:tcW w:w="709" w:type="dxa"/>
          </w:tcPr>
          <w:p w14:paraId="0A389BDD">
            <w:pPr>
              <w:spacing w:after="60" w:afterLines="25" w:line="300" w:lineRule="auto"/>
              <w:rPr>
                <w:rFonts w:ascii="Arial" w:hAnsi="Arial" w:eastAsia="宋体"/>
              </w:rPr>
            </w:pPr>
          </w:p>
        </w:tc>
        <w:tc>
          <w:tcPr>
            <w:tcW w:w="708" w:type="dxa"/>
          </w:tcPr>
          <w:p w14:paraId="675CED86">
            <w:pPr>
              <w:spacing w:after="60" w:afterLines="25" w:line="300" w:lineRule="auto"/>
              <w:rPr>
                <w:rFonts w:ascii="Arial" w:hAnsi="Arial" w:eastAsia="宋体"/>
              </w:rPr>
            </w:pPr>
          </w:p>
        </w:tc>
        <w:tc>
          <w:tcPr>
            <w:tcW w:w="993" w:type="dxa"/>
          </w:tcPr>
          <w:p w14:paraId="6FBBE333">
            <w:pPr>
              <w:spacing w:after="60" w:afterLines="25" w:line="300" w:lineRule="auto"/>
              <w:rPr>
                <w:rFonts w:ascii="Arial" w:hAnsi="Arial" w:eastAsia="宋体"/>
              </w:rPr>
            </w:pPr>
          </w:p>
        </w:tc>
        <w:tc>
          <w:tcPr>
            <w:tcW w:w="1322" w:type="dxa"/>
          </w:tcPr>
          <w:p w14:paraId="16702520">
            <w:pPr>
              <w:spacing w:after="60" w:afterLines="25" w:line="300" w:lineRule="auto"/>
              <w:rPr>
                <w:rFonts w:ascii="Arial" w:hAnsi="Arial" w:eastAsia="宋体"/>
              </w:rPr>
            </w:pPr>
          </w:p>
        </w:tc>
      </w:tr>
      <w:tr w14:paraId="2FC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7EAD2E6">
            <w:pPr>
              <w:spacing w:after="60" w:afterLines="25" w:line="300" w:lineRule="auto"/>
              <w:jc w:val="center"/>
              <w:rPr>
                <w:rFonts w:ascii="Arial" w:hAnsi="Arial" w:eastAsia="宋体"/>
              </w:rPr>
            </w:pPr>
            <w:r>
              <w:rPr>
                <w:rFonts w:hint="eastAsia" w:ascii="Arial" w:hAnsi="Arial" w:eastAsia="宋体"/>
              </w:rPr>
              <w:t>2</w:t>
            </w:r>
          </w:p>
        </w:tc>
        <w:tc>
          <w:tcPr>
            <w:tcW w:w="2127" w:type="dxa"/>
          </w:tcPr>
          <w:p w14:paraId="551CF20E">
            <w:pPr>
              <w:spacing w:after="60" w:afterLines="25" w:line="300" w:lineRule="auto"/>
              <w:rPr>
                <w:rFonts w:ascii="Arial" w:hAnsi="Arial" w:eastAsia="宋体"/>
                <w:b/>
              </w:rPr>
            </w:pPr>
          </w:p>
        </w:tc>
        <w:tc>
          <w:tcPr>
            <w:tcW w:w="1417" w:type="dxa"/>
          </w:tcPr>
          <w:p w14:paraId="162B699A">
            <w:pPr>
              <w:spacing w:after="60" w:afterLines="25" w:line="300" w:lineRule="auto"/>
              <w:rPr>
                <w:rFonts w:ascii="Arial" w:hAnsi="Arial" w:eastAsia="宋体"/>
              </w:rPr>
            </w:pPr>
          </w:p>
        </w:tc>
        <w:tc>
          <w:tcPr>
            <w:tcW w:w="993" w:type="dxa"/>
          </w:tcPr>
          <w:p w14:paraId="54751A26">
            <w:pPr>
              <w:spacing w:after="60" w:afterLines="25" w:line="300" w:lineRule="auto"/>
              <w:rPr>
                <w:rFonts w:ascii="Arial" w:hAnsi="Arial" w:eastAsia="宋体"/>
              </w:rPr>
            </w:pPr>
          </w:p>
        </w:tc>
        <w:tc>
          <w:tcPr>
            <w:tcW w:w="992" w:type="dxa"/>
          </w:tcPr>
          <w:p w14:paraId="52712760">
            <w:pPr>
              <w:spacing w:after="60" w:afterLines="25" w:line="300" w:lineRule="auto"/>
              <w:rPr>
                <w:rFonts w:ascii="Arial" w:hAnsi="Arial" w:eastAsia="宋体"/>
              </w:rPr>
            </w:pPr>
          </w:p>
        </w:tc>
        <w:tc>
          <w:tcPr>
            <w:tcW w:w="709" w:type="dxa"/>
          </w:tcPr>
          <w:p w14:paraId="71BDC2C1">
            <w:pPr>
              <w:spacing w:after="60" w:afterLines="25" w:line="300" w:lineRule="auto"/>
              <w:rPr>
                <w:rFonts w:ascii="Arial" w:hAnsi="Arial" w:eastAsia="宋体"/>
              </w:rPr>
            </w:pPr>
          </w:p>
        </w:tc>
        <w:tc>
          <w:tcPr>
            <w:tcW w:w="708" w:type="dxa"/>
          </w:tcPr>
          <w:p w14:paraId="534409C5">
            <w:pPr>
              <w:spacing w:after="60" w:afterLines="25" w:line="300" w:lineRule="auto"/>
              <w:rPr>
                <w:rFonts w:ascii="Arial" w:hAnsi="Arial" w:eastAsia="宋体"/>
              </w:rPr>
            </w:pPr>
          </w:p>
        </w:tc>
        <w:tc>
          <w:tcPr>
            <w:tcW w:w="993" w:type="dxa"/>
          </w:tcPr>
          <w:p w14:paraId="5EF56993">
            <w:pPr>
              <w:spacing w:after="60" w:afterLines="25" w:line="300" w:lineRule="auto"/>
              <w:rPr>
                <w:rFonts w:ascii="Arial" w:hAnsi="Arial" w:eastAsia="宋体"/>
              </w:rPr>
            </w:pPr>
          </w:p>
        </w:tc>
        <w:tc>
          <w:tcPr>
            <w:tcW w:w="1322" w:type="dxa"/>
          </w:tcPr>
          <w:p w14:paraId="083672DE">
            <w:pPr>
              <w:spacing w:after="60" w:afterLines="25" w:line="300" w:lineRule="auto"/>
              <w:rPr>
                <w:rFonts w:ascii="Arial" w:hAnsi="Arial" w:eastAsia="宋体"/>
              </w:rPr>
            </w:pPr>
          </w:p>
        </w:tc>
      </w:tr>
      <w:tr w14:paraId="34D6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111CF099">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3CBB33A">
            <w:pPr>
              <w:spacing w:after="60" w:afterLines="25" w:line="300" w:lineRule="auto"/>
              <w:rPr>
                <w:rFonts w:ascii="Arial" w:hAnsi="Arial" w:eastAsia="宋体"/>
                <w:b/>
              </w:rPr>
            </w:pPr>
          </w:p>
        </w:tc>
        <w:tc>
          <w:tcPr>
            <w:tcW w:w="1417" w:type="dxa"/>
          </w:tcPr>
          <w:p w14:paraId="210C80B3">
            <w:pPr>
              <w:spacing w:after="60" w:afterLines="25" w:line="300" w:lineRule="auto"/>
              <w:rPr>
                <w:rFonts w:ascii="Arial" w:hAnsi="Arial" w:eastAsia="宋体"/>
              </w:rPr>
            </w:pPr>
          </w:p>
        </w:tc>
        <w:tc>
          <w:tcPr>
            <w:tcW w:w="993" w:type="dxa"/>
          </w:tcPr>
          <w:p w14:paraId="0F8AA3B4">
            <w:pPr>
              <w:spacing w:after="60" w:afterLines="25" w:line="300" w:lineRule="auto"/>
              <w:rPr>
                <w:rFonts w:ascii="Arial" w:hAnsi="Arial" w:eastAsia="宋体"/>
              </w:rPr>
            </w:pPr>
          </w:p>
        </w:tc>
        <w:tc>
          <w:tcPr>
            <w:tcW w:w="992" w:type="dxa"/>
          </w:tcPr>
          <w:p w14:paraId="2A3353F7">
            <w:pPr>
              <w:spacing w:after="60" w:afterLines="25" w:line="300" w:lineRule="auto"/>
              <w:rPr>
                <w:rFonts w:ascii="Arial" w:hAnsi="Arial" w:eastAsia="宋体"/>
              </w:rPr>
            </w:pPr>
          </w:p>
        </w:tc>
        <w:tc>
          <w:tcPr>
            <w:tcW w:w="709" w:type="dxa"/>
          </w:tcPr>
          <w:p w14:paraId="09E72FBC">
            <w:pPr>
              <w:spacing w:after="60" w:afterLines="25" w:line="300" w:lineRule="auto"/>
              <w:rPr>
                <w:rFonts w:ascii="Arial" w:hAnsi="Arial" w:eastAsia="宋体"/>
              </w:rPr>
            </w:pPr>
          </w:p>
        </w:tc>
        <w:tc>
          <w:tcPr>
            <w:tcW w:w="708" w:type="dxa"/>
          </w:tcPr>
          <w:p w14:paraId="326AD44A">
            <w:pPr>
              <w:spacing w:after="60" w:afterLines="25" w:line="300" w:lineRule="auto"/>
              <w:rPr>
                <w:rFonts w:ascii="Arial" w:hAnsi="Arial" w:eastAsia="宋体"/>
              </w:rPr>
            </w:pPr>
          </w:p>
        </w:tc>
        <w:tc>
          <w:tcPr>
            <w:tcW w:w="993" w:type="dxa"/>
          </w:tcPr>
          <w:p w14:paraId="5D52CDE6">
            <w:pPr>
              <w:spacing w:after="60" w:afterLines="25" w:line="300" w:lineRule="auto"/>
              <w:rPr>
                <w:rFonts w:ascii="Arial" w:hAnsi="Arial" w:eastAsia="宋体"/>
              </w:rPr>
            </w:pPr>
          </w:p>
        </w:tc>
        <w:tc>
          <w:tcPr>
            <w:tcW w:w="1322" w:type="dxa"/>
          </w:tcPr>
          <w:p w14:paraId="079EC218">
            <w:pPr>
              <w:spacing w:after="60" w:afterLines="25" w:line="300" w:lineRule="auto"/>
              <w:rPr>
                <w:rFonts w:ascii="Arial" w:hAnsi="Arial" w:eastAsia="宋体"/>
              </w:rPr>
            </w:pPr>
          </w:p>
        </w:tc>
      </w:tr>
      <w:tr w14:paraId="490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07DB0464">
            <w:pPr>
              <w:spacing w:after="60" w:afterLines="25" w:line="300" w:lineRule="auto"/>
              <w:jc w:val="center"/>
              <w:rPr>
                <w:rFonts w:ascii="Arial" w:hAnsi="Arial" w:eastAsia="宋体"/>
              </w:rPr>
            </w:pPr>
            <w:r>
              <w:rPr>
                <w:rFonts w:hint="eastAsia" w:ascii="Arial" w:hAnsi="Arial" w:eastAsia="宋体"/>
              </w:rPr>
              <w:t>……</w:t>
            </w:r>
          </w:p>
        </w:tc>
        <w:tc>
          <w:tcPr>
            <w:tcW w:w="2127" w:type="dxa"/>
          </w:tcPr>
          <w:p w14:paraId="3DD5D47E">
            <w:pPr>
              <w:spacing w:after="60" w:afterLines="25" w:line="300" w:lineRule="auto"/>
              <w:rPr>
                <w:rFonts w:ascii="Arial" w:hAnsi="Arial" w:eastAsia="宋体"/>
                <w:b/>
              </w:rPr>
            </w:pPr>
          </w:p>
        </w:tc>
        <w:tc>
          <w:tcPr>
            <w:tcW w:w="1417" w:type="dxa"/>
          </w:tcPr>
          <w:p w14:paraId="36B7ADA0">
            <w:pPr>
              <w:spacing w:after="60" w:afterLines="25" w:line="300" w:lineRule="auto"/>
              <w:rPr>
                <w:rFonts w:ascii="Arial" w:hAnsi="Arial" w:eastAsia="宋体"/>
              </w:rPr>
            </w:pPr>
          </w:p>
        </w:tc>
        <w:tc>
          <w:tcPr>
            <w:tcW w:w="993" w:type="dxa"/>
          </w:tcPr>
          <w:p w14:paraId="42088906">
            <w:pPr>
              <w:spacing w:after="60" w:afterLines="25" w:line="300" w:lineRule="auto"/>
              <w:rPr>
                <w:rFonts w:ascii="Arial" w:hAnsi="Arial" w:eastAsia="宋体"/>
              </w:rPr>
            </w:pPr>
          </w:p>
        </w:tc>
        <w:tc>
          <w:tcPr>
            <w:tcW w:w="992" w:type="dxa"/>
          </w:tcPr>
          <w:p w14:paraId="1EC9C70C">
            <w:pPr>
              <w:spacing w:after="60" w:afterLines="25" w:line="300" w:lineRule="auto"/>
              <w:rPr>
                <w:rFonts w:ascii="Arial" w:hAnsi="Arial" w:eastAsia="宋体"/>
              </w:rPr>
            </w:pPr>
          </w:p>
        </w:tc>
        <w:tc>
          <w:tcPr>
            <w:tcW w:w="709" w:type="dxa"/>
          </w:tcPr>
          <w:p w14:paraId="3302952A">
            <w:pPr>
              <w:spacing w:after="60" w:afterLines="25" w:line="300" w:lineRule="auto"/>
              <w:rPr>
                <w:rFonts w:ascii="Arial" w:hAnsi="Arial" w:eastAsia="宋体"/>
              </w:rPr>
            </w:pPr>
          </w:p>
        </w:tc>
        <w:tc>
          <w:tcPr>
            <w:tcW w:w="708" w:type="dxa"/>
          </w:tcPr>
          <w:p w14:paraId="2B5C9306">
            <w:pPr>
              <w:spacing w:after="60" w:afterLines="25" w:line="300" w:lineRule="auto"/>
              <w:rPr>
                <w:rFonts w:ascii="Arial" w:hAnsi="Arial" w:eastAsia="宋体"/>
              </w:rPr>
            </w:pPr>
          </w:p>
        </w:tc>
        <w:tc>
          <w:tcPr>
            <w:tcW w:w="993" w:type="dxa"/>
          </w:tcPr>
          <w:p w14:paraId="57634A2A">
            <w:pPr>
              <w:spacing w:after="60" w:afterLines="25" w:line="300" w:lineRule="auto"/>
              <w:rPr>
                <w:rFonts w:ascii="Arial" w:hAnsi="Arial" w:eastAsia="宋体"/>
              </w:rPr>
            </w:pPr>
          </w:p>
        </w:tc>
        <w:tc>
          <w:tcPr>
            <w:tcW w:w="1322" w:type="dxa"/>
          </w:tcPr>
          <w:p w14:paraId="0ABC4A83">
            <w:pPr>
              <w:spacing w:after="60" w:afterLines="25" w:line="300" w:lineRule="auto"/>
              <w:rPr>
                <w:rFonts w:ascii="Arial" w:hAnsi="Arial" w:eastAsia="宋体"/>
              </w:rPr>
            </w:pPr>
          </w:p>
        </w:tc>
      </w:tr>
      <w:tr w14:paraId="3B9C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646CF7F7">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6A7650A2">
            <w:pPr>
              <w:spacing w:after="60" w:afterLines="25" w:line="300" w:lineRule="auto"/>
              <w:rPr>
                <w:rFonts w:ascii="Arial" w:hAnsi="Arial" w:eastAsia="宋体"/>
              </w:rPr>
            </w:pPr>
          </w:p>
        </w:tc>
      </w:tr>
    </w:tbl>
    <w:p w14:paraId="7FD30005">
      <w:pPr>
        <w:tabs>
          <w:tab w:val="left" w:pos="720"/>
        </w:tabs>
        <w:rPr>
          <w:rFonts w:eastAsia="宋体"/>
          <w:b/>
        </w:rPr>
      </w:pPr>
    </w:p>
    <w:p w14:paraId="3A135BE5">
      <w:pPr>
        <w:tabs>
          <w:tab w:val="left" w:pos="720"/>
        </w:tabs>
        <w:rPr>
          <w:rFonts w:eastAsia="宋体"/>
          <w:b/>
          <w:color w:val="FF0000"/>
        </w:rPr>
      </w:pPr>
      <w:r>
        <w:rPr>
          <w:rFonts w:hint="eastAsia" w:eastAsia="宋体"/>
          <w:b/>
          <w:color w:val="FF0000"/>
        </w:rPr>
        <w:t>（二）核心产品品牌</w:t>
      </w:r>
    </w:p>
    <w:p w14:paraId="5C089911">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5157DD40">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771F05AD">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69AD29F5">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7EC4B0DB">
      <w:pPr>
        <w:spacing w:after="60" w:afterLines="25" w:line="300" w:lineRule="auto"/>
        <w:rPr>
          <w:rFonts w:ascii="Arial" w:hAnsi="Arial" w:eastAsia="宋体"/>
        </w:rPr>
      </w:pPr>
    </w:p>
    <w:p w14:paraId="683C100C">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71A6F74B">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535337F3">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w:t>
      </w:r>
      <w:r>
        <w:rPr>
          <w:rFonts w:hint="eastAsia" w:ascii="宋体" w:hAnsi="宋体" w:eastAsia="宋体"/>
          <w:b/>
          <w:color w:val="FF0000"/>
          <w:lang w:eastAsia="zh-CN"/>
        </w:rPr>
        <w:t>若需求为货物则</w:t>
      </w:r>
      <w:r>
        <w:rPr>
          <w:rFonts w:ascii="宋体" w:hAnsi="宋体"/>
          <w:b/>
          <w:color w:val="FF0000"/>
        </w:rPr>
        <w:t>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r>
        <w:rPr>
          <w:rFonts w:hint="eastAsia" w:ascii="宋体" w:hAnsi="宋体" w:eastAsia="宋体"/>
          <w:b/>
          <w:color w:val="FF0000"/>
          <w:lang w:eastAsia="zh-CN"/>
        </w:rPr>
        <w:t>。若需求为服务可根据需要进行修改，但应包含服务内容及服务分项报价</w:t>
      </w:r>
      <w:r>
        <w:rPr>
          <w:rFonts w:ascii="宋体" w:hAnsi="宋体"/>
          <w:b/>
          <w:color w:val="FF0000"/>
        </w:rPr>
        <w:t>；</w:t>
      </w:r>
    </w:p>
    <w:p w14:paraId="33B8CB0C">
      <w:pPr>
        <w:snapToGrid w:val="0"/>
        <w:rPr>
          <w:rFonts w:ascii="宋体" w:hAnsi="宋体"/>
          <w:b/>
        </w:rPr>
      </w:pPr>
    </w:p>
    <w:p w14:paraId="211794D3">
      <w:pPr>
        <w:snapToGrid w:val="0"/>
        <w:rPr>
          <w:rFonts w:ascii="宋体" w:hAnsi="宋体"/>
          <w:b/>
        </w:rPr>
      </w:pPr>
      <w:r>
        <w:rPr>
          <w:rFonts w:hint="eastAsia" w:ascii="宋体" w:hAnsi="宋体"/>
          <w:b/>
        </w:rPr>
        <w:t>填写说明：</w:t>
      </w:r>
    </w:p>
    <w:p w14:paraId="1CBC85C3">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23D2AEC5">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AB73E7B">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34FAE8CA">
      <w:pPr>
        <w:snapToGrid w:val="0"/>
        <w:rPr>
          <w:rFonts w:ascii="宋体" w:hAnsi="宋体"/>
        </w:rPr>
      </w:pPr>
    </w:p>
    <w:p w14:paraId="27593EDC">
      <w:pPr>
        <w:tabs>
          <w:tab w:val="left" w:pos="651"/>
        </w:tabs>
        <w:snapToGrid w:val="0"/>
        <w:rPr>
          <w:rFonts w:ascii="宋体" w:hAnsi="宋体" w:eastAsia="宋体"/>
          <w:color w:val="FF0000"/>
          <w:sz w:val="28"/>
          <w:szCs w:val="28"/>
        </w:rPr>
      </w:pPr>
    </w:p>
    <w:p w14:paraId="54CBC1B6">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14:paraId="6A09CD78">
      <w:pPr>
        <w:snapToGrid w:val="0"/>
        <w:rPr>
          <w:rFonts w:ascii="Arial" w:hAnsi="Arial" w:eastAsia="宋体" w:cs="Arial"/>
        </w:rPr>
      </w:pPr>
      <w:r>
        <w:rPr>
          <w:rFonts w:hint="eastAsia" w:ascii="Arial" w:hAnsi="Arial" w:eastAsia="宋体" w:cs="Arial"/>
          <w:color w:val="000000"/>
        </w:rPr>
        <w:t>投标单位（投标人）名称：</w:t>
      </w:r>
    </w:p>
    <w:p w14:paraId="49CA4806">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398CECA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460B95CC">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54C01EF4">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2B4D7093">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21EAE086">
            <w:pPr>
              <w:jc w:val="center"/>
              <w:rPr>
                <w:rFonts w:ascii="宋体" w:hAnsi="宋体" w:eastAsia="宋体" w:cs="Arial"/>
                <w:b/>
                <w:szCs w:val="21"/>
              </w:rPr>
            </w:pPr>
            <w:r>
              <w:rPr>
                <w:rFonts w:hint="eastAsia" w:ascii="宋体" w:hAnsi="宋体" w:eastAsia="宋体" w:cs="Arial"/>
                <w:b/>
                <w:szCs w:val="21"/>
              </w:rPr>
              <w:t>说明</w:t>
            </w:r>
          </w:p>
        </w:tc>
      </w:tr>
      <w:tr w14:paraId="1D870C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0BC0ABB">
            <w:pPr>
              <w:spacing w:line="300" w:lineRule="auto"/>
              <w:jc w:val="center"/>
              <w:rPr>
                <w:rFonts w:ascii="Arial" w:hAnsi="Arial" w:eastAsia="宋体"/>
              </w:rPr>
            </w:pPr>
            <w:r>
              <w:rPr>
                <w:rFonts w:hint="eastAsia" w:ascii="Arial" w:hAnsi="Arial" w:eastAsia="宋体"/>
              </w:rPr>
              <w:t>1</w:t>
            </w:r>
          </w:p>
        </w:tc>
        <w:tc>
          <w:tcPr>
            <w:tcW w:w="3901" w:type="dxa"/>
            <w:vAlign w:val="center"/>
          </w:tcPr>
          <w:p w14:paraId="2CDE838F">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4C1278F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3C83AE76">
            <w:pPr>
              <w:rPr>
                <w:rFonts w:ascii="宋体" w:hAnsi="宋体" w:eastAsia="宋体" w:cs="Arial"/>
                <w:szCs w:val="21"/>
              </w:rPr>
            </w:pPr>
            <w:r>
              <w:rPr>
                <w:rFonts w:hint="eastAsia" w:ascii="宋体" w:hAnsi="宋体" w:eastAsia="宋体" w:cs="Arial"/>
                <w:szCs w:val="21"/>
              </w:rPr>
              <w:t>无偏离</w:t>
            </w:r>
          </w:p>
        </w:tc>
      </w:tr>
    </w:tbl>
    <w:p w14:paraId="09A9BFB3">
      <w:pPr>
        <w:snapToGrid w:val="0"/>
        <w:rPr>
          <w:rFonts w:ascii="宋体" w:hAnsi="宋体"/>
        </w:rPr>
      </w:pPr>
    </w:p>
    <w:p w14:paraId="14166144">
      <w:pPr>
        <w:snapToGrid w:val="0"/>
        <w:rPr>
          <w:rFonts w:ascii="宋体" w:hAnsi="宋体"/>
          <w:b/>
        </w:rPr>
      </w:pPr>
      <w:r>
        <w:rPr>
          <w:rFonts w:hint="eastAsia" w:ascii="宋体" w:hAnsi="宋体" w:eastAsia="宋体"/>
          <w:b/>
        </w:rPr>
        <w:t>填写说明：</w:t>
      </w:r>
    </w:p>
    <w:p w14:paraId="65085624">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3A338E48">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DC8078A">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5167E54E">
      <w:pPr>
        <w:rPr>
          <w:rFonts w:ascii="宋体" w:hAnsi="宋体" w:eastAsia="宋体"/>
          <w:color w:val="FF0000"/>
          <w:sz w:val="32"/>
          <w:szCs w:val="32"/>
        </w:rPr>
      </w:pPr>
    </w:p>
    <w:p w14:paraId="32918A8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14:paraId="6A881145">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1D14BC2">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6F1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2F2D0D9">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0BEB237D">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3A7DF713">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3793C1EA">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0121411">
            <w:pPr>
              <w:snapToGrid w:val="0"/>
              <w:jc w:val="center"/>
              <w:rPr>
                <w:rFonts w:ascii="宋体" w:hAnsi="宋体"/>
                <w:b/>
              </w:rPr>
            </w:pPr>
            <w:r>
              <w:rPr>
                <w:rFonts w:hint="eastAsia" w:ascii="宋体" w:hAnsi="宋体"/>
                <w:b/>
              </w:rPr>
              <w:t>说明</w:t>
            </w:r>
          </w:p>
        </w:tc>
      </w:tr>
      <w:tr w14:paraId="1145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06C824B1">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4E44486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597B8F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DEA7EA2">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D729735">
            <w:pPr>
              <w:snapToGrid w:val="0"/>
              <w:rPr>
                <w:rFonts w:ascii="宋体" w:hAnsi="宋体"/>
              </w:rPr>
            </w:pPr>
          </w:p>
        </w:tc>
      </w:tr>
      <w:tr w14:paraId="21C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032990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17B781A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6F5744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E9F17F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76FD8C5">
            <w:pPr>
              <w:snapToGrid w:val="0"/>
              <w:rPr>
                <w:rFonts w:ascii="宋体" w:hAnsi="宋体"/>
              </w:rPr>
            </w:pPr>
          </w:p>
        </w:tc>
      </w:tr>
      <w:tr w14:paraId="2779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C6529CC">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11894D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DE45D6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BE9B76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22387876">
            <w:pPr>
              <w:snapToGrid w:val="0"/>
              <w:rPr>
                <w:rFonts w:ascii="宋体" w:hAnsi="宋体"/>
              </w:rPr>
            </w:pPr>
          </w:p>
        </w:tc>
      </w:tr>
    </w:tbl>
    <w:p w14:paraId="39F22408">
      <w:pPr>
        <w:snapToGrid w:val="0"/>
        <w:rPr>
          <w:rFonts w:ascii="宋体" w:hAnsi="宋体"/>
        </w:rPr>
      </w:pPr>
      <w:r>
        <w:rPr>
          <w:rFonts w:hint="eastAsia" w:ascii="宋体" w:hAnsi="宋体"/>
        </w:rPr>
        <w:t>此表可延长。</w:t>
      </w:r>
    </w:p>
    <w:p w14:paraId="6A331675">
      <w:pPr>
        <w:snapToGrid w:val="0"/>
        <w:rPr>
          <w:rFonts w:ascii="宋体" w:hAnsi="宋体"/>
        </w:rPr>
      </w:pPr>
    </w:p>
    <w:p w14:paraId="435E8338">
      <w:pPr>
        <w:snapToGrid w:val="0"/>
        <w:rPr>
          <w:rFonts w:ascii="宋体" w:hAnsi="宋体"/>
          <w:b/>
        </w:rPr>
      </w:pPr>
      <w:r>
        <w:rPr>
          <w:rFonts w:hint="eastAsia" w:ascii="宋体" w:hAnsi="宋体"/>
          <w:b/>
        </w:rPr>
        <w:t>填写说明：</w:t>
      </w:r>
    </w:p>
    <w:p w14:paraId="7FEF6801">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F43F2C4">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5BCE22C">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4B73E125">
      <w:pPr>
        <w:rPr>
          <w:rFonts w:ascii="宋体" w:hAnsi="宋体" w:eastAsia="宋体"/>
          <w:color w:val="FF0000"/>
          <w:sz w:val="32"/>
          <w:szCs w:val="32"/>
        </w:rPr>
      </w:pPr>
      <w:r>
        <w:br w:type="page"/>
      </w:r>
    </w:p>
    <w:p w14:paraId="2F6B6984">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0A8EE8D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5AEE79F">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14:paraId="5A48FB53">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E755A9D">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14:paraId="5FAC1A21">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D891E6">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14:paraId="69EAD2E1">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1A77FD9">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14:paraId="5C929832">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FCA40A9">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14:paraId="465EEEA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6B8BEB66">
      <w:pPr>
        <w:spacing w:after="60" w:afterLines="25" w:line="300" w:lineRule="auto"/>
        <w:rPr>
          <w:rFonts w:ascii="宋体" w:hAnsi="宋体" w:eastAsia="宋体"/>
          <w:color w:val="FF0000"/>
          <w:sz w:val="32"/>
          <w:szCs w:val="32"/>
        </w:rPr>
      </w:pPr>
      <w:r>
        <w:br w:type="page"/>
      </w:r>
    </w:p>
    <w:p w14:paraId="17F67FF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13BAED77">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14:paraId="4F0C891D">
      <w:pPr>
        <w:snapToGrid w:val="0"/>
        <w:spacing w:line="300" w:lineRule="auto"/>
        <w:jc w:val="center"/>
        <w:rPr>
          <w:rFonts w:ascii="仿宋" w:hAnsi="仿宋" w:eastAsia="仿宋"/>
          <w:sz w:val="28"/>
          <w:szCs w:val="28"/>
        </w:rPr>
      </w:pPr>
    </w:p>
    <w:p w14:paraId="17D86AA1">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5DA6753D">
      <w:pPr>
        <w:snapToGrid w:val="0"/>
        <w:spacing w:line="300" w:lineRule="auto"/>
        <w:rPr>
          <w:rFonts w:ascii="仿宋" w:hAnsi="仿宋" w:eastAsia="仿宋"/>
          <w:sz w:val="28"/>
          <w:szCs w:val="28"/>
        </w:rPr>
      </w:pPr>
      <w:r>
        <w:rPr>
          <w:rFonts w:ascii="仿宋" w:hAnsi="仿宋" w:eastAsia="仿宋"/>
          <w:sz w:val="28"/>
          <w:szCs w:val="28"/>
        </w:rPr>
        <w:t>住所地：住所地：</w:t>
      </w:r>
    </w:p>
    <w:p w14:paraId="31020316">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73CF1DAA">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1AE5B679">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1A01C326">
      <w:pPr>
        <w:snapToGrid w:val="0"/>
        <w:spacing w:line="300" w:lineRule="auto"/>
        <w:rPr>
          <w:rFonts w:ascii="仿宋" w:hAnsi="仿宋" w:eastAsia="仿宋"/>
          <w:sz w:val="28"/>
          <w:szCs w:val="28"/>
        </w:rPr>
      </w:pPr>
      <w:r>
        <w:rPr>
          <w:rFonts w:ascii="仿宋" w:hAnsi="仿宋" w:eastAsia="仿宋"/>
          <w:sz w:val="28"/>
          <w:szCs w:val="28"/>
        </w:rPr>
        <w:t>传真：传真：</w:t>
      </w:r>
    </w:p>
    <w:p w14:paraId="1678F133">
      <w:pPr>
        <w:snapToGrid w:val="0"/>
        <w:spacing w:line="300" w:lineRule="auto"/>
        <w:rPr>
          <w:rFonts w:ascii="仿宋" w:hAnsi="仿宋" w:eastAsia="仿宋"/>
          <w:sz w:val="28"/>
          <w:szCs w:val="28"/>
        </w:rPr>
      </w:pPr>
    </w:p>
    <w:p w14:paraId="78B06DBE">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4D4E1AF4">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532DDF0C">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1A80078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746F9007">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1853028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4611499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55698A28">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456C78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6FB9F5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40CE83D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1CBC7A9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098EC49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16BA392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7E227C6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41DCBF7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7C5B776C">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282537AB">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371615A6">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05D1B113">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3E0CBFA7">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w:t>
      </w:r>
      <w:r>
        <w:rPr>
          <w:rFonts w:hint="eastAsia" w:ascii="仿宋" w:hAnsi="仿宋" w:eastAsia="仿宋"/>
          <w:sz w:val="28"/>
          <w:szCs w:val="28"/>
          <w:lang w:eastAsia="zh-CN"/>
        </w:rPr>
        <w:t>物流管理</w:t>
      </w:r>
      <w:r>
        <w:rPr>
          <w:rFonts w:hint="eastAsia" w:ascii="仿宋" w:hAnsi="仿宋" w:eastAsia="仿宋"/>
          <w:sz w:val="28"/>
          <w:szCs w:val="28"/>
        </w:rPr>
        <w:t>设计权等知识产权和侵犯其所有权、抵押权等物权及其他权利而引发的纠纷。如有纠纷，乙方应承担全部责任。</w:t>
      </w:r>
    </w:p>
    <w:p w14:paraId="08B25180">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0CE971B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5B587AF7">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5BEBAE3F">
      <w:pPr>
        <w:snapToGrid w:val="0"/>
        <w:spacing w:line="300" w:lineRule="auto"/>
        <w:ind w:firstLine="200"/>
        <w:rPr>
          <w:rFonts w:ascii="仿宋" w:hAnsi="仿宋" w:eastAsia="仿宋"/>
          <w:sz w:val="28"/>
          <w:szCs w:val="28"/>
        </w:rPr>
      </w:pPr>
    </w:p>
    <w:p w14:paraId="0AB67A23">
      <w:pPr>
        <w:snapToGrid w:val="0"/>
        <w:spacing w:line="300" w:lineRule="auto"/>
        <w:ind w:firstLine="200"/>
        <w:rPr>
          <w:rFonts w:ascii="仿宋" w:hAnsi="仿宋" w:eastAsia="仿宋"/>
          <w:sz w:val="28"/>
          <w:szCs w:val="28"/>
        </w:rPr>
      </w:pPr>
    </w:p>
    <w:p w14:paraId="04FC6248">
      <w:pPr>
        <w:snapToGrid w:val="0"/>
        <w:spacing w:line="300" w:lineRule="auto"/>
        <w:ind w:firstLine="200"/>
        <w:rPr>
          <w:rFonts w:ascii="仿宋" w:hAnsi="仿宋" w:eastAsia="仿宋"/>
          <w:sz w:val="28"/>
          <w:szCs w:val="28"/>
        </w:rPr>
      </w:pPr>
    </w:p>
    <w:p w14:paraId="13A4B757">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398BAB1D">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563C109A">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100282B0">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0DDDBF2">
      <w:pPr>
        <w:rPr>
          <w:rFonts w:ascii="Arial" w:hAnsi="Arial" w:eastAsia="宋体"/>
          <w:color w:val="FF0000"/>
        </w:rPr>
      </w:pPr>
    </w:p>
    <w:p w14:paraId="0752B2DD">
      <w:pPr>
        <w:rPr>
          <w:rFonts w:ascii="宋体" w:hAnsi="宋体" w:eastAsia="黑体"/>
          <w:b/>
          <w:bCs/>
          <w:color w:val="0000FF"/>
          <w:kern w:val="44"/>
          <w:sz w:val="36"/>
          <w:szCs w:val="44"/>
        </w:rPr>
      </w:pPr>
      <w:r>
        <w:br w:type="page"/>
      </w:r>
    </w:p>
    <w:p w14:paraId="158DEC89">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1762B72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4E605DC9">
      <w:pPr>
        <w:outlineLvl w:val="2"/>
        <w:rPr>
          <w:rFonts w:ascii="黑体" w:hAnsi="宋体" w:eastAsia="黑体"/>
        </w:rPr>
      </w:pPr>
      <w:r>
        <w:rPr>
          <w:rFonts w:hint="eastAsia" w:ascii="黑体" w:hAnsi="宋体" w:eastAsia="黑体"/>
        </w:rPr>
        <w:t>1. 通用条款说明</w:t>
      </w:r>
    </w:p>
    <w:p w14:paraId="766CEB9A">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76FF2A83">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03A4B0EA">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F7F93F1">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214B3B9">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BEE44FB">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40735C4D">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7E552672">
      <w:pPr>
        <w:outlineLvl w:val="2"/>
        <w:rPr>
          <w:rFonts w:ascii="黑体" w:hAnsi="宋体" w:eastAsia="黑体"/>
        </w:rPr>
      </w:pPr>
      <w:r>
        <w:rPr>
          <w:rFonts w:hint="eastAsia" w:ascii="黑体" w:hAnsi="宋体" w:eastAsia="黑体"/>
        </w:rPr>
        <w:t>3．定义</w:t>
      </w:r>
    </w:p>
    <w:p w14:paraId="1D111C14">
      <w:pPr>
        <w:ind w:firstLine="480" w:firstLineChars="200"/>
        <w:rPr>
          <w:rFonts w:ascii="宋体" w:hAnsi="宋体" w:eastAsia="宋体"/>
          <w:szCs w:val="21"/>
        </w:rPr>
      </w:pPr>
      <w:r>
        <w:rPr>
          <w:rFonts w:ascii="宋体" w:hAnsi="宋体" w:eastAsia="宋体"/>
          <w:szCs w:val="21"/>
        </w:rPr>
        <w:t>招标文件中下列术语应解释为：</w:t>
      </w:r>
    </w:p>
    <w:p w14:paraId="07AB22B7">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4A7F683C">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928A988">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648C945E">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1701B3F4">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5E91C879">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1646F4D2">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638CE8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1DF2239C">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2AE5AA80">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63ED96E4">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30027453">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40E1738A">
      <w:pPr>
        <w:outlineLvl w:val="2"/>
        <w:rPr>
          <w:rFonts w:ascii="黑体" w:hAnsi="宋体" w:eastAsia="黑体"/>
        </w:rPr>
      </w:pPr>
      <w:r>
        <w:rPr>
          <w:rFonts w:hint="eastAsia" w:ascii="黑体" w:hAnsi="宋体" w:eastAsia="黑体"/>
        </w:rPr>
        <w:t>5．投标人参加政府采购的条件</w:t>
      </w:r>
    </w:p>
    <w:p w14:paraId="7BDFECC5">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C88F15">
      <w:pPr>
        <w:ind w:firstLine="470" w:firstLineChars="196"/>
        <w:rPr>
          <w:rFonts w:ascii="宋体" w:hAnsi="宋体" w:eastAsia="宋体"/>
          <w:szCs w:val="21"/>
        </w:rPr>
      </w:pPr>
      <w:r>
        <w:rPr>
          <w:rFonts w:hint="eastAsia" w:ascii="宋体" w:hAnsi="宋体" w:eastAsia="宋体"/>
          <w:szCs w:val="21"/>
        </w:rPr>
        <w:t>5.2投标人资格要求</w:t>
      </w:r>
    </w:p>
    <w:p w14:paraId="3DAB4027">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29BEE9BE">
      <w:pPr>
        <w:ind w:firstLine="470" w:firstLineChars="196"/>
        <w:rPr>
          <w:rFonts w:ascii="宋体" w:hAnsi="宋体" w:eastAsia="宋体"/>
          <w:szCs w:val="21"/>
        </w:rPr>
      </w:pPr>
      <w:r>
        <w:rPr>
          <w:rFonts w:hint="eastAsia" w:ascii="宋体" w:hAnsi="宋体" w:eastAsia="宋体"/>
          <w:szCs w:val="21"/>
        </w:rPr>
        <w:t>5.3联合体投标</w:t>
      </w:r>
    </w:p>
    <w:p w14:paraId="26727B9C">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AA10D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5F361667">
      <w:pPr>
        <w:ind w:firstLine="470" w:firstLineChars="196"/>
        <w:rPr>
          <w:rFonts w:ascii="宋体" w:hAnsi="宋体" w:eastAsia="宋体"/>
        </w:rPr>
      </w:pPr>
      <w:r>
        <w:rPr>
          <w:rFonts w:hint="eastAsia" w:ascii="宋体" w:hAnsi="宋体" w:eastAsia="宋体"/>
        </w:rPr>
        <w:t>（1）投标联合体各方参加政府采购活动应当具备下列条件：</w:t>
      </w:r>
    </w:p>
    <w:p w14:paraId="213394A4">
      <w:pPr>
        <w:ind w:left="480" w:leftChars="200" w:firstLine="470" w:firstLineChars="196"/>
        <w:rPr>
          <w:rFonts w:ascii="宋体" w:hAnsi="宋体" w:eastAsia="宋体"/>
        </w:rPr>
      </w:pPr>
      <w:r>
        <w:rPr>
          <w:rFonts w:hint="eastAsia" w:ascii="宋体" w:hAnsi="宋体" w:eastAsia="宋体"/>
        </w:rPr>
        <w:t>1、具有独立承担民事责任的能力；</w:t>
      </w:r>
    </w:p>
    <w:p w14:paraId="6556E955">
      <w:pPr>
        <w:ind w:left="420" w:firstLine="470" w:firstLineChars="196"/>
        <w:rPr>
          <w:rFonts w:ascii="宋体" w:hAnsi="宋体" w:eastAsia="宋体"/>
        </w:rPr>
      </w:pPr>
      <w:r>
        <w:rPr>
          <w:rFonts w:hint="eastAsia" w:ascii="宋体" w:hAnsi="宋体" w:eastAsia="宋体"/>
        </w:rPr>
        <w:t>2、有良好的商业信誉和健全的财务会计制度；</w:t>
      </w:r>
    </w:p>
    <w:p w14:paraId="0097D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B3AE23B">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78F448D5">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022BC167">
      <w:pPr>
        <w:ind w:left="480" w:leftChars="200" w:firstLine="470" w:firstLineChars="196"/>
        <w:rPr>
          <w:rFonts w:ascii="宋体" w:hAnsi="宋体" w:eastAsia="宋体"/>
        </w:rPr>
      </w:pPr>
      <w:r>
        <w:rPr>
          <w:rFonts w:hint="eastAsia" w:ascii="宋体" w:hAnsi="宋体" w:eastAsia="宋体"/>
        </w:rPr>
        <w:t>6、法律、行政法规规定的其他条件。</w:t>
      </w:r>
    </w:p>
    <w:p w14:paraId="498863A5">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7D56EF47">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0BCCA604">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1F8A7D45">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E65E00E">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242D9B0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23A76E1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D88EF71">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15D9410E">
      <w:pPr>
        <w:outlineLvl w:val="2"/>
        <w:rPr>
          <w:rFonts w:ascii="黑体" w:hAnsi="宋体" w:eastAsia="黑体"/>
        </w:rPr>
      </w:pPr>
      <w:r>
        <w:rPr>
          <w:rFonts w:hint="eastAsia" w:ascii="黑体" w:hAnsi="宋体" w:eastAsia="黑体"/>
        </w:rPr>
        <w:t>6．政策导向</w:t>
      </w:r>
    </w:p>
    <w:p w14:paraId="4A43BDEB">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29CB7B7C">
      <w:pPr>
        <w:ind w:firstLine="405"/>
        <w:rPr>
          <w:rFonts w:eastAsia="宋体"/>
          <w:shd w:val="clear" w:color="auto" w:fill="FFFFFF"/>
        </w:rPr>
      </w:pPr>
      <w:r>
        <w:rPr>
          <w:rFonts w:hint="eastAsia" w:ascii="宋体" w:hAnsi="宋体" w:eastAsia="宋体"/>
        </w:rPr>
        <w:t>6.2本项目落实政府采购供应商诚信管理政策要求。</w:t>
      </w:r>
    </w:p>
    <w:p w14:paraId="063BF30A">
      <w:pPr>
        <w:outlineLvl w:val="2"/>
        <w:rPr>
          <w:rFonts w:ascii="黑体" w:hAnsi="宋体" w:eastAsia="黑体"/>
        </w:rPr>
      </w:pPr>
      <w:r>
        <w:rPr>
          <w:rFonts w:hint="eastAsia" w:ascii="黑体" w:hAnsi="宋体" w:eastAsia="黑体"/>
        </w:rPr>
        <w:t>7. 本项目若涉及采购货物，则合格的货物及相应服务应满足以下要求：</w:t>
      </w:r>
    </w:p>
    <w:p w14:paraId="619611FF">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6D88DEB9">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789BBEB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AE3A1A">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eastAsia="宋体"/>
        </w:rPr>
        <w:t>设计权等知识产权和侵犯其所有权、抵押权等物权及其他权利而引发的纠纷。如有纠纷，投标人应承担全部责任。</w:t>
      </w:r>
      <w:bookmarkEnd w:id="20"/>
    </w:p>
    <w:p w14:paraId="287B2E2E">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2229D8">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475EB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74C0B776">
      <w:pPr>
        <w:outlineLvl w:val="2"/>
        <w:rPr>
          <w:rFonts w:ascii="黑体" w:hAnsi="宋体" w:eastAsia="黑体"/>
        </w:rPr>
      </w:pPr>
      <w:r>
        <w:rPr>
          <w:rFonts w:hint="eastAsia" w:ascii="黑体" w:hAnsi="宋体" w:eastAsia="黑体"/>
        </w:rPr>
        <w:t>8．投标费用</w:t>
      </w:r>
    </w:p>
    <w:p w14:paraId="1F6FAF2A">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70504629">
      <w:pPr>
        <w:outlineLvl w:val="2"/>
        <w:rPr>
          <w:rFonts w:ascii="黑体" w:hAnsi="宋体" w:eastAsia="黑体"/>
        </w:rPr>
      </w:pPr>
      <w:r>
        <w:rPr>
          <w:rFonts w:hint="eastAsia" w:ascii="黑体" w:hAnsi="宋体" w:eastAsia="黑体"/>
        </w:rPr>
        <w:t>9．踏勘现场</w:t>
      </w:r>
    </w:p>
    <w:p w14:paraId="5769B2C0">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C82073A">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5A37441E">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1FFBC2F5">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03B93154">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2822829B">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2943C4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14FEEA8D">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17C49C4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7E645EA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3F836489">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503CD334">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30438AFE">
      <w:pPr>
        <w:ind w:firstLine="470" w:firstLineChars="196"/>
        <w:rPr>
          <w:rFonts w:ascii="宋体" w:hAnsi="宋体" w:eastAsia="宋体"/>
          <w:szCs w:val="21"/>
        </w:rPr>
      </w:pPr>
      <w:r>
        <w:rPr>
          <w:rFonts w:hint="eastAsia" w:ascii="宋体" w:hAnsi="宋体" w:eastAsia="宋体"/>
          <w:szCs w:val="21"/>
        </w:rPr>
        <w:t>招标文件包括下列内容：</w:t>
      </w:r>
    </w:p>
    <w:p w14:paraId="56BD936D">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E4EAF19">
      <w:pPr>
        <w:ind w:left="1234" w:leftChars="514"/>
        <w:rPr>
          <w:rFonts w:ascii="宋体" w:hAnsi="宋体" w:eastAsia="宋体"/>
          <w:b/>
          <w:szCs w:val="21"/>
        </w:rPr>
      </w:pPr>
      <w:r>
        <w:rPr>
          <w:rFonts w:hint="eastAsia" w:ascii="宋体" w:hAnsi="宋体" w:eastAsia="宋体"/>
          <w:b/>
          <w:szCs w:val="21"/>
        </w:rPr>
        <w:t>关键信息</w:t>
      </w:r>
    </w:p>
    <w:p w14:paraId="3316D6D5">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0E674A4A">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2CD61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491F8A36">
      <w:pPr>
        <w:ind w:left="720" w:leftChars="300" w:firstLine="470" w:firstLineChars="196"/>
        <w:rPr>
          <w:rFonts w:ascii="宋体" w:hAnsi="宋体" w:eastAsia="宋体"/>
          <w:szCs w:val="21"/>
        </w:rPr>
      </w:pPr>
      <w:r>
        <w:rPr>
          <w:rFonts w:hint="eastAsia" w:eastAsia="宋体"/>
        </w:rPr>
        <w:t>第四章投标文件格式及附件</w:t>
      </w:r>
    </w:p>
    <w:p w14:paraId="5287141D">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2E30539F">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D2F9194">
      <w:pPr>
        <w:ind w:left="720" w:leftChars="300" w:firstLine="470" w:firstLineChars="196"/>
        <w:rPr>
          <w:rFonts w:ascii="宋体" w:hAnsi="宋体" w:eastAsia="宋体"/>
          <w:szCs w:val="21"/>
        </w:rPr>
      </w:pPr>
      <w:r>
        <w:rPr>
          <w:rFonts w:hint="eastAsia" w:ascii="宋体" w:hAnsi="宋体" w:eastAsia="宋体"/>
          <w:szCs w:val="21"/>
        </w:rPr>
        <w:t>第一章  总则</w:t>
      </w:r>
    </w:p>
    <w:p w14:paraId="4FAF53E8">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0B042B56">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3D2EB7D1">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23C73F70">
      <w:pPr>
        <w:ind w:left="720" w:leftChars="300" w:firstLine="470" w:firstLineChars="196"/>
        <w:rPr>
          <w:rFonts w:ascii="宋体" w:hAnsi="宋体" w:eastAsia="宋体"/>
          <w:szCs w:val="21"/>
        </w:rPr>
      </w:pPr>
      <w:r>
        <w:rPr>
          <w:rFonts w:hint="eastAsia" w:ascii="宋体" w:hAnsi="宋体" w:eastAsia="宋体"/>
          <w:szCs w:val="21"/>
        </w:rPr>
        <w:t>第五章  开标</w:t>
      </w:r>
    </w:p>
    <w:p w14:paraId="2F7992B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93FCF86">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26B9F7F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2DE3692D">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64A5211">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7FF07F6E">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7F3CE4E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016435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23129A3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F6A7A2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0C89F2C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407CFB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0359F812">
      <w:pPr>
        <w:rPr>
          <w:rFonts w:ascii="黑体" w:hAnsi="宋体" w:eastAsia="黑体"/>
        </w:rPr>
      </w:pPr>
      <w:r>
        <w:rPr>
          <w:rFonts w:ascii="黑体" w:hAnsi="宋体" w:eastAsia="黑体"/>
        </w:rPr>
        <w:t>1</w:t>
      </w:r>
      <w:r>
        <w:rPr>
          <w:rFonts w:hint="eastAsia" w:ascii="黑体" w:hAnsi="宋体" w:eastAsia="黑体"/>
        </w:rPr>
        <w:t>3．招标文件的修改</w:t>
      </w:r>
    </w:p>
    <w:p w14:paraId="6EAB7AC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1EE17CC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0300647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221673B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6722679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5D344FA3">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79A83329">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D8F1F5F">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50284B00">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77A517F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784DADE0">
      <w:pPr>
        <w:rPr>
          <w:rFonts w:ascii="黑体" w:hAnsi="宋体" w:eastAsia="黑体"/>
        </w:rPr>
      </w:pPr>
      <w:r>
        <w:rPr>
          <w:rFonts w:ascii="黑体" w:hAnsi="宋体" w:eastAsia="黑体"/>
        </w:rPr>
        <w:t>16．投标文件格式</w:t>
      </w:r>
    </w:p>
    <w:p w14:paraId="29FF7089">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0CE766B9">
      <w:pPr>
        <w:rPr>
          <w:rFonts w:ascii="黑体" w:hAnsi="宋体" w:eastAsia="黑体"/>
        </w:rPr>
      </w:pPr>
      <w:r>
        <w:rPr>
          <w:rFonts w:hint="eastAsia" w:ascii="黑体" w:hAnsi="宋体" w:eastAsia="黑体"/>
        </w:rPr>
        <w:t>17．投标货币</w:t>
      </w:r>
    </w:p>
    <w:p w14:paraId="1519FE03">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5DD68318">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0581D670">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053E6EB6">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78FE2F">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11CC4690">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45707D15">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68912EE">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232B1C99">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1C8F0E43">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0B2B2351">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7864EB78">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20E7AA8B">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4CCD8220">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28A2E9E">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D9750B8">
      <w:pPr>
        <w:rPr>
          <w:rFonts w:ascii="黑体" w:hAnsi="宋体" w:eastAsia="黑体"/>
        </w:rPr>
      </w:pPr>
      <w:r>
        <w:rPr>
          <w:rFonts w:hint="eastAsia" w:ascii="黑体" w:hAnsi="宋体" w:eastAsia="黑体"/>
        </w:rPr>
        <w:t>20．投标有效期</w:t>
      </w:r>
    </w:p>
    <w:bookmarkEnd w:id="25"/>
    <w:p w14:paraId="7F36A148">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05D50191">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658B606">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255BD19E">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1218875B">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B22A9D1">
      <w:pPr>
        <w:rPr>
          <w:rFonts w:ascii="黑体" w:hAnsi="宋体" w:eastAsia="黑体"/>
        </w:rPr>
      </w:pPr>
      <w:r>
        <w:rPr>
          <w:rFonts w:hint="eastAsia" w:ascii="黑体" w:hAnsi="宋体" w:eastAsia="黑体"/>
        </w:rPr>
        <w:t>22．投标人的替代方案</w:t>
      </w:r>
    </w:p>
    <w:p w14:paraId="70F42BE6">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684B9C2">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03EB35EF">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201657B6">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52288E82">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765DA4F9">
      <w:pPr>
        <w:ind w:firstLine="470" w:firstLineChars="196"/>
        <w:rPr>
          <w:rFonts w:ascii="宋体" w:hAnsi="宋体" w:eastAsia="宋体"/>
        </w:rPr>
      </w:pPr>
      <w:r>
        <w:rPr>
          <w:rFonts w:hint="eastAsia" w:ascii="宋体" w:hAnsi="宋体" w:eastAsia="宋体"/>
        </w:rPr>
        <w:t>23.3电报、电话、传真形式的投标概不接受。</w:t>
      </w:r>
    </w:p>
    <w:p w14:paraId="5C2CA293">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7E96153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41CC53C6">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7B80AB06">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6D7A630B">
      <w:pPr>
        <w:jc w:val="center"/>
        <w:rPr>
          <w:rFonts w:eastAsia="宋体"/>
        </w:rPr>
      </w:pPr>
    </w:p>
    <w:bookmarkEnd w:id="30"/>
    <w:p w14:paraId="7737886B">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71D433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5FD37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317279A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CD1AEA6">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004AE111">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4A2909A9">
      <w:pPr>
        <w:rPr>
          <w:rFonts w:ascii="黑体" w:hAnsi="宋体" w:eastAsia="黑体"/>
        </w:rPr>
      </w:pPr>
      <w:r>
        <w:rPr>
          <w:rFonts w:hint="eastAsia" w:ascii="黑体" w:hAnsi="宋体" w:eastAsia="黑体"/>
        </w:rPr>
        <w:t>28．开标</w:t>
      </w:r>
    </w:p>
    <w:p w14:paraId="771A879E">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7F66462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9762FDC">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B37A06E">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4EB9E7E">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52DDE4C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0F5FA92">
      <w:pPr>
        <w:rPr>
          <w:rFonts w:ascii="黑体" w:hAnsi="宋体" w:eastAsia="黑体"/>
          <w:color w:val="auto"/>
        </w:rPr>
      </w:pPr>
      <w:r>
        <w:rPr>
          <w:rFonts w:hint="eastAsia" w:ascii="黑体" w:hAnsi="宋体" w:eastAsia="黑体"/>
          <w:color w:val="auto"/>
        </w:rPr>
        <w:t>29．评审委员会组成</w:t>
      </w:r>
    </w:p>
    <w:p w14:paraId="2847ED1F">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07B7DF83">
      <w:pPr>
        <w:ind w:firstLine="470" w:firstLineChars="196"/>
        <w:rPr>
          <w:rFonts w:ascii="宋体" w:hAnsi="宋体" w:eastAsia="宋体"/>
        </w:rPr>
      </w:pPr>
      <w:r>
        <w:rPr>
          <w:rFonts w:hint="eastAsia" w:ascii="宋体" w:hAnsi="宋体" w:eastAsia="宋体"/>
        </w:rPr>
        <w:t>29.2评审定标应当遵循公平、公正、科学、择优的原则。</w:t>
      </w:r>
    </w:p>
    <w:p w14:paraId="1E4A6D54">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2E8115EC">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4B29C1E8">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46460953">
      <w:pPr>
        <w:rPr>
          <w:rFonts w:ascii="黑体" w:hAnsi="宋体" w:eastAsia="黑体"/>
        </w:rPr>
      </w:pPr>
      <w:r>
        <w:rPr>
          <w:rFonts w:hint="eastAsia" w:ascii="黑体" w:hAnsi="宋体" w:eastAsia="黑体"/>
        </w:rPr>
        <w:t>30．向评审委员会提供的资料</w:t>
      </w:r>
    </w:p>
    <w:p w14:paraId="25E3F282">
      <w:pPr>
        <w:ind w:firstLine="470" w:firstLineChars="196"/>
        <w:rPr>
          <w:rFonts w:ascii="宋体" w:hAnsi="宋体" w:eastAsia="宋体"/>
        </w:rPr>
      </w:pPr>
      <w:r>
        <w:rPr>
          <w:rFonts w:hint="eastAsia" w:ascii="宋体" w:hAnsi="宋体" w:eastAsia="宋体"/>
        </w:rPr>
        <w:t>30.1公开发布的招标文件，包括图纸、服务清单、答疑文件等；</w:t>
      </w:r>
    </w:p>
    <w:p w14:paraId="077C5AEC">
      <w:pPr>
        <w:ind w:firstLine="470" w:firstLineChars="196"/>
        <w:rPr>
          <w:rFonts w:ascii="宋体" w:hAnsi="宋体" w:eastAsia="宋体"/>
        </w:rPr>
      </w:pPr>
      <w:r>
        <w:rPr>
          <w:rFonts w:hint="eastAsia" w:ascii="宋体" w:hAnsi="宋体" w:eastAsia="宋体"/>
        </w:rPr>
        <w:t>30.2其他评标必须的资料。</w:t>
      </w:r>
    </w:p>
    <w:p w14:paraId="538BA890">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39D1C040">
      <w:pPr>
        <w:ind w:firstLine="470" w:firstLineChars="196"/>
        <w:rPr>
          <w:rFonts w:ascii="宋体" w:hAnsi="宋体" w:eastAsia="宋体"/>
        </w:rPr>
      </w:pPr>
      <w:r>
        <w:rPr>
          <w:rFonts w:hint="eastAsia" w:ascii="宋体" w:hAnsi="宋体" w:eastAsia="宋体"/>
        </w:rPr>
        <w:t>（1）招标的目的；</w:t>
      </w:r>
    </w:p>
    <w:p w14:paraId="7E662901">
      <w:pPr>
        <w:ind w:firstLine="470" w:firstLineChars="196"/>
        <w:rPr>
          <w:rFonts w:ascii="宋体" w:hAnsi="宋体" w:eastAsia="宋体"/>
        </w:rPr>
      </w:pPr>
      <w:r>
        <w:rPr>
          <w:rFonts w:hint="eastAsia" w:ascii="宋体" w:hAnsi="宋体" w:eastAsia="宋体"/>
        </w:rPr>
        <w:t>（2）招标项目需求的范围和性质；</w:t>
      </w:r>
    </w:p>
    <w:p w14:paraId="0FFE7EA5">
      <w:pPr>
        <w:ind w:firstLine="470" w:firstLineChars="196"/>
        <w:rPr>
          <w:rFonts w:ascii="宋体" w:hAnsi="宋体" w:eastAsia="宋体"/>
        </w:rPr>
      </w:pPr>
      <w:r>
        <w:rPr>
          <w:rFonts w:hint="eastAsia" w:ascii="宋体" w:hAnsi="宋体" w:eastAsia="宋体"/>
        </w:rPr>
        <w:t>（3）招标文件规定的投标人的资格、财政预算限额、商务条款；</w:t>
      </w:r>
    </w:p>
    <w:p w14:paraId="6798850C">
      <w:pPr>
        <w:ind w:firstLine="470" w:firstLineChars="196"/>
        <w:rPr>
          <w:rFonts w:ascii="宋体" w:hAnsi="宋体" w:eastAsia="宋体"/>
        </w:rPr>
      </w:pPr>
      <w:r>
        <w:rPr>
          <w:rFonts w:hint="eastAsia" w:ascii="宋体" w:hAnsi="宋体" w:eastAsia="宋体"/>
        </w:rPr>
        <w:t>（4）招标文件规定的评标程序、评标方法和评标因素；</w:t>
      </w:r>
    </w:p>
    <w:p w14:paraId="1548E0D2">
      <w:pPr>
        <w:ind w:firstLine="470" w:firstLineChars="196"/>
        <w:rPr>
          <w:rFonts w:ascii="宋体" w:hAnsi="宋体" w:eastAsia="宋体"/>
        </w:rPr>
      </w:pPr>
      <w:r>
        <w:rPr>
          <w:rFonts w:hint="eastAsia" w:ascii="宋体" w:hAnsi="宋体" w:eastAsia="宋体"/>
        </w:rPr>
        <w:t>（5）招标文件所列示的资格性审查表及符合性审查表。</w:t>
      </w:r>
    </w:p>
    <w:p w14:paraId="79DB5B83">
      <w:pPr>
        <w:rPr>
          <w:rFonts w:ascii="黑体" w:hAnsi="宋体" w:eastAsia="黑体"/>
        </w:rPr>
      </w:pPr>
      <w:r>
        <w:rPr>
          <w:rFonts w:hint="eastAsia" w:ascii="黑体" w:hAnsi="宋体" w:eastAsia="黑体"/>
        </w:rPr>
        <w:t>31．独立评审</w:t>
      </w:r>
    </w:p>
    <w:p w14:paraId="5667ABF0">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FFFE181">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79E353C5">
      <w:pPr>
        <w:rPr>
          <w:rFonts w:ascii="黑体" w:hAnsi="宋体" w:eastAsia="黑体"/>
        </w:rPr>
      </w:pPr>
      <w:r>
        <w:rPr>
          <w:rFonts w:hint="eastAsia" w:ascii="黑体" w:hAnsi="宋体" w:eastAsia="黑体"/>
        </w:rPr>
        <w:t>32．投标文件初审</w:t>
      </w:r>
    </w:p>
    <w:p w14:paraId="60BE9AF7">
      <w:pPr>
        <w:ind w:firstLine="470" w:firstLineChars="196"/>
        <w:rPr>
          <w:rFonts w:ascii="宋体" w:hAnsi="宋体" w:eastAsia="宋体"/>
        </w:rPr>
      </w:pPr>
      <w:r>
        <w:rPr>
          <w:rFonts w:hint="eastAsia" w:ascii="宋体" w:hAnsi="宋体" w:eastAsia="宋体"/>
        </w:rPr>
        <w:t>32.1投标文件初审包括资格性审查和符合性审查。</w:t>
      </w:r>
    </w:p>
    <w:p w14:paraId="4E28D86B">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2C8354E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C3E23C">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6646ABB">
      <w:pPr>
        <w:ind w:firstLine="470" w:firstLineChars="196"/>
        <w:rPr>
          <w:rFonts w:ascii="宋体" w:hAnsi="宋体" w:eastAsia="宋体"/>
          <w:bCs/>
        </w:rPr>
      </w:pPr>
      <w:r>
        <w:rPr>
          <w:rFonts w:hint="eastAsia" w:ascii="宋体" w:hAnsi="宋体" w:eastAsia="宋体"/>
          <w:bCs/>
        </w:rPr>
        <w:t>32.3 投标文件初审中关于供应商家数的计算:</w:t>
      </w:r>
    </w:p>
    <w:p w14:paraId="010829CE">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CE21F85">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C8BA5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275C4179">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1CFB5B85">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7D77675D">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6D7C0197">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0DB8702">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51E7BB1C">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5150E93">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A787753">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396B62FC">
      <w:pPr>
        <w:ind w:firstLine="470" w:firstLineChars="196"/>
        <w:rPr>
          <w:rFonts w:ascii="宋体" w:hAnsi="宋体" w:eastAsia="宋体"/>
        </w:rPr>
      </w:pPr>
      <w:r>
        <w:rPr>
          <w:rFonts w:hint="eastAsia" w:ascii="宋体" w:hAnsi="宋体" w:eastAsia="宋体"/>
        </w:rPr>
        <w:t>32.4.8不同投标供应商的投标文件内容存在非正常一致；</w:t>
      </w:r>
    </w:p>
    <w:p w14:paraId="344C63EA">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7593A462">
      <w:pPr>
        <w:ind w:firstLine="470" w:firstLineChars="196"/>
        <w:rPr>
          <w:rFonts w:ascii="宋体" w:hAnsi="宋体" w:eastAsia="宋体"/>
        </w:rPr>
      </w:pPr>
      <w:r>
        <w:rPr>
          <w:rFonts w:hint="eastAsia" w:ascii="宋体" w:hAnsi="宋体" w:eastAsia="宋体"/>
        </w:rPr>
        <w:t>32.4.10主管部门依照法律、法规认定的其他情形。</w:t>
      </w:r>
    </w:p>
    <w:p w14:paraId="1C294DDF">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388F8F3E">
      <w:pPr>
        <w:rPr>
          <w:rFonts w:ascii="黑体" w:hAnsi="宋体" w:eastAsia="黑体"/>
        </w:rPr>
      </w:pPr>
      <w:r>
        <w:rPr>
          <w:rFonts w:hint="eastAsia" w:ascii="黑体" w:hAnsi="宋体" w:eastAsia="黑体"/>
        </w:rPr>
        <w:t>33．澄清有关问题</w:t>
      </w:r>
    </w:p>
    <w:p w14:paraId="0B8AF350">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3A8758EA">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90CD878">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76F38BC7">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7CFB880">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45CE91F8">
      <w:pPr>
        <w:rPr>
          <w:rFonts w:ascii="黑体" w:hAnsi="宋体" w:eastAsia="黑体"/>
        </w:rPr>
      </w:pPr>
      <w:bookmarkStart w:id="34" w:name="_Toc73521669"/>
      <w:bookmarkStart w:id="35" w:name="_Toc100052400"/>
      <w:bookmarkStart w:id="36" w:name="_Toc73521581"/>
      <w:bookmarkStart w:id="37" w:name="_Toc73517673"/>
      <w:bookmarkStart w:id="38" w:name="_Toc73518151"/>
      <w:r>
        <w:rPr>
          <w:rFonts w:hint="eastAsia" w:ascii="黑体" w:hAnsi="宋体" w:eastAsia="黑体"/>
        </w:rPr>
        <w:t>34．错误的修正</w:t>
      </w:r>
      <w:bookmarkEnd w:id="34"/>
      <w:bookmarkEnd w:id="35"/>
      <w:bookmarkEnd w:id="36"/>
      <w:bookmarkEnd w:id="37"/>
      <w:bookmarkEnd w:id="38"/>
    </w:p>
    <w:p w14:paraId="1BB8F819">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7A692C54">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EA9597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A914264">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03352FBA">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AAADE1F">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26A3C47">
      <w:pPr>
        <w:rPr>
          <w:rFonts w:ascii="黑体" w:hAnsi="宋体" w:eastAsia="黑体"/>
        </w:rPr>
      </w:pPr>
      <w:r>
        <w:rPr>
          <w:rFonts w:hint="eastAsia" w:ascii="黑体" w:hAnsi="宋体" w:eastAsia="黑体"/>
        </w:rPr>
        <w:t>35．投标文件的比较与评价</w:t>
      </w:r>
    </w:p>
    <w:p w14:paraId="0627B003">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4CA72390">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48DCF498">
      <w:pPr>
        <w:rPr>
          <w:rFonts w:ascii="黑体" w:hAnsi="宋体" w:eastAsia="黑体"/>
        </w:rPr>
      </w:pPr>
      <w:r>
        <w:rPr>
          <w:rFonts w:hint="eastAsia" w:ascii="黑体" w:hAnsi="宋体" w:eastAsia="黑体"/>
        </w:rPr>
        <w:t>36. 实地考察或资料查验</w:t>
      </w:r>
    </w:p>
    <w:p w14:paraId="1135ACC0">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5CF533E">
      <w:pPr>
        <w:rPr>
          <w:rFonts w:ascii="黑体" w:hAnsi="宋体" w:eastAsia="黑体"/>
        </w:rPr>
      </w:pPr>
      <w:r>
        <w:rPr>
          <w:rFonts w:hint="eastAsia" w:ascii="黑体" w:hAnsi="宋体" w:eastAsia="黑体"/>
        </w:rPr>
        <w:t>37．评审方法</w:t>
      </w:r>
    </w:p>
    <w:p w14:paraId="72815952">
      <w:pPr>
        <w:ind w:firstLine="472" w:firstLineChars="196"/>
        <w:rPr>
          <w:rFonts w:ascii="宋体" w:hAnsi="宋体" w:eastAsia="宋体"/>
          <w:b/>
          <w:bCs/>
          <w:szCs w:val="21"/>
        </w:rPr>
      </w:pPr>
      <w:r>
        <w:rPr>
          <w:rFonts w:hint="eastAsia" w:ascii="宋体" w:hAnsi="宋体" w:eastAsia="宋体"/>
          <w:b/>
          <w:bCs/>
          <w:szCs w:val="21"/>
        </w:rPr>
        <w:t>37.1.1最低价法</w:t>
      </w:r>
    </w:p>
    <w:p w14:paraId="1A45A551">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9A7459">
      <w:pPr>
        <w:ind w:firstLine="472" w:firstLineChars="196"/>
        <w:rPr>
          <w:rFonts w:ascii="宋体" w:hAnsi="宋体" w:eastAsia="宋体"/>
          <w:b/>
          <w:bCs/>
          <w:szCs w:val="21"/>
        </w:rPr>
      </w:pPr>
      <w:r>
        <w:rPr>
          <w:rFonts w:hint="eastAsia" w:ascii="宋体" w:hAnsi="宋体" w:eastAsia="宋体"/>
          <w:b/>
          <w:bCs/>
          <w:szCs w:val="21"/>
        </w:rPr>
        <w:t>37.1.2综合评分法</w:t>
      </w:r>
    </w:p>
    <w:p w14:paraId="694089B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542B5B16">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1323CC26">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916D046">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6F4C380B">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807F803">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7D286169">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4305C489">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4A7CCA97">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B19FEF">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45D9BEB5">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3A92E1F9">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05A31660">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397CCDB6">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15839D35">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1638987">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1F1E6454">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7716520C">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1931A878">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304125FB">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4C12C5F">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2722C36">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0C92D083">
      <w:pPr>
        <w:rPr>
          <w:rFonts w:ascii="黑体" w:hAnsi="宋体" w:eastAsia="黑体"/>
        </w:rPr>
      </w:pPr>
      <w:r>
        <w:rPr>
          <w:rFonts w:hint="eastAsia" w:ascii="黑体" w:hAnsi="宋体" w:eastAsia="黑体"/>
        </w:rPr>
        <w:t>39．编写评审报告</w:t>
      </w:r>
    </w:p>
    <w:p w14:paraId="45FCD86A">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F4C25C0">
      <w:pPr>
        <w:rPr>
          <w:rFonts w:ascii="黑体" w:hAnsi="宋体" w:eastAsia="黑体"/>
        </w:rPr>
      </w:pPr>
      <w:r>
        <w:rPr>
          <w:rFonts w:hint="eastAsia" w:ascii="黑体" w:hAnsi="宋体" w:eastAsia="黑体"/>
        </w:rPr>
        <w:t>40．中标公告</w:t>
      </w:r>
    </w:p>
    <w:p w14:paraId="4C2381AF">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563D5BDB">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73CB54EF">
      <w:pPr>
        <w:rPr>
          <w:rFonts w:ascii="黑体" w:hAnsi="宋体" w:eastAsia="黑体"/>
        </w:rPr>
      </w:pPr>
      <w:r>
        <w:rPr>
          <w:rFonts w:hint="eastAsia" w:ascii="黑体" w:hAnsi="宋体" w:eastAsia="黑体"/>
        </w:rPr>
        <w:t>41．中标通知书</w:t>
      </w:r>
    </w:p>
    <w:p w14:paraId="68723FD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A3C04B1">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171215B8">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54410313">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6D4CD2A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08A9FE06">
      <w:pPr>
        <w:rPr>
          <w:rFonts w:ascii="黑体" w:hAnsi="宋体" w:eastAsia="黑体"/>
        </w:rPr>
      </w:pPr>
      <w:r>
        <w:rPr>
          <w:rFonts w:hint="eastAsia" w:ascii="黑体" w:hAnsi="宋体" w:eastAsia="黑体"/>
        </w:rPr>
        <w:t>42．公开招标失败的处理</w:t>
      </w:r>
    </w:p>
    <w:p w14:paraId="3A6137F4">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EB9D973">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0E9FECCB">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1A84BFA4">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7C25A9C">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EC8DD00">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39326C5">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2A3AE3D">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3F1B2DE2">
      <w:pPr>
        <w:rPr>
          <w:rFonts w:ascii="黑体" w:hAnsi="宋体" w:eastAsia="黑体"/>
        </w:rPr>
      </w:pPr>
      <w:bookmarkStart w:id="46" w:name="_Toc73521674"/>
      <w:bookmarkStart w:id="47" w:name="_Toc73521586"/>
      <w:bookmarkStart w:id="48" w:name="_Toc73518157"/>
      <w:bookmarkStart w:id="49" w:name="_Toc100052408"/>
      <w:bookmarkStart w:id="50" w:name="_Toc73517679"/>
      <w:bookmarkStart w:id="51" w:name="_Hlk72439088"/>
      <w:r>
        <w:rPr>
          <w:rFonts w:hint="eastAsia" w:ascii="黑体" w:hAnsi="宋体" w:eastAsia="黑体"/>
        </w:rPr>
        <w:t>43．合同授予标准</w:t>
      </w:r>
      <w:bookmarkEnd w:id="46"/>
      <w:bookmarkEnd w:id="47"/>
      <w:bookmarkEnd w:id="48"/>
      <w:bookmarkEnd w:id="49"/>
      <w:bookmarkEnd w:id="50"/>
    </w:p>
    <w:p w14:paraId="5F62A843">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57553F6F">
      <w:pPr>
        <w:rPr>
          <w:rFonts w:ascii="黑体" w:hAnsi="宋体" w:eastAsia="黑体"/>
        </w:rPr>
      </w:pPr>
      <w:bookmarkStart w:id="52" w:name="_Toc73521587"/>
      <w:bookmarkStart w:id="53" w:name="_Toc73517680"/>
      <w:bookmarkStart w:id="54" w:name="_Toc100052409"/>
      <w:bookmarkStart w:id="55" w:name="_Toc73521675"/>
      <w:bookmarkStart w:id="56" w:name="_Toc73518158"/>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4D58AC85">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D5A8627">
      <w:pPr>
        <w:rPr>
          <w:rFonts w:ascii="黑体" w:hAnsi="宋体" w:eastAsia="黑体"/>
        </w:rPr>
      </w:pPr>
      <w:bookmarkStart w:id="57" w:name="_Toc73521677"/>
      <w:bookmarkStart w:id="58" w:name="_Toc73517682"/>
      <w:bookmarkStart w:id="59" w:name="_Toc73521589"/>
      <w:bookmarkStart w:id="60" w:name="_Toc73518160"/>
      <w:bookmarkStart w:id="61" w:name="_Toc100052410"/>
      <w:r>
        <w:rPr>
          <w:rFonts w:hint="eastAsia" w:ascii="黑体" w:hAnsi="宋体" w:eastAsia="黑体"/>
        </w:rPr>
        <w:t>45．合同的签订</w:t>
      </w:r>
      <w:bookmarkEnd w:id="57"/>
      <w:bookmarkEnd w:id="58"/>
      <w:bookmarkEnd w:id="59"/>
      <w:bookmarkEnd w:id="60"/>
      <w:bookmarkEnd w:id="61"/>
    </w:p>
    <w:p w14:paraId="26328E4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FD5615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1F825A5">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79E17C26">
      <w:pPr>
        <w:rPr>
          <w:rFonts w:ascii="黑体" w:hAnsi="宋体" w:eastAsia="黑体"/>
        </w:rPr>
      </w:pPr>
      <w:bookmarkStart w:id="62" w:name="_Toc73521590"/>
      <w:bookmarkStart w:id="63" w:name="_Toc73517683"/>
      <w:bookmarkStart w:id="64" w:name="_Toc100052411"/>
      <w:bookmarkStart w:id="65" w:name="_Toc73518161"/>
      <w:bookmarkStart w:id="66" w:name="_Toc73521678"/>
      <w:r>
        <w:rPr>
          <w:rFonts w:hint="eastAsia" w:ascii="黑体" w:hAnsi="宋体" w:eastAsia="黑体"/>
        </w:rPr>
        <w:t>46．履约担保</w:t>
      </w:r>
      <w:bookmarkEnd w:id="62"/>
      <w:bookmarkEnd w:id="63"/>
      <w:bookmarkEnd w:id="64"/>
      <w:bookmarkEnd w:id="65"/>
      <w:bookmarkEnd w:id="66"/>
    </w:p>
    <w:p w14:paraId="01481B65">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1AC420E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68CD25F7">
      <w:pPr>
        <w:rPr>
          <w:rFonts w:ascii="黑体" w:hAnsi="宋体" w:eastAsia="黑体"/>
        </w:rPr>
      </w:pPr>
      <w:r>
        <w:rPr>
          <w:rFonts w:hint="eastAsia" w:ascii="黑体" w:hAnsi="宋体" w:eastAsia="黑体"/>
        </w:rPr>
        <w:t>47. 合同备案</w:t>
      </w:r>
    </w:p>
    <w:p w14:paraId="2A838D7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13AAD5E1">
      <w:pPr>
        <w:rPr>
          <w:rFonts w:ascii="黑体" w:hAnsi="宋体" w:eastAsia="黑体"/>
        </w:rPr>
      </w:pPr>
      <w:r>
        <w:rPr>
          <w:rFonts w:hint="eastAsia" w:ascii="黑体" w:hAnsi="宋体" w:eastAsia="黑体"/>
        </w:rPr>
        <w:t>48. 合同变更</w:t>
      </w:r>
    </w:p>
    <w:p w14:paraId="5E9A430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513FA794">
      <w:pPr>
        <w:rPr>
          <w:rFonts w:ascii="黑体" w:hAnsi="宋体" w:eastAsia="黑体"/>
        </w:rPr>
      </w:pPr>
      <w:r>
        <w:rPr>
          <w:rFonts w:hint="eastAsia" w:ascii="黑体" w:hAnsi="宋体" w:eastAsia="黑体"/>
        </w:rPr>
        <w:t>49. 项目验收</w:t>
      </w:r>
    </w:p>
    <w:p w14:paraId="08A6828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144A8850">
      <w:pPr>
        <w:rPr>
          <w:rFonts w:ascii="黑体" w:hAnsi="宋体" w:eastAsia="黑体"/>
        </w:rPr>
      </w:pPr>
      <w:r>
        <w:rPr>
          <w:rFonts w:hint="eastAsia" w:ascii="黑体" w:hAnsi="宋体" w:eastAsia="黑体"/>
        </w:rPr>
        <w:t>50. 宣传</w:t>
      </w:r>
    </w:p>
    <w:p w14:paraId="30B68B52">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0CB1A5F5">
      <w:pPr>
        <w:ind w:left="240" w:leftChars="100" w:firstLine="470" w:firstLineChars="196"/>
        <w:rPr>
          <w:rFonts w:ascii="宋体" w:hAnsi="宋体" w:eastAsia="宋体"/>
        </w:rPr>
      </w:pPr>
      <w:r>
        <w:rPr>
          <w:rFonts w:ascii="宋体" w:hAnsi="宋体" w:eastAsia="宋体"/>
        </w:rPr>
        <w:t>a.名片、宣传册、广告标语等；</w:t>
      </w:r>
    </w:p>
    <w:p w14:paraId="3D44E31E">
      <w:pPr>
        <w:ind w:left="240" w:leftChars="100" w:firstLine="470" w:firstLineChars="196"/>
        <w:rPr>
          <w:rFonts w:ascii="宋体" w:hAnsi="宋体" w:eastAsia="宋体"/>
        </w:rPr>
      </w:pPr>
      <w:r>
        <w:rPr>
          <w:rFonts w:ascii="宋体" w:hAnsi="宋体" w:eastAsia="宋体"/>
        </w:rPr>
        <w:t>b.案例介绍、推广等；</w:t>
      </w:r>
    </w:p>
    <w:p w14:paraId="504E2D35">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0C9551E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15D7421">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0A92C54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6BCD3856">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01A7DFD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5ACCFA11">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4F035131">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86DE5D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77520751">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B6A99AF">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103E3D86">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50C8B937">
      <w:pPr>
        <w:ind w:firstLine="480" w:firstLineChars="200"/>
        <w:rPr>
          <w:rFonts w:ascii="宋体" w:hAnsi="宋体" w:eastAsia="宋体"/>
          <w:szCs w:val="21"/>
        </w:rPr>
      </w:pPr>
      <w:r>
        <w:rPr>
          <w:rFonts w:hint="eastAsia" w:ascii="宋体" w:hAnsi="宋体" w:eastAsia="宋体"/>
          <w:szCs w:val="21"/>
        </w:rPr>
        <w:t>（2）质疑项目的名称、编号；</w:t>
      </w:r>
    </w:p>
    <w:p w14:paraId="70148B84">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6C57285A">
      <w:pPr>
        <w:ind w:firstLine="480" w:firstLineChars="200"/>
        <w:rPr>
          <w:rFonts w:ascii="宋体" w:hAnsi="宋体" w:eastAsia="宋体"/>
          <w:szCs w:val="21"/>
        </w:rPr>
      </w:pPr>
      <w:r>
        <w:rPr>
          <w:rFonts w:hint="eastAsia" w:ascii="宋体" w:hAnsi="宋体" w:eastAsia="宋体"/>
          <w:szCs w:val="21"/>
        </w:rPr>
        <w:t>（4）因质疑事项而受损害的权益；</w:t>
      </w:r>
    </w:p>
    <w:p w14:paraId="2DFEBAD9">
      <w:pPr>
        <w:ind w:firstLine="480" w:firstLineChars="200"/>
        <w:rPr>
          <w:rFonts w:ascii="宋体" w:hAnsi="宋体" w:eastAsia="宋体"/>
          <w:szCs w:val="21"/>
        </w:rPr>
      </w:pPr>
      <w:r>
        <w:rPr>
          <w:rFonts w:hint="eastAsia" w:ascii="宋体" w:hAnsi="宋体" w:eastAsia="宋体"/>
          <w:szCs w:val="21"/>
        </w:rPr>
        <w:t>（5）事实依据；</w:t>
      </w:r>
    </w:p>
    <w:p w14:paraId="27919776">
      <w:pPr>
        <w:ind w:firstLine="480" w:firstLineChars="200"/>
        <w:rPr>
          <w:rFonts w:ascii="宋体" w:hAnsi="宋体" w:eastAsia="宋体"/>
          <w:szCs w:val="21"/>
        </w:rPr>
      </w:pPr>
      <w:r>
        <w:rPr>
          <w:rFonts w:hint="eastAsia" w:ascii="宋体" w:hAnsi="宋体" w:eastAsia="宋体"/>
          <w:szCs w:val="21"/>
        </w:rPr>
        <w:t>（6）必要的法律依据；</w:t>
      </w:r>
    </w:p>
    <w:p w14:paraId="5FA4E50F">
      <w:pPr>
        <w:ind w:firstLine="480" w:firstLineChars="200"/>
        <w:rPr>
          <w:rFonts w:ascii="宋体" w:hAnsi="宋体" w:eastAsia="宋体"/>
          <w:szCs w:val="21"/>
        </w:rPr>
      </w:pPr>
      <w:r>
        <w:rPr>
          <w:rFonts w:hint="eastAsia" w:ascii="宋体" w:hAnsi="宋体" w:eastAsia="宋体"/>
          <w:szCs w:val="21"/>
        </w:rPr>
        <w:t>（7）提出质疑的日期。</w:t>
      </w:r>
    </w:p>
    <w:p w14:paraId="34C8EB94">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CBB4A4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5783AA46">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61E7DD">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E4100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2D0ACFA6">
      <w:pPr>
        <w:ind w:firstLine="482"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喀什市人民医院</w:t>
      </w:r>
      <w:r>
        <w:rPr>
          <w:rFonts w:hint="eastAsia" w:ascii="宋体" w:hAnsi="宋体" w:eastAsia="宋体"/>
          <w:b/>
          <w:bCs/>
          <w:szCs w:val="21"/>
        </w:rPr>
        <w:t>（</w:t>
      </w:r>
      <w:r>
        <w:rPr>
          <w:rFonts w:hint="eastAsia" w:ascii="宋体" w:hAnsi="宋体" w:eastAsia="宋体"/>
          <w:b/>
          <w:bCs/>
          <w:szCs w:val="21"/>
          <w:lang w:eastAsia="zh-CN"/>
        </w:rPr>
        <w:t>喀什市深喀大道171号</w:t>
      </w:r>
      <w:r>
        <w:rPr>
          <w:rFonts w:hint="eastAsia" w:ascii="宋体" w:hAnsi="宋体" w:eastAsia="宋体"/>
          <w:b/>
          <w:bCs/>
          <w:szCs w:val="21"/>
        </w:rPr>
        <w:t>），质疑咨询电话：</w:t>
      </w:r>
      <w:r>
        <w:rPr>
          <w:rFonts w:hint="eastAsia" w:ascii="宋体" w:hAnsi="宋体" w:eastAsia="宋体"/>
          <w:b/>
          <w:bCs/>
          <w:szCs w:val="21"/>
          <w:lang w:eastAsia="zh-CN"/>
        </w:rPr>
        <w:t>韩国栋</w:t>
      </w:r>
      <w:r>
        <w:rPr>
          <w:rFonts w:hint="eastAsia" w:ascii="宋体" w:hAnsi="宋体" w:eastAsia="宋体"/>
          <w:b/>
          <w:bCs/>
          <w:szCs w:val="21"/>
        </w:rPr>
        <w:t>，</w:t>
      </w:r>
      <w:r>
        <w:rPr>
          <w:rFonts w:hint="eastAsia" w:ascii="宋体" w:hAnsi="宋体" w:eastAsia="宋体"/>
          <w:b/>
          <w:bCs/>
          <w:szCs w:val="21"/>
          <w:lang w:eastAsia="zh-CN"/>
        </w:rPr>
        <w:t>18199596746</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942C113">
      <w:pPr>
        <w:ind w:firstLine="482" w:firstLineChars="200"/>
        <w:rPr>
          <w:rFonts w:ascii="宋体" w:hAnsi="宋体" w:eastAsia="宋体"/>
          <w:b/>
          <w:bCs/>
          <w:szCs w:val="21"/>
        </w:rPr>
      </w:pPr>
    </w:p>
    <w:p w14:paraId="1D92A7E8">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F1A7950">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4723AC2B">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7F4A5B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2EC4AB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492BCC61">
      <w:pPr>
        <w:ind w:firstLine="480" w:firstLineChars="200"/>
        <w:rPr>
          <w:rFonts w:ascii="宋体" w:hAnsi="宋体" w:eastAsia="宋体"/>
          <w:szCs w:val="21"/>
        </w:rPr>
      </w:pPr>
      <w:r>
        <w:rPr>
          <w:rFonts w:hint="eastAsia" w:ascii="宋体" w:hAnsi="宋体" w:eastAsia="宋体"/>
          <w:szCs w:val="21"/>
        </w:rPr>
        <w:t>（1）质疑主体不满足要求的；</w:t>
      </w:r>
    </w:p>
    <w:p w14:paraId="4EB66CB8">
      <w:pPr>
        <w:ind w:firstLine="480" w:firstLineChars="200"/>
        <w:rPr>
          <w:rFonts w:ascii="宋体" w:hAnsi="宋体" w:eastAsia="宋体"/>
          <w:szCs w:val="21"/>
        </w:rPr>
      </w:pPr>
      <w:r>
        <w:rPr>
          <w:rFonts w:hint="eastAsia" w:ascii="宋体" w:hAnsi="宋体" w:eastAsia="宋体"/>
          <w:szCs w:val="21"/>
        </w:rPr>
        <w:t>（2）供应商自身权益未受到损害的；</w:t>
      </w:r>
    </w:p>
    <w:p w14:paraId="49772C27">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C3116FF">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51CA2A01">
      <w:pPr>
        <w:ind w:firstLine="480" w:firstLineChars="200"/>
        <w:rPr>
          <w:rFonts w:ascii="宋体" w:hAnsi="宋体" w:eastAsia="宋体"/>
          <w:szCs w:val="21"/>
        </w:rPr>
      </w:pPr>
      <w:r>
        <w:rPr>
          <w:rFonts w:hint="eastAsia" w:ascii="宋体" w:hAnsi="宋体" w:eastAsia="宋体"/>
          <w:szCs w:val="21"/>
        </w:rPr>
        <w:t>（5）其他不符合受理条件情形的。</w:t>
      </w:r>
    </w:p>
    <w:p w14:paraId="03BB4F5D">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6D1F883D">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51401DC6">
      <w:pPr>
        <w:rPr>
          <w:rFonts w:ascii="宋体" w:hAnsi="宋体" w:eastAsia="宋体"/>
          <w:szCs w:val="21"/>
        </w:rPr>
      </w:pPr>
      <w:r>
        <w:rPr>
          <w:rFonts w:hint="eastAsia" w:ascii="宋体" w:hAnsi="宋体" w:eastAsia="宋体"/>
          <w:szCs w:val="21"/>
        </w:rPr>
        <w:t xml:space="preserve">    自收文之日起七个工作日内。</w:t>
      </w:r>
    </w:p>
    <w:p w14:paraId="2F0472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2383138">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71070AF">
      <w:pPr>
        <w:rPr>
          <w:rFonts w:ascii="黑体" w:hAnsi="宋体" w:eastAsia="黑体"/>
        </w:rPr>
      </w:pPr>
      <w:r>
        <w:rPr>
          <w:rFonts w:hint="eastAsia" w:ascii="黑体" w:hAnsi="宋体" w:eastAsia="黑体"/>
        </w:rPr>
        <w:t>53. 质疑后续处理</w:t>
      </w:r>
    </w:p>
    <w:p w14:paraId="461361D5">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CA1FF62">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4AE4703D">
      <w:pPr>
        <w:jc w:val="center"/>
        <w:rPr>
          <w:rFonts w:eastAsia="宋体"/>
        </w:rPr>
      </w:pPr>
      <w:r>
        <w:rPr>
          <w:rFonts w:eastAsia="宋体"/>
        </w:rPr>
        <w:t>---- END ----</w:t>
      </w:r>
      <w:bookmarkEnd w:id="67"/>
    </w:p>
    <w:p w14:paraId="439F1701">
      <w:pPr>
        <w:rPr>
          <w:rFonts w:ascii="宋体" w:hAnsi="宋体" w:eastAsia="黑体"/>
          <w:b/>
          <w:bCs/>
          <w:color w:val="0000FF"/>
          <w:kern w:val="44"/>
          <w:sz w:val="36"/>
          <w:szCs w:val="44"/>
        </w:rPr>
      </w:pPr>
    </w:p>
    <w:p w14:paraId="2A6A5C95"/>
    <w:p w14:paraId="516DF497"/>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1CAB">
    <w:pPr>
      <w:pStyle w:val="1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836B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669836B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E92D">
    <w:pPr>
      <w:pStyle w:val="11"/>
      <w:rPr>
        <w:rStyle w:val="2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D82B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70D82B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E24207D">
    <w:pPr>
      <w:pStyle w:val="11"/>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6EED">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66EDB">
                          <w:pPr>
                            <w:pStyle w:val="11"/>
                            <w:rPr>
                              <w:rStyle w:val="22"/>
                            </w:rPr>
                          </w:pPr>
                          <w:r>
                            <w:fldChar w:fldCharType="begin"/>
                          </w:r>
                          <w:r>
                            <w:rPr>
                              <w:rStyle w:val="22"/>
                            </w:rPr>
                            <w:instrText xml:space="preserve">PAGE  </w:instrText>
                          </w:r>
                          <w:r>
                            <w:fldChar w:fldCharType="separate"/>
                          </w:r>
                          <w:r>
                            <w:rPr>
                              <w:rStyle w:val="22"/>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0A066EDB">
                    <w:pPr>
                      <w:pStyle w:val="11"/>
                      <w:rPr>
                        <w:rStyle w:val="22"/>
                      </w:rPr>
                    </w:pPr>
                    <w:r>
                      <w:fldChar w:fldCharType="begin"/>
                    </w:r>
                    <w:r>
                      <w:rPr>
                        <w:rStyle w:val="22"/>
                      </w:rPr>
                      <w:instrText xml:space="preserve">PAGE  </w:instrText>
                    </w:r>
                    <w:r>
                      <w:fldChar w:fldCharType="separate"/>
                    </w:r>
                    <w:r>
                      <w:rPr>
                        <w:rStyle w:val="22"/>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6A89">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1484FF7"/>
    <w:rsid w:val="01AD573E"/>
    <w:rsid w:val="026673CA"/>
    <w:rsid w:val="02FD6481"/>
    <w:rsid w:val="030750A8"/>
    <w:rsid w:val="032A2EC2"/>
    <w:rsid w:val="038251E4"/>
    <w:rsid w:val="053B5831"/>
    <w:rsid w:val="05A26266"/>
    <w:rsid w:val="066F61BA"/>
    <w:rsid w:val="07061165"/>
    <w:rsid w:val="0771024E"/>
    <w:rsid w:val="07CE6076"/>
    <w:rsid w:val="07E22A0A"/>
    <w:rsid w:val="080C42F3"/>
    <w:rsid w:val="08272839"/>
    <w:rsid w:val="0889017A"/>
    <w:rsid w:val="091F2CD2"/>
    <w:rsid w:val="09343F8C"/>
    <w:rsid w:val="09A04263"/>
    <w:rsid w:val="0A084FFE"/>
    <w:rsid w:val="0A21662D"/>
    <w:rsid w:val="0A8E5849"/>
    <w:rsid w:val="0AB42B4F"/>
    <w:rsid w:val="0B137E4E"/>
    <w:rsid w:val="0BC0648D"/>
    <w:rsid w:val="0C3E0C4E"/>
    <w:rsid w:val="0CE95576"/>
    <w:rsid w:val="0D166760"/>
    <w:rsid w:val="0D250F7C"/>
    <w:rsid w:val="0D3A744A"/>
    <w:rsid w:val="0DF57054"/>
    <w:rsid w:val="0E77256C"/>
    <w:rsid w:val="0F255064"/>
    <w:rsid w:val="0F4136F3"/>
    <w:rsid w:val="0FA006E6"/>
    <w:rsid w:val="10227538"/>
    <w:rsid w:val="1046648D"/>
    <w:rsid w:val="105F0547"/>
    <w:rsid w:val="10D4674E"/>
    <w:rsid w:val="11263022"/>
    <w:rsid w:val="11891FCA"/>
    <w:rsid w:val="1192589F"/>
    <w:rsid w:val="12105A8A"/>
    <w:rsid w:val="13197CD1"/>
    <w:rsid w:val="13AB48A9"/>
    <w:rsid w:val="13F866C4"/>
    <w:rsid w:val="14640782"/>
    <w:rsid w:val="157403EC"/>
    <w:rsid w:val="16C056AB"/>
    <w:rsid w:val="17946704"/>
    <w:rsid w:val="17DB2032"/>
    <w:rsid w:val="18861828"/>
    <w:rsid w:val="19597099"/>
    <w:rsid w:val="1A94485A"/>
    <w:rsid w:val="1AFA1BD0"/>
    <w:rsid w:val="1AFA79D1"/>
    <w:rsid w:val="1BD569E8"/>
    <w:rsid w:val="1C023E5B"/>
    <w:rsid w:val="1DA048C4"/>
    <w:rsid w:val="1E0E5ED3"/>
    <w:rsid w:val="1ED5358C"/>
    <w:rsid w:val="20596F74"/>
    <w:rsid w:val="210821C0"/>
    <w:rsid w:val="21C4062D"/>
    <w:rsid w:val="22326B0B"/>
    <w:rsid w:val="23971A56"/>
    <w:rsid w:val="23B95828"/>
    <w:rsid w:val="245A1CC8"/>
    <w:rsid w:val="24695FFA"/>
    <w:rsid w:val="24EC66D5"/>
    <w:rsid w:val="250410F2"/>
    <w:rsid w:val="25533E58"/>
    <w:rsid w:val="25683EBE"/>
    <w:rsid w:val="267A507C"/>
    <w:rsid w:val="26EA503E"/>
    <w:rsid w:val="270216C1"/>
    <w:rsid w:val="2729727B"/>
    <w:rsid w:val="280A4341"/>
    <w:rsid w:val="285048C9"/>
    <w:rsid w:val="29550D97"/>
    <w:rsid w:val="296C066D"/>
    <w:rsid w:val="29884C1E"/>
    <w:rsid w:val="2A1755A3"/>
    <w:rsid w:val="2A1C1A1B"/>
    <w:rsid w:val="2A2348E7"/>
    <w:rsid w:val="2ABB15CA"/>
    <w:rsid w:val="2B675A24"/>
    <w:rsid w:val="2BCD3DDE"/>
    <w:rsid w:val="2BF11827"/>
    <w:rsid w:val="2C366F69"/>
    <w:rsid w:val="2C6F6018"/>
    <w:rsid w:val="2CC86F92"/>
    <w:rsid w:val="2D4775CA"/>
    <w:rsid w:val="2D847558"/>
    <w:rsid w:val="2D9774DB"/>
    <w:rsid w:val="2DBA62E0"/>
    <w:rsid w:val="2EFA653D"/>
    <w:rsid w:val="302A6951"/>
    <w:rsid w:val="305B205D"/>
    <w:rsid w:val="30A64860"/>
    <w:rsid w:val="30D37E45"/>
    <w:rsid w:val="310F0A0C"/>
    <w:rsid w:val="311A02B3"/>
    <w:rsid w:val="3137687A"/>
    <w:rsid w:val="315512CA"/>
    <w:rsid w:val="32265D43"/>
    <w:rsid w:val="323A5D81"/>
    <w:rsid w:val="323C629C"/>
    <w:rsid w:val="325E7BE3"/>
    <w:rsid w:val="328D2734"/>
    <w:rsid w:val="32CC7242"/>
    <w:rsid w:val="33543124"/>
    <w:rsid w:val="337C7542"/>
    <w:rsid w:val="34724A5F"/>
    <w:rsid w:val="35503953"/>
    <w:rsid w:val="357F5535"/>
    <w:rsid w:val="36FF6AA0"/>
    <w:rsid w:val="39B76241"/>
    <w:rsid w:val="3A964C7D"/>
    <w:rsid w:val="3B01630F"/>
    <w:rsid w:val="3BDC12B7"/>
    <w:rsid w:val="3C010D46"/>
    <w:rsid w:val="3C795F8F"/>
    <w:rsid w:val="3CB971DE"/>
    <w:rsid w:val="3D007123"/>
    <w:rsid w:val="3D012277"/>
    <w:rsid w:val="3D224849"/>
    <w:rsid w:val="3D484A54"/>
    <w:rsid w:val="3D551BD0"/>
    <w:rsid w:val="3D863DAC"/>
    <w:rsid w:val="3D876C9A"/>
    <w:rsid w:val="3DD26AD3"/>
    <w:rsid w:val="3E52449D"/>
    <w:rsid w:val="3E6A66F5"/>
    <w:rsid w:val="3E9A489A"/>
    <w:rsid w:val="3EDA4ED4"/>
    <w:rsid w:val="3EEC10E8"/>
    <w:rsid w:val="3F332A95"/>
    <w:rsid w:val="3F4B59E3"/>
    <w:rsid w:val="3F960BBA"/>
    <w:rsid w:val="40763E53"/>
    <w:rsid w:val="40B51C9C"/>
    <w:rsid w:val="411F5C43"/>
    <w:rsid w:val="420434D8"/>
    <w:rsid w:val="429750D7"/>
    <w:rsid w:val="4422077D"/>
    <w:rsid w:val="443020B6"/>
    <w:rsid w:val="45024BF8"/>
    <w:rsid w:val="45031FE9"/>
    <w:rsid w:val="45CF4ABE"/>
    <w:rsid w:val="472A5205"/>
    <w:rsid w:val="48AA43D6"/>
    <w:rsid w:val="491465B8"/>
    <w:rsid w:val="498E0956"/>
    <w:rsid w:val="4A29520E"/>
    <w:rsid w:val="4A4F7527"/>
    <w:rsid w:val="4A7E1328"/>
    <w:rsid w:val="4BB415B9"/>
    <w:rsid w:val="4C820C46"/>
    <w:rsid w:val="4CBD0D73"/>
    <w:rsid w:val="4D2C2FDF"/>
    <w:rsid w:val="4D75080B"/>
    <w:rsid w:val="4DBA7DF0"/>
    <w:rsid w:val="4E0D64CF"/>
    <w:rsid w:val="4E601A65"/>
    <w:rsid w:val="4F3D2C02"/>
    <w:rsid w:val="4FB6617E"/>
    <w:rsid w:val="50093AE6"/>
    <w:rsid w:val="50AF5EE1"/>
    <w:rsid w:val="51300F5F"/>
    <w:rsid w:val="51570C73"/>
    <w:rsid w:val="51680854"/>
    <w:rsid w:val="51B44C64"/>
    <w:rsid w:val="524E5317"/>
    <w:rsid w:val="52713992"/>
    <w:rsid w:val="527C6137"/>
    <w:rsid w:val="53096FE2"/>
    <w:rsid w:val="53F83FD3"/>
    <w:rsid w:val="540C5D72"/>
    <w:rsid w:val="54113878"/>
    <w:rsid w:val="541C212F"/>
    <w:rsid w:val="55F228CA"/>
    <w:rsid w:val="562B2188"/>
    <w:rsid w:val="56606BE9"/>
    <w:rsid w:val="5662250A"/>
    <w:rsid w:val="574D2CF7"/>
    <w:rsid w:val="577E025B"/>
    <w:rsid w:val="579730CB"/>
    <w:rsid w:val="58155A5A"/>
    <w:rsid w:val="587A0EC6"/>
    <w:rsid w:val="58F807C1"/>
    <w:rsid w:val="594A4899"/>
    <w:rsid w:val="59C305B8"/>
    <w:rsid w:val="59D2767F"/>
    <w:rsid w:val="5B7F3791"/>
    <w:rsid w:val="5C211245"/>
    <w:rsid w:val="5CBF7454"/>
    <w:rsid w:val="5E7229A3"/>
    <w:rsid w:val="5EFF39EF"/>
    <w:rsid w:val="5F4C346E"/>
    <w:rsid w:val="5F6C3D73"/>
    <w:rsid w:val="5FB20F0C"/>
    <w:rsid w:val="5FD4724F"/>
    <w:rsid w:val="60173081"/>
    <w:rsid w:val="603D2933"/>
    <w:rsid w:val="604E7BD7"/>
    <w:rsid w:val="60AC408B"/>
    <w:rsid w:val="6193642E"/>
    <w:rsid w:val="61F730E4"/>
    <w:rsid w:val="620E3E31"/>
    <w:rsid w:val="63B96AC2"/>
    <w:rsid w:val="63D84EDF"/>
    <w:rsid w:val="63F94563"/>
    <w:rsid w:val="64281C7B"/>
    <w:rsid w:val="643D1580"/>
    <w:rsid w:val="643E619F"/>
    <w:rsid w:val="643E7E0D"/>
    <w:rsid w:val="64AD1712"/>
    <w:rsid w:val="653C01C1"/>
    <w:rsid w:val="6594282D"/>
    <w:rsid w:val="66590A9D"/>
    <w:rsid w:val="66A035F1"/>
    <w:rsid w:val="66AA497C"/>
    <w:rsid w:val="67283F04"/>
    <w:rsid w:val="67352DB6"/>
    <w:rsid w:val="673F14F0"/>
    <w:rsid w:val="67CB1507"/>
    <w:rsid w:val="68653FE4"/>
    <w:rsid w:val="686A5863"/>
    <w:rsid w:val="68A76B92"/>
    <w:rsid w:val="68CF0BBE"/>
    <w:rsid w:val="69A725C4"/>
    <w:rsid w:val="6A994530"/>
    <w:rsid w:val="6B1729F4"/>
    <w:rsid w:val="6BA4026E"/>
    <w:rsid w:val="6BF502A5"/>
    <w:rsid w:val="6C5B5032"/>
    <w:rsid w:val="6CA60D1F"/>
    <w:rsid w:val="6CB95133"/>
    <w:rsid w:val="6D4E436F"/>
    <w:rsid w:val="6D6B00A7"/>
    <w:rsid w:val="6DBE11A5"/>
    <w:rsid w:val="6E902A69"/>
    <w:rsid w:val="6EC13073"/>
    <w:rsid w:val="6ED332D0"/>
    <w:rsid w:val="6F421E56"/>
    <w:rsid w:val="6F450465"/>
    <w:rsid w:val="6FD25210"/>
    <w:rsid w:val="708A7B26"/>
    <w:rsid w:val="708B1138"/>
    <w:rsid w:val="70E91006"/>
    <w:rsid w:val="711F649C"/>
    <w:rsid w:val="715F4802"/>
    <w:rsid w:val="723C49A9"/>
    <w:rsid w:val="72476B05"/>
    <w:rsid w:val="72AB7608"/>
    <w:rsid w:val="73216213"/>
    <w:rsid w:val="738F7283"/>
    <w:rsid w:val="73BF6E3A"/>
    <w:rsid w:val="73C9540C"/>
    <w:rsid w:val="73D95081"/>
    <w:rsid w:val="741221C2"/>
    <w:rsid w:val="744E3935"/>
    <w:rsid w:val="74AC7D08"/>
    <w:rsid w:val="74B45AB7"/>
    <w:rsid w:val="752776A3"/>
    <w:rsid w:val="75EA6D90"/>
    <w:rsid w:val="762C4BB0"/>
    <w:rsid w:val="773F0852"/>
    <w:rsid w:val="779C18C8"/>
    <w:rsid w:val="7838644F"/>
    <w:rsid w:val="78CF6693"/>
    <w:rsid w:val="79273811"/>
    <w:rsid w:val="79955522"/>
    <w:rsid w:val="79A57AB6"/>
    <w:rsid w:val="7A407E45"/>
    <w:rsid w:val="7AD94F02"/>
    <w:rsid w:val="7AFE6E3A"/>
    <w:rsid w:val="7BAF7AFB"/>
    <w:rsid w:val="7CED4825"/>
    <w:rsid w:val="7CF92E67"/>
    <w:rsid w:val="7D2700CC"/>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rPr>
  </w:style>
  <w:style w:type="paragraph" w:styleId="3">
    <w:name w:val="heading 1"/>
    <w:basedOn w:val="1"/>
    <w:next w:val="1"/>
    <w:link w:val="29"/>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0"/>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3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next w:val="12"/>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0"/>
    <w:rPr>
      <w:rFonts w:eastAsia="宋体"/>
      <w:sz w:val="24"/>
      <w:szCs w:val="24"/>
      <w:lang w:val="en-US" w:eastAsia="zh-CN" w:bidi="ar-SA"/>
    </w:rPr>
  </w:style>
  <w:style w:type="character" w:styleId="23">
    <w:name w:val="Hyperlink"/>
    <w:autoRedefine/>
    <w:qFormat/>
    <w:uiPriority w:val="0"/>
    <w:rPr>
      <w:rFonts w:eastAsia="宋体"/>
      <w:color w:val="0000FF"/>
      <w:sz w:val="24"/>
      <w:szCs w:val="24"/>
      <w:u w:val="single"/>
      <w:lang w:val="en-US" w:eastAsia="zh-CN" w:bidi="ar-SA"/>
    </w:rPr>
  </w:style>
  <w:style w:type="paragraph" w:customStyle="1" w:styleId="24">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25">
    <w:name w:val="表格文字"/>
    <w:basedOn w:val="1"/>
    <w:autoRedefine/>
    <w:qFormat/>
    <w:uiPriority w:val="0"/>
    <w:pPr>
      <w:spacing w:before="25" w:after="25"/>
      <w:jc w:val="left"/>
    </w:pPr>
    <w:rPr>
      <w:bCs/>
      <w:spacing w:val="10"/>
      <w:kern w:val="0"/>
      <w:sz w:val="24"/>
      <w:szCs w:val="20"/>
    </w:rPr>
  </w:style>
  <w:style w:type="paragraph" w:customStyle="1" w:styleId="26">
    <w:name w:val="Heading 1"/>
    <w:basedOn w:val="1"/>
    <w:next w:val="1"/>
    <w:link w:val="27"/>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7">
    <w:name w:val="标题 1 Char"/>
    <w:basedOn w:val="20"/>
    <w:link w:val="26"/>
    <w:autoRedefine/>
    <w:qFormat/>
    <w:uiPriority w:val="0"/>
    <w:rPr>
      <w:rFonts w:ascii="Arial" w:hAnsi="Arial" w:eastAsia="宋体" w:cs="Times New Roman"/>
      <w:b/>
      <w:bCs/>
      <w:kern w:val="44"/>
      <w:sz w:val="44"/>
      <w:szCs w:val="44"/>
    </w:rPr>
  </w:style>
  <w:style w:type="paragraph" w:customStyle="1" w:styleId="28">
    <w:name w:val="表名称"/>
    <w:basedOn w:val="6"/>
    <w:autoRedefine/>
    <w:qFormat/>
    <w:uiPriority w:val="0"/>
    <w:pPr>
      <w:numPr>
        <w:ilvl w:val="0"/>
        <w:numId w:val="1"/>
      </w:numPr>
      <w:ind w:firstLine="0" w:firstLineChars="0"/>
      <w:jc w:val="center"/>
    </w:pPr>
  </w:style>
  <w:style w:type="character" w:customStyle="1" w:styleId="29">
    <w:name w:val="标题 1 Char1"/>
    <w:link w:val="3"/>
    <w:autoRedefine/>
    <w:qFormat/>
    <w:uiPriority w:val="0"/>
    <w:rPr>
      <w:b/>
      <w:kern w:val="44"/>
      <w:sz w:val="44"/>
    </w:rPr>
  </w:style>
  <w:style w:type="character" w:customStyle="1" w:styleId="30">
    <w:name w:val="标题 2 Char"/>
    <w:link w:val="4"/>
    <w:autoRedefine/>
    <w:qFormat/>
    <w:uiPriority w:val="0"/>
    <w:rPr>
      <w:rFonts w:ascii="Arial" w:hAnsi="Arial" w:eastAsia="黑体"/>
      <w:b/>
      <w:kern w:val="0"/>
      <w:sz w:val="30"/>
      <w:szCs w:val="20"/>
    </w:rPr>
  </w:style>
  <w:style w:type="character" w:customStyle="1" w:styleId="31">
    <w:name w:val="标题 3 Char"/>
    <w:link w:val="2"/>
    <w:autoRedefine/>
    <w:qFormat/>
    <w:uiPriority w:val="0"/>
    <w:rPr>
      <w:b/>
      <w:sz w:val="32"/>
    </w:rPr>
  </w:style>
  <w:style w:type="character" w:customStyle="1" w:styleId="32">
    <w:name w:val="标题 4 Char"/>
    <w:link w:val="5"/>
    <w:autoRedefine/>
    <w:qFormat/>
    <w:uiPriority w:val="0"/>
    <w:rPr>
      <w:rFonts w:ascii="Arial" w:hAnsi="Arial" w:eastAsia="黑体"/>
      <w:b/>
      <w:sz w:val="28"/>
    </w:rPr>
  </w:style>
  <w:style w:type="paragraph" w:customStyle="1" w:styleId="33">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4">
    <w:name w:val="font41"/>
    <w:basedOn w:val="20"/>
    <w:qFormat/>
    <w:uiPriority w:val="0"/>
    <w:rPr>
      <w:rFonts w:ascii="新宋体" w:hAnsi="新宋体" w:eastAsia="新宋体" w:cs="新宋体"/>
      <w:color w:val="000000"/>
      <w:sz w:val="20"/>
      <w:szCs w:val="20"/>
      <w:u w:val="none"/>
    </w:rPr>
  </w:style>
  <w:style w:type="paragraph" w:customStyle="1" w:styleId="35">
    <w:name w:val="标题 5（有编号）（绿盟科技）"/>
    <w:basedOn w:val="1"/>
    <w:next w:val="36"/>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Table Text"/>
    <w:basedOn w:val="1"/>
    <w:autoRedefine/>
    <w:semiHidden/>
    <w:qFormat/>
    <w:uiPriority w:val="0"/>
    <w:rPr>
      <w:rFonts w:ascii="宋体" w:hAnsi="宋体" w:eastAsia="宋体" w:cs="宋体"/>
      <w:sz w:val="19"/>
      <w:szCs w:val="19"/>
      <w:lang w:val="en-US" w:eastAsia="en-US" w:bidi="ar-SA"/>
    </w:rPr>
  </w:style>
  <w:style w:type="table" w:customStyle="1" w:styleId="39">
    <w:name w:val="Table Normal"/>
    <w:autoRedefine/>
    <w:unhideWhenUsed/>
    <w:qFormat/>
    <w:uiPriority w:val="0"/>
    <w:tblPr>
      <w:tblCellMar>
        <w:top w:w="0" w:type="dxa"/>
        <w:left w:w="0" w:type="dxa"/>
        <w:bottom w:w="0" w:type="dxa"/>
        <w:right w:w="0" w:type="dxa"/>
      </w:tblCellMar>
    </w:tbl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98</Pages>
  <Words>2186</Words>
  <Characters>2254</Characters>
  <Lines>1</Lines>
  <Paragraphs>1</Paragraphs>
  <TotalTime>5</TotalTime>
  <ScaleCrop>false</ScaleCrop>
  <LinksUpToDate>false</LinksUpToDate>
  <CharactersWithSpaces>2363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cp:lastModifiedBy>
  <cp:lastPrinted>2022-07-28T10:27:00Z</cp:lastPrinted>
  <dcterms:modified xsi:type="dcterms:W3CDTF">2026-06-11T05:26:36Z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40E821417B0F4CC5802BA947E09F2E3C_13</vt:lpwstr>
  </property>
  <property fmtid="{D5CDD505-2E9C-101B-9397-08002B2CF9AE}" pid="4" name="KSOTemplateDocerSaveRecord">
    <vt:lpwstr>eyJoZGlkIjoiYWQzZDJkMTcwMGI3ODk5Y2RkZTJmNjEzOTc4ZDYzNmQiLCJ1c2VySWQiOiI1MDU4MTI1ODkifQ==</vt:lpwstr>
  </property>
</Properties>
</file>