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982A65">
      <w:pPr>
        <w:spacing w:line="243" w:lineRule="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w:t>
      </w:r>
    </w:p>
    <w:p w14:paraId="5B9F1192">
      <w:pPr>
        <w:spacing w:line="244" w:lineRule="auto"/>
        <w:rPr>
          <w:rFonts w:hint="eastAsia" w:ascii="宋体" w:hAnsi="宋体" w:eastAsia="宋体" w:cs="宋体"/>
          <w:color w:val="auto"/>
          <w:sz w:val="24"/>
          <w:szCs w:val="24"/>
        </w:rPr>
      </w:pPr>
    </w:p>
    <w:p w14:paraId="007206AE">
      <w:pPr>
        <w:spacing w:line="244" w:lineRule="auto"/>
        <w:rPr>
          <w:rFonts w:hint="eastAsia" w:ascii="宋体" w:hAnsi="宋体" w:eastAsia="宋体" w:cs="宋体"/>
          <w:color w:val="auto"/>
          <w:sz w:val="24"/>
          <w:szCs w:val="24"/>
        </w:rPr>
      </w:pPr>
    </w:p>
    <w:p w14:paraId="3176DF42">
      <w:pPr>
        <w:spacing w:line="244" w:lineRule="auto"/>
        <w:rPr>
          <w:rFonts w:hint="eastAsia" w:ascii="宋体" w:hAnsi="宋体" w:eastAsia="宋体" w:cs="宋体"/>
          <w:color w:val="auto"/>
          <w:sz w:val="24"/>
          <w:szCs w:val="24"/>
        </w:rPr>
      </w:pPr>
    </w:p>
    <w:p w14:paraId="385FBA99">
      <w:pPr>
        <w:spacing w:line="360" w:lineRule="auto"/>
        <w:jc w:val="center"/>
        <w:rPr>
          <w:rStyle w:val="104"/>
          <w:rFonts w:hint="eastAsia" w:cs="宋体"/>
          <w:color w:val="auto"/>
          <w:lang w:eastAsia="zh-CN"/>
        </w:rPr>
      </w:pPr>
      <w:r>
        <w:rPr>
          <w:rFonts w:hint="eastAsia" w:ascii="宋体" w:hAnsi="宋体" w:eastAsia="宋体" w:cs="宋体"/>
          <w:b/>
          <w:color w:val="auto"/>
          <w:sz w:val="32"/>
          <w:szCs w:val="32"/>
          <w:lang w:eastAsia="zh-CN"/>
        </w:rPr>
        <w:t>招 标 文 件</w:t>
      </w:r>
    </w:p>
    <w:p w14:paraId="4B8659D5">
      <w:pPr>
        <w:pStyle w:val="11"/>
        <w:bidi w:val="0"/>
        <w:rPr>
          <w:rFonts w:hint="eastAsia"/>
          <w:lang w:eastAsia="zh-CN"/>
        </w:rPr>
      </w:pPr>
    </w:p>
    <w:p w14:paraId="7C31253B">
      <w:pPr>
        <w:spacing w:line="253" w:lineRule="auto"/>
        <w:rPr>
          <w:rFonts w:hint="eastAsia" w:ascii="宋体" w:hAnsi="宋体" w:eastAsia="宋体" w:cs="宋体"/>
          <w:color w:val="auto"/>
          <w:sz w:val="24"/>
          <w:szCs w:val="24"/>
          <w:lang w:eastAsia="zh-CN"/>
        </w:rPr>
      </w:pPr>
    </w:p>
    <w:p w14:paraId="046E3502">
      <w:pPr>
        <w:spacing w:line="254" w:lineRule="auto"/>
        <w:rPr>
          <w:rFonts w:hint="eastAsia" w:ascii="宋体" w:hAnsi="宋体" w:eastAsia="宋体" w:cs="宋体"/>
          <w:color w:val="auto"/>
          <w:sz w:val="24"/>
          <w:szCs w:val="24"/>
          <w:lang w:eastAsia="zh-CN"/>
        </w:rPr>
      </w:pPr>
    </w:p>
    <w:p w14:paraId="12F448D9">
      <w:pPr>
        <w:spacing w:line="254" w:lineRule="auto"/>
        <w:rPr>
          <w:rFonts w:hint="eastAsia" w:ascii="宋体" w:hAnsi="宋体" w:eastAsia="宋体" w:cs="宋体"/>
          <w:color w:val="auto"/>
          <w:sz w:val="24"/>
          <w:szCs w:val="24"/>
          <w:lang w:eastAsia="zh-CN"/>
        </w:rPr>
      </w:pPr>
    </w:p>
    <w:p w14:paraId="409B6C5F">
      <w:pPr>
        <w:spacing w:line="254" w:lineRule="auto"/>
        <w:rPr>
          <w:rFonts w:hint="eastAsia" w:ascii="宋体" w:hAnsi="宋体" w:eastAsia="宋体" w:cs="宋体"/>
          <w:color w:val="auto"/>
          <w:sz w:val="24"/>
          <w:szCs w:val="24"/>
          <w:lang w:eastAsia="zh-CN"/>
        </w:rPr>
      </w:pPr>
    </w:p>
    <w:p w14:paraId="2599538D">
      <w:pPr>
        <w:pStyle w:val="11"/>
        <w:spacing w:before="78" w:line="263" w:lineRule="auto"/>
        <w:rPr>
          <w:rFonts w:hint="eastAsia"/>
          <w:color w:val="auto"/>
          <w:spacing w:val="-2"/>
          <w:lang w:eastAsia="zh-CN"/>
        </w:rPr>
      </w:pPr>
      <w:r>
        <w:rPr>
          <w:rFonts w:hint="eastAsia"/>
          <w:color w:val="auto"/>
          <w:spacing w:val="-2"/>
          <w:lang w:eastAsia="zh-CN"/>
        </w:rPr>
        <w:t>项目名称：新疆维吾尔自治区昌吉某单位大厅维修保养项目</w:t>
      </w:r>
    </w:p>
    <w:p w14:paraId="0EF6057F">
      <w:pPr>
        <w:pStyle w:val="11"/>
        <w:spacing w:before="78" w:line="263" w:lineRule="auto"/>
        <w:rPr>
          <w:rFonts w:hint="eastAsia"/>
          <w:color w:val="auto"/>
          <w:spacing w:val="-2"/>
          <w:lang w:eastAsia="zh-CN"/>
        </w:rPr>
      </w:pPr>
    </w:p>
    <w:p w14:paraId="0627164D">
      <w:pPr>
        <w:spacing w:line="337" w:lineRule="auto"/>
        <w:rPr>
          <w:rFonts w:hint="default" w:ascii="宋体" w:hAnsi="宋体" w:eastAsia="宋体" w:cs="宋体"/>
          <w:color w:val="auto"/>
          <w:spacing w:val="-2"/>
          <w:sz w:val="24"/>
          <w:szCs w:val="24"/>
          <w:lang w:val="en-US" w:eastAsia="zh-CN"/>
        </w:rPr>
      </w:pPr>
      <w:r>
        <w:rPr>
          <w:rFonts w:hint="eastAsia" w:ascii="宋体" w:hAnsi="宋体" w:eastAsia="宋体" w:cs="宋体"/>
          <w:color w:val="auto"/>
          <w:spacing w:val="-2"/>
          <w:sz w:val="24"/>
          <w:szCs w:val="24"/>
          <w:lang w:eastAsia="zh-CN"/>
        </w:rPr>
        <w:t>项目编号：金采招字【2026】XJJZC-067</w:t>
      </w:r>
    </w:p>
    <w:p w14:paraId="248F45CA">
      <w:pPr>
        <w:spacing w:line="337" w:lineRule="auto"/>
        <w:rPr>
          <w:rFonts w:hint="eastAsia" w:ascii="宋体" w:hAnsi="宋体" w:eastAsia="宋体" w:cs="宋体"/>
          <w:color w:val="auto"/>
          <w:sz w:val="24"/>
          <w:szCs w:val="24"/>
          <w:lang w:eastAsia="zh-CN"/>
        </w:rPr>
      </w:pPr>
    </w:p>
    <w:p w14:paraId="27752A9B">
      <w:pPr>
        <w:pStyle w:val="11"/>
        <w:tabs>
          <w:tab w:val="left" w:pos="8620"/>
        </w:tabs>
        <w:spacing w:before="78" w:line="540" w:lineRule="auto"/>
        <w:ind w:right="-53"/>
        <w:rPr>
          <w:rFonts w:hint="eastAsia"/>
          <w:color w:val="auto"/>
          <w:lang w:eastAsia="zh-CN"/>
        </w:rPr>
      </w:pPr>
      <w:r>
        <w:rPr>
          <w:rFonts w:hint="eastAsia"/>
          <w:color w:val="auto"/>
          <w:spacing w:val="-2"/>
          <w:lang w:eastAsia="zh-CN"/>
        </w:rPr>
        <w:t>采 购 人（公章</w:t>
      </w:r>
      <w:r>
        <w:rPr>
          <w:rFonts w:hint="eastAsia"/>
          <w:color w:val="auto"/>
          <w:spacing w:val="8"/>
          <w:lang w:eastAsia="zh-CN"/>
        </w:rPr>
        <w:t>）：</w:t>
      </w:r>
      <w:r>
        <w:rPr>
          <w:rFonts w:hint="eastAsia"/>
          <w:color w:val="auto"/>
          <w:spacing w:val="-2"/>
          <w:lang w:eastAsia="zh-CN"/>
        </w:rPr>
        <w:t>新疆维吾尔自治区昌吉某单位</w:t>
      </w:r>
    </w:p>
    <w:p w14:paraId="54F03614">
      <w:pPr>
        <w:pStyle w:val="11"/>
        <w:tabs>
          <w:tab w:val="left" w:pos="8620"/>
        </w:tabs>
        <w:spacing w:before="78" w:line="540" w:lineRule="auto"/>
        <w:ind w:right="-53"/>
        <w:rPr>
          <w:rFonts w:hint="eastAsia"/>
          <w:color w:val="auto"/>
          <w:lang w:eastAsia="zh-CN"/>
        </w:rPr>
      </w:pPr>
      <w:r>
        <w:rPr>
          <w:rFonts w:hint="eastAsia"/>
          <w:color w:val="auto"/>
          <w:spacing w:val="-2"/>
          <w:lang w:eastAsia="zh-CN"/>
        </w:rPr>
        <w:t>法定代表人（签章</w:t>
      </w:r>
      <w:r>
        <w:rPr>
          <w:rFonts w:hint="eastAsia"/>
          <w:color w:val="auto"/>
          <w:spacing w:val="2"/>
          <w:lang w:eastAsia="zh-CN"/>
        </w:rPr>
        <w:t>）：</w:t>
      </w:r>
    </w:p>
    <w:p w14:paraId="1E5778D5">
      <w:pPr>
        <w:pStyle w:val="11"/>
        <w:spacing w:before="35" w:line="219" w:lineRule="auto"/>
        <w:ind w:left="264" w:hanging="259" w:hangingChars="112"/>
        <w:rPr>
          <w:rFonts w:hint="eastAsia"/>
          <w:color w:val="auto"/>
          <w:lang w:eastAsia="zh-CN"/>
        </w:rPr>
      </w:pPr>
      <w:r>
        <w:rPr>
          <w:rFonts w:hint="eastAsia"/>
          <w:color w:val="auto"/>
          <w:spacing w:val="-4"/>
          <w:lang w:eastAsia="zh-CN"/>
        </w:rPr>
        <w:t>联</w:t>
      </w:r>
      <w:r>
        <w:rPr>
          <w:rFonts w:hint="eastAsia"/>
          <w:color w:val="auto"/>
          <w:spacing w:val="20"/>
          <w:lang w:eastAsia="zh-CN"/>
        </w:rPr>
        <w:t xml:space="preserve"> </w:t>
      </w:r>
      <w:r>
        <w:rPr>
          <w:rFonts w:hint="eastAsia"/>
          <w:color w:val="auto"/>
          <w:spacing w:val="-4"/>
          <w:lang w:eastAsia="zh-CN"/>
        </w:rPr>
        <w:t>系 人：</w:t>
      </w:r>
      <w:r>
        <w:rPr>
          <w:rFonts w:hint="eastAsia"/>
          <w:color w:val="auto"/>
          <w:spacing w:val="-4"/>
          <w:lang w:val="en-US" w:eastAsia="zh-CN"/>
        </w:rPr>
        <w:t>张先生、赵先生</w:t>
      </w:r>
    </w:p>
    <w:p w14:paraId="1CC33582">
      <w:pPr>
        <w:spacing w:line="355" w:lineRule="auto"/>
        <w:rPr>
          <w:rFonts w:hint="eastAsia" w:ascii="宋体" w:hAnsi="宋体" w:eastAsia="宋体" w:cs="宋体"/>
          <w:color w:val="auto"/>
          <w:sz w:val="24"/>
          <w:szCs w:val="24"/>
          <w:lang w:eastAsia="zh-CN"/>
        </w:rPr>
      </w:pPr>
    </w:p>
    <w:p w14:paraId="07E88390">
      <w:pPr>
        <w:pStyle w:val="11"/>
        <w:spacing w:before="78" w:line="221" w:lineRule="auto"/>
        <w:ind w:left="17" w:hanging="16" w:hangingChars="7"/>
        <w:rPr>
          <w:rFonts w:hint="eastAsia"/>
          <w:color w:val="auto"/>
          <w:lang w:eastAsia="zh-CN"/>
        </w:rPr>
      </w:pPr>
      <w:r>
        <w:rPr>
          <w:rFonts w:hint="eastAsia"/>
          <w:color w:val="auto"/>
          <w:spacing w:val="-1"/>
          <w:lang w:eastAsia="zh-CN"/>
        </w:rPr>
        <w:t>联系电话：</w:t>
      </w:r>
      <w:r>
        <w:rPr>
          <w:rFonts w:hint="eastAsia"/>
          <w:color w:val="auto"/>
          <w:spacing w:val="-1"/>
          <w:lang w:val="en-US" w:eastAsia="zh-CN"/>
        </w:rPr>
        <w:t>18997566658、18209068376</w:t>
      </w:r>
    </w:p>
    <w:p w14:paraId="7E0BDBCA">
      <w:pPr>
        <w:spacing w:line="269" w:lineRule="auto"/>
        <w:rPr>
          <w:rFonts w:hint="eastAsia" w:ascii="宋体" w:hAnsi="宋体" w:eastAsia="宋体" w:cs="宋体"/>
          <w:color w:val="auto"/>
          <w:sz w:val="24"/>
          <w:szCs w:val="24"/>
          <w:lang w:eastAsia="zh-CN"/>
        </w:rPr>
      </w:pPr>
    </w:p>
    <w:p w14:paraId="00571001">
      <w:pPr>
        <w:spacing w:line="249" w:lineRule="auto"/>
        <w:rPr>
          <w:rFonts w:hint="eastAsia" w:ascii="宋体" w:hAnsi="宋体" w:eastAsia="宋体" w:cs="宋体"/>
          <w:color w:val="auto"/>
          <w:sz w:val="24"/>
          <w:szCs w:val="24"/>
          <w:lang w:eastAsia="zh-CN"/>
        </w:rPr>
      </w:pPr>
    </w:p>
    <w:p w14:paraId="270D9D2E">
      <w:pPr>
        <w:spacing w:line="249" w:lineRule="auto"/>
        <w:rPr>
          <w:rFonts w:hint="eastAsia" w:ascii="宋体" w:hAnsi="宋体" w:eastAsia="宋体" w:cs="宋体"/>
          <w:color w:val="auto"/>
          <w:sz w:val="24"/>
          <w:szCs w:val="24"/>
          <w:lang w:eastAsia="zh-CN"/>
        </w:rPr>
      </w:pPr>
    </w:p>
    <w:p w14:paraId="5053A4A2">
      <w:pPr>
        <w:spacing w:line="249" w:lineRule="auto"/>
        <w:rPr>
          <w:rFonts w:hint="eastAsia" w:ascii="宋体" w:hAnsi="宋体" w:eastAsia="宋体" w:cs="宋体"/>
          <w:color w:val="auto"/>
          <w:sz w:val="24"/>
          <w:szCs w:val="24"/>
          <w:lang w:eastAsia="zh-CN"/>
        </w:rPr>
      </w:pPr>
    </w:p>
    <w:p w14:paraId="2B1D79B4">
      <w:pPr>
        <w:spacing w:line="249"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drawing>
          <wp:anchor distT="0" distB="0" distL="114300" distR="114300" simplePos="0" relativeHeight="251659264" behindDoc="0" locked="0" layoutInCell="1" allowOverlap="1">
            <wp:simplePos x="0" y="0"/>
            <wp:positionH relativeFrom="column">
              <wp:posOffset>0</wp:posOffset>
            </wp:positionH>
            <wp:positionV relativeFrom="paragraph">
              <wp:posOffset>85090</wp:posOffset>
            </wp:positionV>
            <wp:extent cx="5543550" cy="10160"/>
            <wp:effectExtent l="0" t="0" r="0" b="0"/>
            <wp:wrapNone/>
            <wp:docPr id="1" name="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 2"/>
                    <pic:cNvPicPr>
                      <a:picLocks noChangeAspect="1"/>
                    </pic:cNvPicPr>
                  </pic:nvPicPr>
                  <pic:blipFill>
                    <a:blip r:embed="rId10">
                      <a:lum/>
                    </a:blip>
                    <a:stretch>
                      <a:fillRect/>
                    </a:stretch>
                  </pic:blipFill>
                  <pic:spPr>
                    <a:xfrm>
                      <a:off x="0" y="0"/>
                      <a:ext cx="5543550" cy="10160"/>
                    </a:xfrm>
                    <a:prstGeom prst="rect">
                      <a:avLst/>
                    </a:prstGeom>
                    <a:noFill/>
                    <a:ln>
                      <a:noFill/>
                    </a:ln>
                  </pic:spPr>
                </pic:pic>
              </a:graphicData>
            </a:graphic>
          </wp:anchor>
        </w:drawing>
      </w:r>
    </w:p>
    <w:p w14:paraId="24D2B5E0">
      <w:pPr>
        <w:spacing w:line="250" w:lineRule="auto"/>
        <w:rPr>
          <w:rFonts w:hint="eastAsia" w:ascii="宋体" w:hAnsi="宋体" w:eastAsia="宋体" w:cs="宋体"/>
          <w:color w:val="auto"/>
          <w:sz w:val="24"/>
          <w:szCs w:val="24"/>
          <w:lang w:eastAsia="zh-CN"/>
        </w:rPr>
      </w:pPr>
    </w:p>
    <w:p w14:paraId="429810CA">
      <w:pPr>
        <w:pStyle w:val="11"/>
        <w:spacing w:before="79" w:line="540" w:lineRule="auto"/>
        <w:ind w:left="17" w:right="-53" w:hanging="16" w:hangingChars="7"/>
        <w:rPr>
          <w:rFonts w:hint="eastAsia"/>
          <w:color w:val="auto"/>
          <w:spacing w:val="1"/>
          <w:lang w:eastAsia="zh-CN"/>
        </w:rPr>
      </w:pPr>
      <w:r>
        <w:rPr>
          <w:rFonts w:hint="eastAsia"/>
          <w:color w:val="auto"/>
          <w:spacing w:val="-1"/>
          <w:lang w:eastAsia="zh-CN"/>
        </w:rPr>
        <w:t>采购代理机构（公章</w:t>
      </w:r>
      <w:r>
        <w:rPr>
          <w:rFonts w:hint="eastAsia"/>
          <w:color w:val="auto"/>
          <w:spacing w:val="5"/>
          <w:lang w:eastAsia="zh-CN"/>
        </w:rPr>
        <w:t>）：</w:t>
      </w:r>
      <w:r>
        <w:rPr>
          <w:rFonts w:hint="eastAsia"/>
          <w:color w:val="auto"/>
          <w:spacing w:val="-1"/>
          <w:lang w:eastAsia="zh-CN"/>
        </w:rPr>
        <w:t>新疆金正建设工程管理有限公司</w:t>
      </w:r>
      <w:r>
        <w:rPr>
          <w:rFonts w:hint="eastAsia"/>
          <w:color w:val="auto"/>
          <w:spacing w:val="1"/>
          <w:lang w:eastAsia="zh-CN"/>
        </w:rPr>
        <w:t xml:space="preserve"> </w:t>
      </w:r>
    </w:p>
    <w:p w14:paraId="5EC8FAFC">
      <w:pPr>
        <w:pStyle w:val="11"/>
        <w:spacing w:before="79" w:line="540" w:lineRule="auto"/>
        <w:ind w:left="17" w:right="-53" w:hanging="16" w:hangingChars="7"/>
        <w:rPr>
          <w:rFonts w:hint="default"/>
          <w:color w:val="auto"/>
          <w:lang w:val="en-US" w:eastAsia="zh-CN"/>
        </w:rPr>
      </w:pPr>
      <w:r>
        <w:rPr>
          <w:rFonts w:hint="eastAsia"/>
          <w:color w:val="auto"/>
          <w:spacing w:val="-2"/>
          <w:lang w:eastAsia="zh-CN"/>
        </w:rPr>
        <w:t>法定代表人（签章</w:t>
      </w:r>
      <w:r>
        <w:rPr>
          <w:rFonts w:hint="eastAsia"/>
          <w:color w:val="auto"/>
          <w:spacing w:val="2"/>
          <w:lang w:eastAsia="zh-CN"/>
        </w:rPr>
        <w:t>）：</w:t>
      </w:r>
      <w:r>
        <w:rPr>
          <w:rFonts w:hint="eastAsia"/>
          <w:color w:val="auto"/>
          <w:spacing w:val="2"/>
          <w:lang w:val="en-US" w:eastAsia="zh-CN"/>
        </w:rPr>
        <w:t>孟亚</w:t>
      </w:r>
    </w:p>
    <w:p w14:paraId="5F517B13">
      <w:pPr>
        <w:pStyle w:val="11"/>
        <w:spacing w:before="34" w:line="542" w:lineRule="auto"/>
        <w:ind w:right="-53"/>
        <w:rPr>
          <w:rFonts w:hint="eastAsia"/>
          <w:color w:val="auto"/>
          <w:lang w:eastAsia="zh-CN"/>
        </w:rPr>
      </w:pPr>
      <w:r>
        <w:rPr>
          <w:rFonts w:hint="eastAsia"/>
          <w:color w:val="auto"/>
          <w:spacing w:val="-2"/>
          <w:lang w:eastAsia="zh-CN"/>
        </w:rPr>
        <w:t>联 系</w:t>
      </w:r>
      <w:r>
        <w:rPr>
          <w:rFonts w:hint="eastAsia"/>
          <w:color w:val="auto"/>
          <w:spacing w:val="11"/>
          <w:lang w:eastAsia="zh-CN"/>
        </w:rPr>
        <w:t xml:space="preserve"> </w:t>
      </w:r>
      <w:r>
        <w:rPr>
          <w:rFonts w:hint="eastAsia"/>
          <w:color w:val="auto"/>
          <w:spacing w:val="-2"/>
          <w:lang w:eastAsia="zh-CN"/>
        </w:rPr>
        <w:t>人：</w:t>
      </w:r>
      <w:r>
        <w:rPr>
          <w:rFonts w:hint="eastAsia"/>
          <w:color w:val="auto"/>
          <w:spacing w:val="-2"/>
          <w:lang w:val="en-US" w:eastAsia="zh-CN"/>
        </w:rPr>
        <w:t>顾玮婷</w:t>
      </w:r>
      <w:r>
        <w:rPr>
          <w:rFonts w:hint="eastAsia"/>
          <w:color w:val="auto"/>
          <w:spacing w:val="-2"/>
          <w:lang w:eastAsia="zh-CN"/>
        </w:rPr>
        <w:t>、施霞</w:t>
      </w:r>
    </w:p>
    <w:p w14:paraId="53EB6676">
      <w:pPr>
        <w:pStyle w:val="11"/>
        <w:spacing w:before="34" w:line="542" w:lineRule="auto"/>
        <w:ind w:right="-53"/>
        <w:rPr>
          <w:rFonts w:hint="eastAsia"/>
          <w:color w:val="auto"/>
          <w:lang w:eastAsia="zh-CN"/>
        </w:rPr>
      </w:pPr>
      <w:r>
        <w:rPr>
          <w:rFonts w:hint="eastAsia"/>
          <w:color w:val="auto"/>
          <w:spacing w:val="-1"/>
          <w:lang w:eastAsia="zh-CN"/>
        </w:rPr>
        <w:t>联系电话：15699198804、18999120355</w:t>
      </w:r>
    </w:p>
    <w:p w14:paraId="08C69F8D">
      <w:pPr>
        <w:pStyle w:val="11"/>
        <w:spacing w:before="31" w:line="219" w:lineRule="auto"/>
        <w:rPr>
          <w:rFonts w:hint="eastAsia"/>
          <w:color w:val="auto"/>
          <w:lang w:eastAsia="zh-CN"/>
        </w:rPr>
      </w:pPr>
      <w:r>
        <w:rPr>
          <w:rFonts w:hint="eastAsia"/>
          <w:color w:val="auto"/>
          <w:spacing w:val="-2"/>
          <w:lang w:eastAsia="zh-CN"/>
        </w:rPr>
        <w:t>联系地址：乌鲁木齐市水磨沟区南湖南路</w:t>
      </w:r>
      <w:r>
        <w:rPr>
          <w:rFonts w:hint="eastAsia"/>
          <w:color w:val="auto"/>
          <w:spacing w:val="-44"/>
          <w:lang w:eastAsia="zh-CN"/>
        </w:rPr>
        <w:t xml:space="preserve"> </w:t>
      </w:r>
      <w:r>
        <w:rPr>
          <w:rFonts w:hint="eastAsia"/>
          <w:color w:val="auto"/>
          <w:spacing w:val="-2"/>
          <w:lang w:eastAsia="zh-CN"/>
        </w:rPr>
        <w:t>66</w:t>
      </w:r>
      <w:r>
        <w:rPr>
          <w:rFonts w:hint="eastAsia"/>
          <w:color w:val="auto"/>
          <w:spacing w:val="-44"/>
          <w:lang w:eastAsia="zh-CN"/>
        </w:rPr>
        <w:t xml:space="preserve"> </w:t>
      </w:r>
      <w:r>
        <w:rPr>
          <w:rFonts w:hint="eastAsia"/>
          <w:color w:val="auto"/>
          <w:spacing w:val="-2"/>
          <w:lang w:eastAsia="zh-CN"/>
        </w:rPr>
        <w:t>号水清木华精品社区</w:t>
      </w:r>
      <w:r>
        <w:rPr>
          <w:rFonts w:hint="eastAsia"/>
          <w:color w:val="auto"/>
          <w:spacing w:val="-58"/>
          <w:lang w:eastAsia="zh-CN"/>
        </w:rPr>
        <w:t xml:space="preserve"> </w:t>
      </w:r>
      <w:r>
        <w:rPr>
          <w:rFonts w:hint="eastAsia"/>
          <w:color w:val="auto"/>
          <w:spacing w:val="-2"/>
          <w:lang w:eastAsia="zh-CN"/>
        </w:rPr>
        <w:t>A</w:t>
      </w:r>
      <w:r>
        <w:rPr>
          <w:rFonts w:hint="eastAsia"/>
          <w:color w:val="auto"/>
          <w:spacing w:val="-51"/>
          <w:lang w:eastAsia="zh-CN"/>
        </w:rPr>
        <w:t xml:space="preserve"> </w:t>
      </w:r>
      <w:r>
        <w:rPr>
          <w:rFonts w:hint="eastAsia"/>
          <w:color w:val="auto"/>
          <w:spacing w:val="-2"/>
          <w:lang w:eastAsia="zh-CN"/>
        </w:rPr>
        <w:t>栋</w:t>
      </w:r>
      <w:r>
        <w:rPr>
          <w:rFonts w:hint="eastAsia"/>
          <w:color w:val="auto"/>
          <w:spacing w:val="-49"/>
          <w:lang w:eastAsia="zh-CN"/>
        </w:rPr>
        <w:t xml:space="preserve"> </w:t>
      </w:r>
      <w:r>
        <w:rPr>
          <w:rFonts w:hint="eastAsia"/>
          <w:color w:val="auto"/>
          <w:spacing w:val="-2"/>
          <w:lang w:eastAsia="zh-CN"/>
        </w:rPr>
        <w:t>6</w:t>
      </w:r>
      <w:r>
        <w:rPr>
          <w:rFonts w:hint="eastAsia"/>
          <w:color w:val="auto"/>
          <w:spacing w:val="-50"/>
          <w:lang w:eastAsia="zh-CN"/>
        </w:rPr>
        <w:t xml:space="preserve"> </w:t>
      </w:r>
      <w:r>
        <w:rPr>
          <w:rFonts w:hint="eastAsia"/>
          <w:color w:val="auto"/>
          <w:spacing w:val="-2"/>
          <w:lang w:eastAsia="zh-CN"/>
        </w:rPr>
        <w:t>层</w:t>
      </w:r>
    </w:p>
    <w:p w14:paraId="46E3A02A">
      <w:pPr>
        <w:spacing w:line="219" w:lineRule="auto"/>
        <w:rPr>
          <w:rFonts w:hint="eastAsia" w:ascii="宋体" w:hAnsi="宋体" w:eastAsia="宋体" w:cs="宋体"/>
          <w:color w:val="auto"/>
          <w:sz w:val="24"/>
          <w:szCs w:val="24"/>
          <w:lang w:eastAsia="zh-CN"/>
        </w:rPr>
        <w:sectPr>
          <w:headerReference r:id="rId3" w:type="default"/>
          <w:pgSz w:w="11906" w:h="16839"/>
          <w:pgMar w:top="1429" w:right="1553" w:bottom="1378" w:left="1786" w:header="907" w:footer="0" w:gutter="0"/>
          <w:cols w:space="720" w:num="1"/>
        </w:sectPr>
      </w:pPr>
    </w:p>
    <w:p w14:paraId="60278D0F">
      <w:pPr>
        <w:spacing w:line="355" w:lineRule="auto"/>
        <w:rPr>
          <w:rFonts w:hint="eastAsia" w:ascii="宋体" w:hAnsi="宋体" w:eastAsia="宋体" w:cs="宋体"/>
          <w:color w:val="auto"/>
          <w:sz w:val="24"/>
          <w:szCs w:val="24"/>
          <w:lang w:eastAsia="zh-CN"/>
        </w:rPr>
      </w:pPr>
    </w:p>
    <w:p w14:paraId="685B7102">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目录</w:t>
      </w:r>
    </w:p>
    <w:p w14:paraId="170B3D89">
      <w:pPr>
        <w:spacing w:line="360" w:lineRule="auto"/>
        <w:jc w:val="center"/>
        <w:rPr>
          <w:rFonts w:hint="eastAsia" w:ascii="宋体" w:hAnsi="宋体" w:eastAsia="宋体" w:cs="宋体"/>
          <w:color w:val="auto"/>
          <w:sz w:val="24"/>
          <w:szCs w:val="24"/>
        </w:rPr>
      </w:pPr>
    </w:p>
    <w:p w14:paraId="25446226">
      <w:pPr>
        <w:pStyle w:val="25"/>
        <w:tabs>
          <w:tab w:val="right" w:leader="dot" w:pos="8567"/>
        </w:tabs>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TOC \o "1-1" \h \u </w:instrText>
      </w:r>
      <w:r>
        <w:rPr>
          <w:rFonts w:hint="eastAsia" w:ascii="宋体" w:hAnsi="宋体" w:eastAsia="宋体" w:cs="宋体"/>
          <w:color w:val="auto"/>
          <w:sz w:val="24"/>
          <w:szCs w:val="24"/>
        </w:rPr>
        <w:fldChar w:fldCharType="separate"/>
      </w:r>
      <w:r>
        <w:fldChar w:fldCharType="begin"/>
      </w:r>
      <w:r>
        <w:instrText xml:space="preserve"> HYPERLINK \l "_Toc7179" </w:instrText>
      </w:r>
      <w:r>
        <w:fldChar w:fldCharType="separate"/>
      </w:r>
      <w:r>
        <w:rPr>
          <w:rFonts w:hint="eastAsia" w:ascii="宋体" w:hAnsi="宋体" w:eastAsia="宋体" w:cs="宋体"/>
          <w:color w:val="auto"/>
          <w:sz w:val="24"/>
          <w:szCs w:val="24"/>
          <w:lang w:eastAsia="zh-CN"/>
        </w:rPr>
        <w:t>招标</w:t>
      </w:r>
      <w:r>
        <w:rPr>
          <w:rFonts w:hint="eastAsia" w:ascii="宋体" w:hAnsi="宋体" w:eastAsia="宋体" w:cs="宋体"/>
          <w:color w:val="auto"/>
          <w:sz w:val="24"/>
          <w:szCs w:val="24"/>
        </w:rPr>
        <w:t>公告</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_Toc7179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1</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14:paraId="4B761A2E">
      <w:pPr>
        <w:pStyle w:val="25"/>
        <w:tabs>
          <w:tab w:val="right" w:leader="dot" w:pos="8567"/>
        </w:tabs>
        <w:spacing w:line="360" w:lineRule="auto"/>
        <w:rPr>
          <w:rFonts w:hint="eastAsia" w:ascii="宋体" w:hAnsi="宋体" w:eastAsia="宋体" w:cs="宋体"/>
          <w:color w:val="auto"/>
          <w:sz w:val="24"/>
          <w:szCs w:val="24"/>
        </w:rPr>
      </w:pPr>
      <w:r>
        <w:fldChar w:fldCharType="begin"/>
      </w:r>
      <w:r>
        <w:instrText xml:space="preserve"> HYPERLINK \l "_Toc20994" </w:instrText>
      </w:r>
      <w:r>
        <w:fldChar w:fldCharType="separate"/>
      </w:r>
      <w:r>
        <w:rPr>
          <w:rFonts w:hint="eastAsia" w:ascii="宋体" w:hAnsi="宋体" w:eastAsia="宋体" w:cs="宋体"/>
          <w:bCs/>
          <w:color w:val="auto"/>
          <w:spacing w:val="-3"/>
          <w:sz w:val="24"/>
          <w:szCs w:val="24"/>
        </w:rPr>
        <w:t>第一章</w:t>
      </w:r>
      <w:r>
        <w:rPr>
          <w:rFonts w:hint="eastAsia" w:ascii="宋体" w:hAnsi="宋体" w:eastAsia="宋体" w:cs="宋体"/>
          <w:bCs/>
          <w:color w:val="auto"/>
          <w:spacing w:val="-3"/>
          <w:sz w:val="24"/>
          <w:szCs w:val="24"/>
          <w:lang w:eastAsia="zh-CN"/>
        </w:rPr>
        <w:t xml:space="preserve"> </w:t>
      </w:r>
      <w:r>
        <w:rPr>
          <w:rFonts w:hint="eastAsia" w:ascii="宋体" w:hAnsi="宋体" w:eastAsia="宋体" w:cs="宋体"/>
          <w:bCs/>
          <w:color w:val="auto"/>
          <w:sz w:val="24"/>
          <w:szCs w:val="24"/>
        </w:rPr>
        <w:t>投标人须知</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_Toc20994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5</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14:paraId="0CD73067">
      <w:pPr>
        <w:pStyle w:val="25"/>
        <w:tabs>
          <w:tab w:val="right" w:leader="dot" w:pos="8567"/>
        </w:tabs>
        <w:spacing w:line="360" w:lineRule="auto"/>
        <w:rPr>
          <w:rFonts w:hint="eastAsia" w:ascii="宋体" w:hAnsi="宋体" w:eastAsia="宋体" w:cs="宋体"/>
          <w:color w:val="auto"/>
          <w:sz w:val="24"/>
          <w:szCs w:val="24"/>
        </w:rPr>
      </w:pPr>
      <w:r>
        <w:fldChar w:fldCharType="begin"/>
      </w:r>
      <w:r>
        <w:instrText xml:space="preserve"> HYPERLINK \l "_Toc26004" </w:instrText>
      </w:r>
      <w:r>
        <w:fldChar w:fldCharType="separate"/>
      </w:r>
      <w:r>
        <w:rPr>
          <w:rFonts w:hint="eastAsia" w:ascii="宋体" w:hAnsi="宋体" w:eastAsia="宋体" w:cs="宋体"/>
          <w:bCs/>
          <w:color w:val="auto"/>
          <w:sz w:val="24"/>
          <w:szCs w:val="24"/>
        </w:rPr>
        <w:t>第</w:t>
      </w:r>
      <w:r>
        <w:rPr>
          <w:rFonts w:hint="eastAsia" w:ascii="宋体" w:hAnsi="宋体" w:eastAsia="宋体" w:cs="宋体"/>
          <w:bCs/>
          <w:color w:val="auto"/>
          <w:sz w:val="24"/>
          <w:szCs w:val="24"/>
          <w:lang w:eastAsia="zh-CN"/>
        </w:rPr>
        <w:t>二</w:t>
      </w:r>
      <w:r>
        <w:rPr>
          <w:rFonts w:hint="eastAsia" w:ascii="宋体" w:hAnsi="宋体" w:eastAsia="宋体" w:cs="宋体"/>
          <w:bCs/>
          <w:color w:val="auto"/>
          <w:sz w:val="24"/>
          <w:szCs w:val="24"/>
        </w:rPr>
        <w:t>章  投标文件格式</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_Toc26004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27</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14:paraId="3668A327">
      <w:pPr>
        <w:pStyle w:val="25"/>
        <w:tabs>
          <w:tab w:val="right" w:leader="dot" w:pos="8567"/>
        </w:tabs>
        <w:spacing w:line="360" w:lineRule="auto"/>
        <w:rPr>
          <w:rFonts w:hint="eastAsia" w:ascii="宋体" w:hAnsi="宋体" w:eastAsia="宋体" w:cs="宋体"/>
          <w:color w:val="auto"/>
          <w:sz w:val="24"/>
          <w:szCs w:val="24"/>
        </w:rPr>
      </w:pPr>
      <w:r>
        <w:fldChar w:fldCharType="begin"/>
      </w:r>
      <w:r>
        <w:instrText xml:space="preserve"> HYPERLINK \l "_Toc14507" </w:instrText>
      </w:r>
      <w:r>
        <w:fldChar w:fldCharType="separate"/>
      </w:r>
      <w:r>
        <w:rPr>
          <w:rFonts w:hint="eastAsia" w:ascii="宋体" w:hAnsi="宋体" w:eastAsia="宋体" w:cs="宋体"/>
          <w:bCs/>
          <w:color w:val="auto"/>
          <w:spacing w:val="-3"/>
          <w:sz w:val="24"/>
          <w:szCs w:val="24"/>
        </w:rPr>
        <w:t>第三章</w:t>
      </w:r>
      <w:r>
        <w:rPr>
          <w:rFonts w:hint="eastAsia" w:ascii="宋体" w:hAnsi="宋体" w:eastAsia="宋体" w:cs="宋体"/>
          <w:color w:val="auto"/>
          <w:spacing w:val="-3"/>
          <w:sz w:val="24"/>
          <w:szCs w:val="24"/>
        </w:rPr>
        <w:t xml:space="preserve">  </w:t>
      </w:r>
      <w:r>
        <w:rPr>
          <w:rFonts w:hint="eastAsia" w:ascii="宋体" w:hAnsi="宋体" w:eastAsia="宋体" w:cs="宋体"/>
          <w:bCs/>
          <w:color w:val="auto"/>
          <w:spacing w:val="-3"/>
          <w:sz w:val="24"/>
          <w:szCs w:val="24"/>
          <w:lang w:eastAsia="zh-CN"/>
        </w:rPr>
        <w:t>服务</w:t>
      </w:r>
      <w:r>
        <w:rPr>
          <w:rFonts w:hint="eastAsia" w:ascii="宋体" w:hAnsi="宋体" w:eastAsia="宋体" w:cs="宋体"/>
          <w:bCs/>
          <w:color w:val="auto"/>
          <w:spacing w:val="-3"/>
          <w:sz w:val="24"/>
          <w:szCs w:val="24"/>
        </w:rPr>
        <w:t>需求</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_Toc14507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49</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14:paraId="6747F0CC">
      <w:pPr>
        <w:pStyle w:val="25"/>
        <w:tabs>
          <w:tab w:val="right" w:leader="dot" w:pos="8567"/>
        </w:tabs>
        <w:spacing w:line="360" w:lineRule="auto"/>
        <w:rPr>
          <w:rFonts w:hint="eastAsia" w:ascii="宋体" w:hAnsi="宋体" w:eastAsia="宋体" w:cs="宋体"/>
          <w:color w:val="auto"/>
          <w:sz w:val="24"/>
          <w:szCs w:val="24"/>
        </w:rPr>
      </w:pPr>
      <w:r>
        <w:fldChar w:fldCharType="begin"/>
      </w:r>
      <w:r>
        <w:instrText xml:space="preserve"> HYPERLINK \l "_Toc19307" </w:instrText>
      </w:r>
      <w:r>
        <w:fldChar w:fldCharType="separate"/>
      </w:r>
      <w:r>
        <w:rPr>
          <w:rFonts w:hint="eastAsia" w:ascii="宋体" w:hAnsi="宋体" w:eastAsia="宋体" w:cs="宋体"/>
          <w:bCs/>
          <w:color w:val="auto"/>
          <w:spacing w:val="-3"/>
          <w:sz w:val="24"/>
          <w:szCs w:val="24"/>
        </w:rPr>
        <w:t>第四章</w:t>
      </w:r>
      <w:r>
        <w:rPr>
          <w:rFonts w:hint="eastAsia" w:ascii="宋体" w:hAnsi="宋体" w:eastAsia="宋体" w:cs="宋体"/>
          <w:color w:val="auto"/>
          <w:spacing w:val="-3"/>
          <w:sz w:val="24"/>
          <w:szCs w:val="24"/>
        </w:rPr>
        <w:t xml:space="preserve"> </w:t>
      </w:r>
      <w:r>
        <w:rPr>
          <w:rFonts w:hint="eastAsia" w:ascii="宋体" w:hAnsi="宋体" w:eastAsia="宋体" w:cs="宋体"/>
          <w:bCs/>
          <w:color w:val="auto"/>
          <w:spacing w:val="-3"/>
          <w:sz w:val="24"/>
          <w:szCs w:val="24"/>
          <w:lang w:eastAsia="zh-CN"/>
        </w:rPr>
        <w:t>评标办法</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_Toc19307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52</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14:paraId="4DEDB5F3">
      <w:pPr>
        <w:pStyle w:val="25"/>
        <w:tabs>
          <w:tab w:val="right" w:leader="dot" w:pos="8567"/>
        </w:tabs>
        <w:spacing w:line="360" w:lineRule="auto"/>
        <w:rPr>
          <w:rFonts w:hint="eastAsia" w:ascii="宋体" w:hAnsi="宋体" w:eastAsia="宋体" w:cs="宋体"/>
          <w:color w:val="auto"/>
          <w:sz w:val="24"/>
          <w:szCs w:val="24"/>
        </w:rPr>
      </w:pPr>
      <w:r>
        <w:fldChar w:fldCharType="begin"/>
      </w:r>
      <w:r>
        <w:instrText xml:space="preserve"> HYPERLINK \l "_Toc3792" </w:instrText>
      </w:r>
      <w:r>
        <w:fldChar w:fldCharType="separate"/>
      </w:r>
      <w:r>
        <w:rPr>
          <w:rFonts w:hint="eastAsia" w:ascii="宋体" w:hAnsi="宋体" w:eastAsia="宋体" w:cs="宋体"/>
          <w:color w:val="auto"/>
          <w:sz w:val="24"/>
          <w:szCs w:val="24"/>
        </w:rPr>
        <w:t>第</w:t>
      </w:r>
      <w:r>
        <w:rPr>
          <w:rFonts w:hint="eastAsia" w:ascii="宋体" w:hAnsi="宋体" w:eastAsia="宋体" w:cs="宋体"/>
          <w:color w:val="auto"/>
          <w:sz w:val="24"/>
          <w:szCs w:val="24"/>
          <w:lang w:eastAsia="zh-CN"/>
        </w:rPr>
        <w:t>五</w:t>
      </w:r>
      <w:r>
        <w:rPr>
          <w:rFonts w:hint="eastAsia" w:ascii="宋体" w:hAnsi="宋体" w:eastAsia="宋体" w:cs="宋体"/>
          <w:color w:val="auto"/>
          <w:sz w:val="24"/>
          <w:szCs w:val="24"/>
        </w:rPr>
        <w:t>章  拟签订的合同文本</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_Toc3792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65</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14:paraId="3369FE13">
      <w:pPr>
        <w:pStyle w:val="25"/>
        <w:tabs>
          <w:tab w:val="right" w:leader="dot" w:pos="8567"/>
        </w:tabs>
        <w:spacing w:line="360" w:lineRule="auto"/>
        <w:rPr>
          <w:rFonts w:hint="eastAsia" w:ascii="宋体" w:hAnsi="宋体" w:eastAsia="宋体" w:cs="宋体"/>
          <w:color w:val="auto"/>
          <w:sz w:val="24"/>
          <w:szCs w:val="24"/>
        </w:rPr>
      </w:pPr>
      <w:r>
        <w:fldChar w:fldCharType="begin"/>
      </w:r>
      <w:r>
        <w:instrText xml:space="preserve"> HYPERLINK \l "_Toc12965" </w:instrText>
      </w:r>
      <w:r>
        <w:fldChar w:fldCharType="separate"/>
      </w:r>
      <w:r>
        <w:rPr>
          <w:rFonts w:hint="eastAsia" w:ascii="宋体" w:hAnsi="宋体" w:eastAsia="宋体" w:cs="宋体"/>
          <w:color w:val="auto"/>
          <w:spacing w:val="-9"/>
          <w:sz w:val="24"/>
          <w:szCs w:val="24"/>
        </w:rPr>
        <w:t>附件1：政府采购促进中小企业发展管理办法</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_Toc12965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70</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14:paraId="0444EDBB">
      <w:pPr>
        <w:pStyle w:val="25"/>
        <w:tabs>
          <w:tab w:val="right" w:leader="dot" w:pos="8567"/>
        </w:tabs>
        <w:spacing w:line="360" w:lineRule="auto"/>
        <w:rPr>
          <w:rFonts w:hint="eastAsia" w:ascii="宋体" w:hAnsi="宋体" w:eastAsia="宋体" w:cs="宋体"/>
          <w:color w:val="auto"/>
          <w:sz w:val="24"/>
          <w:szCs w:val="24"/>
        </w:rPr>
      </w:pPr>
      <w:r>
        <w:fldChar w:fldCharType="begin"/>
      </w:r>
      <w:r>
        <w:instrText xml:space="preserve"> HYPERLINK \l "_Toc6728" </w:instrText>
      </w:r>
      <w:r>
        <w:fldChar w:fldCharType="separate"/>
      </w:r>
      <w:r>
        <w:rPr>
          <w:rFonts w:hint="eastAsia" w:ascii="宋体" w:hAnsi="宋体" w:eastAsia="宋体" w:cs="宋体"/>
          <w:color w:val="auto"/>
          <w:spacing w:val="-9"/>
          <w:sz w:val="24"/>
          <w:szCs w:val="24"/>
        </w:rPr>
        <w:t>附件2：关于进一步加大政府采购支持中小企业力度的通知</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_Toc6728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78</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14:paraId="6360D5B4">
      <w:pPr>
        <w:pStyle w:val="25"/>
        <w:tabs>
          <w:tab w:val="right" w:leader="dot" w:pos="8567"/>
        </w:tabs>
        <w:spacing w:line="360" w:lineRule="auto"/>
        <w:rPr>
          <w:rFonts w:hint="eastAsia" w:ascii="宋体" w:hAnsi="宋体" w:eastAsia="宋体" w:cs="宋体"/>
          <w:color w:val="auto"/>
          <w:sz w:val="24"/>
          <w:szCs w:val="24"/>
        </w:rPr>
      </w:pPr>
      <w:r>
        <w:fldChar w:fldCharType="begin"/>
      </w:r>
      <w:r>
        <w:instrText xml:space="preserve"> HYPERLINK \l "_Toc21105" </w:instrText>
      </w:r>
      <w:r>
        <w:fldChar w:fldCharType="separate"/>
      </w:r>
      <w:r>
        <w:rPr>
          <w:rFonts w:hint="eastAsia" w:ascii="宋体" w:hAnsi="宋体" w:eastAsia="宋体" w:cs="宋体"/>
          <w:color w:val="auto"/>
          <w:spacing w:val="-9"/>
          <w:sz w:val="24"/>
          <w:szCs w:val="24"/>
        </w:rPr>
        <w:t>附件3：关于印发中小企业划型标准规定的通知</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_Toc21105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80</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14:paraId="14F35221">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end"/>
      </w:r>
    </w:p>
    <w:p w14:paraId="55A27981">
      <w:pPr>
        <w:rPr>
          <w:rFonts w:hint="eastAsia" w:ascii="宋体" w:hAnsi="宋体" w:eastAsia="宋体" w:cs="宋体"/>
          <w:color w:val="auto"/>
          <w:sz w:val="24"/>
          <w:szCs w:val="24"/>
        </w:rPr>
      </w:pPr>
    </w:p>
    <w:p w14:paraId="551C2892">
      <w:pPr>
        <w:rPr>
          <w:rFonts w:hint="eastAsia" w:ascii="宋体" w:hAnsi="宋体" w:eastAsia="宋体" w:cs="宋体"/>
          <w:color w:val="auto"/>
          <w:sz w:val="24"/>
          <w:szCs w:val="24"/>
        </w:rPr>
      </w:pPr>
    </w:p>
    <w:p w14:paraId="344D59A8">
      <w:pPr>
        <w:rPr>
          <w:rFonts w:hint="eastAsia" w:ascii="宋体" w:hAnsi="宋体" w:eastAsia="宋体" w:cs="宋体"/>
          <w:color w:val="auto"/>
          <w:sz w:val="24"/>
          <w:szCs w:val="24"/>
        </w:rPr>
      </w:pPr>
    </w:p>
    <w:p w14:paraId="16755C19">
      <w:pPr>
        <w:rPr>
          <w:rFonts w:hint="eastAsia" w:ascii="宋体" w:hAnsi="宋体" w:eastAsia="宋体" w:cs="宋体"/>
          <w:color w:val="auto"/>
          <w:sz w:val="24"/>
          <w:szCs w:val="24"/>
        </w:rPr>
      </w:pPr>
    </w:p>
    <w:p w14:paraId="2F5AEB4C">
      <w:pPr>
        <w:tabs>
          <w:tab w:val="left" w:pos="2433"/>
        </w:tabs>
        <w:rPr>
          <w:rFonts w:hint="eastAsia" w:ascii="宋体" w:hAnsi="宋体" w:eastAsia="宋体" w:cs="宋体"/>
          <w:color w:val="auto"/>
          <w:sz w:val="24"/>
          <w:szCs w:val="24"/>
          <w:lang w:eastAsia="zh-CN"/>
        </w:rPr>
        <w:sectPr>
          <w:pgSz w:w="11906" w:h="16839"/>
          <w:pgMar w:top="1429" w:right="1553" w:bottom="1378" w:left="1786" w:header="907" w:footer="0" w:gutter="0"/>
          <w:cols w:space="720" w:num="1"/>
        </w:sectPr>
      </w:pPr>
      <w:r>
        <w:rPr>
          <w:rFonts w:hint="eastAsia" w:ascii="宋体" w:hAnsi="宋体" w:eastAsia="宋体" w:cs="宋体"/>
          <w:color w:val="auto"/>
          <w:sz w:val="24"/>
          <w:szCs w:val="24"/>
          <w:lang w:eastAsia="zh-CN"/>
        </w:rPr>
        <w:tab/>
      </w:r>
    </w:p>
    <w:p w14:paraId="4E018FA3">
      <w:pPr>
        <w:spacing w:line="354" w:lineRule="auto"/>
        <w:rPr>
          <w:rFonts w:hint="eastAsia" w:ascii="宋体" w:hAnsi="宋体" w:eastAsia="宋体" w:cs="宋体"/>
          <w:color w:val="auto"/>
          <w:sz w:val="24"/>
          <w:szCs w:val="24"/>
        </w:rPr>
      </w:pPr>
    </w:p>
    <w:p w14:paraId="2CF02F91">
      <w:pPr>
        <w:pStyle w:val="11"/>
        <w:spacing w:before="78" w:line="218" w:lineRule="auto"/>
        <w:jc w:val="center"/>
        <w:outlineLvl w:val="0"/>
        <w:rPr>
          <w:rFonts w:hint="eastAsia"/>
          <w:color w:val="auto"/>
          <w:lang w:eastAsia="zh-CN"/>
        </w:rPr>
      </w:pPr>
      <w:bookmarkStart w:id="0" w:name="bookmark1"/>
      <w:bookmarkEnd w:id="0"/>
      <w:bookmarkStart w:id="1" w:name="_Toc7179"/>
      <w:bookmarkStart w:id="2" w:name="_Toc13145"/>
      <w:r>
        <w:rPr>
          <w:rFonts w:hint="eastAsia"/>
          <w:color w:val="auto"/>
          <w:lang w:eastAsia="zh-CN"/>
        </w:rPr>
        <w:t>招标公告</w:t>
      </w:r>
      <w:bookmarkEnd w:id="1"/>
      <w:bookmarkEnd w:id="2"/>
    </w:p>
    <w:p w14:paraId="155D8EDE">
      <w:pPr>
        <w:pStyle w:val="11"/>
        <w:spacing w:before="186" w:line="353" w:lineRule="auto"/>
        <w:ind w:left="1" w:right="99" w:firstLine="483"/>
        <w:jc w:val="both"/>
        <w:rPr>
          <w:rFonts w:hint="eastAsia"/>
          <w:color w:val="auto"/>
          <w:lang w:eastAsia="zh-CN"/>
        </w:rPr>
      </w:pPr>
      <w:r>
        <w:rPr>
          <w:rFonts w:hint="eastAsia"/>
          <w:color w:val="auto"/>
          <w:lang w:eastAsia="zh-CN"/>
        </w:rPr>
        <w:t>受(采购人)</w:t>
      </w:r>
      <w:r>
        <w:rPr>
          <w:rFonts w:hint="eastAsia"/>
          <w:color w:val="auto"/>
          <w:u w:val="single"/>
          <w:lang w:eastAsia="zh-CN"/>
        </w:rPr>
        <w:t>新疆维吾尔自治区昌吉某单位</w:t>
      </w:r>
      <w:r>
        <w:rPr>
          <w:rFonts w:hint="eastAsia"/>
          <w:color w:val="auto"/>
          <w:lang w:eastAsia="zh-CN"/>
        </w:rPr>
        <w:t>委托</w:t>
      </w:r>
      <w:r>
        <w:rPr>
          <w:rFonts w:hint="eastAsia"/>
          <w:color w:val="auto"/>
          <w:spacing w:val="-55"/>
          <w:lang w:eastAsia="zh-CN"/>
        </w:rPr>
        <w:t>，（</w:t>
      </w:r>
      <w:r>
        <w:rPr>
          <w:rFonts w:hint="eastAsia"/>
          <w:color w:val="auto"/>
          <w:lang w:eastAsia="zh-CN"/>
        </w:rPr>
        <w:t>采购代理机构）</w:t>
      </w:r>
      <w:r>
        <w:rPr>
          <w:rFonts w:hint="eastAsia"/>
          <w:color w:val="auto"/>
          <w:u w:val="single"/>
          <w:lang w:eastAsia="zh-CN"/>
        </w:rPr>
        <w:t>新疆金正建设工程管理有限公司</w:t>
      </w:r>
      <w:r>
        <w:rPr>
          <w:rFonts w:hint="eastAsia"/>
          <w:color w:val="auto"/>
          <w:lang w:eastAsia="zh-CN"/>
        </w:rPr>
        <w:t>对项目</w:t>
      </w:r>
      <w:r>
        <w:rPr>
          <w:rFonts w:hint="eastAsia"/>
          <w:color w:val="auto"/>
          <w:spacing w:val="-2"/>
          <w:lang w:eastAsia="zh-CN"/>
        </w:rPr>
        <w:t>编号：</w:t>
      </w:r>
      <w:r>
        <w:rPr>
          <w:rFonts w:hint="eastAsia"/>
          <w:color w:val="auto"/>
          <w:spacing w:val="-2"/>
          <w:u w:val="single"/>
          <w:lang w:eastAsia="zh-CN"/>
        </w:rPr>
        <w:t>金采招字【2026】XJJZC-067</w:t>
      </w:r>
      <w:r>
        <w:rPr>
          <w:rFonts w:hint="eastAsia"/>
          <w:color w:val="auto"/>
          <w:spacing w:val="-2"/>
          <w:highlight w:val="none"/>
          <w:lang w:eastAsia="zh-CN"/>
        </w:rPr>
        <w:t>，</w:t>
      </w:r>
      <w:r>
        <w:rPr>
          <w:rFonts w:hint="eastAsia"/>
          <w:color w:val="auto"/>
          <w:spacing w:val="-2"/>
          <w:lang w:eastAsia="zh-CN"/>
        </w:rPr>
        <w:t>项目名称：</w:t>
      </w:r>
      <w:r>
        <w:rPr>
          <w:rFonts w:hint="eastAsia"/>
          <w:color w:val="auto"/>
          <w:spacing w:val="-2"/>
          <w:u w:val="single"/>
          <w:lang w:eastAsia="zh-CN"/>
        </w:rPr>
        <w:t>新疆维吾尔自治区昌吉某单位大厅维修保养项目</w:t>
      </w:r>
      <w:r>
        <w:rPr>
          <w:rFonts w:hint="eastAsia"/>
          <w:color w:val="auto"/>
          <w:spacing w:val="-3"/>
          <w:lang w:eastAsia="zh-CN"/>
        </w:rPr>
        <w:t>进行（采购方式）</w:t>
      </w:r>
      <w:r>
        <w:rPr>
          <w:rFonts w:hint="eastAsia"/>
          <w:color w:val="auto"/>
          <w:spacing w:val="-3"/>
          <w:u w:val="single"/>
          <w:lang w:eastAsia="zh-CN"/>
        </w:rPr>
        <w:t>公开招标</w:t>
      </w:r>
      <w:r>
        <w:rPr>
          <w:rFonts w:hint="eastAsia"/>
          <w:color w:val="auto"/>
          <w:spacing w:val="-3"/>
          <w:lang w:eastAsia="zh-CN"/>
        </w:rPr>
        <w:t>，现欢迎</w:t>
      </w:r>
      <w:r>
        <w:rPr>
          <w:rFonts w:hint="eastAsia"/>
          <w:color w:val="auto"/>
          <w:spacing w:val="-1"/>
          <w:lang w:eastAsia="zh-CN"/>
        </w:rPr>
        <w:t>合格的供应商前来参加。</w:t>
      </w:r>
    </w:p>
    <w:p w14:paraId="413E8F2C">
      <w:pPr>
        <w:pStyle w:val="86"/>
        <w:widowControl/>
        <w:adjustRightInd/>
        <w:spacing w:line="360" w:lineRule="auto"/>
        <w:jc w:val="left"/>
        <w:textAlignment w:val="auto"/>
        <w:rPr>
          <w:rFonts w:hint="eastAsia" w:hAnsi="宋体" w:cs="宋体"/>
          <w:sz w:val="24"/>
          <w:szCs w:val="24"/>
          <w:u w:val="single"/>
        </w:rPr>
      </w:pPr>
      <w:bookmarkStart w:id="3" w:name="_Toc28359079"/>
      <w:bookmarkStart w:id="4" w:name="_Toc35393790"/>
      <w:bookmarkStart w:id="5" w:name="_Toc28359002"/>
      <w:bookmarkStart w:id="6" w:name="_Toc35393621"/>
      <w:r>
        <w:rPr>
          <w:rFonts w:hint="eastAsia" w:hAnsi="宋体" w:cs="宋体"/>
          <w:b/>
          <w:bCs/>
          <w:sz w:val="24"/>
          <w:szCs w:val="24"/>
        </w:rPr>
        <w:t>一、项目基本情况</w:t>
      </w:r>
      <w:bookmarkEnd w:id="3"/>
      <w:bookmarkEnd w:id="4"/>
      <w:bookmarkEnd w:id="5"/>
      <w:bookmarkEnd w:id="6"/>
    </w:p>
    <w:p w14:paraId="1807717D">
      <w:pPr>
        <w:pStyle w:val="11"/>
        <w:spacing w:before="186" w:line="353" w:lineRule="auto"/>
        <w:ind w:left="0" w:leftChars="0" w:right="99" w:firstLine="0" w:firstLineChars="0"/>
        <w:jc w:val="both"/>
        <w:rPr>
          <w:rFonts w:hint="eastAsia"/>
          <w:color w:val="auto"/>
          <w:u w:val="none"/>
          <w:lang w:eastAsia="zh-CN"/>
        </w:rPr>
      </w:pPr>
      <w:r>
        <w:rPr>
          <w:rFonts w:hint="eastAsia"/>
          <w:color w:val="auto"/>
          <w:u w:val="none"/>
          <w:lang w:eastAsia="zh-CN"/>
        </w:rPr>
        <w:t>1.项目编号：金采招字【2026】XJJZC-067</w:t>
      </w:r>
    </w:p>
    <w:p w14:paraId="70998E77">
      <w:pPr>
        <w:pStyle w:val="11"/>
        <w:spacing w:before="186" w:line="353" w:lineRule="auto"/>
        <w:ind w:left="0" w:leftChars="0" w:right="99" w:firstLine="0" w:firstLineChars="0"/>
        <w:jc w:val="both"/>
        <w:rPr>
          <w:rFonts w:hint="eastAsia"/>
          <w:color w:val="auto"/>
          <w:u w:val="none"/>
          <w:lang w:eastAsia="zh-CN"/>
        </w:rPr>
      </w:pPr>
      <w:r>
        <w:rPr>
          <w:rFonts w:hint="eastAsia"/>
          <w:color w:val="auto"/>
          <w:u w:val="none"/>
          <w:lang w:eastAsia="zh-CN"/>
        </w:rPr>
        <w:t>2.项目名称：新疆维吾尔自治区昌吉某单位大厅维修保养项目</w:t>
      </w:r>
    </w:p>
    <w:p w14:paraId="4DFB6510">
      <w:pPr>
        <w:pStyle w:val="11"/>
        <w:spacing w:before="186" w:line="353" w:lineRule="auto"/>
        <w:ind w:left="0" w:leftChars="0" w:right="99" w:firstLine="0" w:firstLineChars="0"/>
        <w:jc w:val="both"/>
        <w:rPr>
          <w:rFonts w:hint="eastAsia"/>
          <w:color w:val="auto"/>
          <w:u w:val="none"/>
          <w:lang w:eastAsia="zh-CN"/>
        </w:rPr>
      </w:pPr>
      <w:r>
        <w:rPr>
          <w:rFonts w:hint="eastAsia"/>
          <w:color w:val="auto"/>
          <w:u w:val="none"/>
          <w:lang w:eastAsia="zh-CN"/>
        </w:rPr>
        <w:t>3.预算金额：</w:t>
      </w:r>
      <w:r>
        <w:rPr>
          <w:rFonts w:hint="eastAsia"/>
          <w:color w:val="auto"/>
          <w:u w:val="none"/>
          <w:lang w:val="en-US" w:eastAsia="zh-CN"/>
        </w:rPr>
        <w:t>1970000</w:t>
      </w:r>
      <w:r>
        <w:rPr>
          <w:rFonts w:hint="eastAsia"/>
          <w:color w:val="auto"/>
          <w:u w:val="none"/>
          <w:lang w:eastAsia="zh-CN"/>
        </w:rPr>
        <w:t>元；</w:t>
      </w:r>
    </w:p>
    <w:p w14:paraId="5D995EA7">
      <w:pPr>
        <w:pStyle w:val="11"/>
        <w:spacing w:before="186" w:line="353" w:lineRule="auto"/>
        <w:ind w:left="0" w:leftChars="0" w:right="99" w:firstLine="0" w:firstLineChars="0"/>
        <w:jc w:val="both"/>
        <w:rPr>
          <w:rFonts w:hint="default"/>
          <w:color w:val="auto"/>
          <w:highlight w:val="none"/>
          <w:u w:val="none"/>
          <w:lang w:val="en-US" w:eastAsia="zh-CN"/>
        </w:rPr>
      </w:pPr>
      <w:r>
        <w:rPr>
          <w:rFonts w:hint="eastAsia"/>
          <w:color w:val="auto"/>
          <w:u w:val="none"/>
          <w:lang w:eastAsia="zh-CN"/>
        </w:rPr>
        <w:t>4.服务范围：新疆维吾尔自治区昌吉某单位大厅维修保养项</w:t>
      </w:r>
      <w:r>
        <w:rPr>
          <w:rFonts w:hint="eastAsia"/>
          <w:color w:val="auto"/>
          <w:highlight w:val="none"/>
          <w:u w:val="none"/>
          <w:lang w:eastAsia="zh-CN"/>
        </w:rPr>
        <w:t>目，</w:t>
      </w:r>
      <w:r>
        <w:rPr>
          <w:rFonts w:hint="eastAsia"/>
          <w:color w:val="auto"/>
          <w:highlight w:val="none"/>
          <w:u w:val="none"/>
          <w:lang w:val="en-US" w:eastAsia="zh-CN"/>
        </w:rPr>
        <w:t>详见第三章服务需求。</w:t>
      </w:r>
    </w:p>
    <w:p w14:paraId="6402710F">
      <w:pPr>
        <w:pStyle w:val="11"/>
        <w:spacing w:before="186" w:line="353" w:lineRule="auto"/>
        <w:ind w:left="0" w:leftChars="0" w:right="99" w:firstLine="0" w:firstLineChars="0"/>
        <w:jc w:val="both"/>
        <w:rPr>
          <w:rFonts w:hint="default"/>
          <w:color w:val="auto"/>
          <w:u w:val="none"/>
          <w:lang w:val="en-US" w:eastAsia="zh-CN"/>
        </w:rPr>
      </w:pPr>
      <w:r>
        <w:rPr>
          <w:rFonts w:hint="eastAsia"/>
          <w:color w:val="auto"/>
          <w:u w:val="none"/>
          <w:lang w:eastAsia="zh-CN"/>
        </w:rPr>
        <w:t>5.服务期：</w:t>
      </w:r>
      <w:r>
        <w:rPr>
          <w:rFonts w:hint="eastAsia" w:ascii="宋体" w:hAnsi="宋体" w:eastAsia="宋体" w:cs="宋体"/>
          <w:color w:val="auto"/>
          <w:sz w:val="24"/>
          <w:szCs w:val="24"/>
          <w:lang w:val="en-US" w:eastAsia="zh-CN"/>
        </w:rPr>
        <w:t>合同签订之日起</w:t>
      </w:r>
      <w:r>
        <w:rPr>
          <w:rFonts w:hint="eastAsia" w:cs="宋体"/>
          <w:color w:val="auto"/>
          <w:sz w:val="24"/>
          <w:szCs w:val="24"/>
          <w:lang w:val="en-US" w:eastAsia="zh-CN"/>
        </w:rPr>
        <w:t>30</w:t>
      </w:r>
      <w:r>
        <w:rPr>
          <w:rFonts w:hint="eastAsia" w:ascii="宋体" w:hAnsi="宋体" w:eastAsia="宋体" w:cs="宋体"/>
          <w:color w:val="auto"/>
          <w:sz w:val="24"/>
          <w:szCs w:val="24"/>
          <w:lang w:val="en-US" w:eastAsia="zh-CN"/>
        </w:rPr>
        <w:t>天内完成相关维护保养内容。</w:t>
      </w:r>
    </w:p>
    <w:p w14:paraId="4CB83F50">
      <w:pPr>
        <w:pStyle w:val="11"/>
        <w:spacing w:before="186" w:line="353" w:lineRule="auto"/>
        <w:ind w:left="0" w:leftChars="0" w:right="99" w:firstLine="0" w:firstLineChars="0"/>
        <w:jc w:val="both"/>
        <w:rPr>
          <w:rFonts w:hint="eastAsia"/>
          <w:color w:val="auto"/>
          <w:u w:val="none"/>
          <w:lang w:eastAsia="zh-CN"/>
        </w:rPr>
      </w:pPr>
      <w:r>
        <w:rPr>
          <w:rFonts w:hint="eastAsia"/>
          <w:color w:val="auto"/>
          <w:u w:val="none"/>
          <w:lang w:eastAsia="zh-CN"/>
        </w:rPr>
        <w:t>本项目（否）接受联合体投标。</w:t>
      </w:r>
    </w:p>
    <w:p w14:paraId="5361CB5C">
      <w:pPr>
        <w:adjustRightInd/>
        <w:snapToGrid/>
        <w:spacing w:line="560" w:lineRule="exact"/>
        <w:textAlignment w:val="auto"/>
        <w:rPr>
          <w:rFonts w:hint="eastAsia" w:ascii="宋体" w:hAnsi="宋体" w:eastAsia="宋体" w:cs="宋体"/>
          <w:color w:val="auto"/>
          <w:sz w:val="24"/>
          <w:szCs w:val="24"/>
          <w:lang w:eastAsia="zh-CN"/>
        </w:rPr>
      </w:pPr>
      <w:bookmarkStart w:id="7" w:name="_Toc35393622"/>
      <w:bookmarkStart w:id="8" w:name="_Toc35393791"/>
      <w:bookmarkStart w:id="9" w:name="_Toc28359080"/>
      <w:bookmarkStart w:id="10" w:name="_Toc28359003"/>
      <w:r>
        <w:rPr>
          <w:rFonts w:hint="eastAsia" w:ascii="宋体" w:hAnsi="宋体" w:eastAsia="宋体" w:cs="宋体"/>
          <w:b/>
          <w:bCs/>
          <w:color w:val="auto"/>
          <w:sz w:val="24"/>
          <w:szCs w:val="24"/>
          <w:lang w:eastAsia="zh-CN"/>
        </w:rPr>
        <w:t>二、申请人的资格要求</w:t>
      </w:r>
      <w:bookmarkEnd w:id="7"/>
      <w:bookmarkEnd w:id="8"/>
      <w:bookmarkEnd w:id="9"/>
      <w:bookmarkEnd w:id="10"/>
    </w:p>
    <w:p w14:paraId="69C36674">
      <w:pPr>
        <w:pStyle w:val="47"/>
        <w:widowControl/>
        <w:spacing w:line="360" w:lineRule="auto"/>
        <w:ind w:firstLine="240" w:firstLineChars="100"/>
        <w:jc w:val="left"/>
        <w:rPr>
          <w:rFonts w:hint="eastAsia" w:ascii="宋体" w:hAnsi="宋体" w:cs="宋体"/>
          <w:kern w:val="0"/>
          <w:sz w:val="24"/>
          <w:szCs w:val="24"/>
          <w:highlight w:val="none"/>
        </w:rPr>
      </w:pPr>
      <w:r>
        <w:rPr>
          <w:rFonts w:hint="eastAsia" w:ascii="宋体" w:hAnsi="宋体" w:cs="宋体"/>
          <w:kern w:val="0"/>
          <w:sz w:val="24"/>
          <w:szCs w:val="24"/>
        </w:rPr>
        <w:t>1.满足《中华人民共和国政府采购</w:t>
      </w:r>
      <w:r>
        <w:rPr>
          <w:rFonts w:hint="eastAsia" w:ascii="宋体" w:hAnsi="宋体" w:cs="宋体"/>
          <w:kern w:val="0"/>
          <w:sz w:val="24"/>
          <w:szCs w:val="24"/>
          <w:highlight w:val="none"/>
        </w:rPr>
        <w:t>法》第二十二条规定；</w:t>
      </w:r>
    </w:p>
    <w:p w14:paraId="083E6EC6">
      <w:pPr>
        <w:pStyle w:val="47"/>
        <w:widowControl/>
        <w:spacing w:line="360" w:lineRule="auto"/>
        <w:ind w:firstLine="240" w:firstLineChars="100"/>
        <w:jc w:val="left"/>
        <w:rPr>
          <w:rFonts w:hint="eastAsia" w:ascii="宋体" w:hAnsi="宋体" w:eastAsia="宋体" w:cs="宋体"/>
          <w:kern w:val="0"/>
          <w:sz w:val="24"/>
          <w:szCs w:val="24"/>
          <w:highlight w:val="none"/>
          <w:lang w:eastAsia="zh-CN"/>
        </w:rPr>
      </w:pPr>
      <w:r>
        <w:rPr>
          <w:rFonts w:hint="eastAsia" w:ascii="宋体" w:hAnsi="宋体" w:cs="宋体"/>
          <w:kern w:val="0"/>
          <w:sz w:val="24"/>
          <w:szCs w:val="24"/>
          <w:highlight w:val="none"/>
        </w:rPr>
        <w:t>2.落实政府采购政策需满足的资格要求：</w:t>
      </w:r>
      <w:r>
        <w:rPr>
          <w:rFonts w:hint="eastAsia" w:ascii="宋体" w:hAnsi="宋体" w:cs="宋体"/>
          <w:kern w:val="0"/>
          <w:sz w:val="24"/>
          <w:szCs w:val="24"/>
          <w:highlight w:val="none"/>
          <w:lang w:eastAsia="zh-CN"/>
        </w:rPr>
        <w:t>本项目为专门面向小微企业采购项目。</w:t>
      </w:r>
    </w:p>
    <w:p w14:paraId="21D01BBF">
      <w:pPr>
        <w:pStyle w:val="47"/>
        <w:widowControl/>
        <w:spacing w:line="360" w:lineRule="auto"/>
        <w:ind w:firstLine="240" w:firstLineChars="100"/>
        <w:jc w:val="left"/>
        <w:rPr>
          <w:rFonts w:hint="eastAsia" w:ascii="宋体" w:hAnsi="宋体" w:eastAsia="宋体" w:cs="宋体"/>
          <w:kern w:val="0"/>
          <w:sz w:val="24"/>
          <w:szCs w:val="24"/>
          <w:highlight w:val="none"/>
          <w:lang w:val="en-US" w:eastAsia="zh-CN"/>
        </w:rPr>
      </w:pPr>
      <w:r>
        <w:rPr>
          <w:rFonts w:hint="eastAsia" w:ascii="宋体" w:hAnsi="宋体" w:cs="宋体"/>
          <w:kern w:val="0"/>
          <w:sz w:val="24"/>
          <w:szCs w:val="24"/>
          <w:highlight w:val="none"/>
        </w:rPr>
        <w:t>3.本项目的特定资格要求：</w:t>
      </w:r>
      <w:r>
        <w:rPr>
          <w:rFonts w:hint="eastAsia" w:ascii="宋体" w:hAnsi="宋体" w:cs="宋体"/>
          <w:kern w:val="0"/>
          <w:sz w:val="24"/>
          <w:szCs w:val="24"/>
          <w:highlight w:val="none"/>
          <w:lang w:val="en-US" w:eastAsia="zh-CN"/>
        </w:rPr>
        <w:t>无</w:t>
      </w:r>
    </w:p>
    <w:p w14:paraId="3A6F9910">
      <w:pPr>
        <w:pStyle w:val="86"/>
        <w:widowControl/>
        <w:adjustRightInd/>
        <w:spacing w:line="360" w:lineRule="auto"/>
        <w:jc w:val="left"/>
        <w:textAlignment w:val="auto"/>
        <w:rPr>
          <w:rFonts w:hint="eastAsia" w:hAnsi="宋体" w:cs="宋体"/>
          <w:sz w:val="24"/>
          <w:szCs w:val="24"/>
        </w:rPr>
      </w:pPr>
      <w:bookmarkStart w:id="11" w:name="_Toc35393623"/>
      <w:bookmarkStart w:id="12" w:name="_Toc35393792"/>
      <w:r>
        <w:rPr>
          <w:rFonts w:hint="eastAsia" w:hAnsi="宋体" w:cs="宋体"/>
          <w:b/>
          <w:bCs/>
          <w:sz w:val="24"/>
          <w:szCs w:val="24"/>
        </w:rPr>
        <w:t>三、获取</w:t>
      </w:r>
      <w:r>
        <w:rPr>
          <w:rFonts w:hint="eastAsia" w:hAnsi="宋体" w:cs="宋体"/>
          <w:b/>
          <w:bCs/>
          <w:sz w:val="24"/>
          <w:szCs w:val="24"/>
          <w:lang w:val="en-US" w:eastAsia="zh-CN"/>
        </w:rPr>
        <w:t>招标</w:t>
      </w:r>
      <w:r>
        <w:rPr>
          <w:rFonts w:hint="eastAsia" w:hAnsi="宋体" w:cs="宋体"/>
          <w:b/>
          <w:bCs/>
          <w:sz w:val="24"/>
          <w:szCs w:val="24"/>
        </w:rPr>
        <w:t>文件</w:t>
      </w:r>
      <w:bookmarkEnd w:id="11"/>
      <w:bookmarkEnd w:id="12"/>
      <w:r>
        <w:rPr>
          <w:rFonts w:hint="eastAsia" w:hAnsi="宋体" w:cs="宋体"/>
          <w:sz w:val="24"/>
          <w:szCs w:val="24"/>
        </w:rPr>
        <w:t xml:space="preserve"> </w:t>
      </w:r>
    </w:p>
    <w:p w14:paraId="664FC3CA">
      <w:pPr>
        <w:pStyle w:val="47"/>
        <w:widowControl/>
        <w:spacing w:line="360" w:lineRule="auto"/>
        <w:jc w:val="left"/>
        <w:rPr>
          <w:rFonts w:hint="eastAsia" w:ascii="宋体" w:hAnsi="宋体" w:cs="宋体"/>
          <w:kern w:val="0"/>
          <w:sz w:val="24"/>
          <w:szCs w:val="24"/>
        </w:rPr>
      </w:pPr>
      <w:r>
        <w:rPr>
          <w:rFonts w:hint="eastAsia" w:ascii="宋体" w:hAnsi="宋体" w:cs="宋体"/>
          <w:kern w:val="0"/>
          <w:sz w:val="24"/>
          <w:szCs w:val="24"/>
        </w:rPr>
        <w:t>时间：202</w:t>
      </w:r>
      <w:r>
        <w:rPr>
          <w:rFonts w:hint="eastAsia" w:ascii="宋体" w:hAnsi="宋体" w:cs="宋体"/>
          <w:kern w:val="0"/>
          <w:sz w:val="24"/>
          <w:szCs w:val="24"/>
          <w:lang w:val="en-US" w:eastAsia="zh-CN"/>
        </w:rPr>
        <w:t>6</w:t>
      </w:r>
      <w:r>
        <w:rPr>
          <w:rFonts w:hint="eastAsia" w:ascii="宋体" w:hAnsi="宋体" w:cs="宋体"/>
          <w:kern w:val="0"/>
          <w:sz w:val="24"/>
          <w:szCs w:val="24"/>
          <w:highlight w:val="none"/>
        </w:rPr>
        <w:t>年</w:t>
      </w:r>
      <w:r>
        <w:rPr>
          <w:rFonts w:hint="eastAsia" w:ascii="宋体" w:hAnsi="宋体" w:cs="宋体"/>
          <w:kern w:val="0"/>
          <w:sz w:val="24"/>
          <w:szCs w:val="24"/>
          <w:highlight w:val="none"/>
          <w:lang w:val="en-US" w:eastAsia="zh-CN"/>
        </w:rPr>
        <w:t>06</w:t>
      </w:r>
      <w:r>
        <w:rPr>
          <w:rFonts w:hint="eastAsia" w:ascii="宋体" w:hAnsi="宋体" w:cs="宋体"/>
          <w:kern w:val="0"/>
          <w:sz w:val="24"/>
          <w:szCs w:val="24"/>
          <w:highlight w:val="none"/>
        </w:rPr>
        <w:t>月</w:t>
      </w:r>
      <w:r>
        <w:rPr>
          <w:rFonts w:hint="eastAsia" w:ascii="宋体" w:hAnsi="宋体" w:cs="宋体"/>
          <w:kern w:val="0"/>
          <w:sz w:val="24"/>
          <w:szCs w:val="24"/>
          <w:highlight w:val="none"/>
          <w:lang w:val="en-US" w:eastAsia="zh-CN"/>
        </w:rPr>
        <w:t>03</w:t>
      </w:r>
      <w:r>
        <w:rPr>
          <w:rFonts w:hint="eastAsia" w:ascii="宋体" w:hAnsi="宋体" w:cs="宋体"/>
          <w:kern w:val="0"/>
          <w:sz w:val="24"/>
          <w:szCs w:val="24"/>
          <w:highlight w:val="none"/>
        </w:rPr>
        <w:t>日至20</w:t>
      </w:r>
      <w:r>
        <w:rPr>
          <w:rFonts w:hint="eastAsia" w:ascii="宋体" w:hAnsi="宋体" w:cs="宋体"/>
          <w:kern w:val="0"/>
          <w:sz w:val="24"/>
          <w:szCs w:val="24"/>
        </w:rPr>
        <w:t>2</w:t>
      </w:r>
      <w:r>
        <w:rPr>
          <w:rFonts w:hint="eastAsia" w:ascii="宋体" w:hAnsi="宋体" w:cs="宋体"/>
          <w:kern w:val="0"/>
          <w:sz w:val="24"/>
          <w:szCs w:val="24"/>
          <w:lang w:val="en-US" w:eastAsia="zh-CN"/>
        </w:rPr>
        <w:t>6</w:t>
      </w:r>
      <w:r>
        <w:rPr>
          <w:rFonts w:hint="eastAsia" w:ascii="宋体" w:hAnsi="宋体" w:cs="宋体"/>
          <w:kern w:val="0"/>
          <w:sz w:val="24"/>
          <w:szCs w:val="24"/>
        </w:rPr>
        <w:t>年</w:t>
      </w:r>
      <w:r>
        <w:rPr>
          <w:rFonts w:hint="eastAsia" w:ascii="宋体" w:hAnsi="宋体" w:cs="宋体"/>
          <w:kern w:val="0"/>
          <w:sz w:val="24"/>
          <w:szCs w:val="24"/>
          <w:lang w:val="en-US" w:eastAsia="zh-CN"/>
        </w:rPr>
        <w:t>06</w:t>
      </w:r>
      <w:r>
        <w:rPr>
          <w:rFonts w:hint="eastAsia" w:ascii="宋体" w:hAnsi="宋体" w:cs="宋体"/>
          <w:kern w:val="0"/>
          <w:sz w:val="24"/>
          <w:szCs w:val="24"/>
          <w:lang w:eastAsia="zh-CN"/>
        </w:rPr>
        <w:t>月</w:t>
      </w:r>
      <w:r>
        <w:rPr>
          <w:rFonts w:hint="eastAsia" w:ascii="宋体" w:hAnsi="宋体" w:cs="宋体"/>
          <w:kern w:val="0"/>
          <w:sz w:val="24"/>
          <w:szCs w:val="24"/>
          <w:lang w:val="en-US" w:eastAsia="zh-CN"/>
        </w:rPr>
        <w:t>10</w:t>
      </w:r>
      <w:r>
        <w:rPr>
          <w:rFonts w:hint="eastAsia" w:ascii="宋体" w:hAnsi="宋体" w:cs="宋体"/>
          <w:kern w:val="0"/>
          <w:sz w:val="24"/>
          <w:szCs w:val="24"/>
          <w:lang w:eastAsia="zh-CN"/>
        </w:rPr>
        <w:t>日</w:t>
      </w:r>
      <w:r>
        <w:rPr>
          <w:rFonts w:hint="eastAsia" w:ascii="宋体" w:hAnsi="宋体" w:cs="宋体"/>
          <w:kern w:val="0"/>
          <w:sz w:val="24"/>
          <w:szCs w:val="24"/>
        </w:rPr>
        <w:t>，每天上午00:00至23：59（北京时间，线上获取法定节假日均可）；</w:t>
      </w:r>
    </w:p>
    <w:p w14:paraId="1D171971">
      <w:pPr>
        <w:pStyle w:val="47"/>
        <w:widowControl/>
        <w:spacing w:line="360" w:lineRule="auto"/>
        <w:jc w:val="left"/>
        <w:rPr>
          <w:rFonts w:hint="eastAsia" w:ascii="宋体" w:hAnsi="宋体" w:cs="宋体"/>
          <w:kern w:val="0"/>
          <w:sz w:val="24"/>
          <w:szCs w:val="24"/>
        </w:rPr>
      </w:pPr>
      <w:r>
        <w:rPr>
          <w:rFonts w:hint="eastAsia" w:ascii="宋体" w:hAnsi="宋体" w:cs="宋体"/>
          <w:kern w:val="0"/>
          <w:sz w:val="24"/>
          <w:szCs w:val="24"/>
        </w:rPr>
        <w:t>地点：供应商登录政采云平台http://www.zcygov.cn/，在线申请获取招标文件（登录政府采购云平台→项目采购→获取招标文件→申请即可下载招标文件，如有操作性问题，可与政采云在线客服进行咨询，咨询电话：95763）。</w:t>
      </w:r>
    </w:p>
    <w:p w14:paraId="1A37BD99">
      <w:pPr>
        <w:pStyle w:val="47"/>
        <w:widowControl/>
        <w:spacing w:line="360" w:lineRule="auto"/>
        <w:jc w:val="left"/>
        <w:rPr>
          <w:rFonts w:hint="eastAsia" w:ascii="宋体" w:hAnsi="宋体" w:cs="宋体"/>
          <w:kern w:val="0"/>
          <w:sz w:val="24"/>
          <w:szCs w:val="24"/>
        </w:rPr>
      </w:pPr>
      <w:r>
        <w:rPr>
          <w:rFonts w:hint="eastAsia" w:ascii="宋体" w:hAnsi="宋体" w:cs="宋体"/>
          <w:kern w:val="0"/>
          <w:sz w:val="24"/>
          <w:szCs w:val="24"/>
        </w:rPr>
        <w:t>方式：供应商登录</w:t>
      </w:r>
      <w:r>
        <w:rPr>
          <w:rFonts w:hint="eastAsia" w:ascii="宋体" w:hAnsi="宋体" w:cs="宋体"/>
          <w:kern w:val="0"/>
          <w:sz w:val="24"/>
          <w:szCs w:val="24"/>
          <w:lang w:eastAsia="zh-CN"/>
        </w:rPr>
        <w:t>政采云平台（https://www.zcygov.cn/）</w:t>
      </w:r>
      <w:r>
        <w:rPr>
          <w:rFonts w:hint="eastAsia" w:ascii="宋体" w:hAnsi="宋体" w:cs="宋体"/>
          <w:kern w:val="0"/>
          <w:sz w:val="24"/>
          <w:szCs w:val="24"/>
        </w:rPr>
        <w:t>在线申请获取招标文件（登录政府采购云平台→项目采购→获取招标文件→下载招标文件）</w:t>
      </w:r>
    </w:p>
    <w:p w14:paraId="67715D3D">
      <w:pPr>
        <w:pStyle w:val="47"/>
        <w:widowControl/>
        <w:spacing w:line="360" w:lineRule="auto"/>
        <w:jc w:val="left"/>
        <w:rPr>
          <w:rFonts w:hint="eastAsia" w:ascii="宋体" w:hAnsi="宋体" w:cs="宋体"/>
          <w:kern w:val="0"/>
          <w:sz w:val="24"/>
          <w:szCs w:val="24"/>
        </w:rPr>
      </w:pPr>
      <w:r>
        <w:rPr>
          <w:rFonts w:hint="eastAsia" w:ascii="宋体" w:hAnsi="宋体" w:cs="宋体"/>
          <w:kern w:val="0"/>
          <w:sz w:val="24"/>
          <w:szCs w:val="24"/>
        </w:rPr>
        <w:t>售价：免费获取</w:t>
      </w:r>
    </w:p>
    <w:p w14:paraId="0312D205">
      <w:pPr>
        <w:adjustRightInd/>
        <w:snapToGrid/>
        <w:spacing w:line="560" w:lineRule="exact"/>
        <w:textAlignment w:val="auto"/>
        <w:rPr>
          <w:rFonts w:hint="eastAsia" w:ascii="宋体" w:hAnsi="宋体" w:eastAsia="宋体" w:cs="宋体"/>
          <w:b/>
          <w:bCs/>
          <w:color w:val="auto"/>
          <w:sz w:val="24"/>
          <w:szCs w:val="24"/>
          <w:lang w:eastAsia="zh-CN"/>
        </w:rPr>
      </w:pPr>
      <w:bookmarkStart w:id="13" w:name="_Toc28359005"/>
      <w:bookmarkStart w:id="14" w:name="_Toc28359082"/>
      <w:bookmarkStart w:id="15" w:name="_Toc35393793"/>
      <w:bookmarkStart w:id="16" w:name="_Toc35393624"/>
      <w:r>
        <w:rPr>
          <w:rFonts w:hint="eastAsia" w:ascii="宋体" w:hAnsi="宋体" w:eastAsia="宋体" w:cs="宋体"/>
          <w:b/>
          <w:bCs/>
          <w:color w:val="auto"/>
          <w:sz w:val="24"/>
          <w:szCs w:val="24"/>
          <w:lang w:eastAsia="zh-CN"/>
        </w:rPr>
        <w:t>四、提交</w:t>
      </w:r>
      <w:bookmarkEnd w:id="13"/>
      <w:bookmarkEnd w:id="14"/>
      <w:r>
        <w:rPr>
          <w:rFonts w:hint="eastAsia" w:ascii="宋体" w:hAnsi="宋体" w:eastAsia="宋体" w:cs="宋体"/>
          <w:b/>
          <w:bCs/>
          <w:color w:val="auto"/>
          <w:sz w:val="24"/>
          <w:szCs w:val="24"/>
          <w:lang w:eastAsia="zh-CN"/>
        </w:rPr>
        <w:t>响应文件截止时间、开标时间和地点</w:t>
      </w:r>
      <w:bookmarkEnd w:id="15"/>
      <w:bookmarkEnd w:id="16"/>
    </w:p>
    <w:p w14:paraId="040FA9AA">
      <w:pPr>
        <w:adjustRightInd/>
        <w:snapToGrid/>
        <w:spacing w:line="560" w:lineRule="exact"/>
        <w:ind w:firstLine="54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提交响应文件截止时间：</w:t>
      </w:r>
      <w:r>
        <w:rPr>
          <w:rFonts w:hint="eastAsia" w:ascii="宋体" w:hAnsi="宋体" w:eastAsia="宋体" w:cs="宋体"/>
          <w:color w:val="auto"/>
          <w:sz w:val="24"/>
          <w:szCs w:val="24"/>
          <w:u w:val="single"/>
          <w:lang w:eastAsia="zh-CN"/>
        </w:rPr>
        <w:t>202</w:t>
      </w:r>
      <w:r>
        <w:rPr>
          <w:rFonts w:hint="eastAsia" w:ascii="宋体" w:hAnsi="宋体" w:eastAsia="宋体" w:cs="宋体"/>
          <w:color w:val="auto"/>
          <w:sz w:val="24"/>
          <w:szCs w:val="24"/>
          <w:u w:val="single"/>
          <w:lang w:val="en-US" w:eastAsia="zh-CN"/>
        </w:rPr>
        <w:t>6</w:t>
      </w:r>
      <w:r>
        <w:rPr>
          <w:rFonts w:hint="eastAsia" w:ascii="宋体" w:hAnsi="宋体" w:eastAsia="宋体" w:cs="宋体"/>
          <w:bCs/>
          <w:color w:val="auto"/>
          <w:sz w:val="24"/>
          <w:szCs w:val="24"/>
          <w:u w:val="single"/>
          <w:lang w:eastAsia="zh-CN"/>
        </w:rPr>
        <w:t>年</w:t>
      </w:r>
      <w:r>
        <w:rPr>
          <w:rFonts w:hint="eastAsia" w:ascii="宋体" w:hAnsi="宋体" w:eastAsia="宋体" w:cs="宋体"/>
          <w:bCs/>
          <w:color w:val="auto"/>
          <w:sz w:val="24"/>
          <w:szCs w:val="24"/>
          <w:u w:val="single"/>
          <w:lang w:val="en-US" w:eastAsia="zh-CN"/>
        </w:rPr>
        <w:t>06</w:t>
      </w:r>
      <w:r>
        <w:rPr>
          <w:rFonts w:hint="eastAsia" w:ascii="宋体" w:hAnsi="宋体" w:eastAsia="宋体" w:cs="宋体"/>
          <w:bCs/>
          <w:color w:val="auto"/>
          <w:sz w:val="24"/>
          <w:szCs w:val="24"/>
          <w:u w:val="single"/>
          <w:lang w:eastAsia="zh-CN"/>
        </w:rPr>
        <w:t>月</w:t>
      </w:r>
      <w:r>
        <w:rPr>
          <w:rFonts w:hint="eastAsia" w:ascii="宋体" w:hAnsi="宋体" w:eastAsia="宋体" w:cs="宋体"/>
          <w:bCs/>
          <w:color w:val="auto"/>
          <w:sz w:val="24"/>
          <w:szCs w:val="24"/>
          <w:u w:val="single"/>
          <w:lang w:val="en-US" w:eastAsia="zh-CN"/>
        </w:rPr>
        <w:t>23</w:t>
      </w:r>
      <w:r>
        <w:rPr>
          <w:rFonts w:hint="eastAsia" w:ascii="宋体" w:hAnsi="宋体" w:eastAsia="宋体" w:cs="宋体"/>
          <w:bCs/>
          <w:color w:val="auto"/>
          <w:sz w:val="24"/>
          <w:szCs w:val="24"/>
          <w:u w:val="single"/>
          <w:lang w:eastAsia="zh-CN"/>
        </w:rPr>
        <w:t>日</w:t>
      </w:r>
      <w:r>
        <w:rPr>
          <w:rFonts w:hint="eastAsia" w:ascii="宋体" w:hAnsi="宋体" w:eastAsia="宋体" w:cs="宋体"/>
          <w:bCs/>
          <w:color w:val="auto"/>
          <w:sz w:val="24"/>
          <w:szCs w:val="24"/>
          <w:u w:val="single"/>
          <w:lang w:val="en-US" w:eastAsia="zh-CN"/>
        </w:rPr>
        <w:t>11</w:t>
      </w:r>
      <w:r>
        <w:rPr>
          <w:rFonts w:hint="eastAsia" w:ascii="宋体" w:hAnsi="宋体" w:eastAsia="宋体" w:cs="宋体"/>
          <w:bCs/>
          <w:color w:val="auto"/>
          <w:sz w:val="24"/>
          <w:szCs w:val="24"/>
          <w:u w:val="single"/>
          <w:lang w:eastAsia="zh-CN"/>
        </w:rPr>
        <w:t>点</w:t>
      </w:r>
      <w:r>
        <w:rPr>
          <w:rFonts w:hint="eastAsia" w:ascii="宋体" w:hAnsi="宋体" w:eastAsia="宋体" w:cs="宋体"/>
          <w:bCs/>
          <w:color w:val="auto"/>
          <w:sz w:val="24"/>
          <w:szCs w:val="24"/>
          <w:u w:val="single"/>
          <w:lang w:val="en-US" w:eastAsia="zh-CN"/>
        </w:rPr>
        <w:t>00</w:t>
      </w:r>
      <w:r>
        <w:rPr>
          <w:rFonts w:hint="eastAsia" w:ascii="宋体" w:hAnsi="宋体" w:eastAsia="宋体" w:cs="宋体"/>
          <w:bCs/>
          <w:color w:val="auto"/>
          <w:sz w:val="24"/>
          <w:szCs w:val="24"/>
          <w:u w:val="single"/>
          <w:lang w:eastAsia="zh-CN"/>
        </w:rPr>
        <w:t>分</w:t>
      </w:r>
      <w:r>
        <w:rPr>
          <w:rFonts w:hint="eastAsia" w:ascii="宋体" w:hAnsi="宋体" w:eastAsia="宋体" w:cs="宋体"/>
          <w:color w:val="auto"/>
          <w:sz w:val="24"/>
          <w:szCs w:val="24"/>
          <w:lang w:eastAsia="zh-CN"/>
        </w:rPr>
        <w:t>（北京时间）</w:t>
      </w:r>
    </w:p>
    <w:p w14:paraId="67EC99CD">
      <w:pPr>
        <w:adjustRightInd/>
        <w:snapToGrid/>
        <w:spacing w:line="560" w:lineRule="exact"/>
        <w:ind w:firstLine="54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开标时间：</w:t>
      </w:r>
      <w:r>
        <w:rPr>
          <w:rFonts w:hint="eastAsia" w:ascii="宋体" w:hAnsi="宋体" w:eastAsia="宋体" w:cs="宋体"/>
          <w:color w:val="auto"/>
          <w:sz w:val="24"/>
          <w:szCs w:val="24"/>
          <w:u w:val="single"/>
          <w:lang w:eastAsia="zh-CN"/>
        </w:rPr>
        <w:t>202</w:t>
      </w:r>
      <w:r>
        <w:rPr>
          <w:rFonts w:hint="eastAsia" w:ascii="宋体" w:hAnsi="宋体" w:eastAsia="宋体" w:cs="宋体"/>
          <w:color w:val="auto"/>
          <w:sz w:val="24"/>
          <w:szCs w:val="24"/>
          <w:u w:val="single"/>
          <w:lang w:val="en-US" w:eastAsia="zh-CN"/>
        </w:rPr>
        <w:t>6</w:t>
      </w:r>
      <w:r>
        <w:rPr>
          <w:rFonts w:hint="eastAsia" w:ascii="宋体" w:hAnsi="宋体" w:eastAsia="宋体" w:cs="宋体"/>
          <w:bCs/>
          <w:color w:val="auto"/>
          <w:sz w:val="24"/>
          <w:szCs w:val="24"/>
          <w:u w:val="single"/>
          <w:lang w:eastAsia="zh-CN"/>
        </w:rPr>
        <w:t>年</w:t>
      </w:r>
      <w:r>
        <w:rPr>
          <w:rFonts w:hint="eastAsia" w:ascii="宋体" w:hAnsi="宋体" w:eastAsia="宋体" w:cs="宋体"/>
          <w:bCs/>
          <w:color w:val="auto"/>
          <w:sz w:val="24"/>
          <w:szCs w:val="24"/>
          <w:u w:val="single"/>
          <w:lang w:val="en-US" w:eastAsia="zh-CN"/>
        </w:rPr>
        <w:t>06</w:t>
      </w:r>
      <w:r>
        <w:rPr>
          <w:rFonts w:hint="eastAsia" w:ascii="宋体" w:hAnsi="宋体" w:eastAsia="宋体" w:cs="宋体"/>
          <w:bCs/>
          <w:color w:val="auto"/>
          <w:sz w:val="24"/>
          <w:szCs w:val="24"/>
          <w:u w:val="single"/>
          <w:lang w:eastAsia="zh-CN"/>
        </w:rPr>
        <w:t>月</w:t>
      </w:r>
      <w:r>
        <w:rPr>
          <w:rFonts w:hint="eastAsia" w:ascii="宋体" w:hAnsi="宋体" w:eastAsia="宋体" w:cs="宋体"/>
          <w:bCs/>
          <w:color w:val="auto"/>
          <w:sz w:val="24"/>
          <w:szCs w:val="24"/>
          <w:u w:val="single"/>
          <w:lang w:val="en-US" w:eastAsia="zh-CN"/>
        </w:rPr>
        <w:t>23</w:t>
      </w:r>
      <w:r>
        <w:rPr>
          <w:rFonts w:hint="eastAsia" w:ascii="宋体" w:hAnsi="宋体" w:eastAsia="宋体" w:cs="宋体"/>
          <w:bCs/>
          <w:color w:val="auto"/>
          <w:sz w:val="24"/>
          <w:szCs w:val="24"/>
          <w:u w:val="single"/>
          <w:lang w:eastAsia="zh-CN"/>
        </w:rPr>
        <w:t>日</w:t>
      </w:r>
      <w:r>
        <w:rPr>
          <w:rFonts w:hint="eastAsia" w:ascii="宋体" w:hAnsi="宋体" w:eastAsia="宋体" w:cs="宋体"/>
          <w:bCs/>
          <w:color w:val="auto"/>
          <w:sz w:val="24"/>
          <w:szCs w:val="24"/>
          <w:u w:val="single"/>
          <w:lang w:val="en-US" w:eastAsia="zh-CN"/>
        </w:rPr>
        <w:t>11</w:t>
      </w:r>
      <w:r>
        <w:rPr>
          <w:rFonts w:hint="eastAsia" w:ascii="宋体" w:hAnsi="宋体" w:eastAsia="宋体" w:cs="宋体"/>
          <w:bCs/>
          <w:color w:val="auto"/>
          <w:sz w:val="24"/>
          <w:szCs w:val="24"/>
          <w:u w:val="single"/>
          <w:lang w:eastAsia="zh-CN"/>
        </w:rPr>
        <w:t>点</w:t>
      </w:r>
      <w:r>
        <w:rPr>
          <w:rFonts w:hint="eastAsia" w:ascii="宋体" w:hAnsi="宋体" w:eastAsia="宋体" w:cs="宋体"/>
          <w:bCs/>
          <w:color w:val="auto"/>
          <w:sz w:val="24"/>
          <w:szCs w:val="24"/>
          <w:u w:val="single"/>
          <w:lang w:val="en-US" w:eastAsia="zh-CN"/>
        </w:rPr>
        <w:t>00</w:t>
      </w:r>
      <w:r>
        <w:rPr>
          <w:rFonts w:hint="eastAsia" w:ascii="宋体" w:hAnsi="宋体" w:eastAsia="宋体" w:cs="宋体"/>
          <w:bCs/>
          <w:color w:val="auto"/>
          <w:sz w:val="24"/>
          <w:szCs w:val="24"/>
          <w:u w:val="single"/>
          <w:lang w:eastAsia="zh-CN"/>
        </w:rPr>
        <w:t>分</w:t>
      </w:r>
      <w:r>
        <w:rPr>
          <w:rFonts w:hint="eastAsia" w:ascii="宋体" w:hAnsi="宋体" w:eastAsia="宋体" w:cs="宋体"/>
          <w:color w:val="auto"/>
          <w:sz w:val="24"/>
          <w:szCs w:val="24"/>
          <w:lang w:eastAsia="zh-CN"/>
        </w:rPr>
        <w:t>（北京时间）</w:t>
      </w:r>
    </w:p>
    <w:p w14:paraId="7AD54366">
      <w:pPr>
        <w:adjustRightInd/>
        <w:snapToGrid/>
        <w:spacing w:line="560" w:lineRule="exact"/>
        <w:ind w:firstLine="54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开标地点：</w:t>
      </w:r>
      <w:bookmarkStart w:id="17" w:name="_Toc28359007"/>
      <w:bookmarkStart w:id="18" w:name="_Toc28359084"/>
      <w:bookmarkStart w:id="19" w:name="_Toc35393794"/>
      <w:bookmarkStart w:id="20" w:name="_Toc35393625"/>
      <w:r>
        <w:rPr>
          <w:rFonts w:hint="eastAsia" w:ascii="宋体" w:hAnsi="宋体" w:eastAsia="宋体" w:cs="宋体"/>
          <w:color w:val="auto"/>
          <w:sz w:val="24"/>
          <w:szCs w:val="24"/>
        </w:rPr>
        <w:t>政采云平台http://www.zcygov.cn/</w:t>
      </w:r>
    </w:p>
    <w:p w14:paraId="62878D39">
      <w:pPr>
        <w:adjustRightInd/>
        <w:snapToGrid/>
        <w:spacing w:line="560" w:lineRule="exact"/>
        <w:textAlignment w:val="auto"/>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五、公告期限</w:t>
      </w:r>
      <w:bookmarkEnd w:id="17"/>
      <w:bookmarkEnd w:id="18"/>
      <w:bookmarkEnd w:id="19"/>
      <w:bookmarkEnd w:id="20"/>
    </w:p>
    <w:p w14:paraId="0541B693">
      <w:pPr>
        <w:adjustRightInd/>
        <w:snapToGrid/>
        <w:spacing w:line="560" w:lineRule="exact"/>
        <w:ind w:firstLine="54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自本公告发布之日起5个工作日。</w:t>
      </w:r>
    </w:p>
    <w:p w14:paraId="4505EA56">
      <w:pPr>
        <w:adjustRightInd/>
        <w:snapToGrid/>
        <w:spacing w:line="560" w:lineRule="exact"/>
        <w:textAlignment w:val="auto"/>
        <w:rPr>
          <w:rFonts w:hint="eastAsia" w:ascii="宋体" w:hAnsi="宋体" w:eastAsia="宋体" w:cs="宋体"/>
          <w:b/>
          <w:bCs/>
          <w:color w:val="auto"/>
          <w:sz w:val="24"/>
          <w:szCs w:val="24"/>
          <w:lang w:eastAsia="zh-CN"/>
        </w:rPr>
      </w:pPr>
      <w:bookmarkStart w:id="21" w:name="_Toc35393795"/>
      <w:bookmarkStart w:id="22" w:name="_Toc35393626"/>
      <w:r>
        <w:rPr>
          <w:rFonts w:hint="eastAsia" w:ascii="宋体" w:hAnsi="宋体" w:eastAsia="宋体" w:cs="宋体"/>
          <w:b/>
          <w:bCs/>
          <w:color w:val="auto"/>
          <w:sz w:val="24"/>
          <w:szCs w:val="24"/>
          <w:lang w:eastAsia="zh-CN"/>
        </w:rPr>
        <w:t>六、其他补充事宜</w:t>
      </w:r>
      <w:bookmarkEnd w:id="21"/>
      <w:bookmarkEnd w:id="22"/>
    </w:p>
    <w:p w14:paraId="0EFBC348">
      <w:pPr>
        <w:pStyle w:val="47"/>
        <w:widowControl/>
        <w:spacing w:line="560" w:lineRule="exact"/>
        <w:ind w:firstLine="414"/>
        <w:jc w:val="left"/>
        <w:rPr>
          <w:rFonts w:hint="eastAsia" w:ascii="宋体" w:hAnsi="宋体" w:cs="宋体"/>
          <w:kern w:val="0"/>
          <w:sz w:val="24"/>
          <w:szCs w:val="24"/>
        </w:rPr>
      </w:pPr>
      <w:r>
        <w:rPr>
          <w:rFonts w:hint="eastAsia" w:ascii="宋体" w:hAnsi="宋体" w:cs="宋体"/>
          <w:kern w:val="0"/>
          <w:sz w:val="24"/>
          <w:szCs w:val="24"/>
        </w:rPr>
        <w:t>(1)本项目实行全流程</w:t>
      </w:r>
      <w:r>
        <w:rPr>
          <w:rFonts w:hint="eastAsia" w:ascii="宋体" w:hAnsi="宋体" w:cs="宋体"/>
          <w:sz w:val="24"/>
          <w:szCs w:val="24"/>
        </w:rPr>
        <w:t>电子交易方式</w:t>
      </w:r>
      <w:r>
        <w:rPr>
          <w:rFonts w:hint="eastAsia" w:ascii="宋体" w:hAnsi="宋体" w:cs="宋体"/>
          <w:kern w:val="0"/>
          <w:sz w:val="24"/>
          <w:szCs w:val="24"/>
        </w:rPr>
        <w:t>，采用电子加密响应文件上传方式；</w:t>
      </w:r>
    </w:p>
    <w:p w14:paraId="6B7F530E">
      <w:pPr>
        <w:pStyle w:val="47"/>
        <w:widowControl/>
        <w:spacing w:line="560" w:lineRule="exact"/>
        <w:ind w:firstLine="414"/>
        <w:jc w:val="left"/>
        <w:rPr>
          <w:rFonts w:hint="eastAsia" w:ascii="宋体" w:hAnsi="宋体" w:cs="宋体"/>
          <w:kern w:val="0"/>
          <w:sz w:val="24"/>
          <w:szCs w:val="24"/>
        </w:rPr>
      </w:pPr>
      <w:r>
        <w:rPr>
          <w:rFonts w:hint="eastAsia" w:ascii="宋体" w:hAnsi="宋体" w:cs="宋体"/>
          <w:kern w:val="0"/>
          <w:sz w:val="24"/>
          <w:szCs w:val="24"/>
        </w:rPr>
        <w:t>(2)各供应商在投标前应确保成为新疆政府采购网正式注册入库供应商，并完成CA数字证书（符合国密标准）申领。因未注册入库、未办理CA数字证书等原因造成无法上传或投标失败等后果由供应商自行承担。有意向参与的供应商，可访问新疆数字证书认证中心官方网站（https://www.xjca.com.cn/）或下载“新疆政务通”APP自行申领。如需咨询，请联系新疆CA服务热线0991-2819290；</w:t>
      </w:r>
    </w:p>
    <w:p w14:paraId="0EA23F3E">
      <w:pPr>
        <w:pStyle w:val="47"/>
        <w:widowControl/>
        <w:spacing w:line="560" w:lineRule="exact"/>
        <w:ind w:firstLine="414"/>
        <w:jc w:val="left"/>
        <w:rPr>
          <w:rFonts w:hint="eastAsia" w:ascii="宋体" w:hAnsi="宋体" w:cs="宋体"/>
          <w:kern w:val="0"/>
          <w:sz w:val="24"/>
          <w:szCs w:val="24"/>
        </w:rPr>
      </w:pPr>
      <w:r>
        <w:rPr>
          <w:rFonts w:hint="eastAsia" w:ascii="宋体" w:hAnsi="宋体" w:cs="宋体"/>
          <w:kern w:val="0"/>
          <w:sz w:val="24"/>
          <w:szCs w:val="24"/>
        </w:rPr>
        <w:t>(3)供应商在完成政采云电子交易客户端下载、安装后，可通过账号密码或CA登录客户端进行响应文件的制作。在使用“政采云投标客户端”时，建议使用WIN7及以上操作系统。客户端请至</w:t>
      </w:r>
      <w:r>
        <w:rPr>
          <w:rFonts w:hint="eastAsia" w:ascii="宋体" w:hAnsi="宋体" w:cs="宋体"/>
          <w:kern w:val="0"/>
          <w:sz w:val="24"/>
          <w:szCs w:val="24"/>
          <w:lang w:eastAsia="zh-CN"/>
        </w:rPr>
        <w:t>政采云平台（https://www.zcygov.cn/）</w:t>
      </w:r>
      <w:r>
        <w:rPr>
          <w:rFonts w:hint="eastAsia" w:ascii="宋体" w:hAnsi="宋体" w:cs="宋体"/>
          <w:kern w:val="0"/>
          <w:sz w:val="24"/>
          <w:szCs w:val="24"/>
        </w:rPr>
        <w:t>下载专区查看，如遇问题可拨打政采云客户服务热线95763进行咨询。如因供应商自身原因导致在规定时间内无法正常解密的（如：浏览器故障、未安装相关驱动、网络故障、加密CA与解密CA不一致等），采购中心、代理机构不予异常处理，视为供应商自动弃标；</w:t>
      </w:r>
    </w:p>
    <w:p w14:paraId="0160EA72">
      <w:pPr>
        <w:pStyle w:val="47"/>
        <w:widowControl/>
        <w:spacing w:line="560" w:lineRule="exact"/>
        <w:ind w:firstLine="414"/>
        <w:jc w:val="left"/>
        <w:rPr>
          <w:rFonts w:hint="eastAsia" w:ascii="宋体" w:hAnsi="宋体" w:cs="宋体"/>
          <w:kern w:val="0"/>
          <w:sz w:val="24"/>
          <w:szCs w:val="24"/>
        </w:rPr>
      </w:pPr>
      <w:r>
        <w:rPr>
          <w:rFonts w:hint="eastAsia" w:ascii="宋体" w:hAnsi="宋体" w:cs="宋体"/>
          <w:kern w:val="0"/>
          <w:sz w:val="24"/>
          <w:szCs w:val="24"/>
        </w:rPr>
        <w:t>(4)供应商应当在投标截止时间前，将生成的“电子加密响应文件”上传至“政府采购云平台”，投标截止时间以后上传的响应文件将被“政府采购云平台”拒收；</w:t>
      </w:r>
    </w:p>
    <w:p w14:paraId="7E0EBE60">
      <w:pPr>
        <w:pStyle w:val="47"/>
        <w:spacing w:line="560" w:lineRule="exact"/>
        <w:ind w:firstLine="414"/>
        <w:jc w:val="left"/>
        <w:rPr>
          <w:rFonts w:hint="eastAsia" w:ascii="宋体" w:hAnsi="宋体" w:cs="宋体"/>
          <w:kern w:val="0"/>
          <w:sz w:val="24"/>
          <w:szCs w:val="24"/>
        </w:rPr>
      </w:pPr>
      <w:r>
        <w:rPr>
          <w:rFonts w:hint="eastAsia" w:ascii="宋体" w:hAnsi="宋体" w:cs="宋体"/>
          <w:kern w:val="0"/>
          <w:sz w:val="24"/>
          <w:szCs w:val="24"/>
        </w:rPr>
        <w:t>(5)供应商在投标前须提前配置好电脑浏览器（建议使用360浏览器或谷歌浏览器），开标时登录政采云平台，在“项目采购－开标评审”功能中，使用制作加密响应文件电子标书的CA锁进行解密及报价确认。本项目响应文件的解密时间定为30分钟内，若供应商在规定时间内因自身原因导致无法正常解密，后果由供应商自行承担；</w:t>
      </w:r>
    </w:p>
    <w:p w14:paraId="16AA541A">
      <w:pPr>
        <w:pStyle w:val="47"/>
        <w:spacing w:line="560" w:lineRule="exact"/>
        <w:ind w:firstLine="414"/>
        <w:jc w:val="left"/>
        <w:rPr>
          <w:rFonts w:hint="eastAsia" w:ascii="宋体" w:hAnsi="宋体" w:cs="宋体"/>
          <w:sz w:val="24"/>
          <w:szCs w:val="24"/>
        </w:rPr>
      </w:pPr>
      <w:r>
        <w:rPr>
          <w:rFonts w:hint="eastAsia" w:ascii="宋体" w:hAnsi="宋体" w:cs="宋体"/>
          <w:sz w:val="24"/>
          <w:szCs w:val="24"/>
        </w:rPr>
        <w:t>(6)</w:t>
      </w:r>
      <w:r>
        <w:rPr>
          <w:rFonts w:hint="eastAsia" w:ascii="宋体" w:hAnsi="宋体" w:cs="宋体"/>
          <w:kern w:val="0"/>
          <w:sz w:val="24"/>
          <w:szCs w:val="24"/>
        </w:rPr>
        <w:t>供应商登录政采云平台，在开标时间后30分钟内用“项目采购－开标评审”功能进行解密响应文件，若供应商在规定时间内未按时解密的，视为响应无效。解密与加密响应文件须使用同一个 CA。</w:t>
      </w:r>
    </w:p>
    <w:p w14:paraId="1F6925C4">
      <w:pPr>
        <w:pStyle w:val="87"/>
        <w:snapToGrid w:val="0"/>
        <w:spacing w:line="560" w:lineRule="exact"/>
        <w:jc w:val="both"/>
        <w:rPr>
          <w:rFonts w:hint="eastAsia" w:ascii="宋体" w:hAnsi="宋体" w:cs="宋体"/>
          <w:color w:val="auto"/>
          <w:szCs w:val="24"/>
        </w:rPr>
      </w:pPr>
      <w:r>
        <w:rPr>
          <w:rFonts w:hint="eastAsia" w:ascii="宋体" w:hAnsi="宋体" w:cs="宋体"/>
          <w:color w:val="auto"/>
          <w:szCs w:val="24"/>
        </w:rPr>
        <w:t>特别提示：</w:t>
      </w:r>
    </w:p>
    <w:p w14:paraId="1FDA8C26">
      <w:pPr>
        <w:pStyle w:val="87"/>
        <w:snapToGrid w:val="0"/>
        <w:spacing w:line="560" w:lineRule="exact"/>
        <w:jc w:val="both"/>
        <w:rPr>
          <w:rFonts w:hint="eastAsia" w:ascii="宋体" w:hAnsi="宋体" w:cs="宋体"/>
          <w:color w:val="auto"/>
          <w:szCs w:val="24"/>
        </w:rPr>
      </w:pPr>
      <w:r>
        <w:rPr>
          <w:rFonts w:hint="eastAsia" w:ascii="宋体" w:hAnsi="宋体" w:cs="宋体"/>
          <w:color w:val="auto"/>
          <w:szCs w:val="24"/>
        </w:rPr>
        <w:t>1、采购限额标准以上，200万元以下的货物和服务采购项目、400万元以下的工程采购项目，适宜由中小企业提供的，采购人应当专门面向中小企业采购。</w:t>
      </w:r>
    </w:p>
    <w:p w14:paraId="1E3F4D45">
      <w:pPr>
        <w:pStyle w:val="87"/>
        <w:snapToGrid w:val="0"/>
        <w:spacing w:line="560" w:lineRule="exact"/>
        <w:jc w:val="both"/>
        <w:rPr>
          <w:rFonts w:hint="eastAsia" w:ascii="宋体" w:hAnsi="宋体" w:cs="宋体"/>
          <w:color w:val="auto"/>
          <w:szCs w:val="24"/>
        </w:rPr>
      </w:pPr>
      <w:r>
        <w:rPr>
          <w:rFonts w:hint="eastAsia" w:ascii="宋体" w:hAnsi="宋体" w:cs="宋体"/>
          <w:color w:val="auto"/>
          <w:szCs w:val="24"/>
        </w:rPr>
        <w:t>2、超过200万元的货物和服务采购项目，预留该部分采购项目预算总额的30%以上专门面向中小企业采购，其中预留给小微企业的比例不低于60%。</w:t>
      </w:r>
    </w:p>
    <w:p w14:paraId="7D842422">
      <w:pPr>
        <w:pStyle w:val="87"/>
        <w:snapToGrid w:val="0"/>
        <w:spacing w:line="560" w:lineRule="exact"/>
        <w:jc w:val="both"/>
        <w:rPr>
          <w:rFonts w:hint="eastAsia" w:ascii="宋体" w:hAnsi="宋体" w:cs="宋体"/>
          <w:color w:val="auto"/>
          <w:szCs w:val="24"/>
        </w:rPr>
      </w:pPr>
      <w:r>
        <w:rPr>
          <w:rFonts w:hint="eastAsia" w:ascii="宋体" w:hAnsi="宋体" w:cs="宋体"/>
          <w:color w:val="auto"/>
          <w:szCs w:val="24"/>
        </w:rPr>
        <w:t>3、超过400万元的工程采购项目中适宜由中小企业提供的，预留该部分采购项目预算总额的40%以上专门面向中小企业采购，其中预留给小微企业的比例不低于60%。</w:t>
      </w:r>
    </w:p>
    <w:p w14:paraId="516B24E9">
      <w:pPr>
        <w:pStyle w:val="87"/>
        <w:snapToGrid w:val="0"/>
        <w:spacing w:line="560" w:lineRule="exact"/>
        <w:jc w:val="both"/>
        <w:rPr>
          <w:rFonts w:hint="eastAsia" w:ascii="宋体" w:hAnsi="宋体" w:cs="宋体"/>
          <w:color w:val="auto"/>
          <w:szCs w:val="24"/>
        </w:rPr>
      </w:pPr>
      <w:r>
        <w:rPr>
          <w:rFonts w:hint="eastAsia" w:ascii="宋体" w:hAnsi="宋体" w:cs="宋体"/>
          <w:color w:val="auto"/>
          <w:szCs w:val="24"/>
        </w:rPr>
        <w:t>4、对于未预留份额专门面向中小企业的采购项目，以及预留份额项目中的非预留部分采购包，采购人、采购代理机构应当对符合规定的小微企业报价给予10%-20%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1673E287">
      <w:pPr>
        <w:pStyle w:val="87"/>
        <w:snapToGrid w:val="0"/>
        <w:spacing w:line="560" w:lineRule="exact"/>
        <w:jc w:val="both"/>
        <w:rPr>
          <w:rFonts w:hint="eastAsia" w:ascii="宋体" w:hAnsi="宋体" w:cs="宋体"/>
          <w:color w:val="auto"/>
          <w:szCs w:val="24"/>
        </w:rPr>
      </w:pPr>
      <w:r>
        <w:rPr>
          <w:rFonts w:hint="eastAsia" w:ascii="宋体" w:hAnsi="宋体" w:cs="宋体"/>
          <w:color w:val="auto"/>
          <w:szCs w:val="24"/>
        </w:rPr>
        <w:t>5、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w:t>
      </w:r>
    </w:p>
    <w:p w14:paraId="76C60D63">
      <w:pPr>
        <w:adjustRightInd/>
        <w:snapToGrid/>
        <w:spacing w:line="560" w:lineRule="exact"/>
        <w:textAlignment w:val="auto"/>
        <w:rPr>
          <w:rFonts w:hint="eastAsia" w:ascii="宋体" w:hAnsi="宋体" w:eastAsia="宋体" w:cs="宋体"/>
          <w:b/>
          <w:bCs/>
          <w:color w:val="auto"/>
          <w:sz w:val="24"/>
          <w:szCs w:val="24"/>
          <w:lang w:eastAsia="zh-CN"/>
        </w:rPr>
      </w:pPr>
      <w:bookmarkStart w:id="23" w:name="_Toc28359085"/>
      <w:bookmarkStart w:id="24" w:name="_Toc35393627"/>
      <w:bookmarkStart w:id="25" w:name="_Toc35393796"/>
      <w:bookmarkStart w:id="26" w:name="_Toc28359008"/>
      <w:r>
        <w:rPr>
          <w:rFonts w:hint="eastAsia" w:ascii="宋体" w:hAnsi="宋体" w:eastAsia="宋体" w:cs="宋体"/>
          <w:b/>
          <w:bCs/>
          <w:color w:val="auto"/>
          <w:sz w:val="24"/>
          <w:szCs w:val="24"/>
          <w:lang w:eastAsia="zh-CN"/>
        </w:rPr>
        <w:t>七、对本次招标提出询问，请按以下方式联系</w:t>
      </w:r>
      <w:bookmarkEnd w:id="23"/>
      <w:bookmarkEnd w:id="24"/>
      <w:bookmarkEnd w:id="25"/>
      <w:bookmarkEnd w:id="26"/>
      <w:r>
        <w:rPr>
          <w:rFonts w:hint="eastAsia" w:ascii="宋体" w:hAnsi="宋体" w:eastAsia="宋体" w:cs="宋体"/>
          <w:b/>
          <w:bCs/>
          <w:color w:val="auto"/>
          <w:sz w:val="24"/>
          <w:szCs w:val="24"/>
          <w:lang w:eastAsia="zh-CN"/>
        </w:rPr>
        <w:t>：</w:t>
      </w:r>
    </w:p>
    <w:p w14:paraId="26FC7F95">
      <w:pPr>
        <w:pStyle w:val="87"/>
        <w:snapToGrid w:val="0"/>
        <w:spacing w:line="560" w:lineRule="exact"/>
        <w:jc w:val="both"/>
        <w:rPr>
          <w:rFonts w:hint="eastAsia" w:ascii="宋体" w:hAnsi="宋体" w:cs="宋体"/>
          <w:color w:val="auto"/>
          <w:szCs w:val="24"/>
        </w:rPr>
      </w:pPr>
      <w:r>
        <w:rPr>
          <w:rFonts w:hint="eastAsia" w:ascii="宋体" w:hAnsi="宋体" w:cs="宋体"/>
          <w:color w:val="auto"/>
          <w:szCs w:val="24"/>
        </w:rPr>
        <w:t>1.采购人信息</w:t>
      </w:r>
    </w:p>
    <w:p w14:paraId="3FB75145">
      <w:pPr>
        <w:pStyle w:val="87"/>
        <w:snapToGrid w:val="0"/>
        <w:spacing w:line="560" w:lineRule="exact"/>
        <w:jc w:val="both"/>
        <w:rPr>
          <w:rFonts w:hint="eastAsia" w:ascii="宋体" w:hAnsi="宋体" w:eastAsia="宋体" w:cs="宋体"/>
          <w:color w:val="auto"/>
          <w:szCs w:val="24"/>
          <w:lang w:eastAsia="zh-CN"/>
        </w:rPr>
      </w:pPr>
      <w:r>
        <w:rPr>
          <w:rFonts w:hint="eastAsia" w:ascii="宋体" w:hAnsi="宋体" w:cs="宋体"/>
          <w:color w:val="auto"/>
          <w:szCs w:val="24"/>
        </w:rPr>
        <w:t>采 购 人：</w:t>
      </w:r>
      <w:r>
        <w:rPr>
          <w:rFonts w:hint="eastAsia" w:ascii="宋体" w:hAnsi="宋体" w:cs="宋体"/>
          <w:color w:val="auto"/>
          <w:szCs w:val="24"/>
          <w:lang w:eastAsia="zh-CN"/>
        </w:rPr>
        <w:t>新疆维吾尔自治区昌吉某单位</w:t>
      </w:r>
    </w:p>
    <w:p w14:paraId="2DABDF28">
      <w:pPr>
        <w:pStyle w:val="87"/>
        <w:snapToGrid w:val="0"/>
        <w:spacing w:line="560" w:lineRule="exact"/>
        <w:jc w:val="both"/>
        <w:rPr>
          <w:rFonts w:hint="eastAsia" w:ascii="宋体" w:hAnsi="宋体" w:eastAsia="宋体" w:cs="宋体"/>
          <w:color w:val="auto"/>
          <w:szCs w:val="24"/>
          <w:lang w:eastAsia="zh-CN"/>
        </w:rPr>
      </w:pPr>
      <w:r>
        <w:rPr>
          <w:rFonts w:hint="eastAsia" w:ascii="宋体" w:hAnsi="宋体" w:cs="宋体"/>
          <w:color w:val="auto"/>
          <w:szCs w:val="24"/>
        </w:rPr>
        <w:t>联 系 人：</w:t>
      </w:r>
      <w:r>
        <w:rPr>
          <w:rFonts w:hint="eastAsia" w:ascii="宋体" w:hAnsi="宋体" w:cs="宋体"/>
          <w:color w:val="auto"/>
          <w:szCs w:val="24"/>
          <w:lang w:eastAsia="zh-CN"/>
        </w:rPr>
        <w:t>张先生、赵先生</w:t>
      </w:r>
    </w:p>
    <w:p w14:paraId="359CD155">
      <w:pPr>
        <w:pStyle w:val="87"/>
        <w:snapToGrid w:val="0"/>
        <w:spacing w:line="560" w:lineRule="exact"/>
        <w:jc w:val="both"/>
        <w:rPr>
          <w:rFonts w:hint="eastAsia" w:ascii="宋体" w:hAnsi="宋体" w:eastAsia="宋体" w:cs="宋体"/>
          <w:color w:val="auto"/>
          <w:szCs w:val="24"/>
          <w:lang w:eastAsia="zh-CN"/>
        </w:rPr>
      </w:pPr>
      <w:r>
        <w:rPr>
          <w:rFonts w:hint="eastAsia" w:ascii="宋体" w:hAnsi="宋体" w:cs="宋体"/>
          <w:color w:val="auto"/>
          <w:szCs w:val="24"/>
        </w:rPr>
        <w:t>联系电话：</w:t>
      </w:r>
      <w:r>
        <w:rPr>
          <w:rFonts w:hint="eastAsia" w:ascii="宋体" w:hAnsi="宋体" w:cs="宋体"/>
          <w:color w:val="auto"/>
          <w:szCs w:val="24"/>
          <w:lang w:val="en-US" w:eastAsia="zh-CN"/>
        </w:rPr>
        <w:t>18997566658、18209068376</w:t>
      </w:r>
    </w:p>
    <w:p w14:paraId="5C176E83">
      <w:pPr>
        <w:pStyle w:val="87"/>
        <w:snapToGrid w:val="0"/>
        <w:spacing w:line="560" w:lineRule="exact"/>
        <w:jc w:val="both"/>
        <w:rPr>
          <w:rFonts w:hint="eastAsia" w:ascii="宋体" w:hAnsi="宋体" w:cs="宋体"/>
          <w:color w:val="auto"/>
          <w:szCs w:val="24"/>
        </w:rPr>
      </w:pPr>
      <w:r>
        <w:rPr>
          <w:rFonts w:hint="eastAsia" w:ascii="宋体" w:hAnsi="宋体" w:cs="宋体"/>
          <w:color w:val="auto"/>
          <w:szCs w:val="24"/>
        </w:rPr>
        <w:t>2.采购代理机构：新疆金正建设工程管理有限公司</w:t>
      </w:r>
    </w:p>
    <w:p w14:paraId="09F7801E">
      <w:pPr>
        <w:pStyle w:val="87"/>
        <w:snapToGrid w:val="0"/>
        <w:spacing w:line="560" w:lineRule="exact"/>
        <w:jc w:val="both"/>
        <w:rPr>
          <w:rFonts w:hint="eastAsia" w:ascii="宋体" w:hAnsi="宋体" w:cs="宋体"/>
          <w:color w:val="auto"/>
          <w:szCs w:val="24"/>
        </w:rPr>
      </w:pPr>
      <w:r>
        <w:rPr>
          <w:rFonts w:hint="eastAsia" w:ascii="宋体" w:hAnsi="宋体" w:cs="宋体"/>
          <w:color w:val="auto"/>
          <w:szCs w:val="24"/>
        </w:rPr>
        <w:t xml:space="preserve">地    址：乌鲁木齐市水磨沟区南湖南路 66 号水清木华精品社区 A 栋 6 层 </w:t>
      </w:r>
    </w:p>
    <w:p w14:paraId="76FAC148">
      <w:pPr>
        <w:pStyle w:val="87"/>
        <w:snapToGrid w:val="0"/>
        <w:spacing w:line="560" w:lineRule="exact"/>
        <w:jc w:val="both"/>
        <w:rPr>
          <w:rFonts w:hint="eastAsia" w:ascii="宋体" w:hAnsi="宋体" w:eastAsia="宋体" w:cs="宋体"/>
          <w:color w:val="auto"/>
          <w:szCs w:val="24"/>
          <w:lang w:eastAsia="zh-CN"/>
        </w:rPr>
      </w:pPr>
      <w:r>
        <w:rPr>
          <w:rFonts w:hint="eastAsia" w:ascii="宋体" w:hAnsi="宋体" w:cs="宋体"/>
          <w:color w:val="auto"/>
          <w:szCs w:val="24"/>
        </w:rPr>
        <w:t>联 系 人：</w:t>
      </w:r>
      <w:r>
        <w:rPr>
          <w:rFonts w:hint="eastAsia" w:ascii="宋体" w:hAnsi="宋体" w:cs="宋体"/>
          <w:color w:val="auto"/>
          <w:szCs w:val="24"/>
          <w:lang w:val="en-US" w:eastAsia="zh-CN"/>
        </w:rPr>
        <w:t>顾玮婷</w:t>
      </w:r>
      <w:r>
        <w:rPr>
          <w:rFonts w:hint="eastAsia" w:ascii="宋体" w:hAnsi="宋体" w:cs="宋体"/>
          <w:color w:val="auto"/>
          <w:szCs w:val="24"/>
          <w:lang w:eastAsia="zh-CN"/>
        </w:rPr>
        <w:t>、施霞</w:t>
      </w:r>
    </w:p>
    <w:p w14:paraId="0CD5E4D0">
      <w:pPr>
        <w:pStyle w:val="87"/>
        <w:snapToGrid w:val="0"/>
        <w:spacing w:line="560" w:lineRule="exact"/>
        <w:jc w:val="both"/>
        <w:rPr>
          <w:rFonts w:hint="eastAsia" w:ascii="宋体" w:hAnsi="宋体" w:cs="宋体"/>
          <w:color w:val="auto"/>
          <w:szCs w:val="24"/>
        </w:rPr>
        <w:sectPr>
          <w:footerReference r:id="rId4" w:type="default"/>
          <w:pgSz w:w="11906" w:h="16839"/>
          <w:pgMar w:top="1429" w:right="1553" w:bottom="1378" w:left="1786" w:header="907" w:footer="1134" w:gutter="0"/>
          <w:pgNumType w:start="1"/>
          <w:cols w:space="720" w:num="1"/>
        </w:sectPr>
      </w:pPr>
      <w:r>
        <w:rPr>
          <w:rFonts w:hint="eastAsia" w:ascii="宋体" w:hAnsi="宋体" w:cs="宋体"/>
          <w:color w:val="auto"/>
          <w:szCs w:val="24"/>
        </w:rPr>
        <w:t>联系电话：</w:t>
      </w:r>
      <w:r>
        <w:rPr>
          <w:rFonts w:hint="eastAsia" w:ascii="宋体" w:hAnsi="宋体" w:cs="宋体"/>
          <w:color w:val="auto"/>
          <w:szCs w:val="24"/>
          <w:lang w:eastAsia="zh-CN"/>
        </w:rPr>
        <w:t>15699198804、18999120355</w:t>
      </w:r>
      <w:r>
        <w:rPr>
          <w:rFonts w:hint="eastAsia" w:ascii="宋体" w:hAnsi="宋体" w:cs="宋体"/>
          <w:color w:val="auto"/>
          <w:szCs w:val="24"/>
        </w:rPr>
        <w:t>、</w:t>
      </w:r>
    </w:p>
    <w:p w14:paraId="04B7CA92">
      <w:pPr>
        <w:pStyle w:val="11"/>
        <w:spacing w:before="155" w:line="219" w:lineRule="auto"/>
        <w:jc w:val="center"/>
        <w:outlineLvl w:val="0"/>
        <w:rPr>
          <w:rFonts w:hint="eastAsia"/>
          <w:color w:val="auto"/>
          <w:lang w:eastAsia="zh-CN"/>
        </w:rPr>
      </w:pPr>
      <w:bookmarkStart w:id="27" w:name="bookmark3"/>
      <w:bookmarkEnd w:id="27"/>
      <w:bookmarkStart w:id="28" w:name="bookmark5"/>
      <w:bookmarkEnd w:id="28"/>
      <w:bookmarkStart w:id="29" w:name="_Toc7611"/>
      <w:bookmarkStart w:id="30" w:name="_Toc20994"/>
      <w:r>
        <w:rPr>
          <w:rFonts w:hint="eastAsia"/>
          <w:b/>
          <w:bCs/>
          <w:color w:val="auto"/>
          <w:spacing w:val="-3"/>
          <w:lang w:eastAsia="zh-CN"/>
        </w:rPr>
        <w:t xml:space="preserve">第一章 </w:t>
      </w:r>
      <w:bookmarkEnd w:id="29"/>
      <w:r>
        <w:rPr>
          <w:rFonts w:hint="eastAsia"/>
          <w:b/>
          <w:bCs/>
          <w:color w:val="auto"/>
          <w:lang w:eastAsia="zh-CN"/>
        </w:rPr>
        <w:t>投标人须知</w:t>
      </w:r>
      <w:bookmarkEnd w:id="30"/>
    </w:p>
    <w:p w14:paraId="19E2EFB3">
      <w:pPr>
        <w:pStyle w:val="3"/>
        <w:spacing w:before="0" w:after="0" w:line="360" w:lineRule="auto"/>
        <w:jc w:val="center"/>
        <w:rPr>
          <w:rFonts w:hint="eastAsia" w:ascii="宋体" w:hAnsi="宋体" w:eastAsia="宋体" w:cs="宋体"/>
          <w:color w:val="auto"/>
          <w:sz w:val="24"/>
          <w:szCs w:val="24"/>
        </w:rPr>
      </w:pPr>
      <w:bookmarkStart w:id="31" w:name="_Toc17217"/>
      <w:bookmarkStart w:id="32" w:name="_Toc217446032"/>
      <w:bookmarkStart w:id="33" w:name="_Toc213397010"/>
      <w:bookmarkStart w:id="34" w:name="_Toc213396760"/>
      <w:bookmarkStart w:id="35" w:name="_Toc213496268"/>
      <w:bookmarkStart w:id="36" w:name="_Toc189727030"/>
      <w:bookmarkStart w:id="37" w:name="_Toc213396946"/>
      <w:r>
        <w:rPr>
          <w:rFonts w:hint="eastAsia" w:ascii="宋体" w:hAnsi="宋体" w:eastAsia="宋体" w:cs="宋体"/>
          <w:color w:val="auto"/>
          <w:sz w:val="24"/>
          <w:szCs w:val="24"/>
        </w:rPr>
        <w:t>一、</w:t>
      </w:r>
      <w:bookmarkEnd w:id="31"/>
      <w:r>
        <w:rPr>
          <w:rFonts w:hint="eastAsia" w:ascii="宋体" w:hAnsi="宋体" w:eastAsia="宋体" w:cs="宋体"/>
          <w:color w:val="auto"/>
          <w:sz w:val="24"/>
          <w:szCs w:val="24"/>
        </w:rPr>
        <w:t>投标人须知前附表</w:t>
      </w:r>
    </w:p>
    <w:bookmarkEnd w:id="32"/>
    <w:bookmarkEnd w:id="33"/>
    <w:bookmarkEnd w:id="34"/>
    <w:bookmarkEnd w:id="35"/>
    <w:bookmarkEnd w:id="36"/>
    <w:bookmarkEnd w:id="37"/>
    <w:tbl>
      <w:tblPr>
        <w:tblStyle w:val="36"/>
        <w:tblW w:w="86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534"/>
        <w:gridCol w:w="1351"/>
        <w:gridCol w:w="6765"/>
      </w:tblGrid>
      <w:tr w14:paraId="2B221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534" w:type="dxa"/>
            <w:shd w:val="clear" w:color="auto" w:fill="FFFFFF" w:themeFill="background1"/>
            <w:vAlign w:val="center"/>
          </w:tcPr>
          <w:p w14:paraId="32126365">
            <w:pPr>
              <w:spacing w:line="360" w:lineRule="auto"/>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序号</w:t>
            </w:r>
          </w:p>
        </w:tc>
        <w:tc>
          <w:tcPr>
            <w:tcW w:w="1351" w:type="dxa"/>
            <w:shd w:val="clear" w:color="auto" w:fill="FFFFFF" w:themeFill="background1"/>
            <w:vAlign w:val="center"/>
          </w:tcPr>
          <w:p w14:paraId="067BEA78">
            <w:pPr>
              <w:spacing w:line="360" w:lineRule="auto"/>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名 称</w:t>
            </w:r>
          </w:p>
        </w:tc>
        <w:tc>
          <w:tcPr>
            <w:tcW w:w="6765" w:type="dxa"/>
            <w:shd w:val="clear" w:color="auto" w:fill="FFFFFF" w:themeFill="background1"/>
            <w:vAlign w:val="center"/>
          </w:tcPr>
          <w:p w14:paraId="5ADEA9BA">
            <w:pPr>
              <w:spacing w:line="360" w:lineRule="auto"/>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内   容</w:t>
            </w:r>
          </w:p>
        </w:tc>
      </w:tr>
      <w:tr w14:paraId="63315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285" w:hRule="atLeast"/>
          <w:jc w:val="center"/>
        </w:trPr>
        <w:tc>
          <w:tcPr>
            <w:tcW w:w="534" w:type="dxa"/>
            <w:shd w:val="clear" w:color="auto" w:fill="FFFFFF" w:themeFill="background1"/>
            <w:vAlign w:val="center"/>
          </w:tcPr>
          <w:p w14:paraId="56E154B8">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1351" w:type="dxa"/>
            <w:shd w:val="clear" w:color="auto" w:fill="FFFFFF" w:themeFill="background1"/>
            <w:vAlign w:val="center"/>
          </w:tcPr>
          <w:p w14:paraId="1D7C0D15">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采购人</w:t>
            </w:r>
          </w:p>
        </w:tc>
        <w:tc>
          <w:tcPr>
            <w:tcW w:w="6765" w:type="dxa"/>
            <w:shd w:val="clear" w:color="auto" w:fill="FFFFFF" w:themeFill="background1"/>
            <w:vAlign w:val="center"/>
          </w:tcPr>
          <w:p w14:paraId="3B0EAA3B">
            <w:pPr>
              <w:spacing w:line="360"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名称：新疆维吾尔自治区昌吉某单位</w:t>
            </w:r>
          </w:p>
          <w:p w14:paraId="3CA57DD7">
            <w:pPr>
              <w:pStyle w:val="86"/>
              <w:widowControl/>
              <w:adjustRightInd/>
              <w:spacing w:line="360" w:lineRule="auto"/>
              <w:jc w:val="left"/>
              <w:textAlignment w:val="auto"/>
              <w:rPr>
                <w:rFonts w:hint="eastAsia" w:hAnsi="宋体" w:eastAsia="宋体" w:cs="宋体"/>
                <w:sz w:val="24"/>
                <w:szCs w:val="24"/>
                <w:lang w:eastAsia="zh-CN"/>
              </w:rPr>
            </w:pPr>
            <w:r>
              <w:rPr>
                <w:rFonts w:hint="eastAsia" w:hAnsi="宋体" w:cs="宋体"/>
                <w:sz w:val="24"/>
                <w:szCs w:val="24"/>
              </w:rPr>
              <w:t>联系人：</w:t>
            </w:r>
            <w:r>
              <w:rPr>
                <w:rFonts w:hint="eastAsia" w:hAnsi="宋体" w:cs="宋体"/>
                <w:sz w:val="24"/>
                <w:szCs w:val="24"/>
                <w:lang w:eastAsia="zh-CN"/>
              </w:rPr>
              <w:t>张先生、赵先生</w:t>
            </w:r>
          </w:p>
          <w:p w14:paraId="35D90F6B">
            <w:pPr>
              <w:pStyle w:val="86"/>
              <w:widowControl/>
              <w:adjustRightInd/>
              <w:spacing w:line="360" w:lineRule="auto"/>
              <w:jc w:val="left"/>
              <w:textAlignment w:val="auto"/>
              <w:rPr>
                <w:rFonts w:hint="eastAsia" w:ascii="宋体" w:hAnsi="宋体" w:eastAsia="宋体" w:cs="宋体"/>
                <w:color w:val="auto"/>
                <w:sz w:val="24"/>
                <w:szCs w:val="24"/>
                <w:lang w:eastAsia="zh-CN"/>
              </w:rPr>
            </w:pPr>
            <w:r>
              <w:rPr>
                <w:rFonts w:hint="eastAsia" w:hAnsi="宋体" w:cs="宋体"/>
                <w:sz w:val="24"/>
                <w:szCs w:val="24"/>
              </w:rPr>
              <w:t>联系电话：</w:t>
            </w:r>
            <w:r>
              <w:rPr>
                <w:rFonts w:hint="eastAsia" w:hAnsi="宋体" w:cs="宋体"/>
                <w:sz w:val="24"/>
                <w:szCs w:val="24"/>
                <w:lang w:val="en-US" w:eastAsia="zh-CN"/>
              </w:rPr>
              <w:t>18997566658、18209068376</w:t>
            </w:r>
          </w:p>
        </w:tc>
      </w:tr>
      <w:tr w14:paraId="0F1B4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257" w:hRule="atLeast"/>
          <w:jc w:val="center"/>
        </w:trPr>
        <w:tc>
          <w:tcPr>
            <w:tcW w:w="534" w:type="dxa"/>
            <w:shd w:val="clear" w:color="auto" w:fill="FFFFFF" w:themeFill="background1"/>
            <w:vAlign w:val="center"/>
          </w:tcPr>
          <w:p w14:paraId="771F33DF">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1351" w:type="dxa"/>
            <w:shd w:val="clear" w:color="auto" w:fill="FFFFFF" w:themeFill="background1"/>
            <w:vAlign w:val="center"/>
          </w:tcPr>
          <w:p w14:paraId="0315EE9F">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采购代理机构</w:t>
            </w:r>
          </w:p>
        </w:tc>
        <w:tc>
          <w:tcPr>
            <w:tcW w:w="6765" w:type="dxa"/>
            <w:shd w:val="clear" w:color="auto" w:fill="FFFFFF" w:themeFill="background1"/>
            <w:vAlign w:val="center"/>
          </w:tcPr>
          <w:p w14:paraId="7B6FFFEE">
            <w:pPr>
              <w:spacing w:line="360"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名称：新疆金正建设工程管理有限公司</w:t>
            </w:r>
          </w:p>
          <w:p w14:paraId="12BA5A2F">
            <w:pPr>
              <w:pStyle w:val="86"/>
              <w:widowControl/>
              <w:adjustRightInd/>
              <w:spacing w:line="360" w:lineRule="auto"/>
              <w:textAlignment w:val="auto"/>
              <w:rPr>
                <w:rFonts w:hint="eastAsia" w:hAnsi="宋体" w:eastAsia="宋体" w:cs="宋体"/>
                <w:sz w:val="24"/>
                <w:szCs w:val="24"/>
                <w:lang w:eastAsia="zh-CN"/>
              </w:rPr>
            </w:pPr>
            <w:r>
              <w:rPr>
                <w:rFonts w:hint="eastAsia" w:hAnsi="宋体" w:cs="宋体"/>
                <w:sz w:val="24"/>
                <w:szCs w:val="24"/>
              </w:rPr>
              <w:t>项目联系人：</w:t>
            </w:r>
            <w:r>
              <w:rPr>
                <w:rFonts w:hint="eastAsia" w:hAnsi="宋体" w:cs="宋体"/>
                <w:sz w:val="24"/>
                <w:szCs w:val="24"/>
                <w:lang w:val="en-US" w:eastAsia="zh-CN"/>
              </w:rPr>
              <w:t>顾玮婷</w:t>
            </w:r>
            <w:r>
              <w:rPr>
                <w:rFonts w:hint="eastAsia" w:hAnsi="宋体" w:cs="宋体"/>
                <w:sz w:val="24"/>
                <w:szCs w:val="24"/>
                <w:lang w:eastAsia="zh-CN"/>
              </w:rPr>
              <w:t>、施霞</w:t>
            </w:r>
          </w:p>
          <w:p w14:paraId="122265EA">
            <w:pPr>
              <w:keepNext/>
              <w:keepLines/>
              <w:spacing w:line="360"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联系电话：15699198804、18999120355、</w:t>
            </w:r>
          </w:p>
          <w:p w14:paraId="4CAC7542">
            <w:pPr>
              <w:spacing w:line="360"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地址：乌鲁木齐市水磨沟区南湖南路 66 号水清木华精品社区 A 栋 6 层</w:t>
            </w:r>
          </w:p>
        </w:tc>
      </w:tr>
      <w:tr w14:paraId="7C610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1" w:hRule="atLeast"/>
          <w:jc w:val="center"/>
        </w:trPr>
        <w:tc>
          <w:tcPr>
            <w:tcW w:w="534" w:type="dxa"/>
            <w:shd w:val="clear" w:color="auto" w:fill="FFFFFF" w:themeFill="background1"/>
            <w:vAlign w:val="center"/>
          </w:tcPr>
          <w:p w14:paraId="24AA1990">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3</w:t>
            </w:r>
          </w:p>
        </w:tc>
        <w:tc>
          <w:tcPr>
            <w:tcW w:w="1351" w:type="dxa"/>
            <w:shd w:val="clear" w:color="auto" w:fill="FFFFFF" w:themeFill="background1"/>
            <w:vAlign w:val="center"/>
          </w:tcPr>
          <w:p w14:paraId="2CA3766A">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项目名称</w:t>
            </w:r>
          </w:p>
        </w:tc>
        <w:tc>
          <w:tcPr>
            <w:tcW w:w="6765" w:type="dxa"/>
            <w:shd w:val="clear" w:color="auto" w:fill="FFFFFF" w:themeFill="background1"/>
            <w:vAlign w:val="center"/>
          </w:tcPr>
          <w:p w14:paraId="160296D4">
            <w:pPr>
              <w:spacing w:line="360"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新疆维吾尔自治区昌吉某单位大厅维修保养项目</w:t>
            </w:r>
          </w:p>
        </w:tc>
      </w:tr>
      <w:tr w14:paraId="3A62C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01" w:hRule="atLeast"/>
          <w:jc w:val="center"/>
        </w:trPr>
        <w:tc>
          <w:tcPr>
            <w:tcW w:w="534" w:type="dxa"/>
            <w:shd w:val="clear" w:color="auto" w:fill="FFFFFF" w:themeFill="background1"/>
            <w:vAlign w:val="center"/>
          </w:tcPr>
          <w:p w14:paraId="304D00E5">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4</w:t>
            </w:r>
          </w:p>
        </w:tc>
        <w:tc>
          <w:tcPr>
            <w:tcW w:w="1351" w:type="dxa"/>
            <w:shd w:val="clear" w:color="auto" w:fill="FFFFFF" w:themeFill="background1"/>
            <w:vAlign w:val="center"/>
          </w:tcPr>
          <w:p w14:paraId="15280DF6">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项目编号</w:t>
            </w:r>
          </w:p>
        </w:tc>
        <w:tc>
          <w:tcPr>
            <w:tcW w:w="6765" w:type="dxa"/>
            <w:shd w:val="clear" w:color="auto" w:fill="FFFFFF" w:themeFill="background1"/>
            <w:vAlign w:val="center"/>
          </w:tcPr>
          <w:p w14:paraId="3CAC55C2">
            <w:pPr>
              <w:spacing w:line="360" w:lineRule="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金采招字【2026】XJJZC-067</w:t>
            </w:r>
          </w:p>
        </w:tc>
      </w:tr>
      <w:tr w14:paraId="0F6D5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90" w:hRule="atLeast"/>
          <w:jc w:val="center"/>
        </w:trPr>
        <w:tc>
          <w:tcPr>
            <w:tcW w:w="534" w:type="dxa"/>
            <w:shd w:val="clear" w:color="auto" w:fill="FFFFFF" w:themeFill="background1"/>
            <w:vAlign w:val="center"/>
          </w:tcPr>
          <w:p w14:paraId="7982C414">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5</w:t>
            </w:r>
          </w:p>
        </w:tc>
        <w:tc>
          <w:tcPr>
            <w:tcW w:w="1351" w:type="dxa"/>
            <w:shd w:val="clear" w:color="auto" w:fill="FFFFFF" w:themeFill="background1"/>
            <w:vAlign w:val="center"/>
          </w:tcPr>
          <w:p w14:paraId="28A93D0F">
            <w:pPr>
              <w:jc w:val="both"/>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预算金额</w:t>
            </w:r>
          </w:p>
        </w:tc>
        <w:tc>
          <w:tcPr>
            <w:tcW w:w="6765" w:type="dxa"/>
            <w:shd w:val="clear" w:color="auto" w:fill="FFFFFF" w:themeFill="background1"/>
            <w:vAlign w:val="center"/>
          </w:tcPr>
          <w:p w14:paraId="7F9843C9">
            <w:pPr>
              <w:jc w:val="both"/>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1970000</w:t>
            </w:r>
            <w:r>
              <w:rPr>
                <w:rFonts w:hint="eastAsia" w:ascii="宋体" w:hAnsi="宋体" w:eastAsia="宋体" w:cs="宋体"/>
                <w:color w:val="auto"/>
                <w:sz w:val="24"/>
                <w:szCs w:val="24"/>
                <w:lang w:eastAsia="zh-CN"/>
              </w:rPr>
              <w:t>元</w:t>
            </w:r>
          </w:p>
        </w:tc>
      </w:tr>
      <w:tr w14:paraId="54E74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652" w:hRule="atLeast"/>
          <w:jc w:val="center"/>
        </w:trPr>
        <w:tc>
          <w:tcPr>
            <w:tcW w:w="534" w:type="dxa"/>
            <w:shd w:val="clear" w:color="auto" w:fill="FFFFFF" w:themeFill="background1"/>
            <w:vAlign w:val="center"/>
          </w:tcPr>
          <w:p w14:paraId="720780F0">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6</w:t>
            </w:r>
          </w:p>
        </w:tc>
        <w:tc>
          <w:tcPr>
            <w:tcW w:w="1351" w:type="dxa"/>
            <w:shd w:val="clear" w:color="auto" w:fill="FFFFFF" w:themeFill="background1"/>
            <w:vAlign w:val="center"/>
          </w:tcPr>
          <w:p w14:paraId="24EA5AD8">
            <w:pPr>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最高限价</w:t>
            </w:r>
          </w:p>
        </w:tc>
        <w:tc>
          <w:tcPr>
            <w:tcW w:w="6765" w:type="dxa"/>
            <w:shd w:val="clear" w:color="auto" w:fill="FFFFFF" w:themeFill="background1"/>
            <w:vAlign w:val="center"/>
          </w:tcPr>
          <w:p w14:paraId="0CCBF2FE">
            <w:pP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1970000</w:t>
            </w:r>
            <w:r>
              <w:rPr>
                <w:rFonts w:hint="eastAsia" w:ascii="宋体" w:hAnsi="宋体" w:eastAsia="宋体" w:cs="宋体"/>
                <w:color w:val="auto"/>
                <w:sz w:val="24"/>
                <w:szCs w:val="24"/>
                <w:lang w:eastAsia="zh-CN"/>
              </w:rPr>
              <w:t>元</w:t>
            </w:r>
          </w:p>
        </w:tc>
      </w:tr>
      <w:tr w14:paraId="61987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jc w:val="center"/>
        </w:trPr>
        <w:tc>
          <w:tcPr>
            <w:tcW w:w="534" w:type="dxa"/>
            <w:shd w:val="clear" w:color="auto" w:fill="FFFFFF" w:themeFill="background1"/>
            <w:vAlign w:val="center"/>
          </w:tcPr>
          <w:p w14:paraId="476D2715">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c>
          <w:tcPr>
            <w:tcW w:w="1351" w:type="dxa"/>
            <w:shd w:val="clear" w:color="auto" w:fill="FFFFFF" w:themeFill="background1"/>
            <w:vAlign w:val="center"/>
          </w:tcPr>
          <w:p w14:paraId="41811C28">
            <w:pPr>
              <w:spacing w:line="5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服务范围</w:t>
            </w:r>
          </w:p>
        </w:tc>
        <w:tc>
          <w:tcPr>
            <w:tcW w:w="6765" w:type="dxa"/>
            <w:shd w:val="clear" w:color="auto" w:fill="FFFFFF" w:themeFill="background1"/>
            <w:vAlign w:val="center"/>
          </w:tcPr>
          <w:p w14:paraId="112207F8">
            <w:pPr>
              <w:spacing w:line="560" w:lineRule="exact"/>
              <w:rPr>
                <w:rFonts w:hint="eastAsia" w:ascii="宋体" w:hAnsi="宋体" w:eastAsia="宋体" w:cs="宋体"/>
                <w:color w:val="auto"/>
                <w:sz w:val="24"/>
                <w:szCs w:val="24"/>
                <w:highlight w:val="none"/>
              </w:rPr>
            </w:pPr>
            <w:r>
              <w:rPr>
                <w:rFonts w:hint="eastAsia"/>
                <w:color w:val="auto"/>
                <w:highlight w:val="none"/>
                <w:u w:val="none"/>
                <w:lang w:eastAsia="zh-CN"/>
              </w:rPr>
              <w:t>新疆维吾尔自治区昌吉某单位大厅维修保养项目，</w:t>
            </w:r>
            <w:r>
              <w:rPr>
                <w:rFonts w:hint="eastAsia"/>
                <w:color w:val="auto"/>
                <w:highlight w:val="none"/>
                <w:u w:val="none"/>
                <w:lang w:val="en-US" w:eastAsia="zh-CN"/>
              </w:rPr>
              <w:t>详见第三章服务需求。</w:t>
            </w:r>
          </w:p>
        </w:tc>
      </w:tr>
      <w:tr w14:paraId="5FCE5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534" w:type="dxa"/>
            <w:shd w:val="clear" w:color="auto" w:fill="FFFFFF" w:themeFill="background1"/>
            <w:vAlign w:val="center"/>
          </w:tcPr>
          <w:p w14:paraId="31D8F937">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p>
        </w:tc>
        <w:tc>
          <w:tcPr>
            <w:tcW w:w="1351" w:type="dxa"/>
            <w:shd w:val="clear" w:color="auto" w:fill="FFFFFF" w:themeFill="background1"/>
            <w:vAlign w:val="center"/>
          </w:tcPr>
          <w:p w14:paraId="6BDD9330">
            <w:pPr>
              <w:spacing w:line="560" w:lineRule="exact"/>
              <w:jc w:val="center"/>
              <w:rPr>
                <w:rFonts w:hint="default"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eastAsia="zh-CN"/>
              </w:rPr>
              <w:t>服务期</w:t>
            </w:r>
            <w:r>
              <w:rPr>
                <w:rFonts w:hint="eastAsia" w:ascii="宋体" w:hAnsi="宋体" w:eastAsia="宋体" w:cs="宋体"/>
                <w:color w:val="auto"/>
                <w:sz w:val="24"/>
                <w:szCs w:val="24"/>
                <w:highlight w:val="none"/>
                <w:lang w:val="en-US" w:eastAsia="zh-CN"/>
              </w:rPr>
              <w:t>及付款方式</w:t>
            </w:r>
          </w:p>
        </w:tc>
        <w:tc>
          <w:tcPr>
            <w:tcW w:w="6765" w:type="dxa"/>
            <w:shd w:val="clear" w:color="auto" w:fill="FFFFFF" w:themeFill="background1"/>
            <w:vAlign w:val="center"/>
          </w:tcPr>
          <w:p w14:paraId="2E647AF8">
            <w:pPr>
              <w:spacing w:line="560" w:lineRule="exac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服务期：合同签订之日起30天内完成相关维护保养内容。</w:t>
            </w:r>
          </w:p>
          <w:p w14:paraId="07B5861D">
            <w:pPr>
              <w:spacing w:line="560" w:lineRule="exact"/>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付款方式：根据第三方评估后进行支付。</w:t>
            </w:r>
          </w:p>
        </w:tc>
      </w:tr>
      <w:tr w14:paraId="1C7F0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534" w:type="dxa"/>
            <w:shd w:val="clear" w:color="auto" w:fill="FFFFFF" w:themeFill="background1"/>
            <w:vAlign w:val="center"/>
          </w:tcPr>
          <w:p w14:paraId="08F48CD0">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w:t>
            </w:r>
          </w:p>
        </w:tc>
        <w:tc>
          <w:tcPr>
            <w:tcW w:w="1351" w:type="dxa"/>
            <w:shd w:val="clear" w:color="auto" w:fill="FFFFFF" w:themeFill="background1"/>
            <w:vAlign w:val="center"/>
          </w:tcPr>
          <w:p w14:paraId="28CAB066">
            <w:pPr>
              <w:spacing w:line="560" w:lineRule="exact"/>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服务地点</w:t>
            </w:r>
          </w:p>
        </w:tc>
        <w:tc>
          <w:tcPr>
            <w:tcW w:w="6765" w:type="dxa"/>
            <w:shd w:val="clear" w:color="auto" w:fill="FFFFFF" w:themeFill="background1"/>
            <w:vAlign w:val="center"/>
          </w:tcPr>
          <w:p w14:paraId="02DE12AC">
            <w:pPr>
              <w:spacing w:line="560" w:lineRule="exact"/>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业主指定地点</w:t>
            </w:r>
          </w:p>
        </w:tc>
      </w:tr>
      <w:tr w14:paraId="04F1F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32" w:hRule="atLeast"/>
          <w:jc w:val="center"/>
        </w:trPr>
        <w:tc>
          <w:tcPr>
            <w:tcW w:w="534" w:type="dxa"/>
            <w:shd w:val="clear" w:color="auto" w:fill="FFFFFF" w:themeFill="background1"/>
            <w:vAlign w:val="center"/>
          </w:tcPr>
          <w:p w14:paraId="512C3601">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10</w:t>
            </w:r>
          </w:p>
        </w:tc>
        <w:tc>
          <w:tcPr>
            <w:tcW w:w="1351" w:type="dxa"/>
            <w:shd w:val="clear" w:color="auto" w:fill="FFFFFF" w:themeFill="background1"/>
            <w:vAlign w:val="center"/>
          </w:tcPr>
          <w:p w14:paraId="2820A878">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供应商资格要求</w:t>
            </w:r>
          </w:p>
        </w:tc>
        <w:tc>
          <w:tcPr>
            <w:tcW w:w="6765" w:type="dxa"/>
            <w:shd w:val="clear" w:color="auto" w:fill="FFFFFF" w:themeFill="background1"/>
            <w:vAlign w:val="center"/>
          </w:tcPr>
          <w:p w14:paraId="07EBD0D9">
            <w:pPr>
              <w:pStyle w:val="47"/>
              <w:widowControl/>
              <w:spacing w:line="360" w:lineRule="auto"/>
              <w:ind w:firstLine="240" w:firstLineChars="100"/>
              <w:jc w:val="left"/>
              <w:rPr>
                <w:rFonts w:hint="eastAsia" w:ascii="宋体" w:hAnsi="宋体" w:cs="宋体"/>
                <w:kern w:val="0"/>
                <w:sz w:val="24"/>
                <w:szCs w:val="24"/>
              </w:rPr>
            </w:pPr>
            <w:r>
              <w:rPr>
                <w:rFonts w:hint="eastAsia" w:ascii="宋体" w:hAnsi="宋体" w:cs="宋体"/>
                <w:kern w:val="0"/>
                <w:sz w:val="24"/>
                <w:szCs w:val="24"/>
              </w:rPr>
              <w:t>1、满足《中华人民共和国政府采购法》第二十二条规定；</w:t>
            </w:r>
          </w:p>
          <w:p w14:paraId="7CB7D2B8">
            <w:pPr>
              <w:pStyle w:val="47"/>
              <w:widowControl/>
              <w:spacing w:line="360" w:lineRule="auto"/>
              <w:ind w:firstLine="240" w:firstLineChars="100"/>
              <w:jc w:val="left"/>
              <w:rPr>
                <w:rFonts w:hint="eastAsia" w:ascii="宋体" w:hAnsi="宋体" w:eastAsia="宋体" w:cs="宋体"/>
                <w:kern w:val="0"/>
                <w:sz w:val="24"/>
                <w:szCs w:val="24"/>
                <w:highlight w:val="none"/>
                <w:lang w:eastAsia="zh-CN"/>
              </w:rPr>
            </w:pPr>
            <w:r>
              <w:rPr>
                <w:rFonts w:hint="eastAsia" w:ascii="宋体" w:hAnsi="宋体" w:cs="宋体"/>
                <w:kern w:val="0"/>
                <w:sz w:val="24"/>
                <w:szCs w:val="24"/>
              </w:rPr>
              <w:t>2、落实政府采购政策需满足的资格要求：</w:t>
            </w:r>
            <w:r>
              <w:rPr>
                <w:rFonts w:hint="eastAsia" w:ascii="宋体" w:hAnsi="宋体" w:cs="宋体"/>
                <w:kern w:val="0"/>
                <w:sz w:val="24"/>
                <w:szCs w:val="24"/>
                <w:highlight w:val="none"/>
                <w:lang w:eastAsia="zh-CN"/>
              </w:rPr>
              <w:t>本项目为专门面向小微企业采购项目。</w:t>
            </w:r>
          </w:p>
          <w:p w14:paraId="76F2A199">
            <w:pPr>
              <w:pStyle w:val="47"/>
              <w:widowControl/>
              <w:spacing w:line="360" w:lineRule="auto"/>
              <w:ind w:firstLine="240" w:firstLineChars="100"/>
              <w:jc w:val="left"/>
              <w:rPr>
                <w:rFonts w:hint="eastAsia" w:ascii="宋体" w:hAnsi="宋体" w:eastAsia="宋体" w:cs="宋体"/>
                <w:sz w:val="24"/>
                <w:szCs w:val="24"/>
                <w:lang w:eastAsia="zh-CN"/>
              </w:rPr>
            </w:pPr>
            <w:r>
              <w:rPr>
                <w:rFonts w:hint="eastAsia" w:ascii="宋体" w:hAnsi="宋体" w:cs="宋体"/>
                <w:kern w:val="0"/>
                <w:sz w:val="24"/>
                <w:szCs w:val="24"/>
                <w:highlight w:val="none"/>
              </w:rPr>
              <w:t>3、本项目的特定资格要求：</w:t>
            </w:r>
            <w:r>
              <w:rPr>
                <w:rFonts w:hint="eastAsia" w:ascii="宋体" w:hAnsi="宋体" w:cs="宋体"/>
                <w:kern w:val="0"/>
                <w:sz w:val="24"/>
                <w:szCs w:val="24"/>
                <w:highlight w:val="none"/>
                <w:lang w:val="en-US" w:eastAsia="zh-CN"/>
              </w:rPr>
              <w:t>无</w:t>
            </w:r>
          </w:p>
        </w:tc>
      </w:tr>
      <w:tr w14:paraId="6E05A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89" w:hRule="atLeast"/>
          <w:jc w:val="center"/>
        </w:trPr>
        <w:tc>
          <w:tcPr>
            <w:tcW w:w="534" w:type="dxa"/>
            <w:shd w:val="clear" w:color="auto" w:fill="FFFFFF" w:themeFill="background1"/>
            <w:vAlign w:val="center"/>
          </w:tcPr>
          <w:p w14:paraId="521F0E6A">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11</w:t>
            </w:r>
          </w:p>
        </w:tc>
        <w:tc>
          <w:tcPr>
            <w:tcW w:w="1351" w:type="dxa"/>
            <w:shd w:val="clear" w:color="auto" w:fill="FFFFFF" w:themeFill="background1"/>
            <w:vAlign w:val="center"/>
          </w:tcPr>
          <w:p w14:paraId="0C78D4AC">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投标</w:t>
            </w:r>
            <w:r>
              <w:rPr>
                <w:rFonts w:hint="eastAsia" w:ascii="宋体" w:hAnsi="宋体" w:eastAsia="宋体" w:cs="宋体"/>
                <w:color w:val="auto"/>
                <w:sz w:val="24"/>
                <w:szCs w:val="24"/>
                <w:highlight w:val="none"/>
              </w:rPr>
              <w:t>保证金</w:t>
            </w:r>
          </w:p>
        </w:tc>
        <w:tc>
          <w:tcPr>
            <w:tcW w:w="6765" w:type="dxa"/>
            <w:shd w:val="clear" w:color="auto" w:fill="FFFFFF" w:themeFill="background1"/>
            <w:vAlign w:val="center"/>
          </w:tcPr>
          <w:p w14:paraId="50E987BC">
            <w:pPr>
              <w:pStyle w:val="47"/>
              <w:widowControl/>
              <w:spacing w:line="360" w:lineRule="auto"/>
              <w:ind w:firstLine="240" w:firstLineChars="1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一、投标保证金金额及形式等</w:t>
            </w:r>
          </w:p>
          <w:p w14:paraId="553F5D86">
            <w:pPr>
              <w:pStyle w:val="47"/>
              <w:widowControl/>
              <w:spacing w:line="360" w:lineRule="auto"/>
              <w:ind w:firstLine="240" w:firstLineChars="1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1.投标保证金金额：</w:t>
            </w:r>
          </w:p>
          <w:p w14:paraId="41517ED5">
            <w:pPr>
              <w:pStyle w:val="47"/>
              <w:widowControl/>
              <w:spacing w:line="360" w:lineRule="auto"/>
              <w:ind w:firstLine="240" w:firstLineChars="1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小写</w:t>
            </w:r>
            <w:r>
              <w:rPr>
                <w:rFonts w:hint="eastAsia" w:ascii="宋体" w:hAnsi="宋体" w:eastAsia="宋体" w:cs="宋体"/>
                <w:kern w:val="0"/>
                <w:sz w:val="24"/>
                <w:szCs w:val="24"/>
                <w:highlight w:val="none"/>
                <w:lang w:eastAsia="zh-CN"/>
              </w:rPr>
              <w:t>：</w:t>
            </w:r>
            <w:r>
              <w:rPr>
                <w:rFonts w:hint="eastAsia" w:ascii="宋体" w:hAnsi="宋体" w:cs="宋体"/>
                <w:kern w:val="0"/>
                <w:sz w:val="24"/>
                <w:szCs w:val="24"/>
                <w:highlight w:val="none"/>
                <w:lang w:val="en-US" w:eastAsia="zh-CN"/>
              </w:rPr>
              <w:t>29900</w:t>
            </w:r>
            <w:r>
              <w:rPr>
                <w:rFonts w:hint="eastAsia" w:ascii="宋体" w:hAnsi="宋体" w:eastAsia="宋体" w:cs="宋体"/>
                <w:kern w:val="0"/>
                <w:sz w:val="24"/>
                <w:szCs w:val="24"/>
                <w:highlight w:val="none"/>
              </w:rPr>
              <w:t>元（大写：</w:t>
            </w:r>
            <w:r>
              <w:rPr>
                <w:rFonts w:hint="eastAsia" w:ascii="宋体" w:hAnsi="宋体" w:cs="宋体"/>
                <w:kern w:val="0"/>
                <w:sz w:val="24"/>
                <w:szCs w:val="24"/>
                <w:highlight w:val="none"/>
                <w:lang w:val="en-US" w:eastAsia="zh-CN"/>
              </w:rPr>
              <w:t>贰万玖仟玖佰</w:t>
            </w:r>
            <w:r>
              <w:rPr>
                <w:rFonts w:hint="eastAsia" w:ascii="宋体" w:hAnsi="宋体" w:eastAsia="宋体" w:cs="宋体"/>
                <w:kern w:val="0"/>
                <w:sz w:val="24"/>
                <w:szCs w:val="24"/>
                <w:highlight w:val="none"/>
              </w:rPr>
              <w:t>元整）</w:t>
            </w:r>
          </w:p>
          <w:p w14:paraId="7D05191D">
            <w:pPr>
              <w:pStyle w:val="47"/>
              <w:widowControl/>
              <w:spacing w:line="360" w:lineRule="auto"/>
              <w:ind w:firstLine="240" w:firstLineChars="1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2.投标保证金应当以保函、公对公、银行转账等非现金形式提交；</w:t>
            </w:r>
          </w:p>
          <w:p w14:paraId="4322443B">
            <w:pPr>
              <w:pStyle w:val="47"/>
              <w:widowControl/>
              <w:spacing w:line="360" w:lineRule="auto"/>
              <w:ind w:firstLine="240" w:firstLineChars="1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3.提交投标保证金时需备注项目名称；</w:t>
            </w:r>
          </w:p>
          <w:p w14:paraId="0A2AF283">
            <w:pPr>
              <w:pStyle w:val="47"/>
              <w:widowControl/>
              <w:spacing w:line="360" w:lineRule="auto"/>
              <w:ind w:firstLine="240" w:firstLineChars="1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4.投标保证金提交截止时间：同响应文件递交截止时间；</w:t>
            </w:r>
          </w:p>
          <w:p w14:paraId="7DF59A86">
            <w:pPr>
              <w:pStyle w:val="47"/>
              <w:widowControl/>
              <w:spacing w:line="360" w:lineRule="auto"/>
              <w:ind w:firstLine="240" w:firstLineChars="1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5.投标保证金提交形式：</w:t>
            </w:r>
          </w:p>
          <w:p w14:paraId="38AEEA69">
            <w:pPr>
              <w:pStyle w:val="47"/>
              <w:widowControl/>
              <w:spacing w:line="360" w:lineRule="auto"/>
              <w:ind w:firstLine="240" w:firstLineChars="1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（1）公对公银行转账。</w:t>
            </w:r>
          </w:p>
          <w:p w14:paraId="79EC2339">
            <w:pPr>
              <w:pStyle w:val="47"/>
              <w:widowControl/>
              <w:spacing w:line="360" w:lineRule="auto"/>
              <w:ind w:firstLine="240" w:firstLineChars="1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开户单位名称：新疆金正建设工程管理有限公司 </w:t>
            </w:r>
          </w:p>
          <w:p w14:paraId="19A288C7">
            <w:pPr>
              <w:pStyle w:val="47"/>
              <w:widowControl/>
              <w:spacing w:line="360" w:lineRule="auto"/>
              <w:ind w:firstLine="240" w:firstLineChars="1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开 户 行：中行乌鲁木齐市友好南路支行</w:t>
            </w:r>
          </w:p>
          <w:p w14:paraId="7F5EFAF1">
            <w:pPr>
              <w:pStyle w:val="47"/>
              <w:widowControl/>
              <w:spacing w:line="360" w:lineRule="auto"/>
              <w:ind w:firstLine="240" w:firstLineChars="1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行    号：104881005062 </w:t>
            </w:r>
          </w:p>
          <w:p w14:paraId="666492B0">
            <w:pPr>
              <w:pStyle w:val="47"/>
              <w:widowControl/>
              <w:spacing w:line="360" w:lineRule="auto"/>
              <w:ind w:firstLine="240" w:firstLineChars="1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银行帐号：107601654453</w:t>
            </w:r>
          </w:p>
          <w:p w14:paraId="12AE0ED4">
            <w:pPr>
              <w:pStyle w:val="47"/>
              <w:widowControl/>
              <w:spacing w:line="360" w:lineRule="auto"/>
              <w:ind w:left="239" w:leftChars="114" w:firstLine="0" w:firstLineChars="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（2）保函承保期限：202</w:t>
            </w:r>
            <w:r>
              <w:rPr>
                <w:rFonts w:hint="eastAsia" w:ascii="宋体" w:hAnsi="宋体" w:cs="宋体"/>
                <w:kern w:val="0"/>
                <w:sz w:val="24"/>
                <w:szCs w:val="24"/>
                <w:highlight w:val="none"/>
                <w:lang w:val="en-US" w:eastAsia="zh-CN"/>
              </w:rPr>
              <w:t>6年06月01日</w:t>
            </w:r>
            <w:r>
              <w:rPr>
                <w:rFonts w:hint="eastAsia" w:ascii="宋体" w:hAnsi="宋体" w:eastAsia="宋体" w:cs="宋体"/>
                <w:kern w:val="0"/>
                <w:sz w:val="24"/>
                <w:szCs w:val="24"/>
                <w:highlight w:val="none"/>
                <w:lang w:val="en-US" w:eastAsia="zh-CN"/>
              </w:rPr>
              <w:t>11:00～2026</w:t>
            </w:r>
            <w:r>
              <w:rPr>
                <w:rFonts w:hint="eastAsia" w:ascii="宋体" w:hAnsi="宋体" w:cs="宋体"/>
                <w:kern w:val="0"/>
                <w:sz w:val="24"/>
                <w:szCs w:val="24"/>
                <w:highlight w:val="none"/>
                <w:lang w:val="en-US" w:eastAsia="zh-CN"/>
              </w:rPr>
              <w:t>年09月01日</w:t>
            </w:r>
            <w:r>
              <w:rPr>
                <w:rFonts w:hint="eastAsia" w:ascii="宋体" w:hAnsi="宋体" w:eastAsia="宋体" w:cs="宋体"/>
                <w:kern w:val="0"/>
                <w:sz w:val="24"/>
                <w:szCs w:val="24"/>
                <w:highlight w:val="none"/>
                <w:lang w:val="en-US" w:eastAsia="zh-CN"/>
              </w:rPr>
              <w:t>11:00</w:t>
            </w:r>
          </w:p>
          <w:p w14:paraId="1FB9E4B7">
            <w:pPr>
              <w:spacing w:after="0" w:line="360" w:lineRule="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投标保证金以保函方式递交的，投标人须提前联系采购人获得保函开具相关信息，保函须在投标文件提交截止时间前将保函制作到电子投标文件中，并在开标截止时间前将保函原件送达采购人或采购代理机构，同时附保函真伪查询方式及查询结果截图，否则不予认可。</w:t>
            </w:r>
          </w:p>
          <w:p w14:paraId="73BF58A4">
            <w:pPr>
              <w:spacing w:after="0" w:line="360" w:lineRule="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说明：</w:t>
            </w:r>
          </w:p>
          <w:p w14:paraId="20F3690B">
            <w:pPr>
              <w:spacing w:after="0" w:line="360" w:lineRule="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1）投标保证金以银行转账、支票、汇票、本票方式缴纳的，必须在提交响应文件截止时间（开标时间）前缴纳至采购代理机构银行账户。供应商需自行评估因异地、跨行、公休日等因素造成的投标保证金到账延迟风险，并承担相应责任。投标保证金以到账信息为准，供应商未按照招标文件要求提交投标保证金的，投标无效。（以银行记录确认到账为准，备注项目名称及项目编号）。</w:t>
            </w:r>
          </w:p>
          <w:p w14:paraId="1B7E02CC">
            <w:pPr>
              <w:spacing w:after="0" w:line="360" w:lineRule="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2）投标保证金以保函方式递交的，政采云电子保函须在投标文件提交截止时间前将保函制作到电子投标文件中；政采云之外的保函，还须在开标截止时间前将保函原件送达采购人或采购代理机构，并附保函真伪查询方式及查询结果截图。</w:t>
            </w:r>
          </w:p>
          <w:p w14:paraId="136EBDA6">
            <w:pPr>
              <w:spacing w:after="0" w:line="360" w:lineRule="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政采云电子保函须知：</w:t>
            </w:r>
          </w:p>
          <w:p w14:paraId="5160B47D">
            <w:pPr>
              <w:spacing w:after="0" w:line="360" w:lineRule="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1）为支持和促进中小企业发展，进一步发挥政府采购政策功能，本采购项目适用于政府采购融资优惠、政采贷、电子保函相关政策，鼓励投标人使用电子保函代替现金缴纳各类保证金，在线完成保函的申请、审核、开票、出函等环节，投标人注意区分办理保函类型，并确认投标有效期。</w:t>
            </w:r>
          </w:p>
          <w:p w14:paraId="059EB1A5">
            <w:pPr>
              <w:pStyle w:val="47"/>
              <w:widowControl/>
              <w:spacing w:line="360" w:lineRule="auto"/>
              <w:ind w:firstLine="240" w:firstLineChars="100"/>
              <w:jc w:val="left"/>
              <w:rPr>
                <w:rFonts w:hint="eastAsia" w:ascii="宋体" w:hAnsi="宋体" w:eastAsia="宋体" w:cs="宋体"/>
                <w:kern w:val="0"/>
                <w:sz w:val="24"/>
                <w:szCs w:val="24"/>
                <w:highlight w:val="none"/>
                <w:lang w:val="en-US" w:eastAsia="zh-CN"/>
              </w:rPr>
            </w:pPr>
            <w:r>
              <w:rPr>
                <w:rFonts w:hint="eastAsia" w:ascii="宋体" w:hAnsi="宋体" w:eastAsia="宋体" w:cs="宋体"/>
                <w:color w:val="auto"/>
                <w:sz w:val="24"/>
                <w:highlight w:val="none"/>
                <w:lang w:eastAsia="zh-CN"/>
              </w:rPr>
              <w:t>（2）如采用政采云电子保函形式，可按照以下形式进行在线申请，电子保函申请链接（https://jinrong.zcygov.cn/luban/finance/letter/xinjiang?pageModelFlag=650000&amp;utm=site.site-PC-42055.1718-block_comp_1709189989843012.6.33f19dd0635411ef9be3cb6599db755d），如遇问题可拨打客服电话：95763。</w:t>
            </w:r>
          </w:p>
          <w:p w14:paraId="6ED13DB1">
            <w:pPr>
              <w:pStyle w:val="47"/>
              <w:widowControl/>
              <w:spacing w:line="360" w:lineRule="auto"/>
              <w:ind w:firstLine="240" w:firstLineChars="1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二、投标保证金退还：</w:t>
            </w:r>
          </w:p>
          <w:p w14:paraId="28D79C82">
            <w:pPr>
              <w:pStyle w:val="47"/>
              <w:widowControl/>
              <w:spacing w:line="360" w:lineRule="auto"/>
              <w:ind w:firstLine="240" w:firstLineChars="1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1.未</w:t>
            </w:r>
            <w:r>
              <w:rPr>
                <w:rFonts w:hint="eastAsia" w:ascii="宋体" w:hAnsi="宋体" w:cs="宋体"/>
                <w:kern w:val="0"/>
                <w:sz w:val="24"/>
                <w:szCs w:val="24"/>
                <w:highlight w:val="none"/>
                <w:lang w:val="en-US" w:eastAsia="zh-CN"/>
              </w:rPr>
              <w:t>中标</w:t>
            </w:r>
            <w:r>
              <w:rPr>
                <w:rFonts w:hint="eastAsia" w:ascii="宋体" w:hAnsi="宋体" w:eastAsia="宋体" w:cs="宋体"/>
                <w:kern w:val="0"/>
                <w:sz w:val="24"/>
                <w:szCs w:val="24"/>
                <w:highlight w:val="none"/>
                <w:lang w:val="en-US" w:eastAsia="zh-CN"/>
              </w:rPr>
              <w:t>供应商的投标保证金将在成交通知书发出后5个工作日内退还。</w:t>
            </w:r>
          </w:p>
          <w:p w14:paraId="0BE311D7">
            <w:pPr>
              <w:pStyle w:val="47"/>
              <w:widowControl/>
              <w:spacing w:line="360" w:lineRule="auto"/>
              <w:ind w:firstLine="240" w:firstLineChars="1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2.成交供应商的投标保证金将在成交供应商与采购单位签订合同，并将合同递交至采购代理后5个工作日内，无息退还。</w:t>
            </w:r>
          </w:p>
          <w:p w14:paraId="6973F681">
            <w:pPr>
              <w:pStyle w:val="47"/>
              <w:widowControl/>
              <w:spacing w:line="360" w:lineRule="auto"/>
              <w:ind w:firstLine="240" w:firstLineChars="1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3.有下列情形之一的，投标保证金不予退还：详见总则第1</w:t>
            </w:r>
            <w:r>
              <w:rPr>
                <w:rFonts w:hint="eastAsia" w:ascii="宋体" w:hAnsi="宋体" w:cs="宋体"/>
                <w:kern w:val="0"/>
                <w:sz w:val="24"/>
                <w:szCs w:val="24"/>
                <w:highlight w:val="none"/>
                <w:lang w:val="en-US" w:eastAsia="zh-CN"/>
              </w:rPr>
              <w:t>5</w:t>
            </w:r>
            <w:r>
              <w:rPr>
                <w:rFonts w:hint="eastAsia" w:ascii="宋体" w:hAnsi="宋体" w:eastAsia="宋体" w:cs="宋体"/>
                <w:kern w:val="0"/>
                <w:sz w:val="24"/>
                <w:szCs w:val="24"/>
                <w:highlight w:val="none"/>
                <w:lang w:val="en-US" w:eastAsia="zh-CN"/>
              </w:rPr>
              <w:t>.</w:t>
            </w:r>
            <w:r>
              <w:rPr>
                <w:rFonts w:hint="eastAsia" w:ascii="宋体" w:hAnsi="宋体" w:cs="宋体"/>
                <w:kern w:val="0"/>
                <w:sz w:val="24"/>
                <w:szCs w:val="24"/>
                <w:highlight w:val="none"/>
                <w:lang w:val="en-US" w:eastAsia="zh-CN"/>
              </w:rPr>
              <w:t>5</w:t>
            </w:r>
            <w:r>
              <w:rPr>
                <w:rFonts w:hint="eastAsia" w:ascii="宋体" w:hAnsi="宋体" w:eastAsia="宋体" w:cs="宋体"/>
                <w:kern w:val="0"/>
                <w:sz w:val="24"/>
                <w:szCs w:val="24"/>
                <w:highlight w:val="none"/>
                <w:lang w:val="en-US" w:eastAsia="zh-CN"/>
              </w:rPr>
              <w:t xml:space="preserve">条。 </w:t>
            </w:r>
          </w:p>
          <w:p w14:paraId="77E5E6C9">
            <w:pPr>
              <w:pStyle w:val="47"/>
              <w:widowControl/>
              <w:spacing w:line="360" w:lineRule="auto"/>
              <w:ind w:firstLine="240" w:firstLineChars="100"/>
              <w:jc w:val="left"/>
              <w:rPr>
                <w:rFonts w:hint="eastAsia"/>
                <w:highlight w:val="none"/>
                <w:lang w:eastAsia="zh-CN"/>
              </w:rPr>
            </w:pPr>
            <w:r>
              <w:rPr>
                <w:rFonts w:hint="eastAsia" w:ascii="宋体" w:hAnsi="宋体" w:eastAsia="宋体" w:cs="宋体"/>
                <w:kern w:val="0"/>
                <w:sz w:val="24"/>
                <w:szCs w:val="24"/>
                <w:highlight w:val="none"/>
                <w:lang w:val="en-US" w:eastAsia="zh-CN"/>
              </w:rPr>
              <w:t>注：供应商未按照投标文件要求提交投标保证金的，响应无效。</w:t>
            </w:r>
          </w:p>
        </w:tc>
      </w:tr>
      <w:tr w14:paraId="7DDC7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34" w:type="dxa"/>
            <w:shd w:val="clear" w:color="auto" w:fill="FFFFFF" w:themeFill="background1"/>
            <w:vAlign w:val="center"/>
          </w:tcPr>
          <w:p w14:paraId="693267FB">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12</w:t>
            </w:r>
          </w:p>
        </w:tc>
        <w:tc>
          <w:tcPr>
            <w:tcW w:w="1351" w:type="dxa"/>
            <w:shd w:val="clear" w:color="auto" w:fill="FFFFFF" w:themeFill="background1"/>
            <w:vAlign w:val="center"/>
          </w:tcPr>
          <w:p w14:paraId="4DCBE9D1">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是否接受联合体</w:t>
            </w:r>
          </w:p>
        </w:tc>
        <w:tc>
          <w:tcPr>
            <w:tcW w:w="6765" w:type="dxa"/>
            <w:shd w:val="clear" w:color="auto" w:fill="FFFFFF" w:themeFill="background1"/>
            <w:vAlign w:val="center"/>
          </w:tcPr>
          <w:p w14:paraId="22D5C467">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sym w:font="Wingdings" w:char="00FE"/>
            </w:r>
            <w:r>
              <w:rPr>
                <w:rFonts w:hint="eastAsia" w:ascii="宋体" w:hAnsi="宋体" w:eastAsia="宋体" w:cs="宋体"/>
                <w:color w:val="auto"/>
                <w:sz w:val="24"/>
                <w:szCs w:val="24"/>
              </w:rPr>
              <w:t>不接受/</w:t>
            </w:r>
            <w:r>
              <w:rPr>
                <w:rFonts w:hint="eastAsia" w:ascii="宋体" w:hAnsi="宋体" w:eastAsia="宋体" w:cs="宋体"/>
                <w:color w:val="auto"/>
                <w:sz w:val="24"/>
                <w:szCs w:val="24"/>
              </w:rPr>
              <w:sym w:font="Wingdings" w:char="00A8"/>
            </w:r>
            <w:r>
              <w:rPr>
                <w:rFonts w:hint="eastAsia" w:ascii="宋体" w:hAnsi="宋体" w:eastAsia="宋体" w:cs="宋体"/>
                <w:color w:val="auto"/>
                <w:sz w:val="24"/>
                <w:szCs w:val="24"/>
              </w:rPr>
              <w:t>接受</w:t>
            </w:r>
          </w:p>
        </w:tc>
      </w:tr>
      <w:tr w14:paraId="21ED0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70" w:hRule="atLeast"/>
          <w:jc w:val="center"/>
        </w:trPr>
        <w:tc>
          <w:tcPr>
            <w:tcW w:w="534" w:type="dxa"/>
            <w:shd w:val="clear" w:color="auto" w:fill="FFFFFF" w:themeFill="background1"/>
            <w:vAlign w:val="center"/>
          </w:tcPr>
          <w:p w14:paraId="0DAFEACF">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13</w:t>
            </w:r>
          </w:p>
        </w:tc>
        <w:tc>
          <w:tcPr>
            <w:tcW w:w="1351" w:type="dxa"/>
            <w:shd w:val="clear" w:color="auto" w:fill="FFFFFF" w:themeFill="background1"/>
            <w:vAlign w:val="center"/>
          </w:tcPr>
          <w:p w14:paraId="30CFBDF9">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分包</w:t>
            </w:r>
          </w:p>
        </w:tc>
        <w:tc>
          <w:tcPr>
            <w:tcW w:w="6765" w:type="dxa"/>
            <w:shd w:val="clear" w:color="auto" w:fill="FFFFFF" w:themeFill="background1"/>
            <w:vAlign w:val="center"/>
          </w:tcPr>
          <w:p w14:paraId="2CB7CAD5">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sym w:font="Wingdings" w:char="00FE"/>
            </w:r>
            <w:r>
              <w:rPr>
                <w:rFonts w:hint="eastAsia" w:ascii="宋体" w:hAnsi="宋体" w:eastAsia="宋体" w:cs="宋体"/>
                <w:color w:val="auto"/>
                <w:sz w:val="24"/>
                <w:szCs w:val="24"/>
              </w:rPr>
              <w:t>不允许/</w:t>
            </w:r>
            <w:r>
              <w:rPr>
                <w:rFonts w:hint="eastAsia" w:ascii="宋体" w:hAnsi="宋体" w:eastAsia="宋体" w:cs="宋体"/>
                <w:color w:val="auto"/>
                <w:sz w:val="24"/>
                <w:szCs w:val="24"/>
              </w:rPr>
              <w:sym w:font="Wingdings" w:char="00A8"/>
            </w:r>
            <w:r>
              <w:rPr>
                <w:rFonts w:hint="eastAsia" w:ascii="宋体" w:hAnsi="宋体" w:eastAsia="宋体" w:cs="宋体"/>
                <w:color w:val="auto"/>
                <w:sz w:val="24"/>
                <w:szCs w:val="24"/>
              </w:rPr>
              <w:t>允许</w:t>
            </w:r>
          </w:p>
        </w:tc>
      </w:tr>
      <w:tr w14:paraId="2F1DF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70" w:hRule="atLeast"/>
          <w:jc w:val="center"/>
        </w:trPr>
        <w:tc>
          <w:tcPr>
            <w:tcW w:w="534" w:type="dxa"/>
            <w:shd w:val="clear" w:color="auto" w:fill="FFFFFF" w:themeFill="background1"/>
            <w:vAlign w:val="center"/>
          </w:tcPr>
          <w:p w14:paraId="1DC7D1E7">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14</w:t>
            </w:r>
          </w:p>
        </w:tc>
        <w:tc>
          <w:tcPr>
            <w:tcW w:w="1351" w:type="dxa"/>
            <w:shd w:val="clear" w:color="auto" w:fill="FFFFFF" w:themeFill="background1"/>
            <w:vAlign w:val="center"/>
          </w:tcPr>
          <w:p w14:paraId="15CC552D">
            <w:pPr>
              <w:spacing w:line="560" w:lineRule="exact"/>
              <w:jc w:val="center"/>
              <w:rPr>
                <w:rFonts w:hint="eastAsia" w:ascii="宋体" w:hAnsi="宋体" w:eastAsia="宋体" w:cs="宋体"/>
                <w:color w:val="auto"/>
                <w:sz w:val="24"/>
                <w:szCs w:val="24"/>
                <w:lang w:eastAsia="zh-CN"/>
              </w:rPr>
            </w:pPr>
            <w:r>
              <w:rPr>
                <w:rFonts w:hint="eastAsia" w:ascii="宋体" w:hAnsi="宋体" w:eastAsia="宋体" w:cs="宋体"/>
                <w:bCs/>
                <w:color w:val="auto"/>
                <w:sz w:val="24"/>
                <w:szCs w:val="24"/>
                <w:lang w:eastAsia="zh-CN"/>
              </w:rPr>
              <w:t>投标文件份数、上传截止时间、地点</w:t>
            </w:r>
          </w:p>
        </w:tc>
        <w:tc>
          <w:tcPr>
            <w:tcW w:w="6765" w:type="dxa"/>
            <w:shd w:val="clear" w:color="auto" w:fill="FFFFFF" w:themeFill="background1"/>
            <w:vAlign w:val="center"/>
          </w:tcPr>
          <w:p w14:paraId="5AEC530C">
            <w:pPr>
              <w:pStyle w:val="47"/>
              <w:widowControl/>
              <w:numPr>
                <w:ilvl w:val="0"/>
                <w:numId w:val="3"/>
              </w:numPr>
              <w:spacing w:line="560" w:lineRule="exact"/>
              <w:jc w:val="left"/>
              <w:rPr>
                <w:rFonts w:hint="eastAsia" w:ascii="宋体" w:hAnsi="宋体" w:cs="宋体"/>
                <w:bCs/>
                <w:kern w:val="0"/>
                <w:sz w:val="24"/>
                <w:szCs w:val="24"/>
              </w:rPr>
            </w:pPr>
            <w:r>
              <w:rPr>
                <w:rFonts w:hint="eastAsia" w:ascii="宋体" w:hAnsi="宋体" w:cs="宋体"/>
                <w:bCs/>
                <w:kern w:val="0"/>
                <w:sz w:val="24"/>
                <w:szCs w:val="24"/>
              </w:rPr>
              <w:t>电子加密投标文件1份，无正副本区别，仅需在规定时间内向政采云系统上传即可）。</w:t>
            </w:r>
          </w:p>
          <w:p w14:paraId="373AD9F0">
            <w:pPr>
              <w:pStyle w:val="47"/>
              <w:widowControl/>
              <w:numPr>
                <w:ilvl w:val="0"/>
                <w:numId w:val="3"/>
              </w:numPr>
              <w:spacing w:line="560" w:lineRule="exact"/>
              <w:jc w:val="left"/>
              <w:rPr>
                <w:rFonts w:hint="eastAsia" w:ascii="宋体" w:hAnsi="宋体" w:cs="宋体"/>
                <w:bCs/>
                <w:kern w:val="0"/>
                <w:sz w:val="24"/>
                <w:szCs w:val="24"/>
                <w:highlight w:val="none"/>
              </w:rPr>
            </w:pPr>
            <w:r>
              <w:rPr>
                <w:rFonts w:hint="eastAsia" w:ascii="宋体" w:hAnsi="宋体" w:cs="宋体"/>
                <w:bCs/>
                <w:sz w:val="24"/>
                <w:szCs w:val="24"/>
              </w:rPr>
              <w:t>中标人须在</w:t>
            </w:r>
            <w:r>
              <w:rPr>
                <w:rFonts w:hint="eastAsia" w:ascii="宋体" w:hAnsi="宋体" w:cs="宋体"/>
                <w:b/>
                <w:sz w:val="24"/>
                <w:szCs w:val="24"/>
              </w:rPr>
              <w:t>招标结束后五个工作日内</w:t>
            </w:r>
            <w:r>
              <w:rPr>
                <w:rFonts w:hint="eastAsia" w:ascii="宋体" w:hAnsi="宋体" w:cs="宋体"/>
                <w:bCs/>
                <w:sz w:val="24"/>
                <w:szCs w:val="24"/>
              </w:rPr>
              <w:t>向采购代理机构递交</w:t>
            </w:r>
            <w:r>
              <w:rPr>
                <w:rFonts w:hint="eastAsia" w:ascii="宋体" w:hAnsi="宋体" w:cs="宋体"/>
                <w:b/>
                <w:sz w:val="24"/>
                <w:szCs w:val="24"/>
              </w:rPr>
              <w:t>签章纸质版投标文件一正</w:t>
            </w:r>
            <w:r>
              <w:rPr>
                <w:rFonts w:hint="eastAsia" w:ascii="宋体" w:hAnsi="宋体" w:cs="宋体"/>
                <w:b/>
                <w:sz w:val="24"/>
                <w:szCs w:val="24"/>
                <w:lang w:val="en-US" w:eastAsia="zh-CN"/>
              </w:rPr>
              <w:t>一副</w:t>
            </w:r>
            <w:r>
              <w:rPr>
                <w:rFonts w:hint="eastAsia" w:ascii="宋体" w:hAnsi="宋体" w:cs="宋体"/>
                <w:b/>
                <w:sz w:val="24"/>
                <w:szCs w:val="24"/>
              </w:rPr>
              <w:t>胶装成册（用于档案资料编制），</w:t>
            </w:r>
            <w:r>
              <w:rPr>
                <w:rFonts w:hint="eastAsia" w:ascii="宋体" w:hAnsi="宋体" w:cs="宋体"/>
                <w:bCs/>
                <w:sz w:val="24"/>
                <w:szCs w:val="24"/>
              </w:rPr>
              <w:t>纸质版投标文件须与政采云平台上传的电子版投标文件保持一致</w:t>
            </w:r>
            <w:r>
              <w:rPr>
                <w:rFonts w:hint="eastAsia" w:ascii="宋体" w:hAnsi="宋体" w:cs="宋体"/>
                <w:bCs/>
                <w:sz w:val="24"/>
                <w:szCs w:val="24"/>
                <w:highlight w:val="none"/>
              </w:rPr>
              <w:t>。</w:t>
            </w:r>
          </w:p>
          <w:p w14:paraId="67C79936">
            <w:pPr>
              <w:pStyle w:val="47"/>
              <w:widowControl/>
              <w:spacing w:line="560" w:lineRule="exact"/>
              <w:jc w:val="left"/>
              <w:rPr>
                <w:rFonts w:hint="eastAsia" w:ascii="宋体" w:hAnsi="宋体" w:cs="宋体"/>
                <w:bCs/>
                <w:kern w:val="0"/>
                <w:sz w:val="24"/>
                <w:szCs w:val="24"/>
                <w:highlight w:val="none"/>
              </w:rPr>
            </w:pPr>
            <w:r>
              <w:rPr>
                <w:rFonts w:hint="eastAsia" w:ascii="宋体" w:hAnsi="宋体" w:cs="宋体"/>
                <w:bCs/>
                <w:kern w:val="0"/>
                <w:sz w:val="24"/>
                <w:szCs w:val="24"/>
                <w:highlight w:val="none"/>
              </w:rPr>
              <w:t>（2）投标文件上传截止时间：</w:t>
            </w:r>
            <w:r>
              <w:rPr>
                <w:rFonts w:hint="eastAsia" w:ascii="宋体" w:hAnsi="宋体" w:cs="宋体"/>
                <w:sz w:val="24"/>
                <w:szCs w:val="24"/>
                <w:highlight w:val="none"/>
                <w:u w:val="single"/>
              </w:rPr>
              <w:t>202</w:t>
            </w:r>
            <w:r>
              <w:rPr>
                <w:rFonts w:hint="eastAsia" w:ascii="宋体" w:hAnsi="宋体" w:cs="宋体"/>
                <w:sz w:val="24"/>
                <w:szCs w:val="24"/>
                <w:highlight w:val="none"/>
                <w:u w:val="single"/>
                <w:lang w:val="en-US" w:eastAsia="zh-CN"/>
              </w:rPr>
              <w:t>6</w:t>
            </w:r>
            <w:r>
              <w:rPr>
                <w:rFonts w:hint="eastAsia" w:ascii="宋体" w:hAnsi="宋体" w:cs="宋体"/>
                <w:bCs/>
                <w:sz w:val="24"/>
                <w:szCs w:val="24"/>
                <w:highlight w:val="none"/>
                <w:u w:val="single"/>
              </w:rPr>
              <w:t>年</w:t>
            </w:r>
            <w:r>
              <w:rPr>
                <w:rFonts w:hint="eastAsia" w:ascii="宋体" w:hAnsi="宋体" w:cs="宋体"/>
                <w:bCs/>
                <w:sz w:val="24"/>
                <w:szCs w:val="24"/>
                <w:highlight w:val="none"/>
                <w:u w:val="single"/>
                <w:lang w:val="en-US" w:eastAsia="zh-CN"/>
              </w:rPr>
              <w:t>06</w:t>
            </w:r>
            <w:r>
              <w:rPr>
                <w:rFonts w:hint="eastAsia" w:ascii="宋体" w:hAnsi="宋体" w:cs="宋体"/>
                <w:bCs/>
                <w:sz w:val="24"/>
                <w:szCs w:val="24"/>
                <w:highlight w:val="none"/>
                <w:u w:val="single"/>
              </w:rPr>
              <w:t>月</w:t>
            </w:r>
            <w:r>
              <w:rPr>
                <w:rFonts w:hint="eastAsia" w:ascii="宋体" w:hAnsi="宋体" w:cs="宋体"/>
                <w:bCs/>
                <w:sz w:val="24"/>
                <w:szCs w:val="24"/>
                <w:highlight w:val="none"/>
                <w:u w:val="single"/>
                <w:lang w:val="en-US" w:eastAsia="zh-CN"/>
              </w:rPr>
              <w:t>01</w:t>
            </w:r>
            <w:r>
              <w:rPr>
                <w:rFonts w:hint="eastAsia" w:ascii="宋体" w:hAnsi="宋体" w:cs="宋体"/>
                <w:bCs/>
                <w:sz w:val="24"/>
                <w:szCs w:val="24"/>
                <w:highlight w:val="none"/>
                <w:u w:val="single"/>
              </w:rPr>
              <w:t>日</w:t>
            </w:r>
            <w:r>
              <w:rPr>
                <w:rFonts w:hint="eastAsia" w:ascii="宋体" w:hAnsi="宋体" w:cs="宋体"/>
                <w:bCs/>
                <w:sz w:val="24"/>
                <w:szCs w:val="24"/>
                <w:highlight w:val="none"/>
                <w:u w:val="single"/>
                <w:lang w:val="en-US" w:eastAsia="zh-CN"/>
              </w:rPr>
              <w:t>11</w:t>
            </w:r>
            <w:r>
              <w:rPr>
                <w:rFonts w:hint="eastAsia" w:ascii="宋体" w:hAnsi="宋体" w:cs="宋体"/>
                <w:bCs/>
                <w:sz w:val="24"/>
                <w:szCs w:val="24"/>
                <w:highlight w:val="none"/>
                <w:u w:val="single"/>
              </w:rPr>
              <w:t>点</w:t>
            </w:r>
            <w:r>
              <w:rPr>
                <w:rFonts w:hint="eastAsia" w:ascii="宋体" w:hAnsi="宋体" w:cs="宋体"/>
                <w:bCs/>
                <w:sz w:val="24"/>
                <w:szCs w:val="24"/>
                <w:highlight w:val="none"/>
                <w:u w:val="single"/>
                <w:lang w:val="en-US" w:eastAsia="zh-CN"/>
              </w:rPr>
              <w:t>00</w:t>
            </w:r>
            <w:r>
              <w:rPr>
                <w:rFonts w:hint="eastAsia" w:ascii="宋体" w:hAnsi="宋体" w:cs="宋体"/>
                <w:bCs/>
                <w:sz w:val="24"/>
                <w:szCs w:val="24"/>
                <w:highlight w:val="none"/>
                <w:u w:val="single"/>
              </w:rPr>
              <w:t>分</w:t>
            </w:r>
            <w:r>
              <w:rPr>
                <w:rFonts w:hint="eastAsia" w:ascii="宋体" w:hAnsi="宋体" w:cs="宋体"/>
                <w:bCs/>
                <w:kern w:val="0"/>
                <w:sz w:val="24"/>
                <w:szCs w:val="24"/>
                <w:highlight w:val="none"/>
              </w:rPr>
              <w:t>（北京时间）</w:t>
            </w:r>
          </w:p>
          <w:p w14:paraId="6F4DA254">
            <w:pPr>
              <w:spacing w:line="560" w:lineRule="exact"/>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eastAsia="zh-CN"/>
              </w:rPr>
              <w:t>（3）投标文件上传地点：在投标截止时间前将电子加密投标文件成功上传至“政府采购云平台”，投标人成功上传电子加密投标文件后，可自行打印投标文件接收回执。</w:t>
            </w:r>
          </w:p>
          <w:p w14:paraId="10595812">
            <w:pPr>
              <w:pStyle w:val="90"/>
              <w:spacing w:line="560" w:lineRule="exact"/>
              <w:rPr>
                <w:rFonts w:hint="eastAsia" w:ascii="宋体" w:hAnsi="宋体" w:eastAsia="宋体" w:cs="宋体"/>
                <w:bCs/>
                <w:sz w:val="24"/>
                <w:szCs w:val="24"/>
              </w:rPr>
            </w:pPr>
            <w:r>
              <w:rPr>
                <w:rFonts w:hint="eastAsia" w:ascii="宋体" w:hAnsi="宋体" w:eastAsia="宋体" w:cs="宋体"/>
                <w:bCs/>
                <w:sz w:val="24"/>
                <w:szCs w:val="24"/>
              </w:rPr>
              <w:t>（4）电子投标文件包括“电子加密投标文件”和“备份投标文件”，在投标文件编制完成后同时生成。</w:t>
            </w:r>
          </w:p>
          <w:p w14:paraId="4E945F37">
            <w:pPr>
              <w:pStyle w:val="90"/>
              <w:spacing w:line="560" w:lineRule="exact"/>
              <w:rPr>
                <w:rFonts w:hint="eastAsia" w:ascii="宋体" w:hAnsi="宋体" w:eastAsia="宋体" w:cs="宋体"/>
                <w:bCs/>
                <w:sz w:val="24"/>
                <w:szCs w:val="24"/>
              </w:rPr>
            </w:pPr>
            <w:r>
              <w:rPr>
                <w:rFonts w:hint="eastAsia" w:ascii="宋体" w:hAnsi="宋体" w:eastAsia="宋体" w:cs="宋体"/>
                <w:bCs/>
                <w:sz w:val="24"/>
                <w:szCs w:val="24"/>
              </w:rPr>
              <w:t>①“电子加密投标文件（“.jmbs”格式）”是指通过“政采云电子交易客户端”完成投标文件编制后生成并加密的数据电文形式的投标文件。</w:t>
            </w:r>
          </w:p>
          <w:p w14:paraId="2D158F0F">
            <w:pPr>
              <w:pStyle w:val="90"/>
              <w:spacing w:line="560" w:lineRule="exact"/>
              <w:rPr>
                <w:rFonts w:hint="eastAsia" w:ascii="宋体" w:hAnsi="宋体" w:eastAsia="宋体" w:cs="宋体"/>
                <w:kern w:val="0"/>
                <w:sz w:val="24"/>
                <w:szCs w:val="24"/>
              </w:rPr>
            </w:pPr>
            <w:r>
              <w:rPr>
                <w:rFonts w:hint="eastAsia" w:ascii="宋体" w:hAnsi="宋体" w:eastAsia="宋体" w:cs="宋体"/>
                <w:bCs/>
                <w:sz w:val="24"/>
                <w:szCs w:val="24"/>
              </w:rPr>
              <w:t>②“备份投标文件（“.bfbs”格式）”是指与“电子加密投标文件”同时生成的数据电文形式的电子文件（备份标书，用于投标人标书解密异常时应急使用），其他方式编制的备份投标文件视为无效备份投标文件。</w:t>
            </w:r>
          </w:p>
        </w:tc>
      </w:tr>
      <w:tr w14:paraId="14403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94" w:hRule="atLeast"/>
          <w:jc w:val="center"/>
        </w:trPr>
        <w:tc>
          <w:tcPr>
            <w:tcW w:w="534" w:type="dxa"/>
            <w:shd w:val="clear" w:color="auto" w:fill="FFFFFF" w:themeFill="background1"/>
            <w:vAlign w:val="center"/>
          </w:tcPr>
          <w:p w14:paraId="2A9734ED">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15</w:t>
            </w:r>
          </w:p>
        </w:tc>
        <w:tc>
          <w:tcPr>
            <w:tcW w:w="1351" w:type="dxa"/>
            <w:shd w:val="clear" w:color="auto" w:fill="FFFFFF" w:themeFill="background1"/>
            <w:vAlign w:val="center"/>
          </w:tcPr>
          <w:p w14:paraId="05D621DF">
            <w:pPr>
              <w:spacing w:line="5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重要说明</w:t>
            </w:r>
          </w:p>
        </w:tc>
        <w:tc>
          <w:tcPr>
            <w:tcW w:w="6765" w:type="dxa"/>
            <w:shd w:val="clear" w:color="auto" w:fill="FFFFFF" w:themeFill="background1"/>
            <w:vAlign w:val="center"/>
          </w:tcPr>
          <w:p w14:paraId="02DE1D37">
            <w:pPr>
              <w:spacing w:line="560" w:lineRule="exact"/>
              <w:rPr>
                <w:rFonts w:hint="eastAsia" w:ascii="宋体" w:hAnsi="宋体" w:eastAsia="宋体" w:cs="宋体"/>
                <w:b/>
                <w:color w:val="auto"/>
                <w:sz w:val="24"/>
                <w:szCs w:val="24"/>
                <w:lang w:eastAsia="zh-CN"/>
              </w:rPr>
            </w:pPr>
            <w:r>
              <w:rPr>
                <w:rFonts w:hint="eastAsia" w:ascii="宋体" w:hAnsi="宋体" w:eastAsia="宋体" w:cs="宋体"/>
                <w:b/>
                <w:color w:val="auto"/>
                <w:sz w:val="24"/>
                <w:szCs w:val="24"/>
                <w:lang w:eastAsia="zh-CN"/>
              </w:rPr>
              <w:t>1、电子招投标情况说明：</w:t>
            </w:r>
          </w:p>
          <w:p w14:paraId="1E13791C">
            <w:pPr>
              <w:spacing w:line="560" w:lineRule="exact"/>
              <w:rPr>
                <w:rFonts w:hint="eastAsia" w:ascii="宋体" w:hAnsi="宋体" w:eastAsia="宋体" w:cs="宋体"/>
                <w:color w:val="auto"/>
                <w:sz w:val="24"/>
                <w:szCs w:val="24"/>
              </w:rPr>
            </w:pPr>
            <w:r>
              <w:rPr>
                <w:rFonts w:hint="eastAsia" w:ascii="宋体" w:hAnsi="宋体" w:eastAsia="宋体" w:cs="宋体"/>
                <w:bCs/>
                <w:color w:val="auto"/>
                <w:sz w:val="24"/>
                <w:szCs w:val="24"/>
              </w:rPr>
              <w:t>（1）</w:t>
            </w:r>
            <w:r>
              <w:rPr>
                <w:rFonts w:hint="eastAsia" w:ascii="宋体" w:hAnsi="宋体" w:eastAsia="宋体" w:cs="宋体"/>
                <w:b/>
                <w:color w:val="auto"/>
                <w:sz w:val="24"/>
                <w:szCs w:val="24"/>
              </w:rPr>
              <w:t>电子招投标</w:t>
            </w:r>
            <w:r>
              <w:rPr>
                <w:rFonts w:hint="eastAsia" w:ascii="宋体" w:hAnsi="宋体" w:eastAsia="宋体" w:cs="宋体"/>
                <w:color w:val="auto"/>
                <w:sz w:val="24"/>
                <w:szCs w:val="24"/>
              </w:rPr>
              <w:t>：本项目以数据电文形式，依托“政府采购云平台（www.zcygov.cn）”进行招投标活动</w:t>
            </w:r>
            <w:r>
              <w:rPr>
                <w:rFonts w:hint="eastAsia" w:ascii="宋体" w:hAnsi="宋体" w:eastAsia="宋体" w:cs="宋体"/>
                <w:b/>
                <w:bCs/>
                <w:color w:val="auto"/>
                <w:sz w:val="24"/>
                <w:szCs w:val="24"/>
              </w:rPr>
              <w:t>。</w:t>
            </w:r>
          </w:p>
          <w:p w14:paraId="6C19EE81">
            <w:pPr>
              <w:spacing w:line="560" w:lineRule="exact"/>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（2）</w:t>
            </w:r>
            <w:r>
              <w:rPr>
                <w:rFonts w:hint="eastAsia" w:ascii="宋体" w:hAnsi="宋体" w:eastAsia="宋体" w:cs="宋体"/>
                <w:b/>
                <w:color w:val="auto"/>
                <w:sz w:val="24"/>
                <w:szCs w:val="24"/>
                <w:lang w:eastAsia="zh-CN"/>
              </w:rPr>
              <w:t>投标准备</w:t>
            </w:r>
            <w:r>
              <w:rPr>
                <w:rFonts w:hint="eastAsia" w:ascii="宋体" w:hAnsi="宋体" w:eastAsia="宋体" w:cs="宋体"/>
                <w:color w:val="auto"/>
                <w:sz w:val="24"/>
                <w:szCs w:val="24"/>
                <w:lang w:eastAsia="zh-CN"/>
              </w:rPr>
              <w:t>：注册账号--点击“商家入驻”，进行政府采购投标人资料填写；申领CA数字证书---申领流程详见“新疆政府采购网-下载专区-电子交易客户端-CA驱动和申领流程”；安装“政采云电子交易客户端”----前往“新疆政府采购网-下载专区-政采云投标客户端”进行下载并安装。</w:t>
            </w:r>
          </w:p>
          <w:p w14:paraId="39DFB8B5">
            <w:pPr>
              <w:spacing w:line="560" w:lineRule="exact"/>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（3）</w:t>
            </w:r>
            <w:r>
              <w:rPr>
                <w:rFonts w:hint="eastAsia" w:ascii="宋体" w:hAnsi="宋体" w:eastAsia="宋体" w:cs="宋体"/>
                <w:b/>
                <w:color w:val="auto"/>
                <w:sz w:val="24"/>
                <w:szCs w:val="24"/>
                <w:lang w:eastAsia="zh-CN"/>
              </w:rPr>
              <w:t>采购文件的获取</w:t>
            </w:r>
            <w:r>
              <w:rPr>
                <w:rFonts w:hint="eastAsia" w:ascii="宋体" w:hAnsi="宋体" w:eastAsia="宋体" w:cs="宋体"/>
                <w:color w:val="auto"/>
                <w:sz w:val="24"/>
                <w:szCs w:val="24"/>
                <w:lang w:eastAsia="zh-CN"/>
              </w:rPr>
              <w:t>：使用账号登录或者</w:t>
            </w:r>
            <w:r>
              <w:rPr>
                <w:rFonts w:hint="eastAsia" w:ascii="宋体" w:hAnsi="宋体" w:eastAsia="宋体" w:cs="宋体"/>
                <w:color w:val="auto"/>
                <w:sz w:val="24"/>
                <w:szCs w:val="24"/>
                <w:lang w:eastAsia="zh-CN" w:bidi="zh-CN"/>
              </w:rPr>
              <w:t>短信验证码</w:t>
            </w:r>
            <w:r>
              <w:rPr>
                <w:rFonts w:hint="eastAsia" w:ascii="宋体" w:hAnsi="宋体" w:eastAsia="宋体" w:cs="宋体"/>
                <w:color w:val="auto"/>
                <w:sz w:val="24"/>
                <w:szCs w:val="24"/>
                <w:lang w:eastAsia="zh-CN"/>
              </w:rPr>
              <w:t>或者使用CA登录政采云平台；进入“项目采购”应用，在获取采购文件菜单中选择项目，获取采购文件。</w:t>
            </w:r>
          </w:p>
          <w:p w14:paraId="56BDDCAE">
            <w:pPr>
              <w:spacing w:line="560" w:lineRule="exact"/>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（4）</w:t>
            </w:r>
            <w:r>
              <w:rPr>
                <w:rFonts w:hint="eastAsia" w:ascii="宋体" w:hAnsi="宋体" w:eastAsia="宋体" w:cs="宋体"/>
                <w:b/>
                <w:color w:val="auto"/>
                <w:sz w:val="24"/>
                <w:szCs w:val="24"/>
                <w:lang w:eastAsia="zh-CN"/>
              </w:rPr>
              <w:t>投标文件的制作</w:t>
            </w:r>
            <w:r>
              <w:rPr>
                <w:rFonts w:hint="eastAsia" w:ascii="宋体" w:hAnsi="宋体" w:eastAsia="宋体" w:cs="宋体"/>
                <w:color w:val="auto"/>
                <w:sz w:val="24"/>
                <w:szCs w:val="24"/>
                <w:lang w:eastAsia="zh-CN"/>
              </w:rPr>
              <w:t>：在“政采云投标客户端”中完成“填写基本信息”、“导入投标文件”、“标书关联”、“标书检查”、“电子签名”、“生成电子标书”等操作。</w:t>
            </w:r>
          </w:p>
          <w:p w14:paraId="4CC7F2C0">
            <w:pPr>
              <w:spacing w:line="560" w:lineRule="exact"/>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（5）</w:t>
            </w:r>
            <w:r>
              <w:rPr>
                <w:rFonts w:hint="eastAsia" w:ascii="宋体" w:hAnsi="宋体" w:eastAsia="宋体" w:cs="宋体"/>
                <w:b/>
                <w:color w:val="auto"/>
                <w:sz w:val="24"/>
                <w:szCs w:val="24"/>
                <w:lang w:eastAsia="zh-CN"/>
              </w:rPr>
              <w:t>投标文件的递交</w:t>
            </w:r>
            <w:r>
              <w:rPr>
                <w:rFonts w:hint="eastAsia" w:ascii="宋体" w:hAnsi="宋体" w:eastAsia="宋体" w:cs="宋体"/>
                <w:color w:val="auto"/>
                <w:sz w:val="24"/>
                <w:szCs w:val="24"/>
                <w:lang w:eastAsia="zh-CN"/>
              </w:rPr>
              <w:t>：投标人在投标截止时间前将加密的投标文件上传至政府采购云平台。</w:t>
            </w:r>
          </w:p>
          <w:p w14:paraId="2DB88D0A">
            <w:pPr>
              <w:spacing w:line="560" w:lineRule="exact"/>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（6）</w:t>
            </w:r>
            <w:r>
              <w:rPr>
                <w:rFonts w:hint="eastAsia" w:ascii="宋体" w:hAnsi="宋体" w:eastAsia="宋体" w:cs="宋体"/>
                <w:b/>
                <w:color w:val="auto"/>
                <w:sz w:val="24"/>
                <w:szCs w:val="24"/>
                <w:lang w:eastAsia="zh-CN"/>
              </w:rPr>
              <w:t>投标文件的解密</w:t>
            </w:r>
            <w:r>
              <w:rPr>
                <w:rFonts w:hint="eastAsia" w:ascii="宋体" w:hAnsi="宋体" w:eastAsia="宋体" w:cs="宋体"/>
                <w:color w:val="auto"/>
                <w:sz w:val="24"/>
                <w:szCs w:val="24"/>
                <w:lang w:eastAsia="zh-CN"/>
              </w:rPr>
              <w:t>：投标文件解密时间30分钟，开标前需投标人用CA证书登录政采云平台开标大厅签到，在30分钟解密时间内输入CA证书PIN码解密投标文件。在30分钟解密时间内未进行解密的投标人将导致投标无效。（解密时间开始时政采云平台将以短信形式向投标人在政采云平台预留的手机号发送短信通知，请投标人及时关注。）</w:t>
            </w:r>
          </w:p>
          <w:p w14:paraId="1C077195">
            <w:pPr>
              <w:spacing w:line="560" w:lineRule="exact"/>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（7）投标人报价CA签字确认：</w:t>
            </w:r>
            <w:r>
              <w:rPr>
                <w:rFonts w:hint="eastAsia" w:ascii="宋体" w:hAnsi="宋体" w:eastAsia="宋体" w:cs="宋体"/>
                <w:color w:val="auto"/>
                <w:sz w:val="24"/>
                <w:szCs w:val="24"/>
                <w:lang w:eastAsia="zh-CN"/>
              </w:rPr>
              <w:t>报价文件开启后将开启签字时段，投标人须在20分钟内用CA证书对报价进行签字确认。</w:t>
            </w:r>
          </w:p>
          <w:p w14:paraId="649D1667">
            <w:pPr>
              <w:spacing w:line="560" w:lineRule="exact"/>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（8）具</w:t>
            </w:r>
            <w:r>
              <w:rPr>
                <w:rFonts w:hint="eastAsia" w:ascii="宋体" w:hAnsi="宋体" w:eastAsia="宋体" w:cs="宋体"/>
                <w:b/>
                <w:color w:val="auto"/>
                <w:sz w:val="24"/>
                <w:szCs w:val="24"/>
                <w:lang w:eastAsia="zh-CN"/>
              </w:rPr>
              <w:t>体操作指南</w:t>
            </w:r>
            <w:r>
              <w:rPr>
                <w:rFonts w:hint="eastAsia" w:ascii="宋体" w:hAnsi="宋体" w:eastAsia="宋体" w:cs="宋体"/>
                <w:color w:val="auto"/>
                <w:sz w:val="24"/>
                <w:szCs w:val="24"/>
                <w:lang w:eastAsia="zh-CN"/>
              </w:rPr>
              <w:t>：详见政采云平台“服务中心-帮助文档-项目采购-操作流程-电子招投标-政府采购项目电子交易管理操作指南-投标人”。</w:t>
            </w:r>
          </w:p>
          <w:p w14:paraId="79714CE0">
            <w:pPr>
              <w:spacing w:line="560" w:lineRule="exact"/>
              <w:rPr>
                <w:rFonts w:hint="eastAsia" w:ascii="宋体" w:hAnsi="宋体" w:eastAsia="宋体" w:cs="宋体"/>
                <w:color w:val="auto"/>
                <w:sz w:val="24"/>
                <w:szCs w:val="24"/>
              </w:rPr>
            </w:pPr>
            <w:r>
              <w:rPr>
                <w:rFonts w:hint="eastAsia" w:ascii="宋体" w:hAnsi="宋体" w:eastAsia="宋体" w:cs="宋体"/>
                <w:color w:val="auto"/>
                <w:sz w:val="24"/>
                <w:szCs w:val="24"/>
              </w:rPr>
              <w:t>（9）投标人在进行上述操作时，如遇技术问题可登录政采云（https://</w:t>
            </w:r>
            <w:r>
              <w:fldChar w:fldCharType="begin"/>
            </w:r>
            <w:r>
              <w:instrText xml:space="preserve"> HYPERLINK "http://www.zcygov.cn/" \h </w:instrText>
            </w:r>
            <w:r>
              <w:fldChar w:fldCharType="separate"/>
            </w:r>
            <w:r>
              <w:rPr>
                <w:rFonts w:hint="eastAsia" w:ascii="宋体" w:hAnsi="宋体" w:eastAsia="宋体" w:cs="宋体"/>
                <w:color w:val="auto"/>
                <w:sz w:val="24"/>
                <w:szCs w:val="24"/>
              </w:rPr>
              <w:t>www.zcygov.cn/</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），点击右侧咨询小采，获取采小蜜智能服务管家帮助，或拨打政采云服务热线95763获取热线服务帮助。</w:t>
            </w:r>
          </w:p>
          <w:p w14:paraId="0A9F16F4">
            <w:pPr>
              <w:spacing w:line="560" w:lineRule="exact"/>
              <w:rPr>
                <w:rFonts w:hint="eastAsia" w:ascii="宋体" w:hAnsi="宋体" w:eastAsia="宋体" w:cs="宋体"/>
                <w:color w:val="auto"/>
                <w:sz w:val="24"/>
                <w:szCs w:val="24"/>
                <w:lang w:eastAsia="zh-CN"/>
              </w:rPr>
            </w:pPr>
            <w:r>
              <w:rPr>
                <w:rFonts w:hint="eastAsia" w:ascii="宋体" w:hAnsi="宋体" w:eastAsia="宋体" w:cs="宋体"/>
                <w:bCs/>
                <w:color w:val="auto"/>
                <w:sz w:val="24"/>
                <w:szCs w:val="24"/>
                <w:lang w:eastAsia="zh-CN"/>
              </w:rPr>
              <w:t>温馨提醒：投标人应提前上传，以便在上传时遇到技术问题，有充足的时间请教平台的技术人员。</w:t>
            </w:r>
          </w:p>
        </w:tc>
      </w:tr>
      <w:tr w14:paraId="44CAA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94" w:hRule="atLeast"/>
          <w:jc w:val="center"/>
        </w:trPr>
        <w:tc>
          <w:tcPr>
            <w:tcW w:w="534" w:type="dxa"/>
            <w:shd w:val="clear" w:color="auto" w:fill="FFFFFF" w:themeFill="background1"/>
            <w:vAlign w:val="center"/>
          </w:tcPr>
          <w:p w14:paraId="7FD38EF7">
            <w:pPr>
              <w:spacing w:line="36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16</w:t>
            </w:r>
          </w:p>
        </w:tc>
        <w:tc>
          <w:tcPr>
            <w:tcW w:w="1351" w:type="dxa"/>
            <w:shd w:val="clear" w:color="auto" w:fill="FFFFFF" w:themeFill="background1"/>
            <w:vAlign w:val="center"/>
          </w:tcPr>
          <w:p w14:paraId="72208C25">
            <w:pPr>
              <w:spacing w:line="5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投标报价</w:t>
            </w:r>
          </w:p>
        </w:tc>
        <w:tc>
          <w:tcPr>
            <w:tcW w:w="6765" w:type="dxa"/>
            <w:shd w:val="clear" w:color="auto" w:fill="FFFFFF" w:themeFill="background1"/>
            <w:vAlign w:val="center"/>
          </w:tcPr>
          <w:p w14:paraId="65AD4F5D">
            <w:pPr>
              <w:spacing w:line="560" w:lineRule="exact"/>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投标人的报价明显低于其他通过符合性审查投标人的报价，有可能影响服务质量或者不能诚信履约的，应当要求其在评标现场合理的时间内提供报价合理性说明，必要时提交相关证明材料；投标人不能证明其报价合理性的，评标委员会将其作为无效投标处理，自行承担相关责任。</w:t>
            </w:r>
          </w:p>
        </w:tc>
      </w:tr>
      <w:tr w14:paraId="6C590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534" w:type="dxa"/>
            <w:shd w:val="clear" w:color="auto" w:fill="FFFFFF" w:themeFill="background1"/>
            <w:vAlign w:val="center"/>
          </w:tcPr>
          <w:p w14:paraId="2C7F99B9">
            <w:pPr>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17</w:t>
            </w:r>
          </w:p>
        </w:tc>
        <w:tc>
          <w:tcPr>
            <w:tcW w:w="1351" w:type="dxa"/>
            <w:shd w:val="clear" w:color="auto" w:fill="FFFFFF" w:themeFill="background1"/>
            <w:vAlign w:val="center"/>
          </w:tcPr>
          <w:p w14:paraId="36391205">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踏勘现场</w:t>
            </w:r>
          </w:p>
        </w:tc>
        <w:tc>
          <w:tcPr>
            <w:tcW w:w="6765" w:type="dxa"/>
            <w:shd w:val="clear" w:color="auto" w:fill="FFFFFF" w:themeFill="background1"/>
            <w:vAlign w:val="center"/>
          </w:tcPr>
          <w:p w14:paraId="46750C0E">
            <w:pPr>
              <w:spacing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sz w:val="24"/>
                <w:szCs w:val="24"/>
                <w:highlight w:val="none"/>
                <w:lang w:eastAsia="zh-CN"/>
              </w:rPr>
              <w:t>不组织/</w:t>
            </w: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lang w:eastAsia="zh-CN"/>
              </w:rPr>
              <w:t>组织</w:t>
            </w:r>
          </w:p>
          <w:p w14:paraId="127A4131">
            <w:pPr>
              <w:spacing w:line="360" w:lineRule="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现场踏勘</w:t>
            </w:r>
            <w:r>
              <w:rPr>
                <w:rFonts w:hint="eastAsia" w:ascii="宋体" w:hAnsi="宋体" w:eastAsia="宋体" w:cs="宋体"/>
                <w:color w:val="auto"/>
                <w:sz w:val="24"/>
                <w:szCs w:val="24"/>
                <w:highlight w:val="none"/>
                <w:lang w:val="en-US" w:eastAsia="zh-CN"/>
              </w:rPr>
              <w:t>时间：/</w:t>
            </w:r>
          </w:p>
          <w:p w14:paraId="6EE37E02">
            <w:pPr>
              <w:spacing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现场踏勘联系人：</w:t>
            </w:r>
            <w:r>
              <w:rPr>
                <w:rFonts w:hint="eastAsia" w:ascii="宋体" w:hAnsi="宋体" w:eastAsia="宋体" w:cs="宋体"/>
                <w:color w:val="auto"/>
                <w:sz w:val="24"/>
                <w:szCs w:val="24"/>
                <w:highlight w:val="none"/>
                <w:lang w:val="en-US" w:eastAsia="zh-CN"/>
              </w:rPr>
              <w:t>/</w:t>
            </w:r>
          </w:p>
          <w:p w14:paraId="2866019F">
            <w:pPr>
              <w:spacing w:line="360" w:lineRule="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联系电话：</w:t>
            </w:r>
            <w:r>
              <w:rPr>
                <w:rFonts w:hint="eastAsia" w:ascii="宋体" w:hAnsi="宋体" w:eastAsia="宋体" w:cs="宋体"/>
                <w:color w:val="auto"/>
                <w:sz w:val="24"/>
                <w:szCs w:val="24"/>
                <w:highlight w:val="none"/>
                <w:lang w:val="en-US" w:eastAsia="zh-CN"/>
              </w:rPr>
              <w:t>/</w:t>
            </w:r>
          </w:p>
        </w:tc>
      </w:tr>
      <w:tr w14:paraId="0DCCB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46" w:hRule="atLeast"/>
          <w:jc w:val="center"/>
        </w:trPr>
        <w:tc>
          <w:tcPr>
            <w:tcW w:w="534" w:type="dxa"/>
            <w:shd w:val="clear" w:color="auto" w:fill="FFFFFF" w:themeFill="background1"/>
            <w:vAlign w:val="center"/>
          </w:tcPr>
          <w:p w14:paraId="2DFB9300">
            <w:pPr>
              <w:spacing w:line="36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18</w:t>
            </w:r>
          </w:p>
        </w:tc>
        <w:tc>
          <w:tcPr>
            <w:tcW w:w="1351" w:type="dxa"/>
            <w:shd w:val="clear" w:color="auto" w:fill="FFFFFF" w:themeFill="background1"/>
            <w:vAlign w:val="center"/>
          </w:tcPr>
          <w:p w14:paraId="27432B90">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lang w:eastAsia="zh-CN"/>
              </w:rPr>
              <w:t>投标</w:t>
            </w:r>
            <w:r>
              <w:rPr>
                <w:rFonts w:hint="eastAsia" w:ascii="宋体" w:hAnsi="宋体" w:eastAsia="宋体" w:cs="宋体"/>
                <w:color w:val="auto"/>
                <w:sz w:val="24"/>
                <w:szCs w:val="24"/>
              </w:rPr>
              <w:t>答疑会</w:t>
            </w:r>
          </w:p>
        </w:tc>
        <w:tc>
          <w:tcPr>
            <w:tcW w:w="6765" w:type="dxa"/>
            <w:shd w:val="clear" w:color="auto" w:fill="FFFFFF" w:themeFill="background1"/>
            <w:vAlign w:val="center"/>
          </w:tcPr>
          <w:p w14:paraId="56EAEE81">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sym w:font="Wingdings" w:char="F0FE"/>
            </w:r>
            <w:r>
              <w:rPr>
                <w:rFonts w:hint="eastAsia" w:ascii="宋体" w:hAnsi="宋体" w:eastAsia="宋体" w:cs="宋体"/>
                <w:color w:val="auto"/>
                <w:sz w:val="24"/>
                <w:szCs w:val="24"/>
              </w:rPr>
              <w:t>不召开/</w:t>
            </w:r>
            <w:r>
              <w:rPr>
                <w:rFonts w:hint="eastAsia" w:ascii="宋体" w:hAnsi="宋体" w:eastAsia="宋体" w:cs="宋体"/>
                <w:color w:val="auto"/>
                <w:sz w:val="24"/>
                <w:szCs w:val="24"/>
              </w:rPr>
              <w:sym w:font="Wingdings" w:char="00A8"/>
            </w:r>
            <w:r>
              <w:rPr>
                <w:rFonts w:hint="eastAsia" w:ascii="宋体" w:hAnsi="宋体" w:eastAsia="宋体" w:cs="宋体"/>
                <w:color w:val="auto"/>
                <w:sz w:val="24"/>
                <w:szCs w:val="24"/>
              </w:rPr>
              <w:t>召开</w:t>
            </w:r>
          </w:p>
        </w:tc>
      </w:tr>
      <w:tr w14:paraId="1EC0F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785" w:hRule="atLeast"/>
          <w:jc w:val="center"/>
        </w:trPr>
        <w:tc>
          <w:tcPr>
            <w:tcW w:w="534" w:type="dxa"/>
            <w:shd w:val="clear" w:color="auto" w:fill="FFFFFF" w:themeFill="background1"/>
            <w:vAlign w:val="center"/>
          </w:tcPr>
          <w:p w14:paraId="01B17E38">
            <w:pPr>
              <w:spacing w:line="36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19</w:t>
            </w:r>
          </w:p>
        </w:tc>
        <w:tc>
          <w:tcPr>
            <w:tcW w:w="1351" w:type="dxa"/>
            <w:shd w:val="clear" w:color="auto" w:fill="FFFFFF" w:themeFill="background1"/>
            <w:vAlign w:val="center"/>
          </w:tcPr>
          <w:p w14:paraId="1143D26F">
            <w:pPr>
              <w:spacing w:line="360" w:lineRule="auto"/>
              <w:jc w:val="center"/>
              <w:rPr>
                <w:rFonts w:hint="eastAsia" w:ascii="宋体" w:hAnsi="宋体" w:eastAsia="宋体" w:cs="宋体"/>
                <w:color w:val="auto"/>
                <w:sz w:val="24"/>
                <w:szCs w:val="24"/>
                <w:lang w:eastAsia="zh-CN"/>
              </w:rPr>
            </w:pPr>
            <w:r>
              <w:rPr>
                <w:rFonts w:hint="eastAsia" w:ascii="宋体" w:hAnsi="宋体" w:eastAsia="宋体" w:cs="宋体"/>
                <w:bCs/>
                <w:color w:val="auto"/>
                <w:sz w:val="24"/>
                <w:szCs w:val="24"/>
                <w:lang w:eastAsia="zh-CN"/>
              </w:rPr>
              <w:t>近年财务状况年份要求</w:t>
            </w:r>
          </w:p>
        </w:tc>
        <w:tc>
          <w:tcPr>
            <w:tcW w:w="6765" w:type="dxa"/>
            <w:shd w:val="clear" w:color="auto" w:fill="FFFFFF" w:themeFill="background1"/>
            <w:vAlign w:val="center"/>
          </w:tcPr>
          <w:p w14:paraId="71ECA69E">
            <w:pPr>
              <w:pStyle w:val="29"/>
              <w:spacing w:line="360" w:lineRule="auto"/>
              <w:ind w:left="0" w:firstLine="0"/>
              <w:rPr>
                <w:rFonts w:hint="eastAsia" w:ascii="宋体" w:hAnsi="宋体" w:eastAsia="宋体" w:cs="宋体"/>
                <w:b/>
                <w:bCs/>
                <w:color w:val="auto"/>
                <w:sz w:val="24"/>
                <w:szCs w:val="24"/>
              </w:rPr>
            </w:pPr>
            <w:r>
              <w:rPr>
                <w:rFonts w:hint="eastAsia" w:ascii="宋体" w:hAnsi="宋体" w:eastAsia="宋体" w:cs="宋体"/>
                <w:b w:val="0"/>
                <w:bCs w:val="0"/>
                <w:color w:val="auto"/>
                <w:sz w:val="24"/>
                <w:szCs w:val="24"/>
              </w:rPr>
              <w:t>须提供本单位上一年度由会计师事务所出具的财务审计报告（当上一年度审计报告未出来时，可提供前一年度审计报告），审计报告须包括资产负债表、利润表、现金流量表、所有者权益变动（如有）及其附注。如供应商无法提供上年度审计报告，则需提供开标日前三个月内银行出具的资信证明。如供应商注册成立不足三个月的则提供承诺书（自拟）。</w:t>
            </w:r>
          </w:p>
        </w:tc>
      </w:tr>
      <w:tr w14:paraId="745E4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534" w:type="dxa"/>
            <w:shd w:val="clear" w:color="auto" w:fill="FFFFFF" w:themeFill="background1"/>
            <w:vAlign w:val="center"/>
          </w:tcPr>
          <w:p w14:paraId="6C057A2D">
            <w:pPr>
              <w:spacing w:line="36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20</w:t>
            </w:r>
          </w:p>
        </w:tc>
        <w:tc>
          <w:tcPr>
            <w:tcW w:w="1351" w:type="dxa"/>
            <w:shd w:val="clear" w:color="auto" w:fill="FFFFFF" w:themeFill="background1"/>
            <w:vAlign w:val="center"/>
          </w:tcPr>
          <w:p w14:paraId="292D017E">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lang w:eastAsia="zh-CN"/>
              </w:rPr>
              <w:t>投标</w:t>
            </w:r>
            <w:r>
              <w:rPr>
                <w:rFonts w:hint="eastAsia" w:ascii="宋体" w:hAnsi="宋体" w:eastAsia="宋体" w:cs="宋体"/>
                <w:color w:val="auto"/>
                <w:sz w:val="24"/>
                <w:szCs w:val="24"/>
              </w:rPr>
              <w:t>有效期</w:t>
            </w:r>
          </w:p>
        </w:tc>
        <w:tc>
          <w:tcPr>
            <w:tcW w:w="6765" w:type="dxa"/>
            <w:shd w:val="clear" w:color="auto" w:fill="FFFFFF" w:themeFill="background1"/>
            <w:vAlign w:val="center"/>
          </w:tcPr>
          <w:p w14:paraId="3E9EFD0A">
            <w:pPr>
              <w:spacing w:line="360" w:lineRule="auto"/>
              <w:rPr>
                <w:rFonts w:hint="eastAsia" w:ascii="宋体" w:hAnsi="宋体" w:eastAsia="宋体" w:cs="宋体"/>
                <w:b/>
                <w:bCs/>
                <w:color w:val="auto"/>
                <w:sz w:val="24"/>
                <w:szCs w:val="24"/>
                <w:lang w:eastAsia="zh-CN"/>
              </w:rPr>
            </w:pPr>
            <w:r>
              <w:rPr>
                <w:rFonts w:hint="eastAsia" w:ascii="宋体" w:hAnsi="宋体" w:eastAsia="宋体" w:cs="宋体"/>
                <w:color w:val="auto"/>
                <w:sz w:val="24"/>
                <w:szCs w:val="24"/>
                <w:lang w:eastAsia="zh-CN"/>
              </w:rPr>
              <w:t>从提交投标文件截止之日起90日历天。</w:t>
            </w:r>
          </w:p>
        </w:tc>
      </w:tr>
      <w:tr w14:paraId="08651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34" w:type="dxa"/>
            <w:shd w:val="clear" w:color="auto" w:fill="FFFFFF" w:themeFill="background1"/>
            <w:vAlign w:val="center"/>
          </w:tcPr>
          <w:p w14:paraId="5ED59161">
            <w:pPr>
              <w:spacing w:line="36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21</w:t>
            </w:r>
          </w:p>
        </w:tc>
        <w:tc>
          <w:tcPr>
            <w:tcW w:w="1351" w:type="dxa"/>
            <w:shd w:val="clear" w:color="auto" w:fill="FFFFFF" w:themeFill="background1"/>
            <w:vAlign w:val="center"/>
          </w:tcPr>
          <w:p w14:paraId="42371420">
            <w:pPr>
              <w:spacing w:line="5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评标委员会的组建</w:t>
            </w:r>
          </w:p>
        </w:tc>
        <w:tc>
          <w:tcPr>
            <w:tcW w:w="6765" w:type="dxa"/>
            <w:shd w:val="clear" w:color="auto" w:fill="FFFFFF" w:themeFill="background1"/>
            <w:vAlign w:val="center"/>
          </w:tcPr>
          <w:p w14:paraId="560BD9F4">
            <w:pPr>
              <w:spacing w:line="560" w:lineRule="exact"/>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（1）评标委员会构成：5人；</w:t>
            </w:r>
          </w:p>
          <w:p w14:paraId="1FB546AD">
            <w:pPr>
              <w:spacing w:line="560" w:lineRule="exact"/>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（2）评标专家确定方式：经济、技术专家不少于评标委员会组成人员的三分之二，按相关规定从政府采购专家库中随机抽取。</w:t>
            </w:r>
          </w:p>
        </w:tc>
      </w:tr>
      <w:tr w14:paraId="59B92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534" w:type="dxa"/>
            <w:shd w:val="clear" w:color="auto" w:fill="FFFFFF" w:themeFill="background1"/>
            <w:vAlign w:val="center"/>
          </w:tcPr>
          <w:p w14:paraId="292DE8F4">
            <w:pPr>
              <w:spacing w:line="36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22</w:t>
            </w:r>
          </w:p>
        </w:tc>
        <w:tc>
          <w:tcPr>
            <w:tcW w:w="1351" w:type="dxa"/>
            <w:shd w:val="clear" w:color="auto" w:fill="FFFFFF" w:themeFill="background1"/>
            <w:vAlign w:val="center"/>
          </w:tcPr>
          <w:p w14:paraId="614EA477">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评</w:t>
            </w:r>
            <w:r>
              <w:rPr>
                <w:rFonts w:hint="eastAsia" w:ascii="宋体" w:hAnsi="宋体" w:eastAsia="宋体" w:cs="宋体"/>
                <w:color w:val="auto"/>
                <w:sz w:val="24"/>
                <w:szCs w:val="24"/>
                <w:lang w:eastAsia="zh-CN"/>
              </w:rPr>
              <w:t>标</w:t>
            </w:r>
            <w:r>
              <w:rPr>
                <w:rFonts w:hint="eastAsia" w:ascii="宋体" w:hAnsi="宋体" w:eastAsia="宋体" w:cs="宋体"/>
                <w:color w:val="auto"/>
                <w:sz w:val="24"/>
                <w:szCs w:val="24"/>
              </w:rPr>
              <w:t>办法</w:t>
            </w:r>
          </w:p>
        </w:tc>
        <w:tc>
          <w:tcPr>
            <w:tcW w:w="6765" w:type="dxa"/>
            <w:shd w:val="clear" w:color="auto" w:fill="FFFFFF" w:themeFill="background1"/>
            <w:vAlign w:val="center"/>
          </w:tcPr>
          <w:p w14:paraId="2108628B">
            <w:pPr>
              <w:spacing w:line="360"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综合评分法</w:t>
            </w:r>
          </w:p>
        </w:tc>
      </w:tr>
      <w:tr w14:paraId="73450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34" w:type="dxa"/>
            <w:shd w:val="clear" w:color="auto" w:fill="FFFFFF" w:themeFill="background1"/>
            <w:vAlign w:val="center"/>
          </w:tcPr>
          <w:p w14:paraId="2EC93A16">
            <w:pPr>
              <w:spacing w:line="36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23</w:t>
            </w:r>
          </w:p>
        </w:tc>
        <w:tc>
          <w:tcPr>
            <w:tcW w:w="1351" w:type="dxa"/>
            <w:shd w:val="clear" w:color="auto" w:fill="FFFFFF" w:themeFill="background1"/>
            <w:vAlign w:val="center"/>
          </w:tcPr>
          <w:p w14:paraId="78C6301C">
            <w:pPr>
              <w:spacing w:line="560" w:lineRule="exac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是否授权评标委员会确定中标人</w:t>
            </w:r>
          </w:p>
        </w:tc>
        <w:tc>
          <w:tcPr>
            <w:tcW w:w="6765" w:type="dxa"/>
            <w:shd w:val="clear" w:color="auto" w:fill="FFFFFF" w:themeFill="background1"/>
            <w:vAlign w:val="center"/>
          </w:tcPr>
          <w:p w14:paraId="6630A55F">
            <w:pPr>
              <w:spacing w:line="560" w:lineRule="exact"/>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否，推荐3名中标候选人。</w:t>
            </w:r>
          </w:p>
        </w:tc>
      </w:tr>
      <w:tr w14:paraId="2008E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719" w:hRule="atLeast"/>
          <w:jc w:val="center"/>
        </w:trPr>
        <w:tc>
          <w:tcPr>
            <w:tcW w:w="534" w:type="dxa"/>
            <w:shd w:val="clear" w:color="auto" w:fill="FFFFFF" w:themeFill="background1"/>
            <w:vAlign w:val="center"/>
          </w:tcPr>
          <w:p w14:paraId="3A8855BF">
            <w:pPr>
              <w:spacing w:line="36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24</w:t>
            </w:r>
          </w:p>
        </w:tc>
        <w:tc>
          <w:tcPr>
            <w:tcW w:w="1351" w:type="dxa"/>
            <w:shd w:val="clear" w:color="auto" w:fill="FFFFFF" w:themeFill="background1"/>
            <w:vAlign w:val="center"/>
          </w:tcPr>
          <w:p w14:paraId="1B4E59A1">
            <w:pPr>
              <w:spacing w:line="5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履约保证金</w:t>
            </w:r>
          </w:p>
        </w:tc>
        <w:tc>
          <w:tcPr>
            <w:tcW w:w="6765" w:type="dxa"/>
            <w:shd w:val="clear" w:color="auto" w:fill="FFFFFF" w:themeFill="background1"/>
            <w:vAlign w:val="center"/>
          </w:tcPr>
          <w:p w14:paraId="27D135C7">
            <w:pPr>
              <w:spacing w:line="560" w:lineRule="exact"/>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中标供应商须在合同签订前，缴纳合同总金</w:t>
            </w:r>
            <w:r>
              <w:rPr>
                <w:rFonts w:hint="eastAsia" w:ascii="宋体" w:hAnsi="宋体" w:eastAsia="宋体" w:cs="宋体"/>
                <w:color w:val="auto"/>
                <w:sz w:val="24"/>
                <w:szCs w:val="24"/>
                <w:highlight w:val="none"/>
                <w:lang w:eastAsia="zh-CN"/>
              </w:rPr>
              <w:t>额的10%。</w:t>
            </w:r>
          </w:p>
        </w:tc>
      </w:tr>
      <w:tr w14:paraId="3F44F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34" w:type="dxa"/>
            <w:shd w:val="clear" w:color="auto" w:fill="FFFFFF" w:themeFill="background1"/>
            <w:vAlign w:val="center"/>
          </w:tcPr>
          <w:p w14:paraId="109DCD1D">
            <w:pPr>
              <w:spacing w:line="36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25</w:t>
            </w:r>
          </w:p>
        </w:tc>
        <w:tc>
          <w:tcPr>
            <w:tcW w:w="1351" w:type="dxa"/>
            <w:shd w:val="clear" w:color="auto" w:fill="FFFFFF" w:themeFill="background1"/>
            <w:vAlign w:val="center"/>
          </w:tcPr>
          <w:p w14:paraId="10D2931A">
            <w:pPr>
              <w:spacing w:line="360" w:lineRule="auto"/>
              <w:jc w:val="center"/>
              <w:rPr>
                <w:rFonts w:hint="eastAsia" w:ascii="宋体" w:hAnsi="宋体" w:eastAsia="宋体" w:cs="宋体"/>
                <w:b/>
                <w:color w:val="auto"/>
                <w:sz w:val="24"/>
                <w:szCs w:val="24"/>
                <w:lang w:eastAsia="zh-CN"/>
              </w:rPr>
            </w:pPr>
            <w:r>
              <w:rPr>
                <w:rFonts w:hint="eastAsia" w:ascii="宋体" w:hAnsi="宋体" w:eastAsia="宋体" w:cs="宋体"/>
                <w:color w:val="auto"/>
                <w:sz w:val="24"/>
                <w:szCs w:val="24"/>
              </w:rPr>
              <w:t>代理服务费</w:t>
            </w:r>
          </w:p>
        </w:tc>
        <w:tc>
          <w:tcPr>
            <w:tcW w:w="6765" w:type="dxa"/>
            <w:shd w:val="clear" w:color="auto" w:fill="FFFFFF" w:themeFill="background1"/>
            <w:vAlign w:val="center"/>
          </w:tcPr>
          <w:p w14:paraId="7961FD72">
            <w:pPr>
              <w:spacing w:line="360" w:lineRule="auto"/>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eastAsia="zh-CN"/>
              </w:rPr>
              <w:t>代理服务费由中标供应商支付。</w:t>
            </w:r>
          </w:p>
          <w:p w14:paraId="66CE00CD">
            <w:pPr>
              <w:spacing w:line="360" w:lineRule="auto"/>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eastAsia="zh-CN"/>
              </w:rPr>
              <w:t>参照计价格[2002]1980号文取费标准取费。</w:t>
            </w:r>
          </w:p>
        </w:tc>
      </w:tr>
      <w:tr w14:paraId="4BF40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34" w:type="dxa"/>
            <w:shd w:val="clear" w:color="auto" w:fill="FFFFFF" w:themeFill="background1"/>
            <w:vAlign w:val="center"/>
          </w:tcPr>
          <w:p w14:paraId="370BB9E3">
            <w:pPr>
              <w:spacing w:line="360" w:lineRule="auto"/>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26</w:t>
            </w:r>
          </w:p>
        </w:tc>
        <w:tc>
          <w:tcPr>
            <w:tcW w:w="1351" w:type="dxa"/>
            <w:shd w:val="clear" w:color="auto" w:fill="FFFFFF" w:themeFill="background1"/>
            <w:vAlign w:val="center"/>
          </w:tcPr>
          <w:p w14:paraId="19FEEE60">
            <w:pPr>
              <w:spacing w:line="360" w:lineRule="auto"/>
              <w:jc w:val="center"/>
              <w:rPr>
                <w:rFonts w:hint="eastAsia" w:ascii="宋体" w:hAnsi="宋体" w:eastAsia="宋体" w:cs="宋体"/>
                <w:color w:val="auto"/>
                <w:sz w:val="24"/>
                <w:szCs w:val="24"/>
              </w:rPr>
            </w:pPr>
            <w:r>
              <w:rPr>
                <w:rFonts w:hint="eastAsia"/>
                <w:color w:val="auto"/>
                <w:spacing w:val="-3"/>
                <w:highlight w:val="none"/>
                <w:lang w:eastAsia="zh-CN"/>
              </w:rPr>
              <w:t>异常低价投标（响应）审查程序</w:t>
            </w:r>
          </w:p>
        </w:tc>
        <w:tc>
          <w:tcPr>
            <w:tcW w:w="6765" w:type="dxa"/>
            <w:shd w:val="clear" w:color="auto" w:fill="FFFFFF" w:themeFill="background1"/>
            <w:vAlign w:val="center"/>
          </w:tcPr>
          <w:p w14:paraId="2BEA79CB">
            <w:pPr>
              <w:pStyle w:val="46"/>
              <w:spacing w:line="360" w:lineRule="auto"/>
              <w:jc w:val="both"/>
              <w:rPr>
                <w:color w:val="auto"/>
                <w:spacing w:val="-5"/>
                <w:highlight w:val="none"/>
                <w:lang w:eastAsia="zh-CN"/>
              </w:rPr>
            </w:pPr>
            <w:r>
              <w:rPr>
                <w:rFonts w:hint="eastAsia"/>
                <w:color w:val="auto"/>
                <w:spacing w:val="-5"/>
                <w:highlight w:val="none"/>
                <w:lang w:eastAsia="zh-CN"/>
              </w:rPr>
              <w:t>1.报价合理性说明：评审中出现下列情形之一的，评审委员会应当启动异常低价投标（响应）审查程序：</w:t>
            </w:r>
          </w:p>
          <w:p w14:paraId="1E8246EB">
            <w:pPr>
              <w:pStyle w:val="46"/>
              <w:spacing w:line="360" w:lineRule="auto"/>
              <w:jc w:val="both"/>
              <w:rPr>
                <w:color w:val="auto"/>
                <w:spacing w:val="-5"/>
                <w:highlight w:val="none"/>
                <w:lang w:eastAsia="zh-CN"/>
              </w:rPr>
            </w:pPr>
            <w:r>
              <w:rPr>
                <w:rFonts w:hint="eastAsia"/>
                <w:color w:val="auto"/>
                <w:spacing w:val="-5"/>
                <w:highlight w:val="none"/>
                <w:lang w:eastAsia="zh-CN"/>
              </w:rPr>
              <w:t>1.1投标（响应）报价低于全部通过符合性审查供应商投标（响应）报价平均值50%的，即投标（响应）报价＜全部通过符合性审查供应商投标（响应）报价平均值×50%；</w:t>
            </w:r>
          </w:p>
          <w:p w14:paraId="5A588E9F">
            <w:pPr>
              <w:pStyle w:val="46"/>
              <w:spacing w:line="360" w:lineRule="auto"/>
              <w:jc w:val="both"/>
              <w:rPr>
                <w:color w:val="auto"/>
                <w:spacing w:val="-5"/>
                <w:highlight w:val="none"/>
                <w:lang w:eastAsia="zh-CN"/>
              </w:rPr>
            </w:pPr>
            <w:r>
              <w:rPr>
                <w:rFonts w:hint="eastAsia"/>
                <w:color w:val="auto"/>
                <w:spacing w:val="-5"/>
                <w:highlight w:val="none"/>
                <w:lang w:eastAsia="zh-CN"/>
              </w:rPr>
              <w:t>1.2投标（响应）报价低于通过符合性审查的次低报价供应商投标（响应）报价50%的，即投标（响应）报价＜通过符合性审查的次低报价供应商投标（响应）报价×50%；</w:t>
            </w:r>
          </w:p>
          <w:p w14:paraId="4D07A5DA">
            <w:pPr>
              <w:pStyle w:val="46"/>
              <w:spacing w:line="360" w:lineRule="auto"/>
              <w:jc w:val="both"/>
              <w:rPr>
                <w:color w:val="auto"/>
                <w:spacing w:val="-5"/>
                <w:highlight w:val="none"/>
                <w:lang w:eastAsia="zh-CN"/>
              </w:rPr>
            </w:pPr>
            <w:r>
              <w:rPr>
                <w:rFonts w:hint="eastAsia"/>
                <w:color w:val="auto"/>
                <w:spacing w:val="-5"/>
                <w:highlight w:val="none"/>
                <w:lang w:eastAsia="zh-CN"/>
              </w:rPr>
              <w:t>1.3投标（响应）报价低于采购项目最高限价45%的，即投标（响应）报价＜采购项目最高限价×45%；</w:t>
            </w:r>
          </w:p>
          <w:p w14:paraId="27E5A525">
            <w:pPr>
              <w:pStyle w:val="46"/>
              <w:spacing w:line="360" w:lineRule="auto"/>
              <w:jc w:val="both"/>
              <w:rPr>
                <w:color w:val="auto"/>
                <w:spacing w:val="-5"/>
                <w:highlight w:val="none"/>
                <w:lang w:eastAsia="zh-CN"/>
              </w:rPr>
            </w:pPr>
            <w:r>
              <w:rPr>
                <w:rFonts w:hint="eastAsia"/>
                <w:color w:val="auto"/>
                <w:spacing w:val="-5"/>
                <w:highlight w:val="none"/>
                <w:lang w:eastAsia="zh-CN"/>
              </w:rPr>
              <w:t>1.4评审委员会基于专业判断，认为供应商报价过低，有可能影响产品质量或者不能诚信履约的其他情形。</w:t>
            </w:r>
          </w:p>
          <w:p w14:paraId="33907FB5">
            <w:pPr>
              <w:pStyle w:val="46"/>
              <w:spacing w:line="360" w:lineRule="auto"/>
              <w:jc w:val="both"/>
              <w:rPr>
                <w:color w:val="auto"/>
                <w:spacing w:val="-5"/>
                <w:highlight w:val="none"/>
                <w:lang w:eastAsia="zh-CN"/>
              </w:rPr>
            </w:pPr>
            <w:r>
              <w:rPr>
                <w:rFonts w:hint="eastAsia"/>
                <w:color w:val="auto"/>
                <w:spacing w:val="-5"/>
                <w:highlight w:val="none"/>
                <w:lang w:eastAsia="zh-CN"/>
              </w:rPr>
              <w:t>采购人可以结合具体项目实际情况，提高上述第1.1项至第1.3项中启动异常低价投标（响应）审查的数值标准，但是最高不得超过65%。</w:t>
            </w:r>
            <w:r>
              <w:rPr>
                <w:rFonts w:hint="eastAsia"/>
                <w:b/>
                <w:bCs/>
                <w:color w:val="auto"/>
                <w:spacing w:val="-5"/>
                <w:highlight w:val="none"/>
                <w:lang w:eastAsia="zh-CN"/>
              </w:rPr>
              <w:t>本项目将1.1至1.3项的数值标准修改为6</w:t>
            </w:r>
            <w:r>
              <w:rPr>
                <w:rFonts w:hint="eastAsia"/>
                <w:b/>
                <w:bCs/>
                <w:color w:val="auto"/>
                <w:spacing w:val="-5"/>
                <w:highlight w:val="none"/>
                <w:lang w:val="en-US" w:eastAsia="zh-CN"/>
              </w:rPr>
              <w:t>5</w:t>
            </w:r>
            <w:r>
              <w:rPr>
                <w:rFonts w:hint="eastAsia"/>
                <w:b/>
                <w:bCs/>
                <w:color w:val="auto"/>
                <w:spacing w:val="-5"/>
                <w:highlight w:val="none"/>
                <w:lang w:eastAsia="zh-CN"/>
              </w:rPr>
              <w:t>%</w:t>
            </w:r>
            <w:r>
              <w:rPr>
                <w:rFonts w:hint="eastAsia"/>
                <w:color w:val="auto"/>
                <w:spacing w:val="-5"/>
                <w:highlight w:val="none"/>
                <w:lang w:eastAsia="zh-CN"/>
              </w:rPr>
              <w:t>。</w:t>
            </w:r>
          </w:p>
          <w:p w14:paraId="09BA8562">
            <w:pPr>
              <w:pStyle w:val="46"/>
              <w:spacing w:line="360" w:lineRule="auto"/>
              <w:jc w:val="both"/>
              <w:rPr>
                <w:color w:val="auto"/>
                <w:spacing w:val="-5"/>
                <w:highlight w:val="none"/>
                <w:lang w:eastAsia="zh-CN"/>
              </w:rPr>
            </w:pPr>
            <w:r>
              <w:rPr>
                <w:rFonts w:hint="eastAsia"/>
                <w:color w:val="auto"/>
                <w:spacing w:val="-5"/>
                <w:highlight w:val="none"/>
                <w:lang w:eastAsia="zh-CN"/>
              </w:rPr>
              <w:t>相关法律法规对供应商报价有规定的，从其规定。</w:t>
            </w:r>
          </w:p>
          <w:p w14:paraId="29993C91">
            <w:pPr>
              <w:pStyle w:val="46"/>
              <w:spacing w:line="360" w:lineRule="auto"/>
              <w:jc w:val="both"/>
              <w:rPr>
                <w:color w:val="auto"/>
                <w:spacing w:val="-5"/>
                <w:highlight w:val="none"/>
                <w:lang w:eastAsia="zh-CN"/>
              </w:rPr>
            </w:pPr>
            <w:r>
              <w:rPr>
                <w:rFonts w:hint="eastAsia"/>
                <w:color w:val="auto"/>
                <w:spacing w:val="-5"/>
                <w:highlight w:val="none"/>
                <w:lang w:eastAsia="zh-CN"/>
              </w:rPr>
              <w:t>2 评审委员会启动异常低价投标（响应）审查后，属于前述第1.1项至第1.4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1.3项情形，供应商已随投标（响应）文件一并提交相关书面说明及必要的证明材料的，在评审现场可不再重复提交。</w:t>
            </w:r>
          </w:p>
          <w:p w14:paraId="461D7AB2">
            <w:pPr>
              <w:pStyle w:val="46"/>
              <w:spacing w:line="360" w:lineRule="auto"/>
              <w:jc w:val="both"/>
              <w:rPr>
                <w:color w:val="auto"/>
                <w:spacing w:val="-5"/>
                <w:highlight w:val="none"/>
                <w:lang w:eastAsia="zh-CN"/>
              </w:rPr>
            </w:pPr>
            <w:r>
              <w:rPr>
                <w:rFonts w:hint="eastAsia"/>
                <w:color w:val="auto"/>
                <w:spacing w:val="-5"/>
                <w:highlight w:val="none"/>
                <w:lang w:eastAsia="zh-CN"/>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5842006B">
            <w:pPr>
              <w:pStyle w:val="46"/>
              <w:spacing w:line="360" w:lineRule="auto"/>
              <w:jc w:val="both"/>
              <w:rPr>
                <w:rFonts w:hint="eastAsia" w:ascii="宋体" w:hAnsi="宋体" w:eastAsia="宋体" w:cs="宋体"/>
                <w:bCs/>
                <w:color w:val="auto"/>
                <w:sz w:val="24"/>
                <w:szCs w:val="24"/>
                <w:lang w:eastAsia="zh-CN"/>
              </w:rPr>
            </w:pPr>
            <w:r>
              <w:rPr>
                <w:rFonts w:hint="eastAsia"/>
                <w:color w:val="auto"/>
                <w:spacing w:val="-5"/>
                <w:highlight w:val="none"/>
                <w:lang w:eastAsia="zh-CN"/>
              </w:rPr>
              <w:t>供应商也可以有预见性地准备好上述要求的书面说明和相关证明材料并加盖公章。</w:t>
            </w:r>
          </w:p>
        </w:tc>
      </w:tr>
      <w:tr w14:paraId="24C0A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70" w:hRule="atLeast"/>
          <w:jc w:val="center"/>
        </w:trPr>
        <w:tc>
          <w:tcPr>
            <w:tcW w:w="534" w:type="dxa"/>
            <w:shd w:val="clear" w:color="auto" w:fill="FFFFFF" w:themeFill="background1"/>
            <w:vAlign w:val="center"/>
          </w:tcPr>
          <w:p w14:paraId="54E4D890">
            <w:pPr>
              <w:spacing w:line="36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2</w:t>
            </w:r>
            <w:r>
              <w:rPr>
                <w:rFonts w:hint="eastAsia" w:ascii="宋体" w:hAnsi="宋体" w:eastAsia="宋体" w:cs="宋体"/>
                <w:color w:val="auto"/>
                <w:sz w:val="24"/>
                <w:szCs w:val="24"/>
                <w:lang w:val="en-US" w:eastAsia="zh-CN"/>
              </w:rPr>
              <w:t>7</w:t>
            </w:r>
          </w:p>
        </w:tc>
        <w:tc>
          <w:tcPr>
            <w:tcW w:w="1351" w:type="dxa"/>
            <w:shd w:val="clear" w:color="auto" w:fill="FFFFFF" w:themeFill="background1"/>
            <w:vAlign w:val="center"/>
          </w:tcPr>
          <w:p w14:paraId="6A54F835">
            <w:pPr>
              <w:spacing w:line="5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其他</w:t>
            </w:r>
          </w:p>
        </w:tc>
        <w:tc>
          <w:tcPr>
            <w:tcW w:w="6765" w:type="dxa"/>
            <w:shd w:val="clear" w:color="auto" w:fill="FFFFFF" w:themeFill="background1"/>
            <w:vAlign w:val="center"/>
          </w:tcPr>
          <w:p w14:paraId="58C2F8AC">
            <w:pPr>
              <w:numPr>
                <w:ilvl w:val="0"/>
                <w:numId w:val="4"/>
              </w:numPr>
              <w:spacing w:line="560" w:lineRule="exact"/>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本次招标如有变更、澄清或其他通知将在发布招标公告的网站（新疆政府采购网）上公布。</w:t>
            </w:r>
          </w:p>
          <w:p w14:paraId="4ACABC25">
            <w:pPr>
              <w:numPr>
                <w:ilvl w:val="0"/>
                <w:numId w:val="4"/>
              </w:numPr>
              <w:spacing w:line="560" w:lineRule="exact"/>
              <w:rPr>
                <w:rFonts w:hint="eastAsia" w:ascii="宋体" w:hAnsi="宋体" w:eastAsia="宋体" w:cs="宋体"/>
                <w:color w:val="auto"/>
                <w:sz w:val="24"/>
                <w:szCs w:val="24"/>
              </w:rPr>
            </w:pPr>
            <w:r>
              <w:rPr>
                <w:rFonts w:hint="eastAsia" w:ascii="宋体" w:hAnsi="宋体" w:eastAsia="宋体" w:cs="宋体"/>
                <w:color w:val="auto"/>
                <w:sz w:val="24"/>
                <w:szCs w:val="24"/>
              </w:rPr>
              <w:t>重要说明：①本项目采用全流程不见面电子开评标，投标人需要使用CA加密设备，投标人可通过新疆数字证书认证中心官网（https://www.xjca.com.cn/）或下载“新疆政务通”APP自行进行申领。</w:t>
            </w:r>
          </w:p>
          <w:p w14:paraId="5EA0B33A">
            <w:pPr>
              <w:spacing w:line="560" w:lineRule="exact"/>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②本项目实行网上投标，采用加密电子投标文件（投标人须使用CA加密设备通过政采云电子投标客户端制作投标文件）。若投标人参与投标，自行承担投标一切费用。</w:t>
            </w:r>
          </w:p>
          <w:p w14:paraId="5608A577">
            <w:pPr>
              <w:numPr>
                <w:ilvl w:val="0"/>
                <w:numId w:val="4"/>
              </w:numPr>
              <w:spacing w:line="560" w:lineRule="exact"/>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投标人使用相同IP地址的，一经发现，相关部门将进一步核实，查实后按串通投标处理。</w:t>
            </w:r>
          </w:p>
        </w:tc>
      </w:tr>
      <w:tr w14:paraId="04D5D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70" w:hRule="atLeast"/>
          <w:jc w:val="center"/>
        </w:trPr>
        <w:tc>
          <w:tcPr>
            <w:tcW w:w="534" w:type="dxa"/>
            <w:shd w:val="clear" w:color="auto" w:fill="FFFFFF" w:themeFill="background1"/>
            <w:vAlign w:val="center"/>
          </w:tcPr>
          <w:p w14:paraId="340CBB9B">
            <w:pPr>
              <w:spacing w:line="360" w:lineRule="auto"/>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28</w:t>
            </w:r>
          </w:p>
        </w:tc>
        <w:tc>
          <w:tcPr>
            <w:tcW w:w="1351" w:type="dxa"/>
            <w:shd w:val="clear" w:color="auto" w:fill="FFFFFF" w:themeFill="background1"/>
            <w:vAlign w:val="center"/>
          </w:tcPr>
          <w:p w14:paraId="29D1E45B">
            <w:pPr>
              <w:spacing w:line="560" w:lineRule="exact"/>
              <w:jc w:val="center"/>
              <w:rPr>
                <w:rFonts w:hint="eastAsia" w:ascii="宋体" w:hAnsi="宋体" w:eastAsia="宋体" w:cs="宋体"/>
                <w:color w:val="auto"/>
                <w:sz w:val="24"/>
                <w:szCs w:val="24"/>
              </w:rPr>
            </w:pPr>
            <w:r>
              <w:rPr>
                <w:rFonts w:hint="eastAsia" w:ascii="宋体" w:hAnsi="宋体" w:eastAsia="宋体" w:cs="宋体"/>
                <w:color w:val="000000"/>
                <w:sz w:val="24"/>
                <w:szCs w:val="24"/>
                <w:highlight w:val="none"/>
              </w:rPr>
              <w:t>政府采购支持及所属行业划分</w:t>
            </w:r>
          </w:p>
        </w:tc>
        <w:tc>
          <w:tcPr>
            <w:tcW w:w="6765" w:type="dxa"/>
            <w:shd w:val="clear" w:color="auto" w:fill="FFFFFF" w:themeFill="background1"/>
            <w:vAlign w:val="center"/>
          </w:tcPr>
          <w:p w14:paraId="32396D54">
            <w:pPr>
              <w:numPr>
                <w:ilvl w:val="0"/>
                <w:numId w:val="5"/>
              </w:numPr>
              <w:spacing w:line="400" w:lineRule="exact"/>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本项目为专门面向小微企业采购项目</w:t>
            </w:r>
            <w:r>
              <w:rPr>
                <w:rFonts w:hint="eastAsia" w:ascii="宋体" w:hAnsi="宋体" w:eastAsia="宋体" w:cs="宋体"/>
                <w:sz w:val="24"/>
                <w:szCs w:val="24"/>
                <w:highlight w:val="none"/>
              </w:rPr>
              <w:t>，根据《政府采购促进中小企业发展管理办法》（财库[2020]46 号）、《关于进一步加大政府采购支持中小企业力度的通知》（财库[2022]19 号）及《关于落实好政府采购支持中小企业发展的通知》（新财购[2022]22号）的规定，评标时将给予此类企业进行价格10%的优惠，监狱企业、残疾人福利性单位视同为小微企业，用优惠后的价格参与评审。</w:t>
            </w:r>
          </w:p>
          <w:p w14:paraId="63013C46">
            <w:pPr>
              <w:numPr>
                <w:ilvl w:val="0"/>
                <w:numId w:val="5"/>
              </w:numPr>
              <w:spacing w:line="400" w:lineRule="exact"/>
              <w:rPr>
                <w:rFonts w:hint="eastAsia" w:ascii="宋体" w:hAnsi="宋体" w:eastAsia="宋体" w:cs="宋体"/>
                <w:color w:val="auto"/>
                <w:sz w:val="24"/>
                <w:szCs w:val="24"/>
                <w:lang w:eastAsia="zh-CN"/>
              </w:rPr>
            </w:pPr>
            <w:r>
              <w:rPr>
                <w:rFonts w:hint="eastAsia" w:ascii="宋体" w:hAnsi="宋体" w:eastAsia="宋体" w:cs="宋体"/>
                <w:sz w:val="24"/>
                <w:szCs w:val="24"/>
                <w:highlight w:val="none"/>
              </w:rPr>
              <w:t>本项目采购标的对应的中小企业划分标准所属行业为</w:t>
            </w:r>
            <w:r>
              <w:rPr>
                <w:rFonts w:hint="eastAsia" w:ascii="宋体" w:hAnsi="宋体" w:eastAsia="宋体" w:cs="宋体"/>
                <w:sz w:val="24"/>
                <w:szCs w:val="24"/>
                <w:highlight w:val="none"/>
                <w:lang w:eastAsia="zh-CN"/>
              </w:rPr>
              <w:t>：</w:t>
            </w:r>
            <w:r>
              <w:rPr>
                <w:rFonts w:hint="eastAsia" w:eastAsia="宋体" w:cs="宋体"/>
                <w:color w:val="auto"/>
                <w:sz w:val="24"/>
                <w:szCs w:val="24"/>
                <w:highlight w:val="none"/>
                <w:shd w:val="clear" w:color="auto" w:fill="FFFFFF"/>
                <w:lang w:eastAsia="zh-CN"/>
              </w:rPr>
              <w:t>软件和信息技术服务业。从业人员300人以下或营</w:t>
            </w:r>
            <w:r>
              <w:rPr>
                <w:rFonts w:hint="eastAsia" w:eastAsia="宋体" w:cs="宋体"/>
                <w:color w:val="auto"/>
                <w:sz w:val="24"/>
                <w:szCs w:val="24"/>
                <w:shd w:val="clear" w:color="auto" w:fill="FFFFFF"/>
                <w:lang w:eastAsia="zh-CN"/>
              </w:rPr>
              <w:t>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tc>
      </w:tr>
    </w:tbl>
    <w:p w14:paraId="0DE91748">
      <w:pPr>
        <w:pStyle w:val="3"/>
        <w:spacing w:before="0" w:after="0" w:line="360" w:lineRule="auto"/>
        <w:jc w:val="center"/>
        <w:rPr>
          <w:rFonts w:hint="eastAsia" w:ascii="宋体" w:hAnsi="宋体" w:eastAsia="宋体" w:cs="宋体"/>
          <w:bCs w:val="0"/>
          <w:color w:val="auto"/>
          <w:sz w:val="24"/>
          <w:szCs w:val="24"/>
          <w:lang w:eastAsia="zh-CN"/>
        </w:rPr>
      </w:pPr>
      <w:r>
        <w:rPr>
          <w:rFonts w:hint="eastAsia" w:ascii="宋体" w:hAnsi="宋体" w:eastAsia="宋体" w:cs="宋体"/>
          <w:bCs w:val="0"/>
          <w:color w:val="auto"/>
          <w:sz w:val="24"/>
          <w:szCs w:val="24"/>
          <w:lang w:eastAsia="zh-CN"/>
        </w:rPr>
        <w:br w:type="page"/>
      </w:r>
      <w:bookmarkStart w:id="38" w:name="_Toc31709"/>
      <w:r>
        <w:rPr>
          <w:rFonts w:hint="eastAsia" w:ascii="宋体" w:hAnsi="宋体" w:eastAsia="宋体" w:cs="宋体"/>
          <w:bCs w:val="0"/>
          <w:color w:val="auto"/>
          <w:sz w:val="24"/>
          <w:szCs w:val="24"/>
          <w:lang w:eastAsia="zh-CN"/>
        </w:rPr>
        <w:t>二、总  则</w:t>
      </w:r>
      <w:bookmarkEnd w:id="38"/>
    </w:p>
    <w:p w14:paraId="422EE213">
      <w:pPr>
        <w:widowControl w:val="0"/>
        <w:adjustRightInd/>
        <w:snapToGrid/>
        <w:spacing w:line="560" w:lineRule="exact"/>
        <w:ind w:firstLine="482" w:firstLineChars="200"/>
        <w:jc w:val="both"/>
        <w:textAlignment w:val="auto"/>
        <w:rPr>
          <w:rFonts w:hint="eastAsia" w:ascii="宋体" w:hAnsi="宋体" w:eastAsia="宋体" w:cs="宋体"/>
          <w:b/>
          <w:bCs/>
          <w:color w:val="auto"/>
          <w:kern w:val="2"/>
          <w:sz w:val="24"/>
          <w:szCs w:val="24"/>
          <w:lang w:eastAsia="zh-CN"/>
        </w:rPr>
      </w:pPr>
      <w:bookmarkStart w:id="39" w:name="_Toc183582205"/>
      <w:bookmarkStart w:id="40" w:name="_Toc183682342"/>
      <w:bookmarkStart w:id="41" w:name="_Toc217446034"/>
      <w:r>
        <w:rPr>
          <w:rFonts w:hint="eastAsia" w:ascii="宋体" w:hAnsi="宋体" w:eastAsia="宋体" w:cs="宋体"/>
          <w:b/>
          <w:bCs/>
          <w:color w:val="auto"/>
          <w:kern w:val="2"/>
          <w:sz w:val="24"/>
          <w:szCs w:val="24"/>
          <w:lang w:eastAsia="zh-CN"/>
        </w:rPr>
        <w:t>1.</w:t>
      </w:r>
      <w:bookmarkEnd w:id="39"/>
      <w:bookmarkEnd w:id="40"/>
      <w:r>
        <w:rPr>
          <w:rFonts w:hint="eastAsia" w:ascii="宋体" w:hAnsi="宋体" w:eastAsia="宋体" w:cs="宋体"/>
          <w:b/>
          <w:bCs/>
          <w:color w:val="auto"/>
          <w:kern w:val="2"/>
          <w:sz w:val="24"/>
          <w:szCs w:val="24"/>
          <w:lang w:eastAsia="zh-CN"/>
        </w:rPr>
        <w:t>适用范围</w:t>
      </w:r>
      <w:bookmarkEnd w:id="41"/>
    </w:p>
    <w:p w14:paraId="1BA3C03B">
      <w:pPr>
        <w:widowControl w:val="0"/>
        <w:tabs>
          <w:tab w:val="left" w:pos="7665"/>
        </w:tabs>
        <w:adjustRightInd/>
        <w:snapToGrid/>
        <w:spacing w:line="560" w:lineRule="exact"/>
        <w:ind w:firstLine="480" w:firstLineChars="200"/>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1.1 本招标文件仅适用于本次招标项目。</w:t>
      </w:r>
    </w:p>
    <w:p w14:paraId="74125C4A">
      <w:pPr>
        <w:widowControl w:val="0"/>
        <w:adjustRightInd/>
        <w:snapToGrid/>
        <w:spacing w:line="560" w:lineRule="exact"/>
        <w:ind w:firstLine="482" w:firstLineChars="200"/>
        <w:jc w:val="both"/>
        <w:textAlignment w:val="auto"/>
        <w:rPr>
          <w:rFonts w:hint="eastAsia" w:ascii="宋体" w:hAnsi="宋体" w:eastAsia="宋体" w:cs="宋体"/>
          <w:b/>
          <w:bCs/>
          <w:color w:val="auto"/>
          <w:kern w:val="2"/>
          <w:sz w:val="24"/>
          <w:szCs w:val="24"/>
          <w:lang w:eastAsia="zh-CN"/>
        </w:rPr>
      </w:pPr>
      <w:bookmarkStart w:id="42" w:name="_Toc183682343"/>
      <w:bookmarkStart w:id="43" w:name="_Toc183582206"/>
      <w:bookmarkStart w:id="44" w:name="_Toc217446035"/>
      <w:r>
        <w:rPr>
          <w:rFonts w:hint="eastAsia" w:ascii="宋体" w:hAnsi="宋体" w:eastAsia="宋体" w:cs="宋体"/>
          <w:b/>
          <w:bCs/>
          <w:color w:val="auto"/>
          <w:kern w:val="2"/>
          <w:sz w:val="24"/>
          <w:szCs w:val="24"/>
          <w:lang w:eastAsia="zh-CN"/>
        </w:rPr>
        <w:t>2.</w:t>
      </w:r>
      <w:bookmarkEnd w:id="42"/>
      <w:bookmarkEnd w:id="43"/>
      <w:r>
        <w:rPr>
          <w:rFonts w:hint="eastAsia" w:ascii="宋体" w:hAnsi="宋体" w:eastAsia="宋体" w:cs="宋体"/>
          <w:b/>
          <w:bCs/>
          <w:color w:val="auto"/>
          <w:kern w:val="2"/>
          <w:sz w:val="24"/>
          <w:szCs w:val="24"/>
          <w:lang w:eastAsia="zh-CN"/>
        </w:rPr>
        <w:t>有关定义</w:t>
      </w:r>
      <w:bookmarkEnd w:id="44"/>
    </w:p>
    <w:p w14:paraId="7F6B804F">
      <w:pPr>
        <w:widowControl w:val="0"/>
        <w:tabs>
          <w:tab w:val="left" w:pos="7665"/>
        </w:tabs>
        <w:adjustRightInd/>
        <w:snapToGrid/>
        <w:spacing w:line="560" w:lineRule="exact"/>
        <w:ind w:firstLine="480" w:firstLineChars="200"/>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2.1 “采购人”系指依法进行政府采购的国家机关、事业单位、团体组织。本项目采购人是</w:t>
      </w:r>
      <w:r>
        <w:rPr>
          <w:rFonts w:hint="eastAsia" w:ascii="宋体" w:hAnsi="宋体" w:eastAsia="宋体" w:cs="宋体"/>
          <w:color w:val="auto"/>
          <w:kern w:val="2"/>
          <w:sz w:val="24"/>
          <w:szCs w:val="24"/>
          <w:u w:val="single"/>
          <w:lang w:eastAsia="zh-CN"/>
        </w:rPr>
        <w:t>新疆维吾尔自治区昌吉某单位</w:t>
      </w:r>
      <w:r>
        <w:rPr>
          <w:rFonts w:hint="eastAsia" w:ascii="宋体" w:hAnsi="宋体" w:eastAsia="宋体" w:cs="宋体"/>
          <w:color w:val="auto"/>
          <w:kern w:val="2"/>
          <w:sz w:val="24"/>
          <w:szCs w:val="24"/>
          <w:lang w:eastAsia="zh-CN"/>
        </w:rPr>
        <w:t>。</w:t>
      </w:r>
    </w:p>
    <w:p w14:paraId="5A265999">
      <w:pPr>
        <w:widowControl w:val="0"/>
        <w:tabs>
          <w:tab w:val="left" w:pos="7665"/>
        </w:tabs>
        <w:adjustRightInd/>
        <w:snapToGrid/>
        <w:spacing w:line="560" w:lineRule="exact"/>
        <w:ind w:firstLine="480" w:firstLineChars="200"/>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2.2 “采购代理机构”系指根据采购人的委托依法办理招标事宜的采购机构。本次招标的采购代理机构是</w:t>
      </w:r>
      <w:r>
        <w:rPr>
          <w:rFonts w:hint="eastAsia" w:ascii="宋体" w:hAnsi="宋体" w:eastAsia="宋体" w:cs="宋体"/>
          <w:color w:val="auto"/>
          <w:sz w:val="24"/>
          <w:szCs w:val="24"/>
          <w:u w:val="single"/>
          <w:lang w:eastAsia="zh-CN"/>
        </w:rPr>
        <w:t>新疆金正建设工程管理有限公司</w:t>
      </w:r>
      <w:r>
        <w:rPr>
          <w:rFonts w:hint="eastAsia" w:ascii="宋体" w:hAnsi="宋体" w:eastAsia="宋体" w:cs="宋体"/>
          <w:color w:val="auto"/>
          <w:kern w:val="2"/>
          <w:sz w:val="24"/>
          <w:szCs w:val="24"/>
          <w:lang w:eastAsia="zh-CN"/>
        </w:rPr>
        <w:t>。</w:t>
      </w:r>
    </w:p>
    <w:p w14:paraId="0C482903">
      <w:pPr>
        <w:widowControl w:val="0"/>
        <w:tabs>
          <w:tab w:val="left" w:pos="7665"/>
        </w:tabs>
        <w:adjustRightInd/>
        <w:snapToGrid/>
        <w:spacing w:line="560" w:lineRule="exact"/>
        <w:ind w:firstLine="480" w:firstLineChars="200"/>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2.3 “采购单位”系指“采购人”和“采购代理机构”的统称。</w:t>
      </w:r>
    </w:p>
    <w:p w14:paraId="475A172E">
      <w:pPr>
        <w:widowControl w:val="0"/>
        <w:tabs>
          <w:tab w:val="left" w:pos="7665"/>
        </w:tabs>
        <w:adjustRightInd/>
        <w:snapToGrid/>
        <w:spacing w:line="560" w:lineRule="exact"/>
        <w:ind w:firstLine="480" w:firstLineChars="200"/>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2.4 “投标人”指下载了招标文件拟参加投标和向采购人提供服务的投标人。</w:t>
      </w:r>
    </w:p>
    <w:p w14:paraId="6638174D">
      <w:pPr>
        <w:widowControl w:val="0"/>
        <w:adjustRightInd/>
        <w:snapToGrid/>
        <w:spacing w:line="560" w:lineRule="exact"/>
        <w:ind w:firstLine="482" w:firstLineChars="200"/>
        <w:jc w:val="both"/>
        <w:textAlignment w:val="auto"/>
        <w:rPr>
          <w:rFonts w:hint="eastAsia" w:ascii="宋体" w:hAnsi="宋体" w:eastAsia="宋体" w:cs="宋体"/>
          <w:b/>
          <w:bCs/>
          <w:color w:val="auto"/>
          <w:kern w:val="2"/>
          <w:sz w:val="24"/>
          <w:szCs w:val="24"/>
          <w:lang w:eastAsia="zh-CN"/>
        </w:rPr>
      </w:pPr>
      <w:bookmarkStart w:id="45" w:name="_Toc217446036"/>
      <w:bookmarkStart w:id="46" w:name="_Toc183682344"/>
      <w:bookmarkStart w:id="47" w:name="_Toc217390843"/>
      <w:bookmarkStart w:id="48" w:name="_Toc183582207"/>
      <w:r>
        <w:rPr>
          <w:rFonts w:hint="eastAsia" w:ascii="宋体" w:hAnsi="宋体" w:eastAsia="宋体" w:cs="宋体"/>
          <w:b/>
          <w:bCs/>
          <w:color w:val="auto"/>
          <w:kern w:val="2"/>
          <w:sz w:val="24"/>
          <w:szCs w:val="24"/>
          <w:lang w:eastAsia="zh-CN"/>
        </w:rPr>
        <w:t>3.合格的</w:t>
      </w:r>
      <w:bookmarkEnd w:id="45"/>
      <w:bookmarkEnd w:id="46"/>
      <w:bookmarkEnd w:id="47"/>
      <w:bookmarkEnd w:id="48"/>
      <w:r>
        <w:rPr>
          <w:rFonts w:hint="eastAsia" w:ascii="宋体" w:hAnsi="宋体" w:eastAsia="宋体" w:cs="宋体"/>
          <w:b/>
          <w:bCs/>
          <w:color w:val="auto"/>
          <w:kern w:val="2"/>
          <w:sz w:val="24"/>
          <w:szCs w:val="24"/>
          <w:lang w:eastAsia="zh-CN"/>
        </w:rPr>
        <w:t>投标人</w:t>
      </w:r>
    </w:p>
    <w:p w14:paraId="10E2CBC7">
      <w:pPr>
        <w:widowControl w:val="0"/>
        <w:tabs>
          <w:tab w:val="left" w:pos="7665"/>
        </w:tabs>
        <w:adjustRightInd/>
        <w:snapToGrid/>
        <w:spacing w:line="560" w:lineRule="exact"/>
        <w:ind w:firstLine="480" w:firstLineChars="200"/>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合格的投标人应具备以下条件：</w:t>
      </w:r>
    </w:p>
    <w:p w14:paraId="67B04CDC">
      <w:pPr>
        <w:widowControl w:val="0"/>
        <w:tabs>
          <w:tab w:val="left" w:pos="7665"/>
        </w:tabs>
        <w:adjustRightInd/>
        <w:snapToGrid/>
        <w:spacing w:line="560" w:lineRule="exact"/>
        <w:ind w:firstLine="480" w:firstLineChars="200"/>
        <w:jc w:val="both"/>
        <w:textAlignment w:val="auto"/>
        <w:rPr>
          <w:rFonts w:hint="eastAsia" w:ascii="宋体" w:hAnsi="宋体" w:eastAsia="宋体" w:cs="宋体"/>
          <w:color w:val="auto"/>
          <w:spacing w:val="-4"/>
          <w:kern w:val="2"/>
          <w:sz w:val="24"/>
          <w:szCs w:val="24"/>
          <w:lang w:eastAsia="zh-CN"/>
        </w:rPr>
      </w:pPr>
      <w:r>
        <w:rPr>
          <w:rFonts w:hint="eastAsia" w:ascii="宋体" w:hAnsi="宋体" w:eastAsia="宋体" w:cs="宋体"/>
          <w:color w:val="auto"/>
          <w:kern w:val="2"/>
          <w:sz w:val="24"/>
          <w:szCs w:val="24"/>
          <w:lang w:eastAsia="zh-CN"/>
        </w:rPr>
        <w:t>（1）本招标文件“招标公告”第二条规定的条件</w:t>
      </w:r>
      <w:r>
        <w:rPr>
          <w:rFonts w:hint="eastAsia" w:ascii="宋体" w:hAnsi="宋体" w:eastAsia="宋体" w:cs="宋体"/>
          <w:color w:val="auto"/>
          <w:spacing w:val="-4"/>
          <w:kern w:val="2"/>
          <w:sz w:val="24"/>
          <w:szCs w:val="24"/>
          <w:lang w:eastAsia="zh-CN"/>
        </w:rPr>
        <w:t>；</w:t>
      </w:r>
    </w:p>
    <w:p w14:paraId="71817D45">
      <w:pPr>
        <w:widowControl w:val="0"/>
        <w:tabs>
          <w:tab w:val="left" w:pos="7665"/>
        </w:tabs>
        <w:adjustRightInd/>
        <w:snapToGrid/>
        <w:spacing w:line="560" w:lineRule="exact"/>
        <w:ind w:firstLine="480" w:firstLineChars="200"/>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（2）遵守国家有关的法律、法规、规章和其他政策规定；</w:t>
      </w:r>
    </w:p>
    <w:p w14:paraId="0FAFA8BF">
      <w:pPr>
        <w:widowControl w:val="0"/>
        <w:tabs>
          <w:tab w:val="left" w:pos="7665"/>
        </w:tabs>
        <w:adjustRightInd/>
        <w:snapToGrid/>
        <w:spacing w:line="560" w:lineRule="exact"/>
        <w:ind w:firstLine="480" w:firstLineChars="200"/>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（3）下载了招标文件并按要求缴纳投标保证金。</w:t>
      </w:r>
    </w:p>
    <w:p w14:paraId="60E9516B">
      <w:pPr>
        <w:widowControl w:val="0"/>
        <w:adjustRightInd/>
        <w:snapToGrid/>
        <w:spacing w:line="560" w:lineRule="exact"/>
        <w:ind w:firstLine="482" w:firstLineChars="200"/>
        <w:jc w:val="both"/>
        <w:textAlignment w:val="auto"/>
        <w:rPr>
          <w:rFonts w:hint="eastAsia" w:ascii="宋体" w:hAnsi="宋体" w:eastAsia="宋体" w:cs="宋体"/>
          <w:b/>
          <w:bCs/>
          <w:color w:val="auto"/>
          <w:kern w:val="2"/>
          <w:sz w:val="24"/>
          <w:szCs w:val="24"/>
          <w:lang w:eastAsia="zh-CN"/>
        </w:rPr>
      </w:pPr>
      <w:bookmarkStart w:id="49" w:name="_Toc217446037"/>
      <w:bookmarkStart w:id="50" w:name="_Toc183582208"/>
      <w:bookmarkStart w:id="51" w:name="_Toc183682345"/>
      <w:r>
        <w:rPr>
          <w:rFonts w:hint="eastAsia" w:ascii="宋体" w:hAnsi="宋体" w:eastAsia="宋体" w:cs="宋体"/>
          <w:b/>
          <w:bCs/>
          <w:color w:val="auto"/>
          <w:kern w:val="2"/>
          <w:sz w:val="24"/>
          <w:szCs w:val="24"/>
          <w:lang w:eastAsia="zh-CN"/>
        </w:rPr>
        <w:t>4.投标费用</w:t>
      </w:r>
      <w:bookmarkEnd w:id="49"/>
      <w:bookmarkEnd w:id="50"/>
      <w:bookmarkEnd w:id="51"/>
    </w:p>
    <w:p w14:paraId="71E57240">
      <w:pPr>
        <w:widowControl w:val="0"/>
        <w:tabs>
          <w:tab w:val="left" w:pos="7665"/>
        </w:tabs>
        <w:adjustRightInd/>
        <w:snapToGrid/>
        <w:spacing w:line="560" w:lineRule="exact"/>
        <w:ind w:firstLine="480" w:firstLineChars="200"/>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投标人参加投标的有关费用由投标人自行承担。</w:t>
      </w:r>
    </w:p>
    <w:p w14:paraId="0A5CEF2C">
      <w:pPr>
        <w:keepLines/>
        <w:widowControl w:val="0"/>
        <w:spacing w:line="560" w:lineRule="exact"/>
        <w:ind w:firstLine="482" w:firstLineChars="200"/>
        <w:jc w:val="center"/>
        <w:outlineLvl w:val="1"/>
        <w:rPr>
          <w:rFonts w:hint="eastAsia" w:ascii="宋体" w:hAnsi="宋体" w:eastAsia="宋体" w:cs="宋体"/>
          <w:b/>
          <w:bCs/>
          <w:color w:val="auto"/>
          <w:kern w:val="2"/>
          <w:sz w:val="24"/>
          <w:szCs w:val="24"/>
          <w:lang w:eastAsia="zh-CN"/>
        </w:rPr>
      </w:pPr>
      <w:bookmarkStart w:id="52" w:name="_Toc183682346"/>
      <w:bookmarkStart w:id="53" w:name="_Toc77400779"/>
      <w:bookmarkStart w:id="54" w:name="_Toc217446038"/>
      <w:bookmarkStart w:id="55" w:name="_Toc89075875"/>
      <w:bookmarkStart w:id="56" w:name="_Toc183582209"/>
      <w:r>
        <w:rPr>
          <w:rFonts w:hint="eastAsia" w:ascii="宋体" w:hAnsi="宋体" w:eastAsia="宋体" w:cs="宋体"/>
          <w:b/>
          <w:bCs/>
          <w:color w:val="auto"/>
          <w:kern w:val="2"/>
          <w:sz w:val="24"/>
          <w:szCs w:val="24"/>
          <w:lang w:eastAsia="zh-CN"/>
        </w:rPr>
        <w:t>三、</w:t>
      </w:r>
      <w:bookmarkEnd w:id="52"/>
      <w:bookmarkEnd w:id="53"/>
      <w:bookmarkEnd w:id="54"/>
      <w:bookmarkEnd w:id="55"/>
      <w:bookmarkEnd w:id="56"/>
      <w:r>
        <w:rPr>
          <w:rFonts w:hint="eastAsia" w:ascii="宋体" w:hAnsi="宋体" w:eastAsia="宋体" w:cs="宋体"/>
          <w:b/>
          <w:bCs/>
          <w:color w:val="auto"/>
          <w:kern w:val="2"/>
          <w:sz w:val="24"/>
          <w:szCs w:val="24"/>
          <w:lang w:eastAsia="zh-CN"/>
        </w:rPr>
        <w:t>招标文件</w:t>
      </w:r>
    </w:p>
    <w:p w14:paraId="2A503072">
      <w:pPr>
        <w:widowControl w:val="0"/>
        <w:adjustRightInd/>
        <w:snapToGrid/>
        <w:spacing w:line="560" w:lineRule="exact"/>
        <w:ind w:firstLine="482" w:firstLineChars="200"/>
        <w:jc w:val="both"/>
        <w:textAlignment w:val="auto"/>
        <w:rPr>
          <w:rFonts w:hint="eastAsia" w:ascii="宋体" w:hAnsi="宋体" w:eastAsia="宋体" w:cs="宋体"/>
          <w:b/>
          <w:bCs/>
          <w:color w:val="auto"/>
          <w:kern w:val="2"/>
          <w:sz w:val="24"/>
          <w:szCs w:val="24"/>
          <w:lang w:eastAsia="zh-CN"/>
        </w:rPr>
      </w:pPr>
      <w:bookmarkStart w:id="57" w:name="_Toc217446039"/>
      <w:bookmarkStart w:id="58" w:name="_Toc183682347"/>
      <w:bookmarkStart w:id="59" w:name="_Toc183582210"/>
      <w:r>
        <w:rPr>
          <w:rFonts w:hint="eastAsia" w:ascii="宋体" w:hAnsi="宋体" w:eastAsia="宋体" w:cs="宋体"/>
          <w:b/>
          <w:bCs/>
          <w:color w:val="auto"/>
          <w:kern w:val="2"/>
          <w:sz w:val="24"/>
          <w:szCs w:val="24"/>
          <w:lang w:eastAsia="zh-CN"/>
        </w:rPr>
        <w:t>5</w:t>
      </w:r>
      <w:r>
        <w:rPr>
          <w:rFonts w:hint="eastAsia" w:ascii="宋体" w:hAnsi="宋体" w:eastAsia="宋体" w:cs="宋体"/>
          <w:b/>
          <w:bCs/>
          <w:color w:val="auto"/>
          <w:kern w:val="2"/>
          <w:sz w:val="24"/>
          <w:szCs w:val="24"/>
          <w:lang w:val="en-US" w:eastAsia="zh-CN"/>
        </w:rPr>
        <w:t>.</w:t>
      </w:r>
      <w:r>
        <w:rPr>
          <w:rFonts w:hint="eastAsia" w:ascii="宋体" w:hAnsi="宋体" w:eastAsia="宋体" w:cs="宋体"/>
          <w:b/>
          <w:bCs/>
          <w:color w:val="auto"/>
          <w:kern w:val="2"/>
          <w:sz w:val="24"/>
          <w:szCs w:val="24"/>
          <w:lang w:eastAsia="zh-CN"/>
        </w:rPr>
        <w:t>招标文件的构成</w:t>
      </w:r>
      <w:bookmarkEnd w:id="57"/>
      <w:bookmarkEnd w:id="58"/>
      <w:bookmarkEnd w:id="59"/>
    </w:p>
    <w:p w14:paraId="615F4780">
      <w:pPr>
        <w:widowControl w:val="0"/>
        <w:tabs>
          <w:tab w:val="left" w:pos="720"/>
        </w:tabs>
        <w:adjustRightInd/>
        <w:snapToGrid/>
        <w:spacing w:line="560" w:lineRule="exact"/>
        <w:ind w:firstLine="480" w:firstLineChars="200"/>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5</w:t>
      </w:r>
      <w:r>
        <w:rPr>
          <w:rFonts w:hint="eastAsia" w:ascii="宋体" w:hAnsi="宋体" w:eastAsia="宋体" w:cs="宋体"/>
          <w:b/>
          <w:bCs/>
          <w:color w:val="auto"/>
          <w:kern w:val="2"/>
          <w:sz w:val="24"/>
          <w:szCs w:val="24"/>
          <w:lang w:eastAsia="zh-CN"/>
        </w:rPr>
        <w:t>.</w:t>
      </w:r>
      <w:r>
        <w:rPr>
          <w:rFonts w:hint="eastAsia" w:ascii="宋体" w:hAnsi="宋体" w:eastAsia="宋体" w:cs="宋体"/>
          <w:color w:val="auto"/>
          <w:kern w:val="2"/>
          <w:sz w:val="24"/>
          <w:szCs w:val="24"/>
          <w:lang w:eastAsia="zh-CN"/>
        </w:rPr>
        <w:t>1 招标文件是投标人准备投标文件和参加投标的依据，同时也是评标的重要依据，具有准法律文件性质。招标文件用以阐明招标项目所需的资质、技术、报价、招标程序、有关规定和注意事项以及拟签订的合同文本等。本招标文件包括以下内容：</w:t>
      </w:r>
      <w:r>
        <w:rPr>
          <w:rFonts w:hint="eastAsia" w:ascii="宋体" w:hAnsi="宋体" w:eastAsia="宋体" w:cs="宋体"/>
          <w:color w:val="auto"/>
          <w:kern w:val="2"/>
          <w:sz w:val="24"/>
          <w:szCs w:val="24"/>
          <w:lang w:eastAsia="zh-CN"/>
        </w:rPr>
        <w:tab/>
      </w:r>
    </w:p>
    <w:p w14:paraId="1F46DB49">
      <w:pPr>
        <w:widowControl w:val="0"/>
        <w:tabs>
          <w:tab w:val="left" w:pos="0"/>
          <w:tab w:val="left" w:pos="7665"/>
        </w:tabs>
        <w:adjustRightInd/>
        <w:snapToGrid/>
        <w:spacing w:line="560" w:lineRule="exact"/>
        <w:ind w:firstLine="480" w:firstLineChars="200"/>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（1）投标人须知</w:t>
      </w:r>
      <w:r>
        <w:rPr>
          <w:rFonts w:hint="eastAsia" w:ascii="宋体" w:hAnsi="宋体" w:eastAsia="宋体" w:cs="宋体"/>
          <w:color w:val="auto"/>
          <w:kern w:val="2"/>
          <w:sz w:val="24"/>
          <w:szCs w:val="24"/>
          <w:lang w:eastAsia="zh-CN"/>
        </w:rPr>
        <w:tab/>
      </w:r>
    </w:p>
    <w:p w14:paraId="7C573491">
      <w:pPr>
        <w:widowControl w:val="0"/>
        <w:tabs>
          <w:tab w:val="left" w:pos="0"/>
          <w:tab w:val="left" w:pos="7665"/>
        </w:tabs>
        <w:adjustRightInd/>
        <w:snapToGrid/>
        <w:spacing w:line="560" w:lineRule="exact"/>
        <w:ind w:firstLine="480" w:firstLineChars="200"/>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（2）投标文件格式</w:t>
      </w:r>
      <w:r>
        <w:rPr>
          <w:rFonts w:hint="eastAsia" w:ascii="宋体" w:hAnsi="宋体" w:eastAsia="宋体" w:cs="宋体"/>
          <w:color w:val="auto"/>
          <w:kern w:val="2"/>
          <w:sz w:val="24"/>
          <w:szCs w:val="24"/>
          <w:lang w:eastAsia="zh-CN"/>
        </w:rPr>
        <w:tab/>
      </w:r>
    </w:p>
    <w:p w14:paraId="38888F98">
      <w:pPr>
        <w:widowControl w:val="0"/>
        <w:tabs>
          <w:tab w:val="left" w:pos="0"/>
          <w:tab w:val="left" w:pos="7665"/>
        </w:tabs>
        <w:adjustRightInd/>
        <w:snapToGrid/>
        <w:spacing w:line="560" w:lineRule="exact"/>
        <w:ind w:firstLine="480" w:firstLineChars="200"/>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（3）服务需求</w:t>
      </w:r>
      <w:r>
        <w:rPr>
          <w:rFonts w:hint="eastAsia" w:ascii="宋体" w:hAnsi="宋体" w:eastAsia="宋体" w:cs="宋体"/>
          <w:color w:val="auto"/>
          <w:kern w:val="2"/>
          <w:sz w:val="24"/>
          <w:szCs w:val="24"/>
          <w:lang w:eastAsia="zh-CN"/>
        </w:rPr>
        <w:tab/>
      </w:r>
    </w:p>
    <w:p w14:paraId="69F989DE">
      <w:pPr>
        <w:widowControl w:val="0"/>
        <w:tabs>
          <w:tab w:val="left" w:pos="0"/>
          <w:tab w:val="left" w:pos="7665"/>
        </w:tabs>
        <w:adjustRightInd/>
        <w:snapToGrid/>
        <w:spacing w:line="560" w:lineRule="exact"/>
        <w:ind w:firstLine="480" w:firstLineChars="200"/>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（4）评标办法</w:t>
      </w:r>
      <w:r>
        <w:rPr>
          <w:rFonts w:hint="eastAsia" w:ascii="宋体" w:hAnsi="宋体" w:eastAsia="宋体" w:cs="宋体"/>
          <w:color w:val="auto"/>
          <w:kern w:val="2"/>
          <w:sz w:val="24"/>
          <w:szCs w:val="24"/>
          <w:lang w:eastAsia="zh-CN"/>
        </w:rPr>
        <w:tab/>
      </w:r>
    </w:p>
    <w:p w14:paraId="252AE6B6">
      <w:pPr>
        <w:widowControl w:val="0"/>
        <w:tabs>
          <w:tab w:val="left" w:pos="0"/>
          <w:tab w:val="left" w:pos="7665"/>
        </w:tabs>
        <w:adjustRightInd/>
        <w:snapToGrid/>
        <w:spacing w:line="560" w:lineRule="exact"/>
        <w:ind w:firstLine="480" w:firstLineChars="200"/>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（5）拟签订的合同文本</w:t>
      </w:r>
      <w:r>
        <w:rPr>
          <w:rFonts w:hint="eastAsia" w:ascii="宋体" w:hAnsi="宋体" w:eastAsia="宋体" w:cs="宋体"/>
          <w:color w:val="auto"/>
          <w:kern w:val="2"/>
          <w:sz w:val="24"/>
          <w:szCs w:val="24"/>
          <w:lang w:eastAsia="zh-CN"/>
        </w:rPr>
        <w:tab/>
      </w:r>
    </w:p>
    <w:p w14:paraId="79E19E85">
      <w:pPr>
        <w:widowControl w:val="0"/>
        <w:tabs>
          <w:tab w:val="left" w:pos="7665"/>
        </w:tabs>
        <w:adjustRightInd/>
        <w:snapToGrid/>
        <w:spacing w:line="560" w:lineRule="exact"/>
        <w:ind w:firstLine="480" w:firstLineChars="200"/>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5</w:t>
      </w:r>
      <w:r>
        <w:rPr>
          <w:rFonts w:hint="eastAsia" w:ascii="宋体" w:hAnsi="宋体" w:eastAsia="宋体" w:cs="宋体"/>
          <w:b/>
          <w:bCs/>
          <w:color w:val="auto"/>
          <w:kern w:val="2"/>
          <w:sz w:val="24"/>
          <w:szCs w:val="24"/>
          <w:lang w:eastAsia="zh-CN"/>
        </w:rPr>
        <w:t>.</w:t>
      </w:r>
      <w:r>
        <w:rPr>
          <w:rFonts w:hint="eastAsia" w:ascii="宋体" w:hAnsi="宋体" w:eastAsia="宋体" w:cs="宋体"/>
          <w:color w:val="auto"/>
          <w:kern w:val="2"/>
          <w:sz w:val="24"/>
          <w:szCs w:val="24"/>
          <w:lang w:eastAsia="zh-CN"/>
        </w:rPr>
        <w:t>2 投标人应认真阅读和充分理解招标文件中所有的事项、格式条款和规范要求。投标人没有对招标文件全面做出实质性响应是投标人的风险。没有按照招标文件要求作出实质性响应的投标文件，按</w:t>
      </w:r>
      <w:r>
        <w:rPr>
          <w:rFonts w:hint="eastAsia" w:ascii="宋体" w:hAnsi="宋体" w:eastAsia="宋体" w:cs="宋体"/>
          <w:b/>
          <w:bCs/>
          <w:color w:val="auto"/>
          <w:kern w:val="2"/>
          <w:sz w:val="24"/>
          <w:szCs w:val="24"/>
          <w:lang w:eastAsia="zh-CN"/>
        </w:rPr>
        <w:t>无效处理</w:t>
      </w:r>
      <w:r>
        <w:rPr>
          <w:rFonts w:hint="eastAsia" w:ascii="宋体" w:hAnsi="宋体" w:eastAsia="宋体" w:cs="宋体"/>
          <w:color w:val="auto"/>
          <w:kern w:val="2"/>
          <w:sz w:val="24"/>
          <w:szCs w:val="24"/>
          <w:lang w:eastAsia="zh-CN"/>
        </w:rPr>
        <w:t>。</w:t>
      </w:r>
    </w:p>
    <w:p w14:paraId="5F8B3C51">
      <w:pPr>
        <w:widowControl w:val="0"/>
        <w:adjustRightInd/>
        <w:snapToGrid/>
        <w:spacing w:line="560" w:lineRule="exact"/>
        <w:ind w:firstLine="480" w:firstLineChars="200"/>
        <w:jc w:val="both"/>
        <w:textAlignment w:val="auto"/>
        <w:rPr>
          <w:rFonts w:hint="eastAsia" w:ascii="宋体" w:hAnsi="宋体" w:eastAsia="宋体" w:cs="宋体"/>
          <w:b/>
          <w:bCs/>
          <w:color w:val="auto"/>
          <w:kern w:val="2"/>
          <w:sz w:val="24"/>
          <w:szCs w:val="24"/>
          <w:lang w:eastAsia="zh-CN"/>
        </w:rPr>
      </w:pPr>
      <w:bookmarkStart w:id="60" w:name="_Toc183582211"/>
      <w:bookmarkStart w:id="61" w:name="_Toc183682348"/>
      <w:bookmarkStart w:id="62" w:name="_Toc217446040"/>
      <w:r>
        <w:rPr>
          <w:rFonts w:hint="eastAsia" w:ascii="宋体" w:hAnsi="宋体" w:eastAsia="宋体" w:cs="宋体"/>
          <w:color w:val="auto"/>
          <w:kern w:val="2"/>
          <w:sz w:val="24"/>
          <w:szCs w:val="24"/>
          <w:lang w:eastAsia="zh-CN"/>
        </w:rPr>
        <w:t>6</w:t>
      </w:r>
      <w:r>
        <w:rPr>
          <w:rFonts w:hint="eastAsia" w:ascii="宋体" w:hAnsi="宋体" w:eastAsia="宋体" w:cs="宋体"/>
          <w:b/>
          <w:bCs/>
          <w:color w:val="auto"/>
          <w:kern w:val="2"/>
          <w:sz w:val="24"/>
          <w:szCs w:val="24"/>
          <w:lang w:eastAsia="zh-CN"/>
        </w:rPr>
        <w:t>.招标文件的澄清</w:t>
      </w:r>
      <w:bookmarkEnd w:id="60"/>
      <w:bookmarkEnd w:id="61"/>
      <w:r>
        <w:rPr>
          <w:rFonts w:hint="eastAsia" w:ascii="宋体" w:hAnsi="宋体" w:eastAsia="宋体" w:cs="宋体"/>
          <w:b/>
          <w:bCs/>
          <w:color w:val="auto"/>
          <w:kern w:val="2"/>
          <w:sz w:val="24"/>
          <w:szCs w:val="24"/>
          <w:lang w:eastAsia="zh-CN"/>
        </w:rPr>
        <w:t>和修改</w:t>
      </w:r>
      <w:bookmarkEnd w:id="62"/>
    </w:p>
    <w:p w14:paraId="7B95CDC2">
      <w:pPr>
        <w:widowControl w:val="0"/>
        <w:adjustRightInd/>
        <w:snapToGrid/>
        <w:spacing w:line="560" w:lineRule="exact"/>
        <w:ind w:firstLine="480" w:firstLineChars="200"/>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 xml:space="preserve">6.1 </w:t>
      </w:r>
      <w:bookmarkStart w:id="63" w:name="_Toc217446041"/>
      <w:bookmarkStart w:id="64" w:name="_Toc208848971"/>
      <w:r>
        <w:rPr>
          <w:rFonts w:hint="eastAsia" w:ascii="宋体" w:hAnsi="宋体" w:eastAsia="宋体" w:cs="宋体"/>
          <w:color w:val="auto"/>
          <w:kern w:val="2"/>
          <w:sz w:val="24"/>
          <w:szCs w:val="24"/>
          <w:lang w:eastAsia="zh-CN"/>
        </w:rPr>
        <w:t>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14:paraId="3D037F9E">
      <w:pPr>
        <w:widowControl w:val="0"/>
        <w:adjustRightInd/>
        <w:snapToGrid/>
        <w:spacing w:line="560" w:lineRule="exact"/>
        <w:ind w:firstLine="480" w:firstLineChars="200"/>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6.2</w:t>
      </w:r>
      <w:r>
        <w:rPr>
          <w:rFonts w:hint="eastAsia" w:ascii="宋体" w:hAnsi="宋体" w:eastAsia="宋体" w:cs="宋体"/>
          <w:color w:val="auto"/>
          <w:kern w:val="2"/>
          <w:sz w:val="24"/>
          <w:szCs w:val="24"/>
          <w:lang w:val="en-US" w:eastAsia="zh-CN"/>
        </w:rPr>
        <w:t xml:space="preserve"> </w:t>
      </w:r>
      <w:r>
        <w:rPr>
          <w:rFonts w:hint="eastAsia" w:ascii="宋体" w:hAnsi="宋体" w:eastAsia="宋体" w:cs="宋体"/>
          <w:color w:val="auto"/>
          <w:kern w:val="2"/>
          <w:sz w:val="24"/>
          <w:szCs w:val="24"/>
          <w:lang w:eastAsia="zh-CN"/>
        </w:rPr>
        <w:t>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w:t>
      </w:r>
    </w:p>
    <w:p w14:paraId="4A4398DB">
      <w:pPr>
        <w:widowControl w:val="0"/>
        <w:adjustRightInd/>
        <w:snapToGrid/>
        <w:spacing w:line="560" w:lineRule="exact"/>
        <w:ind w:firstLine="482" w:firstLineChars="200"/>
        <w:jc w:val="both"/>
        <w:textAlignment w:val="auto"/>
        <w:rPr>
          <w:rFonts w:hint="eastAsia" w:ascii="宋体" w:hAnsi="宋体" w:eastAsia="宋体" w:cs="宋体"/>
          <w:b/>
          <w:bCs/>
          <w:color w:val="auto"/>
          <w:kern w:val="2"/>
          <w:sz w:val="24"/>
          <w:szCs w:val="24"/>
          <w:lang w:eastAsia="zh-CN"/>
        </w:rPr>
      </w:pPr>
      <w:r>
        <w:rPr>
          <w:rFonts w:hint="eastAsia" w:ascii="宋体" w:hAnsi="宋体" w:eastAsia="宋体" w:cs="宋体"/>
          <w:b/>
          <w:bCs/>
          <w:color w:val="auto"/>
          <w:kern w:val="2"/>
          <w:sz w:val="24"/>
          <w:szCs w:val="24"/>
          <w:lang w:eastAsia="zh-CN"/>
        </w:rPr>
        <w:t>7.答疑会和</w:t>
      </w:r>
      <w:bookmarkEnd w:id="63"/>
      <w:bookmarkEnd w:id="64"/>
      <w:r>
        <w:rPr>
          <w:rFonts w:hint="eastAsia" w:ascii="宋体" w:hAnsi="宋体" w:eastAsia="宋体" w:cs="宋体"/>
          <w:b/>
          <w:bCs/>
          <w:color w:val="auto"/>
          <w:kern w:val="2"/>
          <w:sz w:val="24"/>
          <w:szCs w:val="24"/>
          <w:lang w:eastAsia="zh-CN"/>
        </w:rPr>
        <w:t>踏勘现场。</w:t>
      </w:r>
    </w:p>
    <w:p w14:paraId="1175CFAB">
      <w:pPr>
        <w:widowControl w:val="0"/>
        <w:adjustRightInd/>
        <w:snapToGrid/>
        <w:spacing w:line="560" w:lineRule="exact"/>
        <w:ind w:firstLine="480" w:firstLineChars="200"/>
        <w:jc w:val="both"/>
        <w:textAlignment w:val="auto"/>
        <w:rPr>
          <w:rFonts w:hint="eastAsia" w:ascii="宋体" w:hAnsi="宋体" w:eastAsia="宋体" w:cs="宋体"/>
          <w:color w:val="auto"/>
          <w:kern w:val="2"/>
          <w:sz w:val="24"/>
          <w:szCs w:val="24"/>
          <w:highlight w:val="none"/>
          <w:lang w:eastAsia="zh-CN"/>
        </w:rPr>
      </w:pPr>
      <w:bookmarkStart w:id="65" w:name="_Toc77400780"/>
      <w:bookmarkStart w:id="66" w:name="_Toc217446042"/>
      <w:bookmarkStart w:id="67" w:name="_Toc183582214"/>
      <w:bookmarkStart w:id="68" w:name="_Toc89075876"/>
      <w:bookmarkStart w:id="69" w:name="_Toc183682351"/>
      <w:r>
        <w:rPr>
          <w:rFonts w:hint="eastAsia" w:ascii="宋体" w:hAnsi="宋体" w:eastAsia="宋体" w:cs="宋体"/>
          <w:color w:val="auto"/>
          <w:kern w:val="2"/>
          <w:sz w:val="24"/>
          <w:szCs w:val="24"/>
          <w:highlight w:val="none"/>
          <w:lang w:eastAsia="zh-CN"/>
        </w:rPr>
        <w:t>7.1 本项目不组织答疑会。</w:t>
      </w:r>
    </w:p>
    <w:p w14:paraId="6559CB0B">
      <w:pPr>
        <w:widowControl w:val="0"/>
        <w:adjustRightInd/>
        <w:snapToGrid/>
        <w:spacing w:line="560" w:lineRule="exact"/>
        <w:ind w:firstLine="480" w:firstLineChars="200"/>
        <w:jc w:val="both"/>
        <w:textAlignment w:val="auto"/>
        <w:rPr>
          <w:rFonts w:hint="default"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7.2 踏勘现场</w:t>
      </w:r>
      <w:r>
        <w:rPr>
          <w:rFonts w:hint="eastAsia" w:ascii="宋体" w:hAnsi="宋体" w:eastAsia="宋体" w:cs="宋体"/>
          <w:color w:val="auto"/>
          <w:kern w:val="2"/>
          <w:sz w:val="24"/>
          <w:szCs w:val="24"/>
          <w:highlight w:val="none"/>
          <w:lang w:val="en-US" w:eastAsia="zh-CN"/>
        </w:rPr>
        <w:sym w:font="Wingdings" w:char="00FE"/>
      </w:r>
      <w:r>
        <w:rPr>
          <w:rFonts w:hint="eastAsia" w:ascii="宋体" w:hAnsi="宋体" w:eastAsia="宋体" w:cs="宋体"/>
          <w:color w:val="auto"/>
          <w:kern w:val="2"/>
          <w:sz w:val="24"/>
          <w:szCs w:val="24"/>
          <w:highlight w:val="none"/>
          <w:lang w:val="en-US" w:eastAsia="zh-CN"/>
        </w:rPr>
        <w:t>不组织/</w:t>
      </w:r>
      <w:r>
        <w:rPr>
          <w:rFonts w:hint="eastAsia" w:ascii="宋体" w:hAnsi="宋体" w:eastAsia="宋体" w:cs="宋体"/>
          <w:color w:val="auto"/>
          <w:kern w:val="2"/>
          <w:sz w:val="24"/>
          <w:szCs w:val="24"/>
          <w:highlight w:val="none"/>
          <w:lang w:val="en-US" w:eastAsia="zh-CN"/>
        </w:rPr>
        <w:sym w:font="Wingdings" w:char="00A8"/>
      </w:r>
      <w:r>
        <w:rPr>
          <w:rFonts w:hint="eastAsia" w:ascii="宋体" w:hAnsi="宋体" w:eastAsia="宋体" w:cs="宋体"/>
          <w:color w:val="auto"/>
          <w:kern w:val="2"/>
          <w:sz w:val="24"/>
          <w:szCs w:val="24"/>
          <w:highlight w:val="none"/>
          <w:lang w:val="en-US" w:eastAsia="zh-CN"/>
        </w:rPr>
        <w:t>组织</w:t>
      </w:r>
    </w:p>
    <w:p w14:paraId="57D9CE3B">
      <w:pPr>
        <w:widowControl w:val="0"/>
        <w:adjustRightInd/>
        <w:snapToGrid/>
        <w:spacing w:line="560" w:lineRule="exact"/>
        <w:ind w:firstLine="480" w:firstLineChars="200"/>
        <w:jc w:val="both"/>
        <w:textAlignment w:val="auto"/>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val="en-US" w:eastAsia="zh-CN"/>
        </w:rPr>
        <w:t>本项目不统一组织踏勘现场</w:t>
      </w:r>
      <w:r>
        <w:rPr>
          <w:rFonts w:hint="eastAsia" w:ascii="宋体" w:hAnsi="宋体" w:eastAsia="宋体" w:cs="宋体"/>
          <w:color w:val="auto"/>
          <w:kern w:val="2"/>
          <w:sz w:val="24"/>
          <w:szCs w:val="24"/>
          <w:highlight w:val="none"/>
          <w:lang w:eastAsia="zh-CN"/>
        </w:rPr>
        <w:t>，供应商须自行踏勘，无论供应商对现场考察与否，都将被视为熟悉履行合同有关的一切情况，供应商现场踏勘发生的费用自理。</w:t>
      </w:r>
    </w:p>
    <w:p w14:paraId="6738B0BA">
      <w:pPr>
        <w:widowControl w:val="0"/>
        <w:adjustRightInd/>
        <w:snapToGrid/>
        <w:spacing w:line="560" w:lineRule="exact"/>
        <w:ind w:firstLine="480" w:firstLineChars="200"/>
        <w:jc w:val="both"/>
        <w:textAlignment w:val="auto"/>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7.3 现场踏勘时间：2026年/月/日+2026年/月/日</w:t>
      </w:r>
    </w:p>
    <w:p w14:paraId="0C2F87F6">
      <w:pPr>
        <w:widowControl w:val="0"/>
        <w:adjustRightInd/>
        <w:snapToGrid/>
        <w:spacing w:line="560" w:lineRule="exact"/>
        <w:ind w:firstLine="480" w:firstLineChars="200"/>
        <w:jc w:val="both"/>
        <w:textAlignment w:val="auto"/>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eastAsia="zh-CN"/>
        </w:rPr>
        <w:t>现场踏勘联系人：</w:t>
      </w:r>
      <w:r>
        <w:rPr>
          <w:rFonts w:hint="eastAsia" w:ascii="宋体" w:hAnsi="宋体" w:eastAsia="宋体" w:cs="宋体"/>
          <w:color w:val="auto"/>
          <w:kern w:val="2"/>
          <w:sz w:val="24"/>
          <w:szCs w:val="24"/>
          <w:highlight w:val="none"/>
          <w:lang w:val="en-US" w:eastAsia="zh-CN"/>
        </w:rPr>
        <w:t>/</w:t>
      </w:r>
    </w:p>
    <w:p w14:paraId="1A190FEE">
      <w:pPr>
        <w:widowControl w:val="0"/>
        <w:adjustRightInd/>
        <w:snapToGrid/>
        <w:spacing w:line="560" w:lineRule="exact"/>
        <w:ind w:firstLine="480" w:firstLineChars="200"/>
        <w:jc w:val="both"/>
        <w:textAlignment w:val="auto"/>
        <w:rPr>
          <w:rFonts w:hint="default"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eastAsia="zh-CN"/>
        </w:rPr>
        <w:t>联系电话：</w:t>
      </w:r>
      <w:r>
        <w:rPr>
          <w:rFonts w:hint="eastAsia" w:ascii="宋体" w:hAnsi="宋体" w:eastAsia="宋体" w:cs="宋体"/>
          <w:color w:val="auto"/>
          <w:kern w:val="2"/>
          <w:sz w:val="24"/>
          <w:szCs w:val="24"/>
          <w:highlight w:val="none"/>
          <w:lang w:val="en-US" w:eastAsia="zh-CN"/>
        </w:rPr>
        <w:t>/</w:t>
      </w:r>
    </w:p>
    <w:p w14:paraId="5E574922">
      <w:pPr>
        <w:keepLines/>
        <w:widowControl w:val="0"/>
        <w:spacing w:line="560" w:lineRule="exact"/>
        <w:ind w:firstLine="482" w:firstLineChars="200"/>
        <w:jc w:val="center"/>
        <w:outlineLvl w:val="1"/>
        <w:rPr>
          <w:rFonts w:hint="eastAsia" w:ascii="宋体" w:hAnsi="宋体" w:eastAsia="宋体" w:cs="宋体"/>
          <w:b/>
          <w:bCs/>
          <w:color w:val="auto"/>
          <w:kern w:val="2"/>
          <w:sz w:val="24"/>
          <w:szCs w:val="24"/>
          <w:lang w:eastAsia="zh-CN"/>
        </w:rPr>
      </w:pPr>
      <w:r>
        <w:rPr>
          <w:rFonts w:hint="eastAsia" w:ascii="宋体" w:hAnsi="宋体" w:eastAsia="宋体" w:cs="宋体"/>
          <w:b/>
          <w:bCs/>
          <w:color w:val="auto"/>
          <w:kern w:val="2"/>
          <w:sz w:val="24"/>
          <w:szCs w:val="24"/>
          <w:lang w:eastAsia="zh-CN"/>
        </w:rPr>
        <w:t>四、</w:t>
      </w:r>
      <w:bookmarkEnd w:id="65"/>
      <w:bookmarkEnd w:id="66"/>
      <w:bookmarkEnd w:id="67"/>
      <w:bookmarkEnd w:id="68"/>
      <w:bookmarkEnd w:id="69"/>
      <w:r>
        <w:rPr>
          <w:rFonts w:hint="eastAsia" w:ascii="宋体" w:hAnsi="宋体" w:eastAsia="宋体" w:cs="宋体"/>
          <w:b/>
          <w:bCs/>
          <w:color w:val="auto"/>
          <w:kern w:val="2"/>
          <w:sz w:val="24"/>
          <w:szCs w:val="24"/>
          <w:lang w:eastAsia="zh-CN"/>
        </w:rPr>
        <w:t>投标文件</w:t>
      </w:r>
    </w:p>
    <w:p w14:paraId="559D87C0">
      <w:pPr>
        <w:widowControl w:val="0"/>
        <w:adjustRightInd/>
        <w:snapToGrid/>
        <w:spacing w:line="560" w:lineRule="exact"/>
        <w:ind w:firstLine="482" w:firstLineChars="200"/>
        <w:jc w:val="both"/>
        <w:textAlignment w:val="auto"/>
        <w:rPr>
          <w:rFonts w:hint="eastAsia" w:ascii="宋体" w:hAnsi="宋体" w:eastAsia="宋体" w:cs="宋体"/>
          <w:b/>
          <w:bCs/>
          <w:color w:val="auto"/>
          <w:kern w:val="2"/>
          <w:sz w:val="24"/>
          <w:szCs w:val="24"/>
          <w:lang w:eastAsia="zh-CN"/>
        </w:rPr>
      </w:pPr>
      <w:bookmarkStart w:id="70" w:name="_Toc217446043"/>
      <w:bookmarkStart w:id="71" w:name="_Toc183582215"/>
      <w:bookmarkStart w:id="72" w:name="_Toc183682352"/>
      <w:r>
        <w:rPr>
          <w:rFonts w:hint="eastAsia" w:ascii="宋体" w:hAnsi="宋体" w:eastAsia="宋体" w:cs="宋体"/>
          <w:b/>
          <w:bCs/>
          <w:color w:val="auto"/>
          <w:kern w:val="2"/>
          <w:sz w:val="24"/>
          <w:szCs w:val="24"/>
          <w:lang w:eastAsia="zh-CN"/>
        </w:rPr>
        <w:t>8</w:t>
      </w:r>
      <w:r>
        <w:rPr>
          <w:rFonts w:hint="eastAsia" w:ascii="宋体" w:hAnsi="宋体" w:eastAsia="宋体" w:cs="宋体"/>
          <w:b/>
          <w:bCs/>
          <w:color w:val="auto"/>
          <w:kern w:val="2"/>
          <w:sz w:val="24"/>
          <w:szCs w:val="24"/>
          <w:lang w:val="en-US" w:eastAsia="zh-CN"/>
        </w:rPr>
        <w:t>.</w:t>
      </w:r>
      <w:r>
        <w:rPr>
          <w:rFonts w:hint="eastAsia" w:ascii="宋体" w:hAnsi="宋体" w:eastAsia="宋体" w:cs="宋体"/>
          <w:b/>
          <w:bCs/>
          <w:color w:val="auto"/>
          <w:kern w:val="2"/>
          <w:sz w:val="24"/>
          <w:szCs w:val="24"/>
          <w:lang w:eastAsia="zh-CN"/>
        </w:rPr>
        <w:t>投标文件的语言</w:t>
      </w:r>
      <w:bookmarkEnd w:id="70"/>
      <w:bookmarkEnd w:id="71"/>
      <w:bookmarkEnd w:id="72"/>
    </w:p>
    <w:p w14:paraId="176DA7E5">
      <w:pPr>
        <w:widowControl w:val="0"/>
        <w:adjustRightInd/>
        <w:snapToGrid/>
        <w:spacing w:line="560" w:lineRule="exact"/>
        <w:ind w:firstLine="480" w:firstLineChars="200"/>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8.1 投标人提交的投标文件以及投标人与采购人就有关投标的所有来往书面文件均须使用中文。投标文件中如附有外文资料，必须逐一对应翻译成中文并加盖投标人公章后附在相关外文资料后面，否则，投标人的投标文件将作为</w:t>
      </w:r>
      <w:r>
        <w:rPr>
          <w:rFonts w:hint="eastAsia" w:ascii="宋体" w:hAnsi="宋体" w:eastAsia="宋体" w:cs="宋体"/>
          <w:b/>
          <w:bCs/>
          <w:color w:val="auto"/>
          <w:kern w:val="2"/>
          <w:sz w:val="24"/>
          <w:szCs w:val="24"/>
          <w:lang w:eastAsia="zh-CN"/>
        </w:rPr>
        <w:t>无效投标处理</w:t>
      </w:r>
      <w:r>
        <w:rPr>
          <w:rFonts w:hint="eastAsia" w:ascii="宋体" w:hAnsi="宋体" w:eastAsia="宋体" w:cs="宋体"/>
          <w:color w:val="auto"/>
          <w:kern w:val="2"/>
          <w:sz w:val="24"/>
          <w:szCs w:val="24"/>
          <w:lang w:eastAsia="zh-CN"/>
        </w:rPr>
        <w:t>。</w:t>
      </w:r>
    </w:p>
    <w:p w14:paraId="64CEB92E">
      <w:pPr>
        <w:widowControl w:val="0"/>
        <w:adjustRightInd/>
        <w:snapToGrid/>
        <w:spacing w:line="560" w:lineRule="exact"/>
        <w:ind w:firstLine="480" w:firstLineChars="200"/>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8.2 翻译的中文资料与外文资料如果出现差异和矛盾时，以中文为准。但不能故意错误翻译，否则，投标人的投标文件将作为</w:t>
      </w:r>
      <w:r>
        <w:rPr>
          <w:rFonts w:hint="eastAsia" w:ascii="宋体" w:hAnsi="宋体" w:eastAsia="宋体" w:cs="宋体"/>
          <w:b/>
          <w:bCs/>
          <w:color w:val="auto"/>
          <w:kern w:val="2"/>
          <w:sz w:val="24"/>
          <w:szCs w:val="24"/>
          <w:lang w:eastAsia="zh-CN"/>
        </w:rPr>
        <w:t>无效投标处理</w:t>
      </w:r>
      <w:r>
        <w:rPr>
          <w:rFonts w:hint="eastAsia" w:ascii="宋体" w:hAnsi="宋体" w:eastAsia="宋体" w:cs="宋体"/>
          <w:color w:val="auto"/>
          <w:kern w:val="2"/>
          <w:sz w:val="24"/>
          <w:szCs w:val="24"/>
          <w:lang w:eastAsia="zh-CN"/>
        </w:rPr>
        <w:t>。</w:t>
      </w:r>
    </w:p>
    <w:p w14:paraId="69A3145E">
      <w:pPr>
        <w:widowControl w:val="0"/>
        <w:adjustRightInd/>
        <w:snapToGrid/>
        <w:spacing w:line="560" w:lineRule="exact"/>
        <w:ind w:firstLine="482" w:firstLineChars="200"/>
        <w:jc w:val="both"/>
        <w:textAlignment w:val="auto"/>
        <w:rPr>
          <w:rFonts w:hint="eastAsia" w:ascii="宋体" w:hAnsi="宋体" w:eastAsia="宋体" w:cs="宋体"/>
          <w:b/>
          <w:bCs/>
          <w:color w:val="auto"/>
          <w:kern w:val="2"/>
          <w:sz w:val="24"/>
          <w:szCs w:val="24"/>
          <w:lang w:eastAsia="zh-CN"/>
        </w:rPr>
      </w:pPr>
      <w:bookmarkStart w:id="73" w:name="_Toc217446044"/>
      <w:bookmarkStart w:id="74" w:name="_Toc183682353"/>
      <w:bookmarkStart w:id="75" w:name="_Toc183582216"/>
      <w:r>
        <w:rPr>
          <w:rFonts w:hint="eastAsia" w:ascii="宋体" w:hAnsi="宋体" w:eastAsia="宋体" w:cs="宋体"/>
          <w:b/>
          <w:bCs/>
          <w:color w:val="auto"/>
          <w:kern w:val="2"/>
          <w:sz w:val="24"/>
          <w:szCs w:val="24"/>
          <w:lang w:eastAsia="zh-CN"/>
        </w:rPr>
        <w:t>9</w:t>
      </w:r>
      <w:r>
        <w:rPr>
          <w:rFonts w:hint="eastAsia" w:ascii="宋体" w:hAnsi="宋体" w:eastAsia="宋体" w:cs="宋体"/>
          <w:b/>
          <w:bCs/>
          <w:color w:val="auto"/>
          <w:kern w:val="2"/>
          <w:sz w:val="24"/>
          <w:szCs w:val="24"/>
          <w:lang w:val="en-US" w:eastAsia="zh-CN"/>
        </w:rPr>
        <w:t>.</w:t>
      </w:r>
      <w:r>
        <w:rPr>
          <w:rFonts w:hint="eastAsia" w:ascii="宋体" w:hAnsi="宋体" w:eastAsia="宋体" w:cs="宋体"/>
          <w:b/>
          <w:bCs/>
          <w:color w:val="auto"/>
          <w:kern w:val="2"/>
          <w:sz w:val="24"/>
          <w:szCs w:val="24"/>
          <w:lang w:eastAsia="zh-CN"/>
        </w:rPr>
        <w:t>计量单位</w:t>
      </w:r>
      <w:bookmarkEnd w:id="73"/>
      <w:bookmarkEnd w:id="74"/>
      <w:bookmarkEnd w:id="75"/>
    </w:p>
    <w:p w14:paraId="30514140">
      <w:pPr>
        <w:widowControl w:val="0"/>
        <w:adjustRightInd/>
        <w:snapToGrid/>
        <w:spacing w:line="560" w:lineRule="exact"/>
        <w:ind w:firstLine="480" w:firstLineChars="200"/>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除招标文件中另有规定外，本招标项下的投标均采用国家法定的计量单位。</w:t>
      </w:r>
    </w:p>
    <w:p w14:paraId="38410BB1">
      <w:pPr>
        <w:widowControl w:val="0"/>
        <w:adjustRightInd/>
        <w:snapToGrid/>
        <w:spacing w:line="560" w:lineRule="exact"/>
        <w:ind w:firstLine="482" w:firstLineChars="200"/>
        <w:jc w:val="both"/>
        <w:textAlignment w:val="auto"/>
        <w:rPr>
          <w:rFonts w:hint="eastAsia" w:ascii="宋体" w:hAnsi="宋体" w:eastAsia="宋体" w:cs="宋体"/>
          <w:b/>
          <w:bCs/>
          <w:color w:val="auto"/>
          <w:kern w:val="2"/>
          <w:sz w:val="24"/>
          <w:szCs w:val="24"/>
          <w:lang w:eastAsia="zh-CN"/>
        </w:rPr>
      </w:pPr>
      <w:bookmarkStart w:id="76" w:name="_Toc217446045"/>
      <w:r>
        <w:rPr>
          <w:rFonts w:hint="eastAsia" w:ascii="宋体" w:hAnsi="宋体" w:eastAsia="宋体" w:cs="宋体"/>
          <w:b/>
          <w:bCs/>
          <w:color w:val="auto"/>
          <w:kern w:val="2"/>
          <w:sz w:val="24"/>
          <w:szCs w:val="24"/>
          <w:lang w:eastAsia="zh-CN"/>
        </w:rPr>
        <w:t>10.投标货币</w:t>
      </w:r>
      <w:bookmarkEnd w:id="76"/>
    </w:p>
    <w:p w14:paraId="326A5E2B">
      <w:pPr>
        <w:widowControl w:val="0"/>
        <w:tabs>
          <w:tab w:val="left" w:pos="7665"/>
        </w:tabs>
        <w:adjustRightInd/>
        <w:snapToGrid/>
        <w:spacing w:line="560" w:lineRule="exact"/>
        <w:ind w:firstLine="480" w:firstLineChars="200"/>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本次招标项目的投标均以人民币报价。</w:t>
      </w:r>
    </w:p>
    <w:p w14:paraId="35AB5B6F">
      <w:pPr>
        <w:widowControl w:val="0"/>
        <w:adjustRightInd/>
        <w:snapToGrid/>
        <w:spacing w:line="560" w:lineRule="exact"/>
        <w:ind w:firstLine="482" w:firstLineChars="200"/>
        <w:jc w:val="both"/>
        <w:textAlignment w:val="auto"/>
        <w:rPr>
          <w:rFonts w:hint="eastAsia" w:ascii="宋体" w:hAnsi="宋体" w:eastAsia="宋体" w:cs="宋体"/>
          <w:b/>
          <w:bCs/>
          <w:color w:val="auto"/>
          <w:kern w:val="2"/>
          <w:sz w:val="24"/>
          <w:szCs w:val="24"/>
          <w:lang w:eastAsia="zh-CN"/>
        </w:rPr>
      </w:pPr>
      <w:bookmarkStart w:id="77" w:name="_Toc217446046"/>
      <w:r>
        <w:rPr>
          <w:rFonts w:hint="eastAsia" w:ascii="宋体" w:hAnsi="宋体" w:eastAsia="宋体" w:cs="宋体"/>
          <w:b/>
          <w:bCs/>
          <w:color w:val="auto"/>
          <w:kern w:val="2"/>
          <w:sz w:val="24"/>
          <w:szCs w:val="24"/>
          <w:lang w:eastAsia="zh-CN"/>
        </w:rPr>
        <w:t>11</w:t>
      </w:r>
      <w:r>
        <w:rPr>
          <w:rFonts w:hint="eastAsia" w:ascii="宋体" w:hAnsi="宋体" w:eastAsia="宋体" w:cs="宋体"/>
          <w:b/>
          <w:bCs/>
          <w:color w:val="auto"/>
          <w:kern w:val="2"/>
          <w:sz w:val="24"/>
          <w:szCs w:val="24"/>
          <w:lang w:val="en-US" w:eastAsia="zh-CN"/>
        </w:rPr>
        <w:t>.</w:t>
      </w:r>
      <w:r>
        <w:rPr>
          <w:rFonts w:hint="eastAsia" w:ascii="宋体" w:hAnsi="宋体" w:eastAsia="宋体" w:cs="宋体"/>
          <w:b/>
          <w:bCs/>
          <w:color w:val="auto"/>
          <w:kern w:val="2"/>
          <w:sz w:val="24"/>
          <w:szCs w:val="24"/>
          <w:lang w:eastAsia="zh-CN"/>
        </w:rPr>
        <w:t>联合体投标</w:t>
      </w:r>
      <w:bookmarkEnd w:id="77"/>
    </w:p>
    <w:p w14:paraId="09DF7391">
      <w:pPr>
        <w:widowControl w:val="0"/>
        <w:spacing w:line="56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详见“投标人须知前附表”第12条。</w:t>
      </w:r>
    </w:p>
    <w:p w14:paraId="5C6124AA">
      <w:pPr>
        <w:widowControl w:val="0"/>
        <w:adjustRightInd/>
        <w:snapToGrid/>
        <w:spacing w:line="560" w:lineRule="exact"/>
        <w:ind w:firstLine="482" w:firstLineChars="200"/>
        <w:jc w:val="both"/>
        <w:textAlignment w:val="auto"/>
        <w:rPr>
          <w:rFonts w:hint="eastAsia" w:ascii="宋体" w:hAnsi="宋体" w:eastAsia="宋体" w:cs="宋体"/>
          <w:b/>
          <w:bCs/>
          <w:color w:val="auto"/>
          <w:kern w:val="2"/>
          <w:sz w:val="24"/>
          <w:szCs w:val="24"/>
          <w:lang w:eastAsia="zh-CN"/>
        </w:rPr>
      </w:pPr>
      <w:bookmarkStart w:id="78" w:name="_Toc217446047"/>
      <w:r>
        <w:rPr>
          <w:rFonts w:hint="eastAsia" w:ascii="宋体" w:hAnsi="宋体" w:eastAsia="宋体" w:cs="宋体"/>
          <w:b/>
          <w:bCs/>
          <w:color w:val="auto"/>
          <w:kern w:val="2"/>
          <w:sz w:val="24"/>
          <w:szCs w:val="24"/>
          <w:lang w:eastAsia="zh-CN"/>
        </w:rPr>
        <w:t>12</w:t>
      </w:r>
      <w:r>
        <w:rPr>
          <w:rFonts w:hint="eastAsia" w:ascii="宋体" w:hAnsi="宋体" w:eastAsia="宋体" w:cs="宋体"/>
          <w:b/>
          <w:bCs/>
          <w:color w:val="auto"/>
          <w:kern w:val="2"/>
          <w:sz w:val="24"/>
          <w:szCs w:val="24"/>
          <w:lang w:val="en-US" w:eastAsia="zh-CN"/>
        </w:rPr>
        <w:t>.</w:t>
      </w:r>
      <w:r>
        <w:rPr>
          <w:rFonts w:hint="eastAsia" w:ascii="宋体" w:hAnsi="宋体" w:eastAsia="宋体" w:cs="宋体"/>
          <w:b/>
          <w:bCs/>
          <w:color w:val="auto"/>
          <w:kern w:val="2"/>
          <w:sz w:val="24"/>
          <w:szCs w:val="24"/>
          <w:lang w:eastAsia="zh-CN"/>
        </w:rPr>
        <w:t>知识产权</w:t>
      </w:r>
      <w:bookmarkEnd w:id="78"/>
    </w:p>
    <w:p w14:paraId="15C8874B">
      <w:pPr>
        <w:widowControl w:val="0"/>
        <w:spacing w:line="56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12.1 投标人应保证在本项目使用的任何产品或服务（包括部分使用）时，不会产生因第三方提出侵犯其专利权、商标权或其它知识产权而引起的法律和经济纠纷，如因专利权、商标权或其它知识产权而引起法律和经济纠纷，由投标人承担所有相关责任。</w:t>
      </w:r>
    </w:p>
    <w:p w14:paraId="48FB138C">
      <w:pPr>
        <w:widowControl w:val="0"/>
        <w:spacing w:line="56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12.2 采购人享有本项目实施过程中产生的知识成果及知识产权。</w:t>
      </w:r>
    </w:p>
    <w:p w14:paraId="6329D0C0">
      <w:pPr>
        <w:widowControl w:val="0"/>
        <w:adjustRightInd/>
        <w:snapToGrid/>
        <w:spacing w:line="560" w:lineRule="exact"/>
        <w:ind w:firstLine="480" w:firstLineChars="200"/>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12.3 投标人如欲在项目实施过程中采用自有知识成果，需在投标文件中声明，并提供相关知识产权证明文件。使用该知识成果后，投标人需提供开发接口和开发手册等技术文档，并承诺提供无限期技术支持，采购人享有永久使用权。</w:t>
      </w:r>
    </w:p>
    <w:p w14:paraId="563A4F5C">
      <w:pPr>
        <w:widowControl w:val="0"/>
        <w:adjustRightInd/>
        <w:snapToGrid/>
        <w:spacing w:line="560" w:lineRule="exact"/>
        <w:ind w:firstLine="480" w:firstLineChars="200"/>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 xml:space="preserve">12.4 如采用投标人所不拥有的知识产权，则在投标报价中必须包括合法获取该知识产权的相关费用。 </w:t>
      </w:r>
    </w:p>
    <w:p w14:paraId="16034EB2">
      <w:pPr>
        <w:widowControl w:val="0"/>
        <w:adjustRightInd/>
        <w:snapToGrid/>
        <w:spacing w:line="560" w:lineRule="exact"/>
        <w:ind w:firstLine="482" w:firstLineChars="200"/>
        <w:jc w:val="both"/>
        <w:textAlignment w:val="auto"/>
        <w:rPr>
          <w:rFonts w:hint="eastAsia" w:ascii="宋体" w:hAnsi="宋体" w:eastAsia="宋体" w:cs="宋体"/>
          <w:b/>
          <w:bCs/>
          <w:color w:val="auto"/>
          <w:kern w:val="2"/>
          <w:sz w:val="24"/>
          <w:szCs w:val="24"/>
          <w:lang w:eastAsia="zh-CN"/>
        </w:rPr>
      </w:pPr>
      <w:bookmarkStart w:id="79" w:name="_Toc217446048"/>
      <w:bookmarkStart w:id="80" w:name="_Toc183582217"/>
      <w:bookmarkStart w:id="81" w:name="_Toc183682354"/>
      <w:r>
        <w:rPr>
          <w:rFonts w:hint="eastAsia" w:ascii="宋体" w:hAnsi="宋体" w:eastAsia="宋体" w:cs="宋体"/>
          <w:b/>
          <w:bCs/>
          <w:color w:val="auto"/>
          <w:kern w:val="2"/>
          <w:sz w:val="24"/>
          <w:szCs w:val="24"/>
          <w:lang w:eastAsia="zh-CN"/>
        </w:rPr>
        <w:t>13</w:t>
      </w:r>
      <w:r>
        <w:rPr>
          <w:rFonts w:hint="eastAsia" w:ascii="宋体" w:hAnsi="宋体" w:eastAsia="宋体" w:cs="宋体"/>
          <w:b/>
          <w:bCs/>
          <w:color w:val="auto"/>
          <w:kern w:val="2"/>
          <w:sz w:val="24"/>
          <w:szCs w:val="24"/>
          <w:lang w:val="en-US" w:eastAsia="zh-CN"/>
        </w:rPr>
        <w:t>.</w:t>
      </w:r>
      <w:r>
        <w:rPr>
          <w:rFonts w:hint="eastAsia" w:ascii="宋体" w:hAnsi="宋体" w:eastAsia="宋体" w:cs="宋体"/>
          <w:b/>
          <w:bCs/>
          <w:color w:val="auto"/>
          <w:kern w:val="2"/>
          <w:sz w:val="24"/>
          <w:szCs w:val="24"/>
          <w:lang w:eastAsia="zh-CN"/>
        </w:rPr>
        <w:t>投标文件的组成</w:t>
      </w:r>
      <w:bookmarkEnd w:id="79"/>
      <w:bookmarkEnd w:id="80"/>
      <w:bookmarkEnd w:id="81"/>
    </w:p>
    <w:p w14:paraId="17EEC714">
      <w:pPr>
        <w:widowControl w:val="0"/>
        <w:adjustRightInd/>
        <w:snapToGrid/>
        <w:spacing w:line="560" w:lineRule="exact"/>
        <w:ind w:firstLine="480" w:firstLineChars="200"/>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投标人应按照招标文件的规定和要求编制投标文件。招标文件允许分包的，投标人拟在中标后将中标项目的非主体、非关键性工作交由他人完成的，应当在投标文件中载明。投标人编写的投标文件应包括下列部分：</w:t>
      </w:r>
    </w:p>
    <w:p w14:paraId="3E57F786">
      <w:pPr>
        <w:tabs>
          <w:tab w:val="left" w:pos="3480"/>
        </w:tabs>
        <w:spacing w:line="560" w:lineRule="exact"/>
        <w:ind w:firstLine="480" w:firstLineChars="200"/>
        <w:rPr>
          <w:rFonts w:hint="eastAsia" w:ascii="宋体" w:hAnsi="宋体" w:eastAsia="宋体" w:cs="宋体"/>
          <w:color w:val="auto"/>
          <w:sz w:val="24"/>
          <w:szCs w:val="24"/>
          <w:lang w:eastAsia="zh-CN"/>
        </w:rPr>
      </w:pPr>
      <w:bookmarkStart w:id="82" w:name="_Toc183682355"/>
      <w:bookmarkStart w:id="83" w:name="_Toc217446049"/>
      <w:bookmarkStart w:id="84" w:name="_Toc183582218"/>
      <w:r>
        <w:rPr>
          <w:rFonts w:hint="eastAsia" w:ascii="宋体" w:hAnsi="宋体" w:eastAsia="宋体" w:cs="宋体"/>
          <w:color w:val="auto"/>
          <w:sz w:val="24"/>
          <w:szCs w:val="24"/>
          <w:lang w:eastAsia="zh-CN"/>
        </w:rPr>
        <w:t>一、投标函</w:t>
      </w:r>
    </w:p>
    <w:p w14:paraId="4FBF9E6E">
      <w:pPr>
        <w:tabs>
          <w:tab w:val="left" w:pos="3480"/>
        </w:tabs>
        <w:spacing w:line="56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二、报价</w:t>
      </w:r>
      <w:r>
        <w:rPr>
          <w:rFonts w:hint="eastAsia" w:ascii="宋体" w:hAnsi="宋体" w:eastAsia="宋体" w:cs="宋体"/>
          <w:color w:val="auto"/>
          <w:sz w:val="24"/>
          <w:szCs w:val="24"/>
          <w:lang w:val="en-US" w:eastAsia="zh-CN"/>
        </w:rPr>
        <w:t>一览表</w:t>
      </w:r>
    </w:p>
    <w:p w14:paraId="052DB822">
      <w:pPr>
        <w:tabs>
          <w:tab w:val="left" w:pos="3480"/>
        </w:tabs>
        <w:spacing w:line="56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三、身份证明书及授权委托书</w:t>
      </w:r>
    </w:p>
    <w:p w14:paraId="45FD9F7B">
      <w:pPr>
        <w:tabs>
          <w:tab w:val="left" w:pos="3480"/>
        </w:tabs>
        <w:spacing w:line="56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四、投标人承诺函</w:t>
      </w:r>
    </w:p>
    <w:p w14:paraId="2DDC1531">
      <w:pPr>
        <w:tabs>
          <w:tab w:val="left" w:pos="3480"/>
        </w:tabs>
        <w:spacing w:line="56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五、投标人基本情况表</w:t>
      </w:r>
    </w:p>
    <w:p w14:paraId="6F25B4AA">
      <w:pPr>
        <w:tabs>
          <w:tab w:val="left" w:pos="3480"/>
        </w:tabs>
        <w:spacing w:line="56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六、项目负责人</w:t>
      </w:r>
    </w:p>
    <w:p w14:paraId="1490E2FC">
      <w:pPr>
        <w:tabs>
          <w:tab w:val="left" w:pos="3480"/>
        </w:tabs>
        <w:spacing w:line="56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七、拟配备人员情况</w:t>
      </w:r>
    </w:p>
    <w:p w14:paraId="15608F87">
      <w:pPr>
        <w:tabs>
          <w:tab w:val="left" w:pos="3480"/>
        </w:tabs>
        <w:spacing w:line="56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八、拟投入本项目的主要设备设施表</w:t>
      </w:r>
    </w:p>
    <w:p w14:paraId="346EE770">
      <w:pPr>
        <w:tabs>
          <w:tab w:val="left" w:pos="3480"/>
        </w:tabs>
        <w:spacing w:line="56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九、供应商近年类似业绩情况表</w:t>
      </w:r>
    </w:p>
    <w:p w14:paraId="1DB192C6">
      <w:pPr>
        <w:tabs>
          <w:tab w:val="left" w:pos="3480"/>
        </w:tabs>
        <w:spacing w:line="56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十、商务、</w:t>
      </w:r>
      <w:r>
        <w:rPr>
          <w:rFonts w:hint="eastAsia" w:ascii="宋体" w:hAnsi="宋体" w:eastAsia="宋体" w:cs="宋体"/>
          <w:color w:val="auto"/>
          <w:sz w:val="24"/>
          <w:szCs w:val="24"/>
          <w:lang w:val="en-US" w:eastAsia="zh-CN"/>
        </w:rPr>
        <w:t>技术要求</w:t>
      </w:r>
      <w:r>
        <w:rPr>
          <w:rFonts w:hint="eastAsia" w:ascii="宋体" w:hAnsi="宋体" w:eastAsia="宋体" w:cs="宋体"/>
          <w:color w:val="auto"/>
          <w:sz w:val="24"/>
          <w:szCs w:val="24"/>
          <w:lang w:eastAsia="zh-CN"/>
        </w:rPr>
        <w:t>偏离表</w:t>
      </w:r>
    </w:p>
    <w:p w14:paraId="40587CAA">
      <w:pPr>
        <w:tabs>
          <w:tab w:val="left" w:pos="3480"/>
        </w:tabs>
        <w:spacing w:line="56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十一、服务方案</w:t>
      </w:r>
    </w:p>
    <w:p w14:paraId="1DB34B38">
      <w:pPr>
        <w:tabs>
          <w:tab w:val="left" w:pos="3480"/>
        </w:tabs>
        <w:spacing w:line="56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十二、政府采购政策</w:t>
      </w:r>
    </w:p>
    <w:p w14:paraId="0259656F">
      <w:pPr>
        <w:tabs>
          <w:tab w:val="left" w:pos="3480"/>
        </w:tabs>
        <w:spacing w:line="560" w:lineRule="exact"/>
        <w:ind w:firstLine="480" w:firstLineChars="200"/>
        <w:rPr>
          <w:rFonts w:hint="eastAsia" w:ascii="宋体" w:hAnsi="宋体" w:eastAsia="宋体" w:cs="宋体"/>
          <w:color w:val="auto"/>
          <w:kern w:val="2"/>
          <w:sz w:val="24"/>
          <w:szCs w:val="24"/>
          <w:lang w:eastAsia="zh-CN"/>
        </w:rPr>
      </w:pPr>
      <w:r>
        <w:rPr>
          <w:rFonts w:hint="eastAsia" w:ascii="宋体" w:hAnsi="宋体" w:eastAsia="宋体" w:cs="宋体"/>
          <w:color w:val="auto"/>
          <w:sz w:val="24"/>
          <w:szCs w:val="24"/>
          <w:lang w:eastAsia="zh-CN"/>
        </w:rPr>
        <w:t>十三、投标人认为需要提供的资料</w:t>
      </w:r>
    </w:p>
    <w:p w14:paraId="3A950EBE">
      <w:pPr>
        <w:widowControl w:val="0"/>
        <w:tabs>
          <w:tab w:val="left" w:pos="3480"/>
        </w:tabs>
        <w:adjustRightInd/>
        <w:snapToGrid/>
        <w:spacing w:line="560" w:lineRule="exact"/>
        <w:ind w:firstLine="482" w:firstLineChars="200"/>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b/>
          <w:bCs/>
          <w:color w:val="auto"/>
          <w:kern w:val="2"/>
          <w:sz w:val="24"/>
          <w:szCs w:val="24"/>
          <w:lang w:eastAsia="zh-CN"/>
        </w:rPr>
        <w:t>14</w:t>
      </w:r>
      <w:r>
        <w:rPr>
          <w:rFonts w:hint="eastAsia" w:ascii="宋体" w:hAnsi="宋体" w:eastAsia="宋体" w:cs="宋体"/>
          <w:b/>
          <w:bCs/>
          <w:color w:val="auto"/>
          <w:kern w:val="2"/>
          <w:sz w:val="24"/>
          <w:szCs w:val="24"/>
          <w:lang w:val="en-US" w:eastAsia="zh-CN"/>
        </w:rPr>
        <w:t>.</w:t>
      </w:r>
      <w:r>
        <w:rPr>
          <w:rFonts w:hint="eastAsia" w:ascii="宋体" w:hAnsi="宋体" w:eastAsia="宋体" w:cs="宋体"/>
          <w:b/>
          <w:bCs/>
          <w:color w:val="auto"/>
          <w:kern w:val="2"/>
          <w:sz w:val="24"/>
          <w:szCs w:val="24"/>
          <w:lang w:eastAsia="zh-CN"/>
        </w:rPr>
        <w:t>投标文件格式</w:t>
      </w:r>
      <w:bookmarkEnd w:id="82"/>
      <w:bookmarkEnd w:id="83"/>
      <w:bookmarkEnd w:id="84"/>
      <w:r>
        <w:rPr>
          <w:rFonts w:hint="eastAsia" w:ascii="宋体" w:hAnsi="宋体" w:eastAsia="宋体" w:cs="宋体"/>
          <w:color w:val="auto"/>
          <w:kern w:val="2"/>
          <w:sz w:val="24"/>
          <w:szCs w:val="24"/>
          <w:lang w:eastAsia="zh-CN"/>
        </w:rPr>
        <w:tab/>
      </w:r>
    </w:p>
    <w:p w14:paraId="03636A71">
      <w:pPr>
        <w:widowControl w:val="0"/>
        <w:tabs>
          <w:tab w:val="left" w:pos="7665"/>
        </w:tabs>
        <w:adjustRightInd/>
        <w:snapToGrid/>
        <w:spacing w:line="560" w:lineRule="exact"/>
        <w:ind w:firstLine="480" w:firstLineChars="200"/>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14.1 投标人应严格按照招标文件第二章中提供的“投标文件格式”填写相关内容。除明确允许投标人可以自行编写的外，投标人不得以“投标文件格式”规定之外的方式填写相关内容。</w:t>
      </w:r>
    </w:p>
    <w:p w14:paraId="17F72C3F">
      <w:pPr>
        <w:widowControl w:val="0"/>
        <w:tabs>
          <w:tab w:val="left" w:pos="7665"/>
        </w:tabs>
        <w:adjustRightInd/>
        <w:snapToGrid/>
        <w:spacing w:line="560" w:lineRule="exact"/>
        <w:ind w:firstLine="480" w:firstLineChars="200"/>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14.2 对于没有格式要求的投标文件由投标人自行编写。</w:t>
      </w:r>
    </w:p>
    <w:p w14:paraId="00693366">
      <w:pPr>
        <w:widowControl w:val="0"/>
        <w:adjustRightInd/>
        <w:snapToGrid/>
        <w:spacing w:line="560" w:lineRule="exact"/>
        <w:ind w:firstLine="482" w:firstLineChars="200"/>
        <w:jc w:val="both"/>
        <w:textAlignment w:val="auto"/>
        <w:rPr>
          <w:rFonts w:hint="eastAsia" w:ascii="宋体" w:hAnsi="宋体" w:eastAsia="宋体" w:cs="宋体"/>
          <w:b/>
          <w:bCs/>
          <w:color w:val="auto"/>
          <w:kern w:val="2"/>
          <w:sz w:val="24"/>
          <w:szCs w:val="24"/>
          <w:lang w:eastAsia="zh-CN"/>
        </w:rPr>
      </w:pPr>
      <w:bookmarkStart w:id="85" w:name="_Toc217446050"/>
      <w:bookmarkStart w:id="86" w:name="_Toc183682360"/>
      <w:bookmarkStart w:id="87" w:name="_Toc183582223"/>
      <w:r>
        <w:rPr>
          <w:rFonts w:hint="eastAsia" w:ascii="宋体" w:hAnsi="宋体" w:eastAsia="宋体" w:cs="宋体"/>
          <w:b/>
          <w:bCs/>
          <w:color w:val="auto"/>
          <w:kern w:val="2"/>
          <w:sz w:val="24"/>
          <w:szCs w:val="24"/>
          <w:lang w:eastAsia="zh-CN"/>
        </w:rPr>
        <w:t>15</w:t>
      </w:r>
      <w:r>
        <w:rPr>
          <w:rFonts w:hint="eastAsia" w:ascii="宋体" w:hAnsi="宋体" w:eastAsia="宋体" w:cs="宋体"/>
          <w:b/>
          <w:bCs/>
          <w:color w:val="auto"/>
          <w:kern w:val="2"/>
          <w:sz w:val="24"/>
          <w:szCs w:val="24"/>
          <w:lang w:val="en-US" w:eastAsia="zh-CN"/>
        </w:rPr>
        <w:t>.</w:t>
      </w:r>
      <w:r>
        <w:rPr>
          <w:rFonts w:hint="eastAsia" w:ascii="宋体" w:hAnsi="宋体" w:eastAsia="宋体" w:cs="宋体"/>
          <w:b/>
          <w:bCs/>
          <w:color w:val="auto"/>
          <w:kern w:val="2"/>
          <w:sz w:val="24"/>
          <w:szCs w:val="24"/>
          <w:lang w:eastAsia="zh-CN"/>
        </w:rPr>
        <w:t>投标保证金</w:t>
      </w:r>
      <w:bookmarkEnd w:id="85"/>
      <w:bookmarkEnd w:id="86"/>
      <w:bookmarkEnd w:id="87"/>
    </w:p>
    <w:p w14:paraId="5EE5809B">
      <w:pPr>
        <w:widowControl w:val="0"/>
        <w:adjustRightInd/>
        <w:snapToGrid/>
        <w:spacing w:line="560" w:lineRule="exact"/>
        <w:ind w:firstLine="480" w:firstLineChars="200"/>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15.1 投标人投标时，必须按招标文件规定数额和形式缴纳投标保证金，并作为其投标文件的一部分。</w:t>
      </w:r>
    </w:p>
    <w:p w14:paraId="2583AF20">
      <w:pPr>
        <w:widowControl w:val="0"/>
        <w:adjustRightInd/>
        <w:snapToGrid/>
        <w:spacing w:line="560" w:lineRule="exact"/>
        <w:ind w:firstLine="480" w:firstLineChars="200"/>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15.2</w:t>
      </w:r>
      <w:r>
        <w:rPr>
          <w:rFonts w:hint="eastAsia" w:ascii="宋体" w:hAnsi="宋体" w:eastAsia="宋体" w:cs="宋体"/>
          <w:color w:val="auto"/>
          <w:kern w:val="2"/>
          <w:sz w:val="24"/>
          <w:szCs w:val="24"/>
          <w:lang w:val="en-US" w:eastAsia="zh-CN"/>
        </w:rPr>
        <w:t xml:space="preserve"> </w:t>
      </w:r>
      <w:r>
        <w:rPr>
          <w:rFonts w:hint="eastAsia" w:ascii="宋体" w:hAnsi="宋体" w:eastAsia="宋体" w:cs="宋体"/>
          <w:color w:val="auto"/>
          <w:kern w:val="2"/>
          <w:sz w:val="24"/>
          <w:szCs w:val="24"/>
          <w:lang w:eastAsia="zh-CN"/>
        </w:rPr>
        <w:t>未按招标文件要求在规定时间前缴纳规定数额和形式的投标保证金，将被视为</w:t>
      </w:r>
      <w:r>
        <w:rPr>
          <w:rFonts w:hint="eastAsia" w:ascii="宋体" w:hAnsi="宋体" w:eastAsia="宋体" w:cs="宋体"/>
          <w:b/>
          <w:bCs/>
          <w:color w:val="auto"/>
          <w:kern w:val="2"/>
          <w:sz w:val="24"/>
          <w:szCs w:val="24"/>
          <w:lang w:eastAsia="zh-CN"/>
        </w:rPr>
        <w:t>投标无效</w:t>
      </w:r>
      <w:r>
        <w:rPr>
          <w:rFonts w:hint="eastAsia" w:ascii="宋体" w:hAnsi="宋体" w:eastAsia="宋体" w:cs="宋体"/>
          <w:color w:val="auto"/>
          <w:kern w:val="2"/>
          <w:sz w:val="24"/>
          <w:szCs w:val="24"/>
          <w:lang w:eastAsia="zh-CN"/>
        </w:rPr>
        <w:t>。</w:t>
      </w:r>
    </w:p>
    <w:p w14:paraId="47E2274E">
      <w:pPr>
        <w:widowControl w:val="0"/>
        <w:adjustRightInd/>
        <w:snapToGrid/>
        <w:spacing w:line="560" w:lineRule="exact"/>
        <w:ind w:firstLine="480" w:firstLineChars="200"/>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15.3 投标人所缴纳的投标保证金不计利息。</w:t>
      </w:r>
    </w:p>
    <w:p w14:paraId="4A0ABC85">
      <w:pPr>
        <w:widowControl w:val="0"/>
        <w:adjustRightInd/>
        <w:snapToGrid/>
        <w:spacing w:line="560" w:lineRule="exact"/>
        <w:ind w:firstLine="480" w:firstLineChars="200"/>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15.4</w:t>
      </w:r>
      <w:r>
        <w:rPr>
          <w:rFonts w:hint="eastAsia" w:ascii="宋体" w:hAnsi="宋体" w:eastAsia="宋体" w:cs="宋体"/>
          <w:color w:val="auto"/>
          <w:kern w:val="2"/>
          <w:sz w:val="24"/>
          <w:szCs w:val="24"/>
          <w:lang w:val="en-US" w:eastAsia="zh-CN"/>
        </w:rPr>
        <w:t xml:space="preserve"> </w:t>
      </w:r>
      <w:r>
        <w:rPr>
          <w:rFonts w:hint="eastAsia" w:ascii="宋体" w:hAnsi="宋体" w:eastAsia="宋体" w:cs="宋体"/>
          <w:color w:val="auto"/>
          <w:kern w:val="2"/>
          <w:sz w:val="24"/>
          <w:szCs w:val="24"/>
          <w:lang w:eastAsia="zh-CN"/>
        </w:rPr>
        <w:t>未中标人的投标保证金，将在中标通知书发出后五个工作日内全额退还。中标人的投标保证金，自采购合同签订之日起5个工作日内退还中标人的投标保证金。</w:t>
      </w:r>
    </w:p>
    <w:p w14:paraId="18EF0459">
      <w:pPr>
        <w:widowControl w:val="0"/>
        <w:adjustRightInd/>
        <w:snapToGrid/>
        <w:spacing w:line="560" w:lineRule="exact"/>
        <w:ind w:firstLine="480" w:firstLineChars="200"/>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15.5</w:t>
      </w:r>
      <w:r>
        <w:rPr>
          <w:rFonts w:hint="eastAsia" w:ascii="宋体" w:hAnsi="宋体" w:eastAsia="宋体" w:cs="宋体"/>
          <w:color w:val="auto"/>
          <w:kern w:val="2"/>
          <w:sz w:val="24"/>
          <w:szCs w:val="24"/>
          <w:lang w:val="en-US" w:eastAsia="zh-CN"/>
        </w:rPr>
        <w:t xml:space="preserve"> </w:t>
      </w:r>
      <w:r>
        <w:rPr>
          <w:rFonts w:hint="eastAsia" w:ascii="宋体" w:hAnsi="宋体" w:eastAsia="宋体" w:cs="宋体"/>
          <w:color w:val="auto"/>
          <w:kern w:val="2"/>
          <w:sz w:val="24"/>
          <w:szCs w:val="24"/>
          <w:lang w:eastAsia="zh-CN"/>
        </w:rPr>
        <w:t>发生下列情形之一的，采购代理机构将不予退还投标人缴纳的投标保证金：</w:t>
      </w:r>
    </w:p>
    <w:p w14:paraId="24868F7E">
      <w:pPr>
        <w:widowControl w:val="0"/>
        <w:adjustRightInd/>
        <w:snapToGrid/>
        <w:spacing w:line="560" w:lineRule="exact"/>
        <w:ind w:firstLine="480" w:firstLineChars="200"/>
        <w:jc w:val="both"/>
        <w:textAlignment w:val="auto"/>
        <w:rPr>
          <w:rFonts w:hint="eastAsia" w:ascii="宋体" w:hAnsi="宋体" w:eastAsia="宋体" w:cs="宋体"/>
          <w:color w:val="auto"/>
          <w:kern w:val="2"/>
          <w:sz w:val="24"/>
          <w:szCs w:val="24"/>
          <w:lang w:eastAsia="zh-CN"/>
        </w:rPr>
      </w:pPr>
      <w:bookmarkStart w:id="88" w:name="_Toc183682361"/>
      <w:bookmarkStart w:id="89" w:name="_Toc183582224"/>
      <w:bookmarkStart w:id="90" w:name="_Toc217446051"/>
      <w:r>
        <w:rPr>
          <w:rFonts w:hint="eastAsia" w:ascii="宋体" w:hAnsi="宋体" w:eastAsia="宋体" w:cs="宋体"/>
          <w:color w:val="auto"/>
          <w:kern w:val="2"/>
          <w:sz w:val="24"/>
          <w:szCs w:val="24"/>
          <w:lang w:eastAsia="zh-CN"/>
        </w:rPr>
        <w:t>（1）投标人在提交投标文件截止时间后撤回投标文件的；</w:t>
      </w:r>
    </w:p>
    <w:p w14:paraId="593BA159">
      <w:pPr>
        <w:widowControl w:val="0"/>
        <w:adjustRightInd/>
        <w:snapToGrid/>
        <w:spacing w:line="560" w:lineRule="exact"/>
        <w:ind w:firstLine="480" w:firstLineChars="200"/>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（2）投标人在投标文件中提供虚假材料的；</w:t>
      </w:r>
    </w:p>
    <w:p w14:paraId="5FA9C599">
      <w:pPr>
        <w:widowControl w:val="0"/>
        <w:adjustRightInd/>
        <w:snapToGrid/>
        <w:spacing w:line="560" w:lineRule="exact"/>
        <w:ind w:firstLine="480" w:firstLineChars="200"/>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（3）投标人不接受按投标文件规定对其投标报价进行修正的；</w:t>
      </w:r>
    </w:p>
    <w:p w14:paraId="0F0E5880">
      <w:pPr>
        <w:widowControl w:val="0"/>
        <w:adjustRightInd/>
        <w:snapToGrid/>
        <w:spacing w:line="560" w:lineRule="exact"/>
        <w:ind w:firstLine="480" w:firstLineChars="200"/>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（4）除因不可抗力或投标文件认可的情形以外，中标人不履行与采购人签订合同的，在签订合同时向采购人提出附加条件；</w:t>
      </w:r>
    </w:p>
    <w:p w14:paraId="3465D8C7">
      <w:pPr>
        <w:widowControl w:val="0"/>
        <w:adjustRightInd/>
        <w:snapToGrid/>
        <w:spacing w:line="560" w:lineRule="exact"/>
        <w:ind w:firstLine="480" w:firstLineChars="200"/>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（5）中标人未能在规定期限内与采购人签署合同协议书或提交履约保证金的；</w:t>
      </w:r>
    </w:p>
    <w:p w14:paraId="423A1F90">
      <w:pPr>
        <w:widowControl w:val="0"/>
        <w:adjustRightInd/>
        <w:snapToGrid/>
        <w:spacing w:line="560" w:lineRule="exact"/>
        <w:ind w:firstLine="480" w:firstLineChars="200"/>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（6）投标人与采购人、其他投标人或者采购代理机构恶意串通的；</w:t>
      </w:r>
    </w:p>
    <w:p w14:paraId="4AD9A5E9">
      <w:pPr>
        <w:widowControl w:val="0"/>
        <w:adjustRightInd/>
        <w:snapToGrid/>
        <w:spacing w:line="560" w:lineRule="exact"/>
        <w:ind w:firstLine="480" w:firstLineChars="200"/>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（7）招标文件规定的其他情形；</w:t>
      </w:r>
    </w:p>
    <w:p w14:paraId="1ABECA3E">
      <w:pPr>
        <w:widowControl w:val="0"/>
        <w:adjustRightInd/>
        <w:snapToGrid/>
        <w:spacing w:line="560" w:lineRule="exact"/>
        <w:ind w:firstLine="480" w:firstLineChars="200"/>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 xml:space="preserve">（8）符合法律、法规规定的其他情形的。 </w:t>
      </w:r>
    </w:p>
    <w:p w14:paraId="246163E6">
      <w:pPr>
        <w:widowControl w:val="0"/>
        <w:adjustRightInd/>
        <w:snapToGrid/>
        <w:spacing w:line="560" w:lineRule="exact"/>
        <w:ind w:firstLine="482" w:firstLineChars="200"/>
        <w:jc w:val="both"/>
        <w:textAlignment w:val="auto"/>
        <w:rPr>
          <w:rFonts w:hint="eastAsia" w:ascii="宋体" w:hAnsi="宋体" w:eastAsia="宋体" w:cs="宋体"/>
          <w:b/>
          <w:bCs/>
          <w:color w:val="auto"/>
          <w:kern w:val="2"/>
          <w:sz w:val="24"/>
          <w:szCs w:val="24"/>
          <w:lang w:eastAsia="zh-CN"/>
        </w:rPr>
      </w:pPr>
      <w:r>
        <w:rPr>
          <w:rFonts w:hint="eastAsia" w:ascii="宋体" w:hAnsi="宋体" w:eastAsia="宋体" w:cs="宋体"/>
          <w:b/>
          <w:bCs/>
          <w:color w:val="auto"/>
          <w:kern w:val="2"/>
          <w:sz w:val="24"/>
          <w:szCs w:val="24"/>
          <w:lang w:eastAsia="zh-CN"/>
        </w:rPr>
        <w:t>16</w:t>
      </w:r>
      <w:r>
        <w:rPr>
          <w:rFonts w:hint="eastAsia" w:ascii="宋体" w:hAnsi="宋体" w:eastAsia="宋体" w:cs="宋体"/>
          <w:b/>
          <w:bCs/>
          <w:color w:val="auto"/>
          <w:kern w:val="2"/>
          <w:sz w:val="24"/>
          <w:szCs w:val="24"/>
          <w:lang w:val="en-US" w:eastAsia="zh-CN"/>
        </w:rPr>
        <w:t>.</w:t>
      </w:r>
      <w:r>
        <w:rPr>
          <w:rFonts w:hint="eastAsia" w:ascii="宋体" w:hAnsi="宋体" w:eastAsia="宋体" w:cs="宋体"/>
          <w:b/>
          <w:bCs/>
          <w:color w:val="auto"/>
          <w:kern w:val="2"/>
          <w:sz w:val="24"/>
          <w:szCs w:val="24"/>
          <w:lang w:eastAsia="zh-CN"/>
        </w:rPr>
        <w:t>投标有效期</w:t>
      </w:r>
      <w:bookmarkEnd w:id="88"/>
      <w:bookmarkEnd w:id="89"/>
      <w:bookmarkEnd w:id="90"/>
    </w:p>
    <w:p w14:paraId="47422AF2">
      <w:pPr>
        <w:widowControl w:val="0"/>
        <w:tabs>
          <w:tab w:val="left" w:pos="7665"/>
        </w:tabs>
        <w:adjustRightInd/>
        <w:snapToGrid/>
        <w:spacing w:line="560" w:lineRule="exact"/>
        <w:ind w:firstLine="480" w:firstLineChars="200"/>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16.1 投标有效期详见“投标人须知前附表”第20条。投标有效期短于此规定期限的，</w:t>
      </w:r>
      <w:r>
        <w:rPr>
          <w:rFonts w:hint="eastAsia" w:ascii="宋体" w:hAnsi="宋体" w:eastAsia="宋体" w:cs="宋体"/>
          <w:b/>
          <w:bCs/>
          <w:color w:val="auto"/>
          <w:kern w:val="2"/>
          <w:sz w:val="24"/>
          <w:szCs w:val="24"/>
          <w:lang w:eastAsia="zh-CN"/>
        </w:rPr>
        <w:t>投标无效</w:t>
      </w:r>
      <w:r>
        <w:rPr>
          <w:rFonts w:hint="eastAsia" w:ascii="宋体" w:hAnsi="宋体" w:eastAsia="宋体" w:cs="宋体"/>
          <w:color w:val="auto"/>
          <w:kern w:val="2"/>
          <w:sz w:val="24"/>
          <w:szCs w:val="24"/>
          <w:lang w:eastAsia="zh-CN"/>
        </w:rPr>
        <w:t>。</w:t>
      </w:r>
    </w:p>
    <w:p w14:paraId="50766F30">
      <w:pPr>
        <w:widowControl w:val="0"/>
        <w:tabs>
          <w:tab w:val="left" w:pos="7665"/>
        </w:tabs>
        <w:adjustRightInd/>
        <w:snapToGrid/>
        <w:spacing w:line="560" w:lineRule="exact"/>
        <w:ind w:firstLine="480" w:firstLineChars="200"/>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16.2 特殊情况下，采购人可于投标有效期满之前要求投标人同意延长有效期，要求与答复均应为书面形式。投标人可以拒绝上述要求，其投标保证金</w:t>
      </w:r>
      <w:r>
        <w:rPr>
          <w:rFonts w:hint="eastAsia" w:ascii="宋体" w:hAnsi="宋体" w:eastAsia="宋体" w:cs="宋体"/>
          <w:color w:val="auto"/>
          <w:spacing w:val="8"/>
          <w:kern w:val="2"/>
          <w:sz w:val="24"/>
          <w:szCs w:val="24"/>
          <w:lang w:eastAsia="zh-CN"/>
        </w:rPr>
        <w:t>不被没收。</w:t>
      </w:r>
      <w:r>
        <w:rPr>
          <w:rFonts w:hint="eastAsia" w:ascii="宋体" w:hAnsi="宋体" w:eastAsia="宋体" w:cs="宋体"/>
          <w:color w:val="auto"/>
          <w:kern w:val="2"/>
          <w:sz w:val="24"/>
          <w:szCs w:val="24"/>
          <w:lang w:eastAsia="zh-CN"/>
        </w:rPr>
        <w:t>拒绝延长投标有效期的投标人不得再参与该项目后续招标活动。同意延长投标有效期的投标人不能修改其投标文件，关于投标保证金的有关规定在延长的投标有效期内继续有效。</w:t>
      </w:r>
    </w:p>
    <w:p w14:paraId="6A946624">
      <w:pPr>
        <w:widowControl w:val="0"/>
        <w:adjustRightInd/>
        <w:snapToGrid/>
        <w:spacing w:line="560" w:lineRule="exact"/>
        <w:ind w:firstLine="482" w:firstLineChars="200"/>
        <w:jc w:val="both"/>
        <w:textAlignment w:val="auto"/>
        <w:rPr>
          <w:rFonts w:hint="eastAsia" w:ascii="宋体" w:hAnsi="宋体" w:eastAsia="宋体" w:cs="宋体"/>
          <w:b/>
          <w:bCs/>
          <w:color w:val="auto"/>
          <w:kern w:val="2"/>
          <w:sz w:val="24"/>
          <w:szCs w:val="24"/>
          <w:lang w:eastAsia="zh-CN"/>
        </w:rPr>
      </w:pPr>
      <w:bookmarkStart w:id="91" w:name="_Toc183682362"/>
      <w:bookmarkStart w:id="92" w:name="_Toc217446052"/>
      <w:bookmarkStart w:id="93" w:name="_Toc183582225"/>
      <w:r>
        <w:rPr>
          <w:rFonts w:hint="eastAsia" w:ascii="宋体" w:hAnsi="宋体" w:eastAsia="宋体" w:cs="宋体"/>
          <w:b/>
          <w:bCs/>
          <w:color w:val="auto"/>
          <w:kern w:val="2"/>
          <w:sz w:val="24"/>
          <w:szCs w:val="24"/>
          <w:lang w:eastAsia="zh-CN"/>
        </w:rPr>
        <w:t>17</w:t>
      </w:r>
      <w:bookmarkEnd w:id="91"/>
      <w:bookmarkEnd w:id="92"/>
      <w:bookmarkEnd w:id="93"/>
      <w:r>
        <w:rPr>
          <w:rFonts w:hint="eastAsia" w:ascii="宋体" w:hAnsi="宋体" w:eastAsia="宋体" w:cs="宋体"/>
          <w:b/>
          <w:bCs/>
          <w:color w:val="auto"/>
          <w:kern w:val="2"/>
          <w:sz w:val="24"/>
          <w:szCs w:val="24"/>
          <w:lang w:val="en-US" w:eastAsia="zh-CN"/>
        </w:rPr>
        <w:t>.</w:t>
      </w:r>
      <w:r>
        <w:rPr>
          <w:rFonts w:hint="eastAsia" w:ascii="宋体" w:hAnsi="宋体" w:eastAsia="宋体" w:cs="宋体"/>
          <w:b/>
          <w:bCs/>
          <w:color w:val="auto"/>
          <w:kern w:val="2"/>
          <w:sz w:val="24"/>
          <w:szCs w:val="24"/>
          <w:lang w:eastAsia="zh-CN"/>
        </w:rPr>
        <w:t>投标文件的签署</w:t>
      </w:r>
    </w:p>
    <w:p w14:paraId="5A1F6DE2">
      <w:pPr>
        <w:widowControl w:val="0"/>
        <w:tabs>
          <w:tab w:val="left" w:pos="1080"/>
        </w:tabs>
        <w:adjustRightInd/>
        <w:snapToGrid/>
        <w:spacing w:line="560" w:lineRule="exact"/>
        <w:ind w:firstLine="480" w:firstLineChars="200"/>
        <w:jc w:val="both"/>
        <w:textAlignment w:val="auto"/>
        <w:rPr>
          <w:rFonts w:hint="eastAsia" w:ascii="宋体" w:hAnsi="宋体" w:eastAsia="宋体" w:cs="宋体"/>
          <w:color w:val="auto"/>
          <w:kern w:val="2"/>
          <w:sz w:val="24"/>
          <w:szCs w:val="24"/>
          <w:lang w:eastAsia="zh-CN"/>
        </w:rPr>
      </w:pPr>
      <w:bookmarkStart w:id="94" w:name="_Toc183582226"/>
      <w:bookmarkStart w:id="95" w:name="_Toc77400781"/>
      <w:bookmarkStart w:id="96" w:name="_Toc183682363"/>
      <w:bookmarkStart w:id="97" w:name="_Toc89075877"/>
      <w:bookmarkStart w:id="98" w:name="_Toc217446053"/>
      <w:r>
        <w:rPr>
          <w:rFonts w:hint="eastAsia" w:ascii="宋体" w:hAnsi="宋体" w:eastAsia="宋体" w:cs="宋体"/>
          <w:color w:val="auto"/>
          <w:kern w:val="2"/>
          <w:sz w:val="24"/>
          <w:szCs w:val="24"/>
          <w:lang w:eastAsia="zh-CN"/>
        </w:rPr>
        <w:t>17.1 投标文件应根据招标文件的要求制作、签署、盖章，内容应完整。</w:t>
      </w:r>
    </w:p>
    <w:p w14:paraId="02C76C25">
      <w:pPr>
        <w:widowControl w:val="0"/>
        <w:adjustRightInd/>
        <w:snapToGrid/>
        <w:spacing w:line="560" w:lineRule="exact"/>
        <w:ind w:firstLine="482" w:firstLineChars="200"/>
        <w:jc w:val="both"/>
        <w:textAlignment w:val="auto"/>
        <w:rPr>
          <w:rFonts w:hint="eastAsia" w:ascii="宋体" w:hAnsi="宋体" w:eastAsia="宋体" w:cs="宋体"/>
          <w:b/>
          <w:bCs/>
          <w:color w:val="auto"/>
          <w:kern w:val="2"/>
          <w:sz w:val="24"/>
          <w:szCs w:val="24"/>
          <w:lang w:eastAsia="zh-CN"/>
        </w:rPr>
      </w:pPr>
      <w:r>
        <w:rPr>
          <w:rFonts w:hint="eastAsia" w:ascii="宋体" w:hAnsi="宋体" w:eastAsia="宋体" w:cs="宋体"/>
          <w:b/>
          <w:bCs/>
          <w:color w:val="auto"/>
          <w:kern w:val="2"/>
          <w:sz w:val="24"/>
          <w:szCs w:val="24"/>
          <w:lang w:val="en-US" w:eastAsia="zh-CN"/>
        </w:rPr>
        <w:t>18.</w:t>
      </w:r>
      <w:r>
        <w:rPr>
          <w:rFonts w:hint="eastAsia" w:ascii="宋体" w:hAnsi="宋体" w:eastAsia="宋体" w:cs="宋体"/>
          <w:b/>
          <w:bCs/>
          <w:color w:val="auto"/>
          <w:kern w:val="2"/>
          <w:sz w:val="24"/>
          <w:szCs w:val="24"/>
          <w:lang w:eastAsia="zh-CN"/>
        </w:rPr>
        <w:t>投标文件的加密</w:t>
      </w:r>
      <w:bookmarkEnd w:id="94"/>
      <w:bookmarkEnd w:id="95"/>
      <w:bookmarkEnd w:id="96"/>
      <w:bookmarkEnd w:id="97"/>
      <w:bookmarkEnd w:id="98"/>
      <w:r>
        <w:rPr>
          <w:rFonts w:hint="eastAsia" w:ascii="宋体" w:hAnsi="宋体" w:eastAsia="宋体" w:cs="宋体"/>
          <w:b/>
          <w:bCs/>
          <w:color w:val="auto"/>
          <w:kern w:val="2"/>
          <w:sz w:val="24"/>
          <w:szCs w:val="24"/>
          <w:lang w:eastAsia="zh-CN"/>
        </w:rPr>
        <w:t>和上传</w:t>
      </w:r>
    </w:p>
    <w:p w14:paraId="378C7047">
      <w:pPr>
        <w:widowControl w:val="0"/>
        <w:adjustRightInd/>
        <w:snapToGrid/>
        <w:spacing w:line="560" w:lineRule="exact"/>
        <w:ind w:firstLine="481"/>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sz w:val="24"/>
          <w:szCs w:val="24"/>
          <w:lang w:eastAsia="zh-CN"/>
        </w:rPr>
        <w:t>18.1</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lang w:eastAsia="zh-CN"/>
        </w:rPr>
        <w:t>本项目实行全流程</w:t>
      </w:r>
      <w:r>
        <w:rPr>
          <w:rFonts w:hint="eastAsia" w:ascii="宋体" w:hAnsi="宋体" w:eastAsia="宋体" w:cs="宋体"/>
          <w:color w:val="auto"/>
          <w:kern w:val="2"/>
          <w:sz w:val="24"/>
          <w:szCs w:val="24"/>
          <w:lang w:eastAsia="zh-CN"/>
        </w:rPr>
        <w:t>电子交易方式</w:t>
      </w:r>
      <w:r>
        <w:rPr>
          <w:rFonts w:hint="eastAsia" w:ascii="宋体" w:hAnsi="宋体" w:eastAsia="宋体" w:cs="宋体"/>
          <w:color w:val="auto"/>
          <w:sz w:val="24"/>
          <w:szCs w:val="24"/>
          <w:lang w:eastAsia="zh-CN"/>
        </w:rPr>
        <w:t>，采用电子加密投标文件（“.jmbs”格式）上传方式；</w:t>
      </w:r>
      <w:r>
        <w:rPr>
          <w:rFonts w:hint="eastAsia" w:ascii="宋体" w:hAnsi="宋体" w:eastAsia="宋体" w:cs="宋体"/>
          <w:color w:val="auto"/>
          <w:kern w:val="2"/>
          <w:sz w:val="24"/>
          <w:szCs w:val="24"/>
          <w:lang w:eastAsia="zh-CN"/>
        </w:rPr>
        <w:t>投标人应当在投标截止时间前，将“电子招投标人客户端”生成的“电子加密投标文件”上传电子交易平台，成功上传电子加密投标文件后，可自行打印投标文件接收回执。</w:t>
      </w:r>
    </w:p>
    <w:p w14:paraId="21BC2D69">
      <w:pPr>
        <w:widowControl w:val="0"/>
        <w:spacing w:line="560" w:lineRule="exact"/>
        <w:ind w:firstLine="480" w:firstLineChars="200"/>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18.2</w:t>
      </w:r>
      <w:r>
        <w:rPr>
          <w:rFonts w:hint="eastAsia" w:ascii="宋体" w:hAnsi="宋体" w:eastAsia="宋体" w:cs="宋体"/>
          <w:color w:val="auto"/>
          <w:kern w:val="2"/>
          <w:sz w:val="24"/>
          <w:szCs w:val="24"/>
          <w:lang w:val="en-US" w:eastAsia="zh-CN"/>
        </w:rPr>
        <w:t xml:space="preserve"> </w:t>
      </w:r>
      <w:r>
        <w:rPr>
          <w:rFonts w:hint="eastAsia" w:ascii="宋体" w:hAnsi="宋体" w:eastAsia="宋体" w:cs="宋体"/>
          <w:bCs/>
          <w:color w:val="auto"/>
          <w:kern w:val="2"/>
          <w:sz w:val="24"/>
          <w:szCs w:val="24"/>
          <w:lang w:eastAsia="zh-CN"/>
        </w:rPr>
        <w:t>中标人须在</w:t>
      </w:r>
      <w:r>
        <w:rPr>
          <w:rFonts w:hint="eastAsia" w:ascii="宋体" w:hAnsi="宋体" w:eastAsia="宋体" w:cs="宋体"/>
          <w:b/>
          <w:color w:val="auto"/>
          <w:kern w:val="2"/>
          <w:sz w:val="24"/>
          <w:szCs w:val="24"/>
          <w:lang w:eastAsia="zh-CN"/>
        </w:rPr>
        <w:t>招标结束后五个工作日内</w:t>
      </w:r>
      <w:r>
        <w:rPr>
          <w:rFonts w:hint="eastAsia" w:ascii="宋体" w:hAnsi="宋体" w:eastAsia="宋体" w:cs="宋体"/>
          <w:bCs/>
          <w:color w:val="auto"/>
          <w:kern w:val="2"/>
          <w:sz w:val="24"/>
          <w:szCs w:val="24"/>
          <w:lang w:eastAsia="zh-CN"/>
        </w:rPr>
        <w:t>向采购代理机构递交</w:t>
      </w:r>
      <w:r>
        <w:rPr>
          <w:rFonts w:hint="eastAsia" w:ascii="宋体" w:hAnsi="宋体" w:eastAsia="宋体" w:cs="宋体"/>
          <w:b/>
          <w:color w:val="auto"/>
          <w:kern w:val="2"/>
          <w:sz w:val="24"/>
          <w:szCs w:val="24"/>
          <w:lang w:eastAsia="zh-CN"/>
        </w:rPr>
        <w:t>签章纸质版投标文件一正</w:t>
      </w:r>
      <w:r>
        <w:rPr>
          <w:rFonts w:hint="eastAsia" w:ascii="宋体" w:hAnsi="宋体" w:eastAsia="宋体" w:cs="宋体"/>
          <w:b/>
          <w:color w:val="auto"/>
          <w:kern w:val="2"/>
          <w:sz w:val="24"/>
          <w:szCs w:val="24"/>
          <w:lang w:val="en-US" w:eastAsia="zh-CN"/>
        </w:rPr>
        <w:t>一副</w:t>
      </w:r>
      <w:r>
        <w:rPr>
          <w:rFonts w:hint="eastAsia" w:ascii="宋体" w:hAnsi="宋体" w:eastAsia="宋体" w:cs="宋体"/>
          <w:b/>
          <w:color w:val="auto"/>
          <w:kern w:val="2"/>
          <w:sz w:val="24"/>
          <w:szCs w:val="24"/>
          <w:lang w:eastAsia="zh-CN"/>
        </w:rPr>
        <w:t>（用于档案资料编制）</w:t>
      </w:r>
      <w:r>
        <w:rPr>
          <w:rFonts w:hint="eastAsia" w:ascii="宋体" w:hAnsi="宋体" w:eastAsia="宋体" w:cs="宋体"/>
          <w:bCs/>
          <w:color w:val="auto"/>
          <w:kern w:val="2"/>
          <w:sz w:val="24"/>
          <w:szCs w:val="24"/>
          <w:lang w:eastAsia="zh-CN"/>
        </w:rPr>
        <w:t>，纸质版投标文件须与政采云平台上传的电子版投标文件保持一致。投标文件的正本应在其封面右上角清楚地标明“正本”“</w:t>
      </w:r>
      <w:r>
        <w:rPr>
          <w:rFonts w:hint="eastAsia" w:ascii="宋体" w:hAnsi="宋体" w:eastAsia="宋体" w:cs="宋体"/>
          <w:bCs/>
          <w:color w:val="auto"/>
          <w:kern w:val="2"/>
          <w:sz w:val="24"/>
          <w:szCs w:val="24"/>
          <w:lang w:val="en-US" w:eastAsia="zh-CN"/>
        </w:rPr>
        <w:t>副本</w:t>
      </w:r>
      <w:r>
        <w:rPr>
          <w:rFonts w:hint="eastAsia" w:ascii="宋体" w:hAnsi="宋体" w:eastAsia="宋体" w:cs="宋体"/>
          <w:bCs/>
          <w:color w:val="auto"/>
          <w:kern w:val="2"/>
          <w:sz w:val="24"/>
          <w:szCs w:val="24"/>
          <w:lang w:eastAsia="zh-CN"/>
        </w:rPr>
        <w:t>”字样，统一用A4幅面纸印制，图纸、横道图等必须使用A3幅面印制的应折叠成A4幅面，并按招标文件规定签字和盖章，投标文件胶装成册并编码，每册装订应牢固、不易拆散和换页，不得采用活页装订。</w:t>
      </w:r>
    </w:p>
    <w:p w14:paraId="4B26E8EA">
      <w:pPr>
        <w:widowControl w:val="0"/>
        <w:spacing w:line="560" w:lineRule="exact"/>
        <w:ind w:firstLine="482" w:firstLineChars="200"/>
        <w:jc w:val="both"/>
        <w:rPr>
          <w:rFonts w:hint="eastAsia" w:ascii="宋体" w:hAnsi="宋体" w:eastAsia="宋体" w:cs="宋体"/>
          <w:b/>
          <w:bCs/>
          <w:color w:val="auto"/>
          <w:kern w:val="2"/>
          <w:sz w:val="24"/>
          <w:szCs w:val="24"/>
          <w:lang w:eastAsia="zh-CN"/>
        </w:rPr>
      </w:pPr>
      <w:bookmarkStart w:id="99" w:name="_Toc183582228"/>
      <w:bookmarkStart w:id="100" w:name="_Toc183682365"/>
      <w:bookmarkStart w:id="101" w:name="_Toc217446055"/>
      <w:r>
        <w:rPr>
          <w:rFonts w:hint="eastAsia" w:ascii="宋体" w:hAnsi="宋体" w:eastAsia="宋体" w:cs="宋体"/>
          <w:b/>
          <w:bCs/>
          <w:color w:val="auto"/>
          <w:kern w:val="2"/>
          <w:sz w:val="24"/>
          <w:szCs w:val="24"/>
          <w:lang w:eastAsia="zh-CN"/>
        </w:rPr>
        <w:t>19</w:t>
      </w:r>
      <w:r>
        <w:rPr>
          <w:rFonts w:hint="eastAsia" w:ascii="宋体" w:hAnsi="宋体" w:eastAsia="宋体" w:cs="宋体"/>
          <w:b/>
          <w:bCs/>
          <w:color w:val="auto"/>
          <w:kern w:val="2"/>
          <w:sz w:val="24"/>
          <w:szCs w:val="24"/>
          <w:lang w:val="en-US" w:eastAsia="zh-CN"/>
        </w:rPr>
        <w:t>.</w:t>
      </w:r>
      <w:r>
        <w:rPr>
          <w:rFonts w:hint="eastAsia" w:ascii="宋体" w:hAnsi="宋体" w:eastAsia="宋体" w:cs="宋体"/>
          <w:b/>
          <w:bCs/>
          <w:color w:val="auto"/>
          <w:kern w:val="2"/>
          <w:sz w:val="24"/>
          <w:szCs w:val="24"/>
          <w:lang w:eastAsia="zh-CN"/>
        </w:rPr>
        <w:t>投标文件的修改和撤</w:t>
      </w:r>
      <w:bookmarkEnd w:id="99"/>
      <w:bookmarkEnd w:id="100"/>
      <w:r>
        <w:rPr>
          <w:rFonts w:hint="eastAsia" w:ascii="宋体" w:hAnsi="宋体" w:eastAsia="宋体" w:cs="宋体"/>
          <w:b/>
          <w:bCs/>
          <w:color w:val="auto"/>
          <w:kern w:val="2"/>
          <w:sz w:val="24"/>
          <w:szCs w:val="24"/>
          <w:lang w:eastAsia="zh-CN"/>
        </w:rPr>
        <w:t>回</w:t>
      </w:r>
      <w:bookmarkEnd w:id="101"/>
    </w:p>
    <w:p w14:paraId="2EC235B2">
      <w:pPr>
        <w:widowControl w:val="0"/>
        <w:adjustRightInd/>
        <w:snapToGrid/>
        <w:spacing w:line="560" w:lineRule="exact"/>
        <w:ind w:firstLine="480" w:firstLineChars="200"/>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19.1 投标人在投标文件上传截止时间前，可以对所上传的投标文件进行补充、修改或撤回。</w:t>
      </w:r>
    </w:p>
    <w:p w14:paraId="6B92BB96">
      <w:pPr>
        <w:widowControl w:val="0"/>
        <w:adjustRightInd/>
        <w:snapToGrid/>
        <w:spacing w:line="560" w:lineRule="exact"/>
        <w:ind w:firstLine="480" w:firstLineChars="200"/>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19.2 在投标文件上传截止时间之后，投标人不得对其上传的投标文件做任何修改、补充或撤回。</w:t>
      </w:r>
    </w:p>
    <w:p w14:paraId="77336618">
      <w:pPr>
        <w:widowControl w:val="0"/>
        <w:adjustRightInd/>
        <w:snapToGrid/>
        <w:spacing w:line="560" w:lineRule="exact"/>
        <w:ind w:firstLine="480" w:firstLineChars="200"/>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19.3 投标文件中-如果出现计算上或累加上的算术错误，可按以下原则进行修改：</w:t>
      </w:r>
    </w:p>
    <w:p w14:paraId="09E0A99F">
      <w:pPr>
        <w:widowControl w:val="0"/>
        <w:adjustRightInd/>
        <w:snapToGrid/>
        <w:spacing w:line="560" w:lineRule="exact"/>
        <w:ind w:firstLine="480" w:firstLineChars="200"/>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（1）投标文件中投标函内容与投标报价明细表不一致的，以投标函为准；</w:t>
      </w:r>
    </w:p>
    <w:p w14:paraId="0AD7F8D4">
      <w:pPr>
        <w:widowControl w:val="0"/>
        <w:adjustRightInd/>
        <w:snapToGrid/>
        <w:spacing w:line="560" w:lineRule="exact"/>
        <w:ind w:firstLine="480" w:firstLineChars="200"/>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（2）用小写金额和大写金额不一致，应以大写金额为准；</w:t>
      </w:r>
    </w:p>
    <w:p w14:paraId="1A719C1C">
      <w:pPr>
        <w:widowControl w:val="0"/>
        <w:adjustRightInd/>
        <w:snapToGrid/>
        <w:spacing w:line="560" w:lineRule="exact"/>
        <w:ind w:firstLine="480" w:firstLineChars="200"/>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（3）总价金额与按单价汇总金额不一致的，以单价金额计算结果为准；</w:t>
      </w:r>
    </w:p>
    <w:p w14:paraId="137E8F67">
      <w:pPr>
        <w:widowControl w:val="0"/>
        <w:adjustRightInd/>
        <w:snapToGrid/>
        <w:spacing w:line="560" w:lineRule="exact"/>
        <w:ind w:firstLine="480" w:firstLineChars="200"/>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（4）单价金额小数点或者百分比有明显错位的，以投标函的总价为准，并修改单价。</w:t>
      </w:r>
    </w:p>
    <w:p w14:paraId="795022DA">
      <w:pPr>
        <w:widowControl w:val="0"/>
        <w:adjustRightInd/>
        <w:snapToGrid/>
        <w:spacing w:line="560" w:lineRule="exact"/>
        <w:ind w:firstLine="480" w:firstLineChars="200"/>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同时出现两种以上不一致的，按照前款规定的顺序修正。修正后的投标报价经投标人确认后产生约束力，投标人不确认的，其</w:t>
      </w:r>
      <w:r>
        <w:rPr>
          <w:rFonts w:hint="eastAsia" w:ascii="宋体" w:hAnsi="宋体" w:eastAsia="宋体" w:cs="宋体"/>
          <w:b/>
          <w:bCs/>
          <w:color w:val="auto"/>
          <w:kern w:val="2"/>
          <w:sz w:val="24"/>
          <w:szCs w:val="24"/>
          <w:lang w:eastAsia="zh-CN"/>
        </w:rPr>
        <w:t>响应无效</w:t>
      </w:r>
      <w:r>
        <w:rPr>
          <w:rFonts w:hint="eastAsia" w:ascii="宋体" w:hAnsi="宋体" w:eastAsia="宋体" w:cs="宋体"/>
          <w:color w:val="auto"/>
          <w:kern w:val="2"/>
          <w:sz w:val="24"/>
          <w:szCs w:val="24"/>
          <w:lang w:eastAsia="zh-CN"/>
        </w:rPr>
        <w:t>。</w:t>
      </w:r>
    </w:p>
    <w:p w14:paraId="12560D7E">
      <w:pPr>
        <w:keepLines/>
        <w:widowControl w:val="0"/>
        <w:spacing w:line="560" w:lineRule="exact"/>
        <w:ind w:firstLine="482" w:firstLineChars="200"/>
        <w:jc w:val="center"/>
        <w:outlineLvl w:val="1"/>
        <w:rPr>
          <w:rFonts w:hint="eastAsia" w:ascii="宋体" w:hAnsi="宋体" w:eastAsia="宋体" w:cs="宋体"/>
          <w:b/>
          <w:color w:val="auto"/>
          <w:kern w:val="2"/>
          <w:sz w:val="24"/>
          <w:szCs w:val="24"/>
          <w:lang w:eastAsia="zh-CN"/>
        </w:rPr>
      </w:pPr>
      <w:bookmarkStart w:id="102" w:name="_Toc183682368"/>
      <w:bookmarkStart w:id="103" w:name="_Toc89075878"/>
      <w:bookmarkStart w:id="104" w:name="_Toc217446056"/>
      <w:bookmarkStart w:id="105" w:name="_Toc183582231"/>
      <w:bookmarkStart w:id="106" w:name="_Toc77400782"/>
      <w:r>
        <w:rPr>
          <w:rFonts w:hint="eastAsia" w:ascii="宋体" w:hAnsi="宋体" w:eastAsia="宋体" w:cs="宋体"/>
          <w:b/>
          <w:color w:val="auto"/>
          <w:kern w:val="2"/>
          <w:sz w:val="24"/>
          <w:szCs w:val="24"/>
          <w:lang w:eastAsia="zh-CN"/>
        </w:rPr>
        <w:t>五、开标和</w:t>
      </w:r>
      <w:bookmarkEnd w:id="102"/>
      <w:bookmarkEnd w:id="103"/>
      <w:bookmarkEnd w:id="104"/>
      <w:bookmarkEnd w:id="105"/>
      <w:bookmarkEnd w:id="106"/>
      <w:r>
        <w:rPr>
          <w:rFonts w:hint="eastAsia" w:ascii="宋体" w:hAnsi="宋体" w:eastAsia="宋体" w:cs="宋体"/>
          <w:b/>
          <w:color w:val="auto"/>
          <w:kern w:val="2"/>
          <w:sz w:val="24"/>
          <w:szCs w:val="24"/>
          <w:lang w:eastAsia="zh-CN"/>
        </w:rPr>
        <w:t>中标</w:t>
      </w:r>
    </w:p>
    <w:p w14:paraId="0A505DD6">
      <w:pPr>
        <w:widowControl w:val="0"/>
        <w:adjustRightInd/>
        <w:snapToGrid/>
        <w:spacing w:line="560" w:lineRule="exact"/>
        <w:ind w:firstLine="482" w:firstLineChars="200"/>
        <w:jc w:val="both"/>
        <w:textAlignment w:val="auto"/>
        <w:rPr>
          <w:rFonts w:hint="eastAsia" w:ascii="宋体" w:hAnsi="宋体" w:eastAsia="宋体" w:cs="宋体"/>
          <w:b/>
          <w:bCs/>
          <w:color w:val="auto"/>
          <w:kern w:val="2"/>
          <w:sz w:val="24"/>
          <w:szCs w:val="24"/>
          <w:lang w:eastAsia="zh-CN"/>
        </w:rPr>
      </w:pPr>
      <w:bookmarkStart w:id="107" w:name="_Toc217446057"/>
      <w:bookmarkStart w:id="108" w:name="_Toc183582232"/>
      <w:bookmarkStart w:id="109" w:name="_Toc183682369"/>
      <w:r>
        <w:rPr>
          <w:rFonts w:hint="eastAsia" w:ascii="宋体" w:hAnsi="宋体" w:eastAsia="宋体" w:cs="宋体"/>
          <w:b/>
          <w:bCs/>
          <w:color w:val="auto"/>
          <w:kern w:val="2"/>
          <w:sz w:val="24"/>
          <w:szCs w:val="24"/>
          <w:lang w:eastAsia="zh-CN"/>
        </w:rPr>
        <w:t>20</w:t>
      </w:r>
      <w:r>
        <w:rPr>
          <w:rFonts w:hint="eastAsia" w:ascii="宋体" w:hAnsi="宋体" w:eastAsia="宋体" w:cs="宋体"/>
          <w:b/>
          <w:bCs/>
          <w:color w:val="auto"/>
          <w:kern w:val="2"/>
          <w:sz w:val="24"/>
          <w:szCs w:val="24"/>
          <w:lang w:val="en-US" w:eastAsia="zh-CN"/>
        </w:rPr>
        <w:t>.</w:t>
      </w:r>
      <w:r>
        <w:rPr>
          <w:rFonts w:hint="eastAsia" w:ascii="宋体" w:hAnsi="宋体" w:eastAsia="宋体" w:cs="宋体"/>
          <w:b/>
          <w:bCs/>
          <w:color w:val="auto"/>
          <w:kern w:val="2"/>
          <w:sz w:val="24"/>
          <w:szCs w:val="24"/>
          <w:lang w:eastAsia="zh-CN"/>
        </w:rPr>
        <w:t>开标</w:t>
      </w:r>
      <w:bookmarkEnd w:id="107"/>
      <w:bookmarkEnd w:id="108"/>
      <w:bookmarkEnd w:id="109"/>
    </w:p>
    <w:p w14:paraId="482CA406">
      <w:pPr>
        <w:widowControl w:val="0"/>
        <w:adjustRightInd/>
        <w:snapToGrid/>
        <w:spacing w:line="560" w:lineRule="exact"/>
        <w:ind w:firstLine="480" w:firstLineChars="200"/>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20.1 采购代理机构在招标文件规定的时间和地点组织招标活动，邀请下载招标文件并参与竞争的投标人在线参加开标，投标人未参加开标的视同认可开标结果，事后不得对采购相关人员、开标过程和开标结果提出异议，同时投标人因未在线参加开标而导致投标文件无法按时解密等一切后果由投标人自行承担。</w:t>
      </w:r>
    </w:p>
    <w:p w14:paraId="739D4661">
      <w:pPr>
        <w:widowControl w:val="0"/>
        <w:adjustRightInd/>
        <w:snapToGrid/>
        <w:spacing w:line="560" w:lineRule="exact"/>
        <w:ind w:firstLine="480" w:firstLineChars="200"/>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投标人不足3家的，不得开标。</w:t>
      </w:r>
    </w:p>
    <w:p w14:paraId="73A1ED06">
      <w:pPr>
        <w:widowControl w:val="0"/>
        <w:adjustRightInd/>
        <w:snapToGrid/>
        <w:spacing w:line="560" w:lineRule="exact"/>
        <w:ind w:firstLine="480" w:firstLineChars="200"/>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20.2 开标时，采购代理机构可以邀请有关监督管理部门对开标进行现场监督。</w:t>
      </w:r>
    </w:p>
    <w:p w14:paraId="260EEDB3">
      <w:pPr>
        <w:widowControl w:val="0"/>
        <w:adjustRightInd/>
        <w:snapToGrid/>
        <w:spacing w:line="560" w:lineRule="exact"/>
        <w:ind w:firstLine="480" w:firstLineChars="200"/>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20.3 投标文件上传截止时间到，开标会议开始，公布投标人名单。</w:t>
      </w:r>
    </w:p>
    <w:p w14:paraId="25C1C2DF">
      <w:pPr>
        <w:widowControl w:val="0"/>
        <w:adjustRightInd/>
        <w:snapToGrid/>
        <w:spacing w:line="560" w:lineRule="exact"/>
        <w:ind w:firstLine="480" w:firstLineChars="200"/>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20.4</w:t>
      </w:r>
      <w:r>
        <w:rPr>
          <w:rFonts w:hint="eastAsia" w:ascii="宋体" w:hAnsi="宋体" w:eastAsia="宋体" w:cs="宋体"/>
          <w:color w:val="auto"/>
          <w:kern w:val="2"/>
          <w:sz w:val="24"/>
          <w:szCs w:val="24"/>
          <w:lang w:val="en-US" w:eastAsia="zh-CN"/>
        </w:rPr>
        <w:t xml:space="preserve"> </w:t>
      </w:r>
      <w:r>
        <w:rPr>
          <w:rFonts w:hint="eastAsia" w:ascii="宋体" w:hAnsi="宋体" w:eastAsia="宋体" w:cs="宋体"/>
          <w:color w:val="auto"/>
          <w:kern w:val="2"/>
          <w:sz w:val="24"/>
          <w:szCs w:val="24"/>
          <w:lang w:eastAsia="zh-CN"/>
        </w:rPr>
        <w:t>开启“投标文件解密”环节，投标人在规定时间内进行解密</w:t>
      </w:r>
      <w:r>
        <w:rPr>
          <w:rFonts w:hint="eastAsia" w:ascii="宋体" w:hAnsi="宋体" w:eastAsia="宋体" w:cs="宋体"/>
          <w:b/>
          <w:bCs/>
          <w:color w:val="auto"/>
          <w:kern w:val="2"/>
          <w:sz w:val="24"/>
          <w:szCs w:val="24"/>
          <w:lang w:eastAsia="zh-CN"/>
        </w:rPr>
        <w:t>（解密规定见《投标人须知前附表》第15条</w:t>
      </w:r>
      <w:r>
        <w:rPr>
          <w:rFonts w:hint="eastAsia" w:ascii="宋体" w:hAnsi="宋体" w:eastAsia="宋体" w:cs="宋体"/>
          <w:color w:val="auto"/>
          <w:kern w:val="2"/>
          <w:sz w:val="24"/>
          <w:szCs w:val="24"/>
          <w:lang w:eastAsia="zh-CN"/>
        </w:rPr>
        <w:t>）。</w:t>
      </w:r>
    </w:p>
    <w:p w14:paraId="155DAC7F">
      <w:pPr>
        <w:widowControl w:val="0"/>
        <w:adjustRightInd/>
        <w:snapToGrid/>
        <w:spacing w:line="560" w:lineRule="exact"/>
        <w:ind w:firstLine="480" w:firstLineChars="200"/>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20.5</w:t>
      </w:r>
      <w:r>
        <w:rPr>
          <w:rFonts w:hint="eastAsia" w:ascii="宋体" w:hAnsi="宋体" w:eastAsia="宋体" w:cs="宋体"/>
          <w:color w:val="auto"/>
          <w:kern w:val="2"/>
          <w:sz w:val="24"/>
          <w:szCs w:val="24"/>
          <w:lang w:val="en-US" w:eastAsia="zh-CN"/>
        </w:rPr>
        <w:t xml:space="preserve"> </w:t>
      </w:r>
      <w:r>
        <w:rPr>
          <w:rFonts w:hint="eastAsia" w:ascii="宋体" w:hAnsi="宋体" w:eastAsia="宋体" w:cs="宋体"/>
          <w:color w:val="auto"/>
          <w:kern w:val="2"/>
          <w:sz w:val="24"/>
          <w:szCs w:val="24"/>
          <w:lang w:eastAsia="zh-CN"/>
        </w:rPr>
        <w:t>投标文件解密完毕，公布投标报价，开启报价签字确认（不予确认的应说明理由，否则视为无异议，开标结束后，由评标委员会对报价的合理性、准确性等进行审查核实）。</w:t>
      </w:r>
    </w:p>
    <w:p w14:paraId="45AF428D">
      <w:pPr>
        <w:widowControl w:val="0"/>
        <w:adjustRightInd/>
        <w:snapToGrid/>
        <w:spacing w:line="560" w:lineRule="exact"/>
        <w:ind w:firstLine="482" w:firstLineChars="200"/>
        <w:jc w:val="both"/>
        <w:textAlignment w:val="auto"/>
        <w:rPr>
          <w:rFonts w:hint="eastAsia" w:ascii="宋体" w:hAnsi="宋体" w:eastAsia="宋体" w:cs="宋体"/>
          <w:b/>
          <w:bCs/>
          <w:color w:val="auto"/>
          <w:kern w:val="2"/>
          <w:sz w:val="24"/>
          <w:szCs w:val="24"/>
          <w:lang w:eastAsia="zh-CN"/>
        </w:rPr>
      </w:pPr>
      <w:r>
        <w:rPr>
          <w:rFonts w:hint="eastAsia" w:ascii="宋体" w:hAnsi="宋体" w:eastAsia="宋体" w:cs="宋体"/>
          <w:b/>
          <w:bCs/>
          <w:color w:val="auto"/>
          <w:kern w:val="2"/>
          <w:sz w:val="24"/>
          <w:szCs w:val="24"/>
          <w:lang w:eastAsia="zh-CN"/>
        </w:rPr>
        <w:t>21.评标程序</w:t>
      </w:r>
    </w:p>
    <w:p w14:paraId="6F9900D3">
      <w:pPr>
        <w:widowControl w:val="0"/>
        <w:adjustRightInd/>
        <w:snapToGrid/>
        <w:spacing w:line="560" w:lineRule="exact"/>
        <w:ind w:firstLine="480" w:firstLineChars="200"/>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21.1</w:t>
      </w:r>
      <w:r>
        <w:rPr>
          <w:rFonts w:hint="eastAsia" w:ascii="宋体" w:hAnsi="宋体" w:eastAsia="宋体" w:cs="宋体"/>
          <w:color w:val="auto"/>
          <w:kern w:val="2"/>
          <w:sz w:val="24"/>
          <w:szCs w:val="24"/>
          <w:lang w:val="en-US" w:eastAsia="zh-CN"/>
        </w:rPr>
        <w:t xml:space="preserve"> </w:t>
      </w:r>
      <w:r>
        <w:rPr>
          <w:rFonts w:hint="eastAsia" w:ascii="宋体" w:hAnsi="宋体" w:eastAsia="宋体" w:cs="宋体"/>
          <w:color w:val="auto"/>
          <w:kern w:val="2"/>
          <w:sz w:val="24"/>
          <w:szCs w:val="24"/>
          <w:lang w:eastAsia="zh-CN"/>
        </w:rPr>
        <w:t>公开招标采购项目开标结束后，采购人或者采购代理机构应当依法对投标人的资格进行审查。合格投标人不足3家的，不得评标。</w:t>
      </w:r>
    </w:p>
    <w:p w14:paraId="5BC1842E">
      <w:pPr>
        <w:widowControl w:val="0"/>
        <w:spacing w:line="56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21.2</w:t>
      </w:r>
      <w:r>
        <w:rPr>
          <w:rFonts w:hint="eastAsia" w:ascii="宋体" w:hAnsi="宋体" w:eastAsia="宋体" w:cs="宋体"/>
          <w:color w:val="auto"/>
          <w:kern w:val="2"/>
          <w:sz w:val="24"/>
          <w:szCs w:val="24"/>
          <w:lang w:val="en-US" w:eastAsia="zh-CN"/>
        </w:rPr>
        <w:t xml:space="preserve"> </w:t>
      </w:r>
      <w:r>
        <w:rPr>
          <w:rFonts w:hint="eastAsia" w:ascii="宋体" w:hAnsi="宋体" w:eastAsia="宋体" w:cs="宋体"/>
          <w:color w:val="auto"/>
          <w:kern w:val="2"/>
          <w:sz w:val="24"/>
          <w:szCs w:val="24"/>
          <w:lang w:eastAsia="zh-CN"/>
        </w:rPr>
        <w:t>符合性审查。符合性审查是指依据招标文件的规定，从商务和技术角度对投标文件的有效性和完整性进行审查，以确定是否对招标文件的实质性要求做出响应。</w:t>
      </w:r>
    </w:p>
    <w:p w14:paraId="29F8B759">
      <w:pPr>
        <w:widowControl w:val="0"/>
        <w:spacing w:line="56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21.3</w:t>
      </w:r>
      <w:r>
        <w:rPr>
          <w:rFonts w:hint="eastAsia" w:ascii="宋体" w:hAnsi="宋体" w:eastAsia="宋体" w:cs="宋体"/>
          <w:color w:val="auto"/>
          <w:kern w:val="2"/>
          <w:sz w:val="24"/>
          <w:szCs w:val="24"/>
          <w:lang w:val="en-US" w:eastAsia="zh-CN"/>
        </w:rPr>
        <w:t xml:space="preserve"> </w:t>
      </w:r>
      <w:r>
        <w:rPr>
          <w:rFonts w:hint="eastAsia" w:ascii="宋体" w:hAnsi="宋体" w:eastAsia="宋体" w:cs="宋体"/>
          <w:color w:val="auto"/>
          <w:kern w:val="2"/>
          <w:sz w:val="24"/>
          <w:szCs w:val="24"/>
          <w:lang w:eastAsia="zh-CN"/>
        </w:rPr>
        <w:t>评标委员会采用综合评分法对满足招标文件全部实质性要求的投标文件和投标报价进行综合评分</w:t>
      </w:r>
    </w:p>
    <w:p w14:paraId="459E949E">
      <w:pPr>
        <w:widowControl w:val="0"/>
        <w:adjustRightInd/>
        <w:snapToGrid/>
        <w:spacing w:line="560" w:lineRule="exact"/>
        <w:ind w:firstLine="480" w:firstLineChars="200"/>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21.4</w:t>
      </w:r>
      <w:r>
        <w:rPr>
          <w:rFonts w:hint="eastAsia" w:ascii="宋体" w:hAnsi="宋体" w:eastAsia="宋体" w:cs="宋体"/>
          <w:color w:val="auto"/>
          <w:kern w:val="2"/>
          <w:sz w:val="24"/>
          <w:szCs w:val="24"/>
          <w:lang w:val="en-US" w:eastAsia="zh-CN"/>
        </w:rPr>
        <w:t xml:space="preserve"> </w:t>
      </w:r>
      <w:r>
        <w:rPr>
          <w:rFonts w:hint="eastAsia" w:ascii="宋体" w:hAnsi="宋体" w:eastAsia="宋体" w:cs="宋体"/>
          <w:color w:val="auto"/>
          <w:kern w:val="2"/>
          <w:sz w:val="24"/>
          <w:szCs w:val="24"/>
          <w:lang w:eastAsia="zh-CN"/>
        </w:rPr>
        <w:t>澄清、说明或补正的形式：</w:t>
      </w:r>
    </w:p>
    <w:p w14:paraId="6FB84F95">
      <w:pPr>
        <w:widowControl w:val="0"/>
        <w:adjustRightInd/>
        <w:snapToGrid/>
        <w:spacing w:line="560" w:lineRule="exact"/>
        <w:ind w:firstLine="240" w:firstLineChars="100"/>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（1）对于投标文件中含义不明确、同类问题表述不一致或者有明显文字和计算错误的内容，评标委员会将通过“政府采购云平台”在线询标的方式要求投标人在规定的时间内作出必要的澄清、说明或者补正，</w:t>
      </w:r>
      <w:r>
        <w:rPr>
          <w:rFonts w:hint="eastAsia" w:ascii="宋体" w:hAnsi="宋体" w:eastAsia="宋体" w:cs="宋体"/>
          <w:b/>
          <w:bCs/>
          <w:color w:val="auto"/>
          <w:kern w:val="2"/>
          <w:sz w:val="24"/>
          <w:szCs w:val="24"/>
          <w:lang w:eastAsia="zh-CN"/>
        </w:rPr>
        <w:t>投标人澄清、说明或补正时间为20分钟</w:t>
      </w:r>
      <w:r>
        <w:rPr>
          <w:rFonts w:hint="eastAsia" w:ascii="宋体" w:hAnsi="宋体" w:eastAsia="宋体" w:cs="宋体"/>
          <w:color w:val="auto"/>
          <w:kern w:val="2"/>
          <w:sz w:val="24"/>
          <w:szCs w:val="24"/>
          <w:lang w:eastAsia="zh-CN"/>
        </w:rPr>
        <w:t>。</w:t>
      </w:r>
    </w:p>
    <w:p w14:paraId="0CD1ED56">
      <w:pPr>
        <w:widowControl w:val="0"/>
        <w:adjustRightInd/>
        <w:snapToGrid/>
        <w:spacing w:line="560" w:lineRule="exact"/>
        <w:ind w:firstLine="240" w:firstLineChars="100"/>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2）投标人的澄清、说明或者补正应当通过“政府采购云平台”在线答复的方式提交，并加盖公章或电子印章，或者由法定代表人（负责人）或其授权的代表签字。投标人的澄清、说明或者补正不得超出投标文件的范围或者改变投标文件的实质性内容，不接受投标人主动对投标文件的澄清、说明或者补正。</w:t>
      </w:r>
    </w:p>
    <w:p w14:paraId="6C8AA66D">
      <w:pPr>
        <w:widowControl w:val="0"/>
        <w:adjustRightInd/>
        <w:snapToGrid/>
        <w:spacing w:line="560" w:lineRule="exact"/>
        <w:ind w:firstLine="240" w:firstLineChars="100"/>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3）上述询标、澄清、说明和补正工作如因客观原因无法通过“政府采购云平台”在线进行的，将采用电子邮件等形式进行，请投标人保证办理投标事宜人员电话畅通、网络在线。如未及时进行澄清、说明或者补正的，视为放弃澄清、说明或者补正的权利。</w:t>
      </w:r>
    </w:p>
    <w:p w14:paraId="1E1F878E">
      <w:pPr>
        <w:widowControl w:val="0"/>
        <w:adjustRightInd/>
        <w:snapToGrid/>
        <w:spacing w:line="560" w:lineRule="exact"/>
        <w:ind w:firstLine="240" w:firstLineChars="100"/>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4）评审人员对各投标人投标文件非实质性内容有疑议或异议，或者审查发现明显的文字或计算错误等，及时向评标委员会组长提出。经评标委员会商议认为需要投标人作出必要澄清、说明或者补正的，应当以在线询标形式要求投标人作出必要的澄清、说明或者补正并加盖投标人电子印章或公章。澄清、说明或者补正的内容应作为政府采购项目档案归档留存。</w:t>
      </w:r>
    </w:p>
    <w:p w14:paraId="3AA0120D">
      <w:pPr>
        <w:widowControl w:val="0"/>
        <w:spacing w:line="56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21.5 评标委员会需对评审结果进行确认，现场监督员应对评审结果签署监督意见。如发现分值汇总计算错误、分项评分超出评分标准范围、客观评分不一致以及存在评分畸高、畸低情形的，应由相关人员当场改正或作出书面说明；拒不改正又不作书面说明的，由现场监督员如实记载后存入项目档案资料。</w:t>
      </w:r>
    </w:p>
    <w:p w14:paraId="29E150CB">
      <w:pPr>
        <w:widowControl w:val="0"/>
        <w:adjustRightInd/>
        <w:snapToGrid/>
        <w:spacing w:line="520" w:lineRule="exact"/>
        <w:ind w:firstLine="480" w:firstLineChars="200"/>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21.6</w:t>
      </w:r>
      <w:r>
        <w:rPr>
          <w:rFonts w:hint="eastAsia" w:ascii="宋体" w:hAnsi="宋体" w:eastAsia="宋体" w:cs="宋体"/>
          <w:color w:val="auto"/>
          <w:kern w:val="2"/>
          <w:sz w:val="24"/>
          <w:szCs w:val="24"/>
          <w:lang w:val="en-US" w:eastAsia="zh-CN"/>
        </w:rPr>
        <w:t xml:space="preserve"> </w:t>
      </w:r>
      <w:r>
        <w:rPr>
          <w:rFonts w:hint="eastAsia" w:ascii="宋体" w:hAnsi="宋体" w:eastAsia="宋体" w:cs="宋体"/>
          <w:color w:val="auto"/>
          <w:kern w:val="2"/>
          <w:sz w:val="24"/>
          <w:szCs w:val="24"/>
          <w:lang w:eastAsia="zh-CN"/>
        </w:rPr>
        <w:t>评标结果汇总完成后，除下列情形外，任何人不得修改评标结果：</w:t>
      </w:r>
    </w:p>
    <w:p w14:paraId="43E54DF1">
      <w:pPr>
        <w:widowControl w:val="0"/>
        <w:adjustRightInd/>
        <w:snapToGrid/>
        <w:spacing w:line="520" w:lineRule="exact"/>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(一)分值汇总计算错误的;</w:t>
      </w:r>
    </w:p>
    <w:p w14:paraId="4EEBFA5B">
      <w:pPr>
        <w:widowControl w:val="0"/>
        <w:adjustRightInd/>
        <w:snapToGrid/>
        <w:spacing w:line="520" w:lineRule="exact"/>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(二)分项评分超出评分标准范围的;</w:t>
      </w:r>
    </w:p>
    <w:p w14:paraId="4DF04CCD">
      <w:pPr>
        <w:widowControl w:val="0"/>
        <w:adjustRightInd/>
        <w:snapToGrid/>
        <w:spacing w:line="520" w:lineRule="exact"/>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(三)评标委员会成员对客观评审因素评分不一致的;</w:t>
      </w:r>
    </w:p>
    <w:p w14:paraId="16BF22DA">
      <w:pPr>
        <w:widowControl w:val="0"/>
        <w:adjustRightInd/>
        <w:snapToGrid/>
        <w:spacing w:line="520" w:lineRule="exact"/>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(四)经评标委员会认定评分畸高、畸低的。</w:t>
      </w:r>
    </w:p>
    <w:p w14:paraId="3DA8B886">
      <w:pPr>
        <w:widowControl w:val="0"/>
        <w:adjustRightInd/>
        <w:snapToGrid/>
        <w:spacing w:line="520" w:lineRule="exact"/>
        <w:ind w:firstLine="480" w:firstLineChars="200"/>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0CBBB06B">
      <w:pPr>
        <w:widowControl w:val="0"/>
        <w:adjustRightInd/>
        <w:snapToGrid/>
        <w:spacing w:line="520" w:lineRule="exact"/>
        <w:ind w:firstLine="480" w:firstLineChars="200"/>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投标人对本条第一款情形提出质疑的，采购人或者采购代理机构可以组织原评标委员会进行重新评审，重新评审改变评标结果的，应当书面报告本级财政部门。</w:t>
      </w:r>
    </w:p>
    <w:p w14:paraId="176BB424">
      <w:pPr>
        <w:widowControl w:val="0"/>
        <w:spacing w:line="56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21.7</w:t>
      </w:r>
      <w:r>
        <w:rPr>
          <w:rFonts w:hint="eastAsia" w:ascii="宋体" w:hAnsi="宋体" w:eastAsia="宋体" w:cs="宋体"/>
          <w:color w:val="auto"/>
          <w:kern w:val="2"/>
          <w:sz w:val="24"/>
          <w:szCs w:val="24"/>
          <w:lang w:val="en-US" w:eastAsia="zh-CN"/>
        </w:rPr>
        <w:t xml:space="preserve"> </w:t>
      </w:r>
      <w:r>
        <w:rPr>
          <w:rFonts w:hint="eastAsia" w:ascii="宋体" w:hAnsi="宋体" w:eastAsia="宋体" w:cs="宋体"/>
          <w:color w:val="auto"/>
          <w:kern w:val="2"/>
          <w:sz w:val="24"/>
          <w:szCs w:val="24"/>
          <w:lang w:eastAsia="zh-CN"/>
        </w:rPr>
        <w:t>评标委员会根据综合评分情况，按照评标得分由高到低顺序推荐3名中标候选人，并编写评标报告。得分相同的，按投标报价由低到高顺序排列。得分且投标报价相同的，按照技术指标优劣顺序推荐。</w:t>
      </w:r>
    </w:p>
    <w:p w14:paraId="19EA968E">
      <w:pPr>
        <w:widowControl w:val="0"/>
        <w:spacing w:line="56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21.8</w:t>
      </w:r>
      <w:r>
        <w:rPr>
          <w:rFonts w:hint="eastAsia" w:ascii="宋体" w:hAnsi="宋体" w:eastAsia="宋体" w:cs="宋体"/>
          <w:color w:val="auto"/>
          <w:kern w:val="2"/>
          <w:sz w:val="24"/>
          <w:szCs w:val="24"/>
          <w:lang w:val="en-US" w:eastAsia="zh-CN"/>
        </w:rPr>
        <w:t xml:space="preserve"> </w:t>
      </w:r>
      <w:r>
        <w:rPr>
          <w:rFonts w:hint="eastAsia" w:ascii="宋体" w:hAnsi="宋体" w:eastAsia="宋体" w:cs="宋体"/>
          <w:color w:val="auto"/>
          <w:kern w:val="2"/>
          <w:sz w:val="24"/>
          <w:szCs w:val="24"/>
          <w:lang w:eastAsia="zh-CN"/>
        </w:rPr>
        <w:t>采购代理机构在评标结果后2个工作日内将评标报告送采购人确认。</w:t>
      </w:r>
    </w:p>
    <w:p w14:paraId="579E9861">
      <w:pPr>
        <w:widowControl w:val="0"/>
        <w:adjustRightInd/>
        <w:snapToGrid/>
        <w:spacing w:line="560" w:lineRule="exact"/>
        <w:ind w:firstLine="482" w:firstLineChars="200"/>
        <w:jc w:val="both"/>
        <w:textAlignment w:val="auto"/>
        <w:rPr>
          <w:rFonts w:hint="eastAsia" w:ascii="宋体" w:hAnsi="宋体" w:eastAsia="宋体" w:cs="宋体"/>
          <w:b/>
          <w:bCs/>
          <w:color w:val="auto"/>
          <w:kern w:val="2"/>
          <w:sz w:val="24"/>
          <w:szCs w:val="24"/>
          <w:lang w:eastAsia="zh-CN"/>
        </w:rPr>
      </w:pPr>
      <w:bookmarkStart w:id="110" w:name="_Toc183682375"/>
      <w:bookmarkStart w:id="111" w:name="_Toc183582238"/>
      <w:bookmarkStart w:id="112" w:name="_Toc217446063"/>
      <w:r>
        <w:rPr>
          <w:rFonts w:hint="eastAsia" w:ascii="宋体" w:hAnsi="宋体" w:eastAsia="宋体" w:cs="宋体"/>
          <w:b/>
          <w:bCs/>
          <w:color w:val="auto"/>
          <w:kern w:val="2"/>
          <w:sz w:val="24"/>
          <w:szCs w:val="24"/>
          <w:lang w:eastAsia="zh-CN"/>
        </w:rPr>
        <w:t>22</w:t>
      </w:r>
      <w:r>
        <w:rPr>
          <w:rFonts w:hint="eastAsia" w:ascii="宋体" w:hAnsi="宋体" w:eastAsia="宋体" w:cs="宋体"/>
          <w:b/>
          <w:bCs/>
          <w:color w:val="auto"/>
          <w:kern w:val="2"/>
          <w:sz w:val="24"/>
          <w:szCs w:val="24"/>
          <w:lang w:val="en-US" w:eastAsia="zh-CN"/>
        </w:rPr>
        <w:t>.</w:t>
      </w:r>
      <w:r>
        <w:rPr>
          <w:rFonts w:hint="eastAsia" w:ascii="宋体" w:hAnsi="宋体" w:eastAsia="宋体" w:cs="宋体"/>
          <w:b/>
          <w:bCs/>
          <w:color w:val="auto"/>
          <w:kern w:val="2"/>
          <w:sz w:val="24"/>
          <w:szCs w:val="24"/>
          <w:lang w:eastAsia="zh-CN"/>
        </w:rPr>
        <w:t>中标通知</w:t>
      </w:r>
      <w:bookmarkEnd w:id="110"/>
      <w:bookmarkEnd w:id="111"/>
      <w:r>
        <w:rPr>
          <w:rFonts w:hint="eastAsia" w:ascii="宋体" w:hAnsi="宋体" w:eastAsia="宋体" w:cs="宋体"/>
          <w:b/>
          <w:bCs/>
          <w:color w:val="auto"/>
          <w:kern w:val="2"/>
          <w:sz w:val="24"/>
          <w:szCs w:val="24"/>
          <w:lang w:eastAsia="zh-CN"/>
        </w:rPr>
        <w:t>书</w:t>
      </w:r>
      <w:bookmarkEnd w:id="112"/>
    </w:p>
    <w:p w14:paraId="7A48B66C">
      <w:pPr>
        <w:widowControl w:val="0"/>
        <w:tabs>
          <w:tab w:val="left" w:pos="7665"/>
        </w:tabs>
        <w:adjustRightInd/>
        <w:snapToGrid/>
        <w:spacing w:line="560" w:lineRule="exact"/>
        <w:ind w:firstLine="480" w:firstLineChars="200"/>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22</w:t>
      </w:r>
      <w:r>
        <w:rPr>
          <w:rFonts w:hint="eastAsia" w:ascii="宋体" w:hAnsi="宋体" w:eastAsia="宋体" w:cs="宋体"/>
          <w:b/>
          <w:bCs/>
          <w:color w:val="auto"/>
          <w:kern w:val="2"/>
          <w:sz w:val="24"/>
          <w:szCs w:val="24"/>
          <w:lang w:eastAsia="zh-CN"/>
        </w:rPr>
        <w:t>.</w:t>
      </w:r>
      <w:r>
        <w:rPr>
          <w:rFonts w:hint="eastAsia" w:ascii="宋体" w:hAnsi="宋体" w:eastAsia="宋体" w:cs="宋体"/>
          <w:color w:val="auto"/>
          <w:kern w:val="2"/>
          <w:sz w:val="24"/>
          <w:szCs w:val="24"/>
          <w:lang w:eastAsia="zh-CN"/>
        </w:rPr>
        <w:t>1 中标通知书为签订中标合同的依据，是合同的有效组成部分。</w:t>
      </w:r>
    </w:p>
    <w:p w14:paraId="528B50BC">
      <w:pPr>
        <w:widowControl w:val="0"/>
        <w:tabs>
          <w:tab w:val="left" w:pos="7665"/>
        </w:tabs>
        <w:adjustRightInd/>
        <w:snapToGrid/>
        <w:spacing w:line="560" w:lineRule="exact"/>
        <w:ind w:firstLine="480" w:firstLineChars="200"/>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22.2 中标通知书对采购人和中标人均具有法律效力。中标通知书发出后，采购人改变中标结果，或者中标人无正当理由放弃中标的，应当承担相应的法律责任。</w:t>
      </w:r>
    </w:p>
    <w:p w14:paraId="45A50DBE">
      <w:pPr>
        <w:widowControl w:val="0"/>
        <w:tabs>
          <w:tab w:val="left" w:pos="7665"/>
        </w:tabs>
        <w:adjustRightInd/>
        <w:snapToGrid/>
        <w:spacing w:line="560" w:lineRule="exact"/>
        <w:ind w:firstLine="480" w:firstLineChars="200"/>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22</w:t>
      </w:r>
      <w:r>
        <w:rPr>
          <w:rFonts w:hint="eastAsia" w:ascii="宋体" w:hAnsi="宋体" w:eastAsia="宋体" w:cs="宋体"/>
          <w:color w:val="auto"/>
          <w:kern w:val="2"/>
          <w:sz w:val="24"/>
          <w:szCs w:val="24"/>
          <w:lang w:val="en-US" w:eastAsia="zh-CN"/>
        </w:rPr>
        <w:t>.</w:t>
      </w:r>
      <w:r>
        <w:rPr>
          <w:rFonts w:hint="eastAsia" w:ascii="宋体" w:hAnsi="宋体" w:eastAsia="宋体" w:cs="宋体"/>
          <w:color w:val="auto"/>
          <w:kern w:val="2"/>
          <w:sz w:val="24"/>
          <w:szCs w:val="24"/>
          <w:lang w:eastAsia="zh-CN"/>
        </w:rPr>
        <w:t>3</w:t>
      </w:r>
      <w:r>
        <w:rPr>
          <w:rFonts w:hint="eastAsia" w:ascii="宋体" w:hAnsi="宋体" w:eastAsia="宋体" w:cs="宋体"/>
          <w:color w:val="auto"/>
          <w:kern w:val="2"/>
          <w:sz w:val="24"/>
          <w:szCs w:val="24"/>
          <w:lang w:val="en-US" w:eastAsia="zh-CN"/>
        </w:rPr>
        <w:t xml:space="preserve"> </w:t>
      </w:r>
      <w:r>
        <w:rPr>
          <w:rFonts w:hint="eastAsia" w:ascii="宋体" w:hAnsi="宋体" w:eastAsia="宋体" w:cs="宋体"/>
          <w:color w:val="auto"/>
          <w:kern w:val="2"/>
          <w:sz w:val="24"/>
          <w:szCs w:val="24"/>
          <w:lang w:eastAsia="zh-CN"/>
        </w:rPr>
        <w:t>中标人的投标文件本应作为无效投标处理或者有招投标法律法规规章制度规定的中标无效情形的，采购代理机构在取得有权主体的认定以后，应当宣布发出的中标通知书无效，并收回发出的中标通知书（中标人也应当缴回），依法重新确定中标人或者重新开展招标活动。</w:t>
      </w:r>
    </w:p>
    <w:p w14:paraId="680D1CDE">
      <w:pPr>
        <w:keepLines/>
        <w:widowControl w:val="0"/>
        <w:spacing w:line="560" w:lineRule="exact"/>
        <w:ind w:firstLine="482" w:firstLineChars="200"/>
        <w:jc w:val="center"/>
        <w:outlineLvl w:val="1"/>
        <w:rPr>
          <w:rFonts w:hint="eastAsia" w:ascii="宋体" w:hAnsi="宋体" w:eastAsia="宋体" w:cs="宋体"/>
          <w:b/>
          <w:color w:val="auto"/>
          <w:kern w:val="2"/>
          <w:sz w:val="24"/>
          <w:szCs w:val="24"/>
          <w:lang w:eastAsia="zh-CN"/>
        </w:rPr>
      </w:pPr>
      <w:bookmarkStart w:id="113" w:name="_Toc217446064"/>
      <w:bookmarkStart w:id="114" w:name="_Toc183682377"/>
      <w:bookmarkStart w:id="115" w:name="_Toc183582240"/>
      <w:r>
        <w:rPr>
          <w:rFonts w:hint="eastAsia" w:ascii="宋体" w:hAnsi="宋体" w:eastAsia="宋体" w:cs="宋体"/>
          <w:b/>
          <w:color w:val="auto"/>
          <w:kern w:val="2"/>
          <w:sz w:val="24"/>
          <w:szCs w:val="24"/>
          <w:lang w:eastAsia="zh-CN"/>
        </w:rPr>
        <w:t>六、签订及履行合同和验收</w:t>
      </w:r>
      <w:bookmarkEnd w:id="113"/>
    </w:p>
    <w:p w14:paraId="5A197199">
      <w:pPr>
        <w:widowControl w:val="0"/>
        <w:adjustRightInd/>
        <w:snapToGrid/>
        <w:spacing w:line="560" w:lineRule="exact"/>
        <w:ind w:firstLine="482" w:firstLineChars="200"/>
        <w:jc w:val="both"/>
        <w:textAlignment w:val="auto"/>
        <w:rPr>
          <w:rFonts w:hint="eastAsia" w:ascii="宋体" w:hAnsi="宋体" w:eastAsia="宋体" w:cs="宋体"/>
          <w:b/>
          <w:bCs/>
          <w:color w:val="auto"/>
          <w:kern w:val="2"/>
          <w:sz w:val="24"/>
          <w:szCs w:val="24"/>
          <w:lang w:eastAsia="zh-CN"/>
        </w:rPr>
      </w:pPr>
      <w:bookmarkStart w:id="116" w:name="_Toc217446065"/>
      <w:r>
        <w:rPr>
          <w:rFonts w:hint="eastAsia" w:ascii="宋体" w:hAnsi="宋体" w:eastAsia="宋体" w:cs="宋体"/>
          <w:b/>
          <w:bCs/>
          <w:color w:val="auto"/>
          <w:kern w:val="2"/>
          <w:sz w:val="24"/>
          <w:szCs w:val="24"/>
          <w:lang w:eastAsia="zh-CN"/>
        </w:rPr>
        <w:t>23</w:t>
      </w:r>
      <w:r>
        <w:rPr>
          <w:rFonts w:hint="eastAsia" w:ascii="宋体" w:hAnsi="宋体" w:eastAsia="宋体" w:cs="宋体"/>
          <w:b/>
          <w:bCs/>
          <w:color w:val="auto"/>
          <w:kern w:val="2"/>
          <w:sz w:val="24"/>
          <w:szCs w:val="24"/>
          <w:lang w:val="en-US" w:eastAsia="zh-CN"/>
        </w:rPr>
        <w:t>.</w:t>
      </w:r>
      <w:r>
        <w:rPr>
          <w:rFonts w:hint="eastAsia" w:ascii="宋体" w:hAnsi="宋体" w:eastAsia="宋体" w:cs="宋体"/>
          <w:b/>
          <w:bCs/>
          <w:color w:val="auto"/>
          <w:kern w:val="2"/>
          <w:sz w:val="24"/>
          <w:szCs w:val="24"/>
          <w:lang w:eastAsia="zh-CN"/>
        </w:rPr>
        <w:t>签订合同</w:t>
      </w:r>
      <w:bookmarkEnd w:id="116"/>
    </w:p>
    <w:p w14:paraId="1D27EB94">
      <w:pPr>
        <w:widowControl w:val="0"/>
        <w:adjustRightInd/>
        <w:snapToGrid/>
        <w:spacing w:line="560" w:lineRule="exact"/>
        <w:ind w:firstLine="480" w:firstLineChars="200"/>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23.1 中标人在收到采购人发出的《中标通知书》后，应在法律法规规定的时间内与采购人签订采购合同。由于中标人的原因逾期未与采购人签订采购合同的，将视为放弃中标，取消其中标资格并将按相关规定进行处理。</w:t>
      </w:r>
    </w:p>
    <w:p w14:paraId="1F853CF2">
      <w:pPr>
        <w:widowControl w:val="0"/>
        <w:adjustRightInd/>
        <w:snapToGrid/>
        <w:spacing w:line="560" w:lineRule="exact"/>
        <w:ind w:firstLine="480" w:firstLineChars="200"/>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23.2 采购人不得向中标人提出任何不合理的要求，作为签订合同的条件，不得与中标人私下订立背离合同实质性内容的任何协议，所签订的合同不得对招标文件和投标文件作实质性修改。</w:t>
      </w:r>
    </w:p>
    <w:p w14:paraId="557FE1E2">
      <w:pPr>
        <w:widowControl w:val="0"/>
        <w:adjustRightInd/>
        <w:snapToGrid/>
        <w:spacing w:line="560" w:lineRule="exact"/>
        <w:ind w:firstLine="480" w:firstLineChars="200"/>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23.3 中标人拒绝与采购人签订合同的，采购人可以按照评审报告推荐的中标候选人名单排序，确定下一候选人为中标人，也可以重新开展政府采购活动。</w:t>
      </w:r>
    </w:p>
    <w:p w14:paraId="2609905E">
      <w:pPr>
        <w:widowControl w:val="0"/>
        <w:adjustRightInd/>
        <w:snapToGrid/>
        <w:spacing w:line="560" w:lineRule="exact"/>
        <w:ind w:firstLine="480" w:firstLineChars="200"/>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23.4 中标人在合同签订之后三个工作日内，将签订的合同（彩色扫描件）交至采购代理机构。</w:t>
      </w:r>
    </w:p>
    <w:p w14:paraId="57F423E3">
      <w:pPr>
        <w:widowControl w:val="0"/>
        <w:adjustRightInd/>
        <w:snapToGrid/>
        <w:spacing w:line="560" w:lineRule="exact"/>
        <w:ind w:firstLine="482" w:firstLineChars="200"/>
        <w:jc w:val="both"/>
        <w:textAlignment w:val="auto"/>
        <w:rPr>
          <w:rFonts w:hint="eastAsia" w:ascii="宋体" w:hAnsi="宋体" w:eastAsia="宋体" w:cs="宋体"/>
          <w:b/>
          <w:bCs/>
          <w:color w:val="auto"/>
          <w:kern w:val="2"/>
          <w:sz w:val="24"/>
          <w:szCs w:val="24"/>
          <w:lang w:eastAsia="zh-CN"/>
        </w:rPr>
      </w:pPr>
      <w:bookmarkStart w:id="117" w:name="_Toc217446066"/>
      <w:r>
        <w:rPr>
          <w:rFonts w:hint="eastAsia" w:ascii="宋体" w:hAnsi="宋体" w:eastAsia="宋体" w:cs="宋体"/>
          <w:b/>
          <w:bCs/>
          <w:color w:val="auto"/>
          <w:kern w:val="2"/>
          <w:sz w:val="24"/>
          <w:szCs w:val="24"/>
          <w:lang w:eastAsia="zh-CN"/>
        </w:rPr>
        <w:t>24.合同分包</w:t>
      </w:r>
      <w:bookmarkEnd w:id="117"/>
      <w:r>
        <w:rPr>
          <w:rFonts w:hint="eastAsia" w:ascii="宋体" w:hAnsi="宋体" w:eastAsia="宋体" w:cs="宋体"/>
          <w:b/>
          <w:bCs/>
          <w:color w:val="auto"/>
          <w:kern w:val="2"/>
          <w:sz w:val="24"/>
          <w:szCs w:val="24"/>
          <w:lang w:eastAsia="zh-CN"/>
        </w:rPr>
        <w:t>（如有）</w:t>
      </w:r>
    </w:p>
    <w:p w14:paraId="4C11AF14">
      <w:pPr>
        <w:widowControl w:val="0"/>
        <w:adjustRightInd/>
        <w:snapToGrid/>
        <w:spacing w:line="560" w:lineRule="exact"/>
        <w:ind w:firstLine="480" w:firstLineChars="200"/>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24.1 若本项目允许分包的，经采购人同意，中标人可以依法采取分包方式履行合同。这种要求应当在合同签订之前征得采购人同意，并且分包人履行分包项目的服务及技术要求等，必须与中标的一致。</w:t>
      </w:r>
    </w:p>
    <w:p w14:paraId="5D767685">
      <w:pPr>
        <w:widowControl w:val="0"/>
        <w:adjustRightInd/>
        <w:snapToGrid/>
        <w:spacing w:line="560" w:lineRule="exact"/>
        <w:ind w:firstLine="480" w:firstLineChars="200"/>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24.2 招标合同实行分包履行的，中标人就招标项目和分包项目向采购人负责，分包人就分包项目承担责任。</w:t>
      </w:r>
    </w:p>
    <w:p w14:paraId="24ADA782">
      <w:pPr>
        <w:widowControl w:val="0"/>
        <w:adjustRightInd/>
        <w:snapToGrid/>
        <w:spacing w:line="560" w:lineRule="exact"/>
        <w:ind w:firstLine="482" w:firstLineChars="200"/>
        <w:jc w:val="both"/>
        <w:textAlignment w:val="auto"/>
        <w:rPr>
          <w:rFonts w:hint="eastAsia" w:ascii="宋体" w:hAnsi="宋体" w:eastAsia="宋体" w:cs="宋体"/>
          <w:b/>
          <w:bCs/>
          <w:color w:val="auto"/>
          <w:kern w:val="2"/>
          <w:sz w:val="24"/>
          <w:szCs w:val="24"/>
          <w:lang w:eastAsia="zh-CN"/>
        </w:rPr>
      </w:pPr>
      <w:bookmarkStart w:id="118" w:name="_Toc217446067"/>
      <w:r>
        <w:rPr>
          <w:rFonts w:hint="eastAsia" w:ascii="宋体" w:hAnsi="宋体" w:eastAsia="宋体" w:cs="宋体"/>
          <w:b/>
          <w:bCs/>
          <w:color w:val="auto"/>
          <w:kern w:val="2"/>
          <w:sz w:val="24"/>
          <w:szCs w:val="24"/>
          <w:lang w:eastAsia="zh-CN"/>
        </w:rPr>
        <w:t>25. 采购人增加合同标的权</w:t>
      </w:r>
      <w:bookmarkEnd w:id="118"/>
      <w:r>
        <w:rPr>
          <w:rFonts w:hint="eastAsia" w:ascii="宋体" w:hAnsi="宋体" w:eastAsia="宋体" w:cs="宋体"/>
          <w:b/>
          <w:bCs/>
          <w:color w:val="auto"/>
          <w:kern w:val="2"/>
          <w:sz w:val="24"/>
          <w:szCs w:val="24"/>
          <w:lang w:eastAsia="zh-CN"/>
        </w:rPr>
        <w:t>利</w:t>
      </w:r>
    </w:p>
    <w:p w14:paraId="34FFDBE0">
      <w:pPr>
        <w:widowControl w:val="0"/>
        <w:adjustRightInd/>
        <w:snapToGrid/>
        <w:spacing w:line="560" w:lineRule="exact"/>
        <w:ind w:firstLine="480" w:firstLineChars="200"/>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招标合同履行过程中，采购人需要追加与合同标的相同的货物或者服务的，在不改变合同其他条款的前提下，可以与中标投标人协商签订补充合同，但所有补充合同的招标金额不得超过原合同招标金额的百分之十。</w:t>
      </w:r>
    </w:p>
    <w:p w14:paraId="56A2FC50">
      <w:pPr>
        <w:widowControl w:val="0"/>
        <w:adjustRightInd/>
        <w:snapToGrid/>
        <w:spacing w:line="560" w:lineRule="exact"/>
        <w:ind w:firstLine="482" w:firstLineChars="200"/>
        <w:jc w:val="both"/>
        <w:textAlignment w:val="auto"/>
        <w:rPr>
          <w:rFonts w:hint="eastAsia" w:ascii="宋体" w:hAnsi="宋体" w:eastAsia="宋体" w:cs="宋体"/>
          <w:b/>
          <w:bCs/>
          <w:color w:val="auto"/>
          <w:kern w:val="2"/>
          <w:sz w:val="24"/>
          <w:szCs w:val="24"/>
          <w:lang w:eastAsia="zh-CN"/>
        </w:rPr>
      </w:pPr>
      <w:bookmarkStart w:id="119" w:name="_Toc217446068"/>
      <w:r>
        <w:rPr>
          <w:rFonts w:hint="eastAsia" w:ascii="宋体" w:hAnsi="宋体" w:eastAsia="宋体" w:cs="宋体"/>
          <w:b/>
          <w:bCs/>
          <w:color w:val="auto"/>
          <w:kern w:val="2"/>
          <w:sz w:val="24"/>
          <w:szCs w:val="24"/>
          <w:lang w:eastAsia="zh-CN"/>
        </w:rPr>
        <w:t>26. 履约保证金</w:t>
      </w:r>
      <w:bookmarkEnd w:id="119"/>
    </w:p>
    <w:p w14:paraId="45B65E08">
      <w:pPr>
        <w:widowControl w:val="0"/>
        <w:adjustRightInd/>
        <w:snapToGrid/>
        <w:spacing w:line="560" w:lineRule="exact"/>
        <w:ind w:firstLine="480" w:firstLineChars="200"/>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26.1 中标人应在合同签订之前缴纳招标文件规定数额的履约保证金。</w:t>
      </w:r>
    </w:p>
    <w:p w14:paraId="00423200">
      <w:pPr>
        <w:widowControl w:val="0"/>
        <w:adjustRightInd/>
        <w:snapToGrid/>
        <w:spacing w:line="560" w:lineRule="exact"/>
        <w:ind w:firstLine="480" w:firstLineChars="200"/>
        <w:jc w:val="both"/>
        <w:textAlignment w:val="auto"/>
        <w:rPr>
          <w:rFonts w:hint="eastAsia" w:ascii="宋体" w:hAnsi="宋体" w:eastAsia="宋体" w:cs="宋体"/>
          <w:color w:val="auto"/>
          <w:kern w:val="2"/>
          <w:sz w:val="24"/>
          <w:szCs w:val="24"/>
          <w:u w:val="single"/>
          <w:lang w:eastAsia="zh-CN"/>
        </w:rPr>
      </w:pPr>
      <w:r>
        <w:rPr>
          <w:rFonts w:hint="eastAsia" w:ascii="宋体" w:hAnsi="宋体" w:eastAsia="宋体" w:cs="宋体"/>
          <w:color w:val="auto"/>
          <w:kern w:val="2"/>
          <w:sz w:val="24"/>
          <w:szCs w:val="24"/>
          <w:lang w:eastAsia="zh-CN"/>
        </w:rPr>
        <w:t>27.2 如果中标人在规定的合同签订时间内，没有按照中标文件的规定缴纳履约保证金，且又无正当理由的，将视为放弃中标资格，其缴纳的投标保证金将不与退还。</w:t>
      </w:r>
    </w:p>
    <w:p w14:paraId="0684DC5B">
      <w:pPr>
        <w:widowControl w:val="0"/>
        <w:adjustRightInd/>
        <w:snapToGrid/>
        <w:spacing w:line="560" w:lineRule="exact"/>
        <w:ind w:firstLine="482" w:firstLineChars="200"/>
        <w:jc w:val="both"/>
        <w:textAlignment w:val="auto"/>
        <w:rPr>
          <w:rFonts w:hint="eastAsia" w:ascii="宋体" w:hAnsi="宋体" w:eastAsia="宋体" w:cs="宋体"/>
          <w:b/>
          <w:bCs/>
          <w:color w:val="auto"/>
          <w:kern w:val="2"/>
          <w:sz w:val="24"/>
          <w:szCs w:val="24"/>
          <w:lang w:eastAsia="zh-CN"/>
        </w:rPr>
      </w:pPr>
      <w:bookmarkStart w:id="120" w:name="_Toc217446069"/>
      <w:r>
        <w:rPr>
          <w:rFonts w:hint="eastAsia" w:ascii="宋体" w:hAnsi="宋体" w:eastAsia="宋体" w:cs="宋体"/>
          <w:b/>
          <w:bCs/>
          <w:color w:val="auto"/>
          <w:kern w:val="2"/>
          <w:sz w:val="24"/>
          <w:szCs w:val="24"/>
          <w:lang w:eastAsia="zh-CN"/>
        </w:rPr>
        <w:t>27.履行合同</w:t>
      </w:r>
      <w:bookmarkEnd w:id="120"/>
    </w:p>
    <w:p w14:paraId="320644EF">
      <w:pPr>
        <w:widowControl w:val="0"/>
        <w:adjustRightInd/>
        <w:snapToGrid/>
        <w:spacing w:line="560" w:lineRule="exact"/>
        <w:ind w:firstLine="480" w:firstLineChars="200"/>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27.1 中标人与采购人签订合同后，合同双方应严格执行合同条款，履行合同规定的义务，保证合同的顺利完成。</w:t>
      </w:r>
    </w:p>
    <w:p w14:paraId="358F5DAD">
      <w:pPr>
        <w:widowControl w:val="0"/>
        <w:adjustRightInd/>
        <w:snapToGrid/>
        <w:spacing w:line="560" w:lineRule="exact"/>
        <w:ind w:firstLine="480" w:firstLineChars="200"/>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27.2 在合同履行过程中，如发生合同纠纷，合同双方应按照《中华人民共和国民法典》的有关规定进行处理。</w:t>
      </w:r>
    </w:p>
    <w:p w14:paraId="58098921">
      <w:pPr>
        <w:widowControl w:val="0"/>
        <w:adjustRightInd/>
        <w:snapToGrid/>
        <w:spacing w:line="560" w:lineRule="exact"/>
        <w:ind w:firstLine="482" w:firstLineChars="200"/>
        <w:jc w:val="both"/>
        <w:textAlignment w:val="auto"/>
        <w:rPr>
          <w:rFonts w:hint="eastAsia" w:ascii="宋体" w:hAnsi="宋体" w:eastAsia="宋体" w:cs="宋体"/>
          <w:b/>
          <w:bCs/>
          <w:color w:val="auto"/>
          <w:kern w:val="2"/>
          <w:sz w:val="24"/>
          <w:szCs w:val="24"/>
          <w:lang w:eastAsia="zh-CN"/>
        </w:rPr>
      </w:pPr>
      <w:bookmarkStart w:id="121" w:name="_Toc217446070"/>
      <w:r>
        <w:rPr>
          <w:rFonts w:hint="eastAsia" w:ascii="宋体" w:hAnsi="宋体" w:eastAsia="宋体" w:cs="宋体"/>
          <w:b/>
          <w:bCs/>
          <w:color w:val="auto"/>
          <w:kern w:val="2"/>
          <w:sz w:val="24"/>
          <w:szCs w:val="24"/>
          <w:lang w:eastAsia="zh-CN"/>
        </w:rPr>
        <w:t>28.验收</w:t>
      </w:r>
      <w:bookmarkEnd w:id="121"/>
    </w:p>
    <w:p w14:paraId="00DE9FE4">
      <w:pPr>
        <w:widowControl w:val="0"/>
        <w:spacing w:line="560" w:lineRule="exact"/>
        <w:ind w:firstLine="480" w:firstLineChars="200"/>
        <w:jc w:val="both"/>
        <w:rPr>
          <w:rFonts w:hint="eastAsia" w:ascii="宋体" w:hAnsi="宋体" w:eastAsia="宋体" w:cs="宋体"/>
          <w:color w:val="auto"/>
          <w:kern w:val="2"/>
          <w:sz w:val="24"/>
          <w:szCs w:val="24"/>
          <w:lang w:eastAsia="zh-CN"/>
        </w:rPr>
      </w:pPr>
      <w:bookmarkStart w:id="122" w:name="_Toc217446071"/>
      <w:r>
        <w:rPr>
          <w:rFonts w:hint="eastAsia" w:ascii="宋体" w:hAnsi="宋体" w:eastAsia="宋体" w:cs="宋体"/>
          <w:color w:val="auto"/>
          <w:kern w:val="2"/>
          <w:sz w:val="24"/>
          <w:szCs w:val="24"/>
          <w:lang w:eastAsia="zh-CN"/>
        </w:rPr>
        <w:t>采购人应严格按照国家财政部《关于进一步加强政府采购需求和履约验收管理的指导意见》（</w:t>
      </w:r>
      <w:r>
        <w:rPr>
          <w:rFonts w:hint="eastAsia" w:ascii="宋体" w:hAnsi="宋体" w:eastAsia="宋体" w:cs="宋体"/>
          <w:color w:val="auto"/>
          <w:kern w:val="2"/>
          <w:sz w:val="24"/>
          <w:szCs w:val="24"/>
          <w:shd w:val="clear" w:color="auto" w:fill="FFFFFF"/>
          <w:lang w:eastAsia="zh-CN"/>
        </w:rPr>
        <w:t>财库〔2016〕205号</w:t>
      </w:r>
      <w:r>
        <w:rPr>
          <w:rFonts w:hint="eastAsia" w:ascii="宋体" w:hAnsi="宋体" w:eastAsia="宋体" w:cs="宋体"/>
          <w:color w:val="auto"/>
          <w:kern w:val="2"/>
          <w:sz w:val="24"/>
          <w:szCs w:val="24"/>
          <w:lang w:eastAsia="zh-CN"/>
        </w:rPr>
        <w:t>）的要求，</w:t>
      </w:r>
      <w:r>
        <w:rPr>
          <w:rFonts w:hint="eastAsia" w:ascii="宋体" w:hAnsi="宋体" w:eastAsia="宋体" w:cs="宋体"/>
          <w:color w:val="auto"/>
          <w:kern w:val="2"/>
          <w:sz w:val="24"/>
          <w:szCs w:val="24"/>
          <w:shd w:val="clear" w:color="auto" w:fill="FFFFFF"/>
          <w:lang w:eastAsia="zh-CN"/>
        </w:rPr>
        <w:t>根据采购项目的具体情况，自行组织项目验收或者委托采购代理机构邀请实际使用人、参加本项目的其他投标人或第三方专业机构及专家</w:t>
      </w:r>
      <w:r>
        <w:rPr>
          <w:rFonts w:hint="eastAsia" w:ascii="宋体" w:hAnsi="宋体" w:eastAsia="宋体" w:cs="宋体"/>
          <w:color w:val="auto"/>
          <w:kern w:val="2"/>
          <w:sz w:val="24"/>
          <w:szCs w:val="24"/>
          <w:lang w:eastAsia="zh-CN"/>
        </w:rPr>
        <w:t>进行验收。</w:t>
      </w:r>
    </w:p>
    <w:bookmarkEnd w:id="114"/>
    <w:bookmarkEnd w:id="115"/>
    <w:bookmarkEnd w:id="122"/>
    <w:p w14:paraId="77A8ACB1">
      <w:pPr>
        <w:keepLines/>
        <w:widowControl w:val="0"/>
        <w:spacing w:line="560" w:lineRule="exact"/>
        <w:ind w:firstLine="482" w:firstLineChars="200"/>
        <w:jc w:val="center"/>
        <w:outlineLvl w:val="1"/>
        <w:rPr>
          <w:rFonts w:hint="eastAsia" w:ascii="宋体" w:hAnsi="宋体" w:eastAsia="宋体" w:cs="宋体"/>
          <w:b/>
          <w:color w:val="auto"/>
          <w:kern w:val="2"/>
          <w:sz w:val="24"/>
          <w:szCs w:val="24"/>
          <w:lang w:eastAsia="zh-CN"/>
        </w:rPr>
      </w:pPr>
      <w:bookmarkStart w:id="123" w:name="_Toc217446074"/>
      <w:bookmarkStart w:id="124" w:name="_Toc183682380"/>
      <w:bookmarkStart w:id="125" w:name="_Toc183582243"/>
      <w:r>
        <w:rPr>
          <w:rFonts w:hint="eastAsia" w:ascii="宋体" w:hAnsi="宋体" w:eastAsia="宋体" w:cs="宋体"/>
          <w:b/>
          <w:color w:val="auto"/>
          <w:kern w:val="2"/>
          <w:sz w:val="24"/>
          <w:szCs w:val="24"/>
          <w:lang w:eastAsia="zh-CN"/>
        </w:rPr>
        <w:t>七、投标纪律要求</w:t>
      </w:r>
      <w:bookmarkEnd w:id="123"/>
    </w:p>
    <w:p w14:paraId="1CF5EB5B">
      <w:pPr>
        <w:widowControl w:val="0"/>
        <w:adjustRightInd/>
        <w:snapToGrid/>
        <w:spacing w:line="560" w:lineRule="exact"/>
        <w:ind w:firstLine="480" w:firstLineChars="200"/>
        <w:jc w:val="both"/>
        <w:textAlignment w:val="auto"/>
        <w:rPr>
          <w:rFonts w:hint="eastAsia" w:ascii="宋体" w:hAnsi="宋体" w:eastAsia="宋体" w:cs="宋体"/>
          <w:color w:val="auto"/>
          <w:kern w:val="2"/>
          <w:sz w:val="24"/>
          <w:szCs w:val="24"/>
          <w:lang w:eastAsia="zh-CN"/>
        </w:rPr>
      </w:pPr>
      <w:bookmarkStart w:id="126" w:name="_Toc217446075"/>
      <w:r>
        <w:rPr>
          <w:rFonts w:hint="eastAsia" w:ascii="宋体" w:hAnsi="宋体" w:eastAsia="宋体" w:cs="宋体"/>
          <w:color w:val="auto"/>
          <w:kern w:val="2"/>
          <w:sz w:val="24"/>
          <w:szCs w:val="24"/>
          <w:lang w:eastAsia="zh-CN"/>
        </w:rPr>
        <w:t>29.投标人不得具有的情形</w:t>
      </w:r>
      <w:bookmarkEnd w:id="126"/>
    </w:p>
    <w:p w14:paraId="2152B40A">
      <w:pPr>
        <w:widowControl w:val="0"/>
        <w:spacing w:line="56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投标人参加投标不得有下列情形：</w:t>
      </w:r>
    </w:p>
    <w:p w14:paraId="7CD19D06">
      <w:pPr>
        <w:widowControl w:val="0"/>
        <w:adjustRightInd/>
        <w:snapToGrid/>
        <w:spacing w:line="560" w:lineRule="exact"/>
        <w:ind w:firstLine="480" w:firstLineChars="200"/>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（1）提供虚假材料谋取中标；</w:t>
      </w:r>
    </w:p>
    <w:p w14:paraId="1081F4A1">
      <w:pPr>
        <w:widowControl w:val="0"/>
        <w:adjustRightInd/>
        <w:snapToGrid/>
        <w:spacing w:line="560" w:lineRule="exact"/>
        <w:ind w:firstLine="480" w:firstLineChars="200"/>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（2）采取不正当手段诋毁、排挤其他投标人；</w:t>
      </w:r>
    </w:p>
    <w:p w14:paraId="64928B4B">
      <w:pPr>
        <w:widowControl w:val="0"/>
        <w:adjustRightInd/>
        <w:snapToGrid/>
        <w:spacing w:line="560" w:lineRule="exact"/>
        <w:ind w:firstLine="480" w:firstLineChars="200"/>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（3）与采购人、其他投标人恶意串通；</w:t>
      </w:r>
    </w:p>
    <w:p w14:paraId="64F6AF09">
      <w:pPr>
        <w:widowControl w:val="0"/>
        <w:spacing w:line="56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（4）向采购人、评标委员会成员行贿或者提供其他不正当利益；</w:t>
      </w:r>
    </w:p>
    <w:p w14:paraId="66A5D099">
      <w:pPr>
        <w:widowControl w:val="0"/>
        <w:spacing w:line="56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（5）在招标过程中与采购人进行协商谈判；</w:t>
      </w:r>
    </w:p>
    <w:p w14:paraId="02405FBE">
      <w:pPr>
        <w:widowControl w:val="0"/>
        <w:spacing w:line="56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（6）拒绝有关部门的监督检查或者向监督检查部门提供虚假情况。</w:t>
      </w:r>
    </w:p>
    <w:p w14:paraId="7AA5AD8C">
      <w:pPr>
        <w:widowControl w:val="0"/>
        <w:spacing w:line="56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有上述情形之一的投标人，属于不合格投标人，其投标或中标资格将被取消。</w:t>
      </w:r>
    </w:p>
    <w:p w14:paraId="40FFD689">
      <w:pPr>
        <w:keepLines/>
        <w:widowControl w:val="0"/>
        <w:spacing w:line="560" w:lineRule="exact"/>
        <w:ind w:firstLine="482" w:firstLineChars="200"/>
        <w:jc w:val="center"/>
        <w:outlineLvl w:val="1"/>
        <w:rPr>
          <w:rFonts w:hint="eastAsia" w:ascii="宋体" w:hAnsi="宋体" w:eastAsia="宋体" w:cs="宋体"/>
          <w:b/>
          <w:color w:val="auto"/>
          <w:kern w:val="2"/>
          <w:sz w:val="24"/>
          <w:szCs w:val="24"/>
          <w:lang w:eastAsia="zh-CN"/>
        </w:rPr>
      </w:pPr>
      <w:bookmarkStart w:id="127" w:name="_Toc217446076"/>
      <w:r>
        <w:rPr>
          <w:rFonts w:hint="eastAsia" w:ascii="宋体" w:hAnsi="宋体" w:eastAsia="宋体" w:cs="宋体"/>
          <w:b/>
          <w:color w:val="auto"/>
          <w:kern w:val="2"/>
          <w:sz w:val="24"/>
          <w:szCs w:val="24"/>
          <w:lang w:eastAsia="zh-CN"/>
        </w:rPr>
        <w:t>八、</w:t>
      </w:r>
      <w:bookmarkEnd w:id="127"/>
      <w:r>
        <w:rPr>
          <w:rFonts w:hint="eastAsia" w:ascii="宋体" w:hAnsi="宋体" w:eastAsia="宋体" w:cs="宋体"/>
          <w:b/>
          <w:color w:val="auto"/>
          <w:kern w:val="2"/>
          <w:sz w:val="24"/>
          <w:szCs w:val="24"/>
          <w:lang w:eastAsia="zh-CN"/>
        </w:rPr>
        <w:t>合同价款支付</w:t>
      </w:r>
    </w:p>
    <w:p w14:paraId="31D62E4C">
      <w:pPr>
        <w:widowControl w:val="0"/>
        <w:adjustRightInd/>
        <w:snapToGrid/>
        <w:spacing w:line="560" w:lineRule="exact"/>
        <w:ind w:firstLine="482" w:firstLineChars="200"/>
        <w:jc w:val="both"/>
        <w:textAlignment w:val="auto"/>
        <w:rPr>
          <w:rFonts w:hint="eastAsia" w:ascii="宋体" w:hAnsi="宋体" w:eastAsia="宋体" w:cs="宋体"/>
          <w:b/>
          <w:bCs/>
          <w:color w:val="auto"/>
          <w:kern w:val="2"/>
          <w:sz w:val="24"/>
          <w:szCs w:val="24"/>
          <w:lang w:eastAsia="zh-CN"/>
        </w:rPr>
      </w:pPr>
      <w:bookmarkStart w:id="128" w:name="_Toc217446077"/>
      <w:r>
        <w:rPr>
          <w:rFonts w:hint="eastAsia" w:ascii="宋体" w:hAnsi="宋体" w:eastAsia="宋体" w:cs="宋体"/>
          <w:b/>
          <w:bCs/>
          <w:color w:val="auto"/>
          <w:kern w:val="2"/>
          <w:sz w:val="24"/>
          <w:szCs w:val="24"/>
          <w:lang w:eastAsia="zh-CN"/>
        </w:rPr>
        <w:t>30.申请支付</w:t>
      </w:r>
      <w:bookmarkEnd w:id="128"/>
    </w:p>
    <w:p w14:paraId="00BADC00">
      <w:pPr>
        <w:widowControl w:val="0"/>
        <w:adjustRightInd/>
        <w:snapToGrid/>
        <w:spacing w:line="560" w:lineRule="exact"/>
        <w:ind w:firstLine="480" w:firstLineChars="200"/>
        <w:jc w:val="both"/>
        <w:textAlignment w:val="auto"/>
        <w:rPr>
          <w:rFonts w:hint="eastAsia" w:ascii="宋体" w:hAnsi="宋体" w:eastAsia="宋体" w:cs="宋体"/>
          <w:color w:val="auto"/>
          <w:kern w:val="2"/>
          <w:sz w:val="24"/>
          <w:szCs w:val="24"/>
          <w:lang w:eastAsia="zh-CN"/>
        </w:rPr>
      </w:pPr>
      <w:bookmarkStart w:id="129" w:name="_Toc217446078"/>
      <w:r>
        <w:rPr>
          <w:rFonts w:hint="eastAsia" w:ascii="宋体" w:hAnsi="宋体" w:eastAsia="宋体" w:cs="宋体"/>
          <w:color w:val="auto"/>
          <w:kern w:val="2"/>
          <w:sz w:val="24"/>
          <w:szCs w:val="24"/>
          <w:lang w:eastAsia="zh-CN"/>
        </w:rPr>
        <w:t>采购人应当按照政府采购合同规定，及时向中标供应商支付采购资金。</w:t>
      </w:r>
    </w:p>
    <w:p w14:paraId="1B969CEE">
      <w:pPr>
        <w:widowControl w:val="0"/>
        <w:adjustRightInd/>
        <w:snapToGrid/>
        <w:spacing w:line="560" w:lineRule="exact"/>
        <w:ind w:firstLine="480" w:firstLineChars="200"/>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政府采购项目资金支付程序，按照国家有关财政资金支付管理的规定执行。</w:t>
      </w:r>
    </w:p>
    <w:p w14:paraId="7C0F2163">
      <w:pPr>
        <w:keepLines/>
        <w:widowControl w:val="0"/>
        <w:spacing w:line="560" w:lineRule="exact"/>
        <w:ind w:firstLine="482" w:firstLineChars="200"/>
        <w:jc w:val="center"/>
        <w:outlineLvl w:val="1"/>
        <w:rPr>
          <w:rFonts w:hint="eastAsia" w:ascii="宋体" w:hAnsi="宋体" w:eastAsia="宋体" w:cs="宋体"/>
          <w:b/>
          <w:color w:val="auto"/>
          <w:kern w:val="2"/>
          <w:sz w:val="24"/>
          <w:szCs w:val="24"/>
          <w:lang w:eastAsia="zh-CN"/>
        </w:rPr>
      </w:pPr>
      <w:r>
        <w:rPr>
          <w:rFonts w:hint="eastAsia" w:ascii="宋体" w:hAnsi="宋体" w:eastAsia="宋体" w:cs="宋体"/>
          <w:b/>
          <w:color w:val="auto"/>
          <w:kern w:val="2"/>
          <w:sz w:val="24"/>
          <w:szCs w:val="24"/>
          <w:lang w:eastAsia="zh-CN"/>
        </w:rPr>
        <w:t>九、质疑和投诉</w:t>
      </w:r>
      <w:bookmarkEnd w:id="129"/>
      <w:bookmarkStart w:id="130" w:name="_Toc217446079"/>
    </w:p>
    <w:p w14:paraId="6B80D0E1">
      <w:pPr>
        <w:widowControl w:val="0"/>
        <w:spacing w:line="56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3</w:t>
      </w:r>
      <w:bookmarkEnd w:id="130"/>
      <w:r>
        <w:rPr>
          <w:rFonts w:hint="eastAsia" w:ascii="宋体" w:hAnsi="宋体" w:eastAsia="宋体" w:cs="宋体"/>
          <w:color w:val="auto"/>
          <w:kern w:val="2"/>
          <w:sz w:val="24"/>
          <w:szCs w:val="24"/>
          <w:lang w:eastAsia="zh-CN"/>
        </w:rPr>
        <w:t>1．质疑、投诉的接收和处理严格按照《中华人共和国政府采购法</w:t>
      </w:r>
      <w:bookmarkEnd w:id="124"/>
      <w:bookmarkEnd w:id="125"/>
      <w:r>
        <w:rPr>
          <w:rFonts w:hint="eastAsia" w:ascii="宋体" w:hAnsi="宋体" w:eastAsia="宋体" w:cs="宋体"/>
          <w:color w:val="auto"/>
          <w:kern w:val="2"/>
          <w:sz w:val="24"/>
          <w:szCs w:val="24"/>
          <w:lang w:eastAsia="zh-CN"/>
        </w:rPr>
        <w:t>》《政府采购质疑和投诉办法》《财政部关于加强政府采购投标人投诉受理审查工作的通知》的规定办理。</w:t>
      </w:r>
    </w:p>
    <w:p w14:paraId="47DA3E5A">
      <w:pPr>
        <w:widowControl w:val="0"/>
        <w:spacing w:line="560" w:lineRule="exact"/>
        <w:ind w:firstLine="480" w:firstLineChars="200"/>
        <w:jc w:val="both"/>
        <w:rPr>
          <w:rFonts w:hint="eastAsia" w:ascii="宋体" w:hAnsi="宋体" w:eastAsia="宋体" w:cs="宋体"/>
          <w:color w:val="auto"/>
          <w:kern w:val="2"/>
          <w:sz w:val="24"/>
          <w:szCs w:val="24"/>
          <w:shd w:val="clear" w:color="auto" w:fill="FFFFFF"/>
          <w:lang w:eastAsia="zh-CN"/>
        </w:rPr>
      </w:pPr>
      <w:r>
        <w:rPr>
          <w:rFonts w:hint="eastAsia" w:ascii="宋体" w:hAnsi="宋体" w:eastAsia="宋体" w:cs="宋体"/>
          <w:color w:val="auto"/>
          <w:kern w:val="2"/>
          <w:sz w:val="24"/>
          <w:szCs w:val="24"/>
          <w:lang w:eastAsia="zh-CN"/>
        </w:rPr>
        <w:t>31.1</w:t>
      </w:r>
      <w:r>
        <w:rPr>
          <w:rFonts w:hint="eastAsia" w:ascii="宋体" w:hAnsi="宋体" w:eastAsia="宋体" w:cs="宋体"/>
          <w:color w:val="auto"/>
          <w:kern w:val="2"/>
          <w:sz w:val="24"/>
          <w:szCs w:val="24"/>
          <w:lang w:val="en-US" w:eastAsia="zh-CN"/>
        </w:rPr>
        <w:t xml:space="preserve"> </w:t>
      </w:r>
      <w:r>
        <w:rPr>
          <w:rFonts w:hint="eastAsia" w:ascii="宋体" w:hAnsi="宋体" w:eastAsia="宋体" w:cs="宋体"/>
          <w:color w:val="auto"/>
          <w:kern w:val="2"/>
          <w:sz w:val="24"/>
          <w:szCs w:val="24"/>
          <w:lang w:eastAsia="zh-CN"/>
        </w:rPr>
        <w:t>投标人认为招标文件、采购过程和中标、成交结果使自己的权益受到损害的，可以在知道或者应知其权益受到损害之日起七个工作日内，以书面形式向采购人提出质疑。针对同一采购环节的质疑应一次性提出，提出质疑的投标人应当是参与所质疑项目招标活动的投标人。</w:t>
      </w:r>
    </w:p>
    <w:p w14:paraId="1A96CADB">
      <w:pPr>
        <w:widowControl w:val="0"/>
        <w:spacing w:line="56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31.2</w:t>
      </w:r>
      <w:r>
        <w:rPr>
          <w:rFonts w:hint="eastAsia" w:ascii="宋体" w:hAnsi="宋体" w:eastAsia="宋体" w:cs="宋体"/>
          <w:color w:val="auto"/>
          <w:kern w:val="2"/>
          <w:sz w:val="24"/>
          <w:szCs w:val="24"/>
          <w:lang w:val="en-US" w:eastAsia="zh-CN"/>
        </w:rPr>
        <w:t xml:space="preserve"> </w:t>
      </w:r>
      <w:r>
        <w:rPr>
          <w:rFonts w:hint="eastAsia" w:ascii="宋体" w:hAnsi="宋体" w:eastAsia="宋体" w:cs="宋体"/>
          <w:color w:val="auto"/>
          <w:kern w:val="2"/>
          <w:sz w:val="24"/>
          <w:szCs w:val="24"/>
          <w:lang w:eastAsia="zh-CN"/>
        </w:rPr>
        <w:t>潜在投标人已依法获取其可质疑的招标文件的，可以对该文件提出质疑。对招标文件提出质疑的，应当在获取招标文件或者招标文件公告期限届满之日起7个工作日内提出。</w:t>
      </w:r>
    </w:p>
    <w:p w14:paraId="25F0E3F7">
      <w:pPr>
        <w:widowControl w:val="0"/>
        <w:spacing w:line="56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31.3</w:t>
      </w:r>
      <w:r>
        <w:rPr>
          <w:rFonts w:hint="eastAsia" w:ascii="宋体" w:hAnsi="宋体" w:eastAsia="宋体" w:cs="宋体"/>
          <w:color w:val="auto"/>
          <w:kern w:val="2"/>
          <w:sz w:val="24"/>
          <w:szCs w:val="24"/>
          <w:lang w:val="en-US" w:eastAsia="zh-CN"/>
        </w:rPr>
        <w:t xml:space="preserve"> </w:t>
      </w:r>
      <w:r>
        <w:rPr>
          <w:rFonts w:hint="eastAsia" w:ascii="宋体" w:hAnsi="宋体" w:eastAsia="宋体" w:cs="宋体"/>
          <w:color w:val="auto"/>
          <w:kern w:val="2"/>
          <w:sz w:val="24"/>
          <w:szCs w:val="24"/>
          <w:lang w:eastAsia="zh-CN"/>
        </w:rPr>
        <w:t>投标人可以委托代理人进行质疑和投诉。其授权委托书应当载明代理人的姓名或者名称、代理事项、具体权限、期限和相关事项。投标人为自然人的，应当由本人签字；投标人为法人或者其他组织的，应当由法定代表人、主要负责人签字或者盖章，并加盖公章。</w:t>
      </w:r>
    </w:p>
    <w:p w14:paraId="25663B3F">
      <w:pPr>
        <w:widowControl w:val="0"/>
        <w:spacing w:line="56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代理人提出质疑和投诉，应当提交投标人签署的授权委托书。</w:t>
      </w:r>
    </w:p>
    <w:p w14:paraId="5DFBA26C">
      <w:pPr>
        <w:widowControl w:val="0"/>
        <w:spacing w:line="56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31.4</w:t>
      </w:r>
      <w:r>
        <w:rPr>
          <w:rFonts w:hint="eastAsia" w:ascii="宋体" w:hAnsi="宋体" w:eastAsia="宋体" w:cs="宋体"/>
          <w:color w:val="auto"/>
          <w:kern w:val="2"/>
          <w:sz w:val="24"/>
          <w:szCs w:val="24"/>
          <w:lang w:val="en-US" w:eastAsia="zh-CN"/>
        </w:rPr>
        <w:t xml:space="preserve"> </w:t>
      </w:r>
      <w:r>
        <w:rPr>
          <w:rFonts w:hint="eastAsia" w:ascii="宋体" w:hAnsi="宋体" w:eastAsia="宋体" w:cs="宋体"/>
          <w:color w:val="auto"/>
          <w:kern w:val="2"/>
          <w:sz w:val="24"/>
          <w:szCs w:val="24"/>
          <w:lang w:eastAsia="zh-CN"/>
        </w:rPr>
        <w:t>投标人提出质疑应当提交质疑函和必要的证明材料。质疑函应当包括下列内容：</w:t>
      </w:r>
    </w:p>
    <w:p w14:paraId="1992EE77">
      <w:pPr>
        <w:widowControl w:val="0"/>
        <w:spacing w:line="56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（一）投标人的姓名或者名称、地址、邮编、联系人及联系电话；</w:t>
      </w:r>
    </w:p>
    <w:p w14:paraId="34D30DEB">
      <w:pPr>
        <w:widowControl w:val="0"/>
        <w:spacing w:line="56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（二）质疑项目的名称、编号；</w:t>
      </w:r>
    </w:p>
    <w:p w14:paraId="1FC9BD2D">
      <w:pPr>
        <w:widowControl w:val="0"/>
        <w:spacing w:line="56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（三）具体、明确的质疑事项和与质疑事项相关的请求；</w:t>
      </w:r>
    </w:p>
    <w:p w14:paraId="196B21CB">
      <w:pPr>
        <w:widowControl w:val="0"/>
        <w:spacing w:line="56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（四）事实依据；</w:t>
      </w:r>
    </w:p>
    <w:p w14:paraId="3DFC364C">
      <w:pPr>
        <w:widowControl w:val="0"/>
        <w:spacing w:line="56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（五）必要的法律依据；</w:t>
      </w:r>
    </w:p>
    <w:p w14:paraId="0FBBDB60">
      <w:pPr>
        <w:widowControl w:val="0"/>
        <w:spacing w:line="56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（六）提出质疑的日期。</w:t>
      </w:r>
    </w:p>
    <w:p w14:paraId="34DBBC94">
      <w:pPr>
        <w:widowControl w:val="0"/>
        <w:spacing w:line="56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投标人为自然人的，应当由本人签字；投标人为法人或者其他组织的，应当由法定代表人、主要负责人或者其被授权人签字或盖章，并加盖公章。</w:t>
      </w:r>
    </w:p>
    <w:p w14:paraId="6CDE5746">
      <w:pPr>
        <w:widowControl w:val="0"/>
        <w:adjustRightInd/>
        <w:snapToGrid/>
        <w:spacing w:line="560" w:lineRule="exact"/>
        <w:ind w:firstLine="480" w:firstLineChars="200"/>
        <w:jc w:val="both"/>
        <w:textAlignment w:val="auto"/>
        <w:rPr>
          <w:rFonts w:hint="default" w:ascii="宋体" w:hAnsi="宋体" w:eastAsia="宋体" w:cs="宋体"/>
          <w:color w:val="auto"/>
          <w:kern w:val="2"/>
          <w:sz w:val="24"/>
          <w:szCs w:val="24"/>
          <w:lang w:val="en-US" w:eastAsia="zh-CN"/>
        </w:rPr>
      </w:pPr>
      <w:r>
        <w:rPr>
          <w:rFonts w:hint="eastAsia" w:ascii="宋体" w:hAnsi="宋体" w:eastAsia="宋体" w:cs="宋体"/>
          <w:color w:val="auto"/>
          <w:kern w:val="2"/>
          <w:sz w:val="24"/>
          <w:szCs w:val="24"/>
          <w:lang w:eastAsia="zh-CN"/>
        </w:rPr>
        <w:t>接收质疑函的方式：书面形式、</w:t>
      </w:r>
      <w:r>
        <w:rPr>
          <w:rFonts w:hint="eastAsia" w:ascii="宋体" w:hAnsi="宋体" w:eastAsia="宋体" w:cs="宋体"/>
          <w:color w:val="auto"/>
          <w:kern w:val="2"/>
          <w:sz w:val="24"/>
          <w:szCs w:val="24"/>
          <w:lang w:val="en-US" w:eastAsia="zh-CN"/>
        </w:rPr>
        <w:t>当面递交</w:t>
      </w:r>
    </w:p>
    <w:p w14:paraId="28C70CA5">
      <w:pPr>
        <w:widowControl w:val="0"/>
        <w:spacing w:line="56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联系部门：</w:t>
      </w:r>
      <w:r>
        <w:rPr>
          <w:rFonts w:hint="eastAsia" w:ascii="宋体" w:hAnsi="宋体" w:eastAsia="宋体" w:cs="宋体"/>
          <w:color w:val="auto"/>
          <w:sz w:val="24"/>
          <w:szCs w:val="24"/>
          <w:lang w:eastAsia="zh-CN"/>
        </w:rPr>
        <w:t>新疆金正建设工程管理有限公司</w:t>
      </w:r>
    </w:p>
    <w:p w14:paraId="773CE54A">
      <w:pPr>
        <w:pStyle w:val="87"/>
        <w:snapToGrid w:val="0"/>
        <w:spacing w:line="560" w:lineRule="exact"/>
        <w:ind w:firstLine="480" w:firstLineChars="200"/>
        <w:jc w:val="both"/>
        <w:rPr>
          <w:rFonts w:hint="eastAsia" w:ascii="宋体" w:hAnsi="宋体" w:cs="宋体"/>
          <w:bCs/>
          <w:color w:val="auto"/>
          <w:kern w:val="2"/>
          <w:szCs w:val="24"/>
        </w:rPr>
      </w:pPr>
      <w:r>
        <w:rPr>
          <w:rFonts w:hint="eastAsia" w:ascii="宋体" w:hAnsi="宋体" w:cs="宋体"/>
          <w:color w:val="auto"/>
          <w:kern w:val="2"/>
          <w:szCs w:val="24"/>
        </w:rPr>
        <w:t>联系人及联系电话：</w:t>
      </w:r>
      <w:r>
        <w:rPr>
          <w:rFonts w:hint="eastAsia" w:ascii="宋体" w:hAnsi="宋体" w:cs="宋体"/>
          <w:color w:val="auto"/>
          <w:szCs w:val="24"/>
          <w:lang w:val="en-US" w:eastAsia="zh-CN"/>
        </w:rPr>
        <w:t>顾玮婷</w:t>
      </w:r>
      <w:r>
        <w:rPr>
          <w:rFonts w:hint="eastAsia" w:ascii="宋体" w:hAnsi="宋体" w:cs="宋体"/>
          <w:color w:val="auto"/>
          <w:szCs w:val="24"/>
          <w:lang w:eastAsia="zh-CN"/>
        </w:rPr>
        <w:t>、施霞</w:t>
      </w:r>
      <w:r>
        <w:rPr>
          <w:rFonts w:hint="eastAsia" w:ascii="宋体" w:hAnsi="宋体" w:cs="宋体"/>
          <w:color w:val="auto"/>
          <w:szCs w:val="24"/>
        </w:rPr>
        <w:t xml:space="preserve"> </w:t>
      </w:r>
      <w:r>
        <w:rPr>
          <w:rFonts w:hint="eastAsia" w:ascii="宋体" w:hAnsi="宋体" w:cs="宋体"/>
          <w:color w:val="auto"/>
          <w:szCs w:val="24"/>
          <w:lang w:eastAsia="zh-CN"/>
        </w:rPr>
        <w:t>15699198804、18999120355</w:t>
      </w:r>
      <w:r>
        <w:rPr>
          <w:rFonts w:hint="eastAsia" w:ascii="宋体" w:hAnsi="宋体" w:cs="宋体"/>
          <w:color w:val="auto"/>
          <w:szCs w:val="24"/>
        </w:rPr>
        <w:t>、</w:t>
      </w:r>
    </w:p>
    <w:p w14:paraId="76352F6E">
      <w:pPr>
        <w:widowControl w:val="0"/>
        <w:spacing w:line="56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通讯地址：乌鲁木齐市水磨沟区南湖南路 66 号水清木华精品社区 A 栋 6 层</w:t>
      </w:r>
    </w:p>
    <w:p w14:paraId="7169905C">
      <w:pPr>
        <w:widowControl w:val="0"/>
        <w:spacing w:line="56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31.5</w:t>
      </w:r>
      <w:r>
        <w:rPr>
          <w:rFonts w:hint="eastAsia" w:ascii="宋体" w:hAnsi="宋体" w:eastAsia="宋体" w:cs="宋体"/>
          <w:color w:val="auto"/>
          <w:kern w:val="2"/>
          <w:sz w:val="24"/>
          <w:szCs w:val="24"/>
          <w:lang w:val="en-US" w:eastAsia="zh-CN"/>
        </w:rPr>
        <w:t xml:space="preserve"> </w:t>
      </w:r>
      <w:r>
        <w:rPr>
          <w:rFonts w:hint="eastAsia" w:ascii="宋体" w:hAnsi="宋体" w:eastAsia="宋体" w:cs="宋体"/>
          <w:color w:val="auto"/>
          <w:kern w:val="2"/>
          <w:sz w:val="24"/>
          <w:szCs w:val="24"/>
          <w:lang w:eastAsia="zh-CN"/>
        </w:rPr>
        <w:t>质疑投标人对采购人、采购代理机构的答复不满意，或者采购人、采购代理机构未在规定时间内作出答复的，可以在答复期满后15个工作日内向本办法第六条规定的财政部门提起投诉。</w:t>
      </w:r>
    </w:p>
    <w:p w14:paraId="79D40DEF">
      <w:pPr>
        <w:widowControl w:val="0"/>
        <w:spacing w:line="56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31.6</w:t>
      </w:r>
      <w:r>
        <w:rPr>
          <w:rFonts w:hint="eastAsia" w:ascii="宋体" w:hAnsi="宋体" w:eastAsia="宋体" w:cs="宋体"/>
          <w:color w:val="auto"/>
          <w:kern w:val="2"/>
          <w:sz w:val="24"/>
          <w:szCs w:val="24"/>
          <w:lang w:val="en-US" w:eastAsia="zh-CN"/>
        </w:rPr>
        <w:t xml:space="preserve"> </w:t>
      </w:r>
      <w:r>
        <w:rPr>
          <w:rFonts w:hint="eastAsia" w:ascii="宋体" w:hAnsi="宋体" w:eastAsia="宋体" w:cs="宋体"/>
          <w:color w:val="auto"/>
          <w:kern w:val="2"/>
          <w:sz w:val="24"/>
          <w:szCs w:val="24"/>
          <w:lang w:eastAsia="zh-CN"/>
        </w:rPr>
        <w:t>投诉人投诉时，应当提交投诉书和必要的证明材料，并按照被投诉采购人、采购代理机构（以下简称被投诉人）和与投诉事项有关的投标人数量提供投诉书的副本。投诉书应当包括下列内容：</w:t>
      </w:r>
    </w:p>
    <w:p w14:paraId="5727750C">
      <w:pPr>
        <w:widowControl w:val="0"/>
        <w:spacing w:line="56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（一）投诉人和被投诉人的姓名或者名称、通讯地址、邮编、联系人及联系电话；</w:t>
      </w:r>
    </w:p>
    <w:p w14:paraId="1FC22481">
      <w:pPr>
        <w:widowControl w:val="0"/>
        <w:spacing w:line="56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（二）质疑和质疑答复情况说明及相关证明材料；</w:t>
      </w:r>
    </w:p>
    <w:p w14:paraId="75FF25DA">
      <w:pPr>
        <w:widowControl w:val="0"/>
        <w:spacing w:line="56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（三）具体、明确的投诉事项和与投诉事项相关的投诉请求；</w:t>
      </w:r>
    </w:p>
    <w:p w14:paraId="585C16DA">
      <w:pPr>
        <w:widowControl w:val="0"/>
        <w:spacing w:line="56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（四）事实依据；</w:t>
      </w:r>
    </w:p>
    <w:p w14:paraId="5FE5905F">
      <w:pPr>
        <w:widowControl w:val="0"/>
        <w:spacing w:line="56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（五）法律依据；</w:t>
      </w:r>
    </w:p>
    <w:p w14:paraId="04E06AED">
      <w:pPr>
        <w:widowControl w:val="0"/>
        <w:spacing w:line="56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（六）提起投诉的日期。</w:t>
      </w:r>
    </w:p>
    <w:p w14:paraId="3072B47B">
      <w:pPr>
        <w:widowControl w:val="0"/>
        <w:spacing w:line="56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投诉人为自然人的，应当由本人签字；投诉人为法人或者其他组织的，应当由法定代表人、主要负责人，或者其授权代表签字或者盖章，并加盖公章。</w:t>
      </w:r>
    </w:p>
    <w:p w14:paraId="3B8296DE">
      <w:pPr>
        <w:widowControl w:val="0"/>
        <w:spacing w:line="56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31.7</w:t>
      </w:r>
      <w:r>
        <w:rPr>
          <w:rFonts w:hint="eastAsia" w:ascii="宋体" w:hAnsi="宋体" w:eastAsia="宋体" w:cs="宋体"/>
          <w:color w:val="auto"/>
          <w:kern w:val="2"/>
          <w:sz w:val="24"/>
          <w:szCs w:val="24"/>
          <w:lang w:val="en-US" w:eastAsia="zh-CN"/>
        </w:rPr>
        <w:t xml:space="preserve"> </w:t>
      </w:r>
      <w:r>
        <w:rPr>
          <w:rFonts w:hint="eastAsia" w:ascii="宋体" w:hAnsi="宋体" w:eastAsia="宋体" w:cs="宋体"/>
          <w:color w:val="auto"/>
          <w:kern w:val="2"/>
          <w:sz w:val="24"/>
          <w:szCs w:val="24"/>
          <w:lang w:eastAsia="zh-CN"/>
        </w:rPr>
        <w:t>投诉人应当根据《政府采购质疑和投诉办法》第七条第二款规定的信息内容，并按照其规定的方式提起投诉。</w:t>
      </w:r>
    </w:p>
    <w:p w14:paraId="1BE2A7BB">
      <w:pPr>
        <w:widowControl w:val="0"/>
        <w:spacing w:line="56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投诉人提起投诉应当符合下列条件：</w:t>
      </w:r>
    </w:p>
    <w:p w14:paraId="614965AE">
      <w:pPr>
        <w:widowControl w:val="0"/>
        <w:spacing w:line="56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（一）提起投诉前已依法进行质疑；</w:t>
      </w:r>
    </w:p>
    <w:p w14:paraId="57CEBF9E">
      <w:pPr>
        <w:widowControl w:val="0"/>
        <w:spacing w:line="56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（二）投诉书内容符合本办法的规定；</w:t>
      </w:r>
    </w:p>
    <w:p w14:paraId="3199F075">
      <w:pPr>
        <w:widowControl w:val="0"/>
        <w:spacing w:line="56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（三）在投诉有效期限内提起投诉；</w:t>
      </w:r>
    </w:p>
    <w:p w14:paraId="79AA8D18">
      <w:pPr>
        <w:widowControl w:val="0"/>
        <w:spacing w:line="56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（四）同一投诉事项未经财政部门投诉处理；</w:t>
      </w:r>
    </w:p>
    <w:p w14:paraId="1EF3D4B2">
      <w:pPr>
        <w:widowControl w:val="0"/>
        <w:spacing w:line="56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（五）财政部规定的其他条件。</w:t>
      </w:r>
    </w:p>
    <w:p w14:paraId="0B3377A0">
      <w:pPr>
        <w:widowControl w:val="0"/>
        <w:spacing w:line="560" w:lineRule="exact"/>
        <w:ind w:firstLine="420"/>
        <w:jc w:val="both"/>
        <w:rPr>
          <w:rFonts w:hint="eastAsia" w:ascii="宋体" w:hAnsi="宋体" w:eastAsia="宋体" w:cs="宋体"/>
          <w:color w:val="auto"/>
          <w:kern w:val="2"/>
          <w:sz w:val="24"/>
          <w:szCs w:val="24"/>
          <w:lang w:eastAsia="zh-CN"/>
        </w:rPr>
      </w:pPr>
    </w:p>
    <w:p w14:paraId="5080E920">
      <w:pPr>
        <w:widowControl w:val="0"/>
        <w:adjustRightInd/>
        <w:snapToGrid/>
        <w:spacing w:line="560" w:lineRule="exact"/>
        <w:jc w:val="center"/>
        <w:textAlignment w:val="auto"/>
        <w:rPr>
          <w:rFonts w:hint="eastAsia" w:ascii="宋体" w:hAnsi="宋体" w:eastAsia="宋体" w:cs="宋体"/>
          <w:b/>
          <w:bCs/>
          <w:color w:val="auto"/>
          <w:kern w:val="2"/>
          <w:sz w:val="24"/>
          <w:szCs w:val="24"/>
          <w:lang w:eastAsia="zh-CN"/>
        </w:rPr>
      </w:pPr>
      <w:r>
        <w:rPr>
          <w:rFonts w:hint="eastAsia" w:ascii="宋体" w:hAnsi="宋体" w:eastAsia="宋体" w:cs="宋体"/>
          <w:b/>
          <w:bCs/>
          <w:color w:val="auto"/>
          <w:kern w:val="2"/>
          <w:sz w:val="24"/>
          <w:szCs w:val="24"/>
          <w:lang w:eastAsia="zh-CN"/>
        </w:rPr>
        <w:br w:type="page"/>
      </w:r>
      <w:r>
        <w:rPr>
          <w:rFonts w:hint="eastAsia" w:ascii="宋体" w:hAnsi="宋体" w:eastAsia="宋体" w:cs="宋体"/>
          <w:b/>
          <w:bCs/>
          <w:color w:val="auto"/>
          <w:kern w:val="2"/>
          <w:sz w:val="24"/>
          <w:szCs w:val="24"/>
          <w:lang w:eastAsia="zh-CN"/>
        </w:rPr>
        <w:t>质疑函范本</w:t>
      </w:r>
    </w:p>
    <w:p w14:paraId="7C7C4CB5">
      <w:pPr>
        <w:widowControl w:val="0"/>
        <w:spacing w:line="560" w:lineRule="exact"/>
        <w:ind w:firstLine="480" w:firstLineChars="200"/>
        <w:jc w:val="both"/>
        <w:textAlignment w:val="auto"/>
        <w:rPr>
          <w:rFonts w:hint="eastAsia" w:ascii="宋体" w:hAnsi="宋体" w:eastAsia="宋体" w:cs="宋体"/>
          <w:bCs/>
          <w:color w:val="auto"/>
          <w:kern w:val="2"/>
          <w:sz w:val="24"/>
          <w:szCs w:val="24"/>
          <w:lang w:eastAsia="zh-CN"/>
        </w:rPr>
      </w:pPr>
      <w:r>
        <w:rPr>
          <w:rFonts w:hint="eastAsia" w:ascii="宋体" w:hAnsi="宋体" w:eastAsia="宋体" w:cs="宋体"/>
          <w:bCs/>
          <w:color w:val="auto"/>
          <w:kern w:val="2"/>
          <w:sz w:val="24"/>
          <w:szCs w:val="24"/>
          <w:lang w:eastAsia="zh-CN"/>
        </w:rPr>
        <w:t>一、质疑</w:t>
      </w:r>
      <w:r>
        <w:rPr>
          <w:rFonts w:hint="eastAsia" w:ascii="宋体" w:hAnsi="宋体" w:eastAsia="宋体" w:cs="宋体"/>
          <w:color w:val="auto"/>
          <w:kern w:val="2"/>
          <w:sz w:val="24"/>
          <w:szCs w:val="24"/>
          <w:shd w:val="clear" w:color="auto" w:fill="FFFFFF"/>
          <w:lang w:eastAsia="zh-CN"/>
        </w:rPr>
        <w:t>投标人</w:t>
      </w:r>
      <w:r>
        <w:rPr>
          <w:rFonts w:hint="eastAsia" w:ascii="宋体" w:hAnsi="宋体" w:eastAsia="宋体" w:cs="宋体"/>
          <w:bCs/>
          <w:color w:val="auto"/>
          <w:kern w:val="2"/>
          <w:sz w:val="24"/>
          <w:szCs w:val="24"/>
          <w:lang w:eastAsia="zh-CN"/>
        </w:rPr>
        <w:t>基本信息</w:t>
      </w:r>
    </w:p>
    <w:p w14:paraId="4797C506">
      <w:pPr>
        <w:widowControl w:val="0"/>
        <w:spacing w:line="560" w:lineRule="exact"/>
        <w:ind w:firstLine="480" w:firstLineChars="200"/>
        <w:jc w:val="both"/>
        <w:textAlignment w:val="auto"/>
        <w:rPr>
          <w:rFonts w:hint="eastAsia" w:ascii="宋体" w:hAnsi="宋体" w:eastAsia="宋体" w:cs="宋体"/>
          <w:color w:val="auto"/>
          <w:kern w:val="2"/>
          <w:sz w:val="24"/>
          <w:szCs w:val="24"/>
          <w:u w:val="dotted"/>
          <w:lang w:eastAsia="zh-CN"/>
        </w:rPr>
      </w:pPr>
      <w:r>
        <w:rPr>
          <w:rFonts w:hint="eastAsia" w:ascii="宋体" w:hAnsi="宋体" w:eastAsia="宋体" w:cs="宋体"/>
          <w:color w:val="auto"/>
          <w:kern w:val="2"/>
          <w:sz w:val="24"/>
          <w:szCs w:val="24"/>
          <w:lang w:eastAsia="zh-CN"/>
        </w:rPr>
        <w:t>质疑</w:t>
      </w:r>
      <w:r>
        <w:rPr>
          <w:rFonts w:hint="eastAsia" w:ascii="宋体" w:hAnsi="宋体" w:eastAsia="宋体" w:cs="宋体"/>
          <w:color w:val="auto"/>
          <w:kern w:val="2"/>
          <w:sz w:val="24"/>
          <w:szCs w:val="24"/>
          <w:shd w:val="clear" w:color="auto" w:fill="FFFFFF"/>
          <w:lang w:eastAsia="zh-CN"/>
        </w:rPr>
        <w:t>投标人</w:t>
      </w:r>
      <w:r>
        <w:rPr>
          <w:rFonts w:hint="eastAsia" w:ascii="宋体" w:hAnsi="宋体" w:eastAsia="宋体" w:cs="宋体"/>
          <w:color w:val="auto"/>
          <w:kern w:val="2"/>
          <w:sz w:val="24"/>
          <w:szCs w:val="24"/>
          <w:lang w:eastAsia="zh-CN"/>
        </w:rPr>
        <w:t>：</w:t>
      </w:r>
      <w:r>
        <w:rPr>
          <w:rFonts w:hint="eastAsia" w:ascii="宋体" w:hAnsi="宋体" w:eastAsia="宋体" w:cs="宋体"/>
          <w:color w:val="auto"/>
          <w:kern w:val="2"/>
          <w:sz w:val="24"/>
          <w:szCs w:val="24"/>
          <w:u w:val="dotted"/>
          <w:lang w:eastAsia="zh-CN"/>
        </w:rPr>
        <w:t xml:space="preserve">                                        </w:t>
      </w:r>
    </w:p>
    <w:p w14:paraId="246E4808">
      <w:pPr>
        <w:widowControl w:val="0"/>
        <w:spacing w:line="560" w:lineRule="exact"/>
        <w:ind w:firstLine="480" w:firstLineChars="200"/>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地址：</w:t>
      </w:r>
      <w:r>
        <w:rPr>
          <w:rFonts w:hint="eastAsia" w:ascii="宋体" w:hAnsi="宋体" w:eastAsia="宋体" w:cs="宋体"/>
          <w:color w:val="auto"/>
          <w:kern w:val="2"/>
          <w:sz w:val="24"/>
          <w:szCs w:val="24"/>
          <w:u w:val="dotted"/>
          <w:lang w:eastAsia="zh-CN"/>
        </w:rPr>
        <w:t xml:space="preserve">                          </w:t>
      </w:r>
      <w:r>
        <w:rPr>
          <w:rFonts w:hint="eastAsia" w:ascii="宋体" w:hAnsi="宋体" w:eastAsia="宋体" w:cs="宋体"/>
          <w:color w:val="auto"/>
          <w:kern w:val="2"/>
          <w:sz w:val="24"/>
          <w:szCs w:val="24"/>
          <w:lang w:eastAsia="zh-CN"/>
        </w:rPr>
        <w:t>邮编：</w:t>
      </w:r>
      <w:r>
        <w:rPr>
          <w:rFonts w:hint="eastAsia" w:ascii="宋体" w:hAnsi="宋体" w:eastAsia="宋体" w:cs="宋体"/>
          <w:color w:val="auto"/>
          <w:kern w:val="2"/>
          <w:sz w:val="24"/>
          <w:szCs w:val="24"/>
          <w:u w:val="dotted"/>
          <w:lang w:eastAsia="zh-CN"/>
        </w:rPr>
        <w:t xml:space="preserve">                                                   </w:t>
      </w:r>
    </w:p>
    <w:p w14:paraId="35CE0E02">
      <w:pPr>
        <w:widowControl w:val="0"/>
        <w:spacing w:line="560" w:lineRule="exact"/>
        <w:ind w:firstLine="480" w:firstLineChars="200"/>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联系人：</w:t>
      </w:r>
      <w:r>
        <w:rPr>
          <w:rFonts w:hint="eastAsia" w:ascii="宋体" w:hAnsi="宋体" w:eastAsia="宋体" w:cs="宋体"/>
          <w:color w:val="auto"/>
          <w:kern w:val="2"/>
          <w:sz w:val="24"/>
          <w:szCs w:val="24"/>
          <w:u w:val="dotted"/>
          <w:lang w:eastAsia="zh-CN"/>
        </w:rPr>
        <w:t xml:space="preserve">                      </w:t>
      </w:r>
      <w:r>
        <w:rPr>
          <w:rFonts w:hint="eastAsia" w:ascii="宋体" w:hAnsi="宋体" w:eastAsia="宋体" w:cs="宋体"/>
          <w:color w:val="auto"/>
          <w:kern w:val="2"/>
          <w:sz w:val="24"/>
          <w:szCs w:val="24"/>
          <w:lang w:eastAsia="zh-CN"/>
        </w:rPr>
        <w:t>联系电话：</w:t>
      </w:r>
      <w:r>
        <w:rPr>
          <w:rFonts w:hint="eastAsia" w:ascii="宋体" w:hAnsi="宋体" w:eastAsia="宋体" w:cs="宋体"/>
          <w:color w:val="auto"/>
          <w:kern w:val="2"/>
          <w:sz w:val="24"/>
          <w:szCs w:val="24"/>
          <w:u w:val="dotted"/>
          <w:lang w:eastAsia="zh-CN"/>
        </w:rPr>
        <w:t xml:space="preserve">                              </w:t>
      </w:r>
    </w:p>
    <w:p w14:paraId="3CFC37EC">
      <w:pPr>
        <w:widowControl w:val="0"/>
        <w:spacing w:line="560" w:lineRule="exact"/>
        <w:ind w:firstLine="480" w:firstLineChars="200"/>
        <w:jc w:val="both"/>
        <w:textAlignment w:val="auto"/>
        <w:rPr>
          <w:rFonts w:hint="eastAsia" w:ascii="宋体" w:hAnsi="宋体" w:eastAsia="宋体" w:cs="宋体"/>
          <w:color w:val="auto"/>
          <w:kern w:val="2"/>
          <w:sz w:val="24"/>
          <w:szCs w:val="24"/>
          <w:u w:val="dotted"/>
          <w:lang w:eastAsia="zh-CN"/>
        </w:rPr>
      </w:pPr>
      <w:r>
        <w:rPr>
          <w:rFonts w:hint="eastAsia" w:ascii="宋体" w:hAnsi="宋体" w:eastAsia="宋体" w:cs="宋体"/>
          <w:color w:val="auto"/>
          <w:kern w:val="2"/>
          <w:sz w:val="24"/>
          <w:szCs w:val="24"/>
          <w:lang w:eastAsia="zh-CN"/>
        </w:rPr>
        <w:t>被授权人：</w:t>
      </w:r>
      <w:r>
        <w:rPr>
          <w:rFonts w:hint="eastAsia" w:ascii="宋体" w:hAnsi="宋体" w:eastAsia="宋体" w:cs="宋体"/>
          <w:color w:val="auto"/>
          <w:kern w:val="2"/>
          <w:sz w:val="24"/>
          <w:szCs w:val="24"/>
          <w:u w:val="dotted"/>
          <w:lang w:eastAsia="zh-CN"/>
        </w:rPr>
        <w:t xml:space="preserve">                                          </w:t>
      </w:r>
    </w:p>
    <w:p w14:paraId="32FA205E">
      <w:pPr>
        <w:widowControl w:val="0"/>
        <w:spacing w:line="560" w:lineRule="exact"/>
        <w:ind w:firstLine="480" w:firstLineChars="200"/>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联系电话：</w:t>
      </w:r>
      <w:r>
        <w:rPr>
          <w:rFonts w:hint="eastAsia" w:ascii="宋体" w:hAnsi="宋体" w:eastAsia="宋体" w:cs="宋体"/>
          <w:color w:val="auto"/>
          <w:kern w:val="2"/>
          <w:sz w:val="24"/>
          <w:szCs w:val="24"/>
          <w:u w:val="dotted"/>
          <w:lang w:eastAsia="zh-CN"/>
        </w:rPr>
        <w:t xml:space="preserve">                                           </w:t>
      </w:r>
      <w:r>
        <w:rPr>
          <w:rFonts w:hint="eastAsia" w:ascii="宋体" w:hAnsi="宋体" w:eastAsia="宋体" w:cs="宋体"/>
          <w:color w:val="auto"/>
          <w:kern w:val="2"/>
          <w:sz w:val="24"/>
          <w:szCs w:val="24"/>
          <w:lang w:eastAsia="zh-CN"/>
        </w:rPr>
        <w:t xml:space="preserve"> </w:t>
      </w:r>
    </w:p>
    <w:p w14:paraId="40B88280">
      <w:pPr>
        <w:widowControl w:val="0"/>
        <w:spacing w:line="560" w:lineRule="exact"/>
        <w:ind w:firstLine="480" w:firstLineChars="200"/>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 xml:space="preserve">地址： </w:t>
      </w:r>
      <w:r>
        <w:rPr>
          <w:rFonts w:hint="eastAsia" w:ascii="宋体" w:hAnsi="宋体" w:eastAsia="宋体" w:cs="宋体"/>
          <w:color w:val="auto"/>
          <w:kern w:val="2"/>
          <w:sz w:val="24"/>
          <w:szCs w:val="24"/>
          <w:u w:val="dotted"/>
          <w:lang w:eastAsia="zh-CN"/>
        </w:rPr>
        <w:t xml:space="preserve">                        </w:t>
      </w:r>
      <w:r>
        <w:rPr>
          <w:rFonts w:hint="eastAsia" w:ascii="宋体" w:hAnsi="宋体" w:eastAsia="宋体" w:cs="宋体"/>
          <w:color w:val="auto"/>
          <w:kern w:val="2"/>
          <w:sz w:val="24"/>
          <w:szCs w:val="24"/>
          <w:lang w:eastAsia="zh-CN"/>
        </w:rPr>
        <w:t>邮编：</w:t>
      </w:r>
      <w:r>
        <w:rPr>
          <w:rFonts w:hint="eastAsia" w:ascii="宋体" w:hAnsi="宋体" w:eastAsia="宋体" w:cs="宋体"/>
          <w:color w:val="auto"/>
          <w:kern w:val="2"/>
          <w:sz w:val="24"/>
          <w:szCs w:val="24"/>
          <w:u w:val="dotted"/>
          <w:lang w:eastAsia="zh-CN"/>
        </w:rPr>
        <w:t xml:space="preserve">                                                </w:t>
      </w:r>
    </w:p>
    <w:p w14:paraId="017345DD">
      <w:pPr>
        <w:widowControl w:val="0"/>
        <w:spacing w:line="560" w:lineRule="exact"/>
        <w:ind w:firstLine="480" w:firstLineChars="200"/>
        <w:jc w:val="both"/>
        <w:textAlignment w:val="auto"/>
        <w:rPr>
          <w:rFonts w:hint="eastAsia" w:ascii="宋体" w:hAnsi="宋体" w:eastAsia="宋体" w:cs="宋体"/>
          <w:bCs/>
          <w:color w:val="auto"/>
          <w:kern w:val="2"/>
          <w:sz w:val="24"/>
          <w:szCs w:val="24"/>
          <w:lang w:eastAsia="zh-CN"/>
        </w:rPr>
      </w:pPr>
      <w:r>
        <w:rPr>
          <w:rFonts w:hint="eastAsia" w:ascii="宋体" w:hAnsi="宋体" w:eastAsia="宋体" w:cs="宋体"/>
          <w:bCs/>
          <w:color w:val="auto"/>
          <w:kern w:val="2"/>
          <w:sz w:val="24"/>
          <w:szCs w:val="24"/>
          <w:lang w:eastAsia="zh-CN"/>
        </w:rPr>
        <w:t>二、质疑项目基本情况</w:t>
      </w:r>
    </w:p>
    <w:p w14:paraId="3E4BEF33">
      <w:pPr>
        <w:widowControl w:val="0"/>
        <w:spacing w:line="560" w:lineRule="exact"/>
        <w:ind w:firstLine="480" w:firstLineChars="200"/>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质疑项目的名称：</w:t>
      </w:r>
      <w:r>
        <w:rPr>
          <w:rFonts w:hint="eastAsia" w:ascii="宋体" w:hAnsi="宋体" w:eastAsia="宋体" w:cs="宋体"/>
          <w:color w:val="auto"/>
          <w:kern w:val="2"/>
          <w:sz w:val="24"/>
          <w:szCs w:val="24"/>
          <w:u w:val="dotted"/>
          <w:lang w:eastAsia="zh-CN"/>
        </w:rPr>
        <w:t xml:space="preserve">                                      </w:t>
      </w:r>
    </w:p>
    <w:p w14:paraId="02244F0D">
      <w:pPr>
        <w:widowControl w:val="0"/>
        <w:spacing w:line="560" w:lineRule="exact"/>
        <w:ind w:firstLine="480" w:firstLineChars="200"/>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质疑项目的编号：</w:t>
      </w:r>
      <w:r>
        <w:rPr>
          <w:rFonts w:hint="eastAsia" w:ascii="宋体" w:hAnsi="宋体" w:eastAsia="宋体" w:cs="宋体"/>
          <w:color w:val="auto"/>
          <w:kern w:val="2"/>
          <w:sz w:val="24"/>
          <w:szCs w:val="24"/>
          <w:u w:val="dotted"/>
          <w:lang w:eastAsia="zh-CN"/>
        </w:rPr>
        <w:t xml:space="preserve">               </w:t>
      </w:r>
      <w:r>
        <w:rPr>
          <w:rFonts w:hint="eastAsia" w:ascii="宋体" w:hAnsi="宋体" w:eastAsia="宋体" w:cs="宋体"/>
          <w:color w:val="auto"/>
          <w:kern w:val="2"/>
          <w:sz w:val="24"/>
          <w:szCs w:val="24"/>
          <w:lang w:eastAsia="zh-CN"/>
        </w:rPr>
        <w:t>包号：</w:t>
      </w:r>
      <w:r>
        <w:rPr>
          <w:rFonts w:hint="eastAsia" w:ascii="宋体" w:hAnsi="宋体" w:eastAsia="宋体" w:cs="宋体"/>
          <w:color w:val="auto"/>
          <w:kern w:val="2"/>
          <w:sz w:val="24"/>
          <w:szCs w:val="24"/>
          <w:u w:val="dotted"/>
          <w:lang w:eastAsia="zh-CN"/>
        </w:rPr>
        <w:t xml:space="preserve">                 </w:t>
      </w:r>
    </w:p>
    <w:p w14:paraId="45F9444B">
      <w:pPr>
        <w:widowControl w:val="0"/>
        <w:spacing w:line="560" w:lineRule="exact"/>
        <w:ind w:firstLine="480" w:firstLineChars="200"/>
        <w:jc w:val="both"/>
        <w:textAlignment w:val="auto"/>
        <w:rPr>
          <w:rFonts w:hint="eastAsia" w:ascii="宋体" w:hAnsi="宋体" w:eastAsia="宋体" w:cs="宋体"/>
          <w:color w:val="auto"/>
          <w:kern w:val="2"/>
          <w:sz w:val="24"/>
          <w:szCs w:val="24"/>
          <w:u w:val="dotted"/>
          <w:lang w:eastAsia="zh-CN"/>
        </w:rPr>
      </w:pPr>
      <w:r>
        <w:rPr>
          <w:rFonts w:hint="eastAsia" w:ascii="宋体" w:hAnsi="宋体" w:eastAsia="宋体" w:cs="宋体"/>
          <w:color w:val="auto"/>
          <w:kern w:val="2"/>
          <w:sz w:val="24"/>
          <w:szCs w:val="24"/>
          <w:lang w:eastAsia="zh-CN"/>
        </w:rPr>
        <w:t>采购人名称：</w:t>
      </w:r>
      <w:r>
        <w:rPr>
          <w:rFonts w:hint="eastAsia" w:ascii="宋体" w:hAnsi="宋体" w:eastAsia="宋体" w:cs="宋体"/>
          <w:color w:val="auto"/>
          <w:kern w:val="2"/>
          <w:sz w:val="24"/>
          <w:szCs w:val="24"/>
          <w:u w:val="dotted"/>
          <w:lang w:eastAsia="zh-CN"/>
        </w:rPr>
        <w:t xml:space="preserve">                                         </w:t>
      </w:r>
    </w:p>
    <w:p w14:paraId="06BDCF4A">
      <w:pPr>
        <w:widowControl w:val="0"/>
        <w:spacing w:line="560" w:lineRule="exact"/>
        <w:ind w:firstLine="480" w:firstLineChars="200"/>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招标文件获取日期：</w:t>
      </w:r>
      <w:r>
        <w:rPr>
          <w:rFonts w:hint="eastAsia" w:ascii="宋体" w:hAnsi="宋体" w:eastAsia="宋体" w:cs="宋体"/>
          <w:color w:val="auto"/>
          <w:kern w:val="2"/>
          <w:sz w:val="24"/>
          <w:szCs w:val="24"/>
          <w:u w:val="dotted"/>
          <w:lang w:eastAsia="zh-CN"/>
        </w:rPr>
        <w:t xml:space="preserve">                                           </w:t>
      </w:r>
    </w:p>
    <w:p w14:paraId="3AC5EC6D">
      <w:pPr>
        <w:widowControl w:val="0"/>
        <w:spacing w:line="560" w:lineRule="exact"/>
        <w:ind w:firstLine="480" w:firstLineChars="200"/>
        <w:jc w:val="both"/>
        <w:textAlignment w:val="auto"/>
        <w:rPr>
          <w:rFonts w:hint="eastAsia" w:ascii="宋体" w:hAnsi="宋体" w:eastAsia="宋体" w:cs="宋体"/>
          <w:bCs/>
          <w:color w:val="auto"/>
          <w:kern w:val="2"/>
          <w:sz w:val="24"/>
          <w:szCs w:val="24"/>
          <w:lang w:eastAsia="zh-CN"/>
        </w:rPr>
      </w:pPr>
      <w:r>
        <w:rPr>
          <w:rFonts w:hint="eastAsia" w:ascii="宋体" w:hAnsi="宋体" w:eastAsia="宋体" w:cs="宋体"/>
          <w:bCs/>
          <w:color w:val="auto"/>
          <w:kern w:val="2"/>
          <w:sz w:val="24"/>
          <w:szCs w:val="24"/>
          <w:lang w:eastAsia="zh-CN"/>
        </w:rPr>
        <w:t>三、质疑事项具体内容</w:t>
      </w:r>
    </w:p>
    <w:p w14:paraId="560BE152">
      <w:pPr>
        <w:widowControl w:val="0"/>
        <w:spacing w:line="560" w:lineRule="exact"/>
        <w:ind w:firstLine="480" w:firstLineChars="200"/>
        <w:jc w:val="both"/>
        <w:textAlignment w:val="auto"/>
        <w:rPr>
          <w:rFonts w:hint="eastAsia" w:ascii="宋体" w:hAnsi="宋体" w:eastAsia="宋体" w:cs="宋体"/>
          <w:color w:val="auto"/>
          <w:kern w:val="2"/>
          <w:sz w:val="24"/>
          <w:szCs w:val="24"/>
          <w:u w:val="dotted"/>
          <w:lang w:eastAsia="zh-CN"/>
        </w:rPr>
      </w:pPr>
      <w:r>
        <w:rPr>
          <w:rFonts w:hint="eastAsia" w:ascii="宋体" w:hAnsi="宋体" w:eastAsia="宋体" w:cs="宋体"/>
          <w:color w:val="auto"/>
          <w:kern w:val="2"/>
          <w:sz w:val="24"/>
          <w:szCs w:val="24"/>
          <w:lang w:eastAsia="zh-CN"/>
        </w:rPr>
        <w:t>质疑事项1：</w:t>
      </w:r>
      <w:r>
        <w:rPr>
          <w:rFonts w:hint="eastAsia" w:ascii="宋体" w:hAnsi="宋体" w:eastAsia="宋体" w:cs="宋体"/>
          <w:color w:val="auto"/>
          <w:kern w:val="2"/>
          <w:sz w:val="24"/>
          <w:szCs w:val="24"/>
          <w:u w:val="dotted"/>
          <w:lang w:eastAsia="zh-CN"/>
        </w:rPr>
        <w:t xml:space="preserve">                                         </w:t>
      </w:r>
    </w:p>
    <w:p w14:paraId="20CFEAD2">
      <w:pPr>
        <w:widowControl w:val="0"/>
        <w:spacing w:line="560" w:lineRule="exact"/>
        <w:ind w:firstLine="480" w:firstLineChars="200"/>
        <w:jc w:val="both"/>
        <w:textAlignment w:val="auto"/>
        <w:rPr>
          <w:rFonts w:hint="eastAsia" w:ascii="宋体" w:hAnsi="宋体" w:eastAsia="宋体" w:cs="宋体"/>
          <w:color w:val="auto"/>
          <w:kern w:val="2"/>
          <w:sz w:val="24"/>
          <w:szCs w:val="24"/>
          <w:u w:val="dotted"/>
          <w:lang w:eastAsia="zh-CN"/>
        </w:rPr>
      </w:pPr>
      <w:r>
        <w:rPr>
          <w:rFonts w:hint="eastAsia" w:ascii="宋体" w:hAnsi="宋体" w:eastAsia="宋体" w:cs="宋体"/>
          <w:color w:val="auto"/>
          <w:kern w:val="2"/>
          <w:sz w:val="24"/>
          <w:szCs w:val="24"/>
          <w:lang w:eastAsia="zh-CN"/>
        </w:rPr>
        <w:t>事实依据：</w:t>
      </w:r>
      <w:r>
        <w:rPr>
          <w:rFonts w:hint="eastAsia" w:ascii="宋体" w:hAnsi="宋体" w:eastAsia="宋体" w:cs="宋体"/>
          <w:color w:val="auto"/>
          <w:kern w:val="2"/>
          <w:sz w:val="24"/>
          <w:szCs w:val="24"/>
          <w:u w:val="dotted"/>
          <w:lang w:eastAsia="zh-CN"/>
        </w:rPr>
        <w:t xml:space="preserve">                                          </w:t>
      </w:r>
    </w:p>
    <w:p w14:paraId="63704092">
      <w:pPr>
        <w:widowControl w:val="0"/>
        <w:spacing w:line="560" w:lineRule="exact"/>
        <w:ind w:firstLine="480" w:firstLineChars="200"/>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u w:val="dotted"/>
          <w:lang w:eastAsia="zh-CN"/>
        </w:rPr>
        <w:t xml:space="preserve">                                                       </w:t>
      </w:r>
    </w:p>
    <w:p w14:paraId="646A096A">
      <w:pPr>
        <w:widowControl w:val="0"/>
        <w:spacing w:line="560" w:lineRule="exact"/>
        <w:ind w:firstLine="480" w:firstLineChars="200"/>
        <w:jc w:val="both"/>
        <w:textAlignment w:val="auto"/>
        <w:rPr>
          <w:rFonts w:hint="eastAsia" w:ascii="宋体" w:hAnsi="宋体" w:eastAsia="宋体" w:cs="宋体"/>
          <w:color w:val="auto"/>
          <w:kern w:val="2"/>
          <w:sz w:val="24"/>
          <w:szCs w:val="24"/>
          <w:u w:val="dotted"/>
          <w:lang w:eastAsia="zh-CN"/>
        </w:rPr>
      </w:pPr>
      <w:r>
        <w:rPr>
          <w:rFonts w:hint="eastAsia" w:ascii="宋体" w:hAnsi="宋体" w:eastAsia="宋体" w:cs="宋体"/>
          <w:color w:val="auto"/>
          <w:kern w:val="2"/>
          <w:sz w:val="24"/>
          <w:szCs w:val="24"/>
          <w:lang w:eastAsia="zh-CN"/>
        </w:rPr>
        <w:t>法律依据：</w:t>
      </w:r>
      <w:r>
        <w:rPr>
          <w:rFonts w:hint="eastAsia" w:ascii="宋体" w:hAnsi="宋体" w:eastAsia="宋体" w:cs="宋体"/>
          <w:color w:val="auto"/>
          <w:kern w:val="2"/>
          <w:sz w:val="24"/>
          <w:szCs w:val="24"/>
          <w:u w:val="dotted"/>
          <w:lang w:eastAsia="zh-CN"/>
        </w:rPr>
        <w:t xml:space="preserve">                                          </w:t>
      </w:r>
    </w:p>
    <w:p w14:paraId="52F80252">
      <w:pPr>
        <w:widowControl w:val="0"/>
        <w:spacing w:line="560" w:lineRule="exact"/>
        <w:ind w:firstLine="480" w:firstLineChars="200"/>
        <w:jc w:val="both"/>
        <w:textAlignment w:val="auto"/>
        <w:rPr>
          <w:rFonts w:hint="eastAsia" w:ascii="宋体" w:hAnsi="宋体" w:eastAsia="宋体" w:cs="宋体"/>
          <w:color w:val="auto"/>
          <w:kern w:val="2"/>
          <w:sz w:val="24"/>
          <w:szCs w:val="24"/>
          <w:u w:val="dotted"/>
          <w:lang w:eastAsia="zh-CN"/>
        </w:rPr>
      </w:pPr>
      <w:r>
        <w:rPr>
          <w:rFonts w:hint="eastAsia" w:ascii="宋体" w:hAnsi="宋体" w:eastAsia="宋体" w:cs="宋体"/>
          <w:color w:val="auto"/>
          <w:kern w:val="2"/>
          <w:sz w:val="24"/>
          <w:szCs w:val="24"/>
          <w:lang w:eastAsia="zh-CN"/>
        </w:rPr>
        <w:t>质疑事项2</w:t>
      </w:r>
    </w:p>
    <w:p w14:paraId="0F7DE353">
      <w:pPr>
        <w:widowControl w:val="0"/>
        <w:spacing w:line="560" w:lineRule="exact"/>
        <w:ind w:firstLine="480" w:firstLineChars="200"/>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w:t>
      </w:r>
    </w:p>
    <w:p w14:paraId="6B86B154">
      <w:pPr>
        <w:widowControl w:val="0"/>
        <w:spacing w:line="560" w:lineRule="exact"/>
        <w:ind w:firstLine="480" w:firstLineChars="200"/>
        <w:jc w:val="both"/>
        <w:textAlignment w:val="auto"/>
        <w:rPr>
          <w:rFonts w:hint="eastAsia" w:ascii="宋体" w:hAnsi="宋体" w:eastAsia="宋体" w:cs="宋体"/>
          <w:bCs/>
          <w:color w:val="auto"/>
          <w:kern w:val="2"/>
          <w:sz w:val="24"/>
          <w:szCs w:val="24"/>
          <w:lang w:eastAsia="zh-CN"/>
        </w:rPr>
      </w:pPr>
      <w:r>
        <w:rPr>
          <w:rFonts w:hint="eastAsia" w:ascii="宋体" w:hAnsi="宋体" w:eastAsia="宋体" w:cs="宋体"/>
          <w:bCs/>
          <w:color w:val="auto"/>
          <w:kern w:val="2"/>
          <w:sz w:val="24"/>
          <w:szCs w:val="24"/>
          <w:lang w:eastAsia="zh-CN"/>
        </w:rPr>
        <w:t>四、与质疑事项相关的质疑请求</w:t>
      </w:r>
    </w:p>
    <w:p w14:paraId="294DDCFA">
      <w:pPr>
        <w:widowControl w:val="0"/>
        <w:spacing w:line="560" w:lineRule="exact"/>
        <w:ind w:firstLine="480" w:firstLineChars="200"/>
        <w:jc w:val="both"/>
        <w:textAlignment w:val="auto"/>
        <w:rPr>
          <w:rFonts w:hint="eastAsia" w:ascii="宋体" w:hAnsi="宋体" w:eastAsia="宋体" w:cs="宋体"/>
          <w:color w:val="auto"/>
          <w:kern w:val="2"/>
          <w:sz w:val="24"/>
          <w:szCs w:val="24"/>
          <w:u w:val="dotted"/>
          <w:lang w:eastAsia="zh-CN"/>
        </w:rPr>
      </w:pPr>
      <w:r>
        <w:rPr>
          <w:rFonts w:hint="eastAsia" w:ascii="宋体" w:hAnsi="宋体" w:eastAsia="宋体" w:cs="宋体"/>
          <w:color w:val="auto"/>
          <w:kern w:val="2"/>
          <w:sz w:val="24"/>
          <w:szCs w:val="24"/>
          <w:lang w:eastAsia="zh-CN"/>
        </w:rPr>
        <w:t>请求：</w:t>
      </w:r>
      <w:r>
        <w:rPr>
          <w:rFonts w:hint="eastAsia" w:ascii="宋体" w:hAnsi="宋体" w:eastAsia="宋体" w:cs="宋体"/>
          <w:color w:val="auto"/>
          <w:kern w:val="2"/>
          <w:sz w:val="24"/>
          <w:szCs w:val="24"/>
          <w:u w:val="dotted"/>
          <w:lang w:eastAsia="zh-CN"/>
        </w:rPr>
        <w:t xml:space="preserve">                                               </w:t>
      </w:r>
    </w:p>
    <w:p w14:paraId="2B23273B">
      <w:pPr>
        <w:widowControl w:val="0"/>
        <w:adjustRightInd/>
        <w:snapToGrid/>
        <w:spacing w:line="560" w:lineRule="exact"/>
        <w:ind w:firstLine="480" w:firstLineChars="200"/>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 xml:space="preserve">签字（签章）：                   公章：                      </w:t>
      </w:r>
    </w:p>
    <w:p w14:paraId="7EA4D60D">
      <w:pPr>
        <w:widowControl w:val="0"/>
        <w:adjustRightInd/>
        <w:snapToGrid/>
        <w:spacing w:line="560" w:lineRule="exact"/>
        <w:ind w:firstLine="480" w:firstLineChars="200"/>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 xml:space="preserve">日期：    </w:t>
      </w:r>
    </w:p>
    <w:p w14:paraId="14B4A5D7">
      <w:pPr>
        <w:widowControl w:val="0"/>
        <w:adjustRightInd/>
        <w:snapToGrid/>
        <w:spacing w:line="560" w:lineRule="exact"/>
        <w:ind w:firstLine="482" w:firstLineChars="200"/>
        <w:jc w:val="center"/>
        <w:textAlignment w:val="auto"/>
        <w:rPr>
          <w:rFonts w:hint="eastAsia" w:ascii="宋体" w:hAnsi="宋体" w:eastAsia="宋体" w:cs="宋体"/>
          <w:b/>
          <w:bCs/>
          <w:color w:val="auto"/>
          <w:kern w:val="2"/>
          <w:sz w:val="24"/>
          <w:szCs w:val="24"/>
          <w:lang w:eastAsia="zh-CN"/>
        </w:rPr>
      </w:pPr>
    </w:p>
    <w:p w14:paraId="714AD8FB">
      <w:pPr>
        <w:widowControl w:val="0"/>
        <w:adjustRightInd/>
        <w:snapToGrid/>
        <w:spacing w:line="560" w:lineRule="exact"/>
        <w:ind w:firstLine="482" w:firstLineChars="200"/>
        <w:jc w:val="both"/>
        <w:textAlignment w:val="auto"/>
        <w:rPr>
          <w:rFonts w:hint="eastAsia" w:ascii="宋体" w:hAnsi="宋体" w:eastAsia="宋体" w:cs="宋体"/>
          <w:b/>
          <w:color w:val="auto"/>
          <w:kern w:val="2"/>
          <w:sz w:val="24"/>
          <w:szCs w:val="24"/>
          <w:lang w:eastAsia="zh-CN"/>
        </w:rPr>
      </w:pPr>
      <w:r>
        <w:rPr>
          <w:rFonts w:hint="eastAsia" w:ascii="宋体" w:hAnsi="宋体" w:eastAsia="宋体" w:cs="宋体"/>
          <w:b/>
          <w:color w:val="auto"/>
          <w:kern w:val="2"/>
          <w:sz w:val="24"/>
          <w:szCs w:val="24"/>
          <w:lang w:eastAsia="zh-CN"/>
        </w:rPr>
        <w:t>质疑函制作说明：</w:t>
      </w:r>
    </w:p>
    <w:p w14:paraId="5F731802">
      <w:pPr>
        <w:adjustRightInd/>
        <w:snapToGrid/>
        <w:spacing w:line="560" w:lineRule="exact"/>
        <w:ind w:firstLine="480" w:firstLineChars="200"/>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1.</w:t>
      </w:r>
      <w:r>
        <w:rPr>
          <w:rFonts w:hint="eastAsia" w:ascii="宋体" w:hAnsi="宋体" w:eastAsia="宋体" w:cs="宋体"/>
          <w:color w:val="auto"/>
          <w:kern w:val="2"/>
          <w:sz w:val="24"/>
          <w:szCs w:val="24"/>
          <w:shd w:val="clear" w:color="auto" w:fill="FFFFFF"/>
          <w:lang w:eastAsia="zh-CN"/>
        </w:rPr>
        <w:t>投标人</w:t>
      </w:r>
      <w:r>
        <w:rPr>
          <w:rFonts w:hint="eastAsia" w:ascii="宋体" w:hAnsi="宋体" w:eastAsia="宋体" w:cs="宋体"/>
          <w:color w:val="auto"/>
          <w:kern w:val="2"/>
          <w:sz w:val="24"/>
          <w:szCs w:val="24"/>
          <w:lang w:eastAsia="zh-CN"/>
        </w:rPr>
        <w:t>提出质疑时，应提交质疑函和必要的证明材料。</w:t>
      </w:r>
    </w:p>
    <w:p w14:paraId="5D6CE442">
      <w:pPr>
        <w:adjustRightInd/>
        <w:snapToGrid/>
        <w:spacing w:line="560" w:lineRule="exact"/>
        <w:ind w:firstLine="480" w:firstLineChars="200"/>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2.质疑</w:t>
      </w:r>
      <w:r>
        <w:rPr>
          <w:rFonts w:hint="eastAsia" w:ascii="宋体" w:hAnsi="宋体" w:eastAsia="宋体" w:cs="宋体"/>
          <w:color w:val="auto"/>
          <w:kern w:val="2"/>
          <w:sz w:val="24"/>
          <w:szCs w:val="24"/>
          <w:shd w:val="clear" w:color="auto" w:fill="FFFFFF"/>
          <w:lang w:eastAsia="zh-CN"/>
        </w:rPr>
        <w:t>投标人</w:t>
      </w:r>
      <w:r>
        <w:rPr>
          <w:rFonts w:hint="eastAsia" w:ascii="宋体" w:hAnsi="宋体" w:eastAsia="宋体" w:cs="宋体"/>
          <w:color w:val="auto"/>
          <w:kern w:val="2"/>
          <w:sz w:val="24"/>
          <w:szCs w:val="24"/>
          <w:lang w:eastAsia="zh-CN"/>
        </w:rPr>
        <w:t>若委托代理人进行质疑的，质疑函应按要求列明“被授权人”的有关内容，并在附件中提交由质疑</w:t>
      </w:r>
      <w:r>
        <w:rPr>
          <w:rFonts w:hint="eastAsia" w:ascii="宋体" w:hAnsi="宋体" w:eastAsia="宋体" w:cs="宋体"/>
          <w:color w:val="auto"/>
          <w:sz w:val="24"/>
          <w:szCs w:val="24"/>
          <w:lang w:eastAsia="zh-CN"/>
        </w:rPr>
        <w:t>投标人签署的授权委托书。授权委托书应载明代理人的姓名或者名称、代理事项、具体权限、期限和相关事项。</w:t>
      </w:r>
    </w:p>
    <w:p w14:paraId="357DA885">
      <w:pPr>
        <w:adjustRightInd/>
        <w:snapToGrid/>
        <w:spacing w:line="560" w:lineRule="exact"/>
        <w:ind w:firstLine="480" w:firstLineChars="200"/>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3.质疑</w:t>
      </w:r>
      <w:r>
        <w:rPr>
          <w:rFonts w:hint="eastAsia" w:ascii="宋体" w:hAnsi="宋体" w:eastAsia="宋体" w:cs="宋体"/>
          <w:color w:val="auto"/>
          <w:kern w:val="2"/>
          <w:sz w:val="24"/>
          <w:szCs w:val="24"/>
          <w:shd w:val="clear" w:color="auto" w:fill="FFFFFF"/>
          <w:lang w:eastAsia="zh-CN"/>
        </w:rPr>
        <w:t>投标人</w:t>
      </w:r>
      <w:r>
        <w:rPr>
          <w:rFonts w:hint="eastAsia" w:ascii="宋体" w:hAnsi="宋体" w:eastAsia="宋体" w:cs="宋体"/>
          <w:color w:val="auto"/>
          <w:kern w:val="2"/>
          <w:sz w:val="24"/>
          <w:szCs w:val="24"/>
          <w:lang w:eastAsia="zh-CN"/>
        </w:rPr>
        <w:t>若对项目的某一分包进行质疑，质疑函中应列明具体分包号。</w:t>
      </w:r>
    </w:p>
    <w:p w14:paraId="30B6C96A">
      <w:pPr>
        <w:adjustRightInd/>
        <w:snapToGrid/>
        <w:spacing w:line="560" w:lineRule="exact"/>
        <w:ind w:firstLine="480" w:firstLineChars="200"/>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4.质疑函的质疑事项应具体、明确，并有必要的事实依据和法律依据。</w:t>
      </w:r>
    </w:p>
    <w:p w14:paraId="6F59ABD7">
      <w:pPr>
        <w:adjustRightInd/>
        <w:snapToGrid/>
        <w:spacing w:line="560" w:lineRule="exact"/>
        <w:ind w:firstLine="480" w:firstLineChars="200"/>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5.质疑函的质疑请求应与质疑事项相关。</w:t>
      </w:r>
    </w:p>
    <w:p w14:paraId="5E224A1E">
      <w:pPr>
        <w:adjustRightInd/>
        <w:snapToGrid/>
        <w:spacing w:line="560" w:lineRule="exact"/>
        <w:ind w:firstLine="480" w:firstLineChars="200"/>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6.质疑</w:t>
      </w:r>
      <w:r>
        <w:rPr>
          <w:rFonts w:hint="eastAsia" w:ascii="宋体" w:hAnsi="宋体" w:eastAsia="宋体" w:cs="宋体"/>
          <w:color w:val="auto"/>
          <w:kern w:val="2"/>
          <w:sz w:val="24"/>
          <w:szCs w:val="24"/>
          <w:shd w:val="clear" w:color="auto" w:fill="FFFFFF"/>
          <w:lang w:eastAsia="zh-CN"/>
        </w:rPr>
        <w:t>投标人</w:t>
      </w:r>
      <w:r>
        <w:rPr>
          <w:rFonts w:hint="eastAsia" w:ascii="宋体" w:hAnsi="宋体" w:eastAsia="宋体" w:cs="宋体"/>
          <w:color w:val="auto"/>
          <w:kern w:val="2"/>
          <w:sz w:val="24"/>
          <w:szCs w:val="24"/>
          <w:lang w:eastAsia="zh-CN"/>
        </w:rPr>
        <w:t>为自然人的，质疑函应由本人签字；质疑</w:t>
      </w:r>
      <w:r>
        <w:rPr>
          <w:rFonts w:hint="eastAsia" w:ascii="宋体" w:hAnsi="宋体" w:eastAsia="宋体" w:cs="宋体"/>
          <w:color w:val="auto"/>
          <w:kern w:val="2"/>
          <w:sz w:val="24"/>
          <w:szCs w:val="24"/>
          <w:shd w:val="clear" w:color="auto" w:fill="FFFFFF"/>
          <w:lang w:eastAsia="zh-CN"/>
        </w:rPr>
        <w:t>投标人</w:t>
      </w:r>
      <w:r>
        <w:rPr>
          <w:rFonts w:hint="eastAsia" w:ascii="宋体" w:hAnsi="宋体" w:eastAsia="宋体" w:cs="宋体"/>
          <w:color w:val="auto"/>
          <w:kern w:val="2"/>
          <w:sz w:val="24"/>
          <w:szCs w:val="24"/>
          <w:lang w:eastAsia="zh-CN"/>
        </w:rPr>
        <w:t>为法人或者其他组织的，质疑函应由法定代表人、主要负责人或者其被授权人签字或者盖章，并加盖公章。</w:t>
      </w:r>
    </w:p>
    <w:p w14:paraId="64825A35">
      <w:pPr>
        <w:widowControl w:val="0"/>
        <w:spacing w:line="560" w:lineRule="exact"/>
        <w:ind w:firstLine="420"/>
        <w:jc w:val="both"/>
        <w:rPr>
          <w:rFonts w:hint="eastAsia" w:ascii="宋体" w:hAnsi="宋体" w:eastAsia="宋体" w:cs="宋体"/>
          <w:color w:val="auto"/>
          <w:kern w:val="2"/>
          <w:sz w:val="24"/>
          <w:szCs w:val="24"/>
          <w:lang w:eastAsia="zh-CN"/>
        </w:rPr>
      </w:pPr>
    </w:p>
    <w:p w14:paraId="77CB8003">
      <w:pPr>
        <w:widowControl w:val="0"/>
        <w:spacing w:line="560" w:lineRule="exact"/>
        <w:ind w:firstLine="420"/>
        <w:jc w:val="both"/>
        <w:rPr>
          <w:rFonts w:hint="eastAsia" w:ascii="宋体" w:hAnsi="宋体" w:eastAsia="宋体" w:cs="宋体"/>
          <w:color w:val="auto"/>
          <w:kern w:val="2"/>
          <w:sz w:val="24"/>
          <w:szCs w:val="24"/>
          <w:lang w:eastAsia="zh-CN"/>
        </w:rPr>
      </w:pPr>
    </w:p>
    <w:p w14:paraId="54FAEE59">
      <w:pPr>
        <w:widowControl w:val="0"/>
        <w:spacing w:line="560" w:lineRule="exact"/>
        <w:ind w:firstLine="480" w:firstLineChars="200"/>
        <w:jc w:val="both"/>
        <w:rPr>
          <w:rFonts w:hint="eastAsia" w:ascii="宋体" w:hAnsi="宋体" w:eastAsia="宋体" w:cs="宋体"/>
          <w:color w:val="auto"/>
          <w:kern w:val="2"/>
          <w:sz w:val="24"/>
          <w:szCs w:val="24"/>
          <w:lang w:eastAsia="zh-CN"/>
        </w:rPr>
      </w:pPr>
    </w:p>
    <w:p w14:paraId="39969E87">
      <w:pPr>
        <w:spacing w:line="560" w:lineRule="exact"/>
        <w:jc w:val="center"/>
        <w:outlineLvl w:val="0"/>
        <w:rPr>
          <w:rFonts w:hint="eastAsia" w:ascii="宋体" w:hAnsi="宋体" w:eastAsia="宋体" w:cs="宋体"/>
          <w:b/>
          <w:bCs/>
          <w:color w:val="auto"/>
          <w:sz w:val="24"/>
          <w:szCs w:val="24"/>
          <w:lang w:eastAsia="zh-CN"/>
        </w:rPr>
      </w:pPr>
      <w:r>
        <w:rPr>
          <w:rFonts w:hint="eastAsia" w:ascii="宋体" w:hAnsi="宋体" w:eastAsia="宋体" w:cs="宋体"/>
          <w:color w:val="auto"/>
          <w:kern w:val="2"/>
          <w:sz w:val="24"/>
          <w:szCs w:val="24"/>
          <w:lang w:eastAsia="zh-CN"/>
        </w:rPr>
        <w:br w:type="page"/>
      </w:r>
      <w:bookmarkStart w:id="131" w:name="_Toc22945"/>
      <w:bookmarkStart w:id="132" w:name="_Toc18749"/>
      <w:bookmarkStart w:id="133" w:name="_Toc26004"/>
      <w:r>
        <w:rPr>
          <w:rFonts w:hint="eastAsia" w:ascii="宋体" w:hAnsi="宋体" w:eastAsia="宋体" w:cs="宋体"/>
          <w:b/>
          <w:bCs/>
          <w:color w:val="auto"/>
          <w:sz w:val="24"/>
          <w:szCs w:val="24"/>
          <w:lang w:eastAsia="zh-CN"/>
        </w:rPr>
        <w:t xml:space="preserve">第二章  </w:t>
      </w:r>
      <w:bookmarkEnd w:id="131"/>
      <w:bookmarkEnd w:id="132"/>
      <w:bookmarkStart w:id="134" w:name="_Toc7178"/>
      <w:bookmarkStart w:id="135" w:name="_Toc5850_WPSOffice_Level1"/>
      <w:bookmarkStart w:id="136" w:name="_Toc217446089"/>
      <w:bookmarkStart w:id="137" w:name="_Toc31271_WPSOffice_Level1"/>
      <w:r>
        <w:rPr>
          <w:rFonts w:hint="eastAsia" w:ascii="宋体" w:hAnsi="宋体" w:eastAsia="宋体" w:cs="宋体"/>
          <w:b/>
          <w:bCs/>
          <w:color w:val="auto"/>
          <w:sz w:val="24"/>
          <w:szCs w:val="24"/>
          <w:lang w:eastAsia="zh-CN"/>
        </w:rPr>
        <w:t>投标文件格式</w:t>
      </w:r>
      <w:bookmarkEnd w:id="133"/>
      <w:bookmarkEnd w:id="134"/>
      <w:bookmarkEnd w:id="135"/>
    </w:p>
    <w:p w14:paraId="624C84D8">
      <w:pPr>
        <w:spacing w:line="560" w:lineRule="exact"/>
        <w:rPr>
          <w:rFonts w:hint="eastAsia" w:ascii="宋体" w:hAnsi="宋体" w:eastAsia="宋体" w:cs="宋体"/>
          <w:color w:val="auto"/>
          <w:sz w:val="24"/>
          <w:szCs w:val="24"/>
          <w:u w:val="single"/>
          <w:lang w:eastAsia="zh-CN"/>
        </w:rPr>
      </w:pPr>
      <w:r>
        <w:rPr>
          <w:rFonts w:hint="eastAsia" w:ascii="宋体" w:hAnsi="宋体" w:eastAsia="宋体" w:cs="宋体"/>
          <w:color w:val="auto"/>
          <w:sz w:val="24"/>
          <w:szCs w:val="24"/>
          <w:u w:val="single"/>
          <w:lang w:eastAsia="zh-CN"/>
        </w:rPr>
        <w:t>投标文件封面示例</w:t>
      </w:r>
    </w:p>
    <w:p w14:paraId="2C915093">
      <w:pPr>
        <w:spacing w:line="560" w:lineRule="exact"/>
        <w:rPr>
          <w:rFonts w:hint="eastAsia" w:ascii="宋体" w:hAnsi="宋体" w:eastAsia="宋体" w:cs="宋体"/>
          <w:b/>
          <w:color w:val="auto"/>
          <w:sz w:val="24"/>
          <w:szCs w:val="24"/>
          <w:lang w:eastAsia="zh-CN"/>
        </w:rPr>
      </w:pPr>
    </w:p>
    <w:p w14:paraId="5DCCE5C7">
      <w:pPr>
        <w:spacing w:line="560" w:lineRule="exact"/>
        <w:jc w:val="center"/>
        <w:rPr>
          <w:rFonts w:hint="eastAsia" w:ascii="宋体" w:hAnsi="宋体" w:eastAsia="宋体" w:cs="宋体"/>
          <w:b/>
          <w:color w:val="auto"/>
          <w:sz w:val="24"/>
          <w:szCs w:val="24"/>
          <w:lang w:eastAsia="zh-CN"/>
        </w:rPr>
      </w:pPr>
    </w:p>
    <w:p w14:paraId="1897DCFC">
      <w:pPr>
        <w:spacing w:line="560" w:lineRule="exact"/>
        <w:jc w:val="center"/>
        <w:rPr>
          <w:rFonts w:hint="eastAsia" w:ascii="宋体" w:hAnsi="宋体" w:eastAsia="宋体" w:cs="宋体"/>
          <w:b/>
          <w:color w:val="auto"/>
          <w:sz w:val="24"/>
          <w:szCs w:val="24"/>
          <w:lang w:eastAsia="zh-CN"/>
        </w:rPr>
      </w:pPr>
      <w:r>
        <w:rPr>
          <w:rFonts w:hint="eastAsia" w:ascii="宋体" w:hAnsi="宋体" w:eastAsia="宋体" w:cs="宋体"/>
          <w:b/>
          <w:color w:val="auto"/>
          <w:sz w:val="24"/>
          <w:szCs w:val="24"/>
          <w:lang w:eastAsia="zh-CN"/>
        </w:rPr>
        <w:t>投标文件</w:t>
      </w:r>
    </w:p>
    <w:p w14:paraId="15057349">
      <w:pPr>
        <w:spacing w:line="560" w:lineRule="exact"/>
        <w:rPr>
          <w:rFonts w:hint="eastAsia" w:ascii="宋体" w:hAnsi="宋体" w:eastAsia="宋体" w:cs="宋体"/>
          <w:b/>
          <w:color w:val="auto"/>
          <w:sz w:val="24"/>
          <w:szCs w:val="24"/>
          <w:lang w:eastAsia="zh-CN"/>
        </w:rPr>
      </w:pPr>
    </w:p>
    <w:p w14:paraId="0D2472CB">
      <w:pPr>
        <w:spacing w:line="560" w:lineRule="exact"/>
        <w:ind w:firstLine="504"/>
        <w:rPr>
          <w:rFonts w:hint="eastAsia" w:ascii="宋体" w:hAnsi="宋体" w:eastAsia="宋体" w:cs="宋体"/>
          <w:b/>
          <w:color w:val="auto"/>
          <w:sz w:val="24"/>
          <w:szCs w:val="24"/>
          <w:lang w:eastAsia="zh-CN"/>
        </w:rPr>
      </w:pPr>
    </w:p>
    <w:p w14:paraId="4A547CDC">
      <w:pPr>
        <w:spacing w:line="560" w:lineRule="exact"/>
        <w:ind w:firstLine="504"/>
        <w:rPr>
          <w:rFonts w:hint="eastAsia" w:ascii="宋体" w:hAnsi="宋体" w:eastAsia="宋体" w:cs="宋体"/>
          <w:b/>
          <w:color w:val="auto"/>
          <w:sz w:val="24"/>
          <w:szCs w:val="24"/>
          <w:lang w:eastAsia="zh-CN"/>
        </w:rPr>
      </w:pPr>
    </w:p>
    <w:p w14:paraId="2646D6B8">
      <w:pPr>
        <w:spacing w:line="560" w:lineRule="exact"/>
        <w:ind w:firstLine="504"/>
        <w:rPr>
          <w:rFonts w:hint="eastAsia" w:ascii="宋体" w:hAnsi="宋体" w:eastAsia="宋体" w:cs="宋体"/>
          <w:b/>
          <w:color w:val="auto"/>
          <w:sz w:val="24"/>
          <w:szCs w:val="24"/>
          <w:lang w:eastAsia="zh-CN"/>
        </w:rPr>
      </w:pPr>
    </w:p>
    <w:p w14:paraId="06A81FAC">
      <w:pPr>
        <w:spacing w:line="560" w:lineRule="exact"/>
        <w:ind w:firstLine="504"/>
        <w:rPr>
          <w:rFonts w:hint="eastAsia" w:ascii="宋体" w:hAnsi="宋体" w:eastAsia="宋体" w:cs="宋体"/>
          <w:b/>
          <w:color w:val="auto"/>
          <w:sz w:val="24"/>
          <w:szCs w:val="24"/>
          <w:lang w:eastAsia="zh-CN"/>
        </w:rPr>
      </w:pPr>
    </w:p>
    <w:p w14:paraId="7AD3C041">
      <w:pPr>
        <w:spacing w:line="560" w:lineRule="exact"/>
        <w:rPr>
          <w:rFonts w:hint="eastAsia" w:ascii="宋体" w:hAnsi="宋体" w:eastAsia="宋体" w:cs="宋体"/>
          <w:b/>
          <w:color w:val="auto"/>
          <w:sz w:val="24"/>
          <w:szCs w:val="24"/>
          <w:lang w:eastAsia="zh-CN"/>
        </w:rPr>
      </w:pPr>
    </w:p>
    <w:p w14:paraId="2883755A">
      <w:pPr>
        <w:spacing w:line="560" w:lineRule="exact"/>
        <w:ind w:firstLine="482" w:firstLineChars="200"/>
        <w:rPr>
          <w:rFonts w:hint="eastAsia" w:ascii="宋体" w:hAnsi="宋体" w:eastAsia="宋体" w:cs="宋体"/>
          <w:b/>
          <w:color w:val="auto"/>
          <w:sz w:val="24"/>
          <w:szCs w:val="24"/>
          <w:lang w:eastAsia="zh-CN"/>
        </w:rPr>
      </w:pPr>
      <w:r>
        <w:rPr>
          <w:rFonts w:hint="eastAsia" w:ascii="宋体" w:hAnsi="宋体" w:eastAsia="宋体" w:cs="宋体"/>
          <w:b/>
          <w:color w:val="auto"/>
          <w:sz w:val="24"/>
          <w:szCs w:val="24"/>
          <w:lang w:eastAsia="zh-CN"/>
        </w:rPr>
        <w:t>项目名称：</w:t>
      </w:r>
    </w:p>
    <w:p w14:paraId="5639BB5C">
      <w:pPr>
        <w:pStyle w:val="13"/>
        <w:spacing w:line="560" w:lineRule="exact"/>
        <w:rPr>
          <w:rFonts w:hint="eastAsia" w:ascii="宋体" w:hAnsi="宋体" w:cs="宋体"/>
          <w:color w:val="auto"/>
          <w:sz w:val="24"/>
          <w:szCs w:val="24"/>
        </w:rPr>
      </w:pPr>
    </w:p>
    <w:p w14:paraId="7FD5A510">
      <w:pPr>
        <w:spacing w:line="560" w:lineRule="exact"/>
        <w:ind w:firstLine="482" w:firstLineChars="200"/>
        <w:rPr>
          <w:rFonts w:hint="eastAsia" w:ascii="宋体" w:hAnsi="宋体" w:eastAsia="宋体" w:cs="宋体"/>
          <w:b/>
          <w:color w:val="auto"/>
          <w:sz w:val="24"/>
          <w:szCs w:val="24"/>
          <w:lang w:eastAsia="zh-CN"/>
        </w:rPr>
      </w:pPr>
      <w:r>
        <w:rPr>
          <w:rFonts w:hint="eastAsia" w:ascii="宋体" w:hAnsi="宋体" w:eastAsia="宋体" w:cs="宋体"/>
          <w:b/>
          <w:color w:val="auto"/>
          <w:sz w:val="24"/>
          <w:szCs w:val="24"/>
          <w:lang w:eastAsia="zh-CN"/>
        </w:rPr>
        <w:t>项目编号：</w:t>
      </w:r>
    </w:p>
    <w:p w14:paraId="422A658D">
      <w:pPr>
        <w:spacing w:line="560" w:lineRule="exact"/>
        <w:ind w:firstLine="504"/>
        <w:rPr>
          <w:rFonts w:hint="eastAsia" w:ascii="宋体" w:hAnsi="宋体" w:eastAsia="宋体" w:cs="宋体"/>
          <w:b/>
          <w:color w:val="auto"/>
          <w:sz w:val="24"/>
          <w:szCs w:val="24"/>
          <w:lang w:eastAsia="zh-CN"/>
        </w:rPr>
      </w:pPr>
      <w:r>
        <w:rPr>
          <w:rFonts w:hint="eastAsia" w:ascii="宋体" w:hAnsi="宋体" w:eastAsia="宋体" w:cs="宋体"/>
          <w:b/>
          <w:color w:val="auto"/>
          <w:sz w:val="24"/>
          <w:szCs w:val="24"/>
          <w:lang w:eastAsia="zh-CN"/>
        </w:rPr>
        <w:t xml:space="preserve">            </w:t>
      </w:r>
    </w:p>
    <w:p w14:paraId="6F86AD1C">
      <w:pPr>
        <w:spacing w:line="560" w:lineRule="exact"/>
        <w:ind w:firstLine="504"/>
        <w:rPr>
          <w:rFonts w:hint="eastAsia" w:ascii="宋体" w:hAnsi="宋体" w:eastAsia="宋体" w:cs="宋体"/>
          <w:b/>
          <w:color w:val="auto"/>
          <w:sz w:val="24"/>
          <w:szCs w:val="24"/>
          <w:lang w:eastAsia="zh-CN"/>
        </w:rPr>
      </w:pPr>
      <w:r>
        <w:rPr>
          <w:rFonts w:hint="eastAsia" w:ascii="宋体" w:hAnsi="宋体" w:eastAsia="宋体" w:cs="宋体"/>
          <w:b/>
          <w:color w:val="auto"/>
          <w:sz w:val="24"/>
          <w:szCs w:val="24"/>
          <w:lang w:eastAsia="zh-CN"/>
        </w:rPr>
        <w:t>投标人名称（盖章）：</w:t>
      </w:r>
    </w:p>
    <w:p w14:paraId="1CABF1AD">
      <w:pPr>
        <w:spacing w:line="560" w:lineRule="exact"/>
        <w:ind w:firstLine="504"/>
        <w:rPr>
          <w:rFonts w:hint="eastAsia" w:ascii="宋体" w:hAnsi="宋体" w:eastAsia="宋体" w:cs="宋体"/>
          <w:b/>
          <w:color w:val="auto"/>
          <w:sz w:val="24"/>
          <w:szCs w:val="24"/>
          <w:lang w:eastAsia="zh-CN"/>
        </w:rPr>
      </w:pPr>
    </w:p>
    <w:p w14:paraId="0B633FE9">
      <w:pPr>
        <w:spacing w:line="560" w:lineRule="exact"/>
        <w:ind w:firstLine="504"/>
        <w:rPr>
          <w:rFonts w:hint="eastAsia" w:ascii="宋体" w:hAnsi="宋体" w:eastAsia="宋体" w:cs="宋体"/>
          <w:b/>
          <w:color w:val="auto"/>
          <w:sz w:val="24"/>
          <w:szCs w:val="24"/>
          <w:lang w:eastAsia="zh-CN"/>
        </w:rPr>
      </w:pPr>
      <w:r>
        <w:rPr>
          <w:rFonts w:hint="eastAsia" w:ascii="宋体" w:hAnsi="宋体" w:eastAsia="宋体" w:cs="宋体"/>
          <w:b/>
          <w:color w:val="auto"/>
          <w:sz w:val="24"/>
          <w:szCs w:val="24"/>
          <w:lang w:eastAsia="zh-CN"/>
        </w:rPr>
        <w:t>被授权人（签字或盖章）：</w:t>
      </w:r>
    </w:p>
    <w:p w14:paraId="79977AC0">
      <w:pPr>
        <w:spacing w:line="560" w:lineRule="exact"/>
        <w:ind w:firstLine="504"/>
        <w:rPr>
          <w:rFonts w:hint="eastAsia" w:ascii="宋体" w:hAnsi="宋体" w:eastAsia="宋体" w:cs="宋体"/>
          <w:b/>
          <w:color w:val="auto"/>
          <w:sz w:val="24"/>
          <w:szCs w:val="24"/>
          <w:lang w:eastAsia="zh-CN"/>
        </w:rPr>
      </w:pPr>
    </w:p>
    <w:p w14:paraId="434CFEED">
      <w:pPr>
        <w:spacing w:line="560" w:lineRule="exact"/>
        <w:ind w:firstLine="504"/>
        <w:rPr>
          <w:rFonts w:hint="eastAsia" w:ascii="宋体" w:hAnsi="宋体" w:eastAsia="宋体" w:cs="宋体"/>
          <w:b/>
          <w:color w:val="auto"/>
          <w:sz w:val="24"/>
          <w:szCs w:val="24"/>
          <w:lang w:eastAsia="zh-CN"/>
        </w:rPr>
      </w:pPr>
      <w:r>
        <w:rPr>
          <w:rFonts w:hint="eastAsia" w:ascii="宋体" w:hAnsi="宋体" w:eastAsia="宋体" w:cs="宋体"/>
          <w:b/>
          <w:color w:val="auto"/>
          <w:sz w:val="24"/>
          <w:szCs w:val="24"/>
          <w:lang w:eastAsia="zh-CN"/>
        </w:rPr>
        <w:t xml:space="preserve">项目联系人： </w:t>
      </w:r>
    </w:p>
    <w:p w14:paraId="7BDCA894">
      <w:pPr>
        <w:spacing w:line="560" w:lineRule="exact"/>
        <w:ind w:firstLine="504"/>
        <w:rPr>
          <w:rFonts w:hint="eastAsia" w:ascii="宋体" w:hAnsi="宋体" w:eastAsia="宋体" w:cs="宋体"/>
          <w:b/>
          <w:color w:val="auto"/>
          <w:sz w:val="24"/>
          <w:szCs w:val="24"/>
          <w:lang w:eastAsia="zh-CN"/>
        </w:rPr>
      </w:pPr>
    </w:p>
    <w:p w14:paraId="5B3C37D7">
      <w:pPr>
        <w:spacing w:line="560" w:lineRule="exact"/>
        <w:ind w:firstLine="504"/>
        <w:rPr>
          <w:rFonts w:hint="eastAsia" w:ascii="宋体" w:hAnsi="宋体" w:eastAsia="宋体" w:cs="宋体"/>
          <w:b/>
          <w:color w:val="auto"/>
          <w:sz w:val="24"/>
          <w:szCs w:val="24"/>
          <w:lang w:eastAsia="zh-CN"/>
        </w:rPr>
      </w:pPr>
      <w:r>
        <w:rPr>
          <w:rFonts w:hint="eastAsia" w:ascii="宋体" w:hAnsi="宋体" w:eastAsia="宋体" w:cs="宋体"/>
          <w:b/>
          <w:color w:val="auto"/>
          <w:sz w:val="24"/>
          <w:szCs w:val="24"/>
          <w:lang w:eastAsia="zh-CN"/>
        </w:rPr>
        <w:t>联系电话：</w:t>
      </w:r>
    </w:p>
    <w:p w14:paraId="30371989">
      <w:pPr>
        <w:spacing w:line="560" w:lineRule="exact"/>
        <w:ind w:firstLine="504"/>
        <w:rPr>
          <w:rFonts w:hint="eastAsia" w:ascii="宋体" w:hAnsi="宋体" w:eastAsia="宋体" w:cs="宋体"/>
          <w:b/>
          <w:color w:val="auto"/>
          <w:sz w:val="24"/>
          <w:szCs w:val="24"/>
          <w:lang w:eastAsia="zh-CN"/>
        </w:rPr>
      </w:pPr>
    </w:p>
    <w:p w14:paraId="4CDB5BDC">
      <w:pPr>
        <w:spacing w:line="560" w:lineRule="exact"/>
        <w:ind w:firstLine="504"/>
        <w:rPr>
          <w:rFonts w:hint="eastAsia" w:ascii="宋体" w:hAnsi="宋体" w:eastAsia="宋体" w:cs="宋体"/>
          <w:b/>
          <w:color w:val="auto"/>
          <w:sz w:val="24"/>
          <w:szCs w:val="24"/>
          <w:lang w:eastAsia="zh-CN"/>
        </w:rPr>
      </w:pPr>
      <w:r>
        <w:rPr>
          <w:rFonts w:hint="eastAsia" w:ascii="宋体" w:hAnsi="宋体" w:eastAsia="宋体" w:cs="宋体"/>
          <w:b/>
          <w:color w:val="auto"/>
          <w:sz w:val="24"/>
          <w:szCs w:val="24"/>
          <w:lang w:eastAsia="zh-CN"/>
        </w:rPr>
        <w:t>编制时间：</w:t>
      </w:r>
    </w:p>
    <w:p w14:paraId="165FDE84">
      <w:pPr>
        <w:spacing w:line="560" w:lineRule="exact"/>
        <w:jc w:val="center"/>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br w:type="page"/>
      </w:r>
      <w:r>
        <w:rPr>
          <w:rFonts w:hint="eastAsia" w:ascii="宋体" w:hAnsi="宋体" w:eastAsia="宋体" w:cs="宋体"/>
          <w:b/>
          <w:bCs/>
          <w:color w:val="auto"/>
          <w:sz w:val="24"/>
          <w:szCs w:val="24"/>
          <w:lang w:eastAsia="zh-CN"/>
        </w:rPr>
        <w:t>目录</w:t>
      </w:r>
    </w:p>
    <w:p w14:paraId="76E82E63">
      <w:pPr>
        <w:tabs>
          <w:tab w:val="left" w:pos="3480"/>
        </w:tabs>
        <w:spacing w:line="560" w:lineRule="exact"/>
        <w:ind w:firstLine="480" w:firstLineChars="200"/>
        <w:rPr>
          <w:rFonts w:hint="eastAsia" w:ascii="宋体" w:hAnsi="宋体" w:eastAsia="宋体" w:cs="宋体"/>
          <w:color w:val="auto"/>
          <w:sz w:val="24"/>
          <w:szCs w:val="24"/>
          <w:lang w:eastAsia="zh-CN"/>
        </w:rPr>
      </w:pPr>
      <w:bookmarkStart w:id="138" w:name="_Toc217446082"/>
    </w:p>
    <w:p w14:paraId="44489442">
      <w:pPr>
        <w:tabs>
          <w:tab w:val="left" w:pos="3480"/>
        </w:tabs>
        <w:spacing w:line="56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一、投标函</w:t>
      </w:r>
    </w:p>
    <w:p w14:paraId="2F6C9167">
      <w:pPr>
        <w:tabs>
          <w:tab w:val="left" w:pos="3480"/>
        </w:tabs>
        <w:spacing w:line="56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二、报价</w:t>
      </w:r>
      <w:r>
        <w:rPr>
          <w:rFonts w:hint="eastAsia" w:ascii="宋体" w:hAnsi="宋体" w:eastAsia="宋体" w:cs="宋体"/>
          <w:color w:val="auto"/>
          <w:sz w:val="24"/>
          <w:szCs w:val="24"/>
          <w:lang w:val="en-US" w:eastAsia="zh-CN"/>
        </w:rPr>
        <w:t>一览</w:t>
      </w:r>
      <w:r>
        <w:rPr>
          <w:rFonts w:hint="eastAsia" w:ascii="宋体" w:hAnsi="宋体" w:eastAsia="宋体" w:cs="宋体"/>
          <w:color w:val="auto"/>
          <w:sz w:val="24"/>
          <w:szCs w:val="24"/>
          <w:lang w:eastAsia="zh-CN"/>
        </w:rPr>
        <w:t>表</w:t>
      </w:r>
    </w:p>
    <w:p w14:paraId="7312E5B2">
      <w:pPr>
        <w:tabs>
          <w:tab w:val="left" w:pos="3480"/>
        </w:tabs>
        <w:spacing w:line="56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三、身份证明书及授权委托书</w:t>
      </w:r>
    </w:p>
    <w:p w14:paraId="3702D03B">
      <w:pPr>
        <w:tabs>
          <w:tab w:val="left" w:pos="3480"/>
        </w:tabs>
        <w:spacing w:line="56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四、投标人承诺函</w:t>
      </w:r>
    </w:p>
    <w:p w14:paraId="01FB36F0">
      <w:pPr>
        <w:tabs>
          <w:tab w:val="left" w:pos="3480"/>
        </w:tabs>
        <w:spacing w:line="56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五、投标人基本情况表</w:t>
      </w:r>
    </w:p>
    <w:p w14:paraId="1D773DF3">
      <w:pPr>
        <w:tabs>
          <w:tab w:val="left" w:pos="3480"/>
        </w:tabs>
        <w:spacing w:line="56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六、项目负责人</w:t>
      </w:r>
    </w:p>
    <w:p w14:paraId="029065EE">
      <w:pPr>
        <w:tabs>
          <w:tab w:val="left" w:pos="3480"/>
        </w:tabs>
        <w:spacing w:line="56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七、拟配备人员情况</w:t>
      </w:r>
    </w:p>
    <w:p w14:paraId="78A30CFC">
      <w:pPr>
        <w:tabs>
          <w:tab w:val="left" w:pos="3480"/>
        </w:tabs>
        <w:spacing w:line="56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八、拟投入本项目的主要设备设施表</w:t>
      </w:r>
    </w:p>
    <w:p w14:paraId="2236223A">
      <w:pPr>
        <w:tabs>
          <w:tab w:val="left" w:pos="3480"/>
        </w:tabs>
        <w:spacing w:line="56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九、供应商近年类似业绩情况表</w:t>
      </w:r>
    </w:p>
    <w:p w14:paraId="11CBCD3C">
      <w:pPr>
        <w:tabs>
          <w:tab w:val="left" w:pos="3480"/>
        </w:tabs>
        <w:spacing w:line="56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十、商务、</w:t>
      </w:r>
      <w:r>
        <w:rPr>
          <w:rFonts w:hint="eastAsia" w:ascii="宋体" w:hAnsi="宋体" w:eastAsia="宋体" w:cs="宋体"/>
          <w:color w:val="auto"/>
          <w:sz w:val="24"/>
          <w:szCs w:val="24"/>
          <w:lang w:val="en-US" w:eastAsia="zh-CN"/>
        </w:rPr>
        <w:t>技术要求</w:t>
      </w:r>
      <w:r>
        <w:rPr>
          <w:rFonts w:hint="eastAsia" w:ascii="宋体" w:hAnsi="宋体" w:eastAsia="宋体" w:cs="宋体"/>
          <w:color w:val="auto"/>
          <w:sz w:val="24"/>
          <w:szCs w:val="24"/>
          <w:lang w:eastAsia="zh-CN"/>
        </w:rPr>
        <w:t>偏离表</w:t>
      </w:r>
    </w:p>
    <w:p w14:paraId="528D392F">
      <w:pPr>
        <w:tabs>
          <w:tab w:val="left" w:pos="3480"/>
        </w:tabs>
        <w:spacing w:line="56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十一、服务方案</w:t>
      </w:r>
    </w:p>
    <w:p w14:paraId="0ED7975E">
      <w:pPr>
        <w:tabs>
          <w:tab w:val="left" w:pos="3480"/>
        </w:tabs>
        <w:spacing w:line="56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十二、政府采购政策</w:t>
      </w:r>
    </w:p>
    <w:p w14:paraId="7FD6BC13">
      <w:pPr>
        <w:tabs>
          <w:tab w:val="left" w:pos="3480"/>
        </w:tabs>
        <w:spacing w:line="56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十三、投标人认为需要提供的资料</w:t>
      </w:r>
    </w:p>
    <w:p w14:paraId="6BFA1751">
      <w:pPr>
        <w:pStyle w:val="6"/>
        <w:spacing w:line="560" w:lineRule="exact"/>
        <w:ind w:firstLine="480"/>
        <w:rPr>
          <w:rFonts w:hint="eastAsia" w:ascii="宋体" w:hAnsi="宋体" w:cs="宋体"/>
          <w:color w:val="auto"/>
          <w:sz w:val="24"/>
        </w:rPr>
      </w:pPr>
    </w:p>
    <w:p w14:paraId="745D6659">
      <w:pPr>
        <w:spacing w:line="56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（备注：投标人应按以上目录顺序编排投标文件，并标注相应页码）。</w:t>
      </w:r>
    </w:p>
    <w:p w14:paraId="3E2C6223">
      <w:pPr>
        <w:spacing w:line="560" w:lineRule="exact"/>
        <w:rPr>
          <w:rFonts w:hint="eastAsia" w:ascii="宋体" w:hAnsi="宋体" w:eastAsia="宋体" w:cs="宋体"/>
          <w:color w:val="auto"/>
          <w:sz w:val="24"/>
          <w:szCs w:val="24"/>
          <w:lang w:eastAsia="zh-CN"/>
        </w:rPr>
      </w:pPr>
    </w:p>
    <w:p w14:paraId="47BDB1A8">
      <w:pPr>
        <w:spacing w:line="560" w:lineRule="exact"/>
        <w:rPr>
          <w:rFonts w:hint="eastAsia" w:ascii="宋体" w:hAnsi="宋体" w:eastAsia="宋体" w:cs="宋体"/>
          <w:color w:val="auto"/>
          <w:sz w:val="24"/>
          <w:szCs w:val="24"/>
          <w:lang w:eastAsia="zh-CN"/>
        </w:rPr>
      </w:pPr>
    </w:p>
    <w:p w14:paraId="535544CF">
      <w:pPr>
        <w:spacing w:line="560" w:lineRule="exact"/>
        <w:rPr>
          <w:rFonts w:hint="eastAsia" w:ascii="宋体" w:hAnsi="宋体" w:eastAsia="宋体" w:cs="宋体"/>
          <w:color w:val="auto"/>
          <w:sz w:val="24"/>
          <w:szCs w:val="24"/>
          <w:lang w:eastAsia="zh-CN"/>
        </w:rPr>
      </w:pPr>
    </w:p>
    <w:p w14:paraId="093D9DAF">
      <w:pPr>
        <w:spacing w:line="560" w:lineRule="exact"/>
        <w:jc w:val="center"/>
        <w:rPr>
          <w:rFonts w:hint="eastAsia" w:ascii="宋体" w:hAnsi="宋体" w:eastAsia="宋体" w:cs="宋体"/>
          <w:color w:val="auto"/>
          <w:sz w:val="24"/>
          <w:szCs w:val="24"/>
          <w:lang w:eastAsia="zh-CN"/>
        </w:rPr>
      </w:pPr>
    </w:p>
    <w:p w14:paraId="1BD6E5F1">
      <w:pPr>
        <w:spacing w:line="560" w:lineRule="exact"/>
        <w:rPr>
          <w:rFonts w:hint="eastAsia" w:ascii="宋体" w:hAnsi="宋体" w:eastAsia="宋体" w:cs="宋体"/>
          <w:color w:val="auto"/>
          <w:sz w:val="24"/>
          <w:szCs w:val="24"/>
          <w:lang w:eastAsia="zh-CN"/>
        </w:rPr>
      </w:pPr>
    </w:p>
    <w:p w14:paraId="1E401E34">
      <w:pPr>
        <w:pStyle w:val="13"/>
        <w:spacing w:line="560" w:lineRule="exact"/>
        <w:rPr>
          <w:rFonts w:hint="eastAsia" w:ascii="宋体" w:hAnsi="宋体" w:cs="宋体"/>
          <w:color w:val="auto"/>
          <w:sz w:val="24"/>
          <w:szCs w:val="24"/>
        </w:rPr>
      </w:pPr>
    </w:p>
    <w:p w14:paraId="1CD36797">
      <w:pPr>
        <w:spacing w:line="560" w:lineRule="exact"/>
        <w:rPr>
          <w:rFonts w:hint="eastAsia" w:ascii="宋体" w:hAnsi="宋体" w:eastAsia="宋体" w:cs="宋体"/>
          <w:color w:val="auto"/>
          <w:sz w:val="24"/>
          <w:szCs w:val="24"/>
          <w:lang w:eastAsia="zh-CN"/>
        </w:rPr>
      </w:pPr>
    </w:p>
    <w:p w14:paraId="7539D642">
      <w:pPr>
        <w:pStyle w:val="13"/>
        <w:spacing w:line="560" w:lineRule="exact"/>
        <w:rPr>
          <w:rFonts w:hint="eastAsia" w:ascii="宋体" w:hAnsi="宋体" w:cs="宋体"/>
          <w:color w:val="auto"/>
          <w:sz w:val="24"/>
          <w:szCs w:val="24"/>
        </w:rPr>
      </w:pPr>
    </w:p>
    <w:p w14:paraId="46DD89FA">
      <w:pPr>
        <w:spacing w:line="560" w:lineRule="exact"/>
        <w:jc w:val="center"/>
        <w:outlineLvl w:val="1"/>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br w:type="page"/>
      </w:r>
      <w:r>
        <w:rPr>
          <w:rFonts w:hint="eastAsia" w:ascii="宋体" w:hAnsi="宋体" w:eastAsia="宋体" w:cs="宋体"/>
          <w:b/>
          <w:bCs/>
          <w:color w:val="auto"/>
          <w:sz w:val="24"/>
          <w:szCs w:val="24"/>
          <w:lang w:eastAsia="zh-CN"/>
        </w:rPr>
        <w:t>一、</w:t>
      </w:r>
      <w:bookmarkEnd w:id="138"/>
      <w:r>
        <w:rPr>
          <w:rFonts w:hint="eastAsia" w:ascii="宋体" w:hAnsi="宋体" w:eastAsia="宋体" w:cs="宋体"/>
          <w:b/>
          <w:bCs/>
          <w:color w:val="auto"/>
          <w:sz w:val="24"/>
          <w:szCs w:val="24"/>
          <w:lang w:eastAsia="zh-CN"/>
        </w:rPr>
        <w:t>投标函</w:t>
      </w:r>
    </w:p>
    <w:p w14:paraId="3C031A28">
      <w:pPr>
        <w:pStyle w:val="21"/>
        <w:spacing w:after="0" w:line="520" w:lineRule="exact"/>
        <w:ind w:left="0" w:leftChars="0"/>
        <w:rPr>
          <w:rFonts w:hint="eastAsia" w:ascii="宋体" w:hAnsi="宋体" w:cs="宋体"/>
          <w:bCs/>
          <w:color w:val="auto"/>
          <w:sz w:val="24"/>
          <w:szCs w:val="24"/>
          <w:lang w:eastAsia="zh-CN"/>
        </w:rPr>
      </w:pPr>
      <w:r>
        <w:rPr>
          <w:rFonts w:hint="eastAsia" w:ascii="宋体" w:hAnsi="宋体" w:cs="宋体"/>
          <w:bCs/>
          <w:color w:val="auto"/>
          <w:sz w:val="24"/>
          <w:szCs w:val="24"/>
          <w:lang w:eastAsia="zh-CN"/>
        </w:rPr>
        <w:t>__________（采购人）：</w:t>
      </w:r>
    </w:p>
    <w:p w14:paraId="5E0F3E4E">
      <w:pPr>
        <w:pStyle w:val="21"/>
        <w:spacing w:after="0" w:line="520" w:lineRule="exact"/>
        <w:ind w:left="0" w:leftChars="0" w:firstLine="480" w:firstLineChars="200"/>
        <w:rPr>
          <w:rFonts w:hint="eastAsia" w:ascii="宋体" w:hAnsi="宋体" w:cs="宋体"/>
          <w:bCs/>
          <w:color w:val="auto"/>
          <w:sz w:val="24"/>
          <w:szCs w:val="24"/>
          <w:lang w:eastAsia="zh-CN"/>
        </w:rPr>
      </w:pPr>
      <w:r>
        <w:rPr>
          <w:rFonts w:hint="eastAsia" w:ascii="宋体" w:hAnsi="宋体" w:cs="宋体"/>
          <w:bCs/>
          <w:color w:val="auto"/>
          <w:sz w:val="24"/>
          <w:szCs w:val="24"/>
          <w:lang w:eastAsia="zh-CN"/>
        </w:rPr>
        <w:t>我方全面研究了 “</w:t>
      </w:r>
      <w:r>
        <w:rPr>
          <w:rFonts w:hint="eastAsia" w:ascii="宋体" w:hAnsi="宋体" w:cs="宋体"/>
          <w:bCs/>
          <w:color w:val="auto"/>
          <w:sz w:val="24"/>
          <w:szCs w:val="24"/>
          <w:u w:val="single"/>
          <w:lang w:eastAsia="zh-CN"/>
        </w:rPr>
        <w:t xml:space="preserve">         </w:t>
      </w:r>
      <w:r>
        <w:rPr>
          <w:rFonts w:hint="eastAsia" w:ascii="宋体" w:hAnsi="宋体" w:cs="宋体"/>
          <w:bCs/>
          <w:color w:val="auto"/>
          <w:sz w:val="24"/>
          <w:szCs w:val="24"/>
          <w:lang w:eastAsia="zh-CN"/>
        </w:rPr>
        <w:t>（项目名称、项目编号）”项目招标文件，决定参加贵单位组织的本项目投标。我方授权</w:t>
      </w:r>
      <w:r>
        <w:rPr>
          <w:rFonts w:hint="eastAsia" w:ascii="宋体" w:hAnsi="宋体" w:cs="宋体"/>
          <w:bCs/>
          <w:color w:val="auto"/>
          <w:sz w:val="24"/>
          <w:szCs w:val="24"/>
          <w:u w:val="single"/>
          <w:lang w:eastAsia="zh-CN"/>
        </w:rPr>
        <w:t xml:space="preserve">    </w:t>
      </w:r>
      <w:r>
        <w:rPr>
          <w:rFonts w:hint="eastAsia" w:ascii="宋体" w:hAnsi="宋体" w:cs="宋体"/>
          <w:bCs/>
          <w:color w:val="auto"/>
          <w:sz w:val="24"/>
          <w:szCs w:val="24"/>
          <w:lang w:eastAsia="zh-CN"/>
        </w:rPr>
        <w:t>（姓名、职务）代表我方</w:t>
      </w:r>
      <w:r>
        <w:rPr>
          <w:rFonts w:hint="eastAsia" w:ascii="宋体" w:hAnsi="宋体" w:cs="宋体"/>
          <w:bCs/>
          <w:color w:val="auto"/>
          <w:sz w:val="24"/>
          <w:szCs w:val="24"/>
          <w:u w:val="single"/>
          <w:lang w:eastAsia="zh-CN"/>
        </w:rPr>
        <w:t xml:space="preserve">        </w:t>
      </w:r>
      <w:r>
        <w:rPr>
          <w:rFonts w:hint="eastAsia" w:ascii="宋体" w:hAnsi="宋体" w:cs="宋体"/>
          <w:bCs/>
          <w:color w:val="auto"/>
          <w:sz w:val="24"/>
          <w:szCs w:val="24"/>
          <w:lang w:eastAsia="zh-CN"/>
        </w:rPr>
        <w:t>（投标人的名称）全权处理本项目投标的有关事宜。</w:t>
      </w:r>
    </w:p>
    <w:p w14:paraId="09D62502">
      <w:pPr>
        <w:pStyle w:val="21"/>
        <w:spacing w:after="0" w:line="520" w:lineRule="exact"/>
        <w:ind w:left="0" w:leftChars="0" w:firstLine="480" w:firstLineChars="200"/>
        <w:rPr>
          <w:rFonts w:hint="eastAsia" w:ascii="宋体" w:hAnsi="宋体" w:cs="宋体"/>
          <w:bCs/>
          <w:color w:val="auto"/>
          <w:sz w:val="24"/>
          <w:szCs w:val="24"/>
          <w:lang w:eastAsia="zh-CN"/>
        </w:rPr>
      </w:pPr>
      <w:r>
        <w:rPr>
          <w:rFonts w:hint="eastAsia" w:ascii="宋体" w:hAnsi="宋体" w:cs="宋体"/>
          <w:bCs/>
          <w:color w:val="auto"/>
          <w:sz w:val="24"/>
          <w:szCs w:val="24"/>
          <w:lang w:eastAsia="zh-CN"/>
        </w:rPr>
        <w:t>1、我方自愿按照招标文件规定的各项要求向采购人提供所需服务，</w:t>
      </w:r>
      <w:r>
        <w:rPr>
          <w:rFonts w:hint="eastAsia" w:ascii="宋体" w:hAnsi="宋体" w:cs="宋体"/>
          <w:bCs/>
          <w:color w:val="auto"/>
          <w:sz w:val="24"/>
          <w:szCs w:val="24"/>
          <w:lang w:val="en-US" w:eastAsia="zh-CN"/>
        </w:rPr>
        <w:t>投标报价</w:t>
      </w:r>
      <w:r>
        <w:rPr>
          <w:rFonts w:hint="eastAsia" w:ascii="宋体" w:hAnsi="宋体" w:cs="宋体"/>
          <w:bCs/>
          <w:color w:val="auto"/>
          <w:sz w:val="24"/>
          <w:szCs w:val="24"/>
          <w:u w:val="none"/>
          <w:lang w:val="en-US" w:eastAsia="zh-CN"/>
        </w:rPr>
        <w:t>为</w:t>
      </w:r>
      <w:r>
        <w:rPr>
          <w:rFonts w:hint="eastAsia" w:ascii="宋体" w:hAnsi="宋体" w:cs="宋体"/>
          <w:bCs/>
          <w:color w:val="auto"/>
          <w:sz w:val="24"/>
          <w:szCs w:val="24"/>
          <w:u w:val="single"/>
          <w:lang w:val="en-US" w:eastAsia="zh-CN"/>
        </w:rPr>
        <w:t xml:space="preserve">        </w:t>
      </w:r>
      <w:r>
        <w:rPr>
          <w:rFonts w:hint="eastAsia" w:ascii="宋体" w:hAnsi="宋体" w:cs="宋体"/>
          <w:bCs/>
          <w:color w:val="auto"/>
          <w:sz w:val="24"/>
          <w:szCs w:val="24"/>
          <w:lang w:eastAsia="zh-CN"/>
        </w:rPr>
        <w:t>，投标有效期</w:t>
      </w:r>
      <w:r>
        <w:rPr>
          <w:rFonts w:hint="eastAsia" w:ascii="宋体" w:hAnsi="宋体" w:cs="宋体"/>
          <w:bCs/>
          <w:color w:val="auto"/>
          <w:sz w:val="24"/>
          <w:szCs w:val="24"/>
          <w:u w:val="single"/>
          <w:lang w:eastAsia="zh-CN"/>
        </w:rPr>
        <w:t xml:space="preserve"> 从提交投标文件的截止之日起90天 </w:t>
      </w:r>
      <w:r>
        <w:rPr>
          <w:rFonts w:hint="eastAsia" w:ascii="宋体" w:hAnsi="宋体" w:cs="宋体"/>
          <w:bCs/>
          <w:color w:val="auto"/>
          <w:sz w:val="24"/>
          <w:szCs w:val="24"/>
          <w:lang w:eastAsia="zh-CN"/>
        </w:rPr>
        <w:t>。</w:t>
      </w:r>
    </w:p>
    <w:p w14:paraId="77567C10">
      <w:pPr>
        <w:spacing w:line="360" w:lineRule="auto"/>
        <w:ind w:firstLine="480" w:firstLineChars="200"/>
        <w:rPr>
          <w:rFonts w:hint="eastAsia" w:ascii="宋体" w:hAnsi="宋体" w:eastAsia="宋体" w:cs="宋体"/>
          <w:bCs/>
          <w:color w:val="auto"/>
          <w:sz w:val="24"/>
          <w:szCs w:val="24"/>
          <w:u w:val="single"/>
          <w:lang w:eastAsia="zh-CN"/>
        </w:rPr>
      </w:pPr>
      <w:r>
        <w:rPr>
          <w:rFonts w:hint="eastAsia" w:ascii="宋体" w:hAnsi="宋体" w:eastAsia="宋体" w:cs="宋体"/>
          <w:bCs/>
          <w:color w:val="auto"/>
          <w:sz w:val="24"/>
          <w:szCs w:val="24"/>
          <w:lang w:eastAsia="zh-CN"/>
        </w:rPr>
        <w:t>2、一旦我方成交，我方将严格履行合同规定的责任和义务，服务期为：</w:t>
      </w:r>
      <w:r>
        <w:rPr>
          <w:rFonts w:hint="eastAsia" w:ascii="宋体" w:hAnsi="宋体" w:eastAsia="宋体" w:cs="宋体"/>
          <w:bCs/>
          <w:color w:val="auto"/>
          <w:sz w:val="24"/>
          <w:szCs w:val="24"/>
          <w:u w:val="single"/>
          <w:lang w:eastAsia="zh-CN"/>
        </w:rPr>
        <w:t>合同签订之日起</w:t>
      </w:r>
      <w:r>
        <w:rPr>
          <w:rFonts w:hint="eastAsia" w:ascii="宋体" w:hAnsi="宋体" w:eastAsia="宋体" w:cs="宋体"/>
          <w:bCs/>
          <w:color w:val="auto"/>
          <w:sz w:val="24"/>
          <w:szCs w:val="24"/>
          <w:u w:val="single"/>
          <w:lang w:val="en-US" w:eastAsia="zh-CN"/>
        </w:rPr>
        <w:t>30天内完成相关维护保养内容</w:t>
      </w:r>
      <w:r>
        <w:rPr>
          <w:rFonts w:hint="eastAsia" w:ascii="宋体" w:hAnsi="宋体" w:eastAsia="宋体" w:cs="宋体"/>
          <w:color w:val="auto"/>
          <w:sz w:val="24"/>
          <w:szCs w:val="24"/>
          <w:u w:val="single"/>
          <w:lang w:eastAsia="zh-CN"/>
        </w:rPr>
        <w:t>，</w:t>
      </w:r>
      <w:r>
        <w:rPr>
          <w:rFonts w:hint="eastAsia" w:ascii="宋体" w:hAnsi="宋体" w:eastAsia="宋体" w:cs="宋体"/>
          <w:bCs/>
          <w:color w:val="auto"/>
          <w:sz w:val="24"/>
          <w:szCs w:val="24"/>
          <w:lang w:eastAsia="zh-CN"/>
        </w:rPr>
        <w:t>服务地点为：</w:t>
      </w:r>
      <w:r>
        <w:rPr>
          <w:rFonts w:hint="eastAsia" w:ascii="宋体" w:hAnsi="宋体" w:eastAsia="宋体" w:cs="宋体"/>
          <w:bCs/>
          <w:color w:val="auto"/>
          <w:sz w:val="24"/>
          <w:szCs w:val="24"/>
          <w:u w:val="single"/>
          <w:lang w:val="en-US" w:eastAsia="zh-CN"/>
        </w:rPr>
        <w:t>业主指定地点</w:t>
      </w:r>
      <w:r>
        <w:rPr>
          <w:rFonts w:hint="eastAsia" w:ascii="宋体" w:hAnsi="宋体" w:eastAsia="宋体" w:cs="宋体"/>
          <w:bCs/>
          <w:color w:val="auto"/>
          <w:sz w:val="24"/>
          <w:szCs w:val="24"/>
          <w:lang w:eastAsia="zh-CN"/>
        </w:rPr>
        <w:t>，并达到采购人要求。</w:t>
      </w:r>
    </w:p>
    <w:p w14:paraId="4BE276CF">
      <w:pPr>
        <w:spacing w:line="52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bCs/>
          <w:color w:val="auto"/>
          <w:sz w:val="24"/>
          <w:szCs w:val="24"/>
          <w:lang w:eastAsia="zh-CN"/>
        </w:rPr>
        <w:t>3、我方同意按照招标文件的要求，向贵单位缴纳人民币</w:t>
      </w:r>
      <w:r>
        <w:rPr>
          <w:rFonts w:hint="eastAsia" w:ascii="宋体" w:hAnsi="宋体" w:eastAsia="宋体" w:cs="宋体"/>
          <w:bCs/>
          <w:color w:val="auto"/>
          <w:sz w:val="24"/>
          <w:szCs w:val="24"/>
          <w:u w:val="single"/>
          <w:lang w:eastAsia="zh-CN"/>
        </w:rPr>
        <w:t xml:space="preserve">        </w:t>
      </w:r>
      <w:r>
        <w:rPr>
          <w:rFonts w:hint="eastAsia" w:ascii="宋体" w:hAnsi="宋体" w:eastAsia="宋体" w:cs="宋体"/>
          <w:bCs/>
          <w:color w:val="auto"/>
          <w:sz w:val="24"/>
          <w:szCs w:val="24"/>
          <w:lang w:eastAsia="zh-CN"/>
        </w:rPr>
        <w:t>元（大写：</w:t>
      </w:r>
      <w:r>
        <w:rPr>
          <w:rFonts w:hint="eastAsia" w:ascii="宋体" w:hAnsi="宋体" w:eastAsia="宋体" w:cs="宋体"/>
          <w:bCs/>
          <w:color w:val="auto"/>
          <w:sz w:val="24"/>
          <w:szCs w:val="24"/>
          <w:u w:val="single"/>
          <w:lang w:eastAsia="zh-CN"/>
        </w:rPr>
        <w:t xml:space="preserve">            </w:t>
      </w:r>
      <w:r>
        <w:rPr>
          <w:rFonts w:hint="eastAsia" w:ascii="宋体" w:hAnsi="宋体" w:eastAsia="宋体" w:cs="宋体"/>
          <w:bCs/>
          <w:color w:val="auto"/>
          <w:sz w:val="24"/>
          <w:szCs w:val="24"/>
          <w:lang w:eastAsia="zh-CN"/>
        </w:rPr>
        <w:t>）的投标保证金，并承诺如发生符合“第一章投标人须知”第15.5条的任何情况时，我方将不要求退还投标保证金。</w:t>
      </w:r>
    </w:p>
    <w:p w14:paraId="49F4CCEC">
      <w:pPr>
        <w:pStyle w:val="21"/>
        <w:spacing w:after="0" w:line="520" w:lineRule="exact"/>
        <w:ind w:left="0" w:leftChars="0" w:firstLine="480" w:firstLineChars="200"/>
        <w:rPr>
          <w:rFonts w:hint="eastAsia" w:ascii="宋体" w:hAnsi="宋体" w:cs="宋体"/>
          <w:bCs/>
          <w:color w:val="auto"/>
          <w:sz w:val="24"/>
          <w:szCs w:val="24"/>
          <w:lang w:eastAsia="zh-CN"/>
        </w:rPr>
      </w:pPr>
      <w:r>
        <w:rPr>
          <w:rFonts w:hint="eastAsia" w:ascii="宋体" w:hAnsi="宋体" w:cs="宋体"/>
          <w:bCs/>
          <w:color w:val="auto"/>
          <w:sz w:val="24"/>
          <w:szCs w:val="24"/>
          <w:lang w:eastAsia="zh-CN"/>
        </w:rPr>
        <w:t>4、我方提交的投标文件满足招标文件实质性要求。</w:t>
      </w:r>
    </w:p>
    <w:p w14:paraId="4F665EE3">
      <w:pPr>
        <w:pStyle w:val="21"/>
        <w:spacing w:after="0" w:line="520" w:lineRule="exact"/>
        <w:ind w:left="0" w:leftChars="0" w:firstLine="480" w:firstLineChars="200"/>
        <w:rPr>
          <w:rFonts w:hint="eastAsia" w:ascii="宋体" w:hAnsi="宋体" w:cs="宋体"/>
          <w:bCs/>
          <w:color w:val="auto"/>
          <w:sz w:val="24"/>
          <w:szCs w:val="24"/>
          <w:lang w:eastAsia="zh-CN"/>
        </w:rPr>
      </w:pPr>
      <w:r>
        <w:rPr>
          <w:rFonts w:hint="eastAsia" w:ascii="宋体" w:hAnsi="宋体" w:cs="宋体"/>
          <w:bCs/>
          <w:color w:val="auto"/>
          <w:sz w:val="24"/>
          <w:szCs w:val="24"/>
          <w:lang w:eastAsia="zh-CN"/>
        </w:rPr>
        <w:t>5、我方愿意提供采购人可能另外要求的，与投标有关的文件资料，并保证我方已提供和将要提供的文件资料是真实、准确的。</w:t>
      </w:r>
    </w:p>
    <w:p w14:paraId="25530C8C">
      <w:pPr>
        <w:pStyle w:val="21"/>
        <w:spacing w:after="0" w:line="520" w:lineRule="exact"/>
        <w:ind w:left="0" w:leftChars="0" w:firstLine="480" w:firstLineChars="200"/>
        <w:rPr>
          <w:rFonts w:hint="eastAsia" w:ascii="宋体" w:hAnsi="宋体" w:cs="宋体"/>
          <w:bCs/>
          <w:color w:val="auto"/>
          <w:sz w:val="24"/>
          <w:szCs w:val="24"/>
          <w:lang w:eastAsia="zh-CN"/>
        </w:rPr>
      </w:pPr>
      <w:r>
        <w:rPr>
          <w:rFonts w:hint="eastAsia" w:ascii="宋体" w:hAnsi="宋体" w:cs="宋体"/>
          <w:bCs/>
          <w:color w:val="auto"/>
          <w:sz w:val="24"/>
          <w:szCs w:val="24"/>
          <w:lang w:eastAsia="zh-CN"/>
        </w:rPr>
        <w:t>6、我方完全理解采购人不一定将合同授予最低报价的投标人。</w:t>
      </w:r>
    </w:p>
    <w:p w14:paraId="7E1527C7">
      <w:pPr>
        <w:pStyle w:val="21"/>
        <w:spacing w:after="0" w:line="520" w:lineRule="exact"/>
        <w:ind w:left="0" w:leftChars="0" w:firstLine="3360" w:firstLineChars="1400"/>
        <w:rPr>
          <w:rFonts w:hint="eastAsia" w:ascii="宋体" w:hAnsi="宋体" w:cs="宋体"/>
          <w:bCs/>
          <w:color w:val="auto"/>
          <w:sz w:val="24"/>
          <w:szCs w:val="24"/>
          <w:lang w:eastAsia="zh-CN"/>
        </w:rPr>
      </w:pPr>
      <w:r>
        <w:rPr>
          <w:rFonts w:hint="eastAsia" w:ascii="宋体" w:hAnsi="宋体" w:cs="宋体"/>
          <w:bCs/>
          <w:color w:val="auto"/>
          <w:sz w:val="24"/>
          <w:szCs w:val="24"/>
          <w:lang w:eastAsia="zh-CN"/>
        </w:rPr>
        <w:t>投标人名称（盖章）：</w:t>
      </w:r>
    </w:p>
    <w:p w14:paraId="0CA40418">
      <w:pPr>
        <w:pStyle w:val="21"/>
        <w:spacing w:after="0" w:line="520" w:lineRule="exact"/>
        <w:ind w:left="0" w:leftChars="0" w:firstLine="480" w:firstLineChars="200"/>
        <w:jc w:val="center"/>
        <w:rPr>
          <w:rFonts w:hint="eastAsia" w:ascii="宋体" w:hAnsi="宋体" w:cs="宋体"/>
          <w:bCs/>
          <w:color w:val="auto"/>
          <w:sz w:val="24"/>
          <w:szCs w:val="24"/>
          <w:lang w:eastAsia="zh-CN"/>
        </w:rPr>
      </w:pPr>
      <w:r>
        <w:rPr>
          <w:rFonts w:hint="eastAsia" w:ascii="宋体" w:hAnsi="宋体" w:cs="宋体"/>
          <w:bCs/>
          <w:color w:val="auto"/>
          <w:sz w:val="24"/>
          <w:szCs w:val="24"/>
          <w:lang w:eastAsia="zh-CN"/>
        </w:rPr>
        <w:t xml:space="preserve">            </w:t>
      </w:r>
      <w:r>
        <w:rPr>
          <w:rFonts w:hint="eastAsia" w:ascii="宋体" w:hAnsi="宋体" w:cs="宋体"/>
          <w:color w:val="auto"/>
          <w:sz w:val="24"/>
          <w:szCs w:val="24"/>
          <w:lang w:eastAsia="zh-CN"/>
        </w:rPr>
        <w:t>授权人或被授权人（签字或盖章）</w:t>
      </w:r>
      <w:r>
        <w:rPr>
          <w:rFonts w:hint="eastAsia" w:ascii="宋体" w:hAnsi="宋体" w:cs="宋体"/>
          <w:bCs/>
          <w:color w:val="auto"/>
          <w:sz w:val="24"/>
          <w:szCs w:val="24"/>
          <w:lang w:eastAsia="zh-CN"/>
        </w:rPr>
        <w:t>：</w:t>
      </w:r>
    </w:p>
    <w:p w14:paraId="0B3DB782">
      <w:pPr>
        <w:pStyle w:val="21"/>
        <w:spacing w:after="0" w:line="520" w:lineRule="exact"/>
        <w:ind w:left="0" w:leftChars="0" w:firstLine="3360" w:firstLineChars="1400"/>
        <w:rPr>
          <w:rFonts w:hint="eastAsia" w:ascii="宋体" w:hAnsi="宋体" w:cs="宋体"/>
          <w:bCs/>
          <w:color w:val="auto"/>
          <w:sz w:val="24"/>
          <w:szCs w:val="24"/>
          <w:lang w:eastAsia="zh-CN"/>
        </w:rPr>
      </w:pPr>
      <w:r>
        <w:rPr>
          <w:rFonts w:hint="eastAsia" w:ascii="宋体" w:hAnsi="宋体" w:cs="宋体"/>
          <w:bCs/>
          <w:color w:val="auto"/>
          <w:sz w:val="24"/>
          <w:szCs w:val="24"/>
          <w:lang w:eastAsia="zh-CN"/>
        </w:rPr>
        <w:t>通讯地址：</w:t>
      </w:r>
    </w:p>
    <w:p w14:paraId="59B59ED6">
      <w:pPr>
        <w:pStyle w:val="21"/>
        <w:spacing w:after="0" w:line="520" w:lineRule="exact"/>
        <w:ind w:left="0" w:leftChars="0" w:firstLine="3360" w:firstLineChars="1400"/>
        <w:rPr>
          <w:rFonts w:hint="eastAsia" w:ascii="宋体" w:hAnsi="宋体" w:cs="宋体"/>
          <w:bCs/>
          <w:color w:val="auto"/>
          <w:sz w:val="24"/>
          <w:szCs w:val="24"/>
          <w:lang w:eastAsia="zh-CN"/>
        </w:rPr>
      </w:pPr>
      <w:r>
        <w:rPr>
          <w:rFonts w:hint="eastAsia" w:ascii="宋体" w:hAnsi="宋体" w:cs="宋体"/>
          <w:bCs/>
          <w:color w:val="auto"/>
          <w:sz w:val="24"/>
          <w:szCs w:val="24"/>
          <w:lang w:eastAsia="zh-CN"/>
        </w:rPr>
        <w:t>联系电话：</w:t>
      </w:r>
    </w:p>
    <w:p w14:paraId="279B62D1">
      <w:pPr>
        <w:pStyle w:val="21"/>
        <w:spacing w:after="0" w:line="520" w:lineRule="exact"/>
        <w:ind w:left="0" w:leftChars="0" w:firstLine="3360" w:firstLineChars="1400"/>
        <w:rPr>
          <w:rFonts w:hint="eastAsia" w:ascii="宋体" w:hAnsi="宋体" w:cs="宋体"/>
          <w:bCs/>
          <w:color w:val="auto"/>
          <w:sz w:val="24"/>
          <w:szCs w:val="24"/>
          <w:lang w:eastAsia="zh-CN"/>
        </w:rPr>
      </w:pPr>
      <w:r>
        <w:rPr>
          <w:rFonts w:hint="eastAsia" w:ascii="宋体" w:hAnsi="宋体" w:cs="宋体"/>
          <w:color w:val="auto"/>
          <w:sz w:val="24"/>
          <w:szCs w:val="24"/>
          <w:lang w:eastAsia="zh-CN"/>
        </w:rPr>
        <w:t>日    期： 年 月 日</w:t>
      </w:r>
    </w:p>
    <w:p w14:paraId="0F2AB50F">
      <w:pPr>
        <w:spacing w:line="560" w:lineRule="exact"/>
        <w:jc w:val="center"/>
        <w:outlineLvl w:val="1"/>
        <w:rPr>
          <w:rFonts w:hint="eastAsia" w:ascii="宋体" w:hAnsi="宋体" w:eastAsia="宋体" w:cs="宋体"/>
          <w:b/>
          <w:bCs/>
          <w:color w:val="auto"/>
          <w:sz w:val="24"/>
          <w:szCs w:val="24"/>
          <w:lang w:eastAsia="zh-CN"/>
        </w:rPr>
      </w:pPr>
      <w:r>
        <w:rPr>
          <w:rFonts w:hint="eastAsia" w:ascii="宋体" w:hAnsi="宋体" w:eastAsia="宋体" w:cs="宋体"/>
          <w:color w:val="auto"/>
          <w:sz w:val="24"/>
          <w:szCs w:val="24"/>
          <w:lang w:eastAsia="zh-CN"/>
        </w:rPr>
        <w:br w:type="page"/>
      </w:r>
      <w:r>
        <w:rPr>
          <w:rFonts w:hint="eastAsia" w:ascii="宋体" w:hAnsi="宋体" w:eastAsia="宋体" w:cs="宋体"/>
          <w:b/>
          <w:bCs/>
          <w:color w:val="auto"/>
          <w:sz w:val="24"/>
          <w:szCs w:val="24"/>
          <w:lang w:eastAsia="zh-CN"/>
        </w:rPr>
        <w:t>二、报价</w:t>
      </w:r>
      <w:r>
        <w:rPr>
          <w:rFonts w:hint="eastAsia" w:ascii="宋体" w:hAnsi="宋体" w:eastAsia="宋体" w:cs="宋体"/>
          <w:b/>
          <w:bCs/>
          <w:color w:val="auto"/>
          <w:sz w:val="24"/>
          <w:szCs w:val="24"/>
          <w:lang w:val="en-US" w:eastAsia="zh-CN"/>
        </w:rPr>
        <w:t>一览表</w:t>
      </w:r>
    </w:p>
    <w:tbl>
      <w:tblPr>
        <w:tblStyle w:val="36"/>
        <w:tblpPr w:leftFromText="180" w:rightFromText="180" w:vertAnchor="text" w:horzAnchor="page" w:tblpX="1659" w:tblpY="458"/>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5"/>
        <w:gridCol w:w="1833"/>
        <w:gridCol w:w="2957"/>
        <w:gridCol w:w="1268"/>
        <w:gridCol w:w="1770"/>
      </w:tblGrid>
      <w:tr w14:paraId="485B0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953" w:type="dxa"/>
            <w:noWrap w:val="0"/>
            <w:vAlign w:val="center"/>
          </w:tcPr>
          <w:p w14:paraId="11896FEA">
            <w:pPr>
              <w:pStyle w:val="17"/>
              <w:spacing w:line="360" w:lineRule="auto"/>
              <w:jc w:val="center"/>
              <w:rPr>
                <w:rFonts w:hAnsi="宋体" w:cs="Times New Roman"/>
                <w:color w:val="000000"/>
                <w:sz w:val="24"/>
                <w:szCs w:val="24"/>
              </w:rPr>
            </w:pPr>
            <w:r>
              <w:rPr>
                <w:rFonts w:hint="eastAsia" w:hAnsi="宋体" w:cs="Times New Roman"/>
                <w:color w:val="000000"/>
                <w:sz w:val="24"/>
                <w:szCs w:val="24"/>
              </w:rPr>
              <w:t>序号</w:t>
            </w:r>
          </w:p>
        </w:tc>
        <w:tc>
          <w:tcPr>
            <w:tcW w:w="1830" w:type="dxa"/>
            <w:noWrap w:val="0"/>
            <w:vAlign w:val="center"/>
          </w:tcPr>
          <w:p w14:paraId="578CBA25">
            <w:pPr>
              <w:pStyle w:val="17"/>
              <w:spacing w:line="360" w:lineRule="auto"/>
              <w:jc w:val="center"/>
              <w:rPr>
                <w:rFonts w:hAnsi="宋体" w:cs="Times New Roman"/>
                <w:color w:val="000000"/>
                <w:sz w:val="24"/>
                <w:szCs w:val="24"/>
              </w:rPr>
            </w:pPr>
            <w:r>
              <w:rPr>
                <w:rFonts w:hint="eastAsia" w:hAnsi="宋体" w:cs="Times New Roman"/>
                <w:color w:val="000000"/>
                <w:sz w:val="24"/>
                <w:szCs w:val="24"/>
              </w:rPr>
              <w:t>项目名称</w:t>
            </w:r>
          </w:p>
        </w:tc>
        <w:tc>
          <w:tcPr>
            <w:tcW w:w="2952" w:type="dxa"/>
            <w:noWrap w:val="0"/>
            <w:vAlign w:val="center"/>
          </w:tcPr>
          <w:p w14:paraId="07CDB376">
            <w:pPr>
              <w:pStyle w:val="17"/>
              <w:spacing w:line="360" w:lineRule="auto"/>
              <w:jc w:val="center"/>
              <w:rPr>
                <w:rFonts w:hint="eastAsia" w:hAnsi="宋体" w:eastAsia="宋体" w:cs="Times New Roman"/>
                <w:color w:val="000000"/>
                <w:sz w:val="24"/>
                <w:szCs w:val="24"/>
                <w:highlight w:val="none"/>
                <w:lang w:eastAsia="zh-CN"/>
              </w:rPr>
            </w:pPr>
          </w:p>
        </w:tc>
        <w:tc>
          <w:tcPr>
            <w:tcW w:w="1266" w:type="dxa"/>
            <w:noWrap w:val="0"/>
            <w:vAlign w:val="center"/>
          </w:tcPr>
          <w:p w14:paraId="0FF31E13">
            <w:pPr>
              <w:pStyle w:val="17"/>
              <w:spacing w:line="360" w:lineRule="auto"/>
              <w:jc w:val="center"/>
              <w:rPr>
                <w:rFonts w:hAnsi="宋体" w:cs="Times New Roman"/>
                <w:color w:val="000000"/>
                <w:sz w:val="24"/>
                <w:szCs w:val="24"/>
                <w:highlight w:val="none"/>
              </w:rPr>
            </w:pPr>
            <w:r>
              <w:rPr>
                <w:rFonts w:hint="eastAsia" w:hAnsi="宋体" w:cs="Times New Roman"/>
                <w:color w:val="000000"/>
                <w:sz w:val="24"/>
                <w:szCs w:val="24"/>
                <w:highlight w:val="none"/>
              </w:rPr>
              <w:t>项目编号</w:t>
            </w:r>
          </w:p>
        </w:tc>
        <w:tc>
          <w:tcPr>
            <w:tcW w:w="1767" w:type="dxa"/>
            <w:noWrap w:val="0"/>
            <w:vAlign w:val="center"/>
          </w:tcPr>
          <w:p w14:paraId="2070FEC3">
            <w:pPr>
              <w:pStyle w:val="17"/>
              <w:spacing w:line="360" w:lineRule="auto"/>
              <w:jc w:val="center"/>
              <w:rPr>
                <w:rFonts w:hAnsi="宋体" w:cs="MingLiU_HKSCS"/>
                <w:color w:val="000000"/>
                <w:sz w:val="24"/>
                <w:szCs w:val="24"/>
                <w:highlight w:val="none"/>
              </w:rPr>
            </w:pPr>
          </w:p>
        </w:tc>
      </w:tr>
      <w:tr w14:paraId="6FF53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trPr>
        <w:tc>
          <w:tcPr>
            <w:tcW w:w="953" w:type="dxa"/>
            <w:noWrap w:val="0"/>
            <w:vAlign w:val="center"/>
          </w:tcPr>
          <w:p w14:paraId="7A1CA2B1">
            <w:pPr>
              <w:pStyle w:val="17"/>
              <w:spacing w:line="360" w:lineRule="auto"/>
              <w:jc w:val="center"/>
              <w:rPr>
                <w:rFonts w:hAnsi="宋体" w:cs="Times New Roman"/>
                <w:color w:val="000000"/>
                <w:sz w:val="24"/>
                <w:szCs w:val="24"/>
              </w:rPr>
            </w:pPr>
            <w:r>
              <w:rPr>
                <w:rFonts w:hint="eastAsia" w:hAnsi="宋体" w:cs="Times New Roman"/>
                <w:color w:val="000000"/>
                <w:sz w:val="24"/>
                <w:szCs w:val="24"/>
              </w:rPr>
              <w:t>1</w:t>
            </w:r>
          </w:p>
        </w:tc>
        <w:tc>
          <w:tcPr>
            <w:tcW w:w="1830" w:type="dxa"/>
            <w:noWrap w:val="0"/>
            <w:vAlign w:val="center"/>
          </w:tcPr>
          <w:p w14:paraId="3266E023">
            <w:pPr>
              <w:pStyle w:val="17"/>
              <w:spacing w:line="360" w:lineRule="auto"/>
              <w:jc w:val="center"/>
              <w:rPr>
                <w:rFonts w:hint="eastAsia" w:hAnsi="宋体" w:eastAsia="宋体" w:cs="Times New Roman"/>
                <w:color w:val="000000"/>
                <w:sz w:val="24"/>
                <w:szCs w:val="24"/>
                <w:lang w:val="en-US" w:eastAsia="zh-CN"/>
              </w:rPr>
            </w:pPr>
            <w:r>
              <w:rPr>
                <w:rFonts w:hint="eastAsia" w:hAnsi="宋体" w:cs="Times New Roman"/>
                <w:color w:val="000000"/>
                <w:sz w:val="24"/>
                <w:szCs w:val="24"/>
                <w:lang w:val="en-US" w:eastAsia="zh-CN"/>
              </w:rPr>
              <w:t>报价（元）</w:t>
            </w:r>
          </w:p>
        </w:tc>
        <w:tc>
          <w:tcPr>
            <w:tcW w:w="5985" w:type="dxa"/>
            <w:gridSpan w:val="3"/>
            <w:noWrap w:val="0"/>
            <w:vAlign w:val="center"/>
          </w:tcPr>
          <w:p w14:paraId="2B4A95C5">
            <w:pPr>
              <w:pStyle w:val="17"/>
              <w:spacing w:line="360" w:lineRule="auto"/>
              <w:jc w:val="left"/>
              <w:rPr>
                <w:rFonts w:hint="eastAsia" w:hAnsi="宋体" w:eastAsia="宋体" w:cs="Times New Roman"/>
                <w:color w:val="000000"/>
                <w:sz w:val="24"/>
                <w:szCs w:val="24"/>
                <w:lang w:val="en-US" w:eastAsia="zh-CN"/>
              </w:rPr>
            </w:pPr>
          </w:p>
        </w:tc>
      </w:tr>
      <w:tr w14:paraId="685EC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953" w:type="dxa"/>
            <w:noWrap w:val="0"/>
            <w:vAlign w:val="center"/>
          </w:tcPr>
          <w:p w14:paraId="5FAA4B1F">
            <w:pPr>
              <w:pStyle w:val="17"/>
              <w:spacing w:line="360" w:lineRule="auto"/>
              <w:jc w:val="center"/>
              <w:rPr>
                <w:rFonts w:hint="eastAsia" w:hAnsi="宋体" w:eastAsia="宋体" w:cs="Times New Roman"/>
                <w:color w:val="000000"/>
                <w:sz w:val="24"/>
                <w:szCs w:val="24"/>
                <w:lang w:eastAsia="zh-CN"/>
              </w:rPr>
            </w:pPr>
            <w:r>
              <w:rPr>
                <w:rFonts w:hint="eastAsia" w:hAnsi="宋体" w:cs="Times New Roman"/>
                <w:color w:val="000000"/>
                <w:sz w:val="24"/>
                <w:szCs w:val="24"/>
                <w:lang w:val="en-US" w:eastAsia="zh-CN"/>
              </w:rPr>
              <w:t>2</w:t>
            </w:r>
          </w:p>
        </w:tc>
        <w:tc>
          <w:tcPr>
            <w:tcW w:w="1830" w:type="dxa"/>
            <w:noWrap w:val="0"/>
            <w:vAlign w:val="center"/>
          </w:tcPr>
          <w:p w14:paraId="5FDB0917">
            <w:pPr>
              <w:pStyle w:val="17"/>
              <w:spacing w:line="360" w:lineRule="auto"/>
              <w:jc w:val="center"/>
              <w:rPr>
                <w:rFonts w:hAnsi="宋体" w:cs="Times New Roman"/>
                <w:color w:val="000000"/>
                <w:sz w:val="24"/>
                <w:szCs w:val="24"/>
              </w:rPr>
            </w:pPr>
            <w:r>
              <w:rPr>
                <w:rFonts w:hint="eastAsia" w:hAnsi="宋体" w:cs="Times New Roman"/>
                <w:color w:val="000000"/>
                <w:sz w:val="24"/>
                <w:szCs w:val="24"/>
                <w:lang w:val="en-US" w:eastAsia="zh-CN"/>
              </w:rPr>
              <w:t>服务</w:t>
            </w:r>
            <w:r>
              <w:rPr>
                <w:rFonts w:hint="eastAsia" w:hAnsi="宋体" w:cs="Times New Roman"/>
                <w:color w:val="000000"/>
                <w:sz w:val="24"/>
                <w:szCs w:val="24"/>
              </w:rPr>
              <w:t>期</w:t>
            </w:r>
          </w:p>
        </w:tc>
        <w:tc>
          <w:tcPr>
            <w:tcW w:w="5985" w:type="dxa"/>
            <w:gridSpan w:val="3"/>
            <w:noWrap w:val="0"/>
            <w:vAlign w:val="center"/>
          </w:tcPr>
          <w:p w14:paraId="70388269">
            <w:pPr>
              <w:rPr>
                <w:rFonts w:hint="eastAsia" w:ascii="宋体" w:hAnsi="宋体" w:eastAsia="宋体"/>
                <w:color w:val="000000"/>
                <w:sz w:val="24"/>
                <w:szCs w:val="24"/>
                <w:lang w:eastAsia="zh-CN"/>
              </w:rPr>
            </w:pPr>
          </w:p>
        </w:tc>
      </w:tr>
      <w:tr w14:paraId="10DE3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953" w:type="dxa"/>
            <w:noWrap w:val="0"/>
            <w:vAlign w:val="center"/>
          </w:tcPr>
          <w:p w14:paraId="7E4F9DE9">
            <w:pPr>
              <w:pStyle w:val="17"/>
              <w:spacing w:line="360" w:lineRule="auto"/>
              <w:jc w:val="center"/>
              <w:rPr>
                <w:rFonts w:hint="eastAsia" w:hAnsi="宋体" w:eastAsia="宋体" w:cs="Times New Roman"/>
                <w:color w:val="000000"/>
                <w:sz w:val="24"/>
                <w:szCs w:val="24"/>
                <w:lang w:eastAsia="zh-CN"/>
              </w:rPr>
            </w:pPr>
            <w:r>
              <w:rPr>
                <w:rFonts w:hint="eastAsia" w:hAnsi="宋体" w:cs="Times New Roman"/>
                <w:color w:val="000000"/>
                <w:sz w:val="24"/>
                <w:szCs w:val="24"/>
                <w:lang w:val="en-US" w:eastAsia="zh-CN"/>
              </w:rPr>
              <w:t>3</w:t>
            </w:r>
          </w:p>
        </w:tc>
        <w:tc>
          <w:tcPr>
            <w:tcW w:w="1830" w:type="dxa"/>
            <w:noWrap w:val="0"/>
            <w:vAlign w:val="center"/>
          </w:tcPr>
          <w:p w14:paraId="16FDF094">
            <w:pPr>
              <w:pStyle w:val="17"/>
              <w:spacing w:line="360" w:lineRule="auto"/>
              <w:jc w:val="center"/>
              <w:rPr>
                <w:rFonts w:hAnsi="宋体" w:cs="Times New Roman"/>
                <w:color w:val="000000"/>
                <w:sz w:val="24"/>
                <w:szCs w:val="24"/>
              </w:rPr>
            </w:pPr>
            <w:r>
              <w:rPr>
                <w:rFonts w:hint="eastAsia" w:hAnsi="宋体" w:cs="Times New Roman"/>
                <w:color w:val="000000"/>
                <w:sz w:val="24"/>
                <w:szCs w:val="24"/>
              </w:rPr>
              <w:t>服务地点</w:t>
            </w:r>
          </w:p>
        </w:tc>
        <w:tc>
          <w:tcPr>
            <w:tcW w:w="5985" w:type="dxa"/>
            <w:gridSpan w:val="3"/>
            <w:noWrap w:val="0"/>
            <w:vAlign w:val="center"/>
          </w:tcPr>
          <w:p w14:paraId="3A601BA6">
            <w:pPr>
              <w:spacing w:line="360" w:lineRule="auto"/>
              <w:rPr>
                <w:rFonts w:hint="eastAsia" w:ascii="宋体" w:hAnsi="宋体" w:eastAsia="宋体"/>
                <w:color w:val="000000"/>
                <w:sz w:val="24"/>
                <w:szCs w:val="24"/>
                <w:lang w:eastAsia="zh-CN"/>
              </w:rPr>
            </w:pPr>
          </w:p>
        </w:tc>
      </w:tr>
      <w:tr w14:paraId="5AC30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953" w:type="dxa"/>
            <w:noWrap w:val="0"/>
            <w:vAlign w:val="center"/>
          </w:tcPr>
          <w:p w14:paraId="0C590A61">
            <w:pPr>
              <w:pStyle w:val="17"/>
              <w:spacing w:line="360" w:lineRule="auto"/>
              <w:jc w:val="center"/>
              <w:rPr>
                <w:rFonts w:hint="eastAsia" w:hAnsi="宋体" w:eastAsia="宋体" w:cs="Times New Roman"/>
                <w:color w:val="000000"/>
                <w:sz w:val="24"/>
                <w:szCs w:val="24"/>
                <w:lang w:val="en-US" w:eastAsia="zh-CN"/>
              </w:rPr>
            </w:pPr>
            <w:r>
              <w:rPr>
                <w:rFonts w:hint="eastAsia" w:hAnsi="宋体" w:cs="Times New Roman"/>
                <w:color w:val="000000"/>
                <w:sz w:val="24"/>
                <w:szCs w:val="24"/>
                <w:lang w:val="en-US" w:eastAsia="zh-CN"/>
              </w:rPr>
              <w:t>4</w:t>
            </w:r>
          </w:p>
        </w:tc>
        <w:tc>
          <w:tcPr>
            <w:tcW w:w="1830" w:type="dxa"/>
            <w:noWrap w:val="0"/>
            <w:vAlign w:val="center"/>
          </w:tcPr>
          <w:p w14:paraId="54607BEA">
            <w:pPr>
              <w:pStyle w:val="17"/>
              <w:spacing w:line="360" w:lineRule="auto"/>
              <w:jc w:val="center"/>
              <w:rPr>
                <w:rFonts w:hint="default" w:hAnsi="宋体" w:eastAsia="宋体" w:cs="Times New Roman"/>
                <w:color w:val="000000"/>
                <w:sz w:val="24"/>
                <w:szCs w:val="24"/>
                <w:lang w:val="en-US" w:eastAsia="zh-CN"/>
              </w:rPr>
            </w:pPr>
            <w:r>
              <w:rPr>
                <w:rFonts w:hint="eastAsia" w:hAnsi="宋体" w:cs="Times New Roman"/>
                <w:color w:val="000000"/>
                <w:sz w:val="24"/>
                <w:szCs w:val="24"/>
                <w:lang w:val="en-US" w:eastAsia="zh-CN"/>
              </w:rPr>
              <w:t>投标有效期</w:t>
            </w:r>
          </w:p>
        </w:tc>
        <w:tc>
          <w:tcPr>
            <w:tcW w:w="5985" w:type="dxa"/>
            <w:gridSpan w:val="3"/>
            <w:noWrap w:val="0"/>
            <w:vAlign w:val="center"/>
          </w:tcPr>
          <w:p w14:paraId="7DBC9EB6">
            <w:pPr>
              <w:spacing w:line="360" w:lineRule="auto"/>
              <w:rPr>
                <w:rFonts w:ascii="宋体" w:hAnsi="宋体"/>
                <w:color w:val="000000"/>
                <w:sz w:val="24"/>
                <w:szCs w:val="24"/>
              </w:rPr>
            </w:pPr>
            <w:r>
              <w:rPr>
                <w:rFonts w:hint="eastAsia" w:ascii="宋体" w:hAnsi="宋体" w:eastAsia="宋体" w:cs="宋体"/>
                <w:color w:val="auto"/>
                <w:sz w:val="24"/>
                <w:szCs w:val="24"/>
                <w:lang w:eastAsia="zh-CN"/>
              </w:rPr>
              <w:t>从提交投标文件截止之日起90日历天。</w:t>
            </w:r>
          </w:p>
        </w:tc>
      </w:tr>
      <w:tr w14:paraId="64226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2783" w:type="dxa"/>
            <w:gridSpan w:val="2"/>
            <w:noWrap w:val="0"/>
            <w:vAlign w:val="center"/>
          </w:tcPr>
          <w:p w14:paraId="4D6342E1">
            <w:pPr>
              <w:pStyle w:val="17"/>
              <w:spacing w:line="360" w:lineRule="auto"/>
              <w:jc w:val="center"/>
              <w:rPr>
                <w:rFonts w:hAnsi="宋体" w:cs="Times New Roman"/>
                <w:color w:val="000000"/>
                <w:sz w:val="24"/>
                <w:szCs w:val="24"/>
              </w:rPr>
            </w:pPr>
            <w:r>
              <w:rPr>
                <w:rFonts w:hint="eastAsia" w:hAnsi="宋体" w:cs="Times New Roman"/>
                <w:color w:val="000000"/>
                <w:sz w:val="24"/>
                <w:szCs w:val="24"/>
              </w:rPr>
              <w:t>备注</w:t>
            </w:r>
          </w:p>
        </w:tc>
        <w:tc>
          <w:tcPr>
            <w:tcW w:w="5985" w:type="dxa"/>
            <w:gridSpan w:val="3"/>
            <w:noWrap w:val="0"/>
            <w:vAlign w:val="center"/>
          </w:tcPr>
          <w:p w14:paraId="78A7226C">
            <w:pPr>
              <w:pStyle w:val="17"/>
              <w:spacing w:line="360" w:lineRule="auto"/>
              <w:jc w:val="center"/>
              <w:rPr>
                <w:rFonts w:hAnsi="宋体" w:cs="Times New Roman"/>
                <w:color w:val="000000"/>
                <w:sz w:val="24"/>
                <w:szCs w:val="24"/>
              </w:rPr>
            </w:pPr>
          </w:p>
        </w:tc>
      </w:tr>
    </w:tbl>
    <w:p w14:paraId="284B827E">
      <w:pPr>
        <w:spacing w:line="360" w:lineRule="auto"/>
        <w:rPr>
          <w:rFonts w:hint="eastAsia" w:ascii="宋体" w:hAnsi="宋体" w:eastAsia="宋体" w:cs="宋体"/>
          <w:color w:val="auto"/>
          <w:sz w:val="24"/>
          <w:szCs w:val="24"/>
        </w:rPr>
      </w:pPr>
    </w:p>
    <w:p w14:paraId="33142D6E">
      <w:pPr>
        <w:spacing w:line="360"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注：</w:t>
      </w:r>
    </w:p>
    <w:p w14:paraId="62C52E66">
      <w:pPr>
        <w:numPr>
          <w:ilvl w:val="0"/>
          <w:numId w:val="0"/>
        </w:numPr>
        <w:spacing w:line="360" w:lineRule="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本项目投标报价</w:t>
      </w:r>
      <w:r>
        <w:rPr>
          <w:rFonts w:hint="eastAsia" w:ascii="宋体" w:hAnsi="宋体" w:eastAsia="宋体" w:cs="宋体"/>
          <w:color w:val="auto"/>
          <w:sz w:val="24"/>
          <w:szCs w:val="24"/>
          <w:highlight w:val="none"/>
          <w:lang w:val="en-US" w:eastAsia="zh-CN"/>
        </w:rPr>
        <w:t>不得超过最高限价</w:t>
      </w:r>
    </w:p>
    <w:p w14:paraId="527ED756">
      <w:pPr>
        <w:numPr>
          <w:ilvl w:val="0"/>
          <w:numId w:val="0"/>
        </w:numPr>
        <w:spacing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、投标报价应包含人工费、材料设备费、施工机械使用费、措施费、管理费、利润、风险费用及增值税等全部费用。</w:t>
      </w:r>
    </w:p>
    <w:p w14:paraId="6717E0C5">
      <w:pPr>
        <w:spacing w:line="360" w:lineRule="auto"/>
        <w:rPr>
          <w:rFonts w:hint="eastAsia" w:ascii="宋体" w:hAnsi="宋体" w:eastAsia="宋体" w:cs="宋体"/>
          <w:color w:val="auto"/>
          <w:sz w:val="24"/>
          <w:szCs w:val="24"/>
          <w:lang w:eastAsia="zh-CN"/>
        </w:rPr>
      </w:pPr>
    </w:p>
    <w:p w14:paraId="1A16E04D">
      <w:pPr>
        <w:spacing w:line="360" w:lineRule="auto"/>
        <w:rPr>
          <w:rFonts w:hint="eastAsia" w:ascii="宋体" w:hAnsi="宋体" w:eastAsia="宋体" w:cs="宋体"/>
          <w:color w:val="auto"/>
          <w:sz w:val="24"/>
          <w:szCs w:val="24"/>
          <w:lang w:eastAsia="zh-CN"/>
        </w:rPr>
      </w:pPr>
    </w:p>
    <w:p w14:paraId="7AA7B1AD">
      <w:pPr>
        <w:spacing w:line="360" w:lineRule="auto"/>
        <w:rPr>
          <w:rFonts w:hint="eastAsia" w:ascii="宋体" w:hAnsi="宋体" w:eastAsia="宋体" w:cs="宋体"/>
          <w:color w:val="auto"/>
          <w:sz w:val="24"/>
          <w:szCs w:val="24"/>
          <w:lang w:eastAsia="zh-CN"/>
        </w:rPr>
      </w:pPr>
    </w:p>
    <w:p w14:paraId="0E583389">
      <w:pPr>
        <w:pStyle w:val="21"/>
        <w:spacing w:after="0" w:line="360" w:lineRule="auto"/>
        <w:ind w:left="0" w:leftChars="0"/>
        <w:jc w:val="center"/>
        <w:rPr>
          <w:rFonts w:hint="eastAsia" w:ascii="宋体" w:hAnsi="宋体" w:cs="宋体"/>
          <w:bCs/>
          <w:color w:val="auto"/>
          <w:sz w:val="24"/>
          <w:szCs w:val="24"/>
          <w:lang w:eastAsia="zh-CN"/>
        </w:rPr>
      </w:pPr>
      <w:r>
        <w:rPr>
          <w:rFonts w:hint="eastAsia" w:ascii="宋体" w:hAnsi="宋体" w:cs="宋体"/>
          <w:bCs/>
          <w:color w:val="auto"/>
          <w:sz w:val="24"/>
          <w:szCs w:val="24"/>
          <w:lang w:eastAsia="zh-CN"/>
        </w:rPr>
        <w:t xml:space="preserve">          </w:t>
      </w:r>
      <w:r>
        <w:rPr>
          <w:rFonts w:hint="eastAsia" w:ascii="宋体" w:hAnsi="宋体" w:cs="宋体"/>
          <w:bCs/>
          <w:color w:val="auto"/>
          <w:sz w:val="24"/>
          <w:szCs w:val="24"/>
          <w:lang w:val="en-US" w:eastAsia="zh-CN"/>
        </w:rPr>
        <w:t>投标人</w:t>
      </w:r>
      <w:r>
        <w:rPr>
          <w:rFonts w:hint="eastAsia" w:ascii="宋体" w:hAnsi="宋体" w:cs="宋体"/>
          <w:bCs/>
          <w:color w:val="auto"/>
          <w:sz w:val="24"/>
          <w:szCs w:val="24"/>
          <w:lang w:eastAsia="zh-CN"/>
        </w:rPr>
        <w:t>名称（盖章）：</w:t>
      </w:r>
    </w:p>
    <w:p w14:paraId="68BDC1A5">
      <w:pPr>
        <w:pStyle w:val="21"/>
        <w:spacing w:after="0" w:line="360" w:lineRule="auto"/>
        <w:ind w:left="0" w:leftChars="0"/>
        <w:jc w:val="center"/>
        <w:rPr>
          <w:rFonts w:hint="eastAsia" w:ascii="宋体" w:hAnsi="宋体" w:cs="宋体"/>
          <w:bCs/>
          <w:color w:val="auto"/>
          <w:sz w:val="24"/>
          <w:szCs w:val="24"/>
          <w:lang w:eastAsia="zh-CN"/>
        </w:rPr>
      </w:pPr>
      <w:r>
        <w:rPr>
          <w:rFonts w:hint="eastAsia" w:ascii="宋体" w:hAnsi="宋体" w:cs="宋体"/>
          <w:bCs/>
          <w:color w:val="auto"/>
          <w:sz w:val="24"/>
          <w:szCs w:val="24"/>
          <w:lang w:eastAsia="zh-CN"/>
        </w:rPr>
        <w:t xml:space="preserve">                          法定代表人或被授权人（签字或盖章）：</w:t>
      </w:r>
    </w:p>
    <w:p w14:paraId="52BABD98">
      <w:pPr>
        <w:pStyle w:val="21"/>
        <w:spacing w:after="0" w:line="360" w:lineRule="auto"/>
        <w:ind w:left="0" w:leftChars="0"/>
        <w:jc w:val="center"/>
        <w:rPr>
          <w:rFonts w:hint="eastAsia" w:ascii="宋体" w:hAnsi="宋体" w:cs="宋体"/>
          <w:bCs/>
          <w:color w:val="auto"/>
          <w:sz w:val="24"/>
          <w:szCs w:val="24"/>
          <w:lang w:eastAsia="zh-CN"/>
        </w:rPr>
      </w:pPr>
      <w:r>
        <w:rPr>
          <w:rFonts w:hint="eastAsia" w:ascii="宋体" w:hAnsi="宋体" w:cs="宋体"/>
          <w:bCs/>
          <w:color w:val="auto"/>
          <w:sz w:val="24"/>
          <w:szCs w:val="24"/>
          <w:lang w:eastAsia="zh-CN"/>
        </w:rPr>
        <w:t xml:space="preserve">                    日    期：</w:t>
      </w:r>
      <w:r>
        <w:rPr>
          <w:rFonts w:hint="eastAsia" w:ascii="宋体" w:hAnsi="宋体" w:cs="宋体"/>
          <w:color w:val="auto"/>
          <w:sz w:val="24"/>
          <w:szCs w:val="24"/>
          <w:lang w:eastAsia="zh-CN"/>
        </w:rPr>
        <w:t xml:space="preserve">     年     月    日</w:t>
      </w:r>
    </w:p>
    <w:p w14:paraId="61084436">
      <w:pPr>
        <w:rPr>
          <w:rFonts w:hint="eastAsia" w:ascii="宋体" w:hAnsi="宋体" w:eastAsia="宋体" w:cs="宋体"/>
          <w:b/>
          <w:bCs/>
          <w:color w:val="auto"/>
          <w:sz w:val="24"/>
          <w:szCs w:val="24"/>
          <w:lang w:eastAsia="zh-CN"/>
        </w:rPr>
      </w:pPr>
    </w:p>
    <w:p w14:paraId="152DBD36">
      <w:pPr>
        <w:spacing w:line="560" w:lineRule="exact"/>
        <w:jc w:val="center"/>
        <w:outlineLvl w:val="1"/>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br w:type="page"/>
      </w:r>
      <w:r>
        <w:rPr>
          <w:rFonts w:hint="eastAsia" w:ascii="宋体" w:hAnsi="宋体" w:eastAsia="宋体" w:cs="宋体"/>
          <w:b/>
          <w:bCs/>
          <w:color w:val="auto"/>
          <w:sz w:val="24"/>
          <w:szCs w:val="24"/>
          <w:lang w:eastAsia="zh-CN"/>
        </w:rPr>
        <w:t>三、身份证明书及授权委托书</w:t>
      </w:r>
    </w:p>
    <w:p w14:paraId="16C0822F">
      <w:pPr>
        <w:spacing w:line="560" w:lineRule="exact"/>
        <w:ind w:firstLine="723" w:firstLineChars="300"/>
        <w:jc w:val="center"/>
        <w:rPr>
          <w:rFonts w:hint="eastAsia" w:ascii="宋体" w:hAnsi="宋体" w:eastAsia="宋体" w:cs="宋体"/>
          <w:bCs/>
          <w:color w:val="auto"/>
          <w:sz w:val="24"/>
          <w:szCs w:val="24"/>
          <w:lang w:eastAsia="zh-CN"/>
        </w:rPr>
      </w:pPr>
      <w:r>
        <w:rPr>
          <w:rFonts w:hint="eastAsia" w:ascii="宋体" w:hAnsi="宋体" w:eastAsia="宋体" w:cs="宋体"/>
          <w:b/>
          <w:bCs/>
          <w:color w:val="auto"/>
          <w:sz w:val="24"/>
          <w:szCs w:val="24"/>
          <w:lang w:eastAsia="zh-CN"/>
        </w:rPr>
        <w:t>（一）法定代表人身份证明书</w:t>
      </w:r>
    </w:p>
    <w:p w14:paraId="724EF613">
      <w:pPr>
        <w:spacing w:line="560" w:lineRule="exact"/>
        <w:ind w:firstLine="480" w:firstLineChars="200"/>
        <w:rPr>
          <w:rFonts w:hint="eastAsia" w:ascii="宋体" w:hAnsi="宋体" w:eastAsia="宋体" w:cs="宋体"/>
          <w:bCs/>
          <w:color w:val="auto"/>
          <w:sz w:val="24"/>
          <w:szCs w:val="24"/>
          <w:u w:val="single"/>
          <w:lang w:eastAsia="zh-CN"/>
        </w:rPr>
      </w:pPr>
      <w:r>
        <w:rPr>
          <w:rFonts w:hint="eastAsia" w:ascii="宋体" w:hAnsi="宋体" w:eastAsia="宋体" w:cs="宋体"/>
          <w:bCs/>
          <w:color w:val="auto"/>
          <w:sz w:val="24"/>
          <w:szCs w:val="24"/>
          <w:lang w:eastAsia="zh-CN"/>
        </w:rPr>
        <w:t>单位名称：</w:t>
      </w:r>
      <w:r>
        <w:rPr>
          <w:rFonts w:hint="eastAsia" w:ascii="宋体" w:hAnsi="宋体" w:eastAsia="宋体" w:cs="宋体"/>
          <w:bCs/>
          <w:color w:val="auto"/>
          <w:sz w:val="24"/>
          <w:szCs w:val="24"/>
          <w:u w:val="single"/>
          <w:lang w:eastAsia="zh-CN"/>
        </w:rPr>
        <w:t xml:space="preserve">                                             。 </w:t>
      </w:r>
    </w:p>
    <w:p w14:paraId="5A432F29">
      <w:pPr>
        <w:spacing w:line="560" w:lineRule="exact"/>
        <w:ind w:firstLine="480" w:firstLineChars="200"/>
        <w:rPr>
          <w:rFonts w:hint="eastAsia" w:ascii="宋体" w:hAnsi="宋体" w:eastAsia="宋体" w:cs="宋体"/>
          <w:bCs/>
          <w:color w:val="auto"/>
          <w:sz w:val="24"/>
          <w:szCs w:val="24"/>
          <w:u w:val="single"/>
          <w:lang w:eastAsia="zh-CN"/>
        </w:rPr>
      </w:pPr>
      <w:r>
        <w:rPr>
          <w:rFonts w:hint="eastAsia" w:ascii="宋体" w:hAnsi="宋体" w:eastAsia="宋体" w:cs="宋体"/>
          <w:bCs/>
          <w:color w:val="auto"/>
          <w:sz w:val="24"/>
          <w:szCs w:val="24"/>
          <w:lang w:eastAsia="zh-CN"/>
        </w:rPr>
        <w:t>地    址：</w:t>
      </w:r>
      <w:r>
        <w:rPr>
          <w:rFonts w:hint="eastAsia" w:ascii="宋体" w:hAnsi="宋体" w:eastAsia="宋体" w:cs="宋体"/>
          <w:bCs/>
          <w:color w:val="auto"/>
          <w:sz w:val="24"/>
          <w:szCs w:val="24"/>
          <w:u w:val="single"/>
          <w:lang w:eastAsia="zh-CN"/>
        </w:rPr>
        <w:t xml:space="preserve">                                             。</w:t>
      </w:r>
    </w:p>
    <w:p w14:paraId="5E752643">
      <w:pPr>
        <w:spacing w:line="560" w:lineRule="exact"/>
        <w:ind w:firstLine="480" w:firstLineChars="200"/>
        <w:rPr>
          <w:rFonts w:hint="eastAsia" w:ascii="宋体" w:hAnsi="宋体" w:eastAsia="宋体" w:cs="宋体"/>
          <w:bCs/>
          <w:color w:val="auto"/>
          <w:sz w:val="24"/>
          <w:szCs w:val="24"/>
          <w:u w:val="single"/>
          <w:lang w:eastAsia="zh-CN"/>
        </w:rPr>
      </w:pPr>
      <w:r>
        <w:rPr>
          <w:rFonts w:hint="eastAsia" w:ascii="宋体" w:hAnsi="宋体" w:eastAsia="宋体" w:cs="宋体"/>
          <w:bCs/>
          <w:color w:val="auto"/>
          <w:sz w:val="24"/>
          <w:szCs w:val="24"/>
          <w:lang w:eastAsia="zh-CN"/>
        </w:rPr>
        <w:t>姓    名：</w:t>
      </w:r>
      <w:r>
        <w:rPr>
          <w:rFonts w:hint="eastAsia" w:ascii="宋体" w:hAnsi="宋体" w:eastAsia="宋体" w:cs="宋体"/>
          <w:bCs/>
          <w:color w:val="auto"/>
          <w:sz w:val="24"/>
          <w:szCs w:val="24"/>
          <w:u w:val="single"/>
          <w:lang w:eastAsia="zh-CN"/>
        </w:rPr>
        <w:t xml:space="preserve">       </w:t>
      </w:r>
      <w:r>
        <w:rPr>
          <w:rFonts w:hint="eastAsia" w:ascii="宋体" w:hAnsi="宋体" w:eastAsia="宋体" w:cs="宋体"/>
          <w:bCs/>
          <w:color w:val="auto"/>
          <w:sz w:val="24"/>
          <w:szCs w:val="24"/>
          <w:lang w:eastAsia="zh-CN"/>
        </w:rPr>
        <w:t>性别：</w:t>
      </w:r>
      <w:r>
        <w:rPr>
          <w:rFonts w:hint="eastAsia" w:ascii="宋体" w:hAnsi="宋体" w:eastAsia="宋体" w:cs="宋体"/>
          <w:bCs/>
          <w:color w:val="auto"/>
          <w:sz w:val="24"/>
          <w:szCs w:val="24"/>
          <w:u w:val="single"/>
          <w:lang w:eastAsia="zh-CN"/>
        </w:rPr>
        <w:t xml:space="preserve">       </w:t>
      </w:r>
      <w:r>
        <w:rPr>
          <w:rFonts w:hint="eastAsia" w:ascii="宋体" w:hAnsi="宋体" w:eastAsia="宋体" w:cs="宋体"/>
          <w:bCs/>
          <w:color w:val="auto"/>
          <w:sz w:val="24"/>
          <w:szCs w:val="24"/>
          <w:lang w:eastAsia="zh-CN"/>
        </w:rPr>
        <w:t>年龄：</w:t>
      </w:r>
      <w:r>
        <w:rPr>
          <w:rFonts w:hint="eastAsia" w:ascii="宋体" w:hAnsi="宋体" w:eastAsia="宋体" w:cs="宋体"/>
          <w:bCs/>
          <w:color w:val="auto"/>
          <w:sz w:val="24"/>
          <w:szCs w:val="24"/>
          <w:u w:val="single"/>
          <w:lang w:eastAsia="zh-CN"/>
        </w:rPr>
        <w:t xml:space="preserve">      </w:t>
      </w:r>
      <w:r>
        <w:rPr>
          <w:rFonts w:hint="eastAsia" w:ascii="宋体" w:hAnsi="宋体" w:eastAsia="宋体" w:cs="宋体"/>
          <w:bCs/>
          <w:color w:val="auto"/>
          <w:sz w:val="24"/>
          <w:szCs w:val="24"/>
          <w:lang w:eastAsia="zh-CN"/>
        </w:rPr>
        <w:t>职务：</w:t>
      </w:r>
      <w:r>
        <w:rPr>
          <w:rFonts w:hint="eastAsia" w:ascii="宋体" w:hAnsi="宋体" w:eastAsia="宋体" w:cs="宋体"/>
          <w:bCs/>
          <w:color w:val="auto"/>
          <w:sz w:val="24"/>
          <w:szCs w:val="24"/>
          <w:u w:val="single"/>
          <w:lang w:eastAsia="zh-CN"/>
        </w:rPr>
        <w:t xml:space="preserve">       。</w:t>
      </w:r>
    </w:p>
    <w:p w14:paraId="4F49C788">
      <w:pPr>
        <w:spacing w:line="560" w:lineRule="exact"/>
        <w:ind w:firstLine="480" w:firstLineChars="200"/>
        <w:rPr>
          <w:rFonts w:hint="eastAsia" w:ascii="宋体" w:hAnsi="宋体" w:eastAsia="宋体" w:cs="宋体"/>
          <w:bCs/>
          <w:color w:val="auto"/>
          <w:sz w:val="24"/>
          <w:szCs w:val="24"/>
          <w:u w:val="single"/>
          <w:lang w:eastAsia="zh-CN"/>
        </w:rPr>
      </w:pPr>
      <w:r>
        <w:rPr>
          <w:rFonts w:hint="eastAsia" w:ascii="宋体" w:hAnsi="宋体" w:eastAsia="宋体" w:cs="宋体"/>
          <w:bCs/>
          <w:color w:val="auto"/>
          <w:sz w:val="24"/>
          <w:szCs w:val="24"/>
          <w:lang w:eastAsia="zh-CN"/>
        </w:rPr>
        <w:t>身份证号码：</w:t>
      </w:r>
      <w:r>
        <w:rPr>
          <w:rFonts w:hint="eastAsia" w:ascii="宋体" w:hAnsi="宋体" w:eastAsia="宋体" w:cs="宋体"/>
          <w:bCs/>
          <w:color w:val="auto"/>
          <w:sz w:val="24"/>
          <w:szCs w:val="24"/>
          <w:u w:val="single"/>
          <w:lang w:eastAsia="zh-CN"/>
        </w:rPr>
        <w:t xml:space="preserve">                                           。</w:t>
      </w:r>
    </w:p>
    <w:p w14:paraId="5C789B86">
      <w:pPr>
        <w:spacing w:line="560" w:lineRule="exact"/>
        <w:ind w:firstLine="480" w:firstLineChars="200"/>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u w:val="single"/>
          <w:lang w:eastAsia="zh-CN"/>
        </w:rPr>
        <w:t xml:space="preserve">         </w:t>
      </w:r>
      <w:r>
        <w:rPr>
          <w:rFonts w:hint="eastAsia" w:ascii="宋体" w:hAnsi="宋体" w:eastAsia="宋体" w:cs="宋体"/>
          <w:bCs/>
          <w:color w:val="auto"/>
          <w:sz w:val="24"/>
          <w:szCs w:val="24"/>
          <w:lang w:eastAsia="zh-CN"/>
        </w:rPr>
        <w:t>系</w:t>
      </w:r>
      <w:r>
        <w:rPr>
          <w:rFonts w:hint="eastAsia" w:ascii="宋体" w:hAnsi="宋体" w:eastAsia="宋体" w:cs="宋体"/>
          <w:bCs/>
          <w:color w:val="auto"/>
          <w:sz w:val="24"/>
          <w:szCs w:val="24"/>
          <w:u w:val="single"/>
          <w:lang w:eastAsia="zh-CN"/>
        </w:rPr>
        <w:t xml:space="preserve">        </w:t>
      </w:r>
      <w:r>
        <w:rPr>
          <w:rFonts w:hint="eastAsia" w:ascii="宋体" w:hAnsi="宋体" w:eastAsia="宋体" w:cs="宋体"/>
          <w:bCs/>
          <w:color w:val="auto"/>
          <w:sz w:val="24"/>
          <w:szCs w:val="24"/>
          <w:lang w:eastAsia="zh-CN"/>
        </w:rPr>
        <w:t>的法定代表人，为具有参加</w:t>
      </w:r>
      <w:r>
        <w:rPr>
          <w:rFonts w:hint="eastAsia" w:ascii="宋体" w:hAnsi="宋体" w:eastAsia="宋体" w:cs="宋体"/>
          <w:bCs/>
          <w:color w:val="auto"/>
          <w:sz w:val="24"/>
          <w:szCs w:val="24"/>
          <w:u w:val="single"/>
          <w:lang w:eastAsia="zh-CN"/>
        </w:rPr>
        <w:t xml:space="preserve">        </w:t>
      </w:r>
      <w:r>
        <w:rPr>
          <w:rFonts w:hint="eastAsia" w:ascii="宋体" w:hAnsi="宋体" w:eastAsia="宋体" w:cs="宋体"/>
          <w:bCs/>
          <w:color w:val="auto"/>
          <w:sz w:val="24"/>
          <w:szCs w:val="24"/>
          <w:lang w:eastAsia="zh-CN"/>
        </w:rPr>
        <w:t xml:space="preserve">（项目名称）的投标、签署上述投标文件、进行合同谈判、签署合同和处理与之有关的一切事务权利的投标人。 </w:t>
      </w:r>
    </w:p>
    <w:p w14:paraId="19F34BD5">
      <w:pPr>
        <w:spacing w:line="560" w:lineRule="exact"/>
        <w:ind w:firstLine="480" w:firstLineChars="200"/>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eastAsia="zh-CN"/>
        </w:rPr>
        <w:t xml:space="preserve">特此证明。                       </w:t>
      </w:r>
    </w:p>
    <w:p w14:paraId="25B0F04A">
      <w:pPr>
        <w:spacing w:line="560" w:lineRule="exact"/>
        <w:ind w:firstLine="480" w:firstLineChars="200"/>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eastAsia="zh-CN"/>
        </w:rPr>
        <w:t>附：法定代表人身份证正反面。</w:t>
      </w:r>
    </w:p>
    <w:p w14:paraId="0FFF0C6B">
      <w:pPr>
        <w:spacing w:line="360"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mc:AlternateContent>
          <mc:Choice Requires="wps">
            <w:drawing>
              <wp:anchor distT="0" distB="0" distL="114300" distR="114300" simplePos="0" relativeHeight="251662336" behindDoc="0" locked="0" layoutInCell="1" allowOverlap="1">
                <wp:simplePos x="0" y="0"/>
                <wp:positionH relativeFrom="column">
                  <wp:posOffset>2849245</wp:posOffset>
                </wp:positionH>
                <wp:positionV relativeFrom="paragraph">
                  <wp:posOffset>147320</wp:posOffset>
                </wp:positionV>
                <wp:extent cx="2240915" cy="1086485"/>
                <wp:effectExtent l="4445" t="4445" r="21590" b="13970"/>
                <wp:wrapNone/>
                <wp:docPr id="3" name="文本框 8"/>
                <wp:cNvGraphicFramePr/>
                <a:graphic xmlns:a="http://schemas.openxmlformats.org/drawingml/2006/main">
                  <a:graphicData uri="http://schemas.microsoft.com/office/word/2010/wordprocessingShape">
                    <wps:wsp>
                      <wps:cNvSpPr/>
                      <wps:spPr>
                        <a:xfrm>
                          <a:off x="0" y="0"/>
                          <a:ext cx="2240915" cy="1086485"/>
                        </a:xfrm>
                        <a:prstGeom prst="rect">
                          <a:avLst/>
                        </a:prstGeom>
                        <a:solidFill>
                          <a:srgbClr val="FFFFFF"/>
                        </a:solidFill>
                        <a:ln w="9525" cap="flat" cmpd="sng">
                          <a:solidFill>
                            <a:srgbClr val="000000"/>
                          </a:solidFill>
                          <a:prstDash val="dash"/>
                          <a:miter/>
                          <a:headEnd type="none" w="med" len="med"/>
                          <a:tailEnd type="none" w="med" len="med"/>
                        </a:ln>
                      </wps:spPr>
                      <wps:txbx>
                        <w:txbxContent>
                          <w:p w14:paraId="525A8D48">
                            <w:pPr>
                              <w:jc w:val="center"/>
                              <w:rPr>
                                <w:rFonts w:ascii="宋体"/>
                              </w:rPr>
                            </w:pPr>
                          </w:p>
                          <w:p w14:paraId="76EAED1A">
                            <w:pPr>
                              <w:jc w:val="center"/>
                              <w:rPr>
                                <w:rFonts w:ascii="宋体" w:hAnsi="宋体"/>
                                <w:sz w:val="28"/>
                                <w:szCs w:val="28"/>
                                <w:lang w:eastAsia="zh-CN"/>
                              </w:rPr>
                            </w:pPr>
                            <w:r>
                              <w:rPr>
                                <w:rFonts w:hint="eastAsia" w:ascii="宋体" w:hAnsi="宋体"/>
                                <w:sz w:val="28"/>
                                <w:szCs w:val="28"/>
                                <w:lang w:eastAsia="zh-CN"/>
                              </w:rPr>
                              <w:t>法定代表人身份证</w:t>
                            </w:r>
                          </w:p>
                          <w:p w14:paraId="2D96F881">
                            <w:pPr>
                              <w:jc w:val="center"/>
                              <w:rPr>
                                <w:sz w:val="28"/>
                                <w:szCs w:val="28"/>
                                <w:lang w:eastAsia="zh-CN"/>
                              </w:rPr>
                            </w:pPr>
                            <w:r>
                              <w:rPr>
                                <w:rFonts w:hint="eastAsia" w:ascii="宋体" w:hAnsi="宋体"/>
                                <w:sz w:val="28"/>
                                <w:szCs w:val="28"/>
                                <w:lang w:eastAsia="zh-CN"/>
                              </w:rPr>
                              <w:t>（反面）</w:t>
                            </w:r>
                          </w:p>
                        </w:txbxContent>
                      </wps:txbx>
                      <wps:bodyPr upright="1"/>
                    </wps:wsp>
                  </a:graphicData>
                </a:graphic>
              </wp:anchor>
            </w:drawing>
          </mc:Choice>
          <mc:Fallback>
            <w:pict>
              <v:rect id="文本框 8" o:spid="_x0000_s1026" o:spt="1" style="position:absolute;left:0pt;margin-left:224.35pt;margin-top:11.6pt;height:85.55pt;width:176.45pt;z-index:251662336;mso-width-relative:page;mso-height-relative:page;" fillcolor="#FFFFFF" filled="t" stroked="t" coordsize="21600,21600" o:gfxdata="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9QVbwNoAAAAKAQAADwAAAAAAAAABACAAAAAiAAAA&#10;ZHJzL2Rvd25yZXYueG1sUEsBAhQAFAAAAAgAh07iQBRmk6UFAgAALAQAAA4AAAAAAAAAAQAgAAAA&#10;KQEAAGRycy9lMm9Eb2MueG1sUEsFBgAAAAAGAAYAWQEAAKAFAAAAAA==&#10;">
                <v:fill on="t" focussize="0,0"/>
                <v:stroke color="#000000" joinstyle="miter" dashstyle="dash"/>
                <v:imagedata o:title=""/>
                <o:lock v:ext="edit" aspectratio="f"/>
                <v:textbox>
                  <w:txbxContent>
                    <w:p w14:paraId="525A8D48">
                      <w:pPr>
                        <w:jc w:val="center"/>
                        <w:rPr>
                          <w:rFonts w:ascii="宋体"/>
                        </w:rPr>
                      </w:pPr>
                    </w:p>
                    <w:p w14:paraId="76EAED1A">
                      <w:pPr>
                        <w:jc w:val="center"/>
                        <w:rPr>
                          <w:rFonts w:ascii="宋体" w:hAnsi="宋体"/>
                          <w:sz w:val="28"/>
                          <w:szCs w:val="28"/>
                          <w:lang w:eastAsia="zh-CN"/>
                        </w:rPr>
                      </w:pPr>
                      <w:r>
                        <w:rPr>
                          <w:rFonts w:hint="eastAsia" w:ascii="宋体" w:hAnsi="宋体"/>
                          <w:sz w:val="28"/>
                          <w:szCs w:val="28"/>
                          <w:lang w:eastAsia="zh-CN"/>
                        </w:rPr>
                        <w:t>法定代表人身份证</w:t>
                      </w:r>
                    </w:p>
                    <w:p w14:paraId="2D96F881">
                      <w:pPr>
                        <w:jc w:val="center"/>
                        <w:rPr>
                          <w:sz w:val="28"/>
                          <w:szCs w:val="28"/>
                          <w:lang w:eastAsia="zh-CN"/>
                        </w:rPr>
                      </w:pPr>
                      <w:r>
                        <w:rPr>
                          <w:rFonts w:hint="eastAsia" w:ascii="宋体" w:hAnsi="宋体"/>
                          <w:sz w:val="28"/>
                          <w:szCs w:val="28"/>
                          <w:lang w:eastAsia="zh-CN"/>
                        </w:rPr>
                        <w:t>（反面）</w:t>
                      </w:r>
                    </w:p>
                  </w:txbxContent>
                </v:textbox>
              </v:rect>
            </w:pict>
          </mc:Fallback>
        </mc:AlternateContent>
      </w:r>
      <w:r>
        <w:rPr>
          <w:rFonts w:hint="eastAsia" w:ascii="宋体" w:hAnsi="宋体" w:eastAsia="宋体" w:cs="宋体"/>
          <w:color w:val="auto"/>
          <w:sz w:val="24"/>
          <w:szCs w:val="24"/>
        </w:rPr>
        <mc:AlternateContent>
          <mc:Choice Requires="wps">
            <w:drawing>
              <wp:anchor distT="0" distB="0" distL="114300" distR="114300" simplePos="0" relativeHeight="251660288" behindDoc="0" locked="0" layoutInCell="1" allowOverlap="1">
                <wp:simplePos x="0" y="0"/>
                <wp:positionH relativeFrom="column">
                  <wp:posOffset>392430</wp:posOffset>
                </wp:positionH>
                <wp:positionV relativeFrom="paragraph">
                  <wp:posOffset>121285</wp:posOffset>
                </wp:positionV>
                <wp:extent cx="2240915" cy="1081405"/>
                <wp:effectExtent l="4445" t="4445" r="21590" b="19050"/>
                <wp:wrapNone/>
                <wp:docPr id="2" name="文本框 15"/>
                <wp:cNvGraphicFramePr/>
                <a:graphic xmlns:a="http://schemas.openxmlformats.org/drawingml/2006/main">
                  <a:graphicData uri="http://schemas.microsoft.com/office/word/2010/wordprocessingShape">
                    <wps:wsp>
                      <wps:cNvSpPr/>
                      <wps:spPr>
                        <a:xfrm>
                          <a:off x="0" y="0"/>
                          <a:ext cx="2240915" cy="1081405"/>
                        </a:xfrm>
                        <a:prstGeom prst="rect">
                          <a:avLst/>
                        </a:prstGeom>
                        <a:solidFill>
                          <a:srgbClr val="FFFFFF"/>
                        </a:solidFill>
                        <a:ln w="9525" cap="flat" cmpd="sng">
                          <a:solidFill>
                            <a:srgbClr val="000000"/>
                          </a:solidFill>
                          <a:prstDash val="dash"/>
                          <a:miter/>
                          <a:headEnd type="none" w="med" len="med"/>
                          <a:tailEnd type="none" w="med" len="med"/>
                        </a:ln>
                      </wps:spPr>
                      <wps:txbx>
                        <w:txbxContent>
                          <w:p w14:paraId="04B2000D">
                            <w:pPr>
                              <w:jc w:val="center"/>
                              <w:rPr>
                                <w:rFonts w:ascii="宋体"/>
                              </w:rPr>
                            </w:pPr>
                          </w:p>
                          <w:p w14:paraId="3BB89E1B">
                            <w:pPr>
                              <w:jc w:val="center"/>
                              <w:rPr>
                                <w:rFonts w:ascii="宋体" w:hAnsi="宋体"/>
                                <w:sz w:val="28"/>
                                <w:szCs w:val="28"/>
                                <w:lang w:eastAsia="zh-CN"/>
                              </w:rPr>
                            </w:pPr>
                            <w:r>
                              <w:rPr>
                                <w:rFonts w:hint="eastAsia" w:ascii="宋体" w:hAnsi="宋体"/>
                                <w:sz w:val="28"/>
                                <w:szCs w:val="28"/>
                                <w:lang w:eastAsia="zh-CN"/>
                              </w:rPr>
                              <w:t>法定代表人身份证</w:t>
                            </w:r>
                          </w:p>
                          <w:p w14:paraId="3496522B">
                            <w:pPr>
                              <w:jc w:val="center"/>
                              <w:rPr>
                                <w:sz w:val="28"/>
                                <w:szCs w:val="28"/>
                                <w:lang w:eastAsia="zh-CN"/>
                              </w:rPr>
                            </w:pPr>
                            <w:r>
                              <w:rPr>
                                <w:rFonts w:hint="eastAsia" w:ascii="宋体" w:hAnsi="宋体"/>
                                <w:sz w:val="28"/>
                                <w:szCs w:val="28"/>
                                <w:lang w:eastAsia="zh-CN"/>
                              </w:rPr>
                              <w:t>（正面）</w:t>
                            </w:r>
                          </w:p>
                        </w:txbxContent>
                      </wps:txbx>
                      <wps:bodyPr upright="1"/>
                    </wps:wsp>
                  </a:graphicData>
                </a:graphic>
              </wp:anchor>
            </w:drawing>
          </mc:Choice>
          <mc:Fallback>
            <w:pict>
              <v:rect id="文本框 15" o:spid="_x0000_s1026" o:spt="1" style="position:absolute;left:0pt;margin-left:30.9pt;margin-top:9.55pt;height:85.15pt;width:176.45pt;z-index:251660288;mso-width-relative:page;mso-height-relative:page;" fillcolor="#FFFFFF" filled="t" stroked="t" coordsize="21600,21600" o:gfxdata="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OS7SC2QAAAAkBAAAPAAAAAAAAAAEAIAAAACIA&#10;AABkcnMvZG93bnJldi54bWxQSwECFAAUAAAACACHTuJAS2ujJwgCAAAtBAAADgAAAAAAAAABACAA&#10;AAAoAQAAZHJzL2Uyb0RvYy54bWxQSwUGAAAAAAYABgBZAQAAogUAAAAA&#10;">
                <v:fill on="t" focussize="0,0"/>
                <v:stroke color="#000000" joinstyle="miter" dashstyle="dash"/>
                <v:imagedata o:title=""/>
                <o:lock v:ext="edit" aspectratio="f"/>
                <v:textbox>
                  <w:txbxContent>
                    <w:p w14:paraId="04B2000D">
                      <w:pPr>
                        <w:jc w:val="center"/>
                        <w:rPr>
                          <w:rFonts w:ascii="宋体"/>
                        </w:rPr>
                      </w:pPr>
                    </w:p>
                    <w:p w14:paraId="3BB89E1B">
                      <w:pPr>
                        <w:jc w:val="center"/>
                        <w:rPr>
                          <w:rFonts w:ascii="宋体" w:hAnsi="宋体"/>
                          <w:sz w:val="28"/>
                          <w:szCs w:val="28"/>
                          <w:lang w:eastAsia="zh-CN"/>
                        </w:rPr>
                      </w:pPr>
                      <w:r>
                        <w:rPr>
                          <w:rFonts w:hint="eastAsia" w:ascii="宋体" w:hAnsi="宋体"/>
                          <w:sz w:val="28"/>
                          <w:szCs w:val="28"/>
                          <w:lang w:eastAsia="zh-CN"/>
                        </w:rPr>
                        <w:t>法定代表人身份证</w:t>
                      </w:r>
                    </w:p>
                    <w:p w14:paraId="3496522B">
                      <w:pPr>
                        <w:jc w:val="center"/>
                        <w:rPr>
                          <w:sz w:val="28"/>
                          <w:szCs w:val="28"/>
                          <w:lang w:eastAsia="zh-CN"/>
                        </w:rPr>
                      </w:pPr>
                      <w:r>
                        <w:rPr>
                          <w:rFonts w:hint="eastAsia" w:ascii="宋体" w:hAnsi="宋体"/>
                          <w:sz w:val="28"/>
                          <w:szCs w:val="28"/>
                          <w:lang w:eastAsia="zh-CN"/>
                        </w:rPr>
                        <w:t>（正面）</w:t>
                      </w:r>
                    </w:p>
                  </w:txbxContent>
                </v:textbox>
              </v:rect>
            </w:pict>
          </mc:Fallback>
        </mc:AlternateContent>
      </w:r>
    </w:p>
    <w:p w14:paraId="468C2DED">
      <w:pPr>
        <w:spacing w:line="360" w:lineRule="auto"/>
        <w:rPr>
          <w:rFonts w:hint="eastAsia" w:ascii="宋体" w:hAnsi="宋体" w:eastAsia="宋体" w:cs="宋体"/>
          <w:color w:val="auto"/>
          <w:sz w:val="24"/>
          <w:szCs w:val="24"/>
          <w:lang w:eastAsia="zh-CN"/>
        </w:rPr>
      </w:pPr>
    </w:p>
    <w:p w14:paraId="0ACABAC3">
      <w:pPr>
        <w:spacing w:line="360" w:lineRule="auto"/>
        <w:rPr>
          <w:rFonts w:hint="eastAsia" w:ascii="宋体" w:hAnsi="宋体" w:eastAsia="宋体" w:cs="宋体"/>
          <w:color w:val="auto"/>
          <w:sz w:val="24"/>
          <w:szCs w:val="24"/>
          <w:lang w:eastAsia="zh-CN"/>
        </w:rPr>
      </w:pPr>
    </w:p>
    <w:p w14:paraId="1E6B8044">
      <w:pPr>
        <w:spacing w:line="360" w:lineRule="auto"/>
        <w:rPr>
          <w:rFonts w:hint="eastAsia" w:ascii="宋体" w:hAnsi="宋体" w:eastAsia="宋体" w:cs="宋体"/>
          <w:color w:val="auto"/>
          <w:sz w:val="24"/>
          <w:szCs w:val="24"/>
          <w:lang w:eastAsia="zh-CN"/>
        </w:rPr>
      </w:pPr>
    </w:p>
    <w:p w14:paraId="1D2477BD">
      <w:pPr>
        <w:spacing w:line="360" w:lineRule="auto"/>
        <w:rPr>
          <w:rFonts w:hint="eastAsia" w:ascii="宋体" w:hAnsi="宋体" w:eastAsia="宋体" w:cs="宋体"/>
          <w:color w:val="auto"/>
          <w:sz w:val="24"/>
          <w:szCs w:val="24"/>
          <w:lang w:eastAsia="zh-CN"/>
        </w:rPr>
      </w:pPr>
    </w:p>
    <w:p w14:paraId="1B1248A2">
      <w:pPr>
        <w:spacing w:line="560" w:lineRule="exact"/>
        <w:ind w:firstLine="480" w:firstLineChars="200"/>
        <w:jc w:val="center"/>
        <w:rPr>
          <w:rFonts w:hint="eastAsia" w:ascii="宋体" w:hAnsi="宋体" w:eastAsia="宋体" w:cs="宋体"/>
          <w:bCs/>
          <w:color w:val="auto"/>
          <w:sz w:val="24"/>
          <w:szCs w:val="24"/>
          <w:lang w:eastAsia="zh-CN"/>
        </w:rPr>
      </w:pPr>
    </w:p>
    <w:p w14:paraId="27792075">
      <w:pPr>
        <w:spacing w:line="560" w:lineRule="exact"/>
        <w:ind w:firstLine="480" w:firstLineChars="200"/>
        <w:jc w:val="center"/>
        <w:rPr>
          <w:rFonts w:hint="eastAsia" w:ascii="宋体" w:hAnsi="宋体" w:eastAsia="宋体" w:cs="宋体"/>
          <w:bCs/>
          <w:color w:val="auto"/>
          <w:sz w:val="24"/>
          <w:szCs w:val="24"/>
          <w:lang w:eastAsia="zh-CN"/>
        </w:rPr>
      </w:pPr>
    </w:p>
    <w:p w14:paraId="6CDEE56B">
      <w:pPr>
        <w:spacing w:line="560" w:lineRule="exact"/>
        <w:ind w:firstLine="480" w:firstLineChars="200"/>
        <w:jc w:val="center"/>
        <w:rPr>
          <w:rFonts w:hint="eastAsia" w:ascii="宋体" w:hAnsi="宋体" w:eastAsia="宋体" w:cs="宋体"/>
          <w:bCs/>
          <w:color w:val="auto"/>
          <w:sz w:val="24"/>
          <w:szCs w:val="24"/>
          <w:lang w:eastAsia="zh-CN"/>
        </w:rPr>
      </w:pPr>
    </w:p>
    <w:p w14:paraId="3E142D90">
      <w:pPr>
        <w:spacing w:line="560" w:lineRule="exact"/>
        <w:ind w:firstLine="480" w:firstLineChars="200"/>
        <w:jc w:val="center"/>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eastAsia="zh-CN"/>
        </w:rPr>
        <w:t xml:space="preserve">                       投标人名称（盖章）：</w:t>
      </w:r>
    </w:p>
    <w:p w14:paraId="2724B22C">
      <w:pPr>
        <w:spacing w:line="560" w:lineRule="exact"/>
        <w:ind w:firstLine="480" w:firstLineChars="200"/>
        <w:jc w:val="center"/>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eastAsia="zh-CN"/>
        </w:rPr>
        <w:t xml:space="preserve">                          日   期：  年   月   日</w:t>
      </w:r>
    </w:p>
    <w:p w14:paraId="45D4190D">
      <w:pPr>
        <w:spacing w:line="560" w:lineRule="exact"/>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br w:type="page"/>
      </w:r>
    </w:p>
    <w:p w14:paraId="74D1E41B">
      <w:pPr>
        <w:spacing w:line="560" w:lineRule="exact"/>
        <w:jc w:val="center"/>
        <w:rPr>
          <w:rFonts w:hint="eastAsia" w:ascii="宋体" w:hAnsi="宋体" w:eastAsia="宋体" w:cs="宋体"/>
          <w:bCs/>
          <w:color w:val="auto"/>
          <w:sz w:val="24"/>
          <w:szCs w:val="24"/>
          <w:lang w:eastAsia="zh-CN"/>
        </w:rPr>
      </w:pPr>
    </w:p>
    <w:p w14:paraId="3328DE97">
      <w:pPr>
        <w:pStyle w:val="13"/>
        <w:spacing w:line="560" w:lineRule="exact"/>
        <w:ind w:firstLine="0"/>
        <w:jc w:val="center"/>
        <w:rPr>
          <w:rFonts w:hint="eastAsia" w:ascii="宋体" w:hAnsi="宋体" w:cs="宋体"/>
          <w:bCs/>
          <w:color w:val="auto"/>
          <w:sz w:val="24"/>
          <w:szCs w:val="24"/>
        </w:rPr>
      </w:pPr>
      <w:r>
        <w:rPr>
          <w:rFonts w:hint="eastAsia" w:ascii="宋体" w:hAnsi="宋体" w:cs="宋体"/>
          <w:b/>
          <w:bCs/>
          <w:color w:val="auto"/>
          <w:sz w:val="24"/>
          <w:szCs w:val="24"/>
        </w:rPr>
        <w:t>（二）法定代表人授权委托书</w:t>
      </w:r>
    </w:p>
    <w:p w14:paraId="41F00738">
      <w:pPr>
        <w:spacing w:line="560" w:lineRule="exact"/>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eastAsia="zh-CN"/>
        </w:rPr>
        <w:t>_______（采购人名称）：</w:t>
      </w:r>
    </w:p>
    <w:p w14:paraId="3051CA4F">
      <w:pPr>
        <w:spacing w:line="560" w:lineRule="exact"/>
        <w:ind w:firstLine="480" w:firstLineChars="200"/>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eastAsia="zh-CN"/>
        </w:rPr>
        <w:t>本授权声明：</w:t>
      </w:r>
      <w:r>
        <w:rPr>
          <w:rFonts w:hint="eastAsia" w:ascii="宋体" w:hAnsi="宋体" w:eastAsia="宋体" w:cs="宋体"/>
          <w:bCs/>
          <w:color w:val="auto"/>
          <w:sz w:val="24"/>
          <w:szCs w:val="24"/>
          <w:u w:val="single"/>
          <w:lang w:eastAsia="zh-CN"/>
        </w:rPr>
        <w:t xml:space="preserve">     </w:t>
      </w:r>
      <w:r>
        <w:rPr>
          <w:rFonts w:hint="eastAsia" w:ascii="宋体" w:hAnsi="宋体" w:eastAsia="宋体" w:cs="宋体"/>
          <w:bCs/>
          <w:color w:val="auto"/>
          <w:sz w:val="24"/>
          <w:szCs w:val="24"/>
          <w:lang w:eastAsia="zh-CN"/>
        </w:rPr>
        <w:t>（投标人名称）</w:t>
      </w:r>
      <w:r>
        <w:rPr>
          <w:rFonts w:hint="eastAsia" w:ascii="宋体" w:hAnsi="宋体" w:eastAsia="宋体" w:cs="宋体"/>
          <w:bCs/>
          <w:color w:val="auto"/>
          <w:sz w:val="24"/>
          <w:szCs w:val="24"/>
          <w:u w:val="single"/>
          <w:lang w:eastAsia="zh-CN"/>
        </w:rPr>
        <w:t xml:space="preserve">   </w:t>
      </w:r>
      <w:r>
        <w:rPr>
          <w:rFonts w:hint="eastAsia" w:ascii="宋体" w:hAnsi="宋体" w:eastAsia="宋体" w:cs="宋体"/>
          <w:bCs/>
          <w:color w:val="auto"/>
          <w:sz w:val="24"/>
          <w:szCs w:val="24"/>
          <w:lang w:eastAsia="zh-CN"/>
        </w:rPr>
        <w:t>（法定代表人姓名、职务）授权</w:t>
      </w:r>
      <w:r>
        <w:rPr>
          <w:rFonts w:hint="eastAsia" w:ascii="宋体" w:hAnsi="宋体" w:eastAsia="宋体" w:cs="宋体"/>
          <w:bCs/>
          <w:color w:val="auto"/>
          <w:sz w:val="24"/>
          <w:szCs w:val="24"/>
          <w:u w:val="single"/>
          <w:lang w:eastAsia="zh-CN"/>
        </w:rPr>
        <w:t xml:space="preserve">    </w:t>
      </w:r>
      <w:r>
        <w:rPr>
          <w:rFonts w:hint="eastAsia" w:ascii="宋体" w:hAnsi="宋体" w:eastAsia="宋体" w:cs="宋体"/>
          <w:bCs/>
          <w:color w:val="auto"/>
          <w:sz w:val="24"/>
          <w:szCs w:val="24"/>
          <w:lang w:eastAsia="zh-CN"/>
        </w:rPr>
        <w:t xml:space="preserve">（被授权人姓名、职务）为我方 “ </w:t>
      </w:r>
      <w:r>
        <w:rPr>
          <w:rFonts w:hint="eastAsia" w:ascii="宋体" w:hAnsi="宋体" w:eastAsia="宋体" w:cs="宋体"/>
          <w:bCs/>
          <w:color w:val="auto"/>
          <w:sz w:val="24"/>
          <w:szCs w:val="24"/>
          <w:u w:val="single"/>
          <w:lang w:eastAsia="zh-CN"/>
        </w:rPr>
        <w:t xml:space="preserve">       </w:t>
      </w:r>
      <w:r>
        <w:rPr>
          <w:rFonts w:hint="eastAsia" w:ascii="宋体" w:hAnsi="宋体" w:eastAsia="宋体" w:cs="宋体"/>
          <w:bCs/>
          <w:color w:val="auto"/>
          <w:sz w:val="24"/>
          <w:szCs w:val="24"/>
          <w:lang w:eastAsia="zh-CN"/>
        </w:rPr>
        <w:t>（项目名称、项目编号）”项目投标活动的合法代表，以我方名义全权处理该项目有关谈判、签订合同以及执行合同等一切事宜。</w:t>
      </w:r>
    </w:p>
    <w:p w14:paraId="4CCAFFCE">
      <w:pPr>
        <w:spacing w:line="560" w:lineRule="exact"/>
        <w:ind w:firstLine="480" w:firstLineChars="200"/>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eastAsia="zh-CN"/>
        </w:rPr>
        <w:t>被授权人无权转让本授权，特此声明。</w:t>
      </w:r>
    </w:p>
    <w:p w14:paraId="22C46A23">
      <w:pPr>
        <w:spacing w:line="560" w:lineRule="exact"/>
        <w:ind w:firstLine="480" w:firstLineChars="200"/>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eastAsia="zh-CN"/>
        </w:rPr>
        <w:t>附：法定代表人及被授权人身份证正反面。</w:t>
      </w:r>
    </w:p>
    <w:p w14:paraId="6428948F">
      <w:pPr>
        <w:pStyle w:val="13"/>
        <w:spacing w:line="360" w:lineRule="auto"/>
        <w:ind w:firstLine="0"/>
        <w:rPr>
          <w:rFonts w:hint="eastAsia" w:ascii="宋体" w:hAnsi="宋体" w:cs="宋体"/>
          <w:color w:val="auto"/>
          <w:sz w:val="24"/>
          <w:szCs w:val="24"/>
        </w:rPr>
      </w:pPr>
    </w:p>
    <w:p w14:paraId="03D8159C">
      <w:pPr>
        <w:spacing w:line="360"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mc:AlternateContent>
          <mc:Choice Requires="wps">
            <w:drawing>
              <wp:anchor distT="0" distB="0" distL="114300" distR="114300" simplePos="0" relativeHeight="251668480" behindDoc="0" locked="0" layoutInCell="1" allowOverlap="1">
                <wp:simplePos x="0" y="0"/>
                <wp:positionH relativeFrom="column">
                  <wp:posOffset>116205</wp:posOffset>
                </wp:positionH>
                <wp:positionV relativeFrom="paragraph">
                  <wp:posOffset>134620</wp:posOffset>
                </wp:positionV>
                <wp:extent cx="2240915" cy="1081405"/>
                <wp:effectExtent l="4445" t="4445" r="21590" b="19050"/>
                <wp:wrapNone/>
                <wp:docPr id="6" name="文本框 16"/>
                <wp:cNvGraphicFramePr/>
                <a:graphic xmlns:a="http://schemas.openxmlformats.org/drawingml/2006/main">
                  <a:graphicData uri="http://schemas.microsoft.com/office/word/2010/wordprocessingShape">
                    <wps:wsp>
                      <wps:cNvSpPr/>
                      <wps:spPr>
                        <a:xfrm>
                          <a:off x="0" y="0"/>
                          <a:ext cx="2240915" cy="1081405"/>
                        </a:xfrm>
                        <a:prstGeom prst="rect">
                          <a:avLst/>
                        </a:prstGeom>
                        <a:solidFill>
                          <a:srgbClr val="FFFFFF"/>
                        </a:solidFill>
                        <a:ln w="9525" cap="flat" cmpd="sng">
                          <a:solidFill>
                            <a:srgbClr val="000000"/>
                          </a:solidFill>
                          <a:prstDash val="dash"/>
                          <a:miter/>
                          <a:headEnd type="none" w="med" len="med"/>
                          <a:tailEnd type="none" w="med" len="med"/>
                        </a:ln>
                      </wps:spPr>
                      <wps:txbx>
                        <w:txbxContent>
                          <w:p w14:paraId="3E777CB3">
                            <w:pPr>
                              <w:jc w:val="center"/>
                              <w:rPr>
                                <w:rFonts w:ascii="宋体"/>
                              </w:rPr>
                            </w:pPr>
                          </w:p>
                          <w:p w14:paraId="08F7A77D">
                            <w:pPr>
                              <w:jc w:val="center"/>
                              <w:rPr>
                                <w:rFonts w:ascii="宋体" w:hAnsi="宋体"/>
                                <w:sz w:val="28"/>
                                <w:szCs w:val="28"/>
                                <w:lang w:eastAsia="zh-CN"/>
                              </w:rPr>
                            </w:pPr>
                            <w:r>
                              <w:rPr>
                                <w:rFonts w:hint="eastAsia" w:ascii="宋体" w:hAnsi="宋体"/>
                                <w:sz w:val="28"/>
                                <w:szCs w:val="28"/>
                                <w:lang w:eastAsia="zh-CN"/>
                              </w:rPr>
                              <w:t>法定代表人身份证</w:t>
                            </w:r>
                          </w:p>
                          <w:p w14:paraId="1FE10C53">
                            <w:pPr>
                              <w:jc w:val="center"/>
                              <w:rPr>
                                <w:sz w:val="28"/>
                                <w:szCs w:val="28"/>
                                <w:lang w:eastAsia="zh-CN"/>
                              </w:rPr>
                            </w:pPr>
                            <w:r>
                              <w:rPr>
                                <w:rFonts w:hint="eastAsia" w:ascii="宋体" w:hAnsi="宋体"/>
                                <w:sz w:val="28"/>
                                <w:szCs w:val="28"/>
                                <w:lang w:eastAsia="zh-CN"/>
                              </w:rPr>
                              <w:t>（正面）</w:t>
                            </w:r>
                          </w:p>
                        </w:txbxContent>
                      </wps:txbx>
                      <wps:bodyPr upright="1"/>
                    </wps:wsp>
                  </a:graphicData>
                </a:graphic>
              </wp:anchor>
            </w:drawing>
          </mc:Choice>
          <mc:Fallback>
            <w:pict>
              <v:rect id="文本框 16" o:spid="_x0000_s1026" o:spt="1" style="position:absolute;left:0pt;margin-left:9.15pt;margin-top:10.6pt;height:85.15pt;width:176.45pt;z-index:251668480;mso-width-relative:page;mso-height-relative:page;" fillcolor="#FFFFFF" filled="t" stroked="t" coordsize="21600,21600" o:gfxdata="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&#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td2Yq2AAAAAkBAAAPAAAAAAAAAAEAIAAAACIAAABk&#10;cnMvZG93bnJldi54bWxQSwECFAAUAAAACACHTuJAd9et3gYCAAAtBAAADgAAAAAAAAABACAAAAAn&#10;AQAAZHJzL2Uyb0RvYy54bWxQSwUGAAAAAAYABgBZAQAAnwUAAAAA&#10;">
                <v:fill on="t" focussize="0,0"/>
                <v:stroke color="#000000" joinstyle="miter" dashstyle="dash"/>
                <v:imagedata o:title=""/>
                <o:lock v:ext="edit" aspectratio="f"/>
                <v:textbox>
                  <w:txbxContent>
                    <w:p w14:paraId="3E777CB3">
                      <w:pPr>
                        <w:jc w:val="center"/>
                        <w:rPr>
                          <w:rFonts w:ascii="宋体"/>
                        </w:rPr>
                      </w:pPr>
                    </w:p>
                    <w:p w14:paraId="08F7A77D">
                      <w:pPr>
                        <w:jc w:val="center"/>
                        <w:rPr>
                          <w:rFonts w:ascii="宋体" w:hAnsi="宋体"/>
                          <w:sz w:val="28"/>
                          <w:szCs w:val="28"/>
                          <w:lang w:eastAsia="zh-CN"/>
                        </w:rPr>
                      </w:pPr>
                      <w:r>
                        <w:rPr>
                          <w:rFonts w:hint="eastAsia" w:ascii="宋体" w:hAnsi="宋体"/>
                          <w:sz w:val="28"/>
                          <w:szCs w:val="28"/>
                          <w:lang w:eastAsia="zh-CN"/>
                        </w:rPr>
                        <w:t>法定代表人身份证</w:t>
                      </w:r>
                    </w:p>
                    <w:p w14:paraId="1FE10C53">
                      <w:pPr>
                        <w:jc w:val="center"/>
                        <w:rPr>
                          <w:sz w:val="28"/>
                          <w:szCs w:val="28"/>
                          <w:lang w:eastAsia="zh-CN"/>
                        </w:rPr>
                      </w:pPr>
                      <w:r>
                        <w:rPr>
                          <w:rFonts w:hint="eastAsia" w:ascii="宋体" w:hAnsi="宋体"/>
                          <w:sz w:val="28"/>
                          <w:szCs w:val="28"/>
                          <w:lang w:eastAsia="zh-CN"/>
                        </w:rPr>
                        <w:t>（正面）</w:t>
                      </w:r>
                    </w:p>
                  </w:txbxContent>
                </v:textbox>
              </v:rect>
            </w:pict>
          </mc:Fallback>
        </mc:AlternateContent>
      </w:r>
      <w:r>
        <w:rPr>
          <w:rFonts w:hint="eastAsia" w:ascii="宋体" w:hAnsi="宋体" w:eastAsia="宋体" w:cs="宋体"/>
          <w:color w:val="auto"/>
          <w:sz w:val="24"/>
          <w:szCs w:val="24"/>
        </w:rPr>
        <mc:AlternateContent>
          <mc:Choice Requires="wps">
            <w:drawing>
              <wp:anchor distT="0" distB="0" distL="114300" distR="114300" simplePos="0" relativeHeight="251669504" behindDoc="0" locked="0" layoutInCell="1" allowOverlap="1">
                <wp:simplePos x="0" y="0"/>
                <wp:positionH relativeFrom="column">
                  <wp:posOffset>2573020</wp:posOffset>
                </wp:positionH>
                <wp:positionV relativeFrom="paragraph">
                  <wp:posOffset>160655</wp:posOffset>
                </wp:positionV>
                <wp:extent cx="2240915" cy="1086485"/>
                <wp:effectExtent l="4445" t="4445" r="21590" b="13970"/>
                <wp:wrapNone/>
                <wp:docPr id="7" name="文本框 9"/>
                <wp:cNvGraphicFramePr/>
                <a:graphic xmlns:a="http://schemas.openxmlformats.org/drawingml/2006/main">
                  <a:graphicData uri="http://schemas.microsoft.com/office/word/2010/wordprocessingShape">
                    <wps:wsp>
                      <wps:cNvSpPr/>
                      <wps:spPr>
                        <a:xfrm>
                          <a:off x="0" y="0"/>
                          <a:ext cx="2240915" cy="1086485"/>
                        </a:xfrm>
                        <a:prstGeom prst="rect">
                          <a:avLst/>
                        </a:prstGeom>
                        <a:solidFill>
                          <a:srgbClr val="FFFFFF"/>
                        </a:solidFill>
                        <a:ln w="9525" cap="flat" cmpd="sng">
                          <a:solidFill>
                            <a:srgbClr val="000000"/>
                          </a:solidFill>
                          <a:prstDash val="dash"/>
                          <a:miter/>
                          <a:headEnd type="none" w="med" len="med"/>
                          <a:tailEnd type="none" w="med" len="med"/>
                        </a:ln>
                      </wps:spPr>
                      <wps:txbx>
                        <w:txbxContent>
                          <w:p w14:paraId="554298E5">
                            <w:pPr>
                              <w:jc w:val="center"/>
                              <w:rPr>
                                <w:rFonts w:ascii="宋体"/>
                              </w:rPr>
                            </w:pPr>
                          </w:p>
                          <w:p w14:paraId="76F06054">
                            <w:pPr>
                              <w:jc w:val="center"/>
                              <w:rPr>
                                <w:rFonts w:ascii="宋体" w:hAnsi="宋体"/>
                                <w:sz w:val="28"/>
                                <w:szCs w:val="28"/>
                                <w:lang w:eastAsia="zh-CN"/>
                              </w:rPr>
                            </w:pPr>
                            <w:r>
                              <w:rPr>
                                <w:rFonts w:hint="eastAsia" w:ascii="宋体" w:hAnsi="宋体"/>
                                <w:sz w:val="28"/>
                                <w:szCs w:val="28"/>
                                <w:lang w:eastAsia="zh-CN"/>
                              </w:rPr>
                              <w:t>法定代表人身份证</w:t>
                            </w:r>
                          </w:p>
                          <w:p w14:paraId="7EAC803B">
                            <w:pPr>
                              <w:jc w:val="center"/>
                              <w:rPr>
                                <w:sz w:val="28"/>
                                <w:szCs w:val="28"/>
                                <w:lang w:eastAsia="zh-CN"/>
                              </w:rPr>
                            </w:pPr>
                            <w:r>
                              <w:rPr>
                                <w:rFonts w:hint="eastAsia" w:ascii="宋体" w:hAnsi="宋体"/>
                                <w:sz w:val="28"/>
                                <w:szCs w:val="28"/>
                                <w:lang w:eastAsia="zh-CN"/>
                              </w:rPr>
                              <w:t>（反面）</w:t>
                            </w:r>
                          </w:p>
                        </w:txbxContent>
                      </wps:txbx>
                      <wps:bodyPr upright="1"/>
                    </wps:wsp>
                  </a:graphicData>
                </a:graphic>
              </wp:anchor>
            </w:drawing>
          </mc:Choice>
          <mc:Fallback>
            <w:pict>
              <v:rect id="文本框 9" o:spid="_x0000_s1026" o:spt="1" style="position:absolute;left:0pt;margin-left:202.6pt;margin-top:12.65pt;height:85.55pt;width:176.45pt;z-index:251669504;mso-width-relative:page;mso-height-relative:page;" fillcolor="#FFFFFF" filled="t" stroked="t" coordsize="21600,21600" o:gfxdata="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84yi3aAAAACgEAAA8AAAAAAAAAAQAgAAAAIgAA&#10;AGRycy9kb3ducmV2LnhtbFBLAQIUABQAAAAIAIdO4kBPfxAgBgIAACwEAAAOAAAAAAAAAAEAIAAA&#10;ACkBAABkcnMvZTJvRG9jLnhtbFBLBQYAAAAABgAGAFkBAAChBQAAAAA=&#10;">
                <v:fill on="t" focussize="0,0"/>
                <v:stroke color="#000000" joinstyle="miter" dashstyle="dash"/>
                <v:imagedata o:title=""/>
                <o:lock v:ext="edit" aspectratio="f"/>
                <v:textbox>
                  <w:txbxContent>
                    <w:p w14:paraId="554298E5">
                      <w:pPr>
                        <w:jc w:val="center"/>
                        <w:rPr>
                          <w:rFonts w:ascii="宋体"/>
                        </w:rPr>
                      </w:pPr>
                    </w:p>
                    <w:p w14:paraId="76F06054">
                      <w:pPr>
                        <w:jc w:val="center"/>
                        <w:rPr>
                          <w:rFonts w:ascii="宋体" w:hAnsi="宋体"/>
                          <w:sz w:val="28"/>
                          <w:szCs w:val="28"/>
                          <w:lang w:eastAsia="zh-CN"/>
                        </w:rPr>
                      </w:pPr>
                      <w:r>
                        <w:rPr>
                          <w:rFonts w:hint="eastAsia" w:ascii="宋体" w:hAnsi="宋体"/>
                          <w:sz w:val="28"/>
                          <w:szCs w:val="28"/>
                          <w:lang w:eastAsia="zh-CN"/>
                        </w:rPr>
                        <w:t>法定代表人身份证</w:t>
                      </w:r>
                    </w:p>
                    <w:p w14:paraId="7EAC803B">
                      <w:pPr>
                        <w:jc w:val="center"/>
                        <w:rPr>
                          <w:sz w:val="28"/>
                          <w:szCs w:val="28"/>
                          <w:lang w:eastAsia="zh-CN"/>
                        </w:rPr>
                      </w:pPr>
                      <w:r>
                        <w:rPr>
                          <w:rFonts w:hint="eastAsia" w:ascii="宋体" w:hAnsi="宋体"/>
                          <w:sz w:val="28"/>
                          <w:szCs w:val="28"/>
                          <w:lang w:eastAsia="zh-CN"/>
                        </w:rPr>
                        <w:t>（反面）</w:t>
                      </w:r>
                    </w:p>
                  </w:txbxContent>
                </v:textbox>
              </v:rect>
            </w:pict>
          </mc:Fallback>
        </mc:AlternateContent>
      </w:r>
    </w:p>
    <w:p w14:paraId="13C1A51E">
      <w:pPr>
        <w:spacing w:line="360" w:lineRule="auto"/>
        <w:rPr>
          <w:rFonts w:hint="eastAsia" w:ascii="宋体" w:hAnsi="宋体" w:eastAsia="宋体" w:cs="宋体"/>
          <w:color w:val="auto"/>
          <w:sz w:val="24"/>
          <w:szCs w:val="24"/>
          <w:lang w:eastAsia="zh-CN"/>
        </w:rPr>
      </w:pPr>
    </w:p>
    <w:p w14:paraId="06E82028">
      <w:pPr>
        <w:spacing w:line="360" w:lineRule="auto"/>
        <w:rPr>
          <w:rFonts w:hint="eastAsia" w:ascii="宋体" w:hAnsi="宋体" w:eastAsia="宋体" w:cs="宋体"/>
          <w:color w:val="auto"/>
          <w:sz w:val="24"/>
          <w:szCs w:val="24"/>
          <w:lang w:eastAsia="zh-CN"/>
        </w:rPr>
      </w:pPr>
    </w:p>
    <w:p w14:paraId="1226511C">
      <w:pPr>
        <w:spacing w:line="360" w:lineRule="auto"/>
        <w:rPr>
          <w:rFonts w:hint="eastAsia" w:ascii="宋体" w:hAnsi="宋体" w:eastAsia="宋体" w:cs="宋体"/>
          <w:color w:val="auto"/>
          <w:sz w:val="24"/>
          <w:szCs w:val="24"/>
          <w:lang w:eastAsia="zh-CN"/>
        </w:rPr>
      </w:pPr>
    </w:p>
    <w:p w14:paraId="630269F3">
      <w:pPr>
        <w:spacing w:line="360" w:lineRule="auto"/>
        <w:rPr>
          <w:rFonts w:hint="eastAsia" w:ascii="宋体" w:hAnsi="宋体" w:eastAsia="宋体" w:cs="宋体"/>
          <w:color w:val="auto"/>
          <w:sz w:val="24"/>
          <w:szCs w:val="24"/>
          <w:lang w:eastAsia="zh-CN"/>
        </w:rPr>
      </w:pPr>
    </w:p>
    <w:p w14:paraId="6EA773C1">
      <w:pPr>
        <w:spacing w:line="360" w:lineRule="auto"/>
        <w:jc w:val="both"/>
        <w:rPr>
          <w:rFonts w:hint="eastAsia" w:ascii="宋体" w:hAnsi="宋体" w:eastAsia="宋体" w:cs="宋体"/>
          <w:color w:val="auto"/>
          <w:sz w:val="24"/>
          <w:szCs w:val="24"/>
          <w:lang w:eastAsia="zh-CN"/>
        </w:rPr>
      </w:pPr>
      <w:r>
        <w:rPr>
          <w:rFonts w:hint="eastAsia" w:ascii="宋体" w:hAnsi="宋体" w:eastAsia="宋体" w:cs="宋体"/>
          <w:color w:val="auto"/>
          <w:sz w:val="24"/>
          <w:szCs w:val="24"/>
        </w:rPr>
        <mc:AlternateContent>
          <mc:Choice Requires="wps">
            <w:drawing>
              <wp:anchor distT="0" distB="0" distL="114300" distR="114300" simplePos="0" relativeHeight="251666432" behindDoc="0" locked="0" layoutInCell="1" allowOverlap="1">
                <wp:simplePos x="0" y="0"/>
                <wp:positionH relativeFrom="column">
                  <wp:posOffset>2564130</wp:posOffset>
                </wp:positionH>
                <wp:positionV relativeFrom="paragraph">
                  <wp:posOffset>289560</wp:posOffset>
                </wp:positionV>
                <wp:extent cx="2240915" cy="1081405"/>
                <wp:effectExtent l="4445" t="4445" r="21590" b="19050"/>
                <wp:wrapNone/>
                <wp:docPr id="5" name="文本框 17"/>
                <wp:cNvGraphicFramePr/>
                <a:graphic xmlns:a="http://schemas.openxmlformats.org/drawingml/2006/main">
                  <a:graphicData uri="http://schemas.microsoft.com/office/word/2010/wordprocessingShape">
                    <wps:wsp>
                      <wps:cNvSpPr/>
                      <wps:spPr>
                        <a:xfrm>
                          <a:off x="0" y="0"/>
                          <a:ext cx="2240915" cy="1081405"/>
                        </a:xfrm>
                        <a:prstGeom prst="rect">
                          <a:avLst/>
                        </a:prstGeom>
                        <a:solidFill>
                          <a:srgbClr val="FFFFFF"/>
                        </a:solidFill>
                        <a:ln w="9525" cap="flat" cmpd="sng">
                          <a:solidFill>
                            <a:srgbClr val="000000"/>
                          </a:solidFill>
                          <a:prstDash val="dash"/>
                          <a:miter/>
                          <a:headEnd type="none" w="med" len="med"/>
                          <a:tailEnd type="none" w="med" len="med"/>
                        </a:ln>
                      </wps:spPr>
                      <wps:txbx>
                        <w:txbxContent>
                          <w:p w14:paraId="7F1FE345">
                            <w:pPr>
                              <w:jc w:val="center"/>
                              <w:rPr>
                                <w:rFonts w:ascii="宋体"/>
                              </w:rPr>
                            </w:pPr>
                          </w:p>
                          <w:p w14:paraId="055ECA9A">
                            <w:pPr>
                              <w:jc w:val="center"/>
                              <w:rPr>
                                <w:rFonts w:ascii="宋体" w:hAnsi="宋体"/>
                                <w:sz w:val="28"/>
                                <w:szCs w:val="28"/>
                                <w:lang w:eastAsia="zh-CN"/>
                              </w:rPr>
                            </w:pPr>
                            <w:r>
                              <w:rPr>
                                <w:rFonts w:hint="eastAsia" w:ascii="宋体" w:hAnsi="宋体"/>
                                <w:sz w:val="28"/>
                                <w:szCs w:val="28"/>
                                <w:lang w:eastAsia="zh-CN"/>
                              </w:rPr>
                              <w:t>授权代表身份证</w:t>
                            </w:r>
                          </w:p>
                          <w:p w14:paraId="208F253A">
                            <w:pPr>
                              <w:jc w:val="center"/>
                              <w:rPr>
                                <w:sz w:val="28"/>
                                <w:szCs w:val="28"/>
                                <w:lang w:eastAsia="zh-CN"/>
                              </w:rPr>
                            </w:pPr>
                            <w:r>
                              <w:rPr>
                                <w:rFonts w:hint="eastAsia" w:ascii="宋体" w:hAnsi="宋体"/>
                                <w:sz w:val="28"/>
                                <w:szCs w:val="28"/>
                                <w:lang w:eastAsia="zh-CN"/>
                              </w:rPr>
                              <w:t>（反面）</w:t>
                            </w:r>
                          </w:p>
                        </w:txbxContent>
                      </wps:txbx>
                      <wps:bodyPr upright="1"/>
                    </wps:wsp>
                  </a:graphicData>
                </a:graphic>
              </wp:anchor>
            </w:drawing>
          </mc:Choice>
          <mc:Fallback>
            <w:pict>
              <v:rect id="文本框 17" o:spid="_x0000_s1026" o:spt="1" style="position:absolute;left:0pt;margin-left:201.9pt;margin-top:22.8pt;height:85.15pt;width:176.45pt;z-index:251666432;mso-width-relative:page;mso-height-relative:page;" fillcolor="#FFFFFF" filled="t" stroked="t" coordsize="21600,21600" o:gfxdata="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u3xYWtoAAAAKAQAADwAAAAAAAAABACAAAAAiAAAA&#10;ZHJzL2Rvd25yZXYueG1sUEsBAhQAFAAAAAgAh07iQKyQdZgFAgAALQQAAA4AAAAAAAAAAQAgAAAA&#10;KQEAAGRycy9lMm9Eb2MueG1sUEsFBgAAAAAGAAYAWQEAAKAFAAAAAA==&#10;">
                <v:fill on="t" focussize="0,0"/>
                <v:stroke color="#000000" joinstyle="miter" dashstyle="dash"/>
                <v:imagedata o:title=""/>
                <o:lock v:ext="edit" aspectratio="f"/>
                <v:textbox>
                  <w:txbxContent>
                    <w:p w14:paraId="7F1FE345">
                      <w:pPr>
                        <w:jc w:val="center"/>
                        <w:rPr>
                          <w:rFonts w:ascii="宋体"/>
                        </w:rPr>
                      </w:pPr>
                    </w:p>
                    <w:p w14:paraId="055ECA9A">
                      <w:pPr>
                        <w:jc w:val="center"/>
                        <w:rPr>
                          <w:rFonts w:ascii="宋体" w:hAnsi="宋体"/>
                          <w:sz w:val="28"/>
                          <w:szCs w:val="28"/>
                          <w:lang w:eastAsia="zh-CN"/>
                        </w:rPr>
                      </w:pPr>
                      <w:r>
                        <w:rPr>
                          <w:rFonts w:hint="eastAsia" w:ascii="宋体" w:hAnsi="宋体"/>
                          <w:sz w:val="28"/>
                          <w:szCs w:val="28"/>
                          <w:lang w:eastAsia="zh-CN"/>
                        </w:rPr>
                        <w:t>授权代表身份证</w:t>
                      </w:r>
                    </w:p>
                    <w:p w14:paraId="208F253A">
                      <w:pPr>
                        <w:jc w:val="center"/>
                        <w:rPr>
                          <w:sz w:val="28"/>
                          <w:szCs w:val="28"/>
                          <w:lang w:eastAsia="zh-CN"/>
                        </w:rPr>
                      </w:pPr>
                      <w:r>
                        <w:rPr>
                          <w:rFonts w:hint="eastAsia" w:ascii="宋体" w:hAnsi="宋体"/>
                          <w:sz w:val="28"/>
                          <w:szCs w:val="28"/>
                          <w:lang w:eastAsia="zh-CN"/>
                        </w:rPr>
                        <w:t>（反面）</w:t>
                      </w:r>
                    </w:p>
                  </w:txbxContent>
                </v:textbox>
              </v:rect>
            </w:pict>
          </mc:Fallback>
        </mc:AlternateContent>
      </w:r>
      <w:r>
        <w:rPr>
          <w:rFonts w:hint="eastAsia" w:ascii="宋体" w:hAnsi="宋体" w:eastAsia="宋体" w:cs="宋体"/>
          <w:color w:val="auto"/>
          <w:sz w:val="24"/>
          <w:szCs w:val="24"/>
        </w:rPr>
        <mc:AlternateContent>
          <mc:Choice Requires="wps">
            <w:drawing>
              <wp:anchor distT="0" distB="0" distL="114300" distR="114300" simplePos="0" relativeHeight="251664384" behindDoc="0" locked="0" layoutInCell="1" allowOverlap="1">
                <wp:simplePos x="0" y="0"/>
                <wp:positionH relativeFrom="column">
                  <wp:posOffset>125730</wp:posOffset>
                </wp:positionH>
                <wp:positionV relativeFrom="paragraph">
                  <wp:posOffset>280035</wp:posOffset>
                </wp:positionV>
                <wp:extent cx="2240915" cy="1081405"/>
                <wp:effectExtent l="4445" t="4445" r="21590" b="19050"/>
                <wp:wrapNone/>
                <wp:docPr id="4" name="文本框 18"/>
                <wp:cNvGraphicFramePr/>
                <a:graphic xmlns:a="http://schemas.openxmlformats.org/drawingml/2006/main">
                  <a:graphicData uri="http://schemas.microsoft.com/office/word/2010/wordprocessingShape">
                    <wps:wsp>
                      <wps:cNvSpPr/>
                      <wps:spPr>
                        <a:xfrm>
                          <a:off x="0" y="0"/>
                          <a:ext cx="2240915" cy="1081405"/>
                        </a:xfrm>
                        <a:prstGeom prst="rect">
                          <a:avLst/>
                        </a:prstGeom>
                        <a:solidFill>
                          <a:srgbClr val="FFFFFF"/>
                        </a:solidFill>
                        <a:ln w="9525" cap="flat" cmpd="sng">
                          <a:solidFill>
                            <a:srgbClr val="000000"/>
                          </a:solidFill>
                          <a:prstDash val="dash"/>
                          <a:miter/>
                          <a:headEnd type="none" w="med" len="med"/>
                          <a:tailEnd type="none" w="med" len="med"/>
                        </a:ln>
                      </wps:spPr>
                      <wps:txbx>
                        <w:txbxContent>
                          <w:p w14:paraId="7BFDA4CA">
                            <w:pPr>
                              <w:jc w:val="center"/>
                              <w:rPr>
                                <w:rFonts w:ascii="宋体"/>
                              </w:rPr>
                            </w:pPr>
                          </w:p>
                          <w:p w14:paraId="4CA7DF5B">
                            <w:pPr>
                              <w:jc w:val="center"/>
                              <w:rPr>
                                <w:rFonts w:ascii="宋体" w:hAnsi="宋体"/>
                                <w:sz w:val="28"/>
                                <w:szCs w:val="28"/>
                                <w:lang w:eastAsia="zh-CN"/>
                              </w:rPr>
                            </w:pPr>
                            <w:r>
                              <w:rPr>
                                <w:rFonts w:hint="eastAsia" w:ascii="宋体" w:hAnsi="宋体"/>
                                <w:sz w:val="28"/>
                                <w:szCs w:val="28"/>
                                <w:lang w:eastAsia="zh-CN"/>
                              </w:rPr>
                              <w:t>授权代表身份证</w:t>
                            </w:r>
                          </w:p>
                          <w:p w14:paraId="5F307734">
                            <w:pPr>
                              <w:jc w:val="center"/>
                              <w:rPr>
                                <w:sz w:val="28"/>
                                <w:szCs w:val="28"/>
                                <w:lang w:eastAsia="zh-CN"/>
                              </w:rPr>
                            </w:pPr>
                            <w:r>
                              <w:rPr>
                                <w:rFonts w:hint="eastAsia" w:ascii="宋体" w:hAnsi="宋体"/>
                                <w:sz w:val="28"/>
                                <w:szCs w:val="28"/>
                                <w:lang w:eastAsia="zh-CN"/>
                              </w:rPr>
                              <w:t>（正面）</w:t>
                            </w:r>
                          </w:p>
                        </w:txbxContent>
                      </wps:txbx>
                      <wps:bodyPr upright="1"/>
                    </wps:wsp>
                  </a:graphicData>
                </a:graphic>
              </wp:anchor>
            </w:drawing>
          </mc:Choice>
          <mc:Fallback>
            <w:pict>
              <v:rect id="文本框 18" o:spid="_x0000_s1026" o:spt="1" style="position:absolute;left:0pt;margin-left:9.9pt;margin-top:22.05pt;height:85.15pt;width:176.45pt;z-index:251664384;mso-width-relative:page;mso-height-relative:page;" fillcolor="#FFFFFF" filled="t" stroked="t" coordsize="21600,21600" o:gfxdata="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GVRTE2QAAAAkBAAAPAAAAAAAAAAEAIAAAACIAAABk&#10;cnMvZG93bnJldi54bWxQSwECFAAUAAAACACHTuJAZTzZWAUCAAAtBAAADgAAAAAAAAABACAAAAAo&#10;AQAAZHJzL2Uyb0RvYy54bWxQSwUGAAAAAAYABgBZAQAAnwUAAAAA&#10;">
                <v:fill on="t" focussize="0,0"/>
                <v:stroke color="#000000" joinstyle="miter" dashstyle="dash"/>
                <v:imagedata o:title=""/>
                <o:lock v:ext="edit" aspectratio="f"/>
                <v:textbox>
                  <w:txbxContent>
                    <w:p w14:paraId="7BFDA4CA">
                      <w:pPr>
                        <w:jc w:val="center"/>
                        <w:rPr>
                          <w:rFonts w:ascii="宋体"/>
                        </w:rPr>
                      </w:pPr>
                    </w:p>
                    <w:p w14:paraId="4CA7DF5B">
                      <w:pPr>
                        <w:jc w:val="center"/>
                        <w:rPr>
                          <w:rFonts w:ascii="宋体" w:hAnsi="宋体"/>
                          <w:sz w:val="28"/>
                          <w:szCs w:val="28"/>
                          <w:lang w:eastAsia="zh-CN"/>
                        </w:rPr>
                      </w:pPr>
                      <w:r>
                        <w:rPr>
                          <w:rFonts w:hint="eastAsia" w:ascii="宋体" w:hAnsi="宋体"/>
                          <w:sz w:val="28"/>
                          <w:szCs w:val="28"/>
                          <w:lang w:eastAsia="zh-CN"/>
                        </w:rPr>
                        <w:t>授权代表身份证</w:t>
                      </w:r>
                    </w:p>
                    <w:p w14:paraId="5F307734">
                      <w:pPr>
                        <w:jc w:val="center"/>
                        <w:rPr>
                          <w:sz w:val="28"/>
                          <w:szCs w:val="28"/>
                          <w:lang w:eastAsia="zh-CN"/>
                        </w:rPr>
                      </w:pPr>
                      <w:r>
                        <w:rPr>
                          <w:rFonts w:hint="eastAsia" w:ascii="宋体" w:hAnsi="宋体"/>
                          <w:sz w:val="28"/>
                          <w:szCs w:val="28"/>
                          <w:lang w:eastAsia="zh-CN"/>
                        </w:rPr>
                        <w:t>（正面）</w:t>
                      </w:r>
                    </w:p>
                  </w:txbxContent>
                </v:textbox>
              </v:rect>
            </w:pict>
          </mc:Fallback>
        </mc:AlternateContent>
      </w:r>
    </w:p>
    <w:p w14:paraId="2910A335">
      <w:pPr>
        <w:spacing w:line="360" w:lineRule="auto"/>
        <w:jc w:val="center"/>
        <w:rPr>
          <w:rFonts w:hint="eastAsia" w:ascii="宋体" w:hAnsi="宋体" w:eastAsia="宋体" w:cs="宋体"/>
          <w:color w:val="auto"/>
          <w:sz w:val="24"/>
          <w:szCs w:val="24"/>
          <w:lang w:eastAsia="zh-CN"/>
        </w:rPr>
      </w:pPr>
    </w:p>
    <w:p w14:paraId="7E51F7E6">
      <w:pPr>
        <w:spacing w:line="360" w:lineRule="auto"/>
        <w:jc w:val="center"/>
        <w:rPr>
          <w:rFonts w:hint="eastAsia" w:ascii="宋体" w:hAnsi="宋体" w:eastAsia="宋体" w:cs="宋体"/>
          <w:color w:val="auto"/>
          <w:sz w:val="24"/>
          <w:szCs w:val="24"/>
          <w:lang w:eastAsia="zh-CN"/>
        </w:rPr>
      </w:pPr>
    </w:p>
    <w:p w14:paraId="29A035FB">
      <w:pPr>
        <w:spacing w:line="360" w:lineRule="auto"/>
        <w:jc w:val="center"/>
        <w:rPr>
          <w:rFonts w:hint="eastAsia" w:ascii="宋体" w:hAnsi="宋体" w:eastAsia="宋体" w:cs="宋体"/>
          <w:color w:val="auto"/>
          <w:sz w:val="24"/>
          <w:szCs w:val="24"/>
          <w:lang w:eastAsia="zh-CN"/>
        </w:rPr>
      </w:pPr>
    </w:p>
    <w:p w14:paraId="0243A8BE">
      <w:pPr>
        <w:spacing w:line="360" w:lineRule="auto"/>
        <w:jc w:val="center"/>
        <w:rPr>
          <w:rFonts w:hint="eastAsia" w:ascii="宋体" w:hAnsi="宋体" w:eastAsia="宋体" w:cs="宋体"/>
          <w:color w:val="auto"/>
          <w:sz w:val="24"/>
          <w:szCs w:val="24"/>
          <w:lang w:eastAsia="zh-CN"/>
        </w:rPr>
      </w:pPr>
    </w:p>
    <w:p w14:paraId="78AD2A3B">
      <w:pPr>
        <w:spacing w:line="360" w:lineRule="auto"/>
        <w:jc w:val="center"/>
        <w:rPr>
          <w:rFonts w:hint="eastAsia" w:ascii="宋体" w:hAnsi="宋体" w:eastAsia="宋体" w:cs="宋体"/>
          <w:color w:val="auto"/>
          <w:sz w:val="24"/>
          <w:szCs w:val="24"/>
          <w:lang w:eastAsia="zh-CN"/>
        </w:rPr>
      </w:pPr>
    </w:p>
    <w:p w14:paraId="263A15E5">
      <w:pPr>
        <w:pStyle w:val="21"/>
        <w:spacing w:after="0" w:line="560" w:lineRule="exact"/>
        <w:ind w:left="0" w:leftChars="0"/>
        <w:jc w:val="center"/>
        <w:rPr>
          <w:rFonts w:hint="eastAsia" w:ascii="宋体" w:hAnsi="宋体" w:cs="宋体"/>
          <w:bCs/>
          <w:color w:val="auto"/>
          <w:sz w:val="24"/>
          <w:szCs w:val="24"/>
          <w:lang w:eastAsia="zh-CN"/>
        </w:rPr>
      </w:pPr>
      <w:r>
        <w:rPr>
          <w:rFonts w:hint="eastAsia" w:ascii="宋体" w:hAnsi="宋体" w:cs="宋体"/>
          <w:bCs/>
          <w:color w:val="auto"/>
          <w:sz w:val="24"/>
          <w:szCs w:val="24"/>
          <w:lang w:eastAsia="zh-CN"/>
        </w:rPr>
        <w:t xml:space="preserve">          投标人名称（盖章）：</w:t>
      </w:r>
    </w:p>
    <w:p w14:paraId="1D66B15C">
      <w:pPr>
        <w:pStyle w:val="21"/>
        <w:spacing w:after="0" w:line="560" w:lineRule="exact"/>
        <w:ind w:left="0" w:leftChars="0"/>
        <w:jc w:val="center"/>
        <w:rPr>
          <w:rFonts w:hint="eastAsia" w:ascii="宋体" w:hAnsi="宋体" w:cs="宋体"/>
          <w:bCs/>
          <w:color w:val="auto"/>
          <w:sz w:val="24"/>
          <w:szCs w:val="24"/>
          <w:lang w:eastAsia="zh-CN"/>
        </w:rPr>
      </w:pPr>
      <w:r>
        <w:rPr>
          <w:rFonts w:hint="eastAsia" w:ascii="宋体" w:hAnsi="宋体" w:cs="宋体"/>
          <w:bCs/>
          <w:color w:val="auto"/>
          <w:sz w:val="24"/>
          <w:szCs w:val="24"/>
          <w:lang w:eastAsia="zh-CN"/>
        </w:rPr>
        <w:t xml:space="preserve">                法定代表人（盖章或签字）：</w:t>
      </w:r>
    </w:p>
    <w:p w14:paraId="07AECE9F">
      <w:pPr>
        <w:spacing w:line="560" w:lineRule="exact"/>
        <w:jc w:val="center"/>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eastAsia="zh-CN"/>
        </w:rPr>
        <w:t xml:space="preserve">     日期： 年 月 日</w:t>
      </w:r>
    </w:p>
    <w:p w14:paraId="58396614">
      <w:pPr>
        <w:pStyle w:val="11"/>
        <w:snapToGrid/>
        <w:spacing w:line="360" w:lineRule="auto"/>
        <w:jc w:val="center"/>
        <w:outlineLvl w:val="1"/>
        <w:rPr>
          <w:rFonts w:hint="eastAsia"/>
          <w:b/>
          <w:bCs/>
          <w:color w:val="auto"/>
          <w:lang w:eastAsia="zh-CN"/>
        </w:rPr>
      </w:pPr>
      <w:r>
        <w:rPr>
          <w:rFonts w:hint="eastAsia"/>
          <w:b/>
          <w:bCs/>
          <w:color w:val="auto"/>
          <w:lang w:eastAsia="zh-CN"/>
        </w:rPr>
        <w:br w:type="page"/>
      </w:r>
      <w:r>
        <w:rPr>
          <w:rFonts w:hint="eastAsia"/>
          <w:b/>
          <w:bCs/>
          <w:color w:val="auto"/>
          <w:lang w:eastAsia="zh-CN"/>
        </w:rPr>
        <w:t>四、投标人承诺函</w:t>
      </w:r>
    </w:p>
    <w:p w14:paraId="2D0DEF93">
      <w:pPr>
        <w:pStyle w:val="11"/>
        <w:snapToGrid/>
        <w:spacing w:line="360" w:lineRule="auto"/>
        <w:jc w:val="center"/>
        <w:rPr>
          <w:rFonts w:hint="eastAsia"/>
          <w:b/>
          <w:bCs/>
          <w:color w:val="auto"/>
          <w:lang w:eastAsia="zh-CN"/>
        </w:rPr>
      </w:pPr>
    </w:p>
    <w:p w14:paraId="0AAC99DF">
      <w:pPr>
        <w:pStyle w:val="21"/>
        <w:spacing w:after="0" w:line="360" w:lineRule="auto"/>
        <w:ind w:left="0" w:leftChars="0" w:firstLine="480" w:firstLineChars="200"/>
        <w:jc w:val="both"/>
        <w:rPr>
          <w:rFonts w:hint="eastAsia" w:ascii="宋体" w:hAnsi="宋体" w:cs="宋体"/>
          <w:bCs/>
          <w:color w:val="auto"/>
          <w:sz w:val="24"/>
          <w:szCs w:val="24"/>
          <w:lang w:eastAsia="zh-CN"/>
        </w:rPr>
      </w:pPr>
      <w:r>
        <w:rPr>
          <w:rFonts w:hint="eastAsia" w:ascii="宋体" w:hAnsi="宋体" w:cs="宋体"/>
          <w:bCs/>
          <w:color w:val="auto"/>
          <w:sz w:val="24"/>
          <w:szCs w:val="24"/>
          <w:lang w:eastAsia="zh-CN"/>
        </w:rPr>
        <w:t>（格式自拟，投标人根据“第四章评标办法”的“资格审查表”，提供相关承诺函）</w:t>
      </w:r>
    </w:p>
    <w:p w14:paraId="1A97ADB8">
      <w:pPr>
        <w:pStyle w:val="21"/>
        <w:spacing w:after="0" w:line="360" w:lineRule="auto"/>
        <w:ind w:left="0" w:leftChars="0" w:firstLine="480" w:firstLineChars="200"/>
        <w:jc w:val="both"/>
        <w:rPr>
          <w:rFonts w:hint="eastAsia" w:ascii="宋体" w:hAnsi="宋体" w:cs="宋体"/>
          <w:bCs/>
          <w:color w:val="auto"/>
          <w:sz w:val="24"/>
          <w:szCs w:val="24"/>
          <w:lang w:eastAsia="zh-CN"/>
        </w:rPr>
      </w:pPr>
    </w:p>
    <w:p w14:paraId="47F03E0A">
      <w:pPr>
        <w:pStyle w:val="21"/>
        <w:spacing w:after="0" w:line="360" w:lineRule="auto"/>
        <w:ind w:left="0" w:leftChars="0" w:firstLine="480" w:firstLineChars="200"/>
        <w:jc w:val="both"/>
        <w:rPr>
          <w:rFonts w:hint="eastAsia" w:ascii="宋体" w:hAnsi="宋体" w:cs="宋体"/>
          <w:bCs/>
          <w:color w:val="auto"/>
          <w:sz w:val="24"/>
          <w:szCs w:val="24"/>
          <w:lang w:eastAsia="zh-CN"/>
        </w:rPr>
      </w:pPr>
    </w:p>
    <w:p w14:paraId="6688E96F">
      <w:pPr>
        <w:pStyle w:val="21"/>
        <w:spacing w:after="0" w:line="360" w:lineRule="auto"/>
        <w:ind w:left="0" w:leftChars="0" w:firstLine="480" w:firstLineChars="200"/>
        <w:jc w:val="both"/>
        <w:rPr>
          <w:rFonts w:hint="eastAsia" w:ascii="宋体" w:hAnsi="宋体" w:cs="宋体"/>
          <w:bCs/>
          <w:color w:val="auto"/>
          <w:sz w:val="24"/>
          <w:szCs w:val="24"/>
          <w:lang w:eastAsia="zh-CN"/>
        </w:rPr>
      </w:pPr>
    </w:p>
    <w:p w14:paraId="2D70456E">
      <w:pPr>
        <w:pStyle w:val="21"/>
        <w:spacing w:after="0" w:line="360" w:lineRule="auto"/>
        <w:ind w:left="0" w:leftChars="0" w:firstLine="480" w:firstLineChars="200"/>
        <w:jc w:val="both"/>
        <w:rPr>
          <w:rFonts w:hint="eastAsia" w:ascii="宋体" w:hAnsi="宋体" w:cs="宋体"/>
          <w:bCs/>
          <w:color w:val="auto"/>
          <w:sz w:val="24"/>
          <w:szCs w:val="24"/>
          <w:lang w:eastAsia="zh-CN"/>
        </w:rPr>
      </w:pPr>
    </w:p>
    <w:p w14:paraId="47245B56">
      <w:pPr>
        <w:pStyle w:val="21"/>
        <w:spacing w:after="0" w:line="360" w:lineRule="auto"/>
        <w:ind w:left="0" w:leftChars="0" w:firstLine="480" w:firstLineChars="200"/>
        <w:jc w:val="both"/>
        <w:rPr>
          <w:rFonts w:hint="eastAsia" w:ascii="宋体" w:hAnsi="宋体" w:cs="宋体"/>
          <w:bCs/>
          <w:color w:val="auto"/>
          <w:sz w:val="24"/>
          <w:szCs w:val="24"/>
          <w:lang w:eastAsia="zh-CN"/>
        </w:rPr>
      </w:pPr>
    </w:p>
    <w:p w14:paraId="58D0CBEE">
      <w:pPr>
        <w:pStyle w:val="21"/>
        <w:spacing w:after="0" w:line="360" w:lineRule="auto"/>
        <w:ind w:left="0" w:leftChars="0" w:firstLine="480" w:firstLineChars="200"/>
        <w:jc w:val="both"/>
        <w:rPr>
          <w:rFonts w:hint="eastAsia" w:ascii="宋体" w:hAnsi="宋体" w:cs="宋体"/>
          <w:bCs/>
          <w:color w:val="auto"/>
          <w:sz w:val="24"/>
          <w:szCs w:val="24"/>
          <w:lang w:eastAsia="zh-CN"/>
        </w:rPr>
      </w:pPr>
    </w:p>
    <w:p w14:paraId="5D2C538F">
      <w:pPr>
        <w:pStyle w:val="21"/>
        <w:spacing w:after="0" w:line="360" w:lineRule="auto"/>
        <w:ind w:left="0" w:leftChars="0" w:firstLine="480" w:firstLineChars="200"/>
        <w:jc w:val="both"/>
        <w:rPr>
          <w:rFonts w:hint="eastAsia" w:ascii="宋体" w:hAnsi="宋体" w:cs="宋体"/>
          <w:bCs/>
          <w:color w:val="auto"/>
          <w:sz w:val="24"/>
          <w:szCs w:val="24"/>
          <w:lang w:eastAsia="zh-CN"/>
        </w:rPr>
      </w:pPr>
    </w:p>
    <w:p w14:paraId="088E7696">
      <w:pPr>
        <w:pStyle w:val="21"/>
        <w:spacing w:after="0" w:line="360" w:lineRule="auto"/>
        <w:ind w:left="0" w:leftChars="0" w:firstLine="480" w:firstLineChars="200"/>
        <w:jc w:val="both"/>
        <w:rPr>
          <w:rFonts w:hint="eastAsia" w:ascii="宋体" w:hAnsi="宋体" w:cs="宋体"/>
          <w:bCs/>
          <w:color w:val="auto"/>
          <w:sz w:val="24"/>
          <w:szCs w:val="24"/>
          <w:lang w:eastAsia="zh-CN"/>
        </w:rPr>
      </w:pPr>
    </w:p>
    <w:p w14:paraId="5C67FF9A">
      <w:pPr>
        <w:pStyle w:val="21"/>
        <w:spacing w:after="0" w:line="360" w:lineRule="auto"/>
        <w:ind w:left="0" w:leftChars="0" w:firstLine="480" w:firstLineChars="200"/>
        <w:jc w:val="both"/>
        <w:rPr>
          <w:rFonts w:hint="eastAsia" w:ascii="宋体" w:hAnsi="宋体" w:cs="宋体"/>
          <w:bCs/>
          <w:color w:val="auto"/>
          <w:sz w:val="24"/>
          <w:szCs w:val="24"/>
          <w:lang w:eastAsia="zh-CN"/>
        </w:rPr>
      </w:pPr>
    </w:p>
    <w:p w14:paraId="1CC5B01B">
      <w:pPr>
        <w:pStyle w:val="21"/>
        <w:spacing w:after="0" w:line="360" w:lineRule="auto"/>
        <w:ind w:left="0" w:leftChars="0" w:firstLine="480" w:firstLineChars="200"/>
        <w:jc w:val="center"/>
        <w:rPr>
          <w:rFonts w:hint="eastAsia" w:ascii="宋体" w:hAnsi="宋体" w:cs="宋体"/>
          <w:bCs/>
          <w:color w:val="auto"/>
          <w:sz w:val="24"/>
          <w:szCs w:val="24"/>
          <w:lang w:eastAsia="zh-CN"/>
        </w:rPr>
      </w:pPr>
      <w:r>
        <w:rPr>
          <w:rFonts w:hint="eastAsia" w:ascii="宋体" w:hAnsi="宋体" w:cs="宋体"/>
          <w:bCs/>
          <w:color w:val="auto"/>
          <w:sz w:val="24"/>
          <w:szCs w:val="24"/>
          <w:lang w:eastAsia="zh-CN"/>
        </w:rPr>
        <w:t xml:space="preserve">           投标人名称（盖章）：</w:t>
      </w:r>
    </w:p>
    <w:p w14:paraId="6701CAA2">
      <w:pPr>
        <w:pStyle w:val="21"/>
        <w:spacing w:after="0" w:line="360" w:lineRule="auto"/>
        <w:ind w:left="0" w:leftChars="0" w:firstLine="480" w:firstLineChars="200"/>
        <w:jc w:val="center"/>
        <w:rPr>
          <w:rFonts w:hint="eastAsia" w:ascii="宋体" w:hAnsi="宋体" w:cs="宋体"/>
          <w:bCs/>
          <w:color w:val="auto"/>
          <w:sz w:val="24"/>
          <w:szCs w:val="24"/>
          <w:lang w:eastAsia="zh-CN"/>
        </w:rPr>
      </w:pPr>
      <w:r>
        <w:rPr>
          <w:rFonts w:hint="eastAsia" w:ascii="宋体" w:hAnsi="宋体" w:cs="宋体"/>
          <w:bCs/>
          <w:color w:val="auto"/>
          <w:sz w:val="24"/>
          <w:szCs w:val="24"/>
          <w:lang w:eastAsia="zh-CN"/>
        </w:rPr>
        <w:t xml:space="preserve">                          法定代表人或被授权人（签字或盖章）：</w:t>
      </w:r>
    </w:p>
    <w:p w14:paraId="4AC785FD">
      <w:pPr>
        <w:keepNext/>
        <w:keepLines/>
        <w:spacing w:line="360" w:lineRule="auto"/>
        <w:ind w:firstLine="480" w:firstLineChars="200"/>
        <w:jc w:val="center"/>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eastAsia="zh-CN"/>
        </w:rPr>
        <w:t>日    期：</w:t>
      </w:r>
    </w:p>
    <w:p w14:paraId="636C0C48">
      <w:pPr>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br w:type="page"/>
      </w:r>
    </w:p>
    <w:p w14:paraId="43200A09">
      <w:pPr>
        <w:spacing w:line="560" w:lineRule="exact"/>
        <w:jc w:val="center"/>
        <w:outlineLvl w:val="1"/>
        <w:rPr>
          <w:rFonts w:hint="eastAsia" w:ascii="宋体" w:hAnsi="宋体" w:eastAsia="宋体" w:cs="宋体"/>
          <w:b/>
          <w:bCs/>
          <w:color w:val="auto"/>
          <w:kern w:val="2"/>
          <w:sz w:val="24"/>
          <w:szCs w:val="24"/>
          <w:lang w:eastAsia="zh-CN"/>
        </w:rPr>
      </w:pPr>
      <w:bookmarkStart w:id="139" w:name="_Toc28653"/>
      <w:r>
        <w:rPr>
          <w:rFonts w:hint="eastAsia" w:ascii="宋体" w:hAnsi="宋体" w:eastAsia="宋体" w:cs="宋体"/>
          <w:b/>
          <w:bCs/>
          <w:color w:val="auto"/>
          <w:kern w:val="2"/>
          <w:sz w:val="24"/>
          <w:szCs w:val="24"/>
          <w:lang w:eastAsia="zh-CN"/>
        </w:rPr>
        <w:t>五、投标人基本情况表</w:t>
      </w:r>
    </w:p>
    <w:tbl>
      <w:tblPr>
        <w:tblStyle w:val="36"/>
        <w:tblW w:w="9104" w:type="dxa"/>
        <w:jc w:val="center"/>
        <w:tblLayout w:type="fixed"/>
        <w:tblCellMar>
          <w:top w:w="0" w:type="dxa"/>
          <w:left w:w="108" w:type="dxa"/>
          <w:bottom w:w="0" w:type="dxa"/>
          <w:right w:w="108" w:type="dxa"/>
        </w:tblCellMar>
      </w:tblPr>
      <w:tblGrid>
        <w:gridCol w:w="1581"/>
        <w:gridCol w:w="1000"/>
        <w:gridCol w:w="2697"/>
        <w:gridCol w:w="1687"/>
        <w:gridCol w:w="2139"/>
      </w:tblGrid>
      <w:tr w14:paraId="52EB6EC0">
        <w:tblPrEx>
          <w:tblCellMar>
            <w:top w:w="0" w:type="dxa"/>
            <w:left w:w="108" w:type="dxa"/>
            <w:bottom w:w="0" w:type="dxa"/>
            <w:right w:w="108" w:type="dxa"/>
          </w:tblCellMar>
        </w:tblPrEx>
        <w:trPr>
          <w:trHeight w:val="680" w:hRule="exact"/>
          <w:jc w:val="center"/>
        </w:trPr>
        <w:tc>
          <w:tcPr>
            <w:tcW w:w="1581" w:type="dxa"/>
            <w:tcBorders>
              <w:top w:val="single" w:color="auto" w:sz="4" w:space="0"/>
              <w:left w:val="single" w:color="auto" w:sz="4" w:space="0"/>
              <w:bottom w:val="single" w:color="auto" w:sz="4" w:space="0"/>
              <w:right w:val="single" w:color="auto" w:sz="4" w:space="0"/>
            </w:tcBorders>
            <w:vAlign w:val="center"/>
          </w:tcPr>
          <w:p w14:paraId="3F2DD9FB">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投标人名称</w:t>
            </w:r>
          </w:p>
        </w:tc>
        <w:tc>
          <w:tcPr>
            <w:tcW w:w="7523" w:type="dxa"/>
            <w:gridSpan w:val="4"/>
            <w:tcBorders>
              <w:top w:val="single" w:color="auto" w:sz="4" w:space="0"/>
              <w:left w:val="nil"/>
              <w:bottom w:val="single" w:color="auto" w:sz="4" w:space="0"/>
              <w:right w:val="single" w:color="auto" w:sz="4" w:space="0"/>
            </w:tcBorders>
            <w:vAlign w:val="center"/>
          </w:tcPr>
          <w:p w14:paraId="5D103C70">
            <w:pPr>
              <w:spacing w:line="360" w:lineRule="auto"/>
              <w:jc w:val="center"/>
              <w:rPr>
                <w:rFonts w:hint="eastAsia" w:ascii="宋体" w:hAnsi="宋体" w:eastAsia="宋体" w:cs="宋体"/>
                <w:color w:val="auto"/>
                <w:sz w:val="24"/>
                <w:szCs w:val="24"/>
              </w:rPr>
            </w:pPr>
          </w:p>
        </w:tc>
      </w:tr>
      <w:tr w14:paraId="467134B4">
        <w:tblPrEx>
          <w:tblCellMar>
            <w:top w:w="0" w:type="dxa"/>
            <w:left w:w="108" w:type="dxa"/>
            <w:bottom w:w="0" w:type="dxa"/>
            <w:right w:w="108" w:type="dxa"/>
          </w:tblCellMar>
        </w:tblPrEx>
        <w:trPr>
          <w:trHeight w:val="680" w:hRule="exact"/>
          <w:jc w:val="center"/>
        </w:trPr>
        <w:tc>
          <w:tcPr>
            <w:tcW w:w="1581" w:type="dxa"/>
            <w:tcBorders>
              <w:top w:val="nil"/>
              <w:left w:val="single" w:color="auto" w:sz="4" w:space="0"/>
              <w:bottom w:val="single" w:color="auto" w:sz="4" w:space="0"/>
              <w:right w:val="single" w:color="auto" w:sz="4" w:space="0"/>
            </w:tcBorders>
            <w:vAlign w:val="center"/>
          </w:tcPr>
          <w:p w14:paraId="2D04A254">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注册地址</w:t>
            </w:r>
          </w:p>
        </w:tc>
        <w:tc>
          <w:tcPr>
            <w:tcW w:w="3697" w:type="dxa"/>
            <w:gridSpan w:val="2"/>
            <w:tcBorders>
              <w:top w:val="single" w:color="auto" w:sz="4" w:space="0"/>
              <w:left w:val="nil"/>
              <w:bottom w:val="single" w:color="auto" w:sz="4" w:space="0"/>
              <w:right w:val="single" w:color="000000" w:sz="4" w:space="0"/>
            </w:tcBorders>
            <w:vAlign w:val="center"/>
          </w:tcPr>
          <w:p w14:paraId="25D43D8B">
            <w:pPr>
              <w:spacing w:line="360" w:lineRule="auto"/>
              <w:jc w:val="center"/>
              <w:rPr>
                <w:rFonts w:hint="eastAsia" w:ascii="宋体" w:hAnsi="宋体" w:eastAsia="宋体" w:cs="宋体"/>
                <w:color w:val="auto"/>
                <w:sz w:val="24"/>
                <w:szCs w:val="24"/>
              </w:rPr>
            </w:pPr>
          </w:p>
        </w:tc>
        <w:tc>
          <w:tcPr>
            <w:tcW w:w="1687" w:type="dxa"/>
            <w:tcBorders>
              <w:top w:val="nil"/>
              <w:left w:val="nil"/>
              <w:bottom w:val="single" w:color="auto" w:sz="4" w:space="0"/>
              <w:right w:val="single" w:color="auto" w:sz="4" w:space="0"/>
            </w:tcBorders>
            <w:vAlign w:val="center"/>
          </w:tcPr>
          <w:p w14:paraId="5A49CCD8">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邮政编码</w:t>
            </w:r>
          </w:p>
        </w:tc>
        <w:tc>
          <w:tcPr>
            <w:tcW w:w="2139" w:type="dxa"/>
            <w:tcBorders>
              <w:top w:val="nil"/>
              <w:left w:val="nil"/>
              <w:bottom w:val="single" w:color="auto" w:sz="4" w:space="0"/>
              <w:right w:val="single" w:color="auto" w:sz="4" w:space="0"/>
            </w:tcBorders>
            <w:vAlign w:val="center"/>
          </w:tcPr>
          <w:p w14:paraId="5C446205">
            <w:pPr>
              <w:spacing w:line="360" w:lineRule="auto"/>
              <w:jc w:val="center"/>
              <w:rPr>
                <w:rFonts w:hint="eastAsia" w:ascii="宋体" w:hAnsi="宋体" w:eastAsia="宋体" w:cs="宋体"/>
                <w:color w:val="auto"/>
                <w:sz w:val="24"/>
                <w:szCs w:val="24"/>
              </w:rPr>
            </w:pPr>
          </w:p>
        </w:tc>
      </w:tr>
      <w:tr w14:paraId="5E263A1D">
        <w:tblPrEx>
          <w:tblCellMar>
            <w:top w:w="0" w:type="dxa"/>
            <w:left w:w="108" w:type="dxa"/>
            <w:bottom w:w="0" w:type="dxa"/>
            <w:right w:w="108" w:type="dxa"/>
          </w:tblCellMar>
        </w:tblPrEx>
        <w:trPr>
          <w:trHeight w:val="680" w:hRule="exact"/>
          <w:jc w:val="center"/>
        </w:trPr>
        <w:tc>
          <w:tcPr>
            <w:tcW w:w="1581" w:type="dxa"/>
            <w:tcBorders>
              <w:top w:val="nil"/>
              <w:left w:val="single" w:color="auto" w:sz="4" w:space="0"/>
              <w:bottom w:val="single" w:color="auto" w:sz="4" w:space="0"/>
              <w:right w:val="single" w:color="auto" w:sz="4" w:space="0"/>
            </w:tcBorders>
            <w:vAlign w:val="center"/>
          </w:tcPr>
          <w:p w14:paraId="7FFFC3E4">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成立时间</w:t>
            </w:r>
          </w:p>
        </w:tc>
        <w:tc>
          <w:tcPr>
            <w:tcW w:w="3697" w:type="dxa"/>
            <w:gridSpan w:val="2"/>
            <w:tcBorders>
              <w:top w:val="single" w:color="auto" w:sz="4" w:space="0"/>
              <w:left w:val="nil"/>
              <w:bottom w:val="single" w:color="auto" w:sz="4" w:space="0"/>
              <w:right w:val="single" w:color="000000" w:sz="4" w:space="0"/>
            </w:tcBorders>
            <w:vAlign w:val="center"/>
          </w:tcPr>
          <w:p w14:paraId="120AEE41">
            <w:pPr>
              <w:spacing w:line="360" w:lineRule="auto"/>
              <w:jc w:val="center"/>
              <w:rPr>
                <w:rFonts w:hint="eastAsia" w:ascii="宋体" w:hAnsi="宋体" w:eastAsia="宋体" w:cs="宋体"/>
                <w:color w:val="auto"/>
                <w:sz w:val="24"/>
                <w:szCs w:val="24"/>
              </w:rPr>
            </w:pPr>
          </w:p>
        </w:tc>
        <w:tc>
          <w:tcPr>
            <w:tcW w:w="1687" w:type="dxa"/>
            <w:tcBorders>
              <w:top w:val="nil"/>
              <w:left w:val="nil"/>
              <w:bottom w:val="single" w:color="auto" w:sz="4" w:space="0"/>
              <w:right w:val="single" w:color="auto" w:sz="4" w:space="0"/>
            </w:tcBorders>
            <w:vAlign w:val="center"/>
          </w:tcPr>
          <w:p w14:paraId="4862E0CB">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企业性质</w:t>
            </w:r>
          </w:p>
        </w:tc>
        <w:tc>
          <w:tcPr>
            <w:tcW w:w="2139" w:type="dxa"/>
            <w:tcBorders>
              <w:top w:val="nil"/>
              <w:left w:val="nil"/>
              <w:bottom w:val="single" w:color="auto" w:sz="4" w:space="0"/>
              <w:right w:val="single" w:color="auto" w:sz="4" w:space="0"/>
            </w:tcBorders>
            <w:vAlign w:val="center"/>
          </w:tcPr>
          <w:p w14:paraId="1456B9E5">
            <w:pPr>
              <w:spacing w:line="360" w:lineRule="auto"/>
              <w:jc w:val="center"/>
              <w:rPr>
                <w:rFonts w:hint="eastAsia" w:ascii="宋体" w:hAnsi="宋体" w:eastAsia="宋体" w:cs="宋体"/>
                <w:color w:val="auto"/>
                <w:sz w:val="24"/>
                <w:szCs w:val="24"/>
              </w:rPr>
            </w:pPr>
          </w:p>
        </w:tc>
      </w:tr>
      <w:tr w14:paraId="5701C783">
        <w:tblPrEx>
          <w:tblCellMar>
            <w:top w:w="0" w:type="dxa"/>
            <w:left w:w="108" w:type="dxa"/>
            <w:bottom w:w="0" w:type="dxa"/>
            <w:right w:w="108" w:type="dxa"/>
          </w:tblCellMar>
        </w:tblPrEx>
        <w:trPr>
          <w:trHeight w:val="946" w:hRule="exact"/>
          <w:jc w:val="center"/>
        </w:trPr>
        <w:tc>
          <w:tcPr>
            <w:tcW w:w="1581" w:type="dxa"/>
            <w:tcBorders>
              <w:top w:val="nil"/>
              <w:left w:val="single" w:color="auto" w:sz="4" w:space="0"/>
              <w:bottom w:val="single" w:color="auto" w:sz="4" w:space="0"/>
              <w:right w:val="single" w:color="auto" w:sz="4" w:space="0"/>
            </w:tcBorders>
            <w:vAlign w:val="center"/>
          </w:tcPr>
          <w:p w14:paraId="7B906603">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社会统一信用代码</w:t>
            </w:r>
          </w:p>
        </w:tc>
        <w:tc>
          <w:tcPr>
            <w:tcW w:w="3697" w:type="dxa"/>
            <w:gridSpan w:val="2"/>
            <w:tcBorders>
              <w:top w:val="single" w:color="auto" w:sz="4" w:space="0"/>
              <w:left w:val="nil"/>
              <w:bottom w:val="single" w:color="auto" w:sz="4" w:space="0"/>
              <w:right w:val="single" w:color="000000" w:sz="4" w:space="0"/>
            </w:tcBorders>
            <w:vAlign w:val="center"/>
          </w:tcPr>
          <w:p w14:paraId="6DA68E7A">
            <w:pPr>
              <w:spacing w:line="360" w:lineRule="auto"/>
              <w:jc w:val="center"/>
              <w:rPr>
                <w:rFonts w:hint="eastAsia" w:ascii="宋体" w:hAnsi="宋体" w:eastAsia="宋体" w:cs="宋体"/>
                <w:color w:val="auto"/>
                <w:sz w:val="24"/>
                <w:szCs w:val="24"/>
              </w:rPr>
            </w:pPr>
          </w:p>
        </w:tc>
        <w:tc>
          <w:tcPr>
            <w:tcW w:w="1687" w:type="dxa"/>
            <w:tcBorders>
              <w:top w:val="nil"/>
              <w:left w:val="nil"/>
              <w:bottom w:val="single" w:color="auto" w:sz="4" w:space="0"/>
              <w:right w:val="single" w:color="auto" w:sz="4" w:space="0"/>
            </w:tcBorders>
            <w:vAlign w:val="center"/>
          </w:tcPr>
          <w:p w14:paraId="29B4D53C">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注册资金</w:t>
            </w:r>
          </w:p>
        </w:tc>
        <w:tc>
          <w:tcPr>
            <w:tcW w:w="2139" w:type="dxa"/>
            <w:tcBorders>
              <w:top w:val="nil"/>
              <w:left w:val="nil"/>
              <w:bottom w:val="single" w:color="auto" w:sz="4" w:space="0"/>
              <w:right w:val="single" w:color="auto" w:sz="4" w:space="0"/>
            </w:tcBorders>
            <w:vAlign w:val="center"/>
          </w:tcPr>
          <w:p w14:paraId="19651C77">
            <w:pPr>
              <w:spacing w:line="360" w:lineRule="auto"/>
              <w:jc w:val="center"/>
              <w:rPr>
                <w:rFonts w:hint="eastAsia" w:ascii="宋体" w:hAnsi="宋体" w:eastAsia="宋体" w:cs="宋体"/>
                <w:color w:val="auto"/>
                <w:sz w:val="24"/>
                <w:szCs w:val="24"/>
              </w:rPr>
            </w:pPr>
          </w:p>
        </w:tc>
      </w:tr>
      <w:tr w14:paraId="0764CE09">
        <w:tblPrEx>
          <w:tblCellMar>
            <w:top w:w="0" w:type="dxa"/>
            <w:left w:w="108" w:type="dxa"/>
            <w:bottom w:w="0" w:type="dxa"/>
            <w:right w:w="108" w:type="dxa"/>
          </w:tblCellMar>
        </w:tblPrEx>
        <w:trPr>
          <w:trHeight w:val="680" w:hRule="exact"/>
          <w:jc w:val="center"/>
        </w:trPr>
        <w:tc>
          <w:tcPr>
            <w:tcW w:w="1581" w:type="dxa"/>
            <w:tcBorders>
              <w:top w:val="nil"/>
              <w:left w:val="single" w:color="auto" w:sz="4" w:space="0"/>
              <w:bottom w:val="single" w:color="auto" w:sz="4" w:space="0"/>
              <w:right w:val="single" w:color="auto" w:sz="4" w:space="0"/>
            </w:tcBorders>
            <w:vAlign w:val="center"/>
          </w:tcPr>
          <w:p w14:paraId="7A4FD4F6">
            <w:pPr>
              <w:spacing w:line="36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资质</w:t>
            </w:r>
          </w:p>
        </w:tc>
        <w:tc>
          <w:tcPr>
            <w:tcW w:w="7523" w:type="dxa"/>
            <w:gridSpan w:val="4"/>
            <w:tcBorders>
              <w:top w:val="nil"/>
              <w:left w:val="nil"/>
              <w:bottom w:val="single" w:color="auto" w:sz="4" w:space="0"/>
              <w:right w:val="single" w:color="auto" w:sz="4" w:space="0"/>
            </w:tcBorders>
            <w:vAlign w:val="center"/>
          </w:tcPr>
          <w:p w14:paraId="63A9E28B">
            <w:pPr>
              <w:spacing w:line="360" w:lineRule="auto"/>
              <w:jc w:val="center"/>
              <w:rPr>
                <w:rFonts w:hint="eastAsia" w:ascii="宋体" w:hAnsi="宋体" w:eastAsia="宋体" w:cs="宋体"/>
                <w:color w:val="auto"/>
                <w:sz w:val="24"/>
                <w:szCs w:val="24"/>
              </w:rPr>
            </w:pPr>
          </w:p>
        </w:tc>
      </w:tr>
      <w:tr w14:paraId="6E478488">
        <w:tblPrEx>
          <w:tblCellMar>
            <w:top w:w="0" w:type="dxa"/>
            <w:left w:w="108" w:type="dxa"/>
            <w:bottom w:w="0" w:type="dxa"/>
            <w:right w:w="108" w:type="dxa"/>
          </w:tblCellMar>
        </w:tblPrEx>
        <w:trPr>
          <w:trHeight w:val="680" w:hRule="exact"/>
          <w:jc w:val="center"/>
        </w:trPr>
        <w:tc>
          <w:tcPr>
            <w:tcW w:w="1581" w:type="dxa"/>
            <w:tcBorders>
              <w:top w:val="nil"/>
              <w:left w:val="single" w:color="auto" w:sz="4" w:space="0"/>
              <w:bottom w:val="single" w:color="auto" w:sz="4" w:space="0"/>
              <w:right w:val="single" w:color="auto" w:sz="4" w:space="0"/>
            </w:tcBorders>
            <w:vAlign w:val="center"/>
          </w:tcPr>
          <w:p w14:paraId="4140D316">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1000" w:type="dxa"/>
            <w:tcBorders>
              <w:top w:val="nil"/>
              <w:left w:val="nil"/>
              <w:bottom w:val="single" w:color="auto" w:sz="4" w:space="0"/>
              <w:right w:val="single" w:color="auto" w:sz="4" w:space="0"/>
            </w:tcBorders>
            <w:vAlign w:val="center"/>
          </w:tcPr>
          <w:p w14:paraId="6EEEC616">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姓名</w:t>
            </w:r>
          </w:p>
        </w:tc>
        <w:tc>
          <w:tcPr>
            <w:tcW w:w="2697" w:type="dxa"/>
            <w:tcBorders>
              <w:top w:val="nil"/>
              <w:left w:val="nil"/>
              <w:bottom w:val="single" w:color="auto" w:sz="4" w:space="0"/>
              <w:right w:val="single" w:color="auto" w:sz="4" w:space="0"/>
            </w:tcBorders>
            <w:vAlign w:val="center"/>
          </w:tcPr>
          <w:p w14:paraId="593224B0">
            <w:pPr>
              <w:spacing w:line="360" w:lineRule="auto"/>
              <w:jc w:val="center"/>
              <w:rPr>
                <w:rFonts w:hint="eastAsia" w:ascii="宋体" w:hAnsi="宋体" w:eastAsia="宋体" w:cs="宋体"/>
                <w:color w:val="auto"/>
                <w:sz w:val="24"/>
                <w:szCs w:val="24"/>
              </w:rPr>
            </w:pPr>
          </w:p>
        </w:tc>
        <w:tc>
          <w:tcPr>
            <w:tcW w:w="1687" w:type="dxa"/>
            <w:tcBorders>
              <w:top w:val="nil"/>
              <w:left w:val="nil"/>
              <w:bottom w:val="single" w:color="auto" w:sz="4" w:space="0"/>
              <w:right w:val="single" w:color="auto" w:sz="4" w:space="0"/>
            </w:tcBorders>
            <w:vAlign w:val="center"/>
          </w:tcPr>
          <w:p w14:paraId="73B666F3">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电话</w:t>
            </w:r>
          </w:p>
        </w:tc>
        <w:tc>
          <w:tcPr>
            <w:tcW w:w="2139" w:type="dxa"/>
            <w:tcBorders>
              <w:top w:val="nil"/>
              <w:left w:val="nil"/>
              <w:bottom w:val="single" w:color="auto" w:sz="4" w:space="0"/>
              <w:right w:val="single" w:color="auto" w:sz="4" w:space="0"/>
            </w:tcBorders>
            <w:vAlign w:val="center"/>
          </w:tcPr>
          <w:p w14:paraId="37987183">
            <w:pPr>
              <w:spacing w:line="360" w:lineRule="auto"/>
              <w:jc w:val="center"/>
              <w:rPr>
                <w:rFonts w:hint="eastAsia" w:ascii="宋体" w:hAnsi="宋体" w:eastAsia="宋体" w:cs="宋体"/>
                <w:color w:val="auto"/>
                <w:sz w:val="24"/>
                <w:szCs w:val="24"/>
              </w:rPr>
            </w:pPr>
          </w:p>
        </w:tc>
      </w:tr>
      <w:tr w14:paraId="25D961B2">
        <w:tblPrEx>
          <w:tblCellMar>
            <w:top w:w="0" w:type="dxa"/>
            <w:left w:w="108" w:type="dxa"/>
            <w:bottom w:w="0" w:type="dxa"/>
            <w:right w:w="108" w:type="dxa"/>
          </w:tblCellMar>
        </w:tblPrEx>
        <w:trPr>
          <w:trHeight w:val="680" w:hRule="exact"/>
          <w:jc w:val="center"/>
        </w:trPr>
        <w:tc>
          <w:tcPr>
            <w:tcW w:w="1581" w:type="dxa"/>
            <w:vMerge w:val="restart"/>
            <w:tcBorders>
              <w:top w:val="nil"/>
              <w:left w:val="single" w:color="auto" w:sz="4" w:space="0"/>
              <w:bottom w:val="single" w:color="auto" w:sz="4" w:space="0"/>
              <w:right w:val="single" w:color="auto" w:sz="4" w:space="0"/>
            </w:tcBorders>
            <w:vAlign w:val="center"/>
          </w:tcPr>
          <w:p w14:paraId="48B43C5C">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联系方式</w:t>
            </w:r>
          </w:p>
        </w:tc>
        <w:tc>
          <w:tcPr>
            <w:tcW w:w="1000" w:type="dxa"/>
            <w:tcBorders>
              <w:top w:val="nil"/>
              <w:left w:val="nil"/>
              <w:bottom w:val="single" w:color="auto" w:sz="4" w:space="0"/>
              <w:right w:val="single" w:color="auto" w:sz="4" w:space="0"/>
            </w:tcBorders>
            <w:vAlign w:val="center"/>
          </w:tcPr>
          <w:p w14:paraId="457C5F14">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联系人</w:t>
            </w:r>
          </w:p>
        </w:tc>
        <w:tc>
          <w:tcPr>
            <w:tcW w:w="2697" w:type="dxa"/>
            <w:tcBorders>
              <w:top w:val="single" w:color="auto" w:sz="4" w:space="0"/>
              <w:left w:val="nil"/>
              <w:bottom w:val="single" w:color="auto" w:sz="4" w:space="0"/>
              <w:right w:val="single" w:color="000000" w:sz="4" w:space="0"/>
            </w:tcBorders>
            <w:vAlign w:val="center"/>
          </w:tcPr>
          <w:p w14:paraId="4F584AF2">
            <w:pPr>
              <w:spacing w:line="360" w:lineRule="auto"/>
              <w:jc w:val="center"/>
              <w:rPr>
                <w:rFonts w:hint="eastAsia" w:ascii="宋体" w:hAnsi="宋体" w:eastAsia="宋体" w:cs="宋体"/>
                <w:color w:val="auto"/>
                <w:sz w:val="24"/>
                <w:szCs w:val="24"/>
              </w:rPr>
            </w:pPr>
          </w:p>
        </w:tc>
        <w:tc>
          <w:tcPr>
            <w:tcW w:w="1687" w:type="dxa"/>
            <w:tcBorders>
              <w:top w:val="nil"/>
              <w:left w:val="nil"/>
              <w:bottom w:val="single" w:color="auto" w:sz="4" w:space="0"/>
              <w:right w:val="single" w:color="auto" w:sz="4" w:space="0"/>
            </w:tcBorders>
            <w:vAlign w:val="center"/>
          </w:tcPr>
          <w:p w14:paraId="0940071A">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电话</w:t>
            </w:r>
          </w:p>
        </w:tc>
        <w:tc>
          <w:tcPr>
            <w:tcW w:w="2139" w:type="dxa"/>
            <w:tcBorders>
              <w:top w:val="nil"/>
              <w:left w:val="nil"/>
              <w:bottom w:val="single" w:color="auto" w:sz="4" w:space="0"/>
              <w:right w:val="single" w:color="auto" w:sz="4" w:space="0"/>
            </w:tcBorders>
            <w:vAlign w:val="center"/>
          </w:tcPr>
          <w:p w14:paraId="785D141C">
            <w:pPr>
              <w:spacing w:line="360" w:lineRule="auto"/>
              <w:jc w:val="center"/>
              <w:rPr>
                <w:rFonts w:hint="eastAsia" w:ascii="宋体" w:hAnsi="宋体" w:eastAsia="宋体" w:cs="宋体"/>
                <w:color w:val="auto"/>
                <w:sz w:val="24"/>
                <w:szCs w:val="24"/>
              </w:rPr>
            </w:pPr>
          </w:p>
        </w:tc>
      </w:tr>
      <w:tr w14:paraId="2424AFE6">
        <w:tblPrEx>
          <w:tblCellMar>
            <w:top w:w="0" w:type="dxa"/>
            <w:left w:w="108" w:type="dxa"/>
            <w:bottom w:w="0" w:type="dxa"/>
            <w:right w:w="108" w:type="dxa"/>
          </w:tblCellMar>
        </w:tblPrEx>
        <w:trPr>
          <w:trHeight w:val="680" w:hRule="exact"/>
          <w:jc w:val="center"/>
        </w:trPr>
        <w:tc>
          <w:tcPr>
            <w:tcW w:w="1581" w:type="dxa"/>
            <w:vMerge w:val="continue"/>
            <w:tcBorders>
              <w:top w:val="nil"/>
              <w:left w:val="single" w:color="auto" w:sz="4" w:space="0"/>
              <w:bottom w:val="single" w:color="auto" w:sz="4" w:space="0"/>
              <w:right w:val="single" w:color="auto" w:sz="4" w:space="0"/>
            </w:tcBorders>
            <w:vAlign w:val="center"/>
          </w:tcPr>
          <w:p w14:paraId="1F85B651">
            <w:pPr>
              <w:spacing w:line="360" w:lineRule="auto"/>
              <w:jc w:val="center"/>
              <w:rPr>
                <w:rFonts w:hint="eastAsia" w:ascii="宋体" w:hAnsi="宋体" w:eastAsia="宋体" w:cs="宋体"/>
                <w:color w:val="auto"/>
                <w:sz w:val="24"/>
                <w:szCs w:val="24"/>
              </w:rPr>
            </w:pPr>
          </w:p>
        </w:tc>
        <w:tc>
          <w:tcPr>
            <w:tcW w:w="1000" w:type="dxa"/>
            <w:tcBorders>
              <w:top w:val="nil"/>
              <w:left w:val="nil"/>
              <w:bottom w:val="single" w:color="auto" w:sz="4" w:space="0"/>
              <w:right w:val="single" w:color="auto" w:sz="4" w:space="0"/>
            </w:tcBorders>
            <w:vAlign w:val="center"/>
          </w:tcPr>
          <w:p w14:paraId="67B0144B">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邮箱</w:t>
            </w:r>
          </w:p>
        </w:tc>
        <w:tc>
          <w:tcPr>
            <w:tcW w:w="2697" w:type="dxa"/>
            <w:tcBorders>
              <w:top w:val="single" w:color="auto" w:sz="4" w:space="0"/>
              <w:left w:val="nil"/>
              <w:bottom w:val="single" w:color="auto" w:sz="4" w:space="0"/>
              <w:right w:val="single" w:color="000000" w:sz="4" w:space="0"/>
            </w:tcBorders>
            <w:vAlign w:val="center"/>
          </w:tcPr>
          <w:p w14:paraId="69077D66">
            <w:pPr>
              <w:spacing w:line="360" w:lineRule="auto"/>
              <w:jc w:val="center"/>
              <w:rPr>
                <w:rFonts w:hint="eastAsia" w:ascii="宋体" w:hAnsi="宋体" w:eastAsia="宋体" w:cs="宋体"/>
                <w:color w:val="auto"/>
                <w:sz w:val="24"/>
                <w:szCs w:val="24"/>
              </w:rPr>
            </w:pPr>
          </w:p>
        </w:tc>
        <w:tc>
          <w:tcPr>
            <w:tcW w:w="1687" w:type="dxa"/>
            <w:tcBorders>
              <w:top w:val="nil"/>
              <w:left w:val="nil"/>
              <w:bottom w:val="single" w:color="auto" w:sz="4" w:space="0"/>
              <w:right w:val="single" w:color="auto" w:sz="4" w:space="0"/>
            </w:tcBorders>
            <w:vAlign w:val="center"/>
          </w:tcPr>
          <w:p w14:paraId="5F62B16E">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网址</w:t>
            </w:r>
          </w:p>
        </w:tc>
        <w:tc>
          <w:tcPr>
            <w:tcW w:w="2139" w:type="dxa"/>
            <w:tcBorders>
              <w:top w:val="nil"/>
              <w:left w:val="nil"/>
              <w:bottom w:val="single" w:color="auto" w:sz="4" w:space="0"/>
              <w:right w:val="single" w:color="auto" w:sz="4" w:space="0"/>
            </w:tcBorders>
            <w:vAlign w:val="center"/>
          </w:tcPr>
          <w:p w14:paraId="683DC112">
            <w:pPr>
              <w:spacing w:line="360" w:lineRule="auto"/>
              <w:jc w:val="center"/>
              <w:rPr>
                <w:rFonts w:hint="eastAsia" w:ascii="宋体" w:hAnsi="宋体" w:eastAsia="宋体" w:cs="宋体"/>
                <w:color w:val="auto"/>
                <w:sz w:val="24"/>
                <w:szCs w:val="24"/>
              </w:rPr>
            </w:pPr>
          </w:p>
        </w:tc>
      </w:tr>
      <w:tr w14:paraId="1B5EBCD1">
        <w:tblPrEx>
          <w:tblCellMar>
            <w:top w:w="0" w:type="dxa"/>
            <w:left w:w="108" w:type="dxa"/>
            <w:bottom w:w="0" w:type="dxa"/>
            <w:right w:w="108" w:type="dxa"/>
          </w:tblCellMar>
        </w:tblPrEx>
        <w:trPr>
          <w:trHeight w:val="680" w:hRule="exact"/>
          <w:jc w:val="center"/>
        </w:trPr>
        <w:tc>
          <w:tcPr>
            <w:tcW w:w="1581" w:type="dxa"/>
            <w:tcBorders>
              <w:top w:val="nil"/>
              <w:left w:val="single" w:color="auto" w:sz="4" w:space="0"/>
              <w:bottom w:val="single" w:color="auto" w:sz="4" w:space="0"/>
              <w:right w:val="single" w:color="auto" w:sz="4" w:space="0"/>
            </w:tcBorders>
            <w:vAlign w:val="center"/>
          </w:tcPr>
          <w:p w14:paraId="2E7CD4A9">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开户银行</w:t>
            </w:r>
          </w:p>
        </w:tc>
        <w:tc>
          <w:tcPr>
            <w:tcW w:w="3697" w:type="dxa"/>
            <w:gridSpan w:val="2"/>
            <w:tcBorders>
              <w:top w:val="single" w:color="auto" w:sz="4" w:space="0"/>
              <w:left w:val="nil"/>
              <w:bottom w:val="single" w:color="auto" w:sz="4" w:space="0"/>
              <w:right w:val="single" w:color="000000" w:sz="4" w:space="0"/>
            </w:tcBorders>
            <w:vAlign w:val="center"/>
          </w:tcPr>
          <w:p w14:paraId="05F72387">
            <w:pPr>
              <w:spacing w:line="360" w:lineRule="auto"/>
              <w:jc w:val="center"/>
              <w:rPr>
                <w:rFonts w:hint="eastAsia" w:ascii="宋体" w:hAnsi="宋体" w:eastAsia="宋体" w:cs="宋体"/>
                <w:color w:val="auto"/>
                <w:sz w:val="24"/>
                <w:szCs w:val="24"/>
              </w:rPr>
            </w:pPr>
          </w:p>
        </w:tc>
        <w:tc>
          <w:tcPr>
            <w:tcW w:w="1687" w:type="dxa"/>
            <w:tcBorders>
              <w:top w:val="nil"/>
              <w:left w:val="nil"/>
              <w:bottom w:val="single" w:color="auto" w:sz="4" w:space="0"/>
              <w:right w:val="single" w:color="auto" w:sz="4" w:space="0"/>
            </w:tcBorders>
            <w:vAlign w:val="center"/>
          </w:tcPr>
          <w:p w14:paraId="751A9422">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账号</w:t>
            </w:r>
          </w:p>
        </w:tc>
        <w:tc>
          <w:tcPr>
            <w:tcW w:w="2139" w:type="dxa"/>
            <w:tcBorders>
              <w:top w:val="nil"/>
              <w:left w:val="nil"/>
              <w:bottom w:val="single" w:color="auto" w:sz="4" w:space="0"/>
              <w:right w:val="single" w:color="auto" w:sz="4" w:space="0"/>
            </w:tcBorders>
            <w:vAlign w:val="center"/>
          </w:tcPr>
          <w:p w14:paraId="17B1CEFF">
            <w:pPr>
              <w:spacing w:line="360" w:lineRule="auto"/>
              <w:jc w:val="center"/>
              <w:rPr>
                <w:rFonts w:hint="eastAsia" w:ascii="宋体" w:hAnsi="宋体" w:eastAsia="宋体" w:cs="宋体"/>
                <w:color w:val="auto"/>
                <w:sz w:val="24"/>
                <w:szCs w:val="24"/>
              </w:rPr>
            </w:pPr>
          </w:p>
        </w:tc>
      </w:tr>
      <w:tr w14:paraId="07E6DB40">
        <w:tblPrEx>
          <w:tblCellMar>
            <w:top w:w="0" w:type="dxa"/>
            <w:left w:w="108" w:type="dxa"/>
            <w:bottom w:w="0" w:type="dxa"/>
            <w:right w:w="108" w:type="dxa"/>
          </w:tblCellMar>
        </w:tblPrEx>
        <w:trPr>
          <w:trHeight w:val="680" w:hRule="exact"/>
          <w:jc w:val="center"/>
        </w:trPr>
        <w:tc>
          <w:tcPr>
            <w:tcW w:w="1581" w:type="dxa"/>
            <w:tcBorders>
              <w:top w:val="nil"/>
              <w:left w:val="single" w:color="auto" w:sz="4" w:space="0"/>
              <w:bottom w:val="single" w:color="auto" w:sz="4" w:space="0"/>
              <w:right w:val="single" w:color="auto" w:sz="4" w:space="0"/>
            </w:tcBorders>
            <w:vAlign w:val="center"/>
          </w:tcPr>
          <w:p w14:paraId="1C7E6FE6">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经营范围</w:t>
            </w:r>
          </w:p>
        </w:tc>
        <w:tc>
          <w:tcPr>
            <w:tcW w:w="7523" w:type="dxa"/>
            <w:gridSpan w:val="4"/>
            <w:tcBorders>
              <w:top w:val="single" w:color="auto" w:sz="4" w:space="0"/>
              <w:left w:val="nil"/>
              <w:bottom w:val="single" w:color="auto" w:sz="4" w:space="0"/>
              <w:right w:val="single" w:color="000000" w:sz="4" w:space="0"/>
            </w:tcBorders>
            <w:vAlign w:val="center"/>
          </w:tcPr>
          <w:p w14:paraId="39979974">
            <w:pPr>
              <w:spacing w:line="360" w:lineRule="auto"/>
              <w:jc w:val="center"/>
              <w:rPr>
                <w:rFonts w:hint="eastAsia" w:ascii="宋体" w:hAnsi="宋体" w:eastAsia="宋体" w:cs="宋体"/>
                <w:color w:val="auto"/>
                <w:sz w:val="24"/>
                <w:szCs w:val="24"/>
              </w:rPr>
            </w:pPr>
          </w:p>
        </w:tc>
      </w:tr>
      <w:tr w14:paraId="17AB5449">
        <w:tblPrEx>
          <w:tblCellMar>
            <w:top w:w="0" w:type="dxa"/>
            <w:left w:w="108" w:type="dxa"/>
            <w:bottom w:w="0" w:type="dxa"/>
            <w:right w:w="108" w:type="dxa"/>
          </w:tblCellMar>
        </w:tblPrEx>
        <w:trPr>
          <w:trHeight w:val="680" w:hRule="exact"/>
          <w:jc w:val="center"/>
        </w:trPr>
        <w:tc>
          <w:tcPr>
            <w:tcW w:w="1581" w:type="dxa"/>
            <w:tcBorders>
              <w:top w:val="nil"/>
              <w:left w:val="single" w:color="auto" w:sz="4" w:space="0"/>
              <w:bottom w:val="single" w:color="auto" w:sz="4" w:space="0"/>
              <w:right w:val="single" w:color="auto" w:sz="4" w:space="0"/>
            </w:tcBorders>
            <w:vAlign w:val="center"/>
          </w:tcPr>
          <w:p w14:paraId="3E75CD23">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备注</w:t>
            </w:r>
          </w:p>
        </w:tc>
        <w:tc>
          <w:tcPr>
            <w:tcW w:w="7523" w:type="dxa"/>
            <w:gridSpan w:val="4"/>
            <w:tcBorders>
              <w:top w:val="single" w:color="auto" w:sz="4" w:space="0"/>
              <w:left w:val="nil"/>
              <w:bottom w:val="single" w:color="auto" w:sz="4" w:space="0"/>
              <w:right w:val="single" w:color="000000" w:sz="4" w:space="0"/>
            </w:tcBorders>
            <w:vAlign w:val="center"/>
          </w:tcPr>
          <w:p w14:paraId="484B9BF8">
            <w:pPr>
              <w:spacing w:line="360" w:lineRule="auto"/>
              <w:jc w:val="center"/>
              <w:rPr>
                <w:rFonts w:hint="eastAsia" w:ascii="宋体" w:hAnsi="宋体" w:eastAsia="宋体" w:cs="宋体"/>
                <w:color w:val="auto"/>
                <w:sz w:val="24"/>
                <w:szCs w:val="24"/>
              </w:rPr>
            </w:pPr>
          </w:p>
        </w:tc>
      </w:tr>
      <w:bookmarkEnd w:id="139"/>
    </w:tbl>
    <w:p w14:paraId="228C1925">
      <w:pPr>
        <w:spacing w:line="360" w:lineRule="auto"/>
        <w:rPr>
          <w:rFonts w:hint="eastAsia" w:ascii="宋体" w:hAnsi="宋体" w:eastAsia="宋体" w:cs="宋体"/>
          <w:bCs/>
          <w:color w:val="auto"/>
          <w:sz w:val="24"/>
          <w:szCs w:val="24"/>
          <w:lang w:eastAsia="zh-CN"/>
        </w:rPr>
      </w:pPr>
    </w:p>
    <w:p w14:paraId="22CD2A2C">
      <w:pPr>
        <w:spacing w:line="360" w:lineRule="auto"/>
        <w:rPr>
          <w:rFonts w:hint="eastAsia" w:ascii="宋体" w:hAnsi="宋体" w:eastAsia="宋体" w:cs="宋体"/>
          <w:color w:val="auto"/>
          <w:sz w:val="24"/>
          <w:szCs w:val="24"/>
          <w:lang w:eastAsia="zh-CN"/>
        </w:rPr>
      </w:pPr>
      <w:r>
        <w:rPr>
          <w:rFonts w:hint="eastAsia" w:ascii="宋体" w:hAnsi="宋体" w:eastAsia="宋体" w:cs="宋体"/>
          <w:bCs/>
          <w:color w:val="auto"/>
          <w:sz w:val="24"/>
          <w:szCs w:val="24"/>
          <w:lang w:eastAsia="zh-CN"/>
        </w:rPr>
        <w:t>备注：</w:t>
      </w:r>
      <w:r>
        <w:rPr>
          <w:rFonts w:hint="eastAsia" w:ascii="宋体" w:hAnsi="宋体" w:eastAsia="宋体" w:cs="宋体"/>
          <w:color w:val="auto"/>
          <w:sz w:val="24"/>
          <w:szCs w:val="24"/>
          <w:lang w:eastAsia="zh-CN"/>
        </w:rPr>
        <w:t>后附</w:t>
      </w:r>
      <w:r>
        <w:rPr>
          <w:rFonts w:hint="eastAsia" w:ascii="宋体" w:hAnsi="宋体" w:eastAsia="宋体" w:cs="宋体"/>
          <w:color w:val="auto"/>
          <w:sz w:val="24"/>
          <w:szCs w:val="24"/>
          <w:lang w:val="en-US" w:eastAsia="zh-CN"/>
        </w:rPr>
        <w:t>供应商相关资格证明材料</w:t>
      </w:r>
      <w:r>
        <w:rPr>
          <w:rFonts w:hint="eastAsia" w:ascii="宋体" w:hAnsi="宋体" w:eastAsia="宋体" w:cs="宋体"/>
          <w:color w:val="auto"/>
          <w:sz w:val="24"/>
          <w:szCs w:val="24"/>
          <w:lang w:eastAsia="zh-CN"/>
        </w:rPr>
        <w:t>。</w:t>
      </w:r>
    </w:p>
    <w:p w14:paraId="33D78F8F">
      <w:pPr>
        <w:pStyle w:val="13"/>
        <w:spacing w:line="360" w:lineRule="auto"/>
        <w:ind w:firstLine="0"/>
        <w:rPr>
          <w:rFonts w:hint="eastAsia" w:ascii="宋体" w:hAnsi="宋体" w:cs="宋体"/>
          <w:color w:val="auto"/>
          <w:sz w:val="24"/>
          <w:szCs w:val="24"/>
        </w:rPr>
      </w:pPr>
      <w:r>
        <w:rPr>
          <w:rFonts w:hint="eastAsia" w:ascii="宋体" w:hAnsi="宋体" w:cs="宋体"/>
          <w:color w:val="auto"/>
          <w:sz w:val="24"/>
          <w:szCs w:val="24"/>
        </w:rPr>
        <w:br w:type="page"/>
      </w:r>
    </w:p>
    <w:p w14:paraId="6FAB35EA">
      <w:pPr>
        <w:spacing w:line="560" w:lineRule="exact"/>
        <w:jc w:val="center"/>
        <w:outlineLvl w:val="1"/>
        <w:rPr>
          <w:rFonts w:hint="eastAsia" w:ascii="宋体" w:hAnsi="宋体" w:eastAsia="宋体" w:cs="宋体"/>
          <w:b/>
          <w:bCs/>
          <w:color w:val="auto"/>
          <w:kern w:val="2"/>
          <w:sz w:val="24"/>
          <w:szCs w:val="24"/>
          <w:lang w:eastAsia="zh-CN"/>
        </w:rPr>
      </w:pPr>
      <w:r>
        <w:rPr>
          <w:rFonts w:hint="eastAsia" w:ascii="宋体" w:hAnsi="宋体" w:eastAsia="宋体" w:cs="宋体"/>
          <w:b/>
          <w:bCs/>
          <w:color w:val="auto"/>
          <w:kern w:val="2"/>
          <w:sz w:val="24"/>
          <w:szCs w:val="24"/>
          <w:lang w:eastAsia="zh-CN"/>
        </w:rPr>
        <w:t>六、项目负责人</w:t>
      </w:r>
    </w:p>
    <w:p w14:paraId="16405177">
      <w:pPr>
        <w:pStyle w:val="13"/>
        <w:spacing w:line="360" w:lineRule="auto"/>
        <w:ind w:firstLine="0"/>
        <w:jc w:val="center"/>
        <w:rPr>
          <w:rFonts w:hint="eastAsia" w:ascii="宋体" w:hAnsi="宋体" w:cs="宋体"/>
          <w:color w:val="auto"/>
          <w:sz w:val="24"/>
          <w:szCs w:val="24"/>
        </w:rPr>
      </w:pPr>
      <w:r>
        <w:rPr>
          <w:rFonts w:hint="eastAsia" w:ascii="宋体" w:hAnsi="宋体" w:cs="宋体"/>
          <w:bCs/>
          <w:color w:val="auto"/>
          <w:sz w:val="24"/>
          <w:szCs w:val="24"/>
        </w:rPr>
        <w:t>项目负责人简介</w:t>
      </w:r>
    </w:p>
    <w:tbl>
      <w:tblPr>
        <w:tblStyle w:val="36"/>
        <w:tblW w:w="91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136"/>
        <w:gridCol w:w="1421"/>
        <w:gridCol w:w="1420"/>
        <w:gridCol w:w="1267"/>
        <w:gridCol w:w="2160"/>
      </w:tblGrid>
      <w:tr w14:paraId="540D9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4" w:type="dxa"/>
            <w:vAlign w:val="center"/>
          </w:tcPr>
          <w:p w14:paraId="3C81F4A8">
            <w:pPr>
              <w:pStyle w:val="13"/>
              <w:spacing w:line="360" w:lineRule="auto"/>
              <w:ind w:firstLine="0"/>
              <w:rPr>
                <w:rFonts w:hint="eastAsia" w:ascii="宋体" w:hAnsi="宋体" w:cs="宋体"/>
                <w:color w:val="auto"/>
                <w:sz w:val="24"/>
                <w:szCs w:val="24"/>
              </w:rPr>
            </w:pPr>
            <w:r>
              <w:rPr>
                <w:rFonts w:hint="eastAsia" w:ascii="宋体" w:hAnsi="宋体" w:cs="宋体"/>
                <w:color w:val="auto"/>
                <w:sz w:val="24"/>
                <w:szCs w:val="24"/>
              </w:rPr>
              <w:t>姓名</w:t>
            </w:r>
          </w:p>
        </w:tc>
        <w:tc>
          <w:tcPr>
            <w:tcW w:w="1136" w:type="dxa"/>
            <w:vAlign w:val="center"/>
          </w:tcPr>
          <w:p w14:paraId="6093B43C">
            <w:pPr>
              <w:pStyle w:val="13"/>
              <w:spacing w:line="360" w:lineRule="auto"/>
              <w:ind w:firstLine="0"/>
              <w:rPr>
                <w:rFonts w:hint="eastAsia" w:ascii="宋体" w:hAnsi="宋体" w:cs="宋体"/>
                <w:color w:val="auto"/>
                <w:sz w:val="24"/>
                <w:szCs w:val="24"/>
              </w:rPr>
            </w:pPr>
          </w:p>
        </w:tc>
        <w:tc>
          <w:tcPr>
            <w:tcW w:w="1421" w:type="dxa"/>
            <w:vAlign w:val="center"/>
          </w:tcPr>
          <w:p w14:paraId="1D764E85">
            <w:pPr>
              <w:pStyle w:val="13"/>
              <w:spacing w:line="360" w:lineRule="auto"/>
              <w:ind w:firstLine="0"/>
              <w:rPr>
                <w:rFonts w:hint="eastAsia" w:ascii="宋体" w:hAnsi="宋体" w:cs="宋体"/>
                <w:color w:val="auto"/>
                <w:sz w:val="24"/>
                <w:szCs w:val="24"/>
              </w:rPr>
            </w:pPr>
            <w:r>
              <w:rPr>
                <w:rFonts w:hint="eastAsia" w:ascii="宋体" w:hAnsi="宋体" w:cs="宋体"/>
                <w:color w:val="auto"/>
                <w:sz w:val="24"/>
                <w:szCs w:val="24"/>
              </w:rPr>
              <w:t>性别</w:t>
            </w:r>
          </w:p>
        </w:tc>
        <w:tc>
          <w:tcPr>
            <w:tcW w:w="1420" w:type="dxa"/>
            <w:vAlign w:val="center"/>
          </w:tcPr>
          <w:p w14:paraId="5EAF0D4C">
            <w:pPr>
              <w:pStyle w:val="13"/>
              <w:spacing w:line="360" w:lineRule="auto"/>
              <w:ind w:firstLine="0"/>
              <w:rPr>
                <w:rFonts w:hint="eastAsia" w:ascii="宋体" w:hAnsi="宋体" w:cs="宋体"/>
                <w:color w:val="auto"/>
                <w:sz w:val="24"/>
                <w:szCs w:val="24"/>
              </w:rPr>
            </w:pPr>
          </w:p>
        </w:tc>
        <w:tc>
          <w:tcPr>
            <w:tcW w:w="1267" w:type="dxa"/>
            <w:vAlign w:val="center"/>
          </w:tcPr>
          <w:p w14:paraId="7C9DF34C">
            <w:pPr>
              <w:pStyle w:val="13"/>
              <w:spacing w:line="360" w:lineRule="auto"/>
              <w:ind w:firstLine="0"/>
              <w:rPr>
                <w:rFonts w:hint="eastAsia" w:ascii="宋体" w:hAnsi="宋体" w:cs="宋体"/>
                <w:color w:val="auto"/>
                <w:sz w:val="24"/>
                <w:szCs w:val="24"/>
              </w:rPr>
            </w:pPr>
            <w:r>
              <w:rPr>
                <w:rFonts w:hint="eastAsia" w:ascii="宋体" w:hAnsi="宋体" w:cs="宋体"/>
                <w:color w:val="auto"/>
                <w:sz w:val="24"/>
                <w:szCs w:val="24"/>
              </w:rPr>
              <w:t>年龄</w:t>
            </w:r>
          </w:p>
        </w:tc>
        <w:tc>
          <w:tcPr>
            <w:tcW w:w="2160" w:type="dxa"/>
            <w:vAlign w:val="center"/>
          </w:tcPr>
          <w:p w14:paraId="528BB0E1">
            <w:pPr>
              <w:pStyle w:val="13"/>
              <w:spacing w:line="360" w:lineRule="auto"/>
              <w:ind w:firstLine="0"/>
              <w:rPr>
                <w:rFonts w:hint="eastAsia" w:ascii="宋体" w:hAnsi="宋体" w:cs="宋体"/>
                <w:color w:val="auto"/>
                <w:sz w:val="24"/>
                <w:szCs w:val="24"/>
              </w:rPr>
            </w:pPr>
          </w:p>
        </w:tc>
      </w:tr>
      <w:tr w14:paraId="77B56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2810BB55">
            <w:pPr>
              <w:pStyle w:val="13"/>
              <w:spacing w:line="360" w:lineRule="auto"/>
              <w:ind w:firstLine="0"/>
              <w:rPr>
                <w:rFonts w:hint="eastAsia" w:ascii="宋体" w:hAnsi="宋体" w:cs="宋体"/>
                <w:color w:val="auto"/>
                <w:sz w:val="24"/>
                <w:szCs w:val="24"/>
              </w:rPr>
            </w:pPr>
            <w:r>
              <w:rPr>
                <w:rFonts w:hint="eastAsia" w:ascii="宋体" w:hAnsi="宋体" w:cs="宋体"/>
                <w:color w:val="auto"/>
                <w:sz w:val="24"/>
                <w:szCs w:val="24"/>
              </w:rPr>
              <w:t>职务</w:t>
            </w:r>
          </w:p>
        </w:tc>
        <w:tc>
          <w:tcPr>
            <w:tcW w:w="1136" w:type="dxa"/>
            <w:vAlign w:val="center"/>
          </w:tcPr>
          <w:p w14:paraId="24EF7217">
            <w:pPr>
              <w:pStyle w:val="13"/>
              <w:spacing w:line="360" w:lineRule="auto"/>
              <w:ind w:firstLine="0"/>
              <w:rPr>
                <w:rFonts w:hint="eastAsia" w:ascii="宋体" w:hAnsi="宋体" w:cs="宋体"/>
                <w:color w:val="auto"/>
                <w:sz w:val="24"/>
                <w:szCs w:val="24"/>
              </w:rPr>
            </w:pPr>
          </w:p>
        </w:tc>
        <w:tc>
          <w:tcPr>
            <w:tcW w:w="1421" w:type="dxa"/>
            <w:vAlign w:val="center"/>
          </w:tcPr>
          <w:p w14:paraId="10F89767">
            <w:pPr>
              <w:pStyle w:val="13"/>
              <w:spacing w:line="360" w:lineRule="auto"/>
              <w:ind w:firstLine="0"/>
              <w:rPr>
                <w:rFonts w:hint="eastAsia" w:ascii="宋体" w:hAnsi="宋体" w:cs="宋体"/>
                <w:color w:val="auto"/>
                <w:sz w:val="24"/>
                <w:szCs w:val="24"/>
              </w:rPr>
            </w:pPr>
            <w:r>
              <w:rPr>
                <w:rFonts w:hint="eastAsia" w:ascii="宋体" w:hAnsi="宋体" w:cs="宋体"/>
                <w:color w:val="auto"/>
                <w:sz w:val="24"/>
                <w:szCs w:val="24"/>
              </w:rPr>
              <w:t>职称</w:t>
            </w:r>
          </w:p>
        </w:tc>
        <w:tc>
          <w:tcPr>
            <w:tcW w:w="1420" w:type="dxa"/>
            <w:vAlign w:val="center"/>
          </w:tcPr>
          <w:p w14:paraId="2BD502FE">
            <w:pPr>
              <w:pStyle w:val="13"/>
              <w:spacing w:line="360" w:lineRule="auto"/>
              <w:ind w:firstLine="0"/>
              <w:rPr>
                <w:rFonts w:hint="eastAsia" w:ascii="宋体" w:hAnsi="宋体" w:cs="宋体"/>
                <w:color w:val="auto"/>
                <w:sz w:val="24"/>
                <w:szCs w:val="24"/>
              </w:rPr>
            </w:pPr>
          </w:p>
        </w:tc>
        <w:tc>
          <w:tcPr>
            <w:tcW w:w="1267" w:type="dxa"/>
            <w:vAlign w:val="center"/>
          </w:tcPr>
          <w:p w14:paraId="25E08312">
            <w:pPr>
              <w:pStyle w:val="13"/>
              <w:spacing w:line="360" w:lineRule="auto"/>
              <w:ind w:firstLine="0"/>
              <w:rPr>
                <w:rFonts w:hint="eastAsia" w:ascii="宋体" w:hAnsi="宋体" w:cs="宋体"/>
                <w:color w:val="auto"/>
                <w:sz w:val="24"/>
                <w:szCs w:val="24"/>
              </w:rPr>
            </w:pPr>
            <w:r>
              <w:rPr>
                <w:rFonts w:hint="eastAsia" w:ascii="宋体" w:hAnsi="宋体" w:cs="宋体"/>
                <w:color w:val="auto"/>
                <w:sz w:val="24"/>
                <w:szCs w:val="24"/>
              </w:rPr>
              <w:t>学历</w:t>
            </w:r>
          </w:p>
        </w:tc>
        <w:tc>
          <w:tcPr>
            <w:tcW w:w="2160" w:type="dxa"/>
            <w:vAlign w:val="center"/>
          </w:tcPr>
          <w:p w14:paraId="3111173E">
            <w:pPr>
              <w:pStyle w:val="13"/>
              <w:spacing w:line="360" w:lineRule="auto"/>
              <w:ind w:firstLine="0"/>
              <w:rPr>
                <w:rFonts w:hint="eastAsia" w:ascii="宋体" w:hAnsi="宋体" w:cs="宋体"/>
                <w:color w:val="auto"/>
                <w:sz w:val="24"/>
                <w:szCs w:val="24"/>
              </w:rPr>
            </w:pPr>
          </w:p>
        </w:tc>
      </w:tr>
      <w:tr w14:paraId="30CE0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04" w:type="dxa"/>
            <w:vAlign w:val="center"/>
          </w:tcPr>
          <w:p w14:paraId="0537EEC0">
            <w:pPr>
              <w:pStyle w:val="13"/>
              <w:spacing w:line="360" w:lineRule="auto"/>
              <w:ind w:firstLine="0"/>
              <w:rPr>
                <w:rFonts w:hint="eastAsia" w:ascii="宋体" w:hAnsi="宋体" w:cs="宋体"/>
                <w:color w:val="auto"/>
                <w:sz w:val="24"/>
                <w:szCs w:val="24"/>
              </w:rPr>
            </w:pPr>
            <w:r>
              <w:rPr>
                <w:rFonts w:hint="eastAsia" w:ascii="宋体" w:hAnsi="宋体" w:cs="宋体"/>
                <w:color w:val="auto"/>
                <w:sz w:val="24"/>
                <w:szCs w:val="24"/>
              </w:rPr>
              <w:t>身份证号</w:t>
            </w:r>
          </w:p>
        </w:tc>
        <w:tc>
          <w:tcPr>
            <w:tcW w:w="2557" w:type="dxa"/>
            <w:gridSpan w:val="2"/>
            <w:vAlign w:val="center"/>
          </w:tcPr>
          <w:p w14:paraId="4DCEF3B9">
            <w:pPr>
              <w:pStyle w:val="13"/>
              <w:spacing w:line="360" w:lineRule="auto"/>
              <w:ind w:firstLine="0"/>
              <w:rPr>
                <w:rFonts w:hint="eastAsia" w:ascii="宋体" w:hAnsi="宋体" w:cs="宋体"/>
                <w:color w:val="auto"/>
                <w:sz w:val="24"/>
                <w:szCs w:val="24"/>
              </w:rPr>
            </w:pPr>
          </w:p>
        </w:tc>
        <w:tc>
          <w:tcPr>
            <w:tcW w:w="2687" w:type="dxa"/>
            <w:gridSpan w:val="2"/>
            <w:vAlign w:val="center"/>
          </w:tcPr>
          <w:p w14:paraId="1768CDFC">
            <w:pPr>
              <w:pStyle w:val="13"/>
              <w:spacing w:line="360" w:lineRule="auto"/>
              <w:ind w:firstLine="0"/>
              <w:rPr>
                <w:rFonts w:hint="eastAsia" w:ascii="宋体" w:hAnsi="宋体" w:cs="宋体"/>
                <w:color w:val="auto"/>
                <w:sz w:val="24"/>
                <w:szCs w:val="24"/>
              </w:rPr>
            </w:pPr>
            <w:r>
              <w:rPr>
                <w:rFonts w:hint="eastAsia" w:ascii="宋体" w:hAnsi="宋体" w:cs="宋体"/>
                <w:color w:val="auto"/>
                <w:sz w:val="24"/>
                <w:szCs w:val="24"/>
              </w:rPr>
              <w:t>联系电话</w:t>
            </w:r>
          </w:p>
        </w:tc>
        <w:tc>
          <w:tcPr>
            <w:tcW w:w="2160" w:type="dxa"/>
            <w:vAlign w:val="center"/>
          </w:tcPr>
          <w:p w14:paraId="2AB304DB">
            <w:pPr>
              <w:pStyle w:val="13"/>
              <w:spacing w:line="360" w:lineRule="auto"/>
              <w:ind w:firstLine="0"/>
              <w:rPr>
                <w:rFonts w:hint="eastAsia" w:ascii="宋体" w:hAnsi="宋体" w:cs="宋体"/>
                <w:color w:val="auto"/>
                <w:sz w:val="24"/>
                <w:szCs w:val="24"/>
              </w:rPr>
            </w:pPr>
          </w:p>
        </w:tc>
      </w:tr>
      <w:tr w14:paraId="5DF80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04" w:type="dxa"/>
            <w:vAlign w:val="center"/>
          </w:tcPr>
          <w:p w14:paraId="6A786D30">
            <w:pPr>
              <w:pStyle w:val="13"/>
              <w:spacing w:line="360" w:lineRule="auto"/>
              <w:ind w:firstLine="0"/>
              <w:rPr>
                <w:rFonts w:hint="eastAsia" w:ascii="宋体" w:hAnsi="宋体" w:cs="宋体"/>
                <w:color w:val="auto"/>
                <w:sz w:val="24"/>
                <w:szCs w:val="24"/>
              </w:rPr>
            </w:pPr>
            <w:r>
              <w:rPr>
                <w:rFonts w:hint="eastAsia" w:ascii="宋体" w:hAnsi="宋体" w:cs="宋体"/>
                <w:color w:val="auto"/>
                <w:sz w:val="24"/>
                <w:szCs w:val="24"/>
              </w:rPr>
              <w:t>参加工作时间</w:t>
            </w:r>
          </w:p>
        </w:tc>
        <w:tc>
          <w:tcPr>
            <w:tcW w:w="2557" w:type="dxa"/>
            <w:gridSpan w:val="2"/>
            <w:vAlign w:val="center"/>
          </w:tcPr>
          <w:p w14:paraId="2901B417">
            <w:pPr>
              <w:pStyle w:val="13"/>
              <w:spacing w:line="360" w:lineRule="auto"/>
              <w:ind w:firstLine="0"/>
              <w:rPr>
                <w:rFonts w:hint="eastAsia" w:ascii="宋体" w:hAnsi="宋体" w:cs="宋体"/>
                <w:color w:val="auto"/>
                <w:sz w:val="24"/>
                <w:szCs w:val="24"/>
              </w:rPr>
            </w:pPr>
          </w:p>
        </w:tc>
        <w:tc>
          <w:tcPr>
            <w:tcW w:w="2687" w:type="dxa"/>
            <w:gridSpan w:val="2"/>
            <w:vAlign w:val="center"/>
          </w:tcPr>
          <w:p w14:paraId="41668E2D">
            <w:pPr>
              <w:pStyle w:val="13"/>
              <w:spacing w:line="360" w:lineRule="auto"/>
              <w:ind w:firstLine="0"/>
              <w:rPr>
                <w:rFonts w:hint="eastAsia" w:ascii="宋体" w:hAnsi="宋体" w:cs="宋体"/>
                <w:color w:val="auto"/>
                <w:sz w:val="24"/>
                <w:szCs w:val="24"/>
              </w:rPr>
            </w:pPr>
            <w:r>
              <w:rPr>
                <w:rFonts w:hint="eastAsia" w:ascii="宋体" w:hAnsi="宋体" w:cs="宋体"/>
                <w:color w:val="auto"/>
                <w:sz w:val="24"/>
                <w:szCs w:val="24"/>
              </w:rPr>
              <w:t>从事项目管理工作年限</w:t>
            </w:r>
          </w:p>
        </w:tc>
        <w:tc>
          <w:tcPr>
            <w:tcW w:w="2160" w:type="dxa"/>
            <w:vAlign w:val="center"/>
          </w:tcPr>
          <w:p w14:paraId="16693A8D">
            <w:pPr>
              <w:pStyle w:val="13"/>
              <w:spacing w:line="360" w:lineRule="auto"/>
              <w:ind w:firstLine="0"/>
              <w:rPr>
                <w:rFonts w:hint="eastAsia" w:ascii="宋体" w:hAnsi="宋体" w:cs="宋体"/>
                <w:color w:val="auto"/>
                <w:sz w:val="24"/>
                <w:szCs w:val="24"/>
              </w:rPr>
            </w:pPr>
          </w:p>
        </w:tc>
      </w:tr>
      <w:tr w14:paraId="61732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04" w:type="dxa"/>
            <w:vAlign w:val="center"/>
          </w:tcPr>
          <w:p w14:paraId="0EB58086">
            <w:pPr>
              <w:pStyle w:val="13"/>
              <w:spacing w:line="360" w:lineRule="auto"/>
              <w:ind w:firstLine="0"/>
              <w:rPr>
                <w:rFonts w:hint="eastAsia" w:ascii="宋体" w:hAnsi="宋体" w:cs="宋体"/>
                <w:color w:val="auto"/>
                <w:sz w:val="24"/>
                <w:szCs w:val="24"/>
              </w:rPr>
            </w:pPr>
            <w:r>
              <w:rPr>
                <w:rFonts w:hint="eastAsia" w:ascii="宋体" w:hAnsi="宋体" w:cs="宋体"/>
                <w:color w:val="auto"/>
                <w:sz w:val="24"/>
                <w:szCs w:val="24"/>
              </w:rPr>
              <w:t>相关证书</w:t>
            </w:r>
          </w:p>
        </w:tc>
        <w:tc>
          <w:tcPr>
            <w:tcW w:w="7404" w:type="dxa"/>
            <w:gridSpan w:val="5"/>
            <w:vAlign w:val="center"/>
          </w:tcPr>
          <w:p w14:paraId="641053FE">
            <w:pPr>
              <w:pStyle w:val="13"/>
              <w:spacing w:line="360" w:lineRule="auto"/>
              <w:ind w:firstLine="0"/>
              <w:rPr>
                <w:rFonts w:hint="eastAsia" w:ascii="宋体" w:hAnsi="宋体" w:cs="宋体"/>
                <w:color w:val="auto"/>
                <w:sz w:val="24"/>
                <w:szCs w:val="24"/>
              </w:rPr>
            </w:pPr>
          </w:p>
        </w:tc>
      </w:tr>
    </w:tbl>
    <w:p w14:paraId="0B878A98">
      <w:pPr>
        <w:pStyle w:val="13"/>
        <w:spacing w:line="360" w:lineRule="auto"/>
        <w:ind w:firstLine="0"/>
        <w:rPr>
          <w:rFonts w:hint="eastAsia" w:ascii="宋体" w:hAnsi="宋体" w:cs="宋体"/>
          <w:color w:val="auto"/>
          <w:sz w:val="24"/>
          <w:szCs w:val="24"/>
        </w:rPr>
      </w:pPr>
      <w:r>
        <w:rPr>
          <w:rFonts w:hint="eastAsia" w:ascii="宋体" w:hAnsi="宋体" w:cs="宋体"/>
          <w:color w:val="auto"/>
          <w:sz w:val="24"/>
          <w:szCs w:val="24"/>
        </w:rPr>
        <w:t>注：后附项目负责人相关资料证明。</w:t>
      </w:r>
      <w:bookmarkStart w:id="140" w:name="_Toc22492"/>
    </w:p>
    <w:p w14:paraId="5E397969">
      <w:pPr>
        <w:rPr>
          <w:rFonts w:hint="eastAsia" w:ascii="宋体" w:hAnsi="宋体" w:cs="宋体"/>
          <w:color w:val="auto"/>
          <w:sz w:val="24"/>
          <w:szCs w:val="24"/>
        </w:rPr>
      </w:pPr>
      <w:r>
        <w:rPr>
          <w:rFonts w:hint="eastAsia" w:ascii="宋体" w:hAnsi="宋体" w:cs="宋体"/>
          <w:color w:val="auto"/>
          <w:sz w:val="24"/>
          <w:szCs w:val="24"/>
        </w:rPr>
        <w:br w:type="page"/>
      </w:r>
    </w:p>
    <w:p w14:paraId="65815C67">
      <w:pPr>
        <w:pStyle w:val="14"/>
        <w:rPr>
          <w:rFonts w:hint="eastAsia"/>
          <w:lang w:val="en-US" w:eastAsia="zh-CN"/>
        </w:rPr>
      </w:pPr>
    </w:p>
    <w:p w14:paraId="5DF38896">
      <w:pPr>
        <w:spacing w:line="560" w:lineRule="exact"/>
        <w:jc w:val="center"/>
        <w:outlineLvl w:val="1"/>
        <w:rPr>
          <w:rFonts w:hint="eastAsia" w:ascii="宋体" w:hAnsi="宋体" w:eastAsia="宋体" w:cs="宋体"/>
          <w:b/>
          <w:bCs/>
          <w:color w:val="auto"/>
          <w:sz w:val="24"/>
          <w:szCs w:val="24"/>
          <w:lang w:eastAsia="zh-CN"/>
        </w:rPr>
      </w:pPr>
      <w:r>
        <w:rPr>
          <w:rFonts w:hint="eastAsia" w:ascii="宋体" w:hAnsi="宋体" w:eastAsia="宋体" w:cs="宋体"/>
          <w:b/>
          <w:bCs/>
          <w:color w:val="auto"/>
          <w:kern w:val="2"/>
          <w:sz w:val="24"/>
          <w:szCs w:val="24"/>
          <w:lang w:eastAsia="zh-CN"/>
        </w:rPr>
        <w:t>七、</w:t>
      </w:r>
      <w:r>
        <w:rPr>
          <w:rFonts w:hint="eastAsia" w:ascii="宋体" w:hAnsi="宋体" w:eastAsia="宋体" w:cs="宋体"/>
          <w:b/>
          <w:bCs/>
          <w:color w:val="auto"/>
          <w:sz w:val="24"/>
          <w:szCs w:val="24"/>
          <w:lang w:eastAsia="zh-CN"/>
        </w:rPr>
        <w:t>拟配备人员情况</w:t>
      </w:r>
      <w:bookmarkEnd w:id="140"/>
    </w:p>
    <w:p w14:paraId="62CBBB5B">
      <w:pPr>
        <w:pStyle w:val="6"/>
        <w:ind w:firstLine="2880" w:firstLineChars="1200"/>
        <w:rPr>
          <w:rFonts w:hint="eastAsia" w:ascii="宋体" w:hAnsi="宋体" w:cs="宋体"/>
          <w:color w:val="auto"/>
          <w:sz w:val="24"/>
        </w:rPr>
      </w:pPr>
    </w:p>
    <w:p w14:paraId="3CDF7C3C">
      <w:pPr>
        <w:pStyle w:val="6"/>
        <w:ind w:firstLine="3600" w:firstLineChars="1500"/>
        <w:rPr>
          <w:rFonts w:hint="eastAsia" w:ascii="宋体" w:hAnsi="宋体" w:cs="宋体"/>
          <w:color w:val="auto"/>
          <w:sz w:val="24"/>
        </w:rPr>
      </w:pPr>
      <w:r>
        <w:rPr>
          <w:rFonts w:hint="eastAsia" w:ascii="宋体" w:hAnsi="宋体" w:cs="宋体"/>
          <w:color w:val="auto"/>
          <w:sz w:val="24"/>
        </w:rPr>
        <w:t>拟配备人员统计表</w:t>
      </w:r>
    </w:p>
    <w:tbl>
      <w:tblPr>
        <w:tblStyle w:val="36"/>
        <w:tblW w:w="88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0"/>
        <w:gridCol w:w="912"/>
        <w:gridCol w:w="915"/>
        <w:gridCol w:w="993"/>
        <w:gridCol w:w="1327"/>
        <w:gridCol w:w="701"/>
        <w:gridCol w:w="838"/>
        <w:gridCol w:w="955"/>
        <w:gridCol w:w="996"/>
      </w:tblGrid>
      <w:tr w14:paraId="0581E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9" w:hRule="atLeast"/>
          <w:jc w:val="center"/>
        </w:trPr>
        <w:tc>
          <w:tcPr>
            <w:tcW w:w="1220" w:type="dxa"/>
            <w:vMerge w:val="restart"/>
            <w:vAlign w:val="center"/>
          </w:tcPr>
          <w:p w14:paraId="64ADCC08">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序号</w:t>
            </w:r>
          </w:p>
        </w:tc>
        <w:tc>
          <w:tcPr>
            <w:tcW w:w="912" w:type="dxa"/>
            <w:vMerge w:val="restart"/>
            <w:vAlign w:val="center"/>
          </w:tcPr>
          <w:p w14:paraId="7A793E9F">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姓名</w:t>
            </w:r>
          </w:p>
        </w:tc>
        <w:tc>
          <w:tcPr>
            <w:tcW w:w="915" w:type="dxa"/>
            <w:vMerge w:val="restart"/>
            <w:vAlign w:val="center"/>
          </w:tcPr>
          <w:p w14:paraId="1864534C">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联系方式</w:t>
            </w:r>
          </w:p>
        </w:tc>
        <w:tc>
          <w:tcPr>
            <w:tcW w:w="993" w:type="dxa"/>
            <w:vMerge w:val="restart"/>
            <w:vAlign w:val="center"/>
          </w:tcPr>
          <w:p w14:paraId="5BDC5610">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职称或职务</w:t>
            </w:r>
          </w:p>
        </w:tc>
        <w:tc>
          <w:tcPr>
            <w:tcW w:w="1327" w:type="dxa"/>
            <w:vMerge w:val="restart"/>
            <w:vAlign w:val="center"/>
          </w:tcPr>
          <w:p w14:paraId="2EDE7A48">
            <w:pPr>
              <w:spacing w:line="36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拟担任本项目职务/岗位</w:t>
            </w:r>
          </w:p>
        </w:tc>
        <w:tc>
          <w:tcPr>
            <w:tcW w:w="3490" w:type="dxa"/>
            <w:gridSpan w:val="4"/>
            <w:vAlign w:val="center"/>
          </w:tcPr>
          <w:p w14:paraId="2805E729">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资格证明</w:t>
            </w:r>
          </w:p>
        </w:tc>
      </w:tr>
      <w:tr w14:paraId="273DB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88" w:hRule="atLeast"/>
          <w:jc w:val="center"/>
        </w:trPr>
        <w:tc>
          <w:tcPr>
            <w:tcW w:w="1220" w:type="dxa"/>
            <w:vMerge w:val="continue"/>
            <w:vAlign w:val="center"/>
          </w:tcPr>
          <w:p w14:paraId="62EB0EBC">
            <w:pPr>
              <w:spacing w:line="360" w:lineRule="auto"/>
              <w:jc w:val="center"/>
              <w:rPr>
                <w:rFonts w:hint="eastAsia" w:ascii="宋体" w:hAnsi="宋体" w:eastAsia="宋体" w:cs="宋体"/>
                <w:color w:val="auto"/>
                <w:sz w:val="24"/>
                <w:szCs w:val="24"/>
              </w:rPr>
            </w:pPr>
          </w:p>
        </w:tc>
        <w:tc>
          <w:tcPr>
            <w:tcW w:w="912" w:type="dxa"/>
            <w:vMerge w:val="continue"/>
            <w:vAlign w:val="center"/>
          </w:tcPr>
          <w:p w14:paraId="6EA1396E">
            <w:pPr>
              <w:spacing w:line="360" w:lineRule="auto"/>
              <w:jc w:val="center"/>
              <w:rPr>
                <w:rFonts w:hint="eastAsia" w:ascii="宋体" w:hAnsi="宋体" w:eastAsia="宋体" w:cs="宋体"/>
                <w:color w:val="auto"/>
                <w:sz w:val="24"/>
                <w:szCs w:val="24"/>
              </w:rPr>
            </w:pPr>
          </w:p>
        </w:tc>
        <w:tc>
          <w:tcPr>
            <w:tcW w:w="915" w:type="dxa"/>
            <w:vMerge w:val="continue"/>
            <w:vAlign w:val="center"/>
          </w:tcPr>
          <w:p w14:paraId="3A2529D2">
            <w:pPr>
              <w:spacing w:line="360" w:lineRule="auto"/>
              <w:jc w:val="center"/>
              <w:rPr>
                <w:rFonts w:hint="eastAsia" w:ascii="宋体" w:hAnsi="宋体" w:eastAsia="宋体" w:cs="宋体"/>
                <w:color w:val="auto"/>
                <w:sz w:val="24"/>
                <w:szCs w:val="24"/>
              </w:rPr>
            </w:pPr>
          </w:p>
        </w:tc>
        <w:tc>
          <w:tcPr>
            <w:tcW w:w="993" w:type="dxa"/>
            <w:vMerge w:val="continue"/>
            <w:vAlign w:val="center"/>
          </w:tcPr>
          <w:p w14:paraId="3EC236AE">
            <w:pPr>
              <w:spacing w:line="360" w:lineRule="auto"/>
              <w:jc w:val="center"/>
              <w:rPr>
                <w:rFonts w:hint="eastAsia" w:ascii="宋体" w:hAnsi="宋体" w:eastAsia="宋体" w:cs="宋体"/>
                <w:color w:val="auto"/>
                <w:sz w:val="24"/>
                <w:szCs w:val="24"/>
              </w:rPr>
            </w:pPr>
          </w:p>
        </w:tc>
        <w:tc>
          <w:tcPr>
            <w:tcW w:w="1327" w:type="dxa"/>
            <w:vMerge w:val="continue"/>
            <w:vAlign w:val="center"/>
          </w:tcPr>
          <w:p w14:paraId="3BB87F70">
            <w:pPr>
              <w:spacing w:line="360" w:lineRule="auto"/>
              <w:jc w:val="center"/>
              <w:rPr>
                <w:rFonts w:hint="eastAsia" w:ascii="宋体" w:hAnsi="宋体" w:eastAsia="宋体" w:cs="宋体"/>
                <w:color w:val="auto"/>
                <w:sz w:val="24"/>
                <w:szCs w:val="24"/>
              </w:rPr>
            </w:pPr>
          </w:p>
        </w:tc>
        <w:tc>
          <w:tcPr>
            <w:tcW w:w="701" w:type="dxa"/>
            <w:vAlign w:val="center"/>
          </w:tcPr>
          <w:p w14:paraId="2FFDB771">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证书名称</w:t>
            </w:r>
          </w:p>
        </w:tc>
        <w:tc>
          <w:tcPr>
            <w:tcW w:w="838" w:type="dxa"/>
            <w:vAlign w:val="center"/>
          </w:tcPr>
          <w:p w14:paraId="33733607">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级别</w:t>
            </w:r>
          </w:p>
        </w:tc>
        <w:tc>
          <w:tcPr>
            <w:tcW w:w="955" w:type="dxa"/>
            <w:vAlign w:val="center"/>
          </w:tcPr>
          <w:p w14:paraId="65EC8B6C">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证书号</w:t>
            </w:r>
          </w:p>
        </w:tc>
        <w:tc>
          <w:tcPr>
            <w:tcW w:w="996" w:type="dxa"/>
            <w:vAlign w:val="center"/>
          </w:tcPr>
          <w:p w14:paraId="3EADA91E">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专业</w:t>
            </w:r>
          </w:p>
        </w:tc>
      </w:tr>
      <w:tr w14:paraId="400D0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exact"/>
          <w:jc w:val="center"/>
        </w:trPr>
        <w:tc>
          <w:tcPr>
            <w:tcW w:w="1220" w:type="dxa"/>
          </w:tcPr>
          <w:p w14:paraId="0603D494">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912" w:type="dxa"/>
          </w:tcPr>
          <w:p w14:paraId="5BFEE564">
            <w:pPr>
              <w:spacing w:line="360" w:lineRule="auto"/>
              <w:jc w:val="center"/>
              <w:rPr>
                <w:rFonts w:hint="eastAsia" w:ascii="宋体" w:hAnsi="宋体" w:eastAsia="宋体" w:cs="宋体"/>
                <w:color w:val="auto"/>
                <w:sz w:val="24"/>
                <w:szCs w:val="24"/>
              </w:rPr>
            </w:pPr>
          </w:p>
        </w:tc>
        <w:tc>
          <w:tcPr>
            <w:tcW w:w="915" w:type="dxa"/>
          </w:tcPr>
          <w:p w14:paraId="5CB30CEF">
            <w:pPr>
              <w:spacing w:line="360" w:lineRule="auto"/>
              <w:jc w:val="center"/>
              <w:rPr>
                <w:rFonts w:hint="eastAsia" w:ascii="宋体" w:hAnsi="宋体" w:eastAsia="宋体" w:cs="宋体"/>
                <w:color w:val="auto"/>
                <w:sz w:val="24"/>
                <w:szCs w:val="24"/>
              </w:rPr>
            </w:pPr>
          </w:p>
        </w:tc>
        <w:tc>
          <w:tcPr>
            <w:tcW w:w="993" w:type="dxa"/>
          </w:tcPr>
          <w:p w14:paraId="5C042455">
            <w:pPr>
              <w:spacing w:line="360" w:lineRule="auto"/>
              <w:jc w:val="center"/>
              <w:rPr>
                <w:rFonts w:hint="eastAsia" w:ascii="宋体" w:hAnsi="宋体" w:eastAsia="宋体" w:cs="宋体"/>
                <w:color w:val="auto"/>
                <w:sz w:val="24"/>
                <w:szCs w:val="24"/>
              </w:rPr>
            </w:pPr>
          </w:p>
        </w:tc>
        <w:tc>
          <w:tcPr>
            <w:tcW w:w="1327" w:type="dxa"/>
          </w:tcPr>
          <w:p w14:paraId="25F2C638">
            <w:pPr>
              <w:spacing w:line="360" w:lineRule="auto"/>
              <w:jc w:val="center"/>
              <w:rPr>
                <w:rFonts w:hint="eastAsia" w:ascii="宋体" w:hAnsi="宋体" w:eastAsia="宋体" w:cs="宋体"/>
                <w:color w:val="auto"/>
                <w:sz w:val="24"/>
                <w:szCs w:val="24"/>
              </w:rPr>
            </w:pPr>
          </w:p>
        </w:tc>
        <w:tc>
          <w:tcPr>
            <w:tcW w:w="701" w:type="dxa"/>
          </w:tcPr>
          <w:p w14:paraId="6DAB170D">
            <w:pPr>
              <w:spacing w:line="360" w:lineRule="auto"/>
              <w:jc w:val="center"/>
              <w:rPr>
                <w:rFonts w:hint="eastAsia" w:ascii="宋体" w:hAnsi="宋体" w:eastAsia="宋体" w:cs="宋体"/>
                <w:color w:val="auto"/>
                <w:sz w:val="24"/>
                <w:szCs w:val="24"/>
              </w:rPr>
            </w:pPr>
          </w:p>
        </w:tc>
        <w:tc>
          <w:tcPr>
            <w:tcW w:w="838" w:type="dxa"/>
          </w:tcPr>
          <w:p w14:paraId="57A03D37">
            <w:pPr>
              <w:spacing w:line="360" w:lineRule="auto"/>
              <w:jc w:val="center"/>
              <w:rPr>
                <w:rFonts w:hint="eastAsia" w:ascii="宋体" w:hAnsi="宋体" w:eastAsia="宋体" w:cs="宋体"/>
                <w:color w:val="auto"/>
                <w:sz w:val="24"/>
                <w:szCs w:val="24"/>
              </w:rPr>
            </w:pPr>
          </w:p>
        </w:tc>
        <w:tc>
          <w:tcPr>
            <w:tcW w:w="955" w:type="dxa"/>
          </w:tcPr>
          <w:p w14:paraId="39594B9C">
            <w:pPr>
              <w:spacing w:line="360" w:lineRule="auto"/>
              <w:jc w:val="center"/>
              <w:rPr>
                <w:rFonts w:hint="eastAsia" w:ascii="宋体" w:hAnsi="宋体" w:eastAsia="宋体" w:cs="宋体"/>
                <w:color w:val="auto"/>
                <w:sz w:val="24"/>
                <w:szCs w:val="24"/>
              </w:rPr>
            </w:pPr>
          </w:p>
        </w:tc>
        <w:tc>
          <w:tcPr>
            <w:tcW w:w="996" w:type="dxa"/>
          </w:tcPr>
          <w:p w14:paraId="31B67757">
            <w:pPr>
              <w:spacing w:line="360" w:lineRule="auto"/>
              <w:jc w:val="center"/>
              <w:rPr>
                <w:rFonts w:hint="eastAsia" w:ascii="宋体" w:hAnsi="宋体" w:eastAsia="宋体" w:cs="宋体"/>
                <w:color w:val="auto"/>
                <w:sz w:val="24"/>
                <w:szCs w:val="24"/>
              </w:rPr>
            </w:pPr>
          </w:p>
        </w:tc>
      </w:tr>
      <w:tr w14:paraId="58D05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exact"/>
          <w:jc w:val="center"/>
        </w:trPr>
        <w:tc>
          <w:tcPr>
            <w:tcW w:w="1220" w:type="dxa"/>
          </w:tcPr>
          <w:p w14:paraId="4F92ACE6">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912" w:type="dxa"/>
          </w:tcPr>
          <w:p w14:paraId="48FFDD47">
            <w:pPr>
              <w:spacing w:line="360" w:lineRule="auto"/>
              <w:jc w:val="center"/>
              <w:rPr>
                <w:rFonts w:hint="eastAsia" w:ascii="宋体" w:hAnsi="宋体" w:eastAsia="宋体" w:cs="宋体"/>
                <w:color w:val="auto"/>
                <w:sz w:val="24"/>
                <w:szCs w:val="24"/>
              </w:rPr>
            </w:pPr>
          </w:p>
        </w:tc>
        <w:tc>
          <w:tcPr>
            <w:tcW w:w="915" w:type="dxa"/>
          </w:tcPr>
          <w:p w14:paraId="1AD8D1F3">
            <w:pPr>
              <w:spacing w:line="360" w:lineRule="auto"/>
              <w:jc w:val="center"/>
              <w:rPr>
                <w:rFonts w:hint="eastAsia" w:ascii="宋体" w:hAnsi="宋体" w:eastAsia="宋体" w:cs="宋体"/>
                <w:color w:val="auto"/>
                <w:sz w:val="24"/>
                <w:szCs w:val="24"/>
              </w:rPr>
            </w:pPr>
          </w:p>
        </w:tc>
        <w:tc>
          <w:tcPr>
            <w:tcW w:w="993" w:type="dxa"/>
          </w:tcPr>
          <w:p w14:paraId="0AFB1300">
            <w:pPr>
              <w:spacing w:line="360" w:lineRule="auto"/>
              <w:jc w:val="center"/>
              <w:rPr>
                <w:rFonts w:hint="eastAsia" w:ascii="宋体" w:hAnsi="宋体" w:eastAsia="宋体" w:cs="宋体"/>
                <w:color w:val="auto"/>
                <w:sz w:val="24"/>
                <w:szCs w:val="24"/>
              </w:rPr>
            </w:pPr>
          </w:p>
        </w:tc>
        <w:tc>
          <w:tcPr>
            <w:tcW w:w="1327" w:type="dxa"/>
          </w:tcPr>
          <w:p w14:paraId="5D14918F">
            <w:pPr>
              <w:spacing w:line="360" w:lineRule="auto"/>
              <w:jc w:val="center"/>
              <w:rPr>
                <w:rFonts w:hint="eastAsia" w:ascii="宋体" w:hAnsi="宋体" w:eastAsia="宋体" w:cs="宋体"/>
                <w:color w:val="auto"/>
                <w:sz w:val="24"/>
                <w:szCs w:val="24"/>
              </w:rPr>
            </w:pPr>
          </w:p>
        </w:tc>
        <w:tc>
          <w:tcPr>
            <w:tcW w:w="701" w:type="dxa"/>
          </w:tcPr>
          <w:p w14:paraId="7920FB61">
            <w:pPr>
              <w:spacing w:line="360" w:lineRule="auto"/>
              <w:jc w:val="center"/>
              <w:rPr>
                <w:rFonts w:hint="eastAsia" w:ascii="宋体" w:hAnsi="宋体" w:eastAsia="宋体" w:cs="宋体"/>
                <w:color w:val="auto"/>
                <w:sz w:val="24"/>
                <w:szCs w:val="24"/>
              </w:rPr>
            </w:pPr>
          </w:p>
        </w:tc>
        <w:tc>
          <w:tcPr>
            <w:tcW w:w="838" w:type="dxa"/>
          </w:tcPr>
          <w:p w14:paraId="0158AFAE">
            <w:pPr>
              <w:spacing w:line="360" w:lineRule="auto"/>
              <w:jc w:val="center"/>
              <w:rPr>
                <w:rFonts w:hint="eastAsia" w:ascii="宋体" w:hAnsi="宋体" w:eastAsia="宋体" w:cs="宋体"/>
                <w:color w:val="auto"/>
                <w:sz w:val="24"/>
                <w:szCs w:val="24"/>
              </w:rPr>
            </w:pPr>
          </w:p>
        </w:tc>
        <w:tc>
          <w:tcPr>
            <w:tcW w:w="955" w:type="dxa"/>
          </w:tcPr>
          <w:p w14:paraId="42584801">
            <w:pPr>
              <w:spacing w:line="360" w:lineRule="auto"/>
              <w:jc w:val="center"/>
              <w:rPr>
                <w:rFonts w:hint="eastAsia" w:ascii="宋体" w:hAnsi="宋体" w:eastAsia="宋体" w:cs="宋体"/>
                <w:color w:val="auto"/>
                <w:sz w:val="24"/>
                <w:szCs w:val="24"/>
              </w:rPr>
            </w:pPr>
          </w:p>
        </w:tc>
        <w:tc>
          <w:tcPr>
            <w:tcW w:w="996" w:type="dxa"/>
          </w:tcPr>
          <w:p w14:paraId="4FCF2521">
            <w:pPr>
              <w:spacing w:line="360" w:lineRule="auto"/>
              <w:jc w:val="center"/>
              <w:rPr>
                <w:rFonts w:hint="eastAsia" w:ascii="宋体" w:hAnsi="宋体" w:eastAsia="宋体" w:cs="宋体"/>
                <w:color w:val="auto"/>
                <w:sz w:val="24"/>
                <w:szCs w:val="24"/>
              </w:rPr>
            </w:pPr>
          </w:p>
        </w:tc>
      </w:tr>
      <w:tr w14:paraId="30402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exact"/>
          <w:jc w:val="center"/>
        </w:trPr>
        <w:tc>
          <w:tcPr>
            <w:tcW w:w="1220" w:type="dxa"/>
          </w:tcPr>
          <w:p w14:paraId="4B665866">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3</w:t>
            </w:r>
          </w:p>
        </w:tc>
        <w:tc>
          <w:tcPr>
            <w:tcW w:w="912" w:type="dxa"/>
          </w:tcPr>
          <w:p w14:paraId="305A1593">
            <w:pPr>
              <w:spacing w:line="360" w:lineRule="auto"/>
              <w:jc w:val="center"/>
              <w:rPr>
                <w:rFonts w:hint="eastAsia" w:ascii="宋体" w:hAnsi="宋体" w:eastAsia="宋体" w:cs="宋体"/>
                <w:color w:val="auto"/>
                <w:sz w:val="24"/>
                <w:szCs w:val="24"/>
              </w:rPr>
            </w:pPr>
          </w:p>
        </w:tc>
        <w:tc>
          <w:tcPr>
            <w:tcW w:w="915" w:type="dxa"/>
          </w:tcPr>
          <w:p w14:paraId="0AFA7E0D">
            <w:pPr>
              <w:spacing w:line="360" w:lineRule="auto"/>
              <w:jc w:val="center"/>
              <w:rPr>
                <w:rFonts w:hint="eastAsia" w:ascii="宋体" w:hAnsi="宋体" w:eastAsia="宋体" w:cs="宋体"/>
                <w:color w:val="auto"/>
                <w:sz w:val="24"/>
                <w:szCs w:val="24"/>
              </w:rPr>
            </w:pPr>
          </w:p>
        </w:tc>
        <w:tc>
          <w:tcPr>
            <w:tcW w:w="993" w:type="dxa"/>
          </w:tcPr>
          <w:p w14:paraId="46C25D70">
            <w:pPr>
              <w:spacing w:line="360" w:lineRule="auto"/>
              <w:jc w:val="center"/>
              <w:rPr>
                <w:rFonts w:hint="eastAsia" w:ascii="宋体" w:hAnsi="宋体" w:eastAsia="宋体" w:cs="宋体"/>
                <w:color w:val="auto"/>
                <w:sz w:val="24"/>
                <w:szCs w:val="24"/>
              </w:rPr>
            </w:pPr>
          </w:p>
        </w:tc>
        <w:tc>
          <w:tcPr>
            <w:tcW w:w="1327" w:type="dxa"/>
          </w:tcPr>
          <w:p w14:paraId="29876BAE">
            <w:pPr>
              <w:spacing w:line="360" w:lineRule="auto"/>
              <w:jc w:val="center"/>
              <w:rPr>
                <w:rFonts w:hint="eastAsia" w:ascii="宋体" w:hAnsi="宋体" w:eastAsia="宋体" w:cs="宋体"/>
                <w:color w:val="auto"/>
                <w:sz w:val="24"/>
                <w:szCs w:val="24"/>
              </w:rPr>
            </w:pPr>
          </w:p>
        </w:tc>
        <w:tc>
          <w:tcPr>
            <w:tcW w:w="701" w:type="dxa"/>
          </w:tcPr>
          <w:p w14:paraId="4B3AAB75">
            <w:pPr>
              <w:spacing w:line="360" w:lineRule="auto"/>
              <w:jc w:val="center"/>
              <w:rPr>
                <w:rFonts w:hint="eastAsia" w:ascii="宋体" w:hAnsi="宋体" w:eastAsia="宋体" w:cs="宋体"/>
                <w:color w:val="auto"/>
                <w:sz w:val="24"/>
                <w:szCs w:val="24"/>
              </w:rPr>
            </w:pPr>
          </w:p>
        </w:tc>
        <w:tc>
          <w:tcPr>
            <w:tcW w:w="838" w:type="dxa"/>
          </w:tcPr>
          <w:p w14:paraId="24D078A7">
            <w:pPr>
              <w:spacing w:line="360" w:lineRule="auto"/>
              <w:jc w:val="center"/>
              <w:rPr>
                <w:rFonts w:hint="eastAsia" w:ascii="宋体" w:hAnsi="宋体" w:eastAsia="宋体" w:cs="宋体"/>
                <w:color w:val="auto"/>
                <w:sz w:val="24"/>
                <w:szCs w:val="24"/>
              </w:rPr>
            </w:pPr>
          </w:p>
        </w:tc>
        <w:tc>
          <w:tcPr>
            <w:tcW w:w="955" w:type="dxa"/>
          </w:tcPr>
          <w:p w14:paraId="6CB16DA4">
            <w:pPr>
              <w:spacing w:line="360" w:lineRule="auto"/>
              <w:jc w:val="center"/>
              <w:rPr>
                <w:rFonts w:hint="eastAsia" w:ascii="宋体" w:hAnsi="宋体" w:eastAsia="宋体" w:cs="宋体"/>
                <w:color w:val="auto"/>
                <w:sz w:val="24"/>
                <w:szCs w:val="24"/>
              </w:rPr>
            </w:pPr>
          </w:p>
        </w:tc>
        <w:tc>
          <w:tcPr>
            <w:tcW w:w="996" w:type="dxa"/>
          </w:tcPr>
          <w:p w14:paraId="6DC817A6">
            <w:pPr>
              <w:spacing w:line="360" w:lineRule="auto"/>
              <w:jc w:val="center"/>
              <w:rPr>
                <w:rFonts w:hint="eastAsia" w:ascii="宋体" w:hAnsi="宋体" w:eastAsia="宋体" w:cs="宋体"/>
                <w:color w:val="auto"/>
                <w:sz w:val="24"/>
                <w:szCs w:val="24"/>
              </w:rPr>
            </w:pPr>
          </w:p>
        </w:tc>
      </w:tr>
      <w:tr w14:paraId="7795A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7" w:hRule="exact"/>
          <w:jc w:val="center"/>
        </w:trPr>
        <w:tc>
          <w:tcPr>
            <w:tcW w:w="1220" w:type="dxa"/>
          </w:tcPr>
          <w:p w14:paraId="28B998AF">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4</w:t>
            </w:r>
          </w:p>
        </w:tc>
        <w:tc>
          <w:tcPr>
            <w:tcW w:w="912" w:type="dxa"/>
          </w:tcPr>
          <w:p w14:paraId="73234C16">
            <w:pPr>
              <w:spacing w:line="360" w:lineRule="auto"/>
              <w:jc w:val="center"/>
              <w:rPr>
                <w:rFonts w:hint="eastAsia" w:ascii="宋体" w:hAnsi="宋体" w:eastAsia="宋体" w:cs="宋体"/>
                <w:color w:val="auto"/>
                <w:sz w:val="24"/>
                <w:szCs w:val="24"/>
              </w:rPr>
            </w:pPr>
          </w:p>
        </w:tc>
        <w:tc>
          <w:tcPr>
            <w:tcW w:w="915" w:type="dxa"/>
          </w:tcPr>
          <w:p w14:paraId="2C2AD204">
            <w:pPr>
              <w:spacing w:line="360" w:lineRule="auto"/>
              <w:jc w:val="center"/>
              <w:rPr>
                <w:rFonts w:hint="eastAsia" w:ascii="宋体" w:hAnsi="宋体" w:eastAsia="宋体" w:cs="宋体"/>
                <w:color w:val="auto"/>
                <w:sz w:val="24"/>
                <w:szCs w:val="24"/>
              </w:rPr>
            </w:pPr>
          </w:p>
        </w:tc>
        <w:tc>
          <w:tcPr>
            <w:tcW w:w="993" w:type="dxa"/>
          </w:tcPr>
          <w:p w14:paraId="01C7BE32">
            <w:pPr>
              <w:spacing w:line="360" w:lineRule="auto"/>
              <w:jc w:val="center"/>
              <w:rPr>
                <w:rFonts w:hint="eastAsia" w:ascii="宋体" w:hAnsi="宋体" w:eastAsia="宋体" w:cs="宋体"/>
                <w:color w:val="auto"/>
                <w:sz w:val="24"/>
                <w:szCs w:val="24"/>
              </w:rPr>
            </w:pPr>
          </w:p>
        </w:tc>
        <w:tc>
          <w:tcPr>
            <w:tcW w:w="1327" w:type="dxa"/>
          </w:tcPr>
          <w:p w14:paraId="66D8365D">
            <w:pPr>
              <w:spacing w:line="360" w:lineRule="auto"/>
              <w:jc w:val="center"/>
              <w:rPr>
                <w:rFonts w:hint="eastAsia" w:ascii="宋体" w:hAnsi="宋体" w:eastAsia="宋体" w:cs="宋体"/>
                <w:color w:val="auto"/>
                <w:sz w:val="24"/>
                <w:szCs w:val="24"/>
              </w:rPr>
            </w:pPr>
          </w:p>
        </w:tc>
        <w:tc>
          <w:tcPr>
            <w:tcW w:w="701" w:type="dxa"/>
          </w:tcPr>
          <w:p w14:paraId="0FAA8274">
            <w:pPr>
              <w:spacing w:line="360" w:lineRule="auto"/>
              <w:jc w:val="center"/>
              <w:rPr>
                <w:rFonts w:hint="eastAsia" w:ascii="宋体" w:hAnsi="宋体" w:eastAsia="宋体" w:cs="宋体"/>
                <w:color w:val="auto"/>
                <w:sz w:val="24"/>
                <w:szCs w:val="24"/>
              </w:rPr>
            </w:pPr>
          </w:p>
        </w:tc>
        <w:tc>
          <w:tcPr>
            <w:tcW w:w="838" w:type="dxa"/>
          </w:tcPr>
          <w:p w14:paraId="1B5B5F81">
            <w:pPr>
              <w:spacing w:line="360" w:lineRule="auto"/>
              <w:jc w:val="center"/>
              <w:rPr>
                <w:rFonts w:hint="eastAsia" w:ascii="宋体" w:hAnsi="宋体" w:eastAsia="宋体" w:cs="宋体"/>
                <w:color w:val="auto"/>
                <w:sz w:val="24"/>
                <w:szCs w:val="24"/>
              </w:rPr>
            </w:pPr>
          </w:p>
        </w:tc>
        <w:tc>
          <w:tcPr>
            <w:tcW w:w="955" w:type="dxa"/>
          </w:tcPr>
          <w:p w14:paraId="1B6B96A8">
            <w:pPr>
              <w:spacing w:line="360" w:lineRule="auto"/>
              <w:jc w:val="center"/>
              <w:rPr>
                <w:rFonts w:hint="eastAsia" w:ascii="宋体" w:hAnsi="宋体" w:eastAsia="宋体" w:cs="宋体"/>
                <w:color w:val="auto"/>
                <w:sz w:val="24"/>
                <w:szCs w:val="24"/>
              </w:rPr>
            </w:pPr>
          </w:p>
        </w:tc>
        <w:tc>
          <w:tcPr>
            <w:tcW w:w="996" w:type="dxa"/>
          </w:tcPr>
          <w:p w14:paraId="097F66C1">
            <w:pPr>
              <w:spacing w:line="360" w:lineRule="auto"/>
              <w:jc w:val="center"/>
              <w:rPr>
                <w:rFonts w:hint="eastAsia" w:ascii="宋体" w:hAnsi="宋体" w:eastAsia="宋体" w:cs="宋体"/>
                <w:color w:val="auto"/>
                <w:sz w:val="24"/>
                <w:szCs w:val="24"/>
              </w:rPr>
            </w:pPr>
          </w:p>
        </w:tc>
      </w:tr>
      <w:tr w14:paraId="625F8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7" w:hRule="exact"/>
          <w:jc w:val="center"/>
        </w:trPr>
        <w:tc>
          <w:tcPr>
            <w:tcW w:w="1220" w:type="dxa"/>
          </w:tcPr>
          <w:p w14:paraId="42DB3AEB">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5</w:t>
            </w:r>
          </w:p>
        </w:tc>
        <w:tc>
          <w:tcPr>
            <w:tcW w:w="912" w:type="dxa"/>
          </w:tcPr>
          <w:p w14:paraId="6F701A84">
            <w:pPr>
              <w:spacing w:line="360" w:lineRule="auto"/>
              <w:jc w:val="center"/>
              <w:rPr>
                <w:rFonts w:hint="eastAsia" w:ascii="宋体" w:hAnsi="宋体" w:eastAsia="宋体" w:cs="宋体"/>
                <w:color w:val="auto"/>
                <w:sz w:val="24"/>
                <w:szCs w:val="24"/>
              </w:rPr>
            </w:pPr>
          </w:p>
        </w:tc>
        <w:tc>
          <w:tcPr>
            <w:tcW w:w="915" w:type="dxa"/>
          </w:tcPr>
          <w:p w14:paraId="3AB62F4B">
            <w:pPr>
              <w:spacing w:line="360" w:lineRule="auto"/>
              <w:jc w:val="center"/>
              <w:rPr>
                <w:rFonts w:hint="eastAsia" w:ascii="宋体" w:hAnsi="宋体" w:eastAsia="宋体" w:cs="宋体"/>
                <w:color w:val="auto"/>
                <w:sz w:val="24"/>
                <w:szCs w:val="24"/>
              </w:rPr>
            </w:pPr>
          </w:p>
        </w:tc>
        <w:tc>
          <w:tcPr>
            <w:tcW w:w="993" w:type="dxa"/>
          </w:tcPr>
          <w:p w14:paraId="7A41151A">
            <w:pPr>
              <w:spacing w:line="360" w:lineRule="auto"/>
              <w:jc w:val="center"/>
              <w:rPr>
                <w:rFonts w:hint="eastAsia" w:ascii="宋体" w:hAnsi="宋体" w:eastAsia="宋体" w:cs="宋体"/>
                <w:color w:val="auto"/>
                <w:sz w:val="24"/>
                <w:szCs w:val="24"/>
              </w:rPr>
            </w:pPr>
          </w:p>
        </w:tc>
        <w:tc>
          <w:tcPr>
            <w:tcW w:w="1327" w:type="dxa"/>
          </w:tcPr>
          <w:p w14:paraId="2DD383E0">
            <w:pPr>
              <w:spacing w:line="360" w:lineRule="auto"/>
              <w:jc w:val="center"/>
              <w:rPr>
                <w:rFonts w:hint="eastAsia" w:ascii="宋体" w:hAnsi="宋体" w:eastAsia="宋体" w:cs="宋体"/>
                <w:color w:val="auto"/>
                <w:sz w:val="24"/>
                <w:szCs w:val="24"/>
              </w:rPr>
            </w:pPr>
          </w:p>
        </w:tc>
        <w:tc>
          <w:tcPr>
            <w:tcW w:w="701" w:type="dxa"/>
          </w:tcPr>
          <w:p w14:paraId="267704EA">
            <w:pPr>
              <w:spacing w:line="360" w:lineRule="auto"/>
              <w:jc w:val="center"/>
              <w:rPr>
                <w:rFonts w:hint="eastAsia" w:ascii="宋体" w:hAnsi="宋体" w:eastAsia="宋体" w:cs="宋体"/>
                <w:color w:val="auto"/>
                <w:sz w:val="24"/>
                <w:szCs w:val="24"/>
              </w:rPr>
            </w:pPr>
          </w:p>
        </w:tc>
        <w:tc>
          <w:tcPr>
            <w:tcW w:w="838" w:type="dxa"/>
          </w:tcPr>
          <w:p w14:paraId="3F0444FF">
            <w:pPr>
              <w:spacing w:line="360" w:lineRule="auto"/>
              <w:jc w:val="center"/>
              <w:rPr>
                <w:rFonts w:hint="eastAsia" w:ascii="宋体" w:hAnsi="宋体" w:eastAsia="宋体" w:cs="宋体"/>
                <w:color w:val="auto"/>
                <w:sz w:val="24"/>
                <w:szCs w:val="24"/>
              </w:rPr>
            </w:pPr>
          </w:p>
        </w:tc>
        <w:tc>
          <w:tcPr>
            <w:tcW w:w="955" w:type="dxa"/>
          </w:tcPr>
          <w:p w14:paraId="21D7C920">
            <w:pPr>
              <w:spacing w:line="360" w:lineRule="auto"/>
              <w:jc w:val="center"/>
              <w:rPr>
                <w:rFonts w:hint="eastAsia" w:ascii="宋体" w:hAnsi="宋体" w:eastAsia="宋体" w:cs="宋体"/>
                <w:color w:val="auto"/>
                <w:sz w:val="24"/>
                <w:szCs w:val="24"/>
              </w:rPr>
            </w:pPr>
          </w:p>
        </w:tc>
        <w:tc>
          <w:tcPr>
            <w:tcW w:w="996" w:type="dxa"/>
          </w:tcPr>
          <w:p w14:paraId="6E4B85F9">
            <w:pPr>
              <w:spacing w:line="360" w:lineRule="auto"/>
              <w:jc w:val="center"/>
              <w:rPr>
                <w:rFonts w:hint="eastAsia" w:ascii="宋体" w:hAnsi="宋体" w:eastAsia="宋体" w:cs="宋体"/>
                <w:color w:val="auto"/>
                <w:sz w:val="24"/>
                <w:szCs w:val="24"/>
              </w:rPr>
            </w:pPr>
          </w:p>
        </w:tc>
      </w:tr>
      <w:tr w14:paraId="3E843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7" w:hRule="exact"/>
          <w:jc w:val="center"/>
        </w:trPr>
        <w:tc>
          <w:tcPr>
            <w:tcW w:w="1220" w:type="dxa"/>
          </w:tcPr>
          <w:p w14:paraId="05ECCEA2">
            <w:pPr>
              <w:spacing w:line="36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6</w:t>
            </w:r>
          </w:p>
        </w:tc>
        <w:tc>
          <w:tcPr>
            <w:tcW w:w="912" w:type="dxa"/>
          </w:tcPr>
          <w:p w14:paraId="68BFD50C">
            <w:pPr>
              <w:spacing w:line="360" w:lineRule="auto"/>
              <w:jc w:val="center"/>
              <w:rPr>
                <w:rFonts w:hint="eastAsia" w:ascii="宋体" w:hAnsi="宋体" w:eastAsia="宋体" w:cs="宋体"/>
                <w:color w:val="auto"/>
                <w:sz w:val="24"/>
                <w:szCs w:val="24"/>
              </w:rPr>
            </w:pPr>
          </w:p>
        </w:tc>
        <w:tc>
          <w:tcPr>
            <w:tcW w:w="915" w:type="dxa"/>
          </w:tcPr>
          <w:p w14:paraId="225D100B">
            <w:pPr>
              <w:spacing w:line="360" w:lineRule="auto"/>
              <w:jc w:val="center"/>
              <w:rPr>
                <w:rFonts w:hint="eastAsia" w:ascii="宋体" w:hAnsi="宋体" w:eastAsia="宋体" w:cs="宋体"/>
                <w:color w:val="auto"/>
                <w:sz w:val="24"/>
                <w:szCs w:val="24"/>
              </w:rPr>
            </w:pPr>
          </w:p>
        </w:tc>
        <w:tc>
          <w:tcPr>
            <w:tcW w:w="993" w:type="dxa"/>
          </w:tcPr>
          <w:p w14:paraId="673D31F0">
            <w:pPr>
              <w:spacing w:line="360" w:lineRule="auto"/>
              <w:jc w:val="center"/>
              <w:rPr>
                <w:rFonts w:hint="eastAsia" w:ascii="宋体" w:hAnsi="宋体" w:eastAsia="宋体" w:cs="宋体"/>
                <w:color w:val="auto"/>
                <w:sz w:val="24"/>
                <w:szCs w:val="24"/>
              </w:rPr>
            </w:pPr>
          </w:p>
        </w:tc>
        <w:tc>
          <w:tcPr>
            <w:tcW w:w="1327" w:type="dxa"/>
          </w:tcPr>
          <w:p w14:paraId="31B1AA04">
            <w:pPr>
              <w:spacing w:line="360" w:lineRule="auto"/>
              <w:jc w:val="center"/>
              <w:rPr>
                <w:rFonts w:hint="eastAsia" w:ascii="宋体" w:hAnsi="宋体" w:eastAsia="宋体" w:cs="宋体"/>
                <w:color w:val="auto"/>
                <w:sz w:val="24"/>
                <w:szCs w:val="24"/>
              </w:rPr>
            </w:pPr>
          </w:p>
        </w:tc>
        <w:tc>
          <w:tcPr>
            <w:tcW w:w="701" w:type="dxa"/>
          </w:tcPr>
          <w:p w14:paraId="07D42F87">
            <w:pPr>
              <w:spacing w:line="360" w:lineRule="auto"/>
              <w:jc w:val="center"/>
              <w:rPr>
                <w:rFonts w:hint="eastAsia" w:ascii="宋体" w:hAnsi="宋体" w:eastAsia="宋体" w:cs="宋体"/>
                <w:color w:val="auto"/>
                <w:sz w:val="24"/>
                <w:szCs w:val="24"/>
              </w:rPr>
            </w:pPr>
          </w:p>
        </w:tc>
        <w:tc>
          <w:tcPr>
            <w:tcW w:w="838" w:type="dxa"/>
          </w:tcPr>
          <w:p w14:paraId="722FF9E0">
            <w:pPr>
              <w:spacing w:line="360" w:lineRule="auto"/>
              <w:jc w:val="center"/>
              <w:rPr>
                <w:rFonts w:hint="eastAsia" w:ascii="宋体" w:hAnsi="宋体" w:eastAsia="宋体" w:cs="宋体"/>
                <w:color w:val="auto"/>
                <w:sz w:val="24"/>
                <w:szCs w:val="24"/>
              </w:rPr>
            </w:pPr>
          </w:p>
        </w:tc>
        <w:tc>
          <w:tcPr>
            <w:tcW w:w="955" w:type="dxa"/>
          </w:tcPr>
          <w:p w14:paraId="3591EA2E">
            <w:pPr>
              <w:spacing w:line="360" w:lineRule="auto"/>
              <w:jc w:val="center"/>
              <w:rPr>
                <w:rFonts w:hint="eastAsia" w:ascii="宋体" w:hAnsi="宋体" w:eastAsia="宋体" w:cs="宋体"/>
                <w:color w:val="auto"/>
                <w:sz w:val="24"/>
                <w:szCs w:val="24"/>
              </w:rPr>
            </w:pPr>
          </w:p>
        </w:tc>
        <w:tc>
          <w:tcPr>
            <w:tcW w:w="996" w:type="dxa"/>
          </w:tcPr>
          <w:p w14:paraId="39D1BE74">
            <w:pPr>
              <w:spacing w:line="360" w:lineRule="auto"/>
              <w:jc w:val="center"/>
              <w:rPr>
                <w:rFonts w:hint="eastAsia" w:ascii="宋体" w:hAnsi="宋体" w:eastAsia="宋体" w:cs="宋体"/>
                <w:color w:val="auto"/>
                <w:sz w:val="24"/>
                <w:szCs w:val="24"/>
              </w:rPr>
            </w:pPr>
          </w:p>
        </w:tc>
      </w:tr>
      <w:tr w14:paraId="2621D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7" w:hRule="exact"/>
          <w:jc w:val="center"/>
        </w:trPr>
        <w:tc>
          <w:tcPr>
            <w:tcW w:w="1220" w:type="dxa"/>
          </w:tcPr>
          <w:p w14:paraId="712C3FA4">
            <w:pPr>
              <w:spacing w:line="36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7</w:t>
            </w:r>
          </w:p>
        </w:tc>
        <w:tc>
          <w:tcPr>
            <w:tcW w:w="912" w:type="dxa"/>
          </w:tcPr>
          <w:p w14:paraId="499260AD">
            <w:pPr>
              <w:spacing w:line="360" w:lineRule="auto"/>
              <w:jc w:val="center"/>
              <w:rPr>
                <w:rFonts w:hint="eastAsia" w:ascii="宋体" w:hAnsi="宋体" w:eastAsia="宋体" w:cs="宋体"/>
                <w:color w:val="auto"/>
                <w:sz w:val="24"/>
                <w:szCs w:val="24"/>
              </w:rPr>
            </w:pPr>
          </w:p>
        </w:tc>
        <w:tc>
          <w:tcPr>
            <w:tcW w:w="915" w:type="dxa"/>
          </w:tcPr>
          <w:p w14:paraId="0F93AE7C">
            <w:pPr>
              <w:spacing w:line="360" w:lineRule="auto"/>
              <w:jc w:val="center"/>
              <w:rPr>
                <w:rFonts w:hint="eastAsia" w:ascii="宋体" w:hAnsi="宋体" w:eastAsia="宋体" w:cs="宋体"/>
                <w:color w:val="auto"/>
                <w:sz w:val="24"/>
                <w:szCs w:val="24"/>
              </w:rPr>
            </w:pPr>
          </w:p>
        </w:tc>
        <w:tc>
          <w:tcPr>
            <w:tcW w:w="993" w:type="dxa"/>
          </w:tcPr>
          <w:p w14:paraId="2F997229">
            <w:pPr>
              <w:spacing w:line="360" w:lineRule="auto"/>
              <w:jc w:val="center"/>
              <w:rPr>
                <w:rFonts w:hint="eastAsia" w:ascii="宋体" w:hAnsi="宋体" w:eastAsia="宋体" w:cs="宋体"/>
                <w:color w:val="auto"/>
                <w:sz w:val="24"/>
                <w:szCs w:val="24"/>
              </w:rPr>
            </w:pPr>
          </w:p>
        </w:tc>
        <w:tc>
          <w:tcPr>
            <w:tcW w:w="1327" w:type="dxa"/>
          </w:tcPr>
          <w:p w14:paraId="2CBD61B1">
            <w:pPr>
              <w:spacing w:line="360" w:lineRule="auto"/>
              <w:jc w:val="center"/>
              <w:rPr>
                <w:rFonts w:hint="eastAsia" w:ascii="宋体" w:hAnsi="宋体" w:eastAsia="宋体" w:cs="宋体"/>
                <w:color w:val="auto"/>
                <w:sz w:val="24"/>
                <w:szCs w:val="24"/>
              </w:rPr>
            </w:pPr>
          </w:p>
        </w:tc>
        <w:tc>
          <w:tcPr>
            <w:tcW w:w="701" w:type="dxa"/>
          </w:tcPr>
          <w:p w14:paraId="7859921F">
            <w:pPr>
              <w:spacing w:line="360" w:lineRule="auto"/>
              <w:jc w:val="center"/>
              <w:rPr>
                <w:rFonts w:hint="eastAsia" w:ascii="宋体" w:hAnsi="宋体" w:eastAsia="宋体" w:cs="宋体"/>
                <w:color w:val="auto"/>
                <w:sz w:val="24"/>
                <w:szCs w:val="24"/>
              </w:rPr>
            </w:pPr>
          </w:p>
        </w:tc>
        <w:tc>
          <w:tcPr>
            <w:tcW w:w="838" w:type="dxa"/>
          </w:tcPr>
          <w:p w14:paraId="1F47B2C3">
            <w:pPr>
              <w:spacing w:line="360" w:lineRule="auto"/>
              <w:jc w:val="center"/>
              <w:rPr>
                <w:rFonts w:hint="eastAsia" w:ascii="宋体" w:hAnsi="宋体" w:eastAsia="宋体" w:cs="宋体"/>
                <w:color w:val="auto"/>
                <w:sz w:val="24"/>
                <w:szCs w:val="24"/>
              </w:rPr>
            </w:pPr>
          </w:p>
        </w:tc>
        <w:tc>
          <w:tcPr>
            <w:tcW w:w="955" w:type="dxa"/>
          </w:tcPr>
          <w:p w14:paraId="1CA1B44A">
            <w:pPr>
              <w:spacing w:line="360" w:lineRule="auto"/>
              <w:jc w:val="center"/>
              <w:rPr>
                <w:rFonts w:hint="eastAsia" w:ascii="宋体" w:hAnsi="宋体" w:eastAsia="宋体" w:cs="宋体"/>
                <w:color w:val="auto"/>
                <w:sz w:val="24"/>
                <w:szCs w:val="24"/>
              </w:rPr>
            </w:pPr>
          </w:p>
        </w:tc>
        <w:tc>
          <w:tcPr>
            <w:tcW w:w="996" w:type="dxa"/>
          </w:tcPr>
          <w:p w14:paraId="028E3F5F">
            <w:pPr>
              <w:spacing w:line="360" w:lineRule="auto"/>
              <w:jc w:val="center"/>
              <w:rPr>
                <w:rFonts w:hint="eastAsia" w:ascii="宋体" w:hAnsi="宋体" w:eastAsia="宋体" w:cs="宋体"/>
                <w:color w:val="auto"/>
                <w:sz w:val="24"/>
                <w:szCs w:val="24"/>
              </w:rPr>
            </w:pPr>
          </w:p>
        </w:tc>
      </w:tr>
      <w:tr w14:paraId="192A3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7" w:hRule="exact"/>
          <w:jc w:val="center"/>
        </w:trPr>
        <w:tc>
          <w:tcPr>
            <w:tcW w:w="1220" w:type="dxa"/>
          </w:tcPr>
          <w:p w14:paraId="7AC4C44A">
            <w:pPr>
              <w:spacing w:line="36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w:t>
            </w:r>
          </w:p>
        </w:tc>
        <w:tc>
          <w:tcPr>
            <w:tcW w:w="912" w:type="dxa"/>
          </w:tcPr>
          <w:p w14:paraId="69AB386D">
            <w:pPr>
              <w:spacing w:line="360" w:lineRule="auto"/>
              <w:jc w:val="center"/>
              <w:rPr>
                <w:rFonts w:hint="eastAsia" w:ascii="宋体" w:hAnsi="宋体" w:eastAsia="宋体" w:cs="宋体"/>
                <w:color w:val="auto"/>
                <w:sz w:val="24"/>
                <w:szCs w:val="24"/>
              </w:rPr>
            </w:pPr>
          </w:p>
        </w:tc>
        <w:tc>
          <w:tcPr>
            <w:tcW w:w="915" w:type="dxa"/>
          </w:tcPr>
          <w:p w14:paraId="68A09D04">
            <w:pPr>
              <w:spacing w:line="360" w:lineRule="auto"/>
              <w:jc w:val="center"/>
              <w:rPr>
                <w:rFonts w:hint="eastAsia" w:ascii="宋体" w:hAnsi="宋体" w:eastAsia="宋体" w:cs="宋体"/>
                <w:color w:val="auto"/>
                <w:sz w:val="24"/>
                <w:szCs w:val="24"/>
              </w:rPr>
            </w:pPr>
          </w:p>
        </w:tc>
        <w:tc>
          <w:tcPr>
            <w:tcW w:w="993" w:type="dxa"/>
          </w:tcPr>
          <w:p w14:paraId="74B4801C">
            <w:pPr>
              <w:spacing w:line="360" w:lineRule="auto"/>
              <w:jc w:val="center"/>
              <w:rPr>
                <w:rFonts w:hint="eastAsia" w:ascii="宋体" w:hAnsi="宋体" w:eastAsia="宋体" w:cs="宋体"/>
                <w:color w:val="auto"/>
                <w:sz w:val="24"/>
                <w:szCs w:val="24"/>
              </w:rPr>
            </w:pPr>
          </w:p>
        </w:tc>
        <w:tc>
          <w:tcPr>
            <w:tcW w:w="1327" w:type="dxa"/>
          </w:tcPr>
          <w:p w14:paraId="4BA3B452">
            <w:pPr>
              <w:spacing w:line="360" w:lineRule="auto"/>
              <w:jc w:val="center"/>
              <w:rPr>
                <w:rFonts w:hint="eastAsia" w:ascii="宋体" w:hAnsi="宋体" w:eastAsia="宋体" w:cs="宋体"/>
                <w:color w:val="auto"/>
                <w:sz w:val="24"/>
                <w:szCs w:val="24"/>
              </w:rPr>
            </w:pPr>
          </w:p>
        </w:tc>
        <w:tc>
          <w:tcPr>
            <w:tcW w:w="701" w:type="dxa"/>
          </w:tcPr>
          <w:p w14:paraId="62499B42">
            <w:pPr>
              <w:spacing w:line="360" w:lineRule="auto"/>
              <w:jc w:val="center"/>
              <w:rPr>
                <w:rFonts w:hint="eastAsia" w:ascii="宋体" w:hAnsi="宋体" w:eastAsia="宋体" w:cs="宋体"/>
                <w:color w:val="auto"/>
                <w:sz w:val="24"/>
                <w:szCs w:val="24"/>
              </w:rPr>
            </w:pPr>
          </w:p>
        </w:tc>
        <w:tc>
          <w:tcPr>
            <w:tcW w:w="838" w:type="dxa"/>
          </w:tcPr>
          <w:p w14:paraId="3CD61B47">
            <w:pPr>
              <w:spacing w:line="360" w:lineRule="auto"/>
              <w:jc w:val="center"/>
              <w:rPr>
                <w:rFonts w:hint="eastAsia" w:ascii="宋体" w:hAnsi="宋体" w:eastAsia="宋体" w:cs="宋体"/>
                <w:color w:val="auto"/>
                <w:sz w:val="24"/>
                <w:szCs w:val="24"/>
              </w:rPr>
            </w:pPr>
          </w:p>
        </w:tc>
        <w:tc>
          <w:tcPr>
            <w:tcW w:w="955" w:type="dxa"/>
          </w:tcPr>
          <w:p w14:paraId="7CE146A2">
            <w:pPr>
              <w:spacing w:line="360" w:lineRule="auto"/>
              <w:jc w:val="center"/>
              <w:rPr>
                <w:rFonts w:hint="eastAsia" w:ascii="宋体" w:hAnsi="宋体" w:eastAsia="宋体" w:cs="宋体"/>
                <w:color w:val="auto"/>
                <w:sz w:val="24"/>
                <w:szCs w:val="24"/>
              </w:rPr>
            </w:pPr>
          </w:p>
        </w:tc>
        <w:tc>
          <w:tcPr>
            <w:tcW w:w="996" w:type="dxa"/>
          </w:tcPr>
          <w:p w14:paraId="695FBEDE">
            <w:pPr>
              <w:spacing w:line="360" w:lineRule="auto"/>
              <w:jc w:val="center"/>
              <w:rPr>
                <w:rFonts w:hint="eastAsia" w:ascii="宋体" w:hAnsi="宋体" w:eastAsia="宋体" w:cs="宋体"/>
                <w:color w:val="auto"/>
                <w:sz w:val="24"/>
                <w:szCs w:val="24"/>
              </w:rPr>
            </w:pPr>
          </w:p>
        </w:tc>
      </w:tr>
    </w:tbl>
    <w:p w14:paraId="0424FA4A">
      <w:pPr>
        <w:pStyle w:val="13"/>
        <w:ind w:firstLine="0"/>
        <w:rPr>
          <w:rFonts w:hint="eastAsia" w:ascii="宋体" w:hAnsi="宋体" w:cs="宋体"/>
          <w:color w:val="auto"/>
          <w:sz w:val="24"/>
          <w:szCs w:val="24"/>
        </w:rPr>
      </w:pPr>
    </w:p>
    <w:p w14:paraId="6B06C672">
      <w:pPr>
        <w:spacing w:line="360"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注：</w:t>
      </w:r>
      <w:r>
        <w:rPr>
          <w:rFonts w:hint="eastAsia" w:ascii="宋体" w:hAnsi="宋体" w:eastAsia="宋体" w:cs="宋体"/>
          <w:bCs/>
          <w:color w:val="auto"/>
          <w:sz w:val="24"/>
          <w:szCs w:val="24"/>
          <w:lang w:eastAsia="zh-CN"/>
        </w:rPr>
        <w:t>后附拟配备人员相关证明材料</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eastAsia="zh-CN"/>
        </w:rPr>
        <w:br w:type="page"/>
      </w:r>
    </w:p>
    <w:p w14:paraId="1FCA28FE">
      <w:pPr>
        <w:jc w:val="center"/>
        <w:outlineLvl w:val="1"/>
        <w:rPr>
          <w:rFonts w:hint="eastAsia" w:ascii="宋体" w:hAnsi="宋体" w:eastAsia="宋体" w:cs="宋体"/>
          <w:b/>
          <w:bCs/>
          <w:color w:val="auto"/>
          <w:kern w:val="2"/>
          <w:sz w:val="24"/>
          <w:szCs w:val="24"/>
          <w:lang w:eastAsia="zh-CN"/>
        </w:rPr>
      </w:pPr>
      <w:r>
        <w:rPr>
          <w:rFonts w:hint="eastAsia" w:ascii="宋体" w:hAnsi="宋体" w:eastAsia="宋体" w:cs="宋体"/>
          <w:b/>
          <w:bCs/>
          <w:color w:val="auto"/>
          <w:kern w:val="2"/>
          <w:sz w:val="24"/>
          <w:szCs w:val="24"/>
          <w:lang w:eastAsia="zh-CN"/>
        </w:rPr>
        <w:t>八、拟投入本项目的主要设备设施表</w:t>
      </w:r>
    </w:p>
    <w:tbl>
      <w:tblPr>
        <w:tblStyle w:val="3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7"/>
        <w:gridCol w:w="1657"/>
        <w:gridCol w:w="1217"/>
        <w:gridCol w:w="1217"/>
        <w:gridCol w:w="1218"/>
        <w:gridCol w:w="1218"/>
        <w:gridCol w:w="1218"/>
      </w:tblGrid>
      <w:tr w14:paraId="4B655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77" w:type="dxa"/>
            <w:vAlign w:val="center"/>
          </w:tcPr>
          <w:p w14:paraId="2BD856F1">
            <w:pPr>
              <w:widowControl w:val="0"/>
              <w:spacing w:line="360" w:lineRule="auto"/>
              <w:jc w:val="center"/>
              <w:outlineLvl w:val="1"/>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序号</w:t>
            </w:r>
          </w:p>
        </w:tc>
        <w:tc>
          <w:tcPr>
            <w:tcW w:w="1657" w:type="dxa"/>
            <w:vAlign w:val="center"/>
          </w:tcPr>
          <w:p w14:paraId="258C2369">
            <w:pPr>
              <w:widowControl w:val="0"/>
              <w:spacing w:line="360" w:lineRule="auto"/>
              <w:jc w:val="center"/>
              <w:outlineLvl w:val="1"/>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设备名称</w:t>
            </w:r>
          </w:p>
        </w:tc>
        <w:tc>
          <w:tcPr>
            <w:tcW w:w="1217" w:type="dxa"/>
            <w:vAlign w:val="center"/>
          </w:tcPr>
          <w:p w14:paraId="0C372E0B">
            <w:pPr>
              <w:widowControl w:val="0"/>
              <w:spacing w:line="360" w:lineRule="auto"/>
              <w:jc w:val="center"/>
              <w:outlineLvl w:val="1"/>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型号规格</w:t>
            </w:r>
          </w:p>
        </w:tc>
        <w:tc>
          <w:tcPr>
            <w:tcW w:w="1217" w:type="dxa"/>
            <w:vAlign w:val="center"/>
          </w:tcPr>
          <w:p w14:paraId="3BEE06A2">
            <w:pPr>
              <w:widowControl w:val="0"/>
              <w:spacing w:line="360" w:lineRule="auto"/>
              <w:jc w:val="center"/>
              <w:outlineLvl w:val="1"/>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单位</w:t>
            </w:r>
          </w:p>
        </w:tc>
        <w:tc>
          <w:tcPr>
            <w:tcW w:w="1218" w:type="dxa"/>
            <w:vAlign w:val="center"/>
          </w:tcPr>
          <w:p w14:paraId="358135E4">
            <w:pPr>
              <w:widowControl w:val="0"/>
              <w:spacing w:line="360" w:lineRule="auto"/>
              <w:jc w:val="center"/>
              <w:outlineLvl w:val="1"/>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数量</w:t>
            </w:r>
          </w:p>
        </w:tc>
        <w:tc>
          <w:tcPr>
            <w:tcW w:w="1218" w:type="dxa"/>
            <w:vAlign w:val="center"/>
          </w:tcPr>
          <w:p w14:paraId="38FD38C8">
            <w:pPr>
              <w:widowControl w:val="0"/>
              <w:spacing w:line="360" w:lineRule="auto"/>
              <w:jc w:val="center"/>
              <w:outlineLvl w:val="1"/>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制造年份</w:t>
            </w:r>
          </w:p>
        </w:tc>
        <w:tc>
          <w:tcPr>
            <w:tcW w:w="1218" w:type="dxa"/>
            <w:vAlign w:val="center"/>
          </w:tcPr>
          <w:p w14:paraId="65781909">
            <w:pPr>
              <w:widowControl w:val="0"/>
              <w:spacing w:line="360" w:lineRule="auto"/>
              <w:jc w:val="center"/>
              <w:outlineLvl w:val="1"/>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备注</w:t>
            </w:r>
          </w:p>
        </w:tc>
      </w:tr>
      <w:tr w14:paraId="69B14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 w:type="dxa"/>
            <w:vAlign w:val="center"/>
          </w:tcPr>
          <w:p w14:paraId="0A384D11">
            <w:pPr>
              <w:widowControl w:val="0"/>
              <w:spacing w:line="360" w:lineRule="auto"/>
              <w:jc w:val="center"/>
              <w:outlineLvl w:val="1"/>
              <w:rPr>
                <w:rFonts w:hint="eastAsia" w:ascii="宋体" w:hAnsi="宋体" w:eastAsia="宋体" w:cs="宋体"/>
                <w:color w:val="auto"/>
                <w:sz w:val="24"/>
                <w:szCs w:val="24"/>
                <w:lang w:eastAsia="zh-CN"/>
              </w:rPr>
            </w:pPr>
          </w:p>
        </w:tc>
        <w:tc>
          <w:tcPr>
            <w:tcW w:w="1657" w:type="dxa"/>
            <w:vAlign w:val="center"/>
          </w:tcPr>
          <w:p w14:paraId="2CF148D6">
            <w:pPr>
              <w:widowControl w:val="0"/>
              <w:spacing w:line="360" w:lineRule="auto"/>
              <w:jc w:val="center"/>
              <w:outlineLvl w:val="1"/>
              <w:rPr>
                <w:rFonts w:hint="eastAsia" w:ascii="宋体" w:hAnsi="宋体" w:eastAsia="宋体" w:cs="宋体"/>
                <w:color w:val="auto"/>
                <w:sz w:val="24"/>
                <w:szCs w:val="24"/>
                <w:lang w:eastAsia="zh-CN"/>
              </w:rPr>
            </w:pPr>
          </w:p>
        </w:tc>
        <w:tc>
          <w:tcPr>
            <w:tcW w:w="1217" w:type="dxa"/>
            <w:vAlign w:val="center"/>
          </w:tcPr>
          <w:p w14:paraId="3F841468">
            <w:pPr>
              <w:widowControl w:val="0"/>
              <w:spacing w:line="360" w:lineRule="auto"/>
              <w:jc w:val="center"/>
              <w:outlineLvl w:val="1"/>
              <w:rPr>
                <w:rFonts w:hint="eastAsia" w:ascii="宋体" w:hAnsi="宋体" w:eastAsia="宋体" w:cs="宋体"/>
                <w:color w:val="auto"/>
                <w:sz w:val="24"/>
                <w:szCs w:val="24"/>
                <w:lang w:eastAsia="zh-CN"/>
              </w:rPr>
            </w:pPr>
          </w:p>
        </w:tc>
        <w:tc>
          <w:tcPr>
            <w:tcW w:w="1217" w:type="dxa"/>
            <w:vAlign w:val="center"/>
          </w:tcPr>
          <w:p w14:paraId="490FAB61">
            <w:pPr>
              <w:widowControl w:val="0"/>
              <w:spacing w:line="360" w:lineRule="auto"/>
              <w:jc w:val="center"/>
              <w:outlineLvl w:val="1"/>
              <w:rPr>
                <w:rFonts w:hint="eastAsia" w:ascii="宋体" w:hAnsi="宋体" w:eastAsia="宋体" w:cs="宋体"/>
                <w:color w:val="auto"/>
                <w:sz w:val="24"/>
                <w:szCs w:val="24"/>
                <w:lang w:eastAsia="zh-CN"/>
              </w:rPr>
            </w:pPr>
          </w:p>
        </w:tc>
        <w:tc>
          <w:tcPr>
            <w:tcW w:w="1218" w:type="dxa"/>
            <w:vAlign w:val="center"/>
          </w:tcPr>
          <w:p w14:paraId="792E7AA8">
            <w:pPr>
              <w:widowControl w:val="0"/>
              <w:spacing w:line="360" w:lineRule="auto"/>
              <w:jc w:val="center"/>
              <w:outlineLvl w:val="1"/>
              <w:rPr>
                <w:rFonts w:hint="eastAsia" w:ascii="宋体" w:hAnsi="宋体" w:eastAsia="宋体" w:cs="宋体"/>
                <w:color w:val="auto"/>
                <w:sz w:val="24"/>
                <w:szCs w:val="24"/>
                <w:lang w:eastAsia="zh-CN"/>
              </w:rPr>
            </w:pPr>
          </w:p>
        </w:tc>
        <w:tc>
          <w:tcPr>
            <w:tcW w:w="1218" w:type="dxa"/>
            <w:vAlign w:val="center"/>
          </w:tcPr>
          <w:p w14:paraId="072477BF">
            <w:pPr>
              <w:widowControl w:val="0"/>
              <w:spacing w:line="360" w:lineRule="auto"/>
              <w:jc w:val="center"/>
              <w:outlineLvl w:val="1"/>
              <w:rPr>
                <w:rFonts w:hint="eastAsia" w:ascii="宋体" w:hAnsi="宋体" w:eastAsia="宋体" w:cs="宋体"/>
                <w:color w:val="auto"/>
                <w:sz w:val="24"/>
                <w:szCs w:val="24"/>
                <w:lang w:eastAsia="zh-CN"/>
              </w:rPr>
            </w:pPr>
          </w:p>
        </w:tc>
        <w:tc>
          <w:tcPr>
            <w:tcW w:w="1218" w:type="dxa"/>
            <w:vAlign w:val="center"/>
          </w:tcPr>
          <w:p w14:paraId="1D127F7B">
            <w:pPr>
              <w:widowControl w:val="0"/>
              <w:spacing w:line="360" w:lineRule="auto"/>
              <w:jc w:val="center"/>
              <w:outlineLvl w:val="1"/>
              <w:rPr>
                <w:rFonts w:hint="eastAsia" w:ascii="宋体" w:hAnsi="宋体" w:eastAsia="宋体" w:cs="宋体"/>
                <w:color w:val="auto"/>
                <w:sz w:val="24"/>
                <w:szCs w:val="24"/>
                <w:lang w:eastAsia="zh-CN"/>
              </w:rPr>
            </w:pPr>
          </w:p>
        </w:tc>
      </w:tr>
      <w:tr w14:paraId="32CE7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 w:type="dxa"/>
            <w:vAlign w:val="center"/>
          </w:tcPr>
          <w:p w14:paraId="5035AD63">
            <w:pPr>
              <w:widowControl w:val="0"/>
              <w:spacing w:line="360" w:lineRule="auto"/>
              <w:jc w:val="center"/>
              <w:outlineLvl w:val="1"/>
              <w:rPr>
                <w:rFonts w:hint="eastAsia" w:ascii="宋体" w:hAnsi="宋体" w:eastAsia="宋体" w:cs="宋体"/>
                <w:color w:val="auto"/>
                <w:sz w:val="24"/>
                <w:szCs w:val="24"/>
                <w:lang w:eastAsia="zh-CN"/>
              </w:rPr>
            </w:pPr>
          </w:p>
        </w:tc>
        <w:tc>
          <w:tcPr>
            <w:tcW w:w="1657" w:type="dxa"/>
            <w:vAlign w:val="center"/>
          </w:tcPr>
          <w:p w14:paraId="364981FC">
            <w:pPr>
              <w:widowControl w:val="0"/>
              <w:spacing w:line="360" w:lineRule="auto"/>
              <w:jc w:val="center"/>
              <w:outlineLvl w:val="1"/>
              <w:rPr>
                <w:rFonts w:hint="eastAsia" w:ascii="宋体" w:hAnsi="宋体" w:eastAsia="宋体" w:cs="宋体"/>
                <w:color w:val="auto"/>
                <w:sz w:val="24"/>
                <w:szCs w:val="24"/>
                <w:lang w:eastAsia="zh-CN"/>
              </w:rPr>
            </w:pPr>
          </w:p>
        </w:tc>
        <w:tc>
          <w:tcPr>
            <w:tcW w:w="1217" w:type="dxa"/>
            <w:vAlign w:val="center"/>
          </w:tcPr>
          <w:p w14:paraId="3D0C8447">
            <w:pPr>
              <w:widowControl w:val="0"/>
              <w:spacing w:line="360" w:lineRule="auto"/>
              <w:jc w:val="center"/>
              <w:outlineLvl w:val="1"/>
              <w:rPr>
                <w:rFonts w:hint="eastAsia" w:ascii="宋体" w:hAnsi="宋体" w:eastAsia="宋体" w:cs="宋体"/>
                <w:color w:val="auto"/>
                <w:sz w:val="24"/>
                <w:szCs w:val="24"/>
                <w:lang w:eastAsia="zh-CN"/>
              </w:rPr>
            </w:pPr>
          </w:p>
        </w:tc>
        <w:tc>
          <w:tcPr>
            <w:tcW w:w="1217" w:type="dxa"/>
            <w:vAlign w:val="center"/>
          </w:tcPr>
          <w:p w14:paraId="243B6891">
            <w:pPr>
              <w:widowControl w:val="0"/>
              <w:spacing w:line="360" w:lineRule="auto"/>
              <w:jc w:val="center"/>
              <w:outlineLvl w:val="1"/>
              <w:rPr>
                <w:rFonts w:hint="eastAsia" w:ascii="宋体" w:hAnsi="宋体" w:eastAsia="宋体" w:cs="宋体"/>
                <w:color w:val="auto"/>
                <w:sz w:val="24"/>
                <w:szCs w:val="24"/>
                <w:lang w:eastAsia="zh-CN"/>
              </w:rPr>
            </w:pPr>
          </w:p>
        </w:tc>
        <w:tc>
          <w:tcPr>
            <w:tcW w:w="1218" w:type="dxa"/>
            <w:vAlign w:val="center"/>
          </w:tcPr>
          <w:p w14:paraId="1627552D">
            <w:pPr>
              <w:widowControl w:val="0"/>
              <w:spacing w:line="360" w:lineRule="auto"/>
              <w:jc w:val="center"/>
              <w:outlineLvl w:val="1"/>
              <w:rPr>
                <w:rFonts w:hint="eastAsia" w:ascii="宋体" w:hAnsi="宋体" w:eastAsia="宋体" w:cs="宋体"/>
                <w:color w:val="auto"/>
                <w:sz w:val="24"/>
                <w:szCs w:val="24"/>
                <w:lang w:eastAsia="zh-CN"/>
              </w:rPr>
            </w:pPr>
          </w:p>
        </w:tc>
        <w:tc>
          <w:tcPr>
            <w:tcW w:w="1218" w:type="dxa"/>
            <w:vAlign w:val="center"/>
          </w:tcPr>
          <w:p w14:paraId="7DFB524C">
            <w:pPr>
              <w:widowControl w:val="0"/>
              <w:spacing w:line="360" w:lineRule="auto"/>
              <w:jc w:val="center"/>
              <w:outlineLvl w:val="1"/>
              <w:rPr>
                <w:rFonts w:hint="eastAsia" w:ascii="宋体" w:hAnsi="宋体" w:eastAsia="宋体" w:cs="宋体"/>
                <w:color w:val="auto"/>
                <w:sz w:val="24"/>
                <w:szCs w:val="24"/>
                <w:lang w:eastAsia="zh-CN"/>
              </w:rPr>
            </w:pPr>
          </w:p>
        </w:tc>
        <w:tc>
          <w:tcPr>
            <w:tcW w:w="1218" w:type="dxa"/>
            <w:vAlign w:val="center"/>
          </w:tcPr>
          <w:p w14:paraId="2D911B3B">
            <w:pPr>
              <w:widowControl w:val="0"/>
              <w:spacing w:line="360" w:lineRule="auto"/>
              <w:jc w:val="center"/>
              <w:outlineLvl w:val="1"/>
              <w:rPr>
                <w:rFonts w:hint="eastAsia" w:ascii="宋体" w:hAnsi="宋体" w:eastAsia="宋体" w:cs="宋体"/>
                <w:color w:val="auto"/>
                <w:sz w:val="24"/>
                <w:szCs w:val="24"/>
                <w:lang w:eastAsia="zh-CN"/>
              </w:rPr>
            </w:pPr>
          </w:p>
        </w:tc>
      </w:tr>
      <w:tr w14:paraId="25998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 w:type="dxa"/>
            <w:vAlign w:val="center"/>
          </w:tcPr>
          <w:p w14:paraId="35A0602C">
            <w:pPr>
              <w:widowControl w:val="0"/>
              <w:spacing w:line="360" w:lineRule="auto"/>
              <w:jc w:val="center"/>
              <w:outlineLvl w:val="1"/>
              <w:rPr>
                <w:rFonts w:hint="eastAsia" w:ascii="宋体" w:hAnsi="宋体" w:eastAsia="宋体" w:cs="宋体"/>
                <w:color w:val="auto"/>
                <w:sz w:val="24"/>
                <w:szCs w:val="24"/>
                <w:lang w:eastAsia="zh-CN"/>
              </w:rPr>
            </w:pPr>
          </w:p>
        </w:tc>
        <w:tc>
          <w:tcPr>
            <w:tcW w:w="1657" w:type="dxa"/>
            <w:vAlign w:val="center"/>
          </w:tcPr>
          <w:p w14:paraId="64965844">
            <w:pPr>
              <w:widowControl w:val="0"/>
              <w:spacing w:line="360" w:lineRule="auto"/>
              <w:jc w:val="center"/>
              <w:outlineLvl w:val="1"/>
              <w:rPr>
                <w:rFonts w:hint="eastAsia" w:ascii="宋体" w:hAnsi="宋体" w:eastAsia="宋体" w:cs="宋体"/>
                <w:color w:val="auto"/>
                <w:sz w:val="24"/>
                <w:szCs w:val="24"/>
                <w:lang w:eastAsia="zh-CN"/>
              </w:rPr>
            </w:pPr>
          </w:p>
        </w:tc>
        <w:tc>
          <w:tcPr>
            <w:tcW w:w="1217" w:type="dxa"/>
            <w:vAlign w:val="center"/>
          </w:tcPr>
          <w:p w14:paraId="76C51233">
            <w:pPr>
              <w:widowControl w:val="0"/>
              <w:spacing w:line="360" w:lineRule="auto"/>
              <w:jc w:val="center"/>
              <w:outlineLvl w:val="1"/>
              <w:rPr>
                <w:rFonts w:hint="eastAsia" w:ascii="宋体" w:hAnsi="宋体" w:eastAsia="宋体" w:cs="宋体"/>
                <w:color w:val="auto"/>
                <w:sz w:val="24"/>
                <w:szCs w:val="24"/>
                <w:lang w:eastAsia="zh-CN"/>
              </w:rPr>
            </w:pPr>
          </w:p>
        </w:tc>
        <w:tc>
          <w:tcPr>
            <w:tcW w:w="1217" w:type="dxa"/>
            <w:vAlign w:val="center"/>
          </w:tcPr>
          <w:p w14:paraId="01582525">
            <w:pPr>
              <w:widowControl w:val="0"/>
              <w:spacing w:line="360" w:lineRule="auto"/>
              <w:jc w:val="center"/>
              <w:outlineLvl w:val="1"/>
              <w:rPr>
                <w:rFonts w:hint="eastAsia" w:ascii="宋体" w:hAnsi="宋体" w:eastAsia="宋体" w:cs="宋体"/>
                <w:color w:val="auto"/>
                <w:sz w:val="24"/>
                <w:szCs w:val="24"/>
                <w:lang w:eastAsia="zh-CN"/>
              </w:rPr>
            </w:pPr>
          </w:p>
        </w:tc>
        <w:tc>
          <w:tcPr>
            <w:tcW w:w="1218" w:type="dxa"/>
            <w:vAlign w:val="center"/>
          </w:tcPr>
          <w:p w14:paraId="2D959E3C">
            <w:pPr>
              <w:widowControl w:val="0"/>
              <w:spacing w:line="360" w:lineRule="auto"/>
              <w:jc w:val="center"/>
              <w:outlineLvl w:val="1"/>
              <w:rPr>
                <w:rFonts w:hint="eastAsia" w:ascii="宋体" w:hAnsi="宋体" w:eastAsia="宋体" w:cs="宋体"/>
                <w:color w:val="auto"/>
                <w:sz w:val="24"/>
                <w:szCs w:val="24"/>
                <w:lang w:eastAsia="zh-CN"/>
              </w:rPr>
            </w:pPr>
          </w:p>
        </w:tc>
        <w:tc>
          <w:tcPr>
            <w:tcW w:w="1218" w:type="dxa"/>
            <w:vAlign w:val="center"/>
          </w:tcPr>
          <w:p w14:paraId="5FE43A90">
            <w:pPr>
              <w:widowControl w:val="0"/>
              <w:spacing w:line="360" w:lineRule="auto"/>
              <w:jc w:val="center"/>
              <w:outlineLvl w:val="1"/>
              <w:rPr>
                <w:rFonts w:hint="eastAsia" w:ascii="宋体" w:hAnsi="宋体" w:eastAsia="宋体" w:cs="宋体"/>
                <w:color w:val="auto"/>
                <w:sz w:val="24"/>
                <w:szCs w:val="24"/>
                <w:lang w:eastAsia="zh-CN"/>
              </w:rPr>
            </w:pPr>
          </w:p>
        </w:tc>
        <w:tc>
          <w:tcPr>
            <w:tcW w:w="1218" w:type="dxa"/>
            <w:vAlign w:val="center"/>
          </w:tcPr>
          <w:p w14:paraId="51A798B1">
            <w:pPr>
              <w:widowControl w:val="0"/>
              <w:spacing w:line="360" w:lineRule="auto"/>
              <w:jc w:val="center"/>
              <w:outlineLvl w:val="1"/>
              <w:rPr>
                <w:rFonts w:hint="eastAsia" w:ascii="宋体" w:hAnsi="宋体" w:eastAsia="宋体" w:cs="宋体"/>
                <w:color w:val="auto"/>
                <w:sz w:val="24"/>
                <w:szCs w:val="24"/>
                <w:lang w:eastAsia="zh-CN"/>
              </w:rPr>
            </w:pPr>
          </w:p>
        </w:tc>
      </w:tr>
      <w:tr w14:paraId="016E4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 w:type="dxa"/>
            <w:vAlign w:val="center"/>
          </w:tcPr>
          <w:p w14:paraId="0F23DDA0">
            <w:pPr>
              <w:widowControl w:val="0"/>
              <w:spacing w:line="360" w:lineRule="auto"/>
              <w:jc w:val="center"/>
              <w:outlineLvl w:val="1"/>
              <w:rPr>
                <w:rFonts w:hint="eastAsia" w:ascii="宋体" w:hAnsi="宋体" w:eastAsia="宋体" w:cs="宋体"/>
                <w:color w:val="auto"/>
                <w:sz w:val="24"/>
                <w:szCs w:val="24"/>
                <w:lang w:eastAsia="zh-CN"/>
              </w:rPr>
            </w:pPr>
          </w:p>
        </w:tc>
        <w:tc>
          <w:tcPr>
            <w:tcW w:w="1657" w:type="dxa"/>
            <w:vAlign w:val="center"/>
          </w:tcPr>
          <w:p w14:paraId="6DFA03B6">
            <w:pPr>
              <w:widowControl w:val="0"/>
              <w:spacing w:line="360" w:lineRule="auto"/>
              <w:jc w:val="center"/>
              <w:outlineLvl w:val="1"/>
              <w:rPr>
                <w:rFonts w:hint="eastAsia" w:ascii="宋体" w:hAnsi="宋体" w:eastAsia="宋体" w:cs="宋体"/>
                <w:color w:val="auto"/>
                <w:sz w:val="24"/>
                <w:szCs w:val="24"/>
                <w:lang w:eastAsia="zh-CN"/>
              </w:rPr>
            </w:pPr>
          </w:p>
        </w:tc>
        <w:tc>
          <w:tcPr>
            <w:tcW w:w="1217" w:type="dxa"/>
            <w:vAlign w:val="center"/>
          </w:tcPr>
          <w:p w14:paraId="2B6D4CFD">
            <w:pPr>
              <w:widowControl w:val="0"/>
              <w:spacing w:line="360" w:lineRule="auto"/>
              <w:jc w:val="center"/>
              <w:outlineLvl w:val="1"/>
              <w:rPr>
                <w:rFonts w:hint="eastAsia" w:ascii="宋体" w:hAnsi="宋体" w:eastAsia="宋体" w:cs="宋体"/>
                <w:color w:val="auto"/>
                <w:sz w:val="24"/>
                <w:szCs w:val="24"/>
                <w:lang w:eastAsia="zh-CN"/>
              </w:rPr>
            </w:pPr>
          </w:p>
        </w:tc>
        <w:tc>
          <w:tcPr>
            <w:tcW w:w="1217" w:type="dxa"/>
            <w:vAlign w:val="center"/>
          </w:tcPr>
          <w:p w14:paraId="1B2F40BB">
            <w:pPr>
              <w:widowControl w:val="0"/>
              <w:spacing w:line="360" w:lineRule="auto"/>
              <w:jc w:val="center"/>
              <w:outlineLvl w:val="1"/>
              <w:rPr>
                <w:rFonts w:hint="eastAsia" w:ascii="宋体" w:hAnsi="宋体" w:eastAsia="宋体" w:cs="宋体"/>
                <w:color w:val="auto"/>
                <w:sz w:val="24"/>
                <w:szCs w:val="24"/>
                <w:lang w:eastAsia="zh-CN"/>
              </w:rPr>
            </w:pPr>
          </w:p>
        </w:tc>
        <w:tc>
          <w:tcPr>
            <w:tcW w:w="1218" w:type="dxa"/>
            <w:vAlign w:val="center"/>
          </w:tcPr>
          <w:p w14:paraId="7ED30FF6">
            <w:pPr>
              <w:widowControl w:val="0"/>
              <w:spacing w:line="360" w:lineRule="auto"/>
              <w:jc w:val="center"/>
              <w:outlineLvl w:val="1"/>
              <w:rPr>
                <w:rFonts w:hint="eastAsia" w:ascii="宋体" w:hAnsi="宋体" w:eastAsia="宋体" w:cs="宋体"/>
                <w:color w:val="auto"/>
                <w:sz w:val="24"/>
                <w:szCs w:val="24"/>
                <w:lang w:eastAsia="zh-CN"/>
              </w:rPr>
            </w:pPr>
          </w:p>
        </w:tc>
        <w:tc>
          <w:tcPr>
            <w:tcW w:w="1218" w:type="dxa"/>
            <w:vAlign w:val="center"/>
          </w:tcPr>
          <w:p w14:paraId="02183BE5">
            <w:pPr>
              <w:widowControl w:val="0"/>
              <w:spacing w:line="360" w:lineRule="auto"/>
              <w:jc w:val="center"/>
              <w:outlineLvl w:val="1"/>
              <w:rPr>
                <w:rFonts w:hint="eastAsia" w:ascii="宋体" w:hAnsi="宋体" w:eastAsia="宋体" w:cs="宋体"/>
                <w:color w:val="auto"/>
                <w:sz w:val="24"/>
                <w:szCs w:val="24"/>
                <w:lang w:eastAsia="zh-CN"/>
              </w:rPr>
            </w:pPr>
          </w:p>
        </w:tc>
        <w:tc>
          <w:tcPr>
            <w:tcW w:w="1218" w:type="dxa"/>
            <w:vAlign w:val="center"/>
          </w:tcPr>
          <w:p w14:paraId="76BE667A">
            <w:pPr>
              <w:widowControl w:val="0"/>
              <w:spacing w:line="360" w:lineRule="auto"/>
              <w:jc w:val="center"/>
              <w:outlineLvl w:val="1"/>
              <w:rPr>
                <w:rFonts w:hint="eastAsia" w:ascii="宋体" w:hAnsi="宋体" w:eastAsia="宋体" w:cs="宋体"/>
                <w:color w:val="auto"/>
                <w:sz w:val="24"/>
                <w:szCs w:val="24"/>
                <w:lang w:eastAsia="zh-CN"/>
              </w:rPr>
            </w:pPr>
          </w:p>
        </w:tc>
      </w:tr>
      <w:tr w14:paraId="3EA70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 w:type="dxa"/>
            <w:vAlign w:val="center"/>
          </w:tcPr>
          <w:p w14:paraId="7FEEE774">
            <w:pPr>
              <w:widowControl w:val="0"/>
              <w:spacing w:line="360" w:lineRule="auto"/>
              <w:jc w:val="center"/>
              <w:outlineLvl w:val="1"/>
              <w:rPr>
                <w:rFonts w:hint="eastAsia" w:ascii="宋体" w:hAnsi="宋体" w:eastAsia="宋体" w:cs="宋体"/>
                <w:color w:val="auto"/>
                <w:sz w:val="24"/>
                <w:szCs w:val="24"/>
                <w:lang w:eastAsia="zh-CN"/>
              </w:rPr>
            </w:pPr>
          </w:p>
        </w:tc>
        <w:tc>
          <w:tcPr>
            <w:tcW w:w="1657" w:type="dxa"/>
            <w:vAlign w:val="center"/>
          </w:tcPr>
          <w:p w14:paraId="0B324A6D">
            <w:pPr>
              <w:widowControl w:val="0"/>
              <w:spacing w:line="360" w:lineRule="auto"/>
              <w:jc w:val="center"/>
              <w:outlineLvl w:val="1"/>
              <w:rPr>
                <w:rFonts w:hint="eastAsia" w:ascii="宋体" w:hAnsi="宋体" w:eastAsia="宋体" w:cs="宋体"/>
                <w:color w:val="auto"/>
                <w:sz w:val="24"/>
                <w:szCs w:val="24"/>
                <w:lang w:eastAsia="zh-CN"/>
              </w:rPr>
            </w:pPr>
          </w:p>
        </w:tc>
        <w:tc>
          <w:tcPr>
            <w:tcW w:w="1217" w:type="dxa"/>
            <w:vAlign w:val="center"/>
          </w:tcPr>
          <w:p w14:paraId="235DEB3A">
            <w:pPr>
              <w:widowControl w:val="0"/>
              <w:spacing w:line="360" w:lineRule="auto"/>
              <w:jc w:val="center"/>
              <w:outlineLvl w:val="1"/>
              <w:rPr>
                <w:rFonts w:hint="eastAsia" w:ascii="宋体" w:hAnsi="宋体" w:eastAsia="宋体" w:cs="宋体"/>
                <w:color w:val="auto"/>
                <w:sz w:val="24"/>
                <w:szCs w:val="24"/>
                <w:lang w:eastAsia="zh-CN"/>
              </w:rPr>
            </w:pPr>
          </w:p>
        </w:tc>
        <w:tc>
          <w:tcPr>
            <w:tcW w:w="1217" w:type="dxa"/>
            <w:vAlign w:val="center"/>
          </w:tcPr>
          <w:p w14:paraId="6515C950">
            <w:pPr>
              <w:widowControl w:val="0"/>
              <w:spacing w:line="360" w:lineRule="auto"/>
              <w:jc w:val="center"/>
              <w:outlineLvl w:val="1"/>
              <w:rPr>
                <w:rFonts w:hint="eastAsia" w:ascii="宋体" w:hAnsi="宋体" w:eastAsia="宋体" w:cs="宋体"/>
                <w:color w:val="auto"/>
                <w:sz w:val="24"/>
                <w:szCs w:val="24"/>
                <w:lang w:eastAsia="zh-CN"/>
              </w:rPr>
            </w:pPr>
          </w:p>
        </w:tc>
        <w:tc>
          <w:tcPr>
            <w:tcW w:w="1218" w:type="dxa"/>
            <w:vAlign w:val="center"/>
          </w:tcPr>
          <w:p w14:paraId="0FD8F994">
            <w:pPr>
              <w:widowControl w:val="0"/>
              <w:spacing w:line="360" w:lineRule="auto"/>
              <w:jc w:val="center"/>
              <w:outlineLvl w:val="1"/>
              <w:rPr>
                <w:rFonts w:hint="eastAsia" w:ascii="宋体" w:hAnsi="宋体" w:eastAsia="宋体" w:cs="宋体"/>
                <w:color w:val="auto"/>
                <w:sz w:val="24"/>
                <w:szCs w:val="24"/>
                <w:lang w:eastAsia="zh-CN"/>
              </w:rPr>
            </w:pPr>
          </w:p>
        </w:tc>
        <w:tc>
          <w:tcPr>
            <w:tcW w:w="1218" w:type="dxa"/>
            <w:vAlign w:val="center"/>
          </w:tcPr>
          <w:p w14:paraId="11EB4B61">
            <w:pPr>
              <w:widowControl w:val="0"/>
              <w:spacing w:line="360" w:lineRule="auto"/>
              <w:jc w:val="center"/>
              <w:outlineLvl w:val="1"/>
              <w:rPr>
                <w:rFonts w:hint="eastAsia" w:ascii="宋体" w:hAnsi="宋体" w:eastAsia="宋体" w:cs="宋体"/>
                <w:color w:val="auto"/>
                <w:sz w:val="24"/>
                <w:szCs w:val="24"/>
                <w:lang w:eastAsia="zh-CN"/>
              </w:rPr>
            </w:pPr>
          </w:p>
        </w:tc>
        <w:tc>
          <w:tcPr>
            <w:tcW w:w="1218" w:type="dxa"/>
            <w:vAlign w:val="center"/>
          </w:tcPr>
          <w:p w14:paraId="0AB78CF3">
            <w:pPr>
              <w:widowControl w:val="0"/>
              <w:spacing w:line="360" w:lineRule="auto"/>
              <w:jc w:val="center"/>
              <w:outlineLvl w:val="1"/>
              <w:rPr>
                <w:rFonts w:hint="eastAsia" w:ascii="宋体" w:hAnsi="宋体" w:eastAsia="宋体" w:cs="宋体"/>
                <w:color w:val="auto"/>
                <w:sz w:val="24"/>
                <w:szCs w:val="24"/>
                <w:lang w:eastAsia="zh-CN"/>
              </w:rPr>
            </w:pPr>
          </w:p>
        </w:tc>
      </w:tr>
      <w:tr w14:paraId="6BC6D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 w:type="dxa"/>
            <w:vAlign w:val="center"/>
          </w:tcPr>
          <w:p w14:paraId="2A06ED69">
            <w:pPr>
              <w:widowControl w:val="0"/>
              <w:spacing w:line="360" w:lineRule="auto"/>
              <w:jc w:val="center"/>
              <w:outlineLvl w:val="1"/>
              <w:rPr>
                <w:rFonts w:hint="eastAsia" w:ascii="宋体" w:hAnsi="宋体" w:eastAsia="宋体" w:cs="宋体"/>
                <w:color w:val="auto"/>
                <w:sz w:val="24"/>
                <w:szCs w:val="24"/>
                <w:lang w:eastAsia="zh-CN"/>
              </w:rPr>
            </w:pPr>
          </w:p>
        </w:tc>
        <w:tc>
          <w:tcPr>
            <w:tcW w:w="1657" w:type="dxa"/>
            <w:vAlign w:val="center"/>
          </w:tcPr>
          <w:p w14:paraId="66CEACCF">
            <w:pPr>
              <w:widowControl w:val="0"/>
              <w:spacing w:line="360" w:lineRule="auto"/>
              <w:jc w:val="center"/>
              <w:outlineLvl w:val="1"/>
              <w:rPr>
                <w:rFonts w:hint="eastAsia" w:ascii="宋体" w:hAnsi="宋体" w:eastAsia="宋体" w:cs="宋体"/>
                <w:color w:val="auto"/>
                <w:sz w:val="24"/>
                <w:szCs w:val="24"/>
                <w:lang w:eastAsia="zh-CN"/>
              </w:rPr>
            </w:pPr>
          </w:p>
        </w:tc>
        <w:tc>
          <w:tcPr>
            <w:tcW w:w="1217" w:type="dxa"/>
            <w:vAlign w:val="center"/>
          </w:tcPr>
          <w:p w14:paraId="21C86EF9">
            <w:pPr>
              <w:widowControl w:val="0"/>
              <w:spacing w:line="360" w:lineRule="auto"/>
              <w:jc w:val="center"/>
              <w:outlineLvl w:val="1"/>
              <w:rPr>
                <w:rFonts w:hint="eastAsia" w:ascii="宋体" w:hAnsi="宋体" w:eastAsia="宋体" w:cs="宋体"/>
                <w:color w:val="auto"/>
                <w:sz w:val="24"/>
                <w:szCs w:val="24"/>
                <w:lang w:eastAsia="zh-CN"/>
              </w:rPr>
            </w:pPr>
          </w:p>
        </w:tc>
        <w:tc>
          <w:tcPr>
            <w:tcW w:w="1217" w:type="dxa"/>
            <w:vAlign w:val="center"/>
          </w:tcPr>
          <w:p w14:paraId="2155FDE8">
            <w:pPr>
              <w:widowControl w:val="0"/>
              <w:spacing w:line="360" w:lineRule="auto"/>
              <w:jc w:val="center"/>
              <w:outlineLvl w:val="1"/>
              <w:rPr>
                <w:rFonts w:hint="eastAsia" w:ascii="宋体" w:hAnsi="宋体" w:eastAsia="宋体" w:cs="宋体"/>
                <w:color w:val="auto"/>
                <w:sz w:val="24"/>
                <w:szCs w:val="24"/>
                <w:lang w:eastAsia="zh-CN"/>
              </w:rPr>
            </w:pPr>
          </w:p>
        </w:tc>
        <w:tc>
          <w:tcPr>
            <w:tcW w:w="1218" w:type="dxa"/>
            <w:vAlign w:val="center"/>
          </w:tcPr>
          <w:p w14:paraId="7AFA70A3">
            <w:pPr>
              <w:widowControl w:val="0"/>
              <w:spacing w:line="360" w:lineRule="auto"/>
              <w:jc w:val="center"/>
              <w:outlineLvl w:val="1"/>
              <w:rPr>
                <w:rFonts w:hint="eastAsia" w:ascii="宋体" w:hAnsi="宋体" w:eastAsia="宋体" w:cs="宋体"/>
                <w:color w:val="auto"/>
                <w:sz w:val="24"/>
                <w:szCs w:val="24"/>
                <w:lang w:eastAsia="zh-CN"/>
              </w:rPr>
            </w:pPr>
          </w:p>
        </w:tc>
        <w:tc>
          <w:tcPr>
            <w:tcW w:w="1218" w:type="dxa"/>
            <w:vAlign w:val="center"/>
          </w:tcPr>
          <w:p w14:paraId="74C028BA">
            <w:pPr>
              <w:widowControl w:val="0"/>
              <w:spacing w:line="360" w:lineRule="auto"/>
              <w:jc w:val="center"/>
              <w:outlineLvl w:val="1"/>
              <w:rPr>
                <w:rFonts w:hint="eastAsia" w:ascii="宋体" w:hAnsi="宋体" w:eastAsia="宋体" w:cs="宋体"/>
                <w:color w:val="auto"/>
                <w:sz w:val="24"/>
                <w:szCs w:val="24"/>
                <w:lang w:eastAsia="zh-CN"/>
              </w:rPr>
            </w:pPr>
          </w:p>
        </w:tc>
        <w:tc>
          <w:tcPr>
            <w:tcW w:w="1218" w:type="dxa"/>
            <w:vAlign w:val="center"/>
          </w:tcPr>
          <w:p w14:paraId="0AE7702B">
            <w:pPr>
              <w:widowControl w:val="0"/>
              <w:spacing w:line="360" w:lineRule="auto"/>
              <w:jc w:val="center"/>
              <w:outlineLvl w:val="1"/>
              <w:rPr>
                <w:rFonts w:hint="eastAsia" w:ascii="宋体" w:hAnsi="宋体" w:eastAsia="宋体" w:cs="宋体"/>
                <w:color w:val="auto"/>
                <w:sz w:val="24"/>
                <w:szCs w:val="24"/>
                <w:lang w:eastAsia="zh-CN"/>
              </w:rPr>
            </w:pPr>
          </w:p>
        </w:tc>
      </w:tr>
      <w:tr w14:paraId="08B7B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 w:type="dxa"/>
            <w:vAlign w:val="center"/>
          </w:tcPr>
          <w:p w14:paraId="46AD68F6">
            <w:pPr>
              <w:widowControl w:val="0"/>
              <w:spacing w:line="360" w:lineRule="auto"/>
              <w:jc w:val="center"/>
              <w:outlineLvl w:val="1"/>
              <w:rPr>
                <w:rFonts w:hint="eastAsia" w:ascii="宋体" w:hAnsi="宋体" w:eastAsia="宋体" w:cs="宋体"/>
                <w:color w:val="auto"/>
                <w:sz w:val="24"/>
                <w:szCs w:val="24"/>
                <w:lang w:eastAsia="zh-CN"/>
              </w:rPr>
            </w:pPr>
          </w:p>
        </w:tc>
        <w:tc>
          <w:tcPr>
            <w:tcW w:w="1657" w:type="dxa"/>
            <w:vAlign w:val="center"/>
          </w:tcPr>
          <w:p w14:paraId="05A07339">
            <w:pPr>
              <w:widowControl w:val="0"/>
              <w:spacing w:line="360" w:lineRule="auto"/>
              <w:jc w:val="center"/>
              <w:outlineLvl w:val="1"/>
              <w:rPr>
                <w:rFonts w:hint="eastAsia" w:ascii="宋体" w:hAnsi="宋体" w:eastAsia="宋体" w:cs="宋体"/>
                <w:color w:val="auto"/>
                <w:sz w:val="24"/>
                <w:szCs w:val="24"/>
                <w:lang w:eastAsia="zh-CN"/>
              </w:rPr>
            </w:pPr>
          </w:p>
        </w:tc>
        <w:tc>
          <w:tcPr>
            <w:tcW w:w="1217" w:type="dxa"/>
            <w:vAlign w:val="center"/>
          </w:tcPr>
          <w:p w14:paraId="7770FA9D">
            <w:pPr>
              <w:widowControl w:val="0"/>
              <w:spacing w:line="360" w:lineRule="auto"/>
              <w:jc w:val="center"/>
              <w:outlineLvl w:val="1"/>
              <w:rPr>
                <w:rFonts w:hint="eastAsia" w:ascii="宋体" w:hAnsi="宋体" w:eastAsia="宋体" w:cs="宋体"/>
                <w:color w:val="auto"/>
                <w:sz w:val="24"/>
                <w:szCs w:val="24"/>
                <w:lang w:eastAsia="zh-CN"/>
              </w:rPr>
            </w:pPr>
          </w:p>
        </w:tc>
        <w:tc>
          <w:tcPr>
            <w:tcW w:w="1217" w:type="dxa"/>
            <w:vAlign w:val="center"/>
          </w:tcPr>
          <w:p w14:paraId="444B5FFB">
            <w:pPr>
              <w:widowControl w:val="0"/>
              <w:spacing w:line="360" w:lineRule="auto"/>
              <w:jc w:val="center"/>
              <w:outlineLvl w:val="1"/>
              <w:rPr>
                <w:rFonts w:hint="eastAsia" w:ascii="宋体" w:hAnsi="宋体" w:eastAsia="宋体" w:cs="宋体"/>
                <w:color w:val="auto"/>
                <w:sz w:val="24"/>
                <w:szCs w:val="24"/>
                <w:lang w:eastAsia="zh-CN"/>
              </w:rPr>
            </w:pPr>
          </w:p>
        </w:tc>
        <w:tc>
          <w:tcPr>
            <w:tcW w:w="1218" w:type="dxa"/>
            <w:vAlign w:val="center"/>
          </w:tcPr>
          <w:p w14:paraId="1AADFF45">
            <w:pPr>
              <w:widowControl w:val="0"/>
              <w:spacing w:line="360" w:lineRule="auto"/>
              <w:jc w:val="center"/>
              <w:outlineLvl w:val="1"/>
              <w:rPr>
                <w:rFonts w:hint="eastAsia" w:ascii="宋体" w:hAnsi="宋体" w:eastAsia="宋体" w:cs="宋体"/>
                <w:color w:val="auto"/>
                <w:sz w:val="24"/>
                <w:szCs w:val="24"/>
                <w:lang w:eastAsia="zh-CN"/>
              </w:rPr>
            </w:pPr>
          </w:p>
        </w:tc>
        <w:tc>
          <w:tcPr>
            <w:tcW w:w="1218" w:type="dxa"/>
            <w:vAlign w:val="center"/>
          </w:tcPr>
          <w:p w14:paraId="2026C0CD">
            <w:pPr>
              <w:widowControl w:val="0"/>
              <w:spacing w:line="360" w:lineRule="auto"/>
              <w:jc w:val="center"/>
              <w:outlineLvl w:val="1"/>
              <w:rPr>
                <w:rFonts w:hint="eastAsia" w:ascii="宋体" w:hAnsi="宋体" w:eastAsia="宋体" w:cs="宋体"/>
                <w:color w:val="auto"/>
                <w:sz w:val="24"/>
                <w:szCs w:val="24"/>
                <w:lang w:eastAsia="zh-CN"/>
              </w:rPr>
            </w:pPr>
          </w:p>
        </w:tc>
        <w:tc>
          <w:tcPr>
            <w:tcW w:w="1218" w:type="dxa"/>
            <w:vAlign w:val="center"/>
          </w:tcPr>
          <w:p w14:paraId="09BF3DEF">
            <w:pPr>
              <w:widowControl w:val="0"/>
              <w:spacing w:line="360" w:lineRule="auto"/>
              <w:jc w:val="center"/>
              <w:outlineLvl w:val="1"/>
              <w:rPr>
                <w:rFonts w:hint="eastAsia" w:ascii="宋体" w:hAnsi="宋体" w:eastAsia="宋体" w:cs="宋体"/>
                <w:color w:val="auto"/>
                <w:sz w:val="24"/>
                <w:szCs w:val="24"/>
                <w:lang w:eastAsia="zh-CN"/>
              </w:rPr>
            </w:pPr>
          </w:p>
        </w:tc>
      </w:tr>
      <w:tr w14:paraId="0BE86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 w:type="dxa"/>
            <w:vAlign w:val="center"/>
          </w:tcPr>
          <w:p w14:paraId="0BB0BB6E">
            <w:pPr>
              <w:widowControl w:val="0"/>
              <w:spacing w:line="360" w:lineRule="auto"/>
              <w:jc w:val="center"/>
              <w:outlineLvl w:val="1"/>
              <w:rPr>
                <w:rFonts w:hint="eastAsia" w:ascii="宋体" w:hAnsi="宋体" w:eastAsia="宋体" w:cs="宋体"/>
                <w:color w:val="auto"/>
                <w:sz w:val="24"/>
                <w:szCs w:val="24"/>
                <w:lang w:eastAsia="zh-CN"/>
              </w:rPr>
            </w:pPr>
          </w:p>
        </w:tc>
        <w:tc>
          <w:tcPr>
            <w:tcW w:w="1657" w:type="dxa"/>
            <w:vAlign w:val="center"/>
          </w:tcPr>
          <w:p w14:paraId="16132003">
            <w:pPr>
              <w:widowControl w:val="0"/>
              <w:spacing w:line="360" w:lineRule="auto"/>
              <w:jc w:val="center"/>
              <w:outlineLvl w:val="1"/>
              <w:rPr>
                <w:rFonts w:hint="eastAsia" w:ascii="宋体" w:hAnsi="宋体" w:eastAsia="宋体" w:cs="宋体"/>
                <w:color w:val="auto"/>
                <w:sz w:val="24"/>
                <w:szCs w:val="24"/>
                <w:lang w:eastAsia="zh-CN"/>
              </w:rPr>
            </w:pPr>
          </w:p>
        </w:tc>
        <w:tc>
          <w:tcPr>
            <w:tcW w:w="1217" w:type="dxa"/>
            <w:vAlign w:val="center"/>
          </w:tcPr>
          <w:p w14:paraId="76BFDDA4">
            <w:pPr>
              <w:widowControl w:val="0"/>
              <w:spacing w:line="360" w:lineRule="auto"/>
              <w:jc w:val="center"/>
              <w:outlineLvl w:val="1"/>
              <w:rPr>
                <w:rFonts w:hint="eastAsia" w:ascii="宋体" w:hAnsi="宋体" w:eastAsia="宋体" w:cs="宋体"/>
                <w:color w:val="auto"/>
                <w:sz w:val="24"/>
                <w:szCs w:val="24"/>
                <w:lang w:eastAsia="zh-CN"/>
              </w:rPr>
            </w:pPr>
          </w:p>
        </w:tc>
        <w:tc>
          <w:tcPr>
            <w:tcW w:w="1217" w:type="dxa"/>
            <w:vAlign w:val="center"/>
          </w:tcPr>
          <w:p w14:paraId="39A6D284">
            <w:pPr>
              <w:widowControl w:val="0"/>
              <w:spacing w:line="360" w:lineRule="auto"/>
              <w:jc w:val="center"/>
              <w:outlineLvl w:val="1"/>
              <w:rPr>
                <w:rFonts w:hint="eastAsia" w:ascii="宋体" w:hAnsi="宋体" w:eastAsia="宋体" w:cs="宋体"/>
                <w:color w:val="auto"/>
                <w:sz w:val="24"/>
                <w:szCs w:val="24"/>
                <w:lang w:eastAsia="zh-CN"/>
              </w:rPr>
            </w:pPr>
          </w:p>
        </w:tc>
        <w:tc>
          <w:tcPr>
            <w:tcW w:w="1218" w:type="dxa"/>
            <w:vAlign w:val="center"/>
          </w:tcPr>
          <w:p w14:paraId="4FE6E832">
            <w:pPr>
              <w:widowControl w:val="0"/>
              <w:spacing w:line="360" w:lineRule="auto"/>
              <w:jc w:val="center"/>
              <w:outlineLvl w:val="1"/>
              <w:rPr>
                <w:rFonts w:hint="eastAsia" w:ascii="宋体" w:hAnsi="宋体" w:eastAsia="宋体" w:cs="宋体"/>
                <w:color w:val="auto"/>
                <w:sz w:val="24"/>
                <w:szCs w:val="24"/>
                <w:lang w:eastAsia="zh-CN"/>
              </w:rPr>
            </w:pPr>
          </w:p>
        </w:tc>
        <w:tc>
          <w:tcPr>
            <w:tcW w:w="1218" w:type="dxa"/>
            <w:vAlign w:val="center"/>
          </w:tcPr>
          <w:p w14:paraId="6866A2A0">
            <w:pPr>
              <w:widowControl w:val="0"/>
              <w:spacing w:line="360" w:lineRule="auto"/>
              <w:jc w:val="center"/>
              <w:outlineLvl w:val="1"/>
              <w:rPr>
                <w:rFonts w:hint="eastAsia" w:ascii="宋体" w:hAnsi="宋体" w:eastAsia="宋体" w:cs="宋体"/>
                <w:color w:val="auto"/>
                <w:sz w:val="24"/>
                <w:szCs w:val="24"/>
                <w:lang w:eastAsia="zh-CN"/>
              </w:rPr>
            </w:pPr>
          </w:p>
        </w:tc>
        <w:tc>
          <w:tcPr>
            <w:tcW w:w="1218" w:type="dxa"/>
            <w:vAlign w:val="center"/>
          </w:tcPr>
          <w:p w14:paraId="4479B382">
            <w:pPr>
              <w:widowControl w:val="0"/>
              <w:spacing w:line="360" w:lineRule="auto"/>
              <w:jc w:val="center"/>
              <w:outlineLvl w:val="1"/>
              <w:rPr>
                <w:rFonts w:hint="eastAsia" w:ascii="宋体" w:hAnsi="宋体" w:eastAsia="宋体" w:cs="宋体"/>
                <w:color w:val="auto"/>
                <w:sz w:val="24"/>
                <w:szCs w:val="24"/>
                <w:lang w:eastAsia="zh-CN"/>
              </w:rPr>
            </w:pPr>
          </w:p>
        </w:tc>
      </w:tr>
      <w:tr w14:paraId="3F2D7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 w:type="dxa"/>
            <w:vAlign w:val="center"/>
          </w:tcPr>
          <w:p w14:paraId="6D711AB7">
            <w:pPr>
              <w:widowControl w:val="0"/>
              <w:spacing w:line="360" w:lineRule="auto"/>
              <w:jc w:val="center"/>
              <w:outlineLvl w:val="1"/>
              <w:rPr>
                <w:rFonts w:hint="eastAsia" w:ascii="宋体" w:hAnsi="宋体" w:eastAsia="宋体" w:cs="宋体"/>
                <w:color w:val="auto"/>
                <w:sz w:val="24"/>
                <w:szCs w:val="24"/>
                <w:lang w:eastAsia="zh-CN"/>
              </w:rPr>
            </w:pPr>
          </w:p>
        </w:tc>
        <w:tc>
          <w:tcPr>
            <w:tcW w:w="1657" w:type="dxa"/>
            <w:vAlign w:val="center"/>
          </w:tcPr>
          <w:p w14:paraId="271AC86E">
            <w:pPr>
              <w:widowControl w:val="0"/>
              <w:spacing w:line="360" w:lineRule="auto"/>
              <w:jc w:val="center"/>
              <w:outlineLvl w:val="1"/>
              <w:rPr>
                <w:rFonts w:hint="eastAsia" w:ascii="宋体" w:hAnsi="宋体" w:eastAsia="宋体" w:cs="宋体"/>
                <w:color w:val="auto"/>
                <w:sz w:val="24"/>
                <w:szCs w:val="24"/>
                <w:lang w:eastAsia="zh-CN"/>
              </w:rPr>
            </w:pPr>
          </w:p>
        </w:tc>
        <w:tc>
          <w:tcPr>
            <w:tcW w:w="1217" w:type="dxa"/>
            <w:vAlign w:val="center"/>
          </w:tcPr>
          <w:p w14:paraId="4987F7CE">
            <w:pPr>
              <w:widowControl w:val="0"/>
              <w:spacing w:line="360" w:lineRule="auto"/>
              <w:jc w:val="center"/>
              <w:outlineLvl w:val="1"/>
              <w:rPr>
                <w:rFonts w:hint="eastAsia" w:ascii="宋体" w:hAnsi="宋体" w:eastAsia="宋体" w:cs="宋体"/>
                <w:color w:val="auto"/>
                <w:sz w:val="24"/>
                <w:szCs w:val="24"/>
                <w:lang w:eastAsia="zh-CN"/>
              </w:rPr>
            </w:pPr>
          </w:p>
        </w:tc>
        <w:tc>
          <w:tcPr>
            <w:tcW w:w="1217" w:type="dxa"/>
            <w:vAlign w:val="center"/>
          </w:tcPr>
          <w:p w14:paraId="003A7D7F">
            <w:pPr>
              <w:widowControl w:val="0"/>
              <w:spacing w:line="360" w:lineRule="auto"/>
              <w:jc w:val="center"/>
              <w:outlineLvl w:val="1"/>
              <w:rPr>
                <w:rFonts w:hint="eastAsia" w:ascii="宋体" w:hAnsi="宋体" w:eastAsia="宋体" w:cs="宋体"/>
                <w:color w:val="auto"/>
                <w:sz w:val="24"/>
                <w:szCs w:val="24"/>
                <w:lang w:eastAsia="zh-CN"/>
              </w:rPr>
            </w:pPr>
          </w:p>
        </w:tc>
        <w:tc>
          <w:tcPr>
            <w:tcW w:w="1218" w:type="dxa"/>
            <w:vAlign w:val="center"/>
          </w:tcPr>
          <w:p w14:paraId="5EED1494">
            <w:pPr>
              <w:widowControl w:val="0"/>
              <w:spacing w:line="360" w:lineRule="auto"/>
              <w:jc w:val="center"/>
              <w:outlineLvl w:val="1"/>
              <w:rPr>
                <w:rFonts w:hint="eastAsia" w:ascii="宋体" w:hAnsi="宋体" w:eastAsia="宋体" w:cs="宋体"/>
                <w:color w:val="auto"/>
                <w:sz w:val="24"/>
                <w:szCs w:val="24"/>
                <w:lang w:eastAsia="zh-CN"/>
              </w:rPr>
            </w:pPr>
          </w:p>
        </w:tc>
        <w:tc>
          <w:tcPr>
            <w:tcW w:w="1218" w:type="dxa"/>
            <w:vAlign w:val="center"/>
          </w:tcPr>
          <w:p w14:paraId="483B4862">
            <w:pPr>
              <w:widowControl w:val="0"/>
              <w:spacing w:line="360" w:lineRule="auto"/>
              <w:jc w:val="center"/>
              <w:outlineLvl w:val="1"/>
              <w:rPr>
                <w:rFonts w:hint="eastAsia" w:ascii="宋体" w:hAnsi="宋体" w:eastAsia="宋体" w:cs="宋体"/>
                <w:color w:val="auto"/>
                <w:sz w:val="24"/>
                <w:szCs w:val="24"/>
                <w:lang w:eastAsia="zh-CN"/>
              </w:rPr>
            </w:pPr>
          </w:p>
        </w:tc>
        <w:tc>
          <w:tcPr>
            <w:tcW w:w="1218" w:type="dxa"/>
            <w:vAlign w:val="center"/>
          </w:tcPr>
          <w:p w14:paraId="2554BEEE">
            <w:pPr>
              <w:widowControl w:val="0"/>
              <w:spacing w:line="360" w:lineRule="auto"/>
              <w:jc w:val="center"/>
              <w:outlineLvl w:val="1"/>
              <w:rPr>
                <w:rFonts w:hint="eastAsia" w:ascii="宋体" w:hAnsi="宋体" w:eastAsia="宋体" w:cs="宋体"/>
                <w:color w:val="auto"/>
                <w:sz w:val="24"/>
                <w:szCs w:val="24"/>
                <w:lang w:eastAsia="zh-CN"/>
              </w:rPr>
            </w:pPr>
          </w:p>
        </w:tc>
      </w:tr>
    </w:tbl>
    <w:p w14:paraId="4E25BFEA">
      <w:pPr>
        <w:jc w:val="both"/>
        <w:rPr>
          <w:rFonts w:hint="eastAsia" w:ascii="宋体" w:hAnsi="宋体" w:eastAsia="宋体" w:cs="宋体"/>
          <w:color w:val="auto"/>
          <w:sz w:val="24"/>
          <w:szCs w:val="24"/>
          <w:lang w:eastAsia="zh-CN"/>
        </w:rPr>
      </w:pPr>
    </w:p>
    <w:p w14:paraId="19405F4F">
      <w:pPr>
        <w:jc w:val="both"/>
        <w:rPr>
          <w:rFonts w:hint="eastAsia" w:ascii="宋体" w:hAnsi="宋体" w:eastAsia="宋体" w:cs="宋体"/>
          <w:color w:val="auto"/>
          <w:kern w:val="2"/>
          <w:sz w:val="24"/>
          <w:szCs w:val="24"/>
          <w:lang w:eastAsia="zh-CN"/>
        </w:rPr>
      </w:pPr>
      <w:r>
        <w:rPr>
          <w:rFonts w:hint="eastAsia" w:ascii="宋体" w:hAnsi="宋体" w:eastAsia="宋体" w:cs="宋体"/>
          <w:color w:val="auto"/>
          <w:sz w:val="24"/>
          <w:szCs w:val="24"/>
          <w:lang w:eastAsia="zh-CN"/>
        </w:rPr>
        <w:t>注后附拟投入本项目的设备设施的购置发票或租赁协议、实物照片。</w:t>
      </w:r>
    </w:p>
    <w:p w14:paraId="5595115F">
      <w:pPr>
        <w:spacing w:line="360" w:lineRule="auto"/>
        <w:jc w:val="both"/>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br w:type="page"/>
      </w:r>
    </w:p>
    <w:p w14:paraId="52C841C7">
      <w:pPr>
        <w:rPr>
          <w:rFonts w:hint="eastAsia" w:ascii="宋体" w:hAnsi="宋体" w:eastAsia="宋体" w:cs="宋体"/>
          <w:color w:val="auto"/>
          <w:sz w:val="24"/>
          <w:szCs w:val="24"/>
          <w:lang w:eastAsia="zh-CN"/>
        </w:rPr>
      </w:pPr>
    </w:p>
    <w:p w14:paraId="67904815">
      <w:pPr>
        <w:pStyle w:val="3"/>
        <w:spacing w:before="0" w:after="0" w:line="360" w:lineRule="auto"/>
        <w:jc w:val="center"/>
        <w:rPr>
          <w:rFonts w:hint="eastAsia" w:ascii="宋体" w:hAnsi="宋体" w:eastAsia="宋体" w:cs="宋体"/>
          <w:bCs w:val="0"/>
          <w:color w:val="auto"/>
          <w:sz w:val="24"/>
          <w:szCs w:val="24"/>
          <w:lang w:eastAsia="zh-CN"/>
        </w:rPr>
      </w:pPr>
      <w:bookmarkStart w:id="141" w:name="_Toc29190"/>
      <w:r>
        <w:rPr>
          <w:rFonts w:hint="eastAsia" w:ascii="宋体" w:hAnsi="宋体" w:eastAsia="宋体" w:cs="宋体"/>
          <w:bCs w:val="0"/>
          <w:color w:val="auto"/>
          <w:sz w:val="24"/>
          <w:szCs w:val="24"/>
          <w:lang w:eastAsia="zh-CN"/>
        </w:rPr>
        <w:t>九、</w:t>
      </w:r>
      <w:bookmarkEnd w:id="136"/>
      <w:r>
        <w:rPr>
          <w:rFonts w:hint="eastAsia" w:ascii="宋体" w:hAnsi="宋体" w:eastAsia="宋体" w:cs="宋体"/>
          <w:bCs w:val="0"/>
          <w:color w:val="auto"/>
          <w:sz w:val="24"/>
          <w:szCs w:val="24"/>
          <w:lang w:eastAsia="zh-CN"/>
        </w:rPr>
        <w:t>供应商近年类似业绩情况表</w:t>
      </w:r>
      <w:bookmarkEnd w:id="141"/>
    </w:p>
    <w:p w14:paraId="252A30D6">
      <w:pPr>
        <w:spacing w:line="360" w:lineRule="auto"/>
        <w:rPr>
          <w:rFonts w:hint="eastAsia" w:ascii="宋体" w:hAnsi="宋体" w:eastAsia="宋体" w:cs="宋体"/>
          <w:color w:val="auto"/>
          <w:sz w:val="24"/>
          <w:szCs w:val="24"/>
          <w:lang w:eastAsia="zh-CN"/>
        </w:rPr>
      </w:pPr>
    </w:p>
    <w:tbl>
      <w:tblPr>
        <w:tblStyle w:val="36"/>
        <w:tblW w:w="8727"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629"/>
        <w:gridCol w:w="1156"/>
        <w:gridCol w:w="1156"/>
        <w:gridCol w:w="1155"/>
        <w:gridCol w:w="1155"/>
        <w:gridCol w:w="1155"/>
        <w:gridCol w:w="1155"/>
        <w:gridCol w:w="1157"/>
        <w:gridCol w:w="9"/>
      </w:tblGrid>
      <w:tr w14:paraId="619DB1B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60" w:hRule="atLeast"/>
          <w:jc w:val="center"/>
        </w:trPr>
        <w:tc>
          <w:tcPr>
            <w:tcW w:w="629" w:type="dxa"/>
            <w:tcBorders>
              <w:top w:val="single" w:color="auto" w:sz="4" w:space="0"/>
            </w:tcBorders>
            <w:vAlign w:val="center"/>
          </w:tcPr>
          <w:p w14:paraId="5EA04819">
            <w:pPr>
              <w:spacing w:line="360" w:lineRule="auto"/>
              <w:rPr>
                <w:rFonts w:hint="eastAsia" w:ascii="宋体" w:hAnsi="宋体" w:eastAsia="宋体" w:cs="宋体"/>
                <w:bCs/>
                <w:color w:val="auto"/>
                <w:sz w:val="24"/>
                <w:szCs w:val="24"/>
              </w:rPr>
            </w:pPr>
            <w:r>
              <w:rPr>
                <w:rFonts w:hint="eastAsia" w:ascii="宋体" w:hAnsi="宋体" w:eastAsia="宋体" w:cs="宋体"/>
                <w:bCs/>
                <w:color w:val="auto"/>
                <w:sz w:val="24"/>
                <w:szCs w:val="24"/>
              </w:rPr>
              <w:t>序号</w:t>
            </w:r>
          </w:p>
        </w:tc>
        <w:tc>
          <w:tcPr>
            <w:tcW w:w="1156" w:type="dxa"/>
            <w:vAlign w:val="center"/>
          </w:tcPr>
          <w:p w14:paraId="45FAD66D">
            <w:pPr>
              <w:spacing w:line="360" w:lineRule="auto"/>
              <w:jc w:val="center"/>
              <w:rPr>
                <w:rFonts w:hint="eastAsia" w:ascii="宋体" w:hAnsi="宋体" w:eastAsia="宋体" w:cs="宋体"/>
                <w:bCs/>
                <w:color w:val="auto"/>
                <w:sz w:val="24"/>
                <w:szCs w:val="24"/>
              </w:rPr>
            </w:pPr>
            <w:r>
              <w:rPr>
                <w:rFonts w:hint="eastAsia" w:ascii="宋体" w:hAnsi="宋体" w:eastAsia="宋体" w:cs="宋体"/>
                <w:bCs/>
                <w:color w:val="auto"/>
                <w:sz w:val="24"/>
                <w:szCs w:val="24"/>
              </w:rPr>
              <w:t>采购人</w:t>
            </w:r>
          </w:p>
        </w:tc>
        <w:tc>
          <w:tcPr>
            <w:tcW w:w="1156" w:type="dxa"/>
            <w:vAlign w:val="center"/>
          </w:tcPr>
          <w:p w14:paraId="4300EA4A">
            <w:pPr>
              <w:spacing w:line="360" w:lineRule="auto"/>
              <w:jc w:val="center"/>
              <w:rPr>
                <w:rFonts w:hint="eastAsia" w:ascii="宋体" w:hAnsi="宋体" w:eastAsia="宋体" w:cs="宋体"/>
                <w:bCs/>
                <w:color w:val="auto"/>
                <w:sz w:val="24"/>
                <w:szCs w:val="24"/>
              </w:rPr>
            </w:pPr>
            <w:r>
              <w:rPr>
                <w:rFonts w:hint="eastAsia" w:ascii="宋体" w:hAnsi="宋体" w:eastAsia="宋体" w:cs="宋体"/>
                <w:bCs/>
                <w:color w:val="auto"/>
                <w:sz w:val="24"/>
                <w:szCs w:val="24"/>
              </w:rPr>
              <w:t>联系人</w:t>
            </w:r>
          </w:p>
        </w:tc>
        <w:tc>
          <w:tcPr>
            <w:tcW w:w="1155" w:type="dxa"/>
            <w:vAlign w:val="center"/>
          </w:tcPr>
          <w:p w14:paraId="1528F8CB">
            <w:pPr>
              <w:spacing w:line="360" w:lineRule="auto"/>
              <w:jc w:val="center"/>
              <w:rPr>
                <w:rFonts w:hint="eastAsia" w:ascii="宋体" w:hAnsi="宋体" w:eastAsia="宋体" w:cs="宋体"/>
                <w:bCs/>
                <w:color w:val="auto"/>
                <w:sz w:val="24"/>
                <w:szCs w:val="24"/>
              </w:rPr>
            </w:pPr>
            <w:r>
              <w:rPr>
                <w:rFonts w:hint="eastAsia" w:ascii="宋体" w:hAnsi="宋体" w:eastAsia="宋体" w:cs="宋体"/>
                <w:bCs/>
                <w:color w:val="auto"/>
                <w:sz w:val="24"/>
                <w:szCs w:val="24"/>
              </w:rPr>
              <w:t>联系电话</w:t>
            </w:r>
          </w:p>
        </w:tc>
        <w:tc>
          <w:tcPr>
            <w:tcW w:w="1155" w:type="dxa"/>
            <w:vAlign w:val="center"/>
          </w:tcPr>
          <w:p w14:paraId="5FDD4A67">
            <w:pPr>
              <w:spacing w:line="360" w:lineRule="auto"/>
              <w:jc w:val="center"/>
              <w:rPr>
                <w:rFonts w:hint="eastAsia" w:ascii="宋体" w:hAnsi="宋体" w:eastAsia="宋体" w:cs="宋体"/>
                <w:bCs/>
                <w:color w:val="auto"/>
                <w:sz w:val="24"/>
                <w:szCs w:val="24"/>
              </w:rPr>
            </w:pPr>
            <w:r>
              <w:rPr>
                <w:rFonts w:hint="eastAsia" w:ascii="宋体" w:hAnsi="宋体" w:eastAsia="宋体" w:cs="宋体"/>
                <w:bCs/>
                <w:color w:val="auto"/>
                <w:sz w:val="24"/>
                <w:szCs w:val="24"/>
              </w:rPr>
              <w:t>项目名称</w:t>
            </w:r>
          </w:p>
        </w:tc>
        <w:tc>
          <w:tcPr>
            <w:tcW w:w="1155" w:type="dxa"/>
            <w:vAlign w:val="center"/>
          </w:tcPr>
          <w:p w14:paraId="477C3645">
            <w:pPr>
              <w:spacing w:line="360" w:lineRule="auto"/>
              <w:jc w:val="center"/>
              <w:rPr>
                <w:rFonts w:hint="eastAsia" w:ascii="宋体" w:hAnsi="宋体" w:eastAsia="宋体" w:cs="宋体"/>
                <w:bCs/>
                <w:color w:val="auto"/>
                <w:sz w:val="24"/>
                <w:szCs w:val="24"/>
              </w:rPr>
            </w:pPr>
            <w:r>
              <w:rPr>
                <w:rFonts w:hint="eastAsia" w:ascii="宋体" w:hAnsi="宋体" w:eastAsia="宋体" w:cs="宋体"/>
                <w:bCs/>
                <w:color w:val="auto"/>
                <w:sz w:val="24"/>
                <w:szCs w:val="24"/>
              </w:rPr>
              <w:t>完成时间</w:t>
            </w:r>
          </w:p>
        </w:tc>
        <w:tc>
          <w:tcPr>
            <w:tcW w:w="1155" w:type="dxa"/>
            <w:vAlign w:val="center"/>
          </w:tcPr>
          <w:p w14:paraId="033AE1A4">
            <w:pPr>
              <w:spacing w:line="360" w:lineRule="auto"/>
              <w:rPr>
                <w:rFonts w:hint="eastAsia" w:ascii="宋体" w:hAnsi="宋体" w:eastAsia="宋体" w:cs="宋体"/>
                <w:bCs/>
                <w:color w:val="auto"/>
                <w:sz w:val="24"/>
                <w:szCs w:val="24"/>
              </w:rPr>
            </w:pPr>
            <w:r>
              <w:rPr>
                <w:rFonts w:hint="eastAsia" w:ascii="宋体" w:hAnsi="宋体" w:eastAsia="宋体" w:cs="宋体"/>
                <w:bCs/>
                <w:color w:val="auto"/>
                <w:sz w:val="24"/>
                <w:szCs w:val="24"/>
              </w:rPr>
              <w:t>合同金额</w:t>
            </w:r>
          </w:p>
        </w:tc>
        <w:tc>
          <w:tcPr>
            <w:tcW w:w="1166" w:type="dxa"/>
            <w:gridSpan w:val="2"/>
            <w:tcBorders>
              <w:right w:val="single" w:color="auto" w:sz="4" w:space="0"/>
            </w:tcBorders>
            <w:vAlign w:val="center"/>
          </w:tcPr>
          <w:p w14:paraId="04EF0BA0">
            <w:pPr>
              <w:spacing w:line="360" w:lineRule="auto"/>
              <w:jc w:val="center"/>
              <w:rPr>
                <w:rFonts w:hint="eastAsia" w:ascii="宋体" w:hAnsi="宋体" w:eastAsia="宋体" w:cs="宋体"/>
                <w:bCs/>
                <w:color w:val="auto"/>
                <w:sz w:val="24"/>
                <w:szCs w:val="24"/>
              </w:rPr>
            </w:pPr>
            <w:r>
              <w:rPr>
                <w:rFonts w:hint="eastAsia" w:ascii="宋体" w:hAnsi="宋体" w:eastAsia="宋体" w:cs="宋体"/>
                <w:bCs/>
                <w:color w:val="auto"/>
                <w:sz w:val="24"/>
                <w:szCs w:val="24"/>
              </w:rPr>
              <w:t>备注</w:t>
            </w:r>
          </w:p>
        </w:tc>
      </w:tr>
      <w:tr w14:paraId="1C548CD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60" w:hRule="atLeast"/>
          <w:jc w:val="center"/>
        </w:trPr>
        <w:tc>
          <w:tcPr>
            <w:tcW w:w="629" w:type="dxa"/>
            <w:vAlign w:val="center"/>
          </w:tcPr>
          <w:p w14:paraId="79B6EFD0">
            <w:pPr>
              <w:spacing w:line="360" w:lineRule="auto"/>
              <w:jc w:val="center"/>
              <w:rPr>
                <w:rFonts w:hint="eastAsia" w:ascii="宋体" w:hAnsi="宋体" w:eastAsia="宋体" w:cs="宋体"/>
                <w:color w:val="auto"/>
                <w:sz w:val="24"/>
                <w:szCs w:val="24"/>
              </w:rPr>
            </w:pPr>
          </w:p>
        </w:tc>
        <w:tc>
          <w:tcPr>
            <w:tcW w:w="1156" w:type="dxa"/>
            <w:vAlign w:val="center"/>
          </w:tcPr>
          <w:p w14:paraId="7A1B00A3">
            <w:pPr>
              <w:spacing w:line="360" w:lineRule="auto"/>
              <w:jc w:val="center"/>
              <w:rPr>
                <w:rFonts w:hint="eastAsia" w:ascii="宋体" w:hAnsi="宋体" w:eastAsia="宋体" w:cs="宋体"/>
                <w:color w:val="auto"/>
                <w:sz w:val="24"/>
                <w:szCs w:val="24"/>
              </w:rPr>
            </w:pPr>
          </w:p>
        </w:tc>
        <w:tc>
          <w:tcPr>
            <w:tcW w:w="1156" w:type="dxa"/>
            <w:vAlign w:val="center"/>
          </w:tcPr>
          <w:p w14:paraId="78F453A4">
            <w:pPr>
              <w:spacing w:line="360" w:lineRule="auto"/>
              <w:jc w:val="center"/>
              <w:rPr>
                <w:rFonts w:hint="eastAsia" w:ascii="宋体" w:hAnsi="宋体" w:eastAsia="宋体" w:cs="宋体"/>
                <w:color w:val="auto"/>
                <w:sz w:val="24"/>
                <w:szCs w:val="24"/>
              </w:rPr>
            </w:pPr>
          </w:p>
        </w:tc>
        <w:tc>
          <w:tcPr>
            <w:tcW w:w="1155" w:type="dxa"/>
            <w:vAlign w:val="center"/>
          </w:tcPr>
          <w:p w14:paraId="5039A01B">
            <w:pPr>
              <w:spacing w:line="360" w:lineRule="auto"/>
              <w:jc w:val="center"/>
              <w:rPr>
                <w:rFonts w:hint="eastAsia" w:ascii="宋体" w:hAnsi="宋体" w:eastAsia="宋体" w:cs="宋体"/>
                <w:color w:val="auto"/>
                <w:sz w:val="24"/>
                <w:szCs w:val="24"/>
              </w:rPr>
            </w:pPr>
          </w:p>
        </w:tc>
        <w:tc>
          <w:tcPr>
            <w:tcW w:w="1155" w:type="dxa"/>
            <w:vAlign w:val="center"/>
          </w:tcPr>
          <w:p w14:paraId="4DC00A71">
            <w:pPr>
              <w:spacing w:line="360" w:lineRule="auto"/>
              <w:jc w:val="center"/>
              <w:rPr>
                <w:rFonts w:hint="eastAsia" w:ascii="宋体" w:hAnsi="宋体" w:eastAsia="宋体" w:cs="宋体"/>
                <w:color w:val="auto"/>
                <w:sz w:val="24"/>
                <w:szCs w:val="24"/>
              </w:rPr>
            </w:pPr>
          </w:p>
        </w:tc>
        <w:tc>
          <w:tcPr>
            <w:tcW w:w="1155" w:type="dxa"/>
            <w:vAlign w:val="center"/>
          </w:tcPr>
          <w:p w14:paraId="5B5D7AB3">
            <w:pPr>
              <w:spacing w:line="360" w:lineRule="auto"/>
              <w:jc w:val="center"/>
              <w:rPr>
                <w:rFonts w:hint="eastAsia" w:ascii="宋体" w:hAnsi="宋体" w:eastAsia="宋体" w:cs="宋体"/>
                <w:color w:val="auto"/>
                <w:sz w:val="24"/>
                <w:szCs w:val="24"/>
              </w:rPr>
            </w:pPr>
          </w:p>
        </w:tc>
        <w:tc>
          <w:tcPr>
            <w:tcW w:w="1155" w:type="dxa"/>
            <w:vAlign w:val="center"/>
          </w:tcPr>
          <w:p w14:paraId="2C390337">
            <w:pPr>
              <w:spacing w:line="360" w:lineRule="auto"/>
              <w:jc w:val="center"/>
              <w:rPr>
                <w:rFonts w:hint="eastAsia" w:ascii="宋体" w:hAnsi="宋体" w:eastAsia="宋体" w:cs="宋体"/>
                <w:color w:val="auto"/>
                <w:sz w:val="24"/>
                <w:szCs w:val="24"/>
              </w:rPr>
            </w:pPr>
          </w:p>
        </w:tc>
        <w:tc>
          <w:tcPr>
            <w:tcW w:w="1166" w:type="dxa"/>
            <w:gridSpan w:val="2"/>
            <w:tcBorders>
              <w:right w:val="single" w:color="auto" w:sz="4" w:space="0"/>
            </w:tcBorders>
            <w:vAlign w:val="center"/>
          </w:tcPr>
          <w:p w14:paraId="223D14D2">
            <w:pPr>
              <w:spacing w:line="360" w:lineRule="auto"/>
              <w:jc w:val="center"/>
              <w:rPr>
                <w:rFonts w:hint="eastAsia" w:ascii="宋体" w:hAnsi="宋体" w:eastAsia="宋体" w:cs="宋体"/>
                <w:color w:val="auto"/>
                <w:sz w:val="24"/>
                <w:szCs w:val="24"/>
              </w:rPr>
            </w:pPr>
          </w:p>
        </w:tc>
      </w:tr>
      <w:tr w14:paraId="14B3A32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60" w:hRule="atLeast"/>
          <w:jc w:val="center"/>
        </w:trPr>
        <w:tc>
          <w:tcPr>
            <w:tcW w:w="629" w:type="dxa"/>
            <w:vAlign w:val="center"/>
          </w:tcPr>
          <w:p w14:paraId="72ABD1B2">
            <w:pPr>
              <w:spacing w:line="360" w:lineRule="auto"/>
              <w:jc w:val="center"/>
              <w:rPr>
                <w:rFonts w:hint="eastAsia" w:ascii="宋体" w:hAnsi="宋体" w:eastAsia="宋体" w:cs="宋体"/>
                <w:color w:val="auto"/>
                <w:sz w:val="24"/>
                <w:szCs w:val="24"/>
              </w:rPr>
            </w:pPr>
          </w:p>
        </w:tc>
        <w:tc>
          <w:tcPr>
            <w:tcW w:w="1156" w:type="dxa"/>
            <w:vAlign w:val="center"/>
          </w:tcPr>
          <w:p w14:paraId="44987F58">
            <w:pPr>
              <w:spacing w:line="360" w:lineRule="auto"/>
              <w:jc w:val="center"/>
              <w:rPr>
                <w:rFonts w:hint="eastAsia" w:ascii="宋体" w:hAnsi="宋体" w:eastAsia="宋体" w:cs="宋体"/>
                <w:color w:val="auto"/>
                <w:sz w:val="24"/>
                <w:szCs w:val="24"/>
              </w:rPr>
            </w:pPr>
          </w:p>
        </w:tc>
        <w:tc>
          <w:tcPr>
            <w:tcW w:w="1156" w:type="dxa"/>
            <w:vAlign w:val="center"/>
          </w:tcPr>
          <w:p w14:paraId="295A192E">
            <w:pPr>
              <w:spacing w:line="360" w:lineRule="auto"/>
              <w:jc w:val="center"/>
              <w:rPr>
                <w:rFonts w:hint="eastAsia" w:ascii="宋体" w:hAnsi="宋体" w:eastAsia="宋体" w:cs="宋体"/>
                <w:color w:val="auto"/>
                <w:sz w:val="24"/>
                <w:szCs w:val="24"/>
              </w:rPr>
            </w:pPr>
          </w:p>
        </w:tc>
        <w:tc>
          <w:tcPr>
            <w:tcW w:w="1155" w:type="dxa"/>
            <w:vAlign w:val="center"/>
          </w:tcPr>
          <w:p w14:paraId="0084B4C2">
            <w:pPr>
              <w:spacing w:line="360" w:lineRule="auto"/>
              <w:jc w:val="center"/>
              <w:rPr>
                <w:rFonts w:hint="eastAsia" w:ascii="宋体" w:hAnsi="宋体" w:eastAsia="宋体" w:cs="宋体"/>
                <w:color w:val="auto"/>
                <w:sz w:val="24"/>
                <w:szCs w:val="24"/>
              </w:rPr>
            </w:pPr>
          </w:p>
        </w:tc>
        <w:tc>
          <w:tcPr>
            <w:tcW w:w="1155" w:type="dxa"/>
            <w:vAlign w:val="center"/>
          </w:tcPr>
          <w:p w14:paraId="7E172F0B">
            <w:pPr>
              <w:spacing w:line="360" w:lineRule="auto"/>
              <w:jc w:val="center"/>
              <w:rPr>
                <w:rFonts w:hint="eastAsia" w:ascii="宋体" w:hAnsi="宋体" w:eastAsia="宋体" w:cs="宋体"/>
                <w:color w:val="auto"/>
                <w:sz w:val="24"/>
                <w:szCs w:val="24"/>
              </w:rPr>
            </w:pPr>
          </w:p>
        </w:tc>
        <w:tc>
          <w:tcPr>
            <w:tcW w:w="1155" w:type="dxa"/>
            <w:vAlign w:val="center"/>
          </w:tcPr>
          <w:p w14:paraId="5A74BE85">
            <w:pPr>
              <w:spacing w:line="360" w:lineRule="auto"/>
              <w:jc w:val="center"/>
              <w:rPr>
                <w:rFonts w:hint="eastAsia" w:ascii="宋体" w:hAnsi="宋体" w:eastAsia="宋体" w:cs="宋体"/>
                <w:color w:val="auto"/>
                <w:sz w:val="24"/>
                <w:szCs w:val="24"/>
              </w:rPr>
            </w:pPr>
          </w:p>
        </w:tc>
        <w:tc>
          <w:tcPr>
            <w:tcW w:w="1155" w:type="dxa"/>
            <w:vAlign w:val="center"/>
          </w:tcPr>
          <w:p w14:paraId="4BBDCD8E">
            <w:pPr>
              <w:spacing w:line="360" w:lineRule="auto"/>
              <w:jc w:val="center"/>
              <w:rPr>
                <w:rFonts w:hint="eastAsia" w:ascii="宋体" w:hAnsi="宋体" w:eastAsia="宋体" w:cs="宋体"/>
                <w:color w:val="auto"/>
                <w:sz w:val="24"/>
                <w:szCs w:val="24"/>
              </w:rPr>
            </w:pPr>
          </w:p>
        </w:tc>
        <w:tc>
          <w:tcPr>
            <w:tcW w:w="1166" w:type="dxa"/>
            <w:gridSpan w:val="2"/>
            <w:tcBorders>
              <w:right w:val="single" w:color="auto" w:sz="4" w:space="0"/>
            </w:tcBorders>
            <w:vAlign w:val="center"/>
          </w:tcPr>
          <w:p w14:paraId="4B83A73D">
            <w:pPr>
              <w:spacing w:line="360" w:lineRule="auto"/>
              <w:jc w:val="center"/>
              <w:rPr>
                <w:rFonts w:hint="eastAsia" w:ascii="宋体" w:hAnsi="宋体" w:eastAsia="宋体" w:cs="宋体"/>
                <w:color w:val="auto"/>
                <w:sz w:val="24"/>
                <w:szCs w:val="24"/>
              </w:rPr>
            </w:pPr>
          </w:p>
        </w:tc>
      </w:tr>
      <w:tr w14:paraId="0C3D4C5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60" w:hRule="atLeast"/>
          <w:jc w:val="center"/>
        </w:trPr>
        <w:tc>
          <w:tcPr>
            <w:tcW w:w="629" w:type="dxa"/>
            <w:vAlign w:val="center"/>
          </w:tcPr>
          <w:p w14:paraId="4A8700C2">
            <w:pPr>
              <w:spacing w:line="360" w:lineRule="auto"/>
              <w:jc w:val="center"/>
              <w:rPr>
                <w:rFonts w:hint="eastAsia" w:ascii="宋体" w:hAnsi="宋体" w:eastAsia="宋体" w:cs="宋体"/>
                <w:color w:val="auto"/>
                <w:sz w:val="24"/>
                <w:szCs w:val="24"/>
              </w:rPr>
            </w:pPr>
          </w:p>
        </w:tc>
        <w:tc>
          <w:tcPr>
            <w:tcW w:w="1156" w:type="dxa"/>
            <w:vAlign w:val="center"/>
          </w:tcPr>
          <w:p w14:paraId="3834FA67">
            <w:pPr>
              <w:spacing w:line="360" w:lineRule="auto"/>
              <w:jc w:val="center"/>
              <w:rPr>
                <w:rFonts w:hint="eastAsia" w:ascii="宋体" w:hAnsi="宋体" w:eastAsia="宋体" w:cs="宋体"/>
                <w:color w:val="auto"/>
                <w:sz w:val="24"/>
                <w:szCs w:val="24"/>
              </w:rPr>
            </w:pPr>
          </w:p>
        </w:tc>
        <w:tc>
          <w:tcPr>
            <w:tcW w:w="1156" w:type="dxa"/>
            <w:vAlign w:val="center"/>
          </w:tcPr>
          <w:p w14:paraId="637718C8">
            <w:pPr>
              <w:spacing w:line="360" w:lineRule="auto"/>
              <w:jc w:val="center"/>
              <w:rPr>
                <w:rFonts w:hint="eastAsia" w:ascii="宋体" w:hAnsi="宋体" w:eastAsia="宋体" w:cs="宋体"/>
                <w:color w:val="auto"/>
                <w:sz w:val="24"/>
                <w:szCs w:val="24"/>
              </w:rPr>
            </w:pPr>
          </w:p>
        </w:tc>
        <w:tc>
          <w:tcPr>
            <w:tcW w:w="1155" w:type="dxa"/>
            <w:vAlign w:val="center"/>
          </w:tcPr>
          <w:p w14:paraId="6AFEA8EA">
            <w:pPr>
              <w:spacing w:line="360" w:lineRule="auto"/>
              <w:jc w:val="center"/>
              <w:rPr>
                <w:rFonts w:hint="eastAsia" w:ascii="宋体" w:hAnsi="宋体" w:eastAsia="宋体" w:cs="宋体"/>
                <w:color w:val="auto"/>
                <w:sz w:val="24"/>
                <w:szCs w:val="24"/>
              </w:rPr>
            </w:pPr>
          </w:p>
        </w:tc>
        <w:tc>
          <w:tcPr>
            <w:tcW w:w="1155" w:type="dxa"/>
            <w:vAlign w:val="center"/>
          </w:tcPr>
          <w:p w14:paraId="46A3074D">
            <w:pPr>
              <w:spacing w:line="360" w:lineRule="auto"/>
              <w:jc w:val="center"/>
              <w:rPr>
                <w:rFonts w:hint="eastAsia" w:ascii="宋体" w:hAnsi="宋体" w:eastAsia="宋体" w:cs="宋体"/>
                <w:color w:val="auto"/>
                <w:sz w:val="24"/>
                <w:szCs w:val="24"/>
              </w:rPr>
            </w:pPr>
          </w:p>
        </w:tc>
        <w:tc>
          <w:tcPr>
            <w:tcW w:w="1155" w:type="dxa"/>
            <w:vAlign w:val="center"/>
          </w:tcPr>
          <w:p w14:paraId="775BFD32">
            <w:pPr>
              <w:spacing w:line="360" w:lineRule="auto"/>
              <w:jc w:val="center"/>
              <w:rPr>
                <w:rFonts w:hint="eastAsia" w:ascii="宋体" w:hAnsi="宋体" w:eastAsia="宋体" w:cs="宋体"/>
                <w:color w:val="auto"/>
                <w:sz w:val="24"/>
                <w:szCs w:val="24"/>
              </w:rPr>
            </w:pPr>
          </w:p>
        </w:tc>
        <w:tc>
          <w:tcPr>
            <w:tcW w:w="1155" w:type="dxa"/>
            <w:vAlign w:val="center"/>
          </w:tcPr>
          <w:p w14:paraId="1F0D5A68">
            <w:pPr>
              <w:spacing w:line="360" w:lineRule="auto"/>
              <w:jc w:val="center"/>
              <w:rPr>
                <w:rFonts w:hint="eastAsia" w:ascii="宋体" w:hAnsi="宋体" w:eastAsia="宋体" w:cs="宋体"/>
                <w:color w:val="auto"/>
                <w:sz w:val="24"/>
                <w:szCs w:val="24"/>
              </w:rPr>
            </w:pPr>
          </w:p>
        </w:tc>
        <w:tc>
          <w:tcPr>
            <w:tcW w:w="1166" w:type="dxa"/>
            <w:gridSpan w:val="2"/>
            <w:tcBorders>
              <w:right w:val="single" w:color="auto" w:sz="4" w:space="0"/>
            </w:tcBorders>
            <w:vAlign w:val="center"/>
          </w:tcPr>
          <w:p w14:paraId="5E520958">
            <w:pPr>
              <w:spacing w:line="360" w:lineRule="auto"/>
              <w:jc w:val="center"/>
              <w:rPr>
                <w:rFonts w:hint="eastAsia" w:ascii="宋体" w:hAnsi="宋体" w:eastAsia="宋体" w:cs="宋体"/>
                <w:color w:val="auto"/>
                <w:sz w:val="24"/>
                <w:szCs w:val="24"/>
              </w:rPr>
            </w:pPr>
          </w:p>
        </w:tc>
      </w:tr>
      <w:tr w14:paraId="081AD45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60" w:hRule="atLeast"/>
          <w:jc w:val="center"/>
        </w:trPr>
        <w:tc>
          <w:tcPr>
            <w:tcW w:w="629" w:type="dxa"/>
            <w:vAlign w:val="center"/>
          </w:tcPr>
          <w:p w14:paraId="26A65124">
            <w:pPr>
              <w:spacing w:line="360" w:lineRule="auto"/>
              <w:jc w:val="center"/>
              <w:rPr>
                <w:rFonts w:hint="eastAsia" w:ascii="宋体" w:hAnsi="宋体" w:eastAsia="宋体" w:cs="宋体"/>
                <w:color w:val="auto"/>
                <w:sz w:val="24"/>
                <w:szCs w:val="24"/>
              </w:rPr>
            </w:pPr>
          </w:p>
        </w:tc>
        <w:tc>
          <w:tcPr>
            <w:tcW w:w="1156" w:type="dxa"/>
            <w:tcBorders>
              <w:right w:val="single" w:color="auto" w:sz="4" w:space="0"/>
            </w:tcBorders>
            <w:vAlign w:val="center"/>
          </w:tcPr>
          <w:p w14:paraId="55839A02">
            <w:pPr>
              <w:spacing w:line="360" w:lineRule="auto"/>
              <w:jc w:val="center"/>
              <w:rPr>
                <w:rFonts w:hint="eastAsia" w:ascii="宋体" w:hAnsi="宋体" w:eastAsia="宋体" w:cs="宋体"/>
                <w:color w:val="auto"/>
                <w:sz w:val="24"/>
                <w:szCs w:val="24"/>
              </w:rPr>
            </w:pPr>
          </w:p>
        </w:tc>
        <w:tc>
          <w:tcPr>
            <w:tcW w:w="1156" w:type="dxa"/>
            <w:tcBorders>
              <w:left w:val="single" w:color="auto" w:sz="4" w:space="0"/>
            </w:tcBorders>
            <w:vAlign w:val="center"/>
          </w:tcPr>
          <w:p w14:paraId="34B826F4">
            <w:pPr>
              <w:spacing w:line="360" w:lineRule="auto"/>
              <w:jc w:val="center"/>
              <w:rPr>
                <w:rFonts w:hint="eastAsia" w:ascii="宋体" w:hAnsi="宋体" w:eastAsia="宋体" w:cs="宋体"/>
                <w:color w:val="auto"/>
                <w:sz w:val="24"/>
                <w:szCs w:val="24"/>
              </w:rPr>
            </w:pPr>
          </w:p>
        </w:tc>
        <w:tc>
          <w:tcPr>
            <w:tcW w:w="1155" w:type="dxa"/>
            <w:tcBorders>
              <w:left w:val="single" w:color="auto" w:sz="4" w:space="0"/>
            </w:tcBorders>
            <w:vAlign w:val="center"/>
          </w:tcPr>
          <w:p w14:paraId="17BB2B85">
            <w:pPr>
              <w:spacing w:line="360" w:lineRule="auto"/>
              <w:jc w:val="center"/>
              <w:rPr>
                <w:rFonts w:hint="eastAsia" w:ascii="宋体" w:hAnsi="宋体" w:eastAsia="宋体" w:cs="宋体"/>
                <w:color w:val="auto"/>
                <w:sz w:val="24"/>
                <w:szCs w:val="24"/>
              </w:rPr>
            </w:pPr>
          </w:p>
        </w:tc>
        <w:tc>
          <w:tcPr>
            <w:tcW w:w="1155" w:type="dxa"/>
            <w:tcBorders>
              <w:left w:val="single" w:color="auto" w:sz="4" w:space="0"/>
            </w:tcBorders>
            <w:vAlign w:val="center"/>
          </w:tcPr>
          <w:p w14:paraId="02814EBC">
            <w:pPr>
              <w:spacing w:line="360" w:lineRule="auto"/>
              <w:jc w:val="center"/>
              <w:rPr>
                <w:rFonts w:hint="eastAsia" w:ascii="宋体" w:hAnsi="宋体" w:eastAsia="宋体" w:cs="宋体"/>
                <w:color w:val="auto"/>
                <w:sz w:val="24"/>
                <w:szCs w:val="24"/>
              </w:rPr>
            </w:pPr>
          </w:p>
        </w:tc>
        <w:tc>
          <w:tcPr>
            <w:tcW w:w="1155" w:type="dxa"/>
            <w:vAlign w:val="center"/>
          </w:tcPr>
          <w:p w14:paraId="35B6255D">
            <w:pPr>
              <w:spacing w:line="360" w:lineRule="auto"/>
              <w:jc w:val="center"/>
              <w:rPr>
                <w:rFonts w:hint="eastAsia" w:ascii="宋体" w:hAnsi="宋体" w:eastAsia="宋体" w:cs="宋体"/>
                <w:color w:val="auto"/>
                <w:sz w:val="24"/>
                <w:szCs w:val="24"/>
              </w:rPr>
            </w:pPr>
          </w:p>
        </w:tc>
        <w:tc>
          <w:tcPr>
            <w:tcW w:w="1155" w:type="dxa"/>
            <w:vAlign w:val="center"/>
          </w:tcPr>
          <w:p w14:paraId="27C43AEE">
            <w:pPr>
              <w:spacing w:line="360" w:lineRule="auto"/>
              <w:jc w:val="center"/>
              <w:rPr>
                <w:rFonts w:hint="eastAsia" w:ascii="宋体" w:hAnsi="宋体" w:eastAsia="宋体" w:cs="宋体"/>
                <w:color w:val="auto"/>
                <w:sz w:val="24"/>
                <w:szCs w:val="24"/>
              </w:rPr>
            </w:pPr>
          </w:p>
        </w:tc>
        <w:tc>
          <w:tcPr>
            <w:tcW w:w="1166" w:type="dxa"/>
            <w:gridSpan w:val="2"/>
            <w:tcBorders>
              <w:right w:val="single" w:color="auto" w:sz="4" w:space="0"/>
            </w:tcBorders>
            <w:vAlign w:val="center"/>
          </w:tcPr>
          <w:p w14:paraId="2E157449">
            <w:pPr>
              <w:spacing w:line="360" w:lineRule="auto"/>
              <w:jc w:val="center"/>
              <w:rPr>
                <w:rFonts w:hint="eastAsia" w:ascii="宋体" w:hAnsi="宋体" w:eastAsia="宋体" w:cs="宋体"/>
                <w:color w:val="auto"/>
                <w:sz w:val="24"/>
                <w:szCs w:val="24"/>
              </w:rPr>
            </w:pPr>
          </w:p>
        </w:tc>
      </w:tr>
      <w:tr w14:paraId="04D12EA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60" w:hRule="atLeast"/>
          <w:jc w:val="center"/>
        </w:trPr>
        <w:tc>
          <w:tcPr>
            <w:tcW w:w="629" w:type="dxa"/>
            <w:tcBorders>
              <w:right w:val="single" w:color="auto" w:sz="4" w:space="0"/>
            </w:tcBorders>
            <w:vAlign w:val="center"/>
          </w:tcPr>
          <w:p w14:paraId="08519DF9">
            <w:pPr>
              <w:spacing w:line="360" w:lineRule="auto"/>
              <w:rPr>
                <w:rFonts w:hint="eastAsia" w:ascii="宋体" w:hAnsi="宋体" w:eastAsia="宋体" w:cs="宋体"/>
                <w:color w:val="auto"/>
                <w:sz w:val="24"/>
                <w:szCs w:val="24"/>
              </w:rPr>
            </w:pPr>
          </w:p>
        </w:tc>
        <w:tc>
          <w:tcPr>
            <w:tcW w:w="1156" w:type="dxa"/>
            <w:tcBorders>
              <w:left w:val="single" w:color="auto" w:sz="4" w:space="0"/>
              <w:right w:val="single" w:color="auto" w:sz="4" w:space="0"/>
            </w:tcBorders>
            <w:vAlign w:val="center"/>
          </w:tcPr>
          <w:p w14:paraId="3E26170C">
            <w:pPr>
              <w:spacing w:line="360" w:lineRule="auto"/>
              <w:rPr>
                <w:rFonts w:hint="eastAsia" w:ascii="宋体" w:hAnsi="宋体" w:eastAsia="宋体" w:cs="宋体"/>
                <w:color w:val="auto"/>
                <w:sz w:val="24"/>
                <w:szCs w:val="24"/>
              </w:rPr>
            </w:pPr>
          </w:p>
        </w:tc>
        <w:tc>
          <w:tcPr>
            <w:tcW w:w="1156" w:type="dxa"/>
            <w:tcBorders>
              <w:left w:val="single" w:color="auto" w:sz="4" w:space="0"/>
              <w:right w:val="single" w:color="auto" w:sz="4" w:space="0"/>
            </w:tcBorders>
            <w:vAlign w:val="center"/>
          </w:tcPr>
          <w:p w14:paraId="564F0D09">
            <w:pPr>
              <w:spacing w:line="360" w:lineRule="auto"/>
              <w:rPr>
                <w:rFonts w:hint="eastAsia" w:ascii="宋体" w:hAnsi="宋体" w:eastAsia="宋体" w:cs="宋体"/>
                <w:color w:val="auto"/>
                <w:sz w:val="24"/>
                <w:szCs w:val="24"/>
              </w:rPr>
            </w:pPr>
          </w:p>
        </w:tc>
        <w:tc>
          <w:tcPr>
            <w:tcW w:w="1155" w:type="dxa"/>
            <w:tcBorders>
              <w:left w:val="single" w:color="auto" w:sz="4" w:space="0"/>
              <w:right w:val="single" w:color="auto" w:sz="4" w:space="0"/>
            </w:tcBorders>
            <w:vAlign w:val="center"/>
          </w:tcPr>
          <w:p w14:paraId="31B3FEC4">
            <w:pPr>
              <w:spacing w:line="360" w:lineRule="auto"/>
              <w:rPr>
                <w:rFonts w:hint="eastAsia" w:ascii="宋体" w:hAnsi="宋体" w:eastAsia="宋体" w:cs="宋体"/>
                <w:color w:val="auto"/>
                <w:sz w:val="24"/>
                <w:szCs w:val="24"/>
              </w:rPr>
            </w:pPr>
          </w:p>
        </w:tc>
        <w:tc>
          <w:tcPr>
            <w:tcW w:w="1155" w:type="dxa"/>
            <w:tcBorders>
              <w:left w:val="single" w:color="auto" w:sz="4" w:space="0"/>
              <w:right w:val="single" w:color="auto" w:sz="4" w:space="0"/>
            </w:tcBorders>
            <w:vAlign w:val="center"/>
          </w:tcPr>
          <w:p w14:paraId="61417FA4">
            <w:pPr>
              <w:spacing w:line="360" w:lineRule="auto"/>
              <w:rPr>
                <w:rFonts w:hint="eastAsia" w:ascii="宋体" w:hAnsi="宋体" w:eastAsia="宋体" w:cs="宋体"/>
                <w:color w:val="auto"/>
                <w:sz w:val="24"/>
                <w:szCs w:val="24"/>
              </w:rPr>
            </w:pPr>
          </w:p>
        </w:tc>
        <w:tc>
          <w:tcPr>
            <w:tcW w:w="1155" w:type="dxa"/>
            <w:tcBorders>
              <w:left w:val="single" w:color="auto" w:sz="4" w:space="0"/>
              <w:right w:val="single" w:color="auto" w:sz="4" w:space="0"/>
            </w:tcBorders>
            <w:vAlign w:val="center"/>
          </w:tcPr>
          <w:p w14:paraId="28CA99A3">
            <w:pPr>
              <w:spacing w:line="360" w:lineRule="auto"/>
              <w:rPr>
                <w:rFonts w:hint="eastAsia" w:ascii="宋体" w:hAnsi="宋体" w:eastAsia="宋体" w:cs="宋体"/>
                <w:color w:val="auto"/>
                <w:sz w:val="24"/>
                <w:szCs w:val="24"/>
              </w:rPr>
            </w:pPr>
          </w:p>
        </w:tc>
        <w:tc>
          <w:tcPr>
            <w:tcW w:w="1155" w:type="dxa"/>
            <w:tcBorders>
              <w:left w:val="single" w:color="auto" w:sz="4" w:space="0"/>
              <w:right w:val="single" w:color="auto" w:sz="4" w:space="0"/>
            </w:tcBorders>
            <w:vAlign w:val="center"/>
          </w:tcPr>
          <w:p w14:paraId="7F74BAA2">
            <w:pPr>
              <w:spacing w:line="360" w:lineRule="auto"/>
              <w:rPr>
                <w:rFonts w:hint="eastAsia" w:ascii="宋体" w:hAnsi="宋体" w:eastAsia="宋体" w:cs="宋体"/>
                <w:color w:val="auto"/>
                <w:sz w:val="24"/>
                <w:szCs w:val="24"/>
              </w:rPr>
            </w:pPr>
          </w:p>
        </w:tc>
        <w:tc>
          <w:tcPr>
            <w:tcW w:w="1166" w:type="dxa"/>
            <w:gridSpan w:val="2"/>
            <w:tcBorders>
              <w:left w:val="single" w:color="auto" w:sz="4" w:space="0"/>
              <w:right w:val="single" w:color="auto" w:sz="4" w:space="0"/>
            </w:tcBorders>
            <w:vAlign w:val="center"/>
          </w:tcPr>
          <w:p w14:paraId="3C28D070">
            <w:pPr>
              <w:spacing w:line="360" w:lineRule="auto"/>
              <w:rPr>
                <w:rFonts w:hint="eastAsia" w:ascii="宋体" w:hAnsi="宋体" w:eastAsia="宋体" w:cs="宋体"/>
                <w:color w:val="auto"/>
                <w:sz w:val="24"/>
                <w:szCs w:val="24"/>
              </w:rPr>
            </w:pPr>
          </w:p>
        </w:tc>
      </w:tr>
      <w:tr w14:paraId="15AB9FF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gridAfter w:val="1"/>
          <w:wAfter w:w="9" w:type="dxa"/>
          <w:cantSplit/>
          <w:trHeight w:val="560" w:hRule="atLeast"/>
          <w:jc w:val="center"/>
        </w:trPr>
        <w:tc>
          <w:tcPr>
            <w:tcW w:w="629" w:type="dxa"/>
            <w:vAlign w:val="center"/>
          </w:tcPr>
          <w:p w14:paraId="67F6BD70">
            <w:pPr>
              <w:spacing w:line="360" w:lineRule="auto"/>
              <w:rPr>
                <w:rFonts w:hint="eastAsia" w:ascii="宋体" w:hAnsi="宋体" w:eastAsia="宋体" w:cs="宋体"/>
                <w:color w:val="auto"/>
                <w:sz w:val="24"/>
                <w:szCs w:val="24"/>
              </w:rPr>
            </w:pPr>
          </w:p>
        </w:tc>
        <w:tc>
          <w:tcPr>
            <w:tcW w:w="1156" w:type="dxa"/>
            <w:vAlign w:val="center"/>
          </w:tcPr>
          <w:p w14:paraId="7FCE618D">
            <w:pPr>
              <w:spacing w:line="360" w:lineRule="auto"/>
              <w:rPr>
                <w:rFonts w:hint="eastAsia" w:ascii="宋体" w:hAnsi="宋体" w:eastAsia="宋体" w:cs="宋体"/>
                <w:color w:val="auto"/>
                <w:sz w:val="24"/>
                <w:szCs w:val="24"/>
              </w:rPr>
            </w:pPr>
          </w:p>
        </w:tc>
        <w:tc>
          <w:tcPr>
            <w:tcW w:w="1156" w:type="dxa"/>
            <w:vAlign w:val="center"/>
          </w:tcPr>
          <w:p w14:paraId="2B8165B2">
            <w:pPr>
              <w:spacing w:line="360" w:lineRule="auto"/>
              <w:rPr>
                <w:rFonts w:hint="eastAsia" w:ascii="宋体" w:hAnsi="宋体" w:eastAsia="宋体" w:cs="宋体"/>
                <w:color w:val="auto"/>
                <w:sz w:val="24"/>
                <w:szCs w:val="24"/>
              </w:rPr>
            </w:pPr>
          </w:p>
        </w:tc>
        <w:tc>
          <w:tcPr>
            <w:tcW w:w="1155" w:type="dxa"/>
            <w:vAlign w:val="center"/>
          </w:tcPr>
          <w:p w14:paraId="1E2720BA">
            <w:pPr>
              <w:spacing w:line="360" w:lineRule="auto"/>
              <w:rPr>
                <w:rFonts w:hint="eastAsia" w:ascii="宋体" w:hAnsi="宋体" w:eastAsia="宋体" w:cs="宋体"/>
                <w:color w:val="auto"/>
                <w:sz w:val="24"/>
                <w:szCs w:val="24"/>
              </w:rPr>
            </w:pPr>
          </w:p>
        </w:tc>
        <w:tc>
          <w:tcPr>
            <w:tcW w:w="1155" w:type="dxa"/>
            <w:vAlign w:val="center"/>
          </w:tcPr>
          <w:p w14:paraId="5E1F48D9">
            <w:pPr>
              <w:spacing w:line="360" w:lineRule="auto"/>
              <w:rPr>
                <w:rFonts w:hint="eastAsia" w:ascii="宋体" w:hAnsi="宋体" w:eastAsia="宋体" w:cs="宋体"/>
                <w:color w:val="auto"/>
                <w:sz w:val="24"/>
                <w:szCs w:val="24"/>
              </w:rPr>
            </w:pPr>
          </w:p>
        </w:tc>
        <w:tc>
          <w:tcPr>
            <w:tcW w:w="1155" w:type="dxa"/>
            <w:vAlign w:val="center"/>
          </w:tcPr>
          <w:p w14:paraId="713A9F65">
            <w:pPr>
              <w:spacing w:line="360" w:lineRule="auto"/>
              <w:rPr>
                <w:rFonts w:hint="eastAsia" w:ascii="宋体" w:hAnsi="宋体" w:eastAsia="宋体" w:cs="宋体"/>
                <w:color w:val="auto"/>
                <w:sz w:val="24"/>
                <w:szCs w:val="24"/>
              </w:rPr>
            </w:pPr>
          </w:p>
        </w:tc>
        <w:tc>
          <w:tcPr>
            <w:tcW w:w="1155" w:type="dxa"/>
            <w:tcBorders>
              <w:right w:val="single" w:color="auto" w:sz="4" w:space="0"/>
            </w:tcBorders>
            <w:vAlign w:val="center"/>
          </w:tcPr>
          <w:p w14:paraId="7101DB7A">
            <w:pPr>
              <w:spacing w:line="360" w:lineRule="auto"/>
              <w:rPr>
                <w:rFonts w:hint="eastAsia" w:ascii="宋体" w:hAnsi="宋体" w:eastAsia="宋体" w:cs="宋体"/>
                <w:color w:val="auto"/>
                <w:sz w:val="24"/>
                <w:szCs w:val="24"/>
              </w:rPr>
            </w:pPr>
          </w:p>
        </w:tc>
        <w:tc>
          <w:tcPr>
            <w:tcW w:w="1157" w:type="dxa"/>
            <w:tcBorders>
              <w:left w:val="single" w:color="auto" w:sz="4" w:space="0"/>
              <w:right w:val="single" w:color="auto" w:sz="4" w:space="0"/>
            </w:tcBorders>
            <w:vAlign w:val="center"/>
          </w:tcPr>
          <w:p w14:paraId="6F4DC5D6">
            <w:pPr>
              <w:spacing w:line="360" w:lineRule="auto"/>
              <w:rPr>
                <w:rFonts w:hint="eastAsia" w:ascii="宋体" w:hAnsi="宋体" w:eastAsia="宋体" w:cs="宋体"/>
                <w:color w:val="auto"/>
                <w:sz w:val="24"/>
                <w:szCs w:val="24"/>
              </w:rPr>
            </w:pPr>
          </w:p>
        </w:tc>
      </w:tr>
      <w:tr w14:paraId="37C107E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gridAfter w:val="1"/>
          <w:wAfter w:w="9" w:type="dxa"/>
          <w:cantSplit/>
          <w:trHeight w:val="560" w:hRule="atLeast"/>
          <w:jc w:val="center"/>
        </w:trPr>
        <w:tc>
          <w:tcPr>
            <w:tcW w:w="629" w:type="dxa"/>
            <w:vAlign w:val="center"/>
          </w:tcPr>
          <w:p w14:paraId="7423F4D5">
            <w:pPr>
              <w:spacing w:line="360" w:lineRule="auto"/>
              <w:jc w:val="center"/>
              <w:rPr>
                <w:rFonts w:hint="eastAsia" w:ascii="宋体" w:hAnsi="宋体" w:eastAsia="宋体" w:cs="宋体"/>
                <w:color w:val="auto"/>
                <w:sz w:val="24"/>
                <w:szCs w:val="24"/>
              </w:rPr>
            </w:pPr>
          </w:p>
        </w:tc>
        <w:tc>
          <w:tcPr>
            <w:tcW w:w="1156" w:type="dxa"/>
            <w:vAlign w:val="center"/>
          </w:tcPr>
          <w:p w14:paraId="22747B21">
            <w:pPr>
              <w:spacing w:line="360" w:lineRule="auto"/>
              <w:jc w:val="center"/>
              <w:rPr>
                <w:rFonts w:hint="eastAsia" w:ascii="宋体" w:hAnsi="宋体" w:eastAsia="宋体" w:cs="宋体"/>
                <w:color w:val="auto"/>
                <w:sz w:val="24"/>
                <w:szCs w:val="24"/>
              </w:rPr>
            </w:pPr>
          </w:p>
        </w:tc>
        <w:tc>
          <w:tcPr>
            <w:tcW w:w="1156" w:type="dxa"/>
            <w:vAlign w:val="center"/>
          </w:tcPr>
          <w:p w14:paraId="69A45C41">
            <w:pPr>
              <w:spacing w:line="360" w:lineRule="auto"/>
              <w:jc w:val="center"/>
              <w:rPr>
                <w:rFonts w:hint="eastAsia" w:ascii="宋体" w:hAnsi="宋体" w:eastAsia="宋体" w:cs="宋体"/>
                <w:color w:val="auto"/>
                <w:sz w:val="24"/>
                <w:szCs w:val="24"/>
              </w:rPr>
            </w:pPr>
          </w:p>
        </w:tc>
        <w:tc>
          <w:tcPr>
            <w:tcW w:w="1155" w:type="dxa"/>
            <w:vAlign w:val="center"/>
          </w:tcPr>
          <w:p w14:paraId="61741D73">
            <w:pPr>
              <w:spacing w:line="360" w:lineRule="auto"/>
              <w:jc w:val="center"/>
              <w:rPr>
                <w:rFonts w:hint="eastAsia" w:ascii="宋体" w:hAnsi="宋体" w:eastAsia="宋体" w:cs="宋体"/>
                <w:color w:val="auto"/>
                <w:sz w:val="24"/>
                <w:szCs w:val="24"/>
              </w:rPr>
            </w:pPr>
          </w:p>
        </w:tc>
        <w:tc>
          <w:tcPr>
            <w:tcW w:w="1155" w:type="dxa"/>
            <w:vAlign w:val="center"/>
          </w:tcPr>
          <w:p w14:paraId="3E9ABDF0">
            <w:pPr>
              <w:spacing w:line="360" w:lineRule="auto"/>
              <w:jc w:val="center"/>
              <w:rPr>
                <w:rFonts w:hint="eastAsia" w:ascii="宋体" w:hAnsi="宋体" w:eastAsia="宋体" w:cs="宋体"/>
                <w:color w:val="auto"/>
                <w:sz w:val="24"/>
                <w:szCs w:val="24"/>
              </w:rPr>
            </w:pPr>
          </w:p>
        </w:tc>
        <w:tc>
          <w:tcPr>
            <w:tcW w:w="1155" w:type="dxa"/>
            <w:vAlign w:val="center"/>
          </w:tcPr>
          <w:p w14:paraId="51756F03">
            <w:pPr>
              <w:spacing w:line="360" w:lineRule="auto"/>
              <w:jc w:val="center"/>
              <w:rPr>
                <w:rFonts w:hint="eastAsia" w:ascii="宋体" w:hAnsi="宋体" w:eastAsia="宋体" w:cs="宋体"/>
                <w:color w:val="auto"/>
                <w:sz w:val="24"/>
                <w:szCs w:val="24"/>
              </w:rPr>
            </w:pPr>
          </w:p>
        </w:tc>
        <w:tc>
          <w:tcPr>
            <w:tcW w:w="1155" w:type="dxa"/>
            <w:tcBorders>
              <w:right w:val="single" w:color="auto" w:sz="4" w:space="0"/>
            </w:tcBorders>
            <w:vAlign w:val="center"/>
          </w:tcPr>
          <w:p w14:paraId="2130A33A">
            <w:pPr>
              <w:spacing w:line="360" w:lineRule="auto"/>
              <w:jc w:val="center"/>
              <w:rPr>
                <w:rFonts w:hint="eastAsia" w:ascii="宋体" w:hAnsi="宋体" w:eastAsia="宋体" w:cs="宋体"/>
                <w:color w:val="auto"/>
                <w:sz w:val="24"/>
                <w:szCs w:val="24"/>
              </w:rPr>
            </w:pPr>
          </w:p>
        </w:tc>
        <w:tc>
          <w:tcPr>
            <w:tcW w:w="1157" w:type="dxa"/>
            <w:tcBorders>
              <w:left w:val="single" w:color="auto" w:sz="4" w:space="0"/>
              <w:right w:val="single" w:color="auto" w:sz="4" w:space="0"/>
            </w:tcBorders>
            <w:vAlign w:val="center"/>
          </w:tcPr>
          <w:p w14:paraId="61F2B971">
            <w:pPr>
              <w:spacing w:line="360" w:lineRule="auto"/>
              <w:jc w:val="center"/>
              <w:rPr>
                <w:rFonts w:hint="eastAsia" w:ascii="宋体" w:hAnsi="宋体" w:eastAsia="宋体" w:cs="宋体"/>
                <w:color w:val="auto"/>
                <w:sz w:val="24"/>
                <w:szCs w:val="24"/>
              </w:rPr>
            </w:pPr>
          </w:p>
        </w:tc>
      </w:tr>
      <w:tr w14:paraId="5AF8747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gridAfter w:val="1"/>
          <w:wAfter w:w="9" w:type="dxa"/>
          <w:cantSplit/>
          <w:trHeight w:val="560" w:hRule="atLeast"/>
          <w:jc w:val="center"/>
        </w:trPr>
        <w:tc>
          <w:tcPr>
            <w:tcW w:w="629" w:type="dxa"/>
            <w:vAlign w:val="center"/>
          </w:tcPr>
          <w:p w14:paraId="035A142D">
            <w:pPr>
              <w:spacing w:line="360" w:lineRule="auto"/>
              <w:jc w:val="center"/>
              <w:rPr>
                <w:rFonts w:hint="eastAsia" w:ascii="宋体" w:hAnsi="宋体" w:eastAsia="宋体" w:cs="宋体"/>
                <w:color w:val="auto"/>
                <w:sz w:val="24"/>
                <w:szCs w:val="24"/>
              </w:rPr>
            </w:pPr>
          </w:p>
        </w:tc>
        <w:tc>
          <w:tcPr>
            <w:tcW w:w="1156" w:type="dxa"/>
            <w:vAlign w:val="center"/>
          </w:tcPr>
          <w:p w14:paraId="31C4A63D">
            <w:pPr>
              <w:spacing w:line="360" w:lineRule="auto"/>
              <w:jc w:val="center"/>
              <w:rPr>
                <w:rFonts w:hint="eastAsia" w:ascii="宋体" w:hAnsi="宋体" w:eastAsia="宋体" w:cs="宋体"/>
                <w:color w:val="auto"/>
                <w:sz w:val="24"/>
                <w:szCs w:val="24"/>
              </w:rPr>
            </w:pPr>
          </w:p>
        </w:tc>
        <w:tc>
          <w:tcPr>
            <w:tcW w:w="1156" w:type="dxa"/>
            <w:vAlign w:val="center"/>
          </w:tcPr>
          <w:p w14:paraId="602A4C39">
            <w:pPr>
              <w:spacing w:line="360" w:lineRule="auto"/>
              <w:jc w:val="center"/>
              <w:rPr>
                <w:rFonts w:hint="eastAsia" w:ascii="宋体" w:hAnsi="宋体" w:eastAsia="宋体" w:cs="宋体"/>
                <w:color w:val="auto"/>
                <w:sz w:val="24"/>
                <w:szCs w:val="24"/>
              </w:rPr>
            </w:pPr>
          </w:p>
        </w:tc>
        <w:tc>
          <w:tcPr>
            <w:tcW w:w="1155" w:type="dxa"/>
            <w:vAlign w:val="center"/>
          </w:tcPr>
          <w:p w14:paraId="51BB0D48">
            <w:pPr>
              <w:spacing w:line="360" w:lineRule="auto"/>
              <w:jc w:val="center"/>
              <w:rPr>
                <w:rFonts w:hint="eastAsia" w:ascii="宋体" w:hAnsi="宋体" w:eastAsia="宋体" w:cs="宋体"/>
                <w:color w:val="auto"/>
                <w:sz w:val="24"/>
                <w:szCs w:val="24"/>
              </w:rPr>
            </w:pPr>
          </w:p>
        </w:tc>
        <w:tc>
          <w:tcPr>
            <w:tcW w:w="1155" w:type="dxa"/>
            <w:vAlign w:val="center"/>
          </w:tcPr>
          <w:p w14:paraId="0FF9768D">
            <w:pPr>
              <w:spacing w:line="360" w:lineRule="auto"/>
              <w:jc w:val="center"/>
              <w:rPr>
                <w:rFonts w:hint="eastAsia" w:ascii="宋体" w:hAnsi="宋体" w:eastAsia="宋体" w:cs="宋体"/>
                <w:color w:val="auto"/>
                <w:sz w:val="24"/>
                <w:szCs w:val="24"/>
              </w:rPr>
            </w:pPr>
          </w:p>
        </w:tc>
        <w:tc>
          <w:tcPr>
            <w:tcW w:w="1155" w:type="dxa"/>
            <w:vAlign w:val="center"/>
          </w:tcPr>
          <w:p w14:paraId="7045A835">
            <w:pPr>
              <w:spacing w:line="360" w:lineRule="auto"/>
              <w:jc w:val="center"/>
              <w:rPr>
                <w:rFonts w:hint="eastAsia" w:ascii="宋体" w:hAnsi="宋体" w:eastAsia="宋体" w:cs="宋体"/>
                <w:color w:val="auto"/>
                <w:sz w:val="24"/>
                <w:szCs w:val="24"/>
              </w:rPr>
            </w:pPr>
          </w:p>
        </w:tc>
        <w:tc>
          <w:tcPr>
            <w:tcW w:w="1155" w:type="dxa"/>
            <w:tcBorders>
              <w:right w:val="single" w:color="auto" w:sz="4" w:space="0"/>
            </w:tcBorders>
            <w:vAlign w:val="center"/>
          </w:tcPr>
          <w:p w14:paraId="3B52E0CE">
            <w:pPr>
              <w:spacing w:line="360" w:lineRule="auto"/>
              <w:jc w:val="center"/>
              <w:rPr>
                <w:rFonts w:hint="eastAsia" w:ascii="宋体" w:hAnsi="宋体" w:eastAsia="宋体" w:cs="宋体"/>
                <w:color w:val="auto"/>
                <w:sz w:val="24"/>
                <w:szCs w:val="24"/>
              </w:rPr>
            </w:pPr>
          </w:p>
        </w:tc>
        <w:tc>
          <w:tcPr>
            <w:tcW w:w="1157" w:type="dxa"/>
            <w:tcBorders>
              <w:left w:val="single" w:color="auto" w:sz="4" w:space="0"/>
              <w:right w:val="single" w:color="auto" w:sz="4" w:space="0"/>
            </w:tcBorders>
            <w:vAlign w:val="center"/>
          </w:tcPr>
          <w:p w14:paraId="758719DF">
            <w:pPr>
              <w:spacing w:line="360" w:lineRule="auto"/>
              <w:jc w:val="center"/>
              <w:rPr>
                <w:rFonts w:hint="eastAsia" w:ascii="宋体" w:hAnsi="宋体" w:eastAsia="宋体" w:cs="宋体"/>
                <w:color w:val="auto"/>
                <w:sz w:val="24"/>
                <w:szCs w:val="24"/>
              </w:rPr>
            </w:pPr>
          </w:p>
        </w:tc>
      </w:tr>
      <w:tr w14:paraId="4322DC5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gridAfter w:val="1"/>
          <w:wAfter w:w="9" w:type="dxa"/>
          <w:cantSplit/>
          <w:trHeight w:val="560" w:hRule="atLeast"/>
          <w:jc w:val="center"/>
        </w:trPr>
        <w:tc>
          <w:tcPr>
            <w:tcW w:w="629" w:type="dxa"/>
            <w:tcBorders>
              <w:bottom w:val="single" w:color="auto" w:sz="4" w:space="0"/>
            </w:tcBorders>
            <w:vAlign w:val="center"/>
          </w:tcPr>
          <w:p w14:paraId="0898441C">
            <w:pPr>
              <w:spacing w:line="360" w:lineRule="auto"/>
              <w:jc w:val="center"/>
              <w:rPr>
                <w:rFonts w:hint="eastAsia" w:ascii="宋体" w:hAnsi="宋体" w:eastAsia="宋体" w:cs="宋体"/>
                <w:color w:val="auto"/>
                <w:sz w:val="24"/>
                <w:szCs w:val="24"/>
              </w:rPr>
            </w:pPr>
          </w:p>
        </w:tc>
        <w:tc>
          <w:tcPr>
            <w:tcW w:w="1156" w:type="dxa"/>
            <w:tcBorders>
              <w:bottom w:val="single" w:color="auto" w:sz="4" w:space="0"/>
            </w:tcBorders>
            <w:vAlign w:val="center"/>
          </w:tcPr>
          <w:p w14:paraId="5479A1F7">
            <w:pPr>
              <w:spacing w:line="360" w:lineRule="auto"/>
              <w:jc w:val="center"/>
              <w:rPr>
                <w:rFonts w:hint="eastAsia" w:ascii="宋体" w:hAnsi="宋体" w:eastAsia="宋体" w:cs="宋体"/>
                <w:color w:val="auto"/>
                <w:sz w:val="24"/>
                <w:szCs w:val="24"/>
              </w:rPr>
            </w:pPr>
          </w:p>
        </w:tc>
        <w:tc>
          <w:tcPr>
            <w:tcW w:w="1156" w:type="dxa"/>
            <w:tcBorders>
              <w:bottom w:val="single" w:color="auto" w:sz="4" w:space="0"/>
            </w:tcBorders>
            <w:vAlign w:val="center"/>
          </w:tcPr>
          <w:p w14:paraId="5947589F">
            <w:pPr>
              <w:spacing w:line="360" w:lineRule="auto"/>
              <w:jc w:val="center"/>
              <w:rPr>
                <w:rFonts w:hint="eastAsia" w:ascii="宋体" w:hAnsi="宋体" w:eastAsia="宋体" w:cs="宋体"/>
                <w:color w:val="auto"/>
                <w:sz w:val="24"/>
                <w:szCs w:val="24"/>
              </w:rPr>
            </w:pPr>
          </w:p>
        </w:tc>
        <w:tc>
          <w:tcPr>
            <w:tcW w:w="1155" w:type="dxa"/>
            <w:tcBorders>
              <w:bottom w:val="single" w:color="auto" w:sz="4" w:space="0"/>
            </w:tcBorders>
            <w:vAlign w:val="center"/>
          </w:tcPr>
          <w:p w14:paraId="211FA813">
            <w:pPr>
              <w:spacing w:line="360" w:lineRule="auto"/>
              <w:jc w:val="center"/>
              <w:rPr>
                <w:rFonts w:hint="eastAsia" w:ascii="宋体" w:hAnsi="宋体" w:eastAsia="宋体" w:cs="宋体"/>
                <w:color w:val="auto"/>
                <w:sz w:val="24"/>
                <w:szCs w:val="24"/>
              </w:rPr>
            </w:pPr>
          </w:p>
        </w:tc>
        <w:tc>
          <w:tcPr>
            <w:tcW w:w="1155" w:type="dxa"/>
            <w:tcBorders>
              <w:bottom w:val="single" w:color="auto" w:sz="4" w:space="0"/>
            </w:tcBorders>
            <w:vAlign w:val="center"/>
          </w:tcPr>
          <w:p w14:paraId="567FB259">
            <w:pPr>
              <w:spacing w:line="360" w:lineRule="auto"/>
              <w:jc w:val="center"/>
              <w:rPr>
                <w:rFonts w:hint="eastAsia" w:ascii="宋体" w:hAnsi="宋体" w:eastAsia="宋体" w:cs="宋体"/>
                <w:color w:val="auto"/>
                <w:sz w:val="24"/>
                <w:szCs w:val="24"/>
              </w:rPr>
            </w:pPr>
          </w:p>
        </w:tc>
        <w:tc>
          <w:tcPr>
            <w:tcW w:w="1155" w:type="dxa"/>
            <w:tcBorders>
              <w:bottom w:val="single" w:color="auto" w:sz="4" w:space="0"/>
            </w:tcBorders>
            <w:vAlign w:val="center"/>
          </w:tcPr>
          <w:p w14:paraId="7BE9EB2D">
            <w:pPr>
              <w:spacing w:line="360" w:lineRule="auto"/>
              <w:jc w:val="center"/>
              <w:rPr>
                <w:rFonts w:hint="eastAsia" w:ascii="宋体" w:hAnsi="宋体" w:eastAsia="宋体" w:cs="宋体"/>
                <w:color w:val="auto"/>
                <w:sz w:val="24"/>
                <w:szCs w:val="24"/>
              </w:rPr>
            </w:pPr>
          </w:p>
        </w:tc>
        <w:tc>
          <w:tcPr>
            <w:tcW w:w="1155" w:type="dxa"/>
            <w:tcBorders>
              <w:bottom w:val="single" w:color="auto" w:sz="4" w:space="0"/>
              <w:right w:val="single" w:color="auto" w:sz="4" w:space="0"/>
            </w:tcBorders>
            <w:vAlign w:val="center"/>
          </w:tcPr>
          <w:p w14:paraId="57F01E4C">
            <w:pPr>
              <w:spacing w:line="360" w:lineRule="auto"/>
              <w:jc w:val="center"/>
              <w:rPr>
                <w:rFonts w:hint="eastAsia" w:ascii="宋体" w:hAnsi="宋体" w:eastAsia="宋体" w:cs="宋体"/>
                <w:color w:val="auto"/>
                <w:sz w:val="24"/>
                <w:szCs w:val="24"/>
              </w:rPr>
            </w:pPr>
          </w:p>
        </w:tc>
        <w:tc>
          <w:tcPr>
            <w:tcW w:w="1157" w:type="dxa"/>
            <w:tcBorders>
              <w:left w:val="single" w:color="auto" w:sz="4" w:space="0"/>
              <w:bottom w:val="single" w:color="auto" w:sz="4" w:space="0"/>
              <w:right w:val="single" w:color="auto" w:sz="4" w:space="0"/>
            </w:tcBorders>
            <w:vAlign w:val="center"/>
          </w:tcPr>
          <w:p w14:paraId="31C73AAD">
            <w:pPr>
              <w:spacing w:line="360" w:lineRule="auto"/>
              <w:jc w:val="center"/>
              <w:rPr>
                <w:rFonts w:hint="eastAsia" w:ascii="宋体" w:hAnsi="宋体" w:eastAsia="宋体" w:cs="宋体"/>
                <w:color w:val="auto"/>
                <w:sz w:val="24"/>
                <w:szCs w:val="24"/>
              </w:rPr>
            </w:pPr>
          </w:p>
        </w:tc>
      </w:tr>
      <w:tr w14:paraId="3E1972B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gridAfter w:val="1"/>
          <w:wAfter w:w="9" w:type="dxa"/>
          <w:cantSplit/>
          <w:trHeight w:val="560" w:hRule="atLeast"/>
          <w:jc w:val="center"/>
        </w:trPr>
        <w:tc>
          <w:tcPr>
            <w:tcW w:w="629" w:type="dxa"/>
            <w:tcBorders>
              <w:top w:val="single" w:color="auto" w:sz="4" w:space="0"/>
              <w:bottom w:val="single" w:color="auto" w:sz="4" w:space="0"/>
            </w:tcBorders>
            <w:vAlign w:val="center"/>
          </w:tcPr>
          <w:p w14:paraId="2B6C8346">
            <w:pPr>
              <w:spacing w:line="360" w:lineRule="auto"/>
              <w:jc w:val="center"/>
              <w:rPr>
                <w:rFonts w:hint="eastAsia" w:ascii="宋体" w:hAnsi="宋体" w:eastAsia="宋体" w:cs="宋体"/>
                <w:color w:val="auto"/>
                <w:sz w:val="24"/>
                <w:szCs w:val="24"/>
              </w:rPr>
            </w:pPr>
          </w:p>
        </w:tc>
        <w:tc>
          <w:tcPr>
            <w:tcW w:w="1156" w:type="dxa"/>
            <w:tcBorders>
              <w:top w:val="single" w:color="auto" w:sz="4" w:space="0"/>
              <w:bottom w:val="single" w:color="auto" w:sz="4" w:space="0"/>
            </w:tcBorders>
            <w:vAlign w:val="center"/>
          </w:tcPr>
          <w:p w14:paraId="7CF4E3B3">
            <w:pPr>
              <w:spacing w:line="360" w:lineRule="auto"/>
              <w:jc w:val="center"/>
              <w:rPr>
                <w:rFonts w:hint="eastAsia" w:ascii="宋体" w:hAnsi="宋体" w:eastAsia="宋体" w:cs="宋体"/>
                <w:color w:val="auto"/>
                <w:sz w:val="24"/>
                <w:szCs w:val="24"/>
              </w:rPr>
            </w:pPr>
          </w:p>
        </w:tc>
        <w:tc>
          <w:tcPr>
            <w:tcW w:w="1156" w:type="dxa"/>
            <w:tcBorders>
              <w:top w:val="single" w:color="auto" w:sz="4" w:space="0"/>
              <w:bottom w:val="single" w:color="auto" w:sz="4" w:space="0"/>
            </w:tcBorders>
            <w:vAlign w:val="center"/>
          </w:tcPr>
          <w:p w14:paraId="59D050F9">
            <w:pPr>
              <w:spacing w:line="360" w:lineRule="auto"/>
              <w:jc w:val="center"/>
              <w:rPr>
                <w:rFonts w:hint="eastAsia" w:ascii="宋体" w:hAnsi="宋体" w:eastAsia="宋体" w:cs="宋体"/>
                <w:color w:val="auto"/>
                <w:sz w:val="24"/>
                <w:szCs w:val="24"/>
              </w:rPr>
            </w:pPr>
          </w:p>
        </w:tc>
        <w:tc>
          <w:tcPr>
            <w:tcW w:w="1155" w:type="dxa"/>
            <w:tcBorders>
              <w:top w:val="single" w:color="auto" w:sz="4" w:space="0"/>
              <w:bottom w:val="single" w:color="auto" w:sz="4" w:space="0"/>
            </w:tcBorders>
            <w:vAlign w:val="center"/>
          </w:tcPr>
          <w:p w14:paraId="27BF3F8B">
            <w:pPr>
              <w:spacing w:line="360" w:lineRule="auto"/>
              <w:jc w:val="center"/>
              <w:rPr>
                <w:rFonts w:hint="eastAsia" w:ascii="宋体" w:hAnsi="宋体" w:eastAsia="宋体" w:cs="宋体"/>
                <w:color w:val="auto"/>
                <w:sz w:val="24"/>
                <w:szCs w:val="24"/>
              </w:rPr>
            </w:pPr>
          </w:p>
        </w:tc>
        <w:tc>
          <w:tcPr>
            <w:tcW w:w="1155" w:type="dxa"/>
            <w:tcBorders>
              <w:top w:val="single" w:color="auto" w:sz="4" w:space="0"/>
              <w:bottom w:val="single" w:color="auto" w:sz="4" w:space="0"/>
            </w:tcBorders>
            <w:vAlign w:val="center"/>
          </w:tcPr>
          <w:p w14:paraId="6EF57E3A">
            <w:pPr>
              <w:spacing w:line="360" w:lineRule="auto"/>
              <w:jc w:val="center"/>
              <w:rPr>
                <w:rFonts w:hint="eastAsia" w:ascii="宋体" w:hAnsi="宋体" w:eastAsia="宋体" w:cs="宋体"/>
                <w:color w:val="auto"/>
                <w:sz w:val="24"/>
                <w:szCs w:val="24"/>
              </w:rPr>
            </w:pPr>
          </w:p>
        </w:tc>
        <w:tc>
          <w:tcPr>
            <w:tcW w:w="1155" w:type="dxa"/>
            <w:tcBorders>
              <w:top w:val="single" w:color="auto" w:sz="4" w:space="0"/>
              <w:bottom w:val="single" w:color="auto" w:sz="4" w:space="0"/>
            </w:tcBorders>
            <w:vAlign w:val="center"/>
          </w:tcPr>
          <w:p w14:paraId="5AF862E4">
            <w:pPr>
              <w:spacing w:line="360" w:lineRule="auto"/>
              <w:jc w:val="center"/>
              <w:rPr>
                <w:rFonts w:hint="eastAsia" w:ascii="宋体" w:hAnsi="宋体" w:eastAsia="宋体" w:cs="宋体"/>
                <w:color w:val="auto"/>
                <w:sz w:val="24"/>
                <w:szCs w:val="24"/>
              </w:rPr>
            </w:pPr>
          </w:p>
        </w:tc>
        <w:tc>
          <w:tcPr>
            <w:tcW w:w="1155" w:type="dxa"/>
            <w:tcBorders>
              <w:top w:val="single" w:color="auto" w:sz="4" w:space="0"/>
              <w:bottom w:val="single" w:color="auto" w:sz="4" w:space="0"/>
              <w:right w:val="single" w:color="auto" w:sz="4" w:space="0"/>
            </w:tcBorders>
            <w:vAlign w:val="center"/>
          </w:tcPr>
          <w:p w14:paraId="05F6AD5B">
            <w:pPr>
              <w:spacing w:line="360" w:lineRule="auto"/>
              <w:jc w:val="center"/>
              <w:rPr>
                <w:rFonts w:hint="eastAsia" w:ascii="宋体" w:hAnsi="宋体" w:eastAsia="宋体" w:cs="宋体"/>
                <w:color w:val="auto"/>
                <w:sz w:val="24"/>
                <w:szCs w:val="24"/>
              </w:rPr>
            </w:pPr>
          </w:p>
        </w:tc>
        <w:tc>
          <w:tcPr>
            <w:tcW w:w="1157" w:type="dxa"/>
            <w:tcBorders>
              <w:top w:val="single" w:color="auto" w:sz="4" w:space="0"/>
              <w:left w:val="single" w:color="auto" w:sz="4" w:space="0"/>
              <w:bottom w:val="single" w:color="auto" w:sz="4" w:space="0"/>
              <w:right w:val="single" w:color="auto" w:sz="4" w:space="0"/>
            </w:tcBorders>
            <w:vAlign w:val="center"/>
          </w:tcPr>
          <w:p w14:paraId="63653E71">
            <w:pPr>
              <w:spacing w:line="360" w:lineRule="auto"/>
              <w:jc w:val="center"/>
              <w:rPr>
                <w:rFonts w:hint="eastAsia" w:ascii="宋体" w:hAnsi="宋体" w:eastAsia="宋体" w:cs="宋体"/>
                <w:color w:val="auto"/>
                <w:sz w:val="24"/>
                <w:szCs w:val="24"/>
              </w:rPr>
            </w:pPr>
          </w:p>
        </w:tc>
      </w:tr>
      <w:tr w14:paraId="1200085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gridAfter w:val="1"/>
          <w:wAfter w:w="9" w:type="dxa"/>
          <w:cantSplit/>
          <w:trHeight w:val="560" w:hRule="atLeast"/>
          <w:jc w:val="center"/>
        </w:trPr>
        <w:tc>
          <w:tcPr>
            <w:tcW w:w="629" w:type="dxa"/>
            <w:tcBorders>
              <w:top w:val="single" w:color="auto" w:sz="4" w:space="0"/>
              <w:bottom w:val="single" w:color="auto" w:sz="4" w:space="0"/>
            </w:tcBorders>
            <w:vAlign w:val="center"/>
          </w:tcPr>
          <w:p w14:paraId="715254AE">
            <w:pPr>
              <w:spacing w:line="360" w:lineRule="auto"/>
              <w:jc w:val="center"/>
              <w:rPr>
                <w:rFonts w:hint="eastAsia" w:ascii="宋体" w:hAnsi="宋体" w:eastAsia="宋体" w:cs="宋体"/>
                <w:color w:val="auto"/>
                <w:sz w:val="24"/>
                <w:szCs w:val="24"/>
              </w:rPr>
            </w:pPr>
          </w:p>
        </w:tc>
        <w:tc>
          <w:tcPr>
            <w:tcW w:w="1156" w:type="dxa"/>
            <w:tcBorders>
              <w:top w:val="single" w:color="auto" w:sz="4" w:space="0"/>
              <w:bottom w:val="single" w:color="auto" w:sz="4" w:space="0"/>
            </w:tcBorders>
            <w:vAlign w:val="center"/>
          </w:tcPr>
          <w:p w14:paraId="7E87899F">
            <w:pPr>
              <w:spacing w:line="360" w:lineRule="auto"/>
              <w:jc w:val="center"/>
              <w:rPr>
                <w:rFonts w:hint="eastAsia" w:ascii="宋体" w:hAnsi="宋体" w:eastAsia="宋体" w:cs="宋体"/>
                <w:color w:val="auto"/>
                <w:sz w:val="24"/>
                <w:szCs w:val="24"/>
              </w:rPr>
            </w:pPr>
          </w:p>
        </w:tc>
        <w:tc>
          <w:tcPr>
            <w:tcW w:w="1156" w:type="dxa"/>
            <w:tcBorders>
              <w:top w:val="single" w:color="auto" w:sz="4" w:space="0"/>
              <w:bottom w:val="single" w:color="auto" w:sz="4" w:space="0"/>
            </w:tcBorders>
            <w:vAlign w:val="center"/>
          </w:tcPr>
          <w:p w14:paraId="30B7A70D">
            <w:pPr>
              <w:spacing w:line="360" w:lineRule="auto"/>
              <w:jc w:val="center"/>
              <w:rPr>
                <w:rFonts w:hint="eastAsia" w:ascii="宋体" w:hAnsi="宋体" w:eastAsia="宋体" w:cs="宋体"/>
                <w:color w:val="auto"/>
                <w:sz w:val="24"/>
                <w:szCs w:val="24"/>
              </w:rPr>
            </w:pPr>
          </w:p>
        </w:tc>
        <w:tc>
          <w:tcPr>
            <w:tcW w:w="1155" w:type="dxa"/>
            <w:tcBorders>
              <w:top w:val="single" w:color="auto" w:sz="4" w:space="0"/>
              <w:bottom w:val="single" w:color="auto" w:sz="4" w:space="0"/>
            </w:tcBorders>
            <w:vAlign w:val="center"/>
          </w:tcPr>
          <w:p w14:paraId="1090752B">
            <w:pPr>
              <w:spacing w:line="360" w:lineRule="auto"/>
              <w:jc w:val="center"/>
              <w:rPr>
                <w:rFonts w:hint="eastAsia" w:ascii="宋体" w:hAnsi="宋体" w:eastAsia="宋体" w:cs="宋体"/>
                <w:color w:val="auto"/>
                <w:sz w:val="24"/>
                <w:szCs w:val="24"/>
              </w:rPr>
            </w:pPr>
          </w:p>
        </w:tc>
        <w:tc>
          <w:tcPr>
            <w:tcW w:w="1155" w:type="dxa"/>
            <w:tcBorders>
              <w:top w:val="single" w:color="auto" w:sz="4" w:space="0"/>
              <w:bottom w:val="single" w:color="auto" w:sz="4" w:space="0"/>
            </w:tcBorders>
            <w:vAlign w:val="center"/>
          </w:tcPr>
          <w:p w14:paraId="10EBA520">
            <w:pPr>
              <w:spacing w:line="360" w:lineRule="auto"/>
              <w:jc w:val="center"/>
              <w:rPr>
                <w:rFonts w:hint="eastAsia" w:ascii="宋体" w:hAnsi="宋体" w:eastAsia="宋体" w:cs="宋体"/>
                <w:color w:val="auto"/>
                <w:sz w:val="24"/>
                <w:szCs w:val="24"/>
              </w:rPr>
            </w:pPr>
          </w:p>
        </w:tc>
        <w:tc>
          <w:tcPr>
            <w:tcW w:w="1155" w:type="dxa"/>
            <w:tcBorders>
              <w:top w:val="single" w:color="auto" w:sz="4" w:space="0"/>
              <w:bottom w:val="single" w:color="auto" w:sz="4" w:space="0"/>
            </w:tcBorders>
            <w:vAlign w:val="center"/>
          </w:tcPr>
          <w:p w14:paraId="3B2A8070">
            <w:pPr>
              <w:spacing w:line="360" w:lineRule="auto"/>
              <w:jc w:val="center"/>
              <w:rPr>
                <w:rFonts w:hint="eastAsia" w:ascii="宋体" w:hAnsi="宋体" w:eastAsia="宋体" w:cs="宋体"/>
                <w:color w:val="auto"/>
                <w:sz w:val="24"/>
                <w:szCs w:val="24"/>
              </w:rPr>
            </w:pPr>
          </w:p>
        </w:tc>
        <w:tc>
          <w:tcPr>
            <w:tcW w:w="1155" w:type="dxa"/>
            <w:tcBorders>
              <w:top w:val="single" w:color="auto" w:sz="4" w:space="0"/>
              <w:bottom w:val="single" w:color="auto" w:sz="4" w:space="0"/>
              <w:right w:val="single" w:color="auto" w:sz="4" w:space="0"/>
            </w:tcBorders>
            <w:vAlign w:val="center"/>
          </w:tcPr>
          <w:p w14:paraId="688E0AEC">
            <w:pPr>
              <w:spacing w:line="360" w:lineRule="auto"/>
              <w:jc w:val="center"/>
              <w:rPr>
                <w:rFonts w:hint="eastAsia" w:ascii="宋体" w:hAnsi="宋体" w:eastAsia="宋体" w:cs="宋体"/>
                <w:color w:val="auto"/>
                <w:sz w:val="24"/>
                <w:szCs w:val="24"/>
              </w:rPr>
            </w:pPr>
          </w:p>
        </w:tc>
        <w:tc>
          <w:tcPr>
            <w:tcW w:w="1157" w:type="dxa"/>
            <w:tcBorders>
              <w:top w:val="single" w:color="auto" w:sz="4" w:space="0"/>
              <w:left w:val="single" w:color="auto" w:sz="4" w:space="0"/>
              <w:bottom w:val="single" w:color="auto" w:sz="4" w:space="0"/>
              <w:right w:val="single" w:color="auto" w:sz="4" w:space="0"/>
            </w:tcBorders>
            <w:vAlign w:val="center"/>
          </w:tcPr>
          <w:p w14:paraId="2C45EF74">
            <w:pPr>
              <w:spacing w:line="360" w:lineRule="auto"/>
              <w:jc w:val="center"/>
              <w:rPr>
                <w:rFonts w:hint="eastAsia" w:ascii="宋体" w:hAnsi="宋体" w:eastAsia="宋体" w:cs="宋体"/>
                <w:color w:val="auto"/>
                <w:sz w:val="24"/>
                <w:szCs w:val="24"/>
              </w:rPr>
            </w:pPr>
          </w:p>
        </w:tc>
      </w:tr>
      <w:tr w14:paraId="50F5E73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gridAfter w:val="1"/>
          <w:wAfter w:w="9" w:type="dxa"/>
          <w:cantSplit/>
          <w:trHeight w:val="560" w:hRule="atLeast"/>
          <w:jc w:val="center"/>
        </w:trPr>
        <w:tc>
          <w:tcPr>
            <w:tcW w:w="629" w:type="dxa"/>
            <w:tcBorders>
              <w:top w:val="single" w:color="auto" w:sz="4" w:space="0"/>
              <w:bottom w:val="single" w:color="auto" w:sz="4" w:space="0"/>
            </w:tcBorders>
            <w:vAlign w:val="center"/>
          </w:tcPr>
          <w:p w14:paraId="264BB05E">
            <w:pPr>
              <w:spacing w:line="360" w:lineRule="auto"/>
              <w:jc w:val="center"/>
              <w:rPr>
                <w:rFonts w:hint="eastAsia" w:ascii="宋体" w:hAnsi="宋体" w:eastAsia="宋体" w:cs="宋体"/>
                <w:color w:val="auto"/>
                <w:sz w:val="24"/>
                <w:szCs w:val="24"/>
              </w:rPr>
            </w:pPr>
          </w:p>
        </w:tc>
        <w:tc>
          <w:tcPr>
            <w:tcW w:w="1156" w:type="dxa"/>
            <w:tcBorders>
              <w:top w:val="single" w:color="auto" w:sz="4" w:space="0"/>
              <w:bottom w:val="single" w:color="auto" w:sz="4" w:space="0"/>
            </w:tcBorders>
            <w:vAlign w:val="center"/>
          </w:tcPr>
          <w:p w14:paraId="40B9CEAE">
            <w:pPr>
              <w:spacing w:line="360" w:lineRule="auto"/>
              <w:jc w:val="center"/>
              <w:rPr>
                <w:rFonts w:hint="eastAsia" w:ascii="宋体" w:hAnsi="宋体" w:eastAsia="宋体" w:cs="宋体"/>
                <w:color w:val="auto"/>
                <w:sz w:val="24"/>
                <w:szCs w:val="24"/>
              </w:rPr>
            </w:pPr>
          </w:p>
        </w:tc>
        <w:tc>
          <w:tcPr>
            <w:tcW w:w="1156" w:type="dxa"/>
            <w:tcBorders>
              <w:top w:val="single" w:color="auto" w:sz="4" w:space="0"/>
              <w:bottom w:val="single" w:color="auto" w:sz="4" w:space="0"/>
            </w:tcBorders>
            <w:vAlign w:val="center"/>
          </w:tcPr>
          <w:p w14:paraId="333ABC75">
            <w:pPr>
              <w:spacing w:line="360" w:lineRule="auto"/>
              <w:jc w:val="center"/>
              <w:rPr>
                <w:rFonts w:hint="eastAsia" w:ascii="宋体" w:hAnsi="宋体" w:eastAsia="宋体" w:cs="宋体"/>
                <w:color w:val="auto"/>
                <w:sz w:val="24"/>
                <w:szCs w:val="24"/>
              </w:rPr>
            </w:pPr>
          </w:p>
        </w:tc>
        <w:tc>
          <w:tcPr>
            <w:tcW w:w="1155" w:type="dxa"/>
            <w:tcBorders>
              <w:top w:val="single" w:color="auto" w:sz="4" w:space="0"/>
              <w:bottom w:val="single" w:color="auto" w:sz="4" w:space="0"/>
            </w:tcBorders>
            <w:vAlign w:val="center"/>
          </w:tcPr>
          <w:p w14:paraId="6F5CA6C6">
            <w:pPr>
              <w:spacing w:line="360" w:lineRule="auto"/>
              <w:jc w:val="center"/>
              <w:rPr>
                <w:rFonts w:hint="eastAsia" w:ascii="宋体" w:hAnsi="宋体" w:eastAsia="宋体" w:cs="宋体"/>
                <w:color w:val="auto"/>
                <w:sz w:val="24"/>
                <w:szCs w:val="24"/>
              </w:rPr>
            </w:pPr>
          </w:p>
        </w:tc>
        <w:tc>
          <w:tcPr>
            <w:tcW w:w="1155" w:type="dxa"/>
            <w:tcBorders>
              <w:top w:val="single" w:color="auto" w:sz="4" w:space="0"/>
              <w:bottom w:val="single" w:color="auto" w:sz="4" w:space="0"/>
            </w:tcBorders>
            <w:vAlign w:val="center"/>
          </w:tcPr>
          <w:p w14:paraId="5076E4B4">
            <w:pPr>
              <w:spacing w:line="360" w:lineRule="auto"/>
              <w:jc w:val="center"/>
              <w:rPr>
                <w:rFonts w:hint="eastAsia" w:ascii="宋体" w:hAnsi="宋体" w:eastAsia="宋体" w:cs="宋体"/>
                <w:color w:val="auto"/>
                <w:sz w:val="24"/>
                <w:szCs w:val="24"/>
              </w:rPr>
            </w:pPr>
          </w:p>
        </w:tc>
        <w:tc>
          <w:tcPr>
            <w:tcW w:w="1155" w:type="dxa"/>
            <w:tcBorders>
              <w:top w:val="single" w:color="auto" w:sz="4" w:space="0"/>
              <w:bottom w:val="single" w:color="auto" w:sz="4" w:space="0"/>
            </w:tcBorders>
            <w:vAlign w:val="center"/>
          </w:tcPr>
          <w:p w14:paraId="7C30A115">
            <w:pPr>
              <w:spacing w:line="360" w:lineRule="auto"/>
              <w:jc w:val="center"/>
              <w:rPr>
                <w:rFonts w:hint="eastAsia" w:ascii="宋体" w:hAnsi="宋体" w:eastAsia="宋体" w:cs="宋体"/>
                <w:color w:val="auto"/>
                <w:sz w:val="24"/>
                <w:szCs w:val="24"/>
              </w:rPr>
            </w:pPr>
          </w:p>
        </w:tc>
        <w:tc>
          <w:tcPr>
            <w:tcW w:w="1155" w:type="dxa"/>
            <w:tcBorders>
              <w:top w:val="single" w:color="auto" w:sz="4" w:space="0"/>
              <w:bottom w:val="single" w:color="auto" w:sz="4" w:space="0"/>
              <w:right w:val="single" w:color="auto" w:sz="4" w:space="0"/>
            </w:tcBorders>
            <w:vAlign w:val="center"/>
          </w:tcPr>
          <w:p w14:paraId="70A09EB5">
            <w:pPr>
              <w:spacing w:line="360" w:lineRule="auto"/>
              <w:jc w:val="center"/>
              <w:rPr>
                <w:rFonts w:hint="eastAsia" w:ascii="宋体" w:hAnsi="宋体" w:eastAsia="宋体" w:cs="宋体"/>
                <w:color w:val="auto"/>
                <w:sz w:val="24"/>
                <w:szCs w:val="24"/>
              </w:rPr>
            </w:pPr>
          </w:p>
        </w:tc>
        <w:tc>
          <w:tcPr>
            <w:tcW w:w="1157" w:type="dxa"/>
            <w:tcBorders>
              <w:top w:val="single" w:color="auto" w:sz="4" w:space="0"/>
              <w:left w:val="single" w:color="auto" w:sz="4" w:space="0"/>
              <w:bottom w:val="single" w:color="auto" w:sz="4" w:space="0"/>
              <w:right w:val="single" w:color="auto" w:sz="4" w:space="0"/>
            </w:tcBorders>
            <w:vAlign w:val="center"/>
          </w:tcPr>
          <w:p w14:paraId="5CF57E2A">
            <w:pPr>
              <w:spacing w:line="360" w:lineRule="auto"/>
              <w:jc w:val="center"/>
              <w:rPr>
                <w:rFonts w:hint="eastAsia" w:ascii="宋体" w:hAnsi="宋体" w:eastAsia="宋体" w:cs="宋体"/>
                <w:color w:val="auto"/>
                <w:sz w:val="24"/>
                <w:szCs w:val="24"/>
              </w:rPr>
            </w:pPr>
          </w:p>
        </w:tc>
      </w:tr>
      <w:tr w14:paraId="6EF66F2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gridAfter w:val="1"/>
          <w:wAfter w:w="9" w:type="dxa"/>
          <w:cantSplit/>
          <w:trHeight w:val="560" w:hRule="atLeast"/>
          <w:jc w:val="center"/>
        </w:trPr>
        <w:tc>
          <w:tcPr>
            <w:tcW w:w="629" w:type="dxa"/>
            <w:tcBorders>
              <w:top w:val="single" w:color="auto" w:sz="4" w:space="0"/>
            </w:tcBorders>
            <w:vAlign w:val="center"/>
          </w:tcPr>
          <w:p w14:paraId="04B3767C">
            <w:pPr>
              <w:spacing w:line="360" w:lineRule="auto"/>
              <w:jc w:val="center"/>
              <w:rPr>
                <w:rFonts w:hint="eastAsia" w:ascii="宋体" w:hAnsi="宋体" w:eastAsia="宋体" w:cs="宋体"/>
                <w:color w:val="auto"/>
                <w:sz w:val="24"/>
                <w:szCs w:val="24"/>
              </w:rPr>
            </w:pPr>
          </w:p>
        </w:tc>
        <w:tc>
          <w:tcPr>
            <w:tcW w:w="1156" w:type="dxa"/>
            <w:tcBorders>
              <w:top w:val="single" w:color="auto" w:sz="4" w:space="0"/>
            </w:tcBorders>
            <w:vAlign w:val="center"/>
          </w:tcPr>
          <w:p w14:paraId="73D5162F">
            <w:pPr>
              <w:spacing w:line="360" w:lineRule="auto"/>
              <w:jc w:val="center"/>
              <w:rPr>
                <w:rFonts w:hint="eastAsia" w:ascii="宋体" w:hAnsi="宋体" w:eastAsia="宋体" w:cs="宋体"/>
                <w:color w:val="auto"/>
                <w:sz w:val="24"/>
                <w:szCs w:val="24"/>
              </w:rPr>
            </w:pPr>
          </w:p>
        </w:tc>
        <w:tc>
          <w:tcPr>
            <w:tcW w:w="1156" w:type="dxa"/>
            <w:tcBorders>
              <w:top w:val="single" w:color="auto" w:sz="4" w:space="0"/>
            </w:tcBorders>
            <w:vAlign w:val="center"/>
          </w:tcPr>
          <w:p w14:paraId="50C1108B">
            <w:pPr>
              <w:spacing w:line="360" w:lineRule="auto"/>
              <w:jc w:val="center"/>
              <w:rPr>
                <w:rFonts w:hint="eastAsia" w:ascii="宋体" w:hAnsi="宋体" w:eastAsia="宋体" w:cs="宋体"/>
                <w:color w:val="auto"/>
                <w:sz w:val="24"/>
                <w:szCs w:val="24"/>
              </w:rPr>
            </w:pPr>
          </w:p>
        </w:tc>
        <w:tc>
          <w:tcPr>
            <w:tcW w:w="1155" w:type="dxa"/>
            <w:tcBorders>
              <w:top w:val="single" w:color="auto" w:sz="4" w:space="0"/>
            </w:tcBorders>
            <w:vAlign w:val="center"/>
          </w:tcPr>
          <w:p w14:paraId="19A48DEC">
            <w:pPr>
              <w:spacing w:line="360" w:lineRule="auto"/>
              <w:jc w:val="center"/>
              <w:rPr>
                <w:rFonts w:hint="eastAsia" w:ascii="宋体" w:hAnsi="宋体" w:eastAsia="宋体" w:cs="宋体"/>
                <w:color w:val="auto"/>
                <w:sz w:val="24"/>
                <w:szCs w:val="24"/>
              </w:rPr>
            </w:pPr>
          </w:p>
        </w:tc>
        <w:tc>
          <w:tcPr>
            <w:tcW w:w="1155" w:type="dxa"/>
            <w:tcBorders>
              <w:top w:val="single" w:color="auto" w:sz="4" w:space="0"/>
            </w:tcBorders>
            <w:vAlign w:val="center"/>
          </w:tcPr>
          <w:p w14:paraId="58E56003">
            <w:pPr>
              <w:spacing w:line="360" w:lineRule="auto"/>
              <w:jc w:val="center"/>
              <w:rPr>
                <w:rFonts w:hint="eastAsia" w:ascii="宋体" w:hAnsi="宋体" w:eastAsia="宋体" w:cs="宋体"/>
                <w:color w:val="auto"/>
                <w:sz w:val="24"/>
                <w:szCs w:val="24"/>
              </w:rPr>
            </w:pPr>
          </w:p>
        </w:tc>
        <w:tc>
          <w:tcPr>
            <w:tcW w:w="1155" w:type="dxa"/>
            <w:tcBorders>
              <w:top w:val="single" w:color="auto" w:sz="4" w:space="0"/>
            </w:tcBorders>
            <w:vAlign w:val="center"/>
          </w:tcPr>
          <w:p w14:paraId="72A145A7">
            <w:pPr>
              <w:spacing w:line="360" w:lineRule="auto"/>
              <w:jc w:val="center"/>
              <w:rPr>
                <w:rFonts w:hint="eastAsia" w:ascii="宋体" w:hAnsi="宋体" w:eastAsia="宋体" w:cs="宋体"/>
                <w:color w:val="auto"/>
                <w:sz w:val="24"/>
                <w:szCs w:val="24"/>
              </w:rPr>
            </w:pPr>
          </w:p>
        </w:tc>
        <w:tc>
          <w:tcPr>
            <w:tcW w:w="1155" w:type="dxa"/>
            <w:tcBorders>
              <w:top w:val="single" w:color="auto" w:sz="4" w:space="0"/>
              <w:right w:val="single" w:color="auto" w:sz="4" w:space="0"/>
            </w:tcBorders>
            <w:vAlign w:val="center"/>
          </w:tcPr>
          <w:p w14:paraId="2FFA0D75">
            <w:pPr>
              <w:spacing w:line="360" w:lineRule="auto"/>
              <w:jc w:val="center"/>
              <w:rPr>
                <w:rFonts w:hint="eastAsia" w:ascii="宋体" w:hAnsi="宋体" w:eastAsia="宋体" w:cs="宋体"/>
                <w:color w:val="auto"/>
                <w:sz w:val="24"/>
                <w:szCs w:val="24"/>
              </w:rPr>
            </w:pPr>
          </w:p>
        </w:tc>
        <w:tc>
          <w:tcPr>
            <w:tcW w:w="1157" w:type="dxa"/>
            <w:tcBorders>
              <w:top w:val="single" w:color="auto" w:sz="4" w:space="0"/>
              <w:left w:val="single" w:color="auto" w:sz="4" w:space="0"/>
              <w:right w:val="single" w:color="auto" w:sz="4" w:space="0"/>
            </w:tcBorders>
            <w:vAlign w:val="center"/>
          </w:tcPr>
          <w:p w14:paraId="26E309A9">
            <w:pPr>
              <w:spacing w:line="360" w:lineRule="auto"/>
              <w:jc w:val="center"/>
              <w:rPr>
                <w:rFonts w:hint="eastAsia" w:ascii="宋体" w:hAnsi="宋体" w:eastAsia="宋体" w:cs="宋体"/>
                <w:color w:val="auto"/>
                <w:sz w:val="24"/>
                <w:szCs w:val="24"/>
              </w:rPr>
            </w:pPr>
          </w:p>
        </w:tc>
      </w:tr>
    </w:tbl>
    <w:p w14:paraId="43848151">
      <w:pPr>
        <w:spacing w:line="360"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注：后附供应商近年类似业绩证明材料</w:t>
      </w:r>
    </w:p>
    <w:p w14:paraId="4846EB85">
      <w:pPr>
        <w:spacing w:line="360" w:lineRule="auto"/>
        <w:rPr>
          <w:rFonts w:hint="eastAsia" w:ascii="宋体" w:hAnsi="宋体" w:eastAsia="宋体" w:cs="宋体"/>
          <w:color w:val="auto"/>
          <w:sz w:val="24"/>
          <w:szCs w:val="24"/>
          <w:lang w:eastAsia="zh-CN"/>
        </w:rPr>
      </w:pPr>
    </w:p>
    <w:p w14:paraId="428E6A13">
      <w:pPr>
        <w:spacing w:line="360" w:lineRule="auto"/>
        <w:rPr>
          <w:rFonts w:hint="eastAsia" w:ascii="宋体" w:hAnsi="宋体" w:eastAsia="宋体" w:cs="宋体"/>
          <w:color w:val="auto"/>
          <w:sz w:val="24"/>
          <w:szCs w:val="24"/>
          <w:lang w:eastAsia="zh-CN"/>
        </w:rPr>
      </w:pPr>
    </w:p>
    <w:p w14:paraId="42533810">
      <w:pPr>
        <w:spacing w:line="360" w:lineRule="auto"/>
        <w:rPr>
          <w:rFonts w:hint="eastAsia" w:ascii="宋体" w:hAnsi="宋体" w:eastAsia="宋体" w:cs="宋体"/>
          <w:color w:val="auto"/>
          <w:sz w:val="24"/>
          <w:szCs w:val="24"/>
          <w:lang w:eastAsia="zh-CN"/>
        </w:rPr>
      </w:pPr>
    </w:p>
    <w:p w14:paraId="7FD266AA">
      <w:pPr>
        <w:spacing w:line="360" w:lineRule="auto"/>
        <w:rPr>
          <w:rFonts w:hint="eastAsia" w:ascii="宋体" w:hAnsi="宋体" w:eastAsia="宋体" w:cs="宋体"/>
          <w:color w:val="auto"/>
          <w:sz w:val="24"/>
          <w:szCs w:val="24"/>
          <w:lang w:eastAsia="zh-CN"/>
        </w:rPr>
      </w:pPr>
    </w:p>
    <w:p w14:paraId="76885DCE">
      <w:pPr>
        <w:spacing w:line="360" w:lineRule="auto"/>
        <w:rPr>
          <w:rFonts w:hint="eastAsia" w:ascii="宋体" w:hAnsi="宋体" w:eastAsia="宋体" w:cs="宋体"/>
          <w:color w:val="auto"/>
          <w:sz w:val="24"/>
          <w:szCs w:val="24"/>
          <w:lang w:eastAsia="zh-CN"/>
        </w:rPr>
      </w:pPr>
    </w:p>
    <w:p w14:paraId="4D61C97B">
      <w:pPr>
        <w:spacing w:line="36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供应商名称（盖章）：</w:t>
      </w:r>
    </w:p>
    <w:p w14:paraId="3B7B5158">
      <w:pPr>
        <w:spacing w:line="36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 xml:space="preserve">            法定代表人或被授权人（签字或盖章）</w:t>
      </w:r>
      <w:r>
        <w:rPr>
          <w:rFonts w:hint="eastAsia" w:ascii="宋体" w:hAnsi="宋体" w:eastAsia="宋体" w:cs="宋体"/>
          <w:bCs/>
          <w:color w:val="auto"/>
          <w:sz w:val="24"/>
          <w:szCs w:val="24"/>
          <w:lang w:eastAsia="zh-CN"/>
        </w:rPr>
        <w:t>：</w:t>
      </w:r>
    </w:p>
    <w:p w14:paraId="04EC78C3">
      <w:pPr>
        <w:keepNext/>
        <w:keepLines/>
        <w:spacing w:line="360" w:lineRule="auto"/>
        <w:jc w:val="center"/>
        <w:rPr>
          <w:rFonts w:hint="eastAsia" w:ascii="宋体" w:hAnsi="宋体" w:eastAsia="宋体" w:cs="宋体"/>
          <w:bCs/>
          <w:color w:val="auto"/>
          <w:sz w:val="24"/>
          <w:szCs w:val="24"/>
          <w:lang w:eastAsia="zh-CN"/>
        </w:rPr>
      </w:pPr>
      <w:bookmarkStart w:id="142" w:name="_Toc217446090"/>
      <w:r>
        <w:rPr>
          <w:rFonts w:hint="eastAsia" w:ascii="宋体" w:hAnsi="宋体" w:eastAsia="宋体" w:cs="宋体"/>
          <w:color w:val="auto"/>
          <w:sz w:val="24"/>
          <w:szCs w:val="24"/>
          <w:lang w:eastAsia="zh-CN"/>
        </w:rPr>
        <w:t xml:space="preserve">        </w:t>
      </w:r>
      <w:r>
        <w:rPr>
          <w:rFonts w:hint="eastAsia" w:ascii="宋体" w:hAnsi="宋体" w:eastAsia="宋体" w:cs="宋体"/>
          <w:bCs/>
          <w:color w:val="auto"/>
          <w:sz w:val="24"/>
          <w:szCs w:val="24"/>
          <w:lang w:eastAsia="zh-CN"/>
        </w:rPr>
        <w:t xml:space="preserve">  日    期：     年     月    日</w:t>
      </w:r>
    </w:p>
    <w:p w14:paraId="7EE17181">
      <w:pPr>
        <w:pStyle w:val="3"/>
        <w:spacing w:before="0" w:after="0" w:line="360" w:lineRule="auto"/>
        <w:jc w:val="center"/>
        <w:rPr>
          <w:rFonts w:hint="eastAsia" w:ascii="宋体" w:hAnsi="宋体" w:eastAsia="宋体" w:cs="宋体"/>
          <w:bCs w:val="0"/>
          <w:color w:val="auto"/>
          <w:szCs w:val="24"/>
          <w:lang w:eastAsia="zh-CN"/>
        </w:rPr>
      </w:pPr>
      <w:r>
        <w:rPr>
          <w:rFonts w:hint="eastAsia" w:ascii="宋体" w:hAnsi="宋体" w:eastAsia="宋体" w:cs="宋体"/>
          <w:b w:val="0"/>
          <w:color w:val="auto"/>
          <w:szCs w:val="24"/>
          <w:lang w:eastAsia="zh-CN"/>
        </w:rPr>
        <w:br w:type="page"/>
      </w:r>
      <w:bookmarkStart w:id="143" w:name="_Toc22499"/>
      <w:r>
        <w:rPr>
          <w:rFonts w:hint="eastAsia" w:ascii="宋体" w:hAnsi="宋体" w:eastAsia="宋体" w:cs="宋体"/>
          <w:bCs w:val="0"/>
          <w:color w:val="auto"/>
          <w:sz w:val="24"/>
          <w:szCs w:val="24"/>
          <w:lang w:eastAsia="zh-CN"/>
        </w:rPr>
        <w:t>十、</w:t>
      </w:r>
      <w:bookmarkEnd w:id="142"/>
      <w:r>
        <w:rPr>
          <w:rFonts w:hint="eastAsia" w:ascii="宋体" w:hAnsi="宋体" w:eastAsia="宋体" w:cs="宋体"/>
          <w:bCs w:val="0"/>
          <w:color w:val="auto"/>
          <w:sz w:val="24"/>
          <w:szCs w:val="24"/>
          <w:lang w:eastAsia="zh-CN"/>
        </w:rPr>
        <w:t>商务、</w:t>
      </w:r>
      <w:r>
        <w:rPr>
          <w:rFonts w:hint="eastAsia" w:ascii="宋体" w:hAnsi="宋体" w:eastAsia="宋体" w:cs="宋体"/>
          <w:bCs w:val="0"/>
          <w:color w:val="auto"/>
          <w:sz w:val="24"/>
          <w:szCs w:val="24"/>
          <w:lang w:val="en-US" w:eastAsia="zh-CN"/>
        </w:rPr>
        <w:t>技术要求</w:t>
      </w:r>
      <w:r>
        <w:rPr>
          <w:rFonts w:hint="eastAsia" w:ascii="宋体" w:hAnsi="宋体" w:eastAsia="宋体" w:cs="宋体"/>
          <w:bCs w:val="0"/>
          <w:color w:val="auto"/>
          <w:sz w:val="24"/>
          <w:szCs w:val="24"/>
          <w:lang w:eastAsia="zh-CN"/>
        </w:rPr>
        <w:t>偏离表</w:t>
      </w:r>
      <w:bookmarkEnd w:id="143"/>
    </w:p>
    <w:p w14:paraId="29CC698F">
      <w:pPr>
        <w:pStyle w:val="6"/>
        <w:spacing w:line="360" w:lineRule="auto"/>
        <w:ind w:firstLine="2891" w:firstLineChars="1200"/>
        <w:rPr>
          <w:rFonts w:hint="eastAsia" w:ascii="宋体" w:hAnsi="宋体" w:cs="宋体"/>
          <w:b/>
          <w:bCs/>
          <w:color w:val="auto"/>
          <w:sz w:val="24"/>
        </w:rPr>
      </w:pPr>
      <w:r>
        <w:rPr>
          <w:rFonts w:hint="eastAsia" w:ascii="宋体" w:hAnsi="宋体" w:cs="宋体"/>
          <w:b/>
          <w:bCs/>
          <w:color w:val="auto"/>
          <w:sz w:val="24"/>
        </w:rPr>
        <w:t>（一）商务条款偏离表</w:t>
      </w:r>
    </w:p>
    <w:tbl>
      <w:tblPr>
        <w:tblStyle w:val="36"/>
        <w:tblW w:w="86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5850"/>
        <w:gridCol w:w="1008"/>
        <w:gridCol w:w="1164"/>
      </w:tblGrid>
      <w:tr w14:paraId="2BCCB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3" w:type="dxa"/>
            <w:shd w:val="clear" w:color="auto" w:fill="FFFFFF"/>
            <w:vAlign w:val="center"/>
          </w:tcPr>
          <w:p w14:paraId="21FA6AFE">
            <w:pPr>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序号</w:t>
            </w:r>
          </w:p>
        </w:tc>
        <w:tc>
          <w:tcPr>
            <w:tcW w:w="5850" w:type="dxa"/>
            <w:shd w:val="clear" w:color="auto" w:fill="FFFFFF"/>
            <w:vAlign w:val="center"/>
          </w:tcPr>
          <w:p w14:paraId="1EE75629">
            <w:pPr>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主要商务条款</w:t>
            </w:r>
          </w:p>
        </w:tc>
        <w:tc>
          <w:tcPr>
            <w:tcW w:w="1008" w:type="dxa"/>
            <w:shd w:val="clear" w:color="auto" w:fill="FFFFFF"/>
            <w:vAlign w:val="center"/>
          </w:tcPr>
          <w:p w14:paraId="2BE12C1A">
            <w:pPr>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是否</w:t>
            </w:r>
          </w:p>
          <w:p w14:paraId="7865A6AD">
            <w:pPr>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响应</w:t>
            </w:r>
          </w:p>
        </w:tc>
        <w:tc>
          <w:tcPr>
            <w:tcW w:w="1164" w:type="dxa"/>
            <w:shd w:val="clear" w:color="auto" w:fill="FFFFFF"/>
            <w:vAlign w:val="center"/>
          </w:tcPr>
          <w:p w14:paraId="6EB834C1">
            <w:pPr>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偏离说明</w:t>
            </w:r>
          </w:p>
        </w:tc>
      </w:tr>
      <w:tr w14:paraId="21C46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3" w:type="dxa"/>
            <w:vAlign w:val="center"/>
          </w:tcPr>
          <w:p w14:paraId="68AEA435">
            <w:pPr>
              <w:spacing w:line="5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5850" w:type="dxa"/>
            <w:vAlign w:val="center"/>
          </w:tcPr>
          <w:p w14:paraId="0EDE8396">
            <w:pP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完全理解并接受对合格投标人、合格的服务质量和服务要求；</w:t>
            </w:r>
          </w:p>
        </w:tc>
        <w:tc>
          <w:tcPr>
            <w:tcW w:w="1008" w:type="dxa"/>
            <w:vAlign w:val="center"/>
          </w:tcPr>
          <w:p w14:paraId="096ACE6A">
            <w:pPr>
              <w:pStyle w:val="94"/>
              <w:adjustRightInd/>
              <w:spacing w:before="0" w:after="0" w:line="560" w:lineRule="exact"/>
              <w:textAlignment w:val="auto"/>
              <w:rPr>
                <w:rFonts w:hint="eastAsia" w:ascii="宋体" w:hAnsi="宋体" w:cs="宋体"/>
                <w:color w:val="auto"/>
                <w:spacing w:val="0"/>
                <w:kern w:val="2"/>
                <w:szCs w:val="24"/>
                <w:lang w:eastAsia="zh-CN"/>
              </w:rPr>
            </w:pPr>
          </w:p>
        </w:tc>
        <w:tc>
          <w:tcPr>
            <w:tcW w:w="1164" w:type="dxa"/>
            <w:vAlign w:val="center"/>
          </w:tcPr>
          <w:p w14:paraId="617D5F78">
            <w:pPr>
              <w:spacing w:line="560" w:lineRule="exact"/>
              <w:jc w:val="center"/>
              <w:rPr>
                <w:rFonts w:hint="eastAsia" w:ascii="宋体" w:hAnsi="宋体" w:eastAsia="宋体" w:cs="宋体"/>
                <w:color w:val="auto"/>
                <w:sz w:val="24"/>
                <w:szCs w:val="24"/>
                <w:lang w:eastAsia="zh-CN"/>
              </w:rPr>
            </w:pPr>
          </w:p>
        </w:tc>
      </w:tr>
      <w:tr w14:paraId="3831F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3" w:type="dxa"/>
            <w:vAlign w:val="center"/>
          </w:tcPr>
          <w:p w14:paraId="071C4DFF">
            <w:pPr>
              <w:spacing w:line="5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5850" w:type="dxa"/>
            <w:vAlign w:val="center"/>
          </w:tcPr>
          <w:p w14:paraId="63E8E5A8">
            <w:pP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完全理解并接受对投标人的各项须知、规约要求和责任义务；</w:t>
            </w:r>
          </w:p>
        </w:tc>
        <w:tc>
          <w:tcPr>
            <w:tcW w:w="1008" w:type="dxa"/>
            <w:vAlign w:val="center"/>
          </w:tcPr>
          <w:p w14:paraId="78BF5CCF">
            <w:pPr>
              <w:spacing w:line="560" w:lineRule="exact"/>
              <w:jc w:val="center"/>
              <w:rPr>
                <w:rFonts w:hint="eastAsia" w:ascii="宋体" w:hAnsi="宋体" w:eastAsia="宋体" w:cs="宋体"/>
                <w:color w:val="auto"/>
                <w:sz w:val="24"/>
                <w:szCs w:val="24"/>
                <w:lang w:eastAsia="zh-CN"/>
              </w:rPr>
            </w:pPr>
          </w:p>
        </w:tc>
        <w:tc>
          <w:tcPr>
            <w:tcW w:w="1164" w:type="dxa"/>
            <w:vAlign w:val="center"/>
          </w:tcPr>
          <w:p w14:paraId="605857ED">
            <w:pPr>
              <w:spacing w:line="560" w:lineRule="exact"/>
              <w:jc w:val="center"/>
              <w:rPr>
                <w:rFonts w:hint="eastAsia" w:ascii="宋体" w:hAnsi="宋体" w:eastAsia="宋体" w:cs="宋体"/>
                <w:color w:val="auto"/>
                <w:sz w:val="24"/>
                <w:szCs w:val="24"/>
                <w:lang w:eastAsia="zh-CN"/>
              </w:rPr>
            </w:pPr>
          </w:p>
        </w:tc>
      </w:tr>
      <w:tr w14:paraId="2E3A4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3" w:type="dxa"/>
            <w:vAlign w:val="center"/>
          </w:tcPr>
          <w:p w14:paraId="7055DECA">
            <w:pPr>
              <w:spacing w:line="5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3</w:t>
            </w:r>
          </w:p>
        </w:tc>
        <w:tc>
          <w:tcPr>
            <w:tcW w:w="5850" w:type="dxa"/>
            <w:vAlign w:val="center"/>
          </w:tcPr>
          <w:p w14:paraId="2950CF90">
            <w:pP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同意接受拟签订的合同文本所列述的各项条款；</w:t>
            </w:r>
          </w:p>
        </w:tc>
        <w:tc>
          <w:tcPr>
            <w:tcW w:w="1008" w:type="dxa"/>
            <w:vAlign w:val="center"/>
          </w:tcPr>
          <w:p w14:paraId="1C379B9C">
            <w:pPr>
              <w:spacing w:line="560" w:lineRule="exact"/>
              <w:jc w:val="center"/>
              <w:rPr>
                <w:rFonts w:hint="eastAsia" w:ascii="宋体" w:hAnsi="宋体" w:eastAsia="宋体" w:cs="宋体"/>
                <w:color w:val="auto"/>
                <w:sz w:val="24"/>
                <w:szCs w:val="24"/>
                <w:lang w:eastAsia="zh-CN"/>
              </w:rPr>
            </w:pPr>
          </w:p>
        </w:tc>
        <w:tc>
          <w:tcPr>
            <w:tcW w:w="1164" w:type="dxa"/>
            <w:vAlign w:val="center"/>
          </w:tcPr>
          <w:p w14:paraId="1C59706A">
            <w:pPr>
              <w:spacing w:line="560" w:lineRule="exact"/>
              <w:jc w:val="center"/>
              <w:rPr>
                <w:rFonts w:hint="eastAsia" w:ascii="宋体" w:hAnsi="宋体" w:eastAsia="宋体" w:cs="宋体"/>
                <w:color w:val="auto"/>
                <w:sz w:val="24"/>
                <w:szCs w:val="24"/>
                <w:lang w:eastAsia="zh-CN"/>
              </w:rPr>
            </w:pPr>
          </w:p>
        </w:tc>
      </w:tr>
      <w:tr w14:paraId="75337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3" w:type="dxa"/>
            <w:vAlign w:val="center"/>
          </w:tcPr>
          <w:p w14:paraId="0C3FAA5C">
            <w:pPr>
              <w:spacing w:line="5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4</w:t>
            </w:r>
          </w:p>
        </w:tc>
        <w:tc>
          <w:tcPr>
            <w:tcW w:w="5850" w:type="dxa"/>
            <w:vAlign w:val="center"/>
          </w:tcPr>
          <w:p w14:paraId="01774F3C">
            <w:pP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同意按本项目要求缴付相关款项；</w:t>
            </w:r>
          </w:p>
        </w:tc>
        <w:tc>
          <w:tcPr>
            <w:tcW w:w="1008" w:type="dxa"/>
            <w:vAlign w:val="center"/>
          </w:tcPr>
          <w:p w14:paraId="59277308">
            <w:pPr>
              <w:spacing w:line="560" w:lineRule="exact"/>
              <w:jc w:val="center"/>
              <w:rPr>
                <w:rFonts w:hint="eastAsia" w:ascii="宋体" w:hAnsi="宋体" w:eastAsia="宋体" w:cs="宋体"/>
                <w:color w:val="auto"/>
                <w:sz w:val="24"/>
                <w:szCs w:val="24"/>
                <w:lang w:eastAsia="zh-CN"/>
              </w:rPr>
            </w:pPr>
          </w:p>
        </w:tc>
        <w:tc>
          <w:tcPr>
            <w:tcW w:w="1164" w:type="dxa"/>
            <w:vAlign w:val="center"/>
          </w:tcPr>
          <w:p w14:paraId="5974E9A0">
            <w:pPr>
              <w:spacing w:line="560" w:lineRule="exact"/>
              <w:jc w:val="center"/>
              <w:rPr>
                <w:rFonts w:hint="eastAsia" w:ascii="宋体" w:hAnsi="宋体" w:eastAsia="宋体" w:cs="宋体"/>
                <w:color w:val="auto"/>
                <w:sz w:val="24"/>
                <w:szCs w:val="24"/>
                <w:lang w:eastAsia="zh-CN"/>
              </w:rPr>
            </w:pPr>
          </w:p>
        </w:tc>
      </w:tr>
      <w:tr w14:paraId="39E3B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673" w:type="dxa"/>
            <w:vAlign w:val="center"/>
          </w:tcPr>
          <w:p w14:paraId="536C6520">
            <w:pPr>
              <w:spacing w:line="5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5</w:t>
            </w:r>
          </w:p>
        </w:tc>
        <w:tc>
          <w:tcPr>
            <w:tcW w:w="5850" w:type="dxa"/>
            <w:vAlign w:val="center"/>
          </w:tcPr>
          <w:p w14:paraId="00705AF7">
            <w:pP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投标有效期：从提交投标文件截止之日起90日历天；</w:t>
            </w:r>
          </w:p>
        </w:tc>
        <w:tc>
          <w:tcPr>
            <w:tcW w:w="1008" w:type="dxa"/>
            <w:vAlign w:val="center"/>
          </w:tcPr>
          <w:p w14:paraId="715E5D24">
            <w:pPr>
              <w:spacing w:line="560" w:lineRule="exact"/>
              <w:jc w:val="center"/>
              <w:rPr>
                <w:rFonts w:hint="eastAsia" w:ascii="宋体" w:hAnsi="宋体" w:eastAsia="宋体" w:cs="宋体"/>
                <w:color w:val="auto"/>
                <w:sz w:val="24"/>
                <w:szCs w:val="24"/>
                <w:lang w:eastAsia="zh-CN"/>
              </w:rPr>
            </w:pPr>
          </w:p>
        </w:tc>
        <w:tc>
          <w:tcPr>
            <w:tcW w:w="1164" w:type="dxa"/>
            <w:vAlign w:val="center"/>
          </w:tcPr>
          <w:p w14:paraId="4C281CBF">
            <w:pPr>
              <w:spacing w:line="560" w:lineRule="exact"/>
              <w:jc w:val="center"/>
              <w:rPr>
                <w:rFonts w:hint="eastAsia" w:ascii="宋体" w:hAnsi="宋体" w:eastAsia="宋体" w:cs="宋体"/>
                <w:color w:val="auto"/>
                <w:sz w:val="24"/>
                <w:szCs w:val="24"/>
                <w:lang w:eastAsia="zh-CN"/>
              </w:rPr>
            </w:pPr>
          </w:p>
        </w:tc>
      </w:tr>
      <w:tr w14:paraId="6FFE3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73" w:type="dxa"/>
            <w:vAlign w:val="center"/>
          </w:tcPr>
          <w:p w14:paraId="70A4CCF1">
            <w:pPr>
              <w:spacing w:line="5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6</w:t>
            </w:r>
          </w:p>
        </w:tc>
        <w:tc>
          <w:tcPr>
            <w:tcW w:w="5850" w:type="dxa"/>
            <w:vAlign w:val="center"/>
          </w:tcPr>
          <w:p w14:paraId="7D57309C">
            <w:pP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投标内容均涵盖招标要求及一切费用和伴随服务；</w:t>
            </w:r>
          </w:p>
        </w:tc>
        <w:tc>
          <w:tcPr>
            <w:tcW w:w="1008" w:type="dxa"/>
            <w:vAlign w:val="center"/>
          </w:tcPr>
          <w:p w14:paraId="14F0C2A4">
            <w:pPr>
              <w:spacing w:line="560" w:lineRule="exact"/>
              <w:jc w:val="center"/>
              <w:rPr>
                <w:rFonts w:hint="eastAsia" w:ascii="宋体" w:hAnsi="宋体" w:eastAsia="宋体" w:cs="宋体"/>
                <w:color w:val="auto"/>
                <w:sz w:val="24"/>
                <w:szCs w:val="24"/>
                <w:lang w:eastAsia="zh-CN"/>
              </w:rPr>
            </w:pPr>
          </w:p>
        </w:tc>
        <w:tc>
          <w:tcPr>
            <w:tcW w:w="1164" w:type="dxa"/>
            <w:vAlign w:val="center"/>
          </w:tcPr>
          <w:p w14:paraId="7367CBB1">
            <w:pPr>
              <w:spacing w:line="560" w:lineRule="exact"/>
              <w:jc w:val="center"/>
              <w:rPr>
                <w:rFonts w:hint="eastAsia" w:ascii="宋体" w:hAnsi="宋体" w:eastAsia="宋体" w:cs="宋体"/>
                <w:color w:val="auto"/>
                <w:sz w:val="24"/>
                <w:szCs w:val="24"/>
                <w:lang w:eastAsia="zh-CN"/>
              </w:rPr>
            </w:pPr>
          </w:p>
        </w:tc>
      </w:tr>
      <w:tr w14:paraId="7AE52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3" w:type="dxa"/>
            <w:vAlign w:val="center"/>
          </w:tcPr>
          <w:p w14:paraId="06533358">
            <w:pPr>
              <w:spacing w:line="5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7</w:t>
            </w:r>
          </w:p>
        </w:tc>
        <w:tc>
          <w:tcPr>
            <w:tcW w:w="5850" w:type="dxa"/>
            <w:vAlign w:val="center"/>
          </w:tcPr>
          <w:p w14:paraId="40E56DBE">
            <w:pP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同意接受本项目服务期或相关进度安排要求；</w:t>
            </w:r>
          </w:p>
        </w:tc>
        <w:tc>
          <w:tcPr>
            <w:tcW w:w="1008" w:type="dxa"/>
            <w:vAlign w:val="center"/>
          </w:tcPr>
          <w:p w14:paraId="3CAFE365">
            <w:pPr>
              <w:spacing w:line="560" w:lineRule="exact"/>
              <w:jc w:val="center"/>
              <w:rPr>
                <w:rFonts w:hint="eastAsia" w:ascii="宋体" w:hAnsi="宋体" w:eastAsia="宋体" w:cs="宋体"/>
                <w:color w:val="auto"/>
                <w:sz w:val="24"/>
                <w:szCs w:val="24"/>
                <w:lang w:eastAsia="zh-CN"/>
              </w:rPr>
            </w:pPr>
          </w:p>
        </w:tc>
        <w:tc>
          <w:tcPr>
            <w:tcW w:w="1164" w:type="dxa"/>
            <w:vAlign w:val="center"/>
          </w:tcPr>
          <w:p w14:paraId="42B37D92">
            <w:pPr>
              <w:pStyle w:val="94"/>
              <w:adjustRightInd/>
              <w:spacing w:before="0" w:after="0" w:line="560" w:lineRule="exact"/>
              <w:textAlignment w:val="auto"/>
              <w:rPr>
                <w:rFonts w:hint="eastAsia" w:ascii="宋体" w:hAnsi="宋体" w:cs="宋体"/>
                <w:color w:val="auto"/>
                <w:spacing w:val="0"/>
                <w:kern w:val="2"/>
                <w:szCs w:val="24"/>
                <w:lang w:eastAsia="zh-CN"/>
              </w:rPr>
            </w:pPr>
          </w:p>
        </w:tc>
      </w:tr>
      <w:tr w14:paraId="5308B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3" w:type="dxa"/>
            <w:vAlign w:val="center"/>
          </w:tcPr>
          <w:p w14:paraId="44591801">
            <w:pPr>
              <w:spacing w:line="5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8</w:t>
            </w:r>
          </w:p>
        </w:tc>
        <w:tc>
          <w:tcPr>
            <w:tcW w:w="5850" w:type="dxa"/>
            <w:vAlign w:val="center"/>
          </w:tcPr>
          <w:p w14:paraId="28FAB881">
            <w:pP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同意接受本项目的验收要求及验收标准；</w:t>
            </w:r>
          </w:p>
        </w:tc>
        <w:tc>
          <w:tcPr>
            <w:tcW w:w="1008" w:type="dxa"/>
            <w:vAlign w:val="center"/>
          </w:tcPr>
          <w:p w14:paraId="3584F40C">
            <w:pPr>
              <w:spacing w:line="560" w:lineRule="exact"/>
              <w:jc w:val="center"/>
              <w:rPr>
                <w:rFonts w:hint="eastAsia" w:ascii="宋体" w:hAnsi="宋体" w:eastAsia="宋体" w:cs="宋体"/>
                <w:color w:val="auto"/>
                <w:sz w:val="24"/>
                <w:szCs w:val="24"/>
                <w:lang w:eastAsia="zh-CN"/>
              </w:rPr>
            </w:pPr>
          </w:p>
        </w:tc>
        <w:tc>
          <w:tcPr>
            <w:tcW w:w="1164" w:type="dxa"/>
            <w:vAlign w:val="center"/>
          </w:tcPr>
          <w:p w14:paraId="48933944">
            <w:pPr>
              <w:spacing w:line="560" w:lineRule="exact"/>
              <w:jc w:val="center"/>
              <w:rPr>
                <w:rFonts w:hint="eastAsia" w:ascii="宋体" w:hAnsi="宋体" w:eastAsia="宋体" w:cs="宋体"/>
                <w:color w:val="auto"/>
                <w:sz w:val="24"/>
                <w:szCs w:val="24"/>
                <w:lang w:eastAsia="zh-CN"/>
              </w:rPr>
            </w:pPr>
          </w:p>
        </w:tc>
      </w:tr>
      <w:tr w14:paraId="76AEF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3" w:type="dxa"/>
            <w:vAlign w:val="center"/>
          </w:tcPr>
          <w:p w14:paraId="1024FAA1">
            <w:pPr>
              <w:spacing w:line="5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9</w:t>
            </w:r>
          </w:p>
        </w:tc>
        <w:tc>
          <w:tcPr>
            <w:tcW w:w="5850" w:type="dxa"/>
            <w:vAlign w:val="center"/>
          </w:tcPr>
          <w:p w14:paraId="75AFB8C5">
            <w:pPr>
              <w:pStyle w:val="26"/>
              <w:spacing w:line="240" w:lineRule="auto"/>
              <w:rPr>
                <w:rFonts w:hint="eastAsia" w:ascii="宋体" w:hAnsi="宋体" w:eastAsia="宋体" w:cs="宋体"/>
                <w:color w:val="auto"/>
                <w:sz w:val="24"/>
                <w:szCs w:val="24"/>
                <w:lang w:eastAsia="zh-CN"/>
              </w:rPr>
            </w:pPr>
            <w:r>
              <w:rPr>
                <w:rFonts w:hint="eastAsia" w:ascii="宋体" w:hAnsi="宋体" w:eastAsia="宋体" w:cs="宋体"/>
                <w:b w:val="0"/>
                <w:bCs w:val="0"/>
                <w:color w:val="auto"/>
                <w:kern w:val="2"/>
                <w:sz w:val="24"/>
                <w:szCs w:val="24"/>
                <w:lang w:eastAsia="zh-CN"/>
              </w:rPr>
              <w:t>同意采购人以任何形式对我方的投标文件内容的真实性和有效性进行审查、验证；</w:t>
            </w:r>
          </w:p>
        </w:tc>
        <w:tc>
          <w:tcPr>
            <w:tcW w:w="1008" w:type="dxa"/>
            <w:vAlign w:val="center"/>
          </w:tcPr>
          <w:p w14:paraId="715045F0">
            <w:pPr>
              <w:spacing w:line="560" w:lineRule="exact"/>
              <w:jc w:val="center"/>
              <w:rPr>
                <w:rFonts w:hint="eastAsia" w:ascii="宋体" w:hAnsi="宋体" w:eastAsia="宋体" w:cs="宋体"/>
                <w:color w:val="auto"/>
                <w:sz w:val="24"/>
                <w:szCs w:val="24"/>
                <w:lang w:eastAsia="zh-CN"/>
              </w:rPr>
            </w:pPr>
          </w:p>
        </w:tc>
        <w:tc>
          <w:tcPr>
            <w:tcW w:w="1164" w:type="dxa"/>
            <w:vAlign w:val="center"/>
          </w:tcPr>
          <w:p w14:paraId="2F980971">
            <w:pPr>
              <w:spacing w:line="560" w:lineRule="exact"/>
              <w:jc w:val="center"/>
              <w:rPr>
                <w:rFonts w:hint="eastAsia" w:ascii="宋体" w:hAnsi="宋体" w:eastAsia="宋体" w:cs="宋体"/>
                <w:color w:val="auto"/>
                <w:sz w:val="24"/>
                <w:szCs w:val="24"/>
                <w:lang w:eastAsia="zh-CN"/>
              </w:rPr>
            </w:pPr>
          </w:p>
        </w:tc>
      </w:tr>
      <w:tr w14:paraId="67F9D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3" w:type="dxa"/>
            <w:vAlign w:val="center"/>
          </w:tcPr>
          <w:p w14:paraId="30DDA1BB">
            <w:pPr>
              <w:spacing w:line="5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10</w:t>
            </w:r>
          </w:p>
        </w:tc>
        <w:tc>
          <w:tcPr>
            <w:tcW w:w="5850" w:type="dxa"/>
            <w:vAlign w:val="center"/>
          </w:tcPr>
          <w:p w14:paraId="41925248">
            <w:pPr>
              <w:pStyle w:val="26"/>
              <w:spacing w:line="240" w:lineRule="auto"/>
              <w:rPr>
                <w:rFonts w:hint="eastAsia" w:ascii="宋体" w:hAnsi="宋体" w:eastAsia="宋体" w:cs="宋体"/>
                <w:color w:val="auto"/>
                <w:sz w:val="24"/>
                <w:szCs w:val="24"/>
                <w:lang w:eastAsia="zh-CN"/>
              </w:rPr>
            </w:pPr>
            <w:r>
              <w:rPr>
                <w:rFonts w:hint="eastAsia" w:ascii="宋体" w:hAnsi="宋体" w:eastAsia="宋体" w:cs="宋体"/>
                <w:b w:val="0"/>
                <w:bCs w:val="0"/>
                <w:color w:val="auto"/>
                <w:kern w:val="2"/>
                <w:sz w:val="24"/>
                <w:szCs w:val="24"/>
                <w:lang w:eastAsia="zh-CN"/>
              </w:rPr>
              <w:t>同意接受本项目付款的各项要求。</w:t>
            </w:r>
          </w:p>
        </w:tc>
        <w:tc>
          <w:tcPr>
            <w:tcW w:w="1008" w:type="dxa"/>
            <w:vAlign w:val="center"/>
          </w:tcPr>
          <w:p w14:paraId="256B7BB6">
            <w:pPr>
              <w:pStyle w:val="95"/>
              <w:numPr>
                <w:ilvl w:val="1"/>
                <w:numId w:val="0"/>
              </w:numPr>
              <w:spacing w:line="560" w:lineRule="exact"/>
              <w:rPr>
                <w:rFonts w:hint="eastAsia" w:ascii="宋体" w:hAnsi="宋体" w:cs="宋体"/>
                <w:color w:val="auto"/>
                <w:sz w:val="24"/>
                <w:szCs w:val="24"/>
                <w:lang w:eastAsia="zh-CN"/>
              </w:rPr>
            </w:pPr>
          </w:p>
        </w:tc>
        <w:tc>
          <w:tcPr>
            <w:tcW w:w="1164" w:type="dxa"/>
            <w:vAlign w:val="center"/>
          </w:tcPr>
          <w:p w14:paraId="2775A9A5">
            <w:pPr>
              <w:pStyle w:val="94"/>
              <w:adjustRightInd/>
              <w:spacing w:before="0" w:after="0" w:line="560" w:lineRule="exact"/>
              <w:jc w:val="both"/>
              <w:textAlignment w:val="auto"/>
              <w:rPr>
                <w:rFonts w:hint="eastAsia" w:ascii="宋体" w:hAnsi="宋体" w:cs="宋体"/>
                <w:color w:val="auto"/>
                <w:spacing w:val="0"/>
                <w:kern w:val="2"/>
                <w:szCs w:val="24"/>
                <w:lang w:eastAsia="zh-CN"/>
              </w:rPr>
            </w:pPr>
          </w:p>
        </w:tc>
      </w:tr>
      <w:tr w14:paraId="520E6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3" w:type="dxa"/>
            <w:vAlign w:val="center"/>
          </w:tcPr>
          <w:p w14:paraId="4E1F302C">
            <w:pPr>
              <w:spacing w:line="560" w:lineRule="exact"/>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highlight w:val="none"/>
                <w:lang w:val="en-US" w:eastAsia="zh-CN"/>
              </w:rPr>
              <w:t>11</w:t>
            </w:r>
          </w:p>
        </w:tc>
        <w:tc>
          <w:tcPr>
            <w:tcW w:w="5850" w:type="dxa"/>
            <w:vAlign w:val="center"/>
          </w:tcPr>
          <w:p w14:paraId="0223A350">
            <w:pPr>
              <w:pStyle w:val="26"/>
              <w:spacing w:line="240" w:lineRule="auto"/>
              <w:rPr>
                <w:rFonts w:hint="default" w:ascii="宋体" w:hAnsi="宋体" w:eastAsia="宋体" w:cs="宋体"/>
                <w:b w:val="0"/>
                <w:bCs w:val="0"/>
                <w:color w:val="auto"/>
                <w:kern w:val="2"/>
                <w:sz w:val="24"/>
                <w:szCs w:val="24"/>
                <w:lang w:val="en-US" w:eastAsia="zh-CN"/>
              </w:rPr>
            </w:pPr>
            <w:r>
              <w:rPr>
                <w:rFonts w:hint="default" w:ascii="宋体" w:hAnsi="宋体" w:eastAsia="宋体" w:cs="宋体"/>
                <w:b w:val="0"/>
                <w:bCs w:val="0"/>
                <w:color w:val="auto"/>
                <w:kern w:val="2"/>
                <w:sz w:val="24"/>
                <w:szCs w:val="24"/>
                <w:lang w:val="en-US" w:eastAsia="zh-CN"/>
              </w:rPr>
              <w:t>同意本</w:t>
            </w:r>
            <w:r>
              <w:rPr>
                <w:rFonts w:hint="eastAsia" w:ascii="宋体" w:hAnsi="宋体" w:eastAsia="宋体" w:cs="宋体"/>
                <w:b w:val="0"/>
                <w:bCs w:val="0"/>
                <w:color w:val="auto"/>
                <w:kern w:val="2"/>
                <w:sz w:val="24"/>
                <w:szCs w:val="24"/>
                <w:lang w:val="en-US" w:eastAsia="zh-CN"/>
              </w:rPr>
              <w:t>招标</w:t>
            </w:r>
            <w:r>
              <w:rPr>
                <w:rFonts w:hint="default" w:ascii="宋体" w:hAnsi="宋体" w:eastAsia="宋体" w:cs="宋体"/>
                <w:b w:val="0"/>
                <w:bCs w:val="0"/>
                <w:color w:val="auto"/>
                <w:kern w:val="2"/>
                <w:sz w:val="24"/>
                <w:szCs w:val="24"/>
                <w:lang w:val="en-US" w:eastAsia="zh-CN"/>
              </w:rPr>
              <w:t>文件“第三章服务需求”中“一、商务要求”中的全部内容。</w:t>
            </w:r>
          </w:p>
        </w:tc>
        <w:tc>
          <w:tcPr>
            <w:tcW w:w="1008" w:type="dxa"/>
            <w:vAlign w:val="center"/>
          </w:tcPr>
          <w:p w14:paraId="567E5C38">
            <w:pPr>
              <w:pStyle w:val="95"/>
              <w:numPr>
                <w:ilvl w:val="1"/>
                <w:numId w:val="0"/>
              </w:numPr>
              <w:spacing w:line="560" w:lineRule="exact"/>
              <w:rPr>
                <w:rFonts w:hint="eastAsia" w:ascii="宋体" w:hAnsi="宋体" w:cs="宋体"/>
                <w:color w:val="auto"/>
                <w:sz w:val="24"/>
                <w:szCs w:val="24"/>
                <w:lang w:eastAsia="zh-CN"/>
              </w:rPr>
            </w:pPr>
          </w:p>
        </w:tc>
        <w:tc>
          <w:tcPr>
            <w:tcW w:w="1164" w:type="dxa"/>
            <w:vAlign w:val="center"/>
          </w:tcPr>
          <w:p w14:paraId="1228E727">
            <w:pPr>
              <w:pStyle w:val="94"/>
              <w:adjustRightInd/>
              <w:spacing w:before="0" w:after="0" w:line="560" w:lineRule="exact"/>
              <w:jc w:val="both"/>
              <w:textAlignment w:val="auto"/>
              <w:rPr>
                <w:rFonts w:hint="eastAsia" w:ascii="宋体" w:hAnsi="宋体" w:cs="宋体"/>
                <w:color w:val="auto"/>
                <w:spacing w:val="0"/>
                <w:kern w:val="2"/>
                <w:szCs w:val="24"/>
                <w:lang w:eastAsia="zh-CN"/>
              </w:rPr>
            </w:pPr>
          </w:p>
        </w:tc>
      </w:tr>
      <w:tr w14:paraId="01B81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3" w:type="dxa"/>
            <w:vAlign w:val="center"/>
          </w:tcPr>
          <w:p w14:paraId="1AC29465">
            <w:pPr>
              <w:spacing w:line="560" w:lineRule="exact"/>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w:t>
            </w:r>
          </w:p>
        </w:tc>
        <w:tc>
          <w:tcPr>
            <w:tcW w:w="5850" w:type="dxa"/>
            <w:vAlign w:val="center"/>
          </w:tcPr>
          <w:p w14:paraId="1449A0E5">
            <w:pPr>
              <w:pStyle w:val="26"/>
              <w:spacing w:line="240" w:lineRule="auto"/>
              <w:rPr>
                <w:rFonts w:hint="default" w:ascii="宋体" w:hAnsi="宋体" w:eastAsia="宋体" w:cs="宋体"/>
                <w:b w:val="0"/>
                <w:bCs w:val="0"/>
                <w:color w:val="auto"/>
                <w:kern w:val="2"/>
                <w:sz w:val="24"/>
                <w:szCs w:val="24"/>
                <w:highlight w:val="none"/>
                <w:lang w:val="en-US" w:eastAsia="zh-CN"/>
              </w:rPr>
            </w:pPr>
            <w:r>
              <w:rPr>
                <w:rFonts w:hint="eastAsia" w:ascii="宋体" w:hAnsi="宋体" w:eastAsia="宋体" w:cs="宋体"/>
                <w:b w:val="0"/>
                <w:bCs w:val="0"/>
                <w:color w:val="auto"/>
                <w:kern w:val="2"/>
                <w:sz w:val="24"/>
                <w:szCs w:val="24"/>
                <w:highlight w:val="none"/>
                <w:lang w:val="en-US" w:eastAsia="zh-CN"/>
              </w:rPr>
              <w:t>完全响应</w:t>
            </w:r>
            <w:r>
              <w:rPr>
                <w:rFonts w:hint="default" w:ascii="宋体" w:hAnsi="宋体" w:eastAsia="宋体" w:cs="宋体"/>
                <w:b w:val="0"/>
                <w:bCs w:val="0"/>
                <w:color w:val="auto"/>
                <w:kern w:val="2"/>
                <w:sz w:val="24"/>
                <w:szCs w:val="24"/>
                <w:highlight w:val="none"/>
                <w:lang w:val="en-US" w:eastAsia="zh-CN"/>
              </w:rPr>
              <w:t>本</w:t>
            </w:r>
            <w:r>
              <w:rPr>
                <w:rFonts w:hint="eastAsia" w:ascii="宋体" w:hAnsi="宋体" w:eastAsia="宋体" w:cs="宋体"/>
                <w:b w:val="0"/>
                <w:bCs w:val="0"/>
                <w:color w:val="auto"/>
                <w:kern w:val="2"/>
                <w:sz w:val="24"/>
                <w:szCs w:val="24"/>
                <w:highlight w:val="none"/>
                <w:lang w:val="en-US" w:eastAsia="zh-CN"/>
              </w:rPr>
              <w:t>招标</w:t>
            </w:r>
            <w:r>
              <w:rPr>
                <w:rFonts w:hint="default" w:ascii="宋体" w:hAnsi="宋体" w:eastAsia="宋体" w:cs="宋体"/>
                <w:b w:val="0"/>
                <w:bCs w:val="0"/>
                <w:color w:val="auto"/>
                <w:kern w:val="2"/>
                <w:sz w:val="24"/>
                <w:szCs w:val="24"/>
                <w:highlight w:val="none"/>
                <w:lang w:val="en-US" w:eastAsia="zh-CN"/>
              </w:rPr>
              <w:t>文件“第三章服务需求”中“</w:t>
            </w:r>
            <w:r>
              <w:rPr>
                <w:rFonts w:hint="eastAsia" w:ascii="宋体" w:hAnsi="宋体" w:eastAsia="宋体" w:cs="宋体"/>
                <w:b w:val="0"/>
                <w:bCs w:val="0"/>
                <w:color w:val="auto"/>
                <w:kern w:val="2"/>
                <w:sz w:val="24"/>
                <w:szCs w:val="24"/>
                <w:highlight w:val="none"/>
                <w:lang w:val="en-US" w:eastAsia="zh-CN"/>
              </w:rPr>
              <w:t>二</w:t>
            </w:r>
            <w:r>
              <w:rPr>
                <w:rFonts w:hint="default" w:ascii="宋体" w:hAnsi="宋体" w:eastAsia="宋体" w:cs="宋体"/>
                <w:b w:val="0"/>
                <w:bCs w:val="0"/>
                <w:color w:val="auto"/>
                <w:kern w:val="2"/>
                <w:sz w:val="24"/>
                <w:szCs w:val="24"/>
                <w:highlight w:val="none"/>
                <w:lang w:val="en-US" w:eastAsia="zh-CN"/>
              </w:rPr>
              <w:t>、</w:t>
            </w:r>
            <w:r>
              <w:rPr>
                <w:rFonts w:hint="eastAsia" w:ascii="宋体" w:hAnsi="宋体" w:eastAsia="宋体" w:cs="宋体"/>
                <w:b w:val="0"/>
                <w:bCs w:val="0"/>
                <w:color w:val="auto"/>
                <w:kern w:val="2"/>
                <w:sz w:val="24"/>
                <w:szCs w:val="24"/>
                <w:highlight w:val="none"/>
                <w:lang w:val="en-US" w:eastAsia="zh-CN"/>
              </w:rPr>
              <w:t>技术</w:t>
            </w:r>
            <w:r>
              <w:rPr>
                <w:rFonts w:hint="default" w:ascii="宋体" w:hAnsi="宋体" w:eastAsia="宋体" w:cs="宋体"/>
                <w:b w:val="0"/>
                <w:bCs w:val="0"/>
                <w:color w:val="auto"/>
                <w:kern w:val="2"/>
                <w:sz w:val="24"/>
                <w:szCs w:val="24"/>
                <w:highlight w:val="none"/>
                <w:lang w:val="en-US" w:eastAsia="zh-CN"/>
              </w:rPr>
              <w:t>要求”中</w:t>
            </w:r>
            <w:r>
              <w:rPr>
                <w:rFonts w:hint="eastAsia" w:ascii="宋体" w:hAnsi="宋体" w:eastAsia="宋体" w:cs="宋体"/>
                <w:b w:val="0"/>
                <w:bCs w:val="0"/>
                <w:color w:val="auto"/>
                <w:kern w:val="2"/>
                <w:sz w:val="24"/>
                <w:szCs w:val="24"/>
                <w:highlight w:val="none"/>
                <w:lang w:val="en-US" w:eastAsia="zh-CN"/>
              </w:rPr>
              <w:t>标“★”参数并提供证明材料</w:t>
            </w:r>
            <w:r>
              <w:rPr>
                <w:rFonts w:hint="default" w:ascii="宋体" w:hAnsi="宋体" w:eastAsia="宋体" w:cs="宋体"/>
                <w:b w:val="0"/>
                <w:bCs w:val="0"/>
                <w:color w:val="auto"/>
                <w:kern w:val="2"/>
                <w:sz w:val="24"/>
                <w:szCs w:val="24"/>
                <w:highlight w:val="none"/>
                <w:lang w:val="en-US" w:eastAsia="zh-CN"/>
              </w:rPr>
              <w:t>。</w:t>
            </w:r>
          </w:p>
        </w:tc>
        <w:tc>
          <w:tcPr>
            <w:tcW w:w="1008" w:type="dxa"/>
            <w:vAlign w:val="center"/>
          </w:tcPr>
          <w:p w14:paraId="0CB8864C">
            <w:pPr>
              <w:pStyle w:val="95"/>
              <w:numPr>
                <w:ilvl w:val="1"/>
                <w:numId w:val="0"/>
              </w:numPr>
              <w:spacing w:line="560" w:lineRule="exact"/>
              <w:rPr>
                <w:rFonts w:hint="eastAsia" w:ascii="宋体" w:hAnsi="宋体" w:cs="宋体"/>
                <w:color w:val="auto"/>
                <w:sz w:val="24"/>
                <w:szCs w:val="24"/>
                <w:lang w:eastAsia="zh-CN"/>
              </w:rPr>
            </w:pPr>
          </w:p>
        </w:tc>
        <w:tc>
          <w:tcPr>
            <w:tcW w:w="1164" w:type="dxa"/>
            <w:vAlign w:val="center"/>
          </w:tcPr>
          <w:p w14:paraId="7D511F4F">
            <w:pPr>
              <w:pStyle w:val="94"/>
              <w:adjustRightInd/>
              <w:spacing w:before="0" w:after="0" w:line="560" w:lineRule="exact"/>
              <w:jc w:val="both"/>
              <w:textAlignment w:val="auto"/>
              <w:rPr>
                <w:rFonts w:hint="eastAsia" w:ascii="宋体" w:hAnsi="宋体" w:cs="宋体"/>
                <w:color w:val="auto"/>
                <w:spacing w:val="0"/>
                <w:kern w:val="2"/>
                <w:szCs w:val="24"/>
                <w:lang w:eastAsia="zh-CN"/>
              </w:rPr>
            </w:pPr>
          </w:p>
        </w:tc>
      </w:tr>
      <w:tr w14:paraId="35DE7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3" w:type="dxa"/>
            <w:vAlign w:val="center"/>
          </w:tcPr>
          <w:p w14:paraId="6433F174">
            <w:pPr>
              <w:spacing w:line="560" w:lineRule="exact"/>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13</w:t>
            </w:r>
          </w:p>
        </w:tc>
        <w:tc>
          <w:tcPr>
            <w:tcW w:w="5850" w:type="dxa"/>
            <w:vAlign w:val="center"/>
          </w:tcPr>
          <w:p w14:paraId="6A9FB7A7">
            <w:pPr>
              <w:pStyle w:val="26"/>
              <w:spacing w:line="240" w:lineRule="auto"/>
              <w:rPr>
                <w:rFonts w:hint="eastAsia" w:ascii="宋体" w:hAnsi="宋体" w:eastAsia="宋体" w:cs="宋体"/>
                <w:b w:val="0"/>
                <w:bCs w:val="0"/>
                <w:color w:val="auto"/>
                <w:kern w:val="2"/>
                <w:sz w:val="24"/>
                <w:szCs w:val="24"/>
                <w:highlight w:val="none"/>
                <w:lang w:val="en-US" w:eastAsia="zh-CN"/>
              </w:rPr>
            </w:pPr>
            <w:r>
              <w:rPr>
                <w:rFonts w:hint="eastAsia" w:ascii="宋体" w:hAnsi="宋体" w:eastAsia="宋体" w:cs="宋体"/>
                <w:b w:val="0"/>
                <w:bCs w:val="0"/>
                <w:color w:val="auto"/>
                <w:kern w:val="2"/>
                <w:sz w:val="24"/>
                <w:szCs w:val="24"/>
                <w:highlight w:val="none"/>
                <w:lang w:val="en-US" w:eastAsia="zh-CN"/>
              </w:rPr>
              <w:t>完全响应</w:t>
            </w:r>
            <w:r>
              <w:rPr>
                <w:rFonts w:hint="default" w:ascii="宋体" w:hAnsi="宋体" w:eastAsia="宋体" w:cs="宋体"/>
                <w:b w:val="0"/>
                <w:bCs w:val="0"/>
                <w:color w:val="auto"/>
                <w:kern w:val="2"/>
                <w:sz w:val="24"/>
                <w:szCs w:val="24"/>
                <w:highlight w:val="none"/>
                <w:lang w:val="en-US" w:eastAsia="zh-CN"/>
              </w:rPr>
              <w:t>本</w:t>
            </w:r>
            <w:r>
              <w:rPr>
                <w:rFonts w:hint="eastAsia" w:ascii="宋体" w:hAnsi="宋体" w:eastAsia="宋体" w:cs="宋体"/>
                <w:b w:val="0"/>
                <w:bCs w:val="0"/>
                <w:color w:val="auto"/>
                <w:kern w:val="2"/>
                <w:sz w:val="24"/>
                <w:szCs w:val="24"/>
                <w:highlight w:val="none"/>
                <w:lang w:val="en-US" w:eastAsia="zh-CN"/>
              </w:rPr>
              <w:t>招标</w:t>
            </w:r>
            <w:r>
              <w:rPr>
                <w:rFonts w:hint="default" w:ascii="宋体" w:hAnsi="宋体" w:eastAsia="宋体" w:cs="宋体"/>
                <w:b w:val="0"/>
                <w:bCs w:val="0"/>
                <w:color w:val="auto"/>
                <w:kern w:val="2"/>
                <w:sz w:val="24"/>
                <w:szCs w:val="24"/>
                <w:highlight w:val="none"/>
                <w:lang w:val="en-US" w:eastAsia="zh-CN"/>
              </w:rPr>
              <w:t>文件“第三章服务需求”中“</w:t>
            </w:r>
            <w:r>
              <w:rPr>
                <w:rFonts w:hint="eastAsia" w:ascii="宋体" w:hAnsi="宋体" w:eastAsia="宋体" w:cs="宋体"/>
                <w:b w:val="0"/>
                <w:bCs w:val="0"/>
                <w:color w:val="auto"/>
                <w:kern w:val="2"/>
                <w:sz w:val="24"/>
                <w:szCs w:val="24"/>
                <w:highlight w:val="none"/>
                <w:lang w:val="en-US" w:eastAsia="zh-CN"/>
              </w:rPr>
              <w:t>二</w:t>
            </w:r>
            <w:r>
              <w:rPr>
                <w:rFonts w:hint="default" w:ascii="宋体" w:hAnsi="宋体" w:eastAsia="宋体" w:cs="宋体"/>
                <w:b w:val="0"/>
                <w:bCs w:val="0"/>
                <w:color w:val="auto"/>
                <w:kern w:val="2"/>
                <w:sz w:val="24"/>
                <w:szCs w:val="24"/>
                <w:highlight w:val="none"/>
                <w:lang w:val="en-US" w:eastAsia="zh-CN"/>
              </w:rPr>
              <w:t>、</w:t>
            </w:r>
            <w:r>
              <w:rPr>
                <w:rFonts w:hint="eastAsia" w:ascii="宋体" w:hAnsi="宋体" w:eastAsia="宋体" w:cs="宋体"/>
                <w:b w:val="0"/>
                <w:bCs w:val="0"/>
                <w:color w:val="auto"/>
                <w:kern w:val="2"/>
                <w:sz w:val="24"/>
                <w:szCs w:val="24"/>
                <w:highlight w:val="none"/>
                <w:lang w:val="en-US" w:eastAsia="zh-CN"/>
              </w:rPr>
              <w:t>技术</w:t>
            </w:r>
            <w:r>
              <w:rPr>
                <w:rFonts w:hint="default" w:ascii="宋体" w:hAnsi="宋体" w:eastAsia="宋体" w:cs="宋体"/>
                <w:b w:val="0"/>
                <w:bCs w:val="0"/>
                <w:color w:val="auto"/>
                <w:kern w:val="2"/>
                <w:sz w:val="24"/>
                <w:szCs w:val="24"/>
                <w:highlight w:val="none"/>
                <w:lang w:val="en-US" w:eastAsia="zh-CN"/>
              </w:rPr>
              <w:t>要求”中</w:t>
            </w:r>
            <w:r>
              <w:rPr>
                <w:rFonts w:hint="eastAsia" w:ascii="宋体" w:hAnsi="宋体" w:eastAsia="宋体" w:cs="宋体"/>
                <w:b w:val="0"/>
                <w:bCs w:val="0"/>
                <w:color w:val="auto"/>
                <w:kern w:val="2"/>
                <w:sz w:val="24"/>
                <w:szCs w:val="24"/>
                <w:highlight w:val="none"/>
                <w:lang w:val="en-US" w:eastAsia="zh-CN"/>
              </w:rPr>
              <w:t>非标“★”“</w:t>
            </w:r>
            <w:r>
              <w:rPr>
                <w:rFonts w:hint="eastAsia" w:ascii="宋体" w:hAnsi="宋体" w:eastAsia="宋体" w:cs="宋体"/>
                <w:i w:val="0"/>
                <w:iCs w:val="0"/>
                <w:snapToGrid w:val="0"/>
                <w:color w:val="000000"/>
                <w:kern w:val="0"/>
                <w:sz w:val="24"/>
                <w:szCs w:val="24"/>
                <w:highlight w:val="none"/>
                <w:u w:val="none"/>
                <w:lang w:val="en-US" w:eastAsia="zh-CN" w:bidi="ar"/>
              </w:rPr>
              <w:t>▲</w:t>
            </w:r>
            <w:r>
              <w:rPr>
                <w:rFonts w:hint="eastAsia" w:ascii="宋体" w:hAnsi="宋体" w:eastAsia="宋体" w:cs="宋体"/>
                <w:b w:val="0"/>
                <w:bCs w:val="0"/>
                <w:color w:val="auto"/>
                <w:kern w:val="2"/>
                <w:sz w:val="24"/>
                <w:szCs w:val="24"/>
                <w:highlight w:val="none"/>
                <w:lang w:val="en-US" w:eastAsia="zh-CN"/>
              </w:rPr>
              <w:t>”参数</w:t>
            </w:r>
            <w:r>
              <w:rPr>
                <w:rFonts w:hint="default" w:ascii="宋体" w:hAnsi="宋体" w:eastAsia="宋体" w:cs="宋体"/>
                <w:b w:val="0"/>
                <w:bCs w:val="0"/>
                <w:color w:val="auto"/>
                <w:kern w:val="2"/>
                <w:sz w:val="24"/>
                <w:szCs w:val="24"/>
                <w:highlight w:val="none"/>
                <w:lang w:val="en-US" w:eastAsia="zh-CN"/>
              </w:rPr>
              <w:t>。</w:t>
            </w:r>
          </w:p>
        </w:tc>
        <w:tc>
          <w:tcPr>
            <w:tcW w:w="1008" w:type="dxa"/>
            <w:vAlign w:val="center"/>
          </w:tcPr>
          <w:p w14:paraId="1377BC0C">
            <w:pPr>
              <w:pStyle w:val="95"/>
              <w:numPr>
                <w:ilvl w:val="1"/>
                <w:numId w:val="0"/>
              </w:numPr>
              <w:spacing w:line="560" w:lineRule="exact"/>
              <w:rPr>
                <w:rFonts w:hint="eastAsia" w:ascii="宋体" w:hAnsi="宋体" w:cs="宋体"/>
                <w:color w:val="auto"/>
                <w:sz w:val="24"/>
                <w:szCs w:val="24"/>
                <w:lang w:eastAsia="zh-CN"/>
              </w:rPr>
            </w:pPr>
          </w:p>
        </w:tc>
        <w:tc>
          <w:tcPr>
            <w:tcW w:w="1164" w:type="dxa"/>
            <w:vAlign w:val="center"/>
          </w:tcPr>
          <w:p w14:paraId="60E15D8D">
            <w:pPr>
              <w:pStyle w:val="94"/>
              <w:adjustRightInd/>
              <w:spacing w:before="0" w:after="0" w:line="560" w:lineRule="exact"/>
              <w:jc w:val="both"/>
              <w:textAlignment w:val="auto"/>
              <w:rPr>
                <w:rFonts w:hint="eastAsia" w:ascii="宋体" w:hAnsi="宋体" w:cs="宋体"/>
                <w:color w:val="auto"/>
                <w:spacing w:val="0"/>
                <w:kern w:val="2"/>
                <w:szCs w:val="24"/>
                <w:lang w:eastAsia="zh-CN"/>
              </w:rPr>
            </w:pPr>
          </w:p>
        </w:tc>
      </w:tr>
    </w:tbl>
    <w:p w14:paraId="77EFEEAF">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备注：</w:t>
      </w:r>
    </w:p>
    <w:p w14:paraId="4AA4A968">
      <w:pPr>
        <w:numPr>
          <w:ilvl w:val="0"/>
          <w:numId w:val="6"/>
        </w:numPr>
        <w:spacing w:line="360"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对于上述要求，如投标人完全响应，则请在“是否响应”栏内打“√”，对打“×”视为偏离，请在“偏离说明”栏内扼要说明偏离情况；</w:t>
      </w:r>
    </w:p>
    <w:p w14:paraId="11EB9EAE">
      <w:pPr>
        <w:numPr>
          <w:ilvl w:val="0"/>
          <w:numId w:val="6"/>
        </w:numPr>
        <w:spacing w:line="360"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商务条款偏离表中有一项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未响应或者负偏离，均视为未实质性响应投标文件，属于采购人不能接受的附加条件。</w:t>
      </w:r>
    </w:p>
    <w:p w14:paraId="2A03E21C">
      <w:pPr>
        <w:numPr>
          <w:ilvl w:val="0"/>
          <w:numId w:val="6"/>
        </w:numPr>
        <w:spacing w:line="360"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投标人应认真填写本响应表，若评标委员会在评标期间，发现有虚假填写本响应表的，则将可能被视为存在两个投标方案，评标委员会将按本招标文件相关规定执行；</w:t>
      </w:r>
    </w:p>
    <w:p w14:paraId="72061227">
      <w:pPr>
        <w:numPr>
          <w:ilvl w:val="0"/>
          <w:numId w:val="6"/>
        </w:numPr>
        <w:spacing w:line="360"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本表内容不得擅自修改。</w:t>
      </w:r>
    </w:p>
    <w:p w14:paraId="6DF35508">
      <w:pPr>
        <w:pStyle w:val="21"/>
        <w:spacing w:after="0" w:line="500" w:lineRule="exact"/>
        <w:ind w:left="0" w:leftChars="0"/>
        <w:jc w:val="center"/>
        <w:rPr>
          <w:rFonts w:hint="eastAsia" w:ascii="宋体" w:hAnsi="宋体" w:cs="宋体"/>
          <w:bCs/>
          <w:color w:val="auto"/>
          <w:sz w:val="24"/>
          <w:szCs w:val="24"/>
          <w:lang w:eastAsia="zh-CN"/>
        </w:rPr>
      </w:pPr>
      <w:r>
        <w:rPr>
          <w:rFonts w:hint="eastAsia" w:ascii="宋体" w:hAnsi="宋体" w:cs="宋体"/>
          <w:bCs/>
          <w:color w:val="auto"/>
          <w:sz w:val="24"/>
          <w:szCs w:val="24"/>
          <w:lang w:eastAsia="zh-CN"/>
        </w:rPr>
        <w:t xml:space="preserve">              投标人名称（盖章）：</w:t>
      </w:r>
    </w:p>
    <w:p w14:paraId="2B11FF48">
      <w:pPr>
        <w:pStyle w:val="21"/>
        <w:spacing w:after="0" w:line="500" w:lineRule="exact"/>
        <w:ind w:left="0" w:leftChars="0"/>
        <w:jc w:val="center"/>
        <w:rPr>
          <w:rFonts w:hint="eastAsia" w:ascii="宋体" w:hAnsi="宋体" w:cs="宋体"/>
          <w:bCs/>
          <w:color w:val="auto"/>
          <w:sz w:val="24"/>
          <w:szCs w:val="24"/>
          <w:lang w:eastAsia="zh-CN"/>
        </w:rPr>
      </w:pPr>
      <w:r>
        <w:rPr>
          <w:rFonts w:hint="eastAsia" w:ascii="宋体" w:hAnsi="宋体" w:cs="宋体"/>
          <w:bCs/>
          <w:color w:val="auto"/>
          <w:sz w:val="24"/>
          <w:szCs w:val="24"/>
          <w:lang w:eastAsia="zh-CN"/>
        </w:rPr>
        <w:t xml:space="preserve">                          </w:t>
      </w:r>
      <w:r>
        <w:rPr>
          <w:rFonts w:hint="eastAsia" w:ascii="宋体" w:hAnsi="宋体" w:cs="宋体"/>
          <w:color w:val="auto"/>
          <w:sz w:val="24"/>
          <w:szCs w:val="24"/>
          <w:lang w:eastAsia="zh-CN"/>
        </w:rPr>
        <w:t>授权人或被授权人（签字或盖章）</w:t>
      </w:r>
      <w:r>
        <w:rPr>
          <w:rFonts w:hint="eastAsia" w:ascii="宋体" w:hAnsi="宋体" w:cs="宋体"/>
          <w:bCs/>
          <w:color w:val="auto"/>
          <w:sz w:val="24"/>
          <w:szCs w:val="24"/>
          <w:lang w:eastAsia="zh-CN"/>
        </w:rPr>
        <w:t>：</w:t>
      </w:r>
    </w:p>
    <w:p w14:paraId="6C7B2BDE">
      <w:pPr>
        <w:spacing w:line="500" w:lineRule="exac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 xml:space="preserve">         日期： 年 月 日</w:t>
      </w:r>
    </w:p>
    <w:p w14:paraId="12506D2F">
      <w:pPr>
        <w:pStyle w:val="13"/>
        <w:ind w:left="0" w:leftChars="0" w:firstLine="0" w:firstLineChars="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br w:type="page"/>
      </w:r>
    </w:p>
    <w:p w14:paraId="3279524E">
      <w:pPr>
        <w:spacing w:line="36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（二）</w:t>
      </w:r>
      <w:r>
        <w:rPr>
          <w:rFonts w:hint="eastAsia" w:ascii="宋体" w:hAnsi="宋体" w:eastAsia="宋体" w:cs="宋体"/>
          <w:color w:val="auto"/>
          <w:sz w:val="24"/>
          <w:szCs w:val="24"/>
          <w:lang w:val="en-US" w:eastAsia="zh-CN"/>
        </w:rPr>
        <w:t>技术要求</w:t>
      </w:r>
      <w:r>
        <w:rPr>
          <w:rFonts w:hint="eastAsia" w:ascii="宋体" w:hAnsi="宋体" w:eastAsia="宋体" w:cs="宋体"/>
          <w:color w:val="auto"/>
          <w:sz w:val="24"/>
          <w:szCs w:val="24"/>
          <w:lang w:eastAsia="zh-CN"/>
        </w:rPr>
        <w:t>偏离表</w:t>
      </w:r>
    </w:p>
    <w:tbl>
      <w:tblPr>
        <w:tblStyle w:val="36"/>
        <w:tblW w:w="85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3"/>
        <w:gridCol w:w="1158"/>
        <w:gridCol w:w="1703"/>
        <w:gridCol w:w="1666"/>
        <w:gridCol w:w="1725"/>
        <w:gridCol w:w="743"/>
        <w:gridCol w:w="779"/>
      </w:tblGrid>
      <w:tr w14:paraId="3A2B6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2" w:hRule="atLeast"/>
          <w:jc w:val="center"/>
        </w:trPr>
        <w:tc>
          <w:tcPr>
            <w:tcW w:w="743" w:type="dxa"/>
            <w:vAlign w:val="center"/>
          </w:tcPr>
          <w:p w14:paraId="735756F2">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序号</w:t>
            </w:r>
          </w:p>
        </w:tc>
        <w:tc>
          <w:tcPr>
            <w:tcW w:w="1158" w:type="dxa"/>
            <w:vAlign w:val="center"/>
          </w:tcPr>
          <w:p w14:paraId="78AF6F3B">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服务名称</w:t>
            </w:r>
          </w:p>
        </w:tc>
        <w:tc>
          <w:tcPr>
            <w:tcW w:w="1703" w:type="dxa"/>
            <w:vAlign w:val="center"/>
          </w:tcPr>
          <w:p w14:paraId="7D4B2B3B">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lang w:eastAsia="zh-CN"/>
              </w:rPr>
              <w:t>招标文件</w:t>
            </w:r>
            <w:r>
              <w:rPr>
                <w:rFonts w:hint="eastAsia" w:ascii="宋体" w:hAnsi="宋体" w:eastAsia="宋体" w:cs="宋体"/>
                <w:color w:val="auto"/>
                <w:sz w:val="24"/>
                <w:szCs w:val="24"/>
              </w:rPr>
              <w:t>条款号</w:t>
            </w:r>
          </w:p>
        </w:tc>
        <w:tc>
          <w:tcPr>
            <w:tcW w:w="1666" w:type="dxa"/>
            <w:vAlign w:val="center"/>
          </w:tcPr>
          <w:p w14:paraId="47C67FED">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lang w:eastAsia="zh-CN"/>
              </w:rPr>
              <w:t>招标文件</w:t>
            </w:r>
            <w:r>
              <w:rPr>
                <w:rFonts w:hint="eastAsia" w:ascii="宋体" w:hAnsi="宋体" w:eastAsia="宋体" w:cs="宋体"/>
                <w:color w:val="auto"/>
                <w:sz w:val="24"/>
                <w:szCs w:val="24"/>
              </w:rPr>
              <w:t>的要求</w:t>
            </w:r>
          </w:p>
        </w:tc>
        <w:tc>
          <w:tcPr>
            <w:tcW w:w="1725" w:type="dxa"/>
            <w:vAlign w:val="center"/>
          </w:tcPr>
          <w:p w14:paraId="25268CED">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lang w:eastAsia="zh-CN"/>
              </w:rPr>
              <w:t>投标</w:t>
            </w:r>
            <w:r>
              <w:rPr>
                <w:rFonts w:hint="eastAsia" w:ascii="宋体" w:hAnsi="宋体" w:eastAsia="宋体" w:cs="宋体"/>
                <w:color w:val="auto"/>
                <w:sz w:val="24"/>
                <w:szCs w:val="24"/>
              </w:rPr>
              <w:t>文件的响应</w:t>
            </w:r>
          </w:p>
        </w:tc>
        <w:tc>
          <w:tcPr>
            <w:tcW w:w="743" w:type="dxa"/>
            <w:vAlign w:val="center"/>
          </w:tcPr>
          <w:p w14:paraId="52F9342B">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偏离</w:t>
            </w:r>
          </w:p>
        </w:tc>
        <w:tc>
          <w:tcPr>
            <w:tcW w:w="779" w:type="dxa"/>
            <w:vAlign w:val="center"/>
          </w:tcPr>
          <w:p w14:paraId="3D5327D1">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说明</w:t>
            </w:r>
          </w:p>
        </w:tc>
      </w:tr>
      <w:tr w14:paraId="22E91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743" w:type="dxa"/>
          </w:tcPr>
          <w:p w14:paraId="2D2ABDAD">
            <w:pPr>
              <w:spacing w:line="360" w:lineRule="auto"/>
              <w:rPr>
                <w:rFonts w:hint="eastAsia" w:ascii="宋体" w:hAnsi="宋体" w:eastAsia="宋体" w:cs="宋体"/>
                <w:color w:val="auto"/>
                <w:sz w:val="24"/>
                <w:szCs w:val="24"/>
              </w:rPr>
            </w:pPr>
          </w:p>
        </w:tc>
        <w:tc>
          <w:tcPr>
            <w:tcW w:w="1158" w:type="dxa"/>
          </w:tcPr>
          <w:p w14:paraId="5BBB6439">
            <w:pPr>
              <w:spacing w:line="360" w:lineRule="auto"/>
              <w:rPr>
                <w:rFonts w:hint="eastAsia" w:ascii="宋体" w:hAnsi="宋体" w:eastAsia="宋体" w:cs="宋体"/>
                <w:color w:val="auto"/>
                <w:sz w:val="24"/>
                <w:szCs w:val="24"/>
              </w:rPr>
            </w:pPr>
          </w:p>
        </w:tc>
        <w:tc>
          <w:tcPr>
            <w:tcW w:w="1703" w:type="dxa"/>
          </w:tcPr>
          <w:p w14:paraId="3F00B866">
            <w:pPr>
              <w:spacing w:line="360" w:lineRule="auto"/>
              <w:rPr>
                <w:rFonts w:hint="eastAsia" w:ascii="宋体" w:hAnsi="宋体" w:eastAsia="宋体" w:cs="宋体"/>
                <w:color w:val="auto"/>
                <w:sz w:val="24"/>
                <w:szCs w:val="24"/>
              </w:rPr>
            </w:pPr>
          </w:p>
        </w:tc>
        <w:tc>
          <w:tcPr>
            <w:tcW w:w="1666" w:type="dxa"/>
          </w:tcPr>
          <w:p w14:paraId="19AEE4CB">
            <w:pPr>
              <w:spacing w:line="360" w:lineRule="auto"/>
              <w:rPr>
                <w:rFonts w:hint="eastAsia" w:ascii="宋体" w:hAnsi="宋体" w:eastAsia="宋体" w:cs="宋体"/>
                <w:color w:val="auto"/>
                <w:sz w:val="24"/>
                <w:szCs w:val="24"/>
              </w:rPr>
            </w:pPr>
          </w:p>
        </w:tc>
        <w:tc>
          <w:tcPr>
            <w:tcW w:w="1725" w:type="dxa"/>
          </w:tcPr>
          <w:p w14:paraId="658BFB03">
            <w:pPr>
              <w:spacing w:line="360" w:lineRule="auto"/>
              <w:rPr>
                <w:rFonts w:hint="eastAsia" w:ascii="宋体" w:hAnsi="宋体" w:eastAsia="宋体" w:cs="宋体"/>
                <w:color w:val="auto"/>
                <w:sz w:val="24"/>
                <w:szCs w:val="24"/>
              </w:rPr>
            </w:pPr>
          </w:p>
        </w:tc>
        <w:tc>
          <w:tcPr>
            <w:tcW w:w="743" w:type="dxa"/>
          </w:tcPr>
          <w:p w14:paraId="462995EE">
            <w:pPr>
              <w:spacing w:line="360" w:lineRule="auto"/>
              <w:rPr>
                <w:rFonts w:hint="eastAsia" w:ascii="宋体" w:hAnsi="宋体" w:eastAsia="宋体" w:cs="宋体"/>
                <w:color w:val="auto"/>
                <w:sz w:val="24"/>
                <w:szCs w:val="24"/>
              </w:rPr>
            </w:pPr>
          </w:p>
        </w:tc>
        <w:tc>
          <w:tcPr>
            <w:tcW w:w="779" w:type="dxa"/>
          </w:tcPr>
          <w:p w14:paraId="44699E42">
            <w:pPr>
              <w:spacing w:line="360" w:lineRule="auto"/>
              <w:rPr>
                <w:rFonts w:hint="eastAsia" w:ascii="宋体" w:hAnsi="宋体" w:eastAsia="宋体" w:cs="宋体"/>
                <w:color w:val="auto"/>
                <w:sz w:val="24"/>
                <w:szCs w:val="24"/>
              </w:rPr>
            </w:pPr>
          </w:p>
        </w:tc>
      </w:tr>
      <w:tr w14:paraId="5E33A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743" w:type="dxa"/>
          </w:tcPr>
          <w:p w14:paraId="63694D9B">
            <w:pPr>
              <w:spacing w:line="360" w:lineRule="auto"/>
              <w:rPr>
                <w:rFonts w:hint="eastAsia" w:ascii="宋体" w:hAnsi="宋体" w:eastAsia="宋体" w:cs="宋体"/>
                <w:color w:val="auto"/>
                <w:sz w:val="24"/>
                <w:szCs w:val="24"/>
              </w:rPr>
            </w:pPr>
          </w:p>
        </w:tc>
        <w:tc>
          <w:tcPr>
            <w:tcW w:w="1158" w:type="dxa"/>
          </w:tcPr>
          <w:p w14:paraId="59D32B0B">
            <w:pPr>
              <w:spacing w:line="360" w:lineRule="auto"/>
              <w:rPr>
                <w:rFonts w:hint="eastAsia" w:ascii="宋体" w:hAnsi="宋体" w:eastAsia="宋体" w:cs="宋体"/>
                <w:color w:val="auto"/>
                <w:sz w:val="24"/>
                <w:szCs w:val="24"/>
              </w:rPr>
            </w:pPr>
          </w:p>
        </w:tc>
        <w:tc>
          <w:tcPr>
            <w:tcW w:w="1703" w:type="dxa"/>
          </w:tcPr>
          <w:p w14:paraId="152728E1">
            <w:pPr>
              <w:spacing w:line="360" w:lineRule="auto"/>
              <w:rPr>
                <w:rFonts w:hint="eastAsia" w:ascii="宋体" w:hAnsi="宋体" w:eastAsia="宋体" w:cs="宋体"/>
                <w:color w:val="auto"/>
                <w:sz w:val="24"/>
                <w:szCs w:val="24"/>
              </w:rPr>
            </w:pPr>
          </w:p>
        </w:tc>
        <w:tc>
          <w:tcPr>
            <w:tcW w:w="1666" w:type="dxa"/>
          </w:tcPr>
          <w:p w14:paraId="1A57F816">
            <w:pPr>
              <w:spacing w:line="360" w:lineRule="auto"/>
              <w:rPr>
                <w:rFonts w:hint="eastAsia" w:ascii="宋体" w:hAnsi="宋体" w:eastAsia="宋体" w:cs="宋体"/>
                <w:color w:val="auto"/>
                <w:sz w:val="24"/>
                <w:szCs w:val="24"/>
              </w:rPr>
            </w:pPr>
          </w:p>
        </w:tc>
        <w:tc>
          <w:tcPr>
            <w:tcW w:w="1725" w:type="dxa"/>
          </w:tcPr>
          <w:p w14:paraId="3BD52E3F">
            <w:pPr>
              <w:spacing w:line="360" w:lineRule="auto"/>
              <w:rPr>
                <w:rFonts w:hint="eastAsia" w:ascii="宋体" w:hAnsi="宋体" w:eastAsia="宋体" w:cs="宋体"/>
                <w:color w:val="auto"/>
                <w:sz w:val="24"/>
                <w:szCs w:val="24"/>
              </w:rPr>
            </w:pPr>
          </w:p>
        </w:tc>
        <w:tc>
          <w:tcPr>
            <w:tcW w:w="743" w:type="dxa"/>
          </w:tcPr>
          <w:p w14:paraId="7C5C00F2">
            <w:pPr>
              <w:spacing w:line="360" w:lineRule="auto"/>
              <w:rPr>
                <w:rFonts w:hint="eastAsia" w:ascii="宋体" w:hAnsi="宋体" w:eastAsia="宋体" w:cs="宋体"/>
                <w:color w:val="auto"/>
                <w:sz w:val="24"/>
                <w:szCs w:val="24"/>
              </w:rPr>
            </w:pPr>
          </w:p>
        </w:tc>
        <w:tc>
          <w:tcPr>
            <w:tcW w:w="779" w:type="dxa"/>
          </w:tcPr>
          <w:p w14:paraId="709D50DA">
            <w:pPr>
              <w:spacing w:line="360" w:lineRule="auto"/>
              <w:rPr>
                <w:rFonts w:hint="eastAsia" w:ascii="宋体" w:hAnsi="宋体" w:eastAsia="宋体" w:cs="宋体"/>
                <w:color w:val="auto"/>
                <w:sz w:val="24"/>
                <w:szCs w:val="24"/>
              </w:rPr>
            </w:pPr>
          </w:p>
        </w:tc>
      </w:tr>
      <w:tr w14:paraId="7086C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743" w:type="dxa"/>
          </w:tcPr>
          <w:p w14:paraId="7FC05FC9">
            <w:pPr>
              <w:spacing w:line="360" w:lineRule="auto"/>
              <w:rPr>
                <w:rFonts w:hint="eastAsia" w:ascii="宋体" w:hAnsi="宋体" w:eastAsia="宋体" w:cs="宋体"/>
                <w:color w:val="auto"/>
                <w:sz w:val="24"/>
                <w:szCs w:val="24"/>
              </w:rPr>
            </w:pPr>
          </w:p>
        </w:tc>
        <w:tc>
          <w:tcPr>
            <w:tcW w:w="1158" w:type="dxa"/>
          </w:tcPr>
          <w:p w14:paraId="12278C6C">
            <w:pPr>
              <w:spacing w:line="360" w:lineRule="auto"/>
              <w:rPr>
                <w:rFonts w:hint="eastAsia" w:ascii="宋体" w:hAnsi="宋体" w:eastAsia="宋体" w:cs="宋体"/>
                <w:color w:val="auto"/>
                <w:sz w:val="24"/>
                <w:szCs w:val="24"/>
              </w:rPr>
            </w:pPr>
          </w:p>
        </w:tc>
        <w:tc>
          <w:tcPr>
            <w:tcW w:w="1703" w:type="dxa"/>
          </w:tcPr>
          <w:p w14:paraId="1242BC04">
            <w:pPr>
              <w:spacing w:line="360" w:lineRule="auto"/>
              <w:rPr>
                <w:rFonts w:hint="eastAsia" w:ascii="宋体" w:hAnsi="宋体" w:eastAsia="宋体" w:cs="宋体"/>
                <w:color w:val="auto"/>
                <w:sz w:val="24"/>
                <w:szCs w:val="24"/>
              </w:rPr>
            </w:pPr>
          </w:p>
        </w:tc>
        <w:tc>
          <w:tcPr>
            <w:tcW w:w="1666" w:type="dxa"/>
          </w:tcPr>
          <w:p w14:paraId="2533A272">
            <w:pPr>
              <w:spacing w:line="360" w:lineRule="auto"/>
              <w:rPr>
                <w:rFonts w:hint="eastAsia" w:ascii="宋体" w:hAnsi="宋体" w:eastAsia="宋体" w:cs="宋体"/>
                <w:color w:val="auto"/>
                <w:sz w:val="24"/>
                <w:szCs w:val="24"/>
              </w:rPr>
            </w:pPr>
          </w:p>
        </w:tc>
        <w:tc>
          <w:tcPr>
            <w:tcW w:w="1725" w:type="dxa"/>
          </w:tcPr>
          <w:p w14:paraId="48EBC3B5">
            <w:pPr>
              <w:spacing w:line="360" w:lineRule="auto"/>
              <w:rPr>
                <w:rFonts w:hint="eastAsia" w:ascii="宋体" w:hAnsi="宋体" w:eastAsia="宋体" w:cs="宋体"/>
                <w:color w:val="auto"/>
                <w:sz w:val="24"/>
                <w:szCs w:val="24"/>
              </w:rPr>
            </w:pPr>
          </w:p>
        </w:tc>
        <w:tc>
          <w:tcPr>
            <w:tcW w:w="743" w:type="dxa"/>
          </w:tcPr>
          <w:p w14:paraId="17BFDDDC">
            <w:pPr>
              <w:spacing w:line="360" w:lineRule="auto"/>
              <w:rPr>
                <w:rFonts w:hint="eastAsia" w:ascii="宋体" w:hAnsi="宋体" w:eastAsia="宋体" w:cs="宋体"/>
                <w:color w:val="auto"/>
                <w:sz w:val="24"/>
                <w:szCs w:val="24"/>
              </w:rPr>
            </w:pPr>
          </w:p>
        </w:tc>
        <w:tc>
          <w:tcPr>
            <w:tcW w:w="779" w:type="dxa"/>
          </w:tcPr>
          <w:p w14:paraId="36AEF200">
            <w:pPr>
              <w:spacing w:line="360" w:lineRule="auto"/>
              <w:rPr>
                <w:rFonts w:hint="eastAsia" w:ascii="宋体" w:hAnsi="宋体" w:eastAsia="宋体" w:cs="宋体"/>
                <w:color w:val="auto"/>
                <w:sz w:val="24"/>
                <w:szCs w:val="24"/>
              </w:rPr>
            </w:pPr>
          </w:p>
        </w:tc>
      </w:tr>
      <w:tr w14:paraId="0D916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743" w:type="dxa"/>
          </w:tcPr>
          <w:p w14:paraId="7CEE8275">
            <w:pPr>
              <w:spacing w:line="360" w:lineRule="auto"/>
              <w:rPr>
                <w:rFonts w:hint="eastAsia" w:ascii="宋体" w:hAnsi="宋体" w:eastAsia="宋体" w:cs="宋体"/>
                <w:color w:val="auto"/>
                <w:sz w:val="24"/>
                <w:szCs w:val="24"/>
              </w:rPr>
            </w:pPr>
          </w:p>
        </w:tc>
        <w:tc>
          <w:tcPr>
            <w:tcW w:w="1158" w:type="dxa"/>
          </w:tcPr>
          <w:p w14:paraId="650FAB2D">
            <w:pPr>
              <w:spacing w:line="360" w:lineRule="auto"/>
              <w:rPr>
                <w:rFonts w:hint="eastAsia" w:ascii="宋体" w:hAnsi="宋体" w:eastAsia="宋体" w:cs="宋体"/>
                <w:color w:val="auto"/>
                <w:sz w:val="24"/>
                <w:szCs w:val="24"/>
              </w:rPr>
            </w:pPr>
          </w:p>
        </w:tc>
        <w:tc>
          <w:tcPr>
            <w:tcW w:w="1703" w:type="dxa"/>
          </w:tcPr>
          <w:p w14:paraId="2526D41C">
            <w:pPr>
              <w:spacing w:line="360" w:lineRule="auto"/>
              <w:rPr>
                <w:rFonts w:hint="eastAsia" w:ascii="宋体" w:hAnsi="宋体" w:eastAsia="宋体" w:cs="宋体"/>
                <w:color w:val="auto"/>
                <w:sz w:val="24"/>
                <w:szCs w:val="24"/>
              </w:rPr>
            </w:pPr>
          </w:p>
        </w:tc>
        <w:tc>
          <w:tcPr>
            <w:tcW w:w="1666" w:type="dxa"/>
          </w:tcPr>
          <w:p w14:paraId="5DA40C30">
            <w:pPr>
              <w:spacing w:line="360" w:lineRule="auto"/>
              <w:rPr>
                <w:rFonts w:hint="eastAsia" w:ascii="宋体" w:hAnsi="宋体" w:eastAsia="宋体" w:cs="宋体"/>
                <w:color w:val="auto"/>
                <w:sz w:val="24"/>
                <w:szCs w:val="24"/>
              </w:rPr>
            </w:pPr>
          </w:p>
        </w:tc>
        <w:tc>
          <w:tcPr>
            <w:tcW w:w="1725" w:type="dxa"/>
          </w:tcPr>
          <w:p w14:paraId="79747B5B">
            <w:pPr>
              <w:spacing w:line="360" w:lineRule="auto"/>
              <w:rPr>
                <w:rFonts w:hint="eastAsia" w:ascii="宋体" w:hAnsi="宋体" w:eastAsia="宋体" w:cs="宋体"/>
                <w:color w:val="auto"/>
                <w:sz w:val="24"/>
                <w:szCs w:val="24"/>
              </w:rPr>
            </w:pPr>
          </w:p>
        </w:tc>
        <w:tc>
          <w:tcPr>
            <w:tcW w:w="743" w:type="dxa"/>
          </w:tcPr>
          <w:p w14:paraId="04AD3DCF">
            <w:pPr>
              <w:spacing w:line="360" w:lineRule="auto"/>
              <w:rPr>
                <w:rFonts w:hint="eastAsia" w:ascii="宋体" w:hAnsi="宋体" w:eastAsia="宋体" w:cs="宋体"/>
                <w:color w:val="auto"/>
                <w:sz w:val="24"/>
                <w:szCs w:val="24"/>
              </w:rPr>
            </w:pPr>
          </w:p>
        </w:tc>
        <w:tc>
          <w:tcPr>
            <w:tcW w:w="779" w:type="dxa"/>
          </w:tcPr>
          <w:p w14:paraId="0528E979">
            <w:pPr>
              <w:spacing w:line="360" w:lineRule="auto"/>
              <w:rPr>
                <w:rFonts w:hint="eastAsia" w:ascii="宋体" w:hAnsi="宋体" w:eastAsia="宋体" w:cs="宋体"/>
                <w:color w:val="auto"/>
                <w:sz w:val="24"/>
                <w:szCs w:val="24"/>
              </w:rPr>
            </w:pPr>
          </w:p>
        </w:tc>
      </w:tr>
      <w:tr w14:paraId="038D4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743" w:type="dxa"/>
          </w:tcPr>
          <w:p w14:paraId="1F387B56">
            <w:pPr>
              <w:spacing w:line="360" w:lineRule="auto"/>
              <w:rPr>
                <w:rFonts w:hint="eastAsia" w:ascii="宋体" w:hAnsi="宋体" w:eastAsia="宋体" w:cs="宋体"/>
                <w:color w:val="auto"/>
                <w:sz w:val="24"/>
                <w:szCs w:val="24"/>
              </w:rPr>
            </w:pPr>
          </w:p>
        </w:tc>
        <w:tc>
          <w:tcPr>
            <w:tcW w:w="1158" w:type="dxa"/>
          </w:tcPr>
          <w:p w14:paraId="54E06111">
            <w:pPr>
              <w:spacing w:line="360" w:lineRule="auto"/>
              <w:rPr>
                <w:rFonts w:hint="eastAsia" w:ascii="宋体" w:hAnsi="宋体" w:eastAsia="宋体" w:cs="宋体"/>
                <w:color w:val="auto"/>
                <w:sz w:val="24"/>
                <w:szCs w:val="24"/>
              </w:rPr>
            </w:pPr>
          </w:p>
        </w:tc>
        <w:tc>
          <w:tcPr>
            <w:tcW w:w="1703" w:type="dxa"/>
          </w:tcPr>
          <w:p w14:paraId="3EF8A650">
            <w:pPr>
              <w:spacing w:line="360" w:lineRule="auto"/>
              <w:rPr>
                <w:rFonts w:hint="eastAsia" w:ascii="宋体" w:hAnsi="宋体" w:eastAsia="宋体" w:cs="宋体"/>
                <w:color w:val="auto"/>
                <w:sz w:val="24"/>
                <w:szCs w:val="24"/>
              </w:rPr>
            </w:pPr>
          </w:p>
        </w:tc>
        <w:tc>
          <w:tcPr>
            <w:tcW w:w="1666" w:type="dxa"/>
          </w:tcPr>
          <w:p w14:paraId="64111C6F">
            <w:pPr>
              <w:spacing w:line="360" w:lineRule="auto"/>
              <w:rPr>
                <w:rFonts w:hint="eastAsia" w:ascii="宋体" w:hAnsi="宋体" w:eastAsia="宋体" w:cs="宋体"/>
                <w:color w:val="auto"/>
                <w:sz w:val="24"/>
                <w:szCs w:val="24"/>
              </w:rPr>
            </w:pPr>
          </w:p>
        </w:tc>
        <w:tc>
          <w:tcPr>
            <w:tcW w:w="1725" w:type="dxa"/>
          </w:tcPr>
          <w:p w14:paraId="7F7CB233">
            <w:pPr>
              <w:spacing w:line="360" w:lineRule="auto"/>
              <w:rPr>
                <w:rFonts w:hint="eastAsia" w:ascii="宋体" w:hAnsi="宋体" w:eastAsia="宋体" w:cs="宋体"/>
                <w:color w:val="auto"/>
                <w:sz w:val="24"/>
                <w:szCs w:val="24"/>
              </w:rPr>
            </w:pPr>
          </w:p>
        </w:tc>
        <w:tc>
          <w:tcPr>
            <w:tcW w:w="743" w:type="dxa"/>
          </w:tcPr>
          <w:p w14:paraId="6DCD5399">
            <w:pPr>
              <w:spacing w:line="360" w:lineRule="auto"/>
              <w:rPr>
                <w:rFonts w:hint="eastAsia" w:ascii="宋体" w:hAnsi="宋体" w:eastAsia="宋体" w:cs="宋体"/>
                <w:color w:val="auto"/>
                <w:sz w:val="24"/>
                <w:szCs w:val="24"/>
              </w:rPr>
            </w:pPr>
          </w:p>
        </w:tc>
        <w:tc>
          <w:tcPr>
            <w:tcW w:w="779" w:type="dxa"/>
          </w:tcPr>
          <w:p w14:paraId="790D0532">
            <w:pPr>
              <w:spacing w:line="360" w:lineRule="auto"/>
              <w:rPr>
                <w:rFonts w:hint="eastAsia" w:ascii="宋体" w:hAnsi="宋体" w:eastAsia="宋体" w:cs="宋体"/>
                <w:color w:val="auto"/>
                <w:sz w:val="24"/>
                <w:szCs w:val="24"/>
              </w:rPr>
            </w:pPr>
          </w:p>
        </w:tc>
      </w:tr>
    </w:tbl>
    <w:p w14:paraId="5F361A60">
      <w:pPr>
        <w:rPr>
          <w:rFonts w:hint="eastAsia" w:ascii="宋体" w:hAnsi="宋体" w:eastAsia="宋体" w:cs="宋体"/>
          <w:color w:val="auto"/>
          <w:sz w:val="24"/>
          <w:szCs w:val="24"/>
        </w:rPr>
      </w:pPr>
    </w:p>
    <w:p w14:paraId="399ECB1D">
      <w:pPr>
        <w:spacing w:line="560" w:lineRule="exact"/>
        <w:rPr>
          <w:rFonts w:hint="eastAsia" w:ascii="宋体" w:hAnsi="宋体" w:eastAsia="宋体" w:cs="宋体"/>
          <w:color w:val="auto"/>
          <w:sz w:val="24"/>
          <w:szCs w:val="24"/>
        </w:rPr>
      </w:pPr>
      <w:r>
        <w:rPr>
          <w:rFonts w:hint="eastAsia" w:ascii="宋体" w:hAnsi="宋体" w:eastAsia="宋体" w:cs="宋体"/>
          <w:color w:val="auto"/>
          <w:sz w:val="24"/>
          <w:szCs w:val="24"/>
        </w:rPr>
        <w:t>备注：</w:t>
      </w:r>
    </w:p>
    <w:p w14:paraId="1BE2E324">
      <w:pPr>
        <w:spacing w:line="560" w:lineRule="exact"/>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1.供应商应对照招标</w:t>
      </w:r>
      <w:r>
        <w:rPr>
          <w:rFonts w:hint="eastAsia" w:ascii="宋体" w:hAnsi="宋体" w:eastAsia="宋体" w:cs="宋体"/>
          <w:color w:val="auto"/>
          <w:sz w:val="24"/>
          <w:szCs w:val="24"/>
          <w:highlight w:val="none"/>
          <w:lang w:eastAsia="zh-CN"/>
        </w:rPr>
        <w:t>文件“第三章  服务需求”</w:t>
      </w:r>
      <w:r>
        <w:rPr>
          <w:rFonts w:hint="eastAsia" w:ascii="宋体" w:hAnsi="宋体" w:eastAsia="宋体" w:cs="宋体"/>
          <w:color w:val="auto"/>
          <w:sz w:val="24"/>
          <w:szCs w:val="24"/>
          <w:highlight w:val="none"/>
          <w:lang w:val="en-US" w:eastAsia="zh-CN"/>
        </w:rPr>
        <w:t>中的“二、技术要求”所有标“</w:t>
      </w:r>
      <w:r>
        <w:rPr>
          <w:rFonts w:hint="eastAsia" w:ascii="宋体" w:hAnsi="宋体" w:eastAsia="宋体" w:cs="宋体"/>
          <w:i w:val="0"/>
          <w:iCs w:val="0"/>
          <w:snapToGrid w:val="0"/>
          <w:color w:val="000000"/>
          <w:kern w:val="0"/>
          <w:sz w:val="24"/>
          <w:szCs w:val="24"/>
          <w:highlight w:val="none"/>
          <w:u w:val="none"/>
          <w:lang w:val="en-US" w:eastAsia="zh-CN" w:bidi="ar"/>
        </w:rPr>
        <w:t>▲</w:t>
      </w:r>
      <w:r>
        <w:rPr>
          <w:rFonts w:hint="eastAsia" w:ascii="宋体" w:hAnsi="宋体" w:eastAsia="宋体" w:cs="宋体"/>
          <w:color w:val="auto"/>
          <w:sz w:val="24"/>
          <w:szCs w:val="24"/>
          <w:highlight w:val="none"/>
          <w:lang w:val="en-US" w:eastAsia="zh-CN"/>
        </w:rPr>
        <w:t>”参数逐项</w:t>
      </w:r>
      <w:r>
        <w:rPr>
          <w:rFonts w:hint="eastAsia" w:ascii="宋体" w:hAnsi="宋体" w:eastAsia="宋体" w:cs="宋体"/>
          <w:color w:val="auto"/>
          <w:sz w:val="24"/>
          <w:szCs w:val="24"/>
          <w:highlight w:val="none"/>
          <w:lang w:eastAsia="zh-CN"/>
        </w:rPr>
        <w:t>填写，在“</w:t>
      </w:r>
      <w:r>
        <w:rPr>
          <w:rFonts w:hint="eastAsia" w:ascii="宋体" w:hAnsi="宋体" w:eastAsia="宋体" w:cs="宋体"/>
          <w:color w:val="auto"/>
          <w:sz w:val="24"/>
          <w:szCs w:val="24"/>
          <w:highlight w:val="none"/>
          <w:lang w:val="en-US" w:eastAsia="zh-CN"/>
        </w:rPr>
        <w:t>技术要求</w:t>
      </w:r>
      <w:r>
        <w:rPr>
          <w:rFonts w:hint="eastAsia" w:ascii="宋体" w:hAnsi="宋体" w:eastAsia="宋体" w:cs="宋体"/>
          <w:color w:val="auto"/>
          <w:sz w:val="24"/>
          <w:szCs w:val="24"/>
          <w:highlight w:val="none"/>
          <w:lang w:eastAsia="zh-CN"/>
        </w:rPr>
        <w:t>偏离表”中的“偏离情况”中注明“正偏离”或“负偏离”或“无偏离”，不得虚假响应。</w:t>
      </w:r>
    </w:p>
    <w:p w14:paraId="00D719A0">
      <w:pPr>
        <w:spacing w:line="560" w:lineRule="exact"/>
        <w:jc w:val="both"/>
        <w:rPr>
          <w:rFonts w:hint="eastAsia"/>
          <w:lang w:eastAsia="zh-CN"/>
        </w:rPr>
      </w:pPr>
      <w:r>
        <w:rPr>
          <w:rFonts w:hint="eastAsia" w:ascii="宋体" w:hAnsi="宋体" w:eastAsia="宋体" w:cs="宋体"/>
          <w:bCs/>
          <w:color w:val="auto"/>
          <w:sz w:val="24"/>
          <w:szCs w:val="24"/>
          <w:lang w:eastAsia="zh-CN"/>
        </w:rPr>
        <w:t xml:space="preserve">2.供应商须提供证明材料，不提供或不清楚或不准确，不予认可。                      </w:t>
      </w:r>
    </w:p>
    <w:p w14:paraId="65955A05">
      <w:pPr>
        <w:spacing w:line="560" w:lineRule="exact"/>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 xml:space="preserve">                                 投标人名称（盖章）：</w:t>
      </w:r>
    </w:p>
    <w:p w14:paraId="2DAB6BF3">
      <w:pPr>
        <w:spacing w:line="560" w:lineRule="exact"/>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 xml:space="preserve">                                 授权人或被授权人（签字或盖章）：</w:t>
      </w:r>
    </w:p>
    <w:p w14:paraId="245925F7">
      <w:pPr>
        <w:spacing w:line="560" w:lineRule="exact"/>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 xml:space="preserve">                                 日期： 年 月 日 </w:t>
      </w:r>
    </w:p>
    <w:p w14:paraId="0B1242A9">
      <w:pPr>
        <w:rPr>
          <w:rFonts w:hint="eastAsia" w:ascii="宋体" w:hAnsi="宋体" w:eastAsia="宋体" w:cs="宋体"/>
          <w:color w:val="auto"/>
          <w:sz w:val="24"/>
          <w:szCs w:val="24"/>
          <w:lang w:eastAsia="zh-CN"/>
        </w:rPr>
        <w:sectPr>
          <w:footerReference r:id="rId5" w:type="default"/>
          <w:pgSz w:w="11906" w:h="16838"/>
          <w:pgMar w:top="1429" w:right="1553" w:bottom="1378" w:left="1786" w:header="907" w:footer="1134" w:gutter="0"/>
          <w:cols w:space="720" w:num="1"/>
          <w:docGrid w:type="lines" w:linePitch="312" w:charSpace="0"/>
        </w:sectPr>
      </w:pPr>
    </w:p>
    <w:p w14:paraId="5693FD46">
      <w:pPr>
        <w:pStyle w:val="13"/>
        <w:spacing w:line="360" w:lineRule="auto"/>
        <w:ind w:firstLine="0"/>
        <w:jc w:val="center"/>
        <w:outlineLvl w:val="1"/>
        <w:rPr>
          <w:rFonts w:hint="eastAsia" w:ascii="宋体" w:hAnsi="宋体" w:cs="宋体"/>
          <w:b/>
          <w:bCs/>
          <w:color w:val="auto"/>
          <w:sz w:val="24"/>
          <w:szCs w:val="24"/>
        </w:rPr>
      </w:pPr>
      <w:bookmarkStart w:id="144" w:name="_Toc19183"/>
      <w:r>
        <w:rPr>
          <w:rFonts w:hint="eastAsia" w:ascii="宋体" w:hAnsi="宋体" w:cs="宋体"/>
          <w:b/>
          <w:bCs/>
          <w:color w:val="auto"/>
          <w:sz w:val="24"/>
          <w:szCs w:val="24"/>
        </w:rPr>
        <w:t>十一、服务方案</w:t>
      </w:r>
      <w:bookmarkEnd w:id="144"/>
    </w:p>
    <w:p w14:paraId="066842E5">
      <w:pPr>
        <w:spacing w:line="360" w:lineRule="auto"/>
        <w:jc w:val="center"/>
        <w:rPr>
          <w:rFonts w:hint="eastAsia" w:ascii="宋体" w:hAnsi="宋体" w:eastAsia="宋体" w:cs="宋体"/>
          <w:color w:val="auto"/>
          <w:kern w:val="44"/>
          <w:sz w:val="24"/>
          <w:szCs w:val="24"/>
          <w:lang w:eastAsia="zh-CN"/>
        </w:rPr>
      </w:pPr>
    </w:p>
    <w:p w14:paraId="68DB0436">
      <w:pPr>
        <w:spacing w:line="360"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供应商应根据招标文件要求和本项目的具体情况，自行编制服务方案，格式自拟。</w:t>
      </w:r>
    </w:p>
    <w:p w14:paraId="353D6E39">
      <w:pP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 xml:space="preserve">   </w:t>
      </w:r>
    </w:p>
    <w:p w14:paraId="10BA5C0C">
      <w:pP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br w:type="page"/>
      </w:r>
    </w:p>
    <w:p w14:paraId="5869FBF2">
      <w:pPr>
        <w:pStyle w:val="17"/>
        <w:spacing w:line="560" w:lineRule="exact"/>
        <w:ind w:firstLine="482" w:firstLineChars="200"/>
        <w:jc w:val="center"/>
        <w:outlineLvl w:val="1"/>
        <w:rPr>
          <w:rFonts w:hint="eastAsia" w:hAnsi="宋体"/>
          <w:b/>
          <w:bCs/>
          <w:color w:val="auto"/>
          <w:sz w:val="24"/>
          <w:szCs w:val="24"/>
        </w:rPr>
      </w:pPr>
      <w:bookmarkStart w:id="145" w:name="_Toc14419"/>
      <w:r>
        <w:rPr>
          <w:rFonts w:hint="eastAsia" w:hAnsi="宋体"/>
          <w:b/>
          <w:bCs/>
          <w:color w:val="auto"/>
          <w:sz w:val="24"/>
          <w:szCs w:val="24"/>
        </w:rPr>
        <w:t>十二、政府采购政策</w:t>
      </w:r>
      <w:bookmarkEnd w:id="145"/>
    </w:p>
    <w:p w14:paraId="74F3469B">
      <w:pPr>
        <w:pStyle w:val="31"/>
        <w:ind w:left="0" w:leftChars="0"/>
        <w:rPr>
          <w:rFonts w:hint="eastAsia" w:ascii="宋体" w:hAnsi="宋体" w:eastAsia="宋体" w:cs="宋体"/>
          <w:sz w:val="24"/>
          <w:lang w:eastAsia="zh-CN"/>
        </w:rPr>
      </w:pPr>
    </w:p>
    <w:p w14:paraId="33E8A464">
      <w:pPr>
        <w:pStyle w:val="17"/>
        <w:spacing w:line="560" w:lineRule="exact"/>
        <w:ind w:firstLine="482" w:firstLineChars="200"/>
        <w:jc w:val="center"/>
        <w:outlineLvl w:val="1"/>
        <w:rPr>
          <w:rFonts w:hint="eastAsia" w:hAnsi="宋体"/>
          <w:color w:val="auto"/>
          <w:sz w:val="24"/>
          <w:szCs w:val="24"/>
        </w:rPr>
      </w:pPr>
      <w:bookmarkStart w:id="146" w:name="_Toc16189"/>
      <w:r>
        <w:rPr>
          <w:rFonts w:hint="eastAsia" w:hAnsi="宋体"/>
          <w:b/>
          <w:bCs/>
          <w:color w:val="auto"/>
          <w:sz w:val="24"/>
          <w:szCs w:val="24"/>
        </w:rPr>
        <w:t>（一）中小企业声明函</w:t>
      </w:r>
      <w:bookmarkEnd w:id="146"/>
    </w:p>
    <w:p w14:paraId="7AE4057C">
      <w:pPr>
        <w:widowControl/>
        <w:spacing w:line="400" w:lineRule="exact"/>
        <w:jc w:val="center"/>
        <w:rPr>
          <w:rFonts w:hint="eastAsia" w:ascii="宋体" w:hAnsi="宋体" w:cs="方正小标宋_GBK"/>
          <w:color w:val="000000"/>
          <w:sz w:val="36"/>
        </w:rPr>
      </w:pPr>
    </w:p>
    <w:p w14:paraId="4F003C8B">
      <w:pPr>
        <w:spacing w:line="360" w:lineRule="auto"/>
        <w:ind w:firstLine="480" w:firstLineChars="200"/>
        <w:jc w:val="center"/>
        <w:rPr>
          <w:rFonts w:hint="eastAsia" w:ascii="宋体" w:hAnsi="宋体" w:cs="宋体"/>
          <w:color w:val="000000"/>
          <w:kern w:val="0"/>
          <w:sz w:val="24"/>
          <w:szCs w:val="24"/>
          <w:highlight w:val="none"/>
        </w:rPr>
      </w:pPr>
      <w:r>
        <w:rPr>
          <w:rFonts w:hint="eastAsia" w:ascii="宋体" w:hAnsi="宋体" w:cs="宋体"/>
          <w:color w:val="000000"/>
          <w:kern w:val="0"/>
          <w:sz w:val="24"/>
          <w:szCs w:val="24"/>
          <w:highlight w:val="none"/>
        </w:rPr>
        <w:t>中小企业声明函（工程、服务）</w:t>
      </w:r>
    </w:p>
    <w:p w14:paraId="7378CC4F">
      <w:pPr>
        <w:spacing w:line="360" w:lineRule="auto"/>
        <w:ind w:firstLine="480" w:firstLineChars="200"/>
        <w:rPr>
          <w:rFonts w:hint="eastAsia" w:ascii="宋体" w:hAnsi="宋体" w:cs="宋体"/>
          <w:color w:val="000000"/>
          <w:kern w:val="0"/>
          <w:sz w:val="24"/>
          <w:szCs w:val="24"/>
          <w:highlight w:val="none"/>
        </w:rPr>
      </w:pPr>
    </w:p>
    <w:p w14:paraId="7919DA4C">
      <w:pPr>
        <w:spacing w:line="360" w:lineRule="auto"/>
        <w:ind w:firstLine="480" w:firstLineChars="200"/>
        <w:rPr>
          <w:rFonts w:hint="eastAsia" w:ascii="宋体" w:hAnsi="宋体" w:cs="宋体"/>
          <w:color w:val="000000"/>
          <w:kern w:val="0"/>
          <w:sz w:val="24"/>
          <w:szCs w:val="24"/>
          <w:highlight w:val="none"/>
        </w:rPr>
      </w:pPr>
      <w:r>
        <w:rPr>
          <w:rFonts w:hint="eastAsia" w:ascii="宋体" w:hAnsi="宋体" w:cs="宋体"/>
          <w:color w:val="000000"/>
          <w:kern w:val="0"/>
          <w:sz w:val="24"/>
          <w:szCs w:val="24"/>
          <w:highlight w:val="none"/>
        </w:rPr>
        <w:t>本公司（联合体）郑重声明，根据《政府采购促进中小企业发展管理办法》（财库﹝2020﹞46 号）的规定，本公司（联合体）参加（单位名称）的（项目名称）采购活动，工程的施工单位全部为符合政策要求的中小企业（或者：服务全部由符合政策要求的中小企业承接）。相关企业（含联合体中的中小企业、签订分包意向协议的中小企业）的具体情况如下：</w:t>
      </w:r>
    </w:p>
    <w:p w14:paraId="6F2C5D7F">
      <w:pPr>
        <w:spacing w:line="360" w:lineRule="auto"/>
        <w:ind w:firstLine="480" w:firstLineChars="200"/>
        <w:rPr>
          <w:rFonts w:hint="eastAsia" w:ascii="宋体" w:hAnsi="宋体" w:cs="宋体"/>
          <w:color w:val="000000"/>
          <w:kern w:val="0"/>
          <w:sz w:val="24"/>
          <w:szCs w:val="24"/>
          <w:highlight w:val="none"/>
        </w:rPr>
      </w:pPr>
      <w:r>
        <w:rPr>
          <w:rFonts w:hint="eastAsia" w:ascii="宋体" w:hAnsi="宋体" w:cs="宋体"/>
          <w:color w:val="000000"/>
          <w:kern w:val="0"/>
          <w:sz w:val="24"/>
          <w:szCs w:val="24"/>
          <w:highlight w:val="none"/>
        </w:rPr>
        <w:t>1. （标的名称） ，属于（采购文件中明确的所属行业）；承建（承接）企业为（企业名称），从业人员人，营业收入为万元，资产总额为万元，属于（中型企业、小型企业、微型企业）；</w:t>
      </w:r>
    </w:p>
    <w:p w14:paraId="2F474329">
      <w:pPr>
        <w:spacing w:line="360" w:lineRule="auto"/>
        <w:ind w:firstLine="480" w:firstLineChars="200"/>
        <w:rPr>
          <w:rFonts w:hint="eastAsia" w:ascii="宋体" w:hAnsi="宋体" w:cs="宋体"/>
          <w:color w:val="000000"/>
          <w:kern w:val="0"/>
          <w:sz w:val="24"/>
          <w:szCs w:val="24"/>
          <w:highlight w:val="none"/>
        </w:rPr>
      </w:pPr>
      <w:r>
        <w:rPr>
          <w:rFonts w:hint="eastAsia" w:ascii="宋体" w:hAnsi="宋体" w:cs="宋体"/>
          <w:color w:val="000000"/>
          <w:kern w:val="0"/>
          <w:sz w:val="24"/>
          <w:szCs w:val="24"/>
          <w:highlight w:val="none"/>
        </w:rPr>
        <w:t>2. （标的名称） ，属于（采购文件中明确的所属行业）；承建（承接）企业为（企业名称），从业人员人，营业收入为万元，资产总额为万元，属于（中型企业、小型企业、微型企业）；</w:t>
      </w:r>
    </w:p>
    <w:p w14:paraId="612AED2D">
      <w:pPr>
        <w:spacing w:line="360" w:lineRule="auto"/>
        <w:ind w:firstLine="480" w:firstLineChars="200"/>
        <w:rPr>
          <w:rFonts w:hint="eastAsia" w:ascii="宋体" w:hAnsi="宋体" w:cs="宋体"/>
          <w:color w:val="000000"/>
          <w:kern w:val="0"/>
          <w:sz w:val="24"/>
          <w:szCs w:val="24"/>
          <w:highlight w:val="none"/>
        </w:rPr>
      </w:pPr>
      <w:r>
        <w:rPr>
          <w:rFonts w:hint="eastAsia" w:ascii="宋体" w:hAnsi="宋体" w:cs="宋体"/>
          <w:color w:val="000000"/>
          <w:kern w:val="0"/>
          <w:sz w:val="24"/>
          <w:szCs w:val="24"/>
          <w:highlight w:val="none"/>
        </w:rPr>
        <w:t>……</w:t>
      </w:r>
    </w:p>
    <w:p w14:paraId="7BA2BDA3">
      <w:pPr>
        <w:spacing w:line="360" w:lineRule="auto"/>
        <w:ind w:firstLine="480" w:firstLineChars="200"/>
        <w:rPr>
          <w:rFonts w:hint="eastAsia" w:ascii="宋体" w:hAnsi="宋体" w:cs="宋体"/>
          <w:color w:val="000000"/>
          <w:kern w:val="0"/>
          <w:sz w:val="24"/>
          <w:szCs w:val="24"/>
          <w:highlight w:val="none"/>
        </w:rPr>
      </w:pPr>
      <w:r>
        <w:rPr>
          <w:rFonts w:hint="eastAsia" w:ascii="宋体" w:hAnsi="宋体" w:cs="宋体"/>
          <w:color w:val="000000"/>
          <w:kern w:val="0"/>
          <w:sz w:val="24"/>
          <w:szCs w:val="24"/>
          <w:highlight w:val="none"/>
        </w:rPr>
        <w:t>以上企业，不属于大企业的分支机构，不存在控股股东为大企业的情形，也不存在与大企业的负责人为同一人的情形。</w:t>
      </w:r>
    </w:p>
    <w:p w14:paraId="2B7500F5">
      <w:pPr>
        <w:spacing w:line="360" w:lineRule="auto"/>
        <w:ind w:firstLine="480" w:firstLineChars="200"/>
        <w:rPr>
          <w:rFonts w:hint="eastAsia" w:ascii="宋体" w:hAnsi="宋体" w:cs="宋体"/>
          <w:color w:val="000000"/>
          <w:kern w:val="0"/>
          <w:sz w:val="24"/>
          <w:szCs w:val="24"/>
          <w:highlight w:val="none"/>
        </w:rPr>
      </w:pPr>
      <w:r>
        <w:rPr>
          <w:rFonts w:hint="eastAsia" w:ascii="宋体" w:hAnsi="宋体" w:cs="宋体"/>
          <w:color w:val="000000"/>
          <w:kern w:val="0"/>
          <w:sz w:val="24"/>
          <w:szCs w:val="24"/>
          <w:highlight w:val="none"/>
        </w:rPr>
        <w:t>本企业对上述声明内容的真实性负责。如有虚假，将依法承担相应责任。</w:t>
      </w:r>
    </w:p>
    <w:p w14:paraId="5E83DD72">
      <w:pPr>
        <w:spacing w:line="360" w:lineRule="auto"/>
        <w:ind w:firstLine="480" w:firstLineChars="200"/>
        <w:rPr>
          <w:rFonts w:hint="eastAsia" w:ascii="宋体" w:hAnsi="宋体" w:cs="宋体"/>
          <w:color w:val="000000"/>
          <w:kern w:val="0"/>
          <w:sz w:val="24"/>
          <w:szCs w:val="24"/>
          <w:highlight w:val="none"/>
        </w:rPr>
      </w:pPr>
    </w:p>
    <w:p w14:paraId="76620D4C">
      <w:pPr>
        <w:spacing w:line="360" w:lineRule="auto"/>
        <w:ind w:firstLine="480" w:firstLineChars="200"/>
        <w:rPr>
          <w:rFonts w:hint="eastAsia" w:ascii="宋体" w:hAnsi="宋体" w:cs="宋体"/>
          <w:color w:val="000000"/>
          <w:kern w:val="0"/>
          <w:sz w:val="24"/>
          <w:szCs w:val="24"/>
          <w:highlight w:val="none"/>
        </w:rPr>
      </w:pPr>
    </w:p>
    <w:p w14:paraId="13CD06FF">
      <w:pPr>
        <w:spacing w:line="360" w:lineRule="auto"/>
        <w:ind w:firstLine="480" w:firstLineChars="200"/>
        <w:rPr>
          <w:rFonts w:hint="eastAsia" w:ascii="宋体" w:hAnsi="宋体" w:cs="宋体"/>
          <w:color w:val="000000"/>
          <w:kern w:val="0"/>
          <w:sz w:val="24"/>
          <w:szCs w:val="24"/>
          <w:highlight w:val="none"/>
        </w:rPr>
      </w:pPr>
      <w:r>
        <w:rPr>
          <w:rFonts w:hint="eastAsia" w:ascii="宋体" w:hAnsi="宋体" w:cs="宋体"/>
          <w:color w:val="000000"/>
          <w:kern w:val="0"/>
          <w:sz w:val="24"/>
          <w:szCs w:val="24"/>
          <w:highlight w:val="none"/>
        </w:rPr>
        <w:t>企业名称（盖章）：</w:t>
      </w:r>
    </w:p>
    <w:p w14:paraId="23C8BEC7">
      <w:pPr>
        <w:spacing w:line="360" w:lineRule="auto"/>
        <w:ind w:firstLine="480" w:firstLineChars="200"/>
        <w:rPr>
          <w:rFonts w:hint="eastAsia" w:ascii="宋体" w:hAnsi="宋体" w:cs="宋体"/>
          <w:color w:val="000000"/>
          <w:kern w:val="0"/>
          <w:sz w:val="24"/>
          <w:szCs w:val="24"/>
          <w:highlight w:val="none"/>
        </w:rPr>
      </w:pPr>
      <w:r>
        <w:rPr>
          <w:rFonts w:hint="eastAsia" w:ascii="宋体" w:hAnsi="宋体" w:cs="宋体"/>
          <w:color w:val="000000"/>
          <w:kern w:val="0"/>
          <w:sz w:val="24"/>
          <w:szCs w:val="24"/>
          <w:highlight w:val="none"/>
        </w:rPr>
        <w:t>日期：</w:t>
      </w:r>
    </w:p>
    <w:p w14:paraId="687482EC">
      <w:pPr>
        <w:spacing w:line="360" w:lineRule="auto"/>
        <w:ind w:firstLine="480" w:firstLineChars="200"/>
        <w:rPr>
          <w:rFonts w:hint="eastAsia" w:ascii="宋体" w:hAnsi="宋体" w:cs="宋体"/>
          <w:color w:val="000000"/>
          <w:kern w:val="0"/>
          <w:sz w:val="24"/>
          <w:szCs w:val="24"/>
          <w:highlight w:val="none"/>
        </w:rPr>
      </w:pPr>
    </w:p>
    <w:p w14:paraId="3D7A9758">
      <w:pPr>
        <w:spacing w:line="360" w:lineRule="auto"/>
        <w:ind w:firstLine="480" w:firstLineChars="200"/>
        <w:rPr>
          <w:rFonts w:hint="eastAsia" w:ascii="宋体" w:hAnsi="宋体" w:cs="宋体"/>
          <w:color w:val="000000"/>
          <w:kern w:val="0"/>
          <w:sz w:val="24"/>
          <w:szCs w:val="24"/>
          <w:highlight w:val="none"/>
        </w:rPr>
      </w:pPr>
      <w:r>
        <w:rPr>
          <w:rFonts w:hint="eastAsia" w:ascii="宋体" w:hAnsi="宋体" w:cs="宋体"/>
          <w:color w:val="000000"/>
          <w:kern w:val="0"/>
          <w:sz w:val="24"/>
          <w:szCs w:val="24"/>
          <w:highlight w:val="none"/>
        </w:rPr>
        <w:t>备注：1、从业人员、营业收入、资产总额填报上一年度数据，无上一年度数据的新成立企业可不填报。</w:t>
      </w:r>
    </w:p>
    <w:p w14:paraId="1DE12FCF">
      <w:pPr>
        <w:widowControl w:val="0"/>
        <w:numPr>
          <w:ilvl w:val="0"/>
          <w:numId w:val="0"/>
        </w:numPr>
        <w:adjustRightInd/>
        <w:snapToGrid/>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snapToGrid w:val="0"/>
          <w:color w:val="auto"/>
          <w:kern w:val="2"/>
          <w:sz w:val="24"/>
          <w:szCs w:val="24"/>
          <w:lang w:val="en-US" w:eastAsia="zh-CN" w:bidi="ar-SA"/>
        </w:rPr>
        <w:t>2、</w:t>
      </w:r>
      <w:r>
        <w:rPr>
          <w:rFonts w:hint="eastAsia" w:ascii="宋体" w:hAnsi="宋体" w:cs="宋体"/>
          <w:color w:val="000000"/>
          <w:kern w:val="0"/>
          <w:sz w:val="24"/>
          <w:szCs w:val="24"/>
          <w:highlight w:val="none"/>
        </w:rPr>
        <w:t>供应商为小微企业时需提供本声明函，并完整填写从业人员、营业收入、资产总额等内容，否则将不能通过资格审查。</w:t>
      </w:r>
      <w:r>
        <w:rPr>
          <w:rFonts w:hint="eastAsia" w:ascii="宋体" w:hAnsi="宋体" w:eastAsia="宋体" w:cs="宋体"/>
          <w:color w:val="auto"/>
          <w:kern w:val="2"/>
          <w:sz w:val="24"/>
          <w:szCs w:val="24"/>
          <w:lang w:eastAsia="zh-CN"/>
        </w:rPr>
        <w:br w:type="page"/>
      </w:r>
    </w:p>
    <w:p w14:paraId="37ED4AFE">
      <w:pPr>
        <w:pStyle w:val="11"/>
        <w:spacing w:line="360" w:lineRule="auto"/>
        <w:jc w:val="center"/>
        <w:rPr>
          <w:rFonts w:hint="eastAsia" w:asciiTheme="minorEastAsia" w:hAnsiTheme="minorEastAsia" w:eastAsiaTheme="minorEastAsia" w:cstheme="minorEastAsia"/>
          <w:b/>
          <w:bCs/>
          <w:color w:val="auto"/>
          <w:sz w:val="28"/>
          <w:szCs w:val="36"/>
          <w:lang w:eastAsia="zh-CN"/>
        </w:rPr>
      </w:pPr>
      <w:r>
        <w:rPr>
          <w:rFonts w:hint="eastAsia" w:asciiTheme="minorEastAsia" w:hAnsiTheme="minorEastAsia" w:eastAsiaTheme="minorEastAsia" w:cstheme="minorEastAsia"/>
          <w:b/>
          <w:bCs/>
          <w:color w:val="auto"/>
          <w:sz w:val="28"/>
          <w:szCs w:val="36"/>
          <w:lang w:eastAsia="zh-CN"/>
        </w:rPr>
        <w:t>特别说明</w:t>
      </w:r>
    </w:p>
    <w:p w14:paraId="2562CBAA">
      <w:pPr>
        <w:spacing w:line="360" w:lineRule="auto"/>
        <w:ind w:firstLine="480" w:firstLineChars="200"/>
        <w:rPr>
          <w:rFonts w:hint="eastAsia" w:ascii="宋体" w:hAnsi="宋体" w:cs="宋体"/>
          <w:color w:val="000000"/>
          <w:kern w:val="0"/>
          <w:sz w:val="24"/>
          <w:szCs w:val="24"/>
          <w:highlight w:val="none"/>
        </w:rPr>
      </w:pPr>
      <w:r>
        <w:rPr>
          <w:rFonts w:hint="eastAsia" w:ascii="宋体" w:hAnsi="宋体" w:eastAsia="宋体" w:cs="宋体"/>
          <w:color w:val="000000"/>
          <w:kern w:val="0"/>
          <w:sz w:val="24"/>
          <w:szCs w:val="24"/>
          <w:highlight w:val="none"/>
          <w:lang w:eastAsia="zh-CN"/>
        </w:rPr>
        <w:t>（</w:t>
      </w:r>
      <w:r>
        <w:rPr>
          <w:rFonts w:hint="eastAsia" w:ascii="宋体" w:hAnsi="宋体" w:eastAsia="宋体" w:cs="宋体"/>
          <w:color w:val="000000"/>
          <w:kern w:val="0"/>
          <w:sz w:val="24"/>
          <w:szCs w:val="24"/>
          <w:highlight w:val="none"/>
          <w:lang w:val="en-US" w:eastAsia="zh-CN"/>
        </w:rPr>
        <w:t>1</w:t>
      </w:r>
      <w:r>
        <w:rPr>
          <w:rFonts w:hint="eastAsia" w:ascii="宋体" w:hAnsi="宋体" w:eastAsia="宋体" w:cs="宋体"/>
          <w:color w:val="000000"/>
          <w:kern w:val="0"/>
          <w:sz w:val="24"/>
          <w:szCs w:val="24"/>
          <w:highlight w:val="none"/>
          <w:lang w:eastAsia="zh-CN"/>
        </w:rPr>
        <w:t>）</w:t>
      </w:r>
      <w:r>
        <w:rPr>
          <w:rFonts w:hint="eastAsia" w:ascii="宋体" w:hAnsi="宋体" w:cs="宋体"/>
          <w:color w:val="000000"/>
          <w:kern w:val="0"/>
          <w:sz w:val="24"/>
          <w:szCs w:val="24"/>
          <w:highlight w:val="none"/>
        </w:rPr>
        <w:t>本项目为</w:t>
      </w:r>
      <w:r>
        <w:rPr>
          <w:rFonts w:hint="eastAsia" w:eastAsia="宋体" w:cs="宋体"/>
          <w:color w:val="auto"/>
          <w:sz w:val="24"/>
          <w:szCs w:val="24"/>
          <w:shd w:val="clear" w:color="auto" w:fill="FFFFFF"/>
          <w:lang w:eastAsia="zh-CN"/>
        </w:rPr>
        <w:t>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0943944C">
      <w:pPr>
        <w:spacing w:line="360" w:lineRule="auto"/>
        <w:ind w:firstLine="480" w:firstLineChars="200"/>
        <w:rPr>
          <w:rFonts w:hint="eastAsia" w:ascii="宋体" w:hAnsi="宋体" w:cs="宋体"/>
          <w:color w:val="000000"/>
          <w:kern w:val="0"/>
          <w:sz w:val="24"/>
          <w:szCs w:val="24"/>
          <w:highlight w:val="none"/>
        </w:rPr>
      </w:pPr>
      <w:r>
        <w:rPr>
          <w:rFonts w:hint="eastAsia" w:ascii="宋体" w:hAnsi="宋体" w:cs="宋体"/>
          <w:color w:val="000000"/>
          <w:kern w:val="0"/>
          <w:sz w:val="24"/>
          <w:szCs w:val="24"/>
          <w:highlight w:val="none"/>
        </w:rPr>
        <w:t>（2）相关中小企业政策，详见本招标文件附件1、附件2及附件3。</w:t>
      </w:r>
    </w:p>
    <w:p w14:paraId="40F04F08">
      <w:pPr>
        <w:rPr>
          <w:rFonts w:hint="eastAsia" w:ascii="宋体" w:hAnsi="宋体" w:cs="宋体"/>
          <w:color w:val="000000"/>
          <w:kern w:val="0"/>
          <w:sz w:val="24"/>
          <w:szCs w:val="24"/>
          <w:highlight w:val="none"/>
          <w:lang w:eastAsia="zh-CN"/>
        </w:rPr>
      </w:pPr>
      <w:r>
        <w:rPr>
          <w:rFonts w:hint="eastAsia" w:ascii="宋体" w:hAnsi="宋体" w:cs="宋体"/>
          <w:color w:val="000000"/>
          <w:kern w:val="0"/>
          <w:sz w:val="24"/>
          <w:szCs w:val="24"/>
          <w:highlight w:val="none"/>
        </w:rPr>
        <w:br w:type="page"/>
      </w:r>
    </w:p>
    <w:p w14:paraId="047031F1">
      <w:pPr>
        <w:spacing w:line="560" w:lineRule="exact"/>
        <w:jc w:val="center"/>
        <w:outlineLvl w:val="1"/>
        <w:rPr>
          <w:rFonts w:hint="eastAsia" w:ascii="宋体" w:hAnsi="宋体" w:eastAsia="宋体" w:cs="宋体"/>
          <w:b/>
          <w:color w:val="auto"/>
          <w:spacing w:val="6"/>
          <w:sz w:val="24"/>
          <w:szCs w:val="24"/>
          <w:lang w:eastAsia="zh-CN"/>
        </w:rPr>
      </w:pPr>
      <w:bookmarkStart w:id="147" w:name="_Toc5424"/>
      <w:r>
        <w:rPr>
          <w:rFonts w:hint="eastAsia" w:ascii="宋体" w:hAnsi="宋体" w:eastAsia="宋体" w:cs="宋体"/>
          <w:b/>
          <w:bCs/>
          <w:color w:val="auto"/>
          <w:sz w:val="24"/>
          <w:szCs w:val="24"/>
          <w:lang w:val="en-US" w:eastAsia="zh-CN"/>
        </w:rPr>
        <w:t xml:space="preserve"> </w:t>
      </w:r>
      <w:r>
        <w:rPr>
          <w:rFonts w:hint="eastAsia" w:ascii="宋体" w:hAnsi="宋体" w:eastAsia="宋体" w:cs="宋体"/>
          <w:b/>
          <w:bCs/>
          <w:color w:val="auto"/>
          <w:sz w:val="24"/>
          <w:szCs w:val="24"/>
          <w:lang w:eastAsia="zh-CN"/>
        </w:rPr>
        <w:t>（二）</w:t>
      </w:r>
      <w:r>
        <w:rPr>
          <w:rFonts w:hint="eastAsia" w:ascii="宋体" w:hAnsi="宋体" w:eastAsia="宋体" w:cs="宋体"/>
          <w:b/>
          <w:color w:val="auto"/>
          <w:spacing w:val="6"/>
          <w:sz w:val="24"/>
          <w:szCs w:val="24"/>
          <w:lang w:eastAsia="zh-CN"/>
        </w:rPr>
        <w:t>残疾人福利性单位声明函</w:t>
      </w:r>
      <w:r>
        <w:rPr>
          <w:rFonts w:hint="eastAsia" w:ascii="宋体" w:hAnsi="宋体" w:eastAsia="宋体" w:cs="宋体"/>
          <w:b/>
          <w:color w:val="auto"/>
          <w:sz w:val="24"/>
          <w:szCs w:val="24"/>
          <w:lang w:eastAsia="zh-CN"/>
        </w:rPr>
        <w:t>（如有）</w:t>
      </w:r>
      <w:bookmarkEnd w:id="147"/>
    </w:p>
    <w:p w14:paraId="5F38902A">
      <w:pPr>
        <w:spacing w:line="560" w:lineRule="exact"/>
        <w:rPr>
          <w:rFonts w:hint="eastAsia" w:ascii="宋体" w:hAnsi="宋体" w:eastAsia="宋体" w:cs="宋体"/>
          <w:b/>
          <w:color w:val="auto"/>
          <w:spacing w:val="6"/>
          <w:sz w:val="24"/>
          <w:szCs w:val="24"/>
          <w:lang w:eastAsia="zh-CN"/>
        </w:rPr>
      </w:pPr>
    </w:p>
    <w:p w14:paraId="17FF7C25">
      <w:pPr>
        <w:spacing w:line="560" w:lineRule="exact"/>
        <w:ind w:firstLine="504" w:firstLineChars="200"/>
        <w:rPr>
          <w:rFonts w:hint="eastAsia" w:ascii="宋体" w:hAnsi="宋体" w:eastAsia="宋体" w:cs="宋体"/>
          <w:color w:val="auto"/>
          <w:spacing w:val="6"/>
          <w:sz w:val="24"/>
          <w:szCs w:val="24"/>
          <w:lang w:eastAsia="zh-CN"/>
        </w:rPr>
      </w:pPr>
      <w:r>
        <w:rPr>
          <w:rFonts w:hint="eastAsia" w:ascii="宋体" w:hAnsi="宋体" w:eastAsia="宋体" w:cs="宋体"/>
          <w:color w:val="auto"/>
          <w:spacing w:val="6"/>
          <w:sz w:val="24"/>
          <w:szCs w:val="24"/>
          <w:lang w:eastAsia="zh-CN"/>
        </w:rPr>
        <w:t>本单位郑重声明，根据《财政部民政部中国残疾人联合会关于促进残疾人就业政府采购政策的通知》（财库</w:t>
      </w:r>
      <w:r>
        <w:rPr>
          <w:rFonts w:hint="eastAsia" w:ascii="宋体" w:hAnsi="宋体" w:eastAsia="宋体" w:cs="宋体"/>
          <w:color w:val="auto"/>
          <w:sz w:val="24"/>
          <w:szCs w:val="24"/>
          <w:lang w:eastAsia="zh-CN"/>
        </w:rPr>
        <w:t>〔2017〕 141</w:t>
      </w:r>
      <w:r>
        <w:rPr>
          <w:rFonts w:hint="eastAsia" w:ascii="宋体" w:hAnsi="宋体" w:eastAsia="宋体" w:cs="宋体"/>
          <w:color w:val="auto"/>
          <w:spacing w:val="6"/>
          <w:sz w:val="24"/>
          <w:szCs w:val="24"/>
          <w:lang w:eastAsia="zh-CN"/>
        </w:rPr>
        <w:t>号）的规定，本单位为符合条件的残疾人福利性单位，且本单位参加</w:t>
      </w:r>
      <w:r>
        <w:rPr>
          <w:rFonts w:hint="eastAsia" w:ascii="宋体" w:hAnsi="宋体" w:eastAsia="宋体" w:cs="宋体"/>
          <w:color w:val="auto"/>
          <w:spacing w:val="6"/>
          <w:sz w:val="24"/>
          <w:szCs w:val="24"/>
          <w:u w:val="single"/>
          <w:lang w:eastAsia="zh-CN"/>
        </w:rPr>
        <w:t xml:space="preserve">         </w:t>
      </w:r>
      <w:r>
        <w:rPr>
          <w:rFonts w:hint="eastAsia" w:ascii="宋体" w:hAnsi="宋体" w:eastAsia="宋体" w:cs="宋体"/>
          <w:color w:val="auto"/>
          <w:spacing w:val="6"/>
          <w:sz w:val="24"/>
          <w:szCs w:val="24"/>
          <w:lang w:eastAsia="zh-CN"/>
        </w:rPr>
        <w:t>单位的</w:t>
      </w:r>
      <w:r>
        <w:rPr>
          <w:rFonts w:hint="eastAsia" w:ascii="宋体" w:hAnsi="宋体" w:eastAsia="宋体" w:cs="宋体"/>
          <w:color w:val="auto"/>
          <w:spacing w:val="6"/>
          <w:sz w:val="24"/>
          <w:szCs w:val="24"/>
          <w:u w:val="single"/>
          <w:lang w:eastAsia="zh-CN"/>
        </w:rPr>
        <w:t xml:space="preserve">      </w:t>
      </w:r>
      <w:r>
        <w:rPr>
          <w:rFonts w:hint="eastAsia" w:ascii="宋体" w:hAnsi="宋体" w:eastAsia="宋体" w:cs="宋体"/>
          <w:color w:val="auto"/>
          <w:spacing w:val="6"/>
          <w:sz w:val="24"/>
          <w:szCs w:val="24"/>
          <w:lang w:eastAsia="zh-CN"/>
        </w:rPr>
        <w:t>项目投标活动提供本单位制造的货物（由本单位承担工程/提供服务），或者提供其他残疾人福利性单位制造的货物（不包括使用非残疾人福利性单位注册商标的货物）。</w:t>
      </w:r>
    </w:p>
    <w:p w14:paraId="3F4A4599">
      <w:pPr>
        <w:spacing w:line="560" w:lineRule="exact"/>
        <w:ind w:firstLine="504" w:firstLineChars="200"/>
        <w:rPr>
          <w:rFonts w:hint="eastAsia" w:ascii="宋体" w:hAnsi="宋体" w:eastAsia="宋体" w:cs="宋体"/>
          <w:color w:val="auto"/>
          <w:spacing w:val="6"/>
          <w:sz w:val="24"/>
          <w:szCs w:val="24"/>
          <w:lang w:eastAsia="zh-CN"/>
        </w:rPr>
      </w:pPr>
      <w:r>
        <w:rPr>
          <w:rFonts w:hint="eastAsia" w:ascii="宋体" w:hAnsi="宋体" w:eastAsia="宋体" w:cs="宋体"/>
          <w:color w:val="auto"/>
          <w:spacing w:val="6"/>
          <w:sz w:val="24"/>
          <w:szCs w:val="24"/>
          <w:lang w:eastAsia="zh-CN"/>
        </w:rPr>
        <w:t>本单位对上述声明的真实性负责。如有虚假，将依法承担相应责任。</w:t>
      </w:r>
    </w:p>
    <w:p w14:paraId="1F5CD43A">
      <w:pPr>
        <w:spacing w:line="560" w:lineRule="exact"/>
        <w:ind w:firstLine="504" w:firstLineChars="200"/>
        <w:rPr>
          <w:rFonts w:hint="eastAsia" w:ascii="宋体" w:hAnsi="宋体" w:eastAsia="宋体" w:cs="宋体"/>
          <w:color w:val="auto"/>
          <w:spacing w:val="6"/>
          <w:sz w:val="24"/>
          <w:szCs w:val="24"/>
          <w:lang w:eastAsia="zh-CN"/>
        </w:rPr>
      </w:pPr>
    </w:p>
    <w:p w14:paraId="47468026">
      <w:pPr>
        <w:spacing w:line="560" w:lineRule="exact"/>
        <w:ind w:firstLine="504" w:firstLineChars="200"/>
        <w:rPr>
          <w:rFonts w:hint="eastAsia" w:ascii="宋体" w:hAnsi="宋体" w:eastAsia="宋体" w:cs="宋体"/>
          <w:color w:val="auto"/>
          <w:spacing w:val="6"/>
          <w:sz w:val="24"/>
          <w:szCs w:val="24"/>
          <w:lang w:eastAsia="zh-CN"/>
        </w:rPr>
      </w:pPr>
    </w:p>
    <w:p w14:paraId="76AF0BCA">
      <w:pPr>
        <w:tabs>
          <w:tab w:val="left" w:pos="4860"/>
        </w:tabs>
        <w:spacing w:line="560" w:lineRule="exact"/>
        <w:ind w:firstLine="504" w:firstLineChars="200"/>
        <w:jc w:val="center"/>
        <w:rPr>
          <w:rFonts w:hint="eastAsia" w:ascii="宋体" w:hAnsi="宋体" w:eastAsia="宋体" w:cs="宋体"/>
          <w:color w:val="auto"/>
          <w:spacing w:val="6"/>
          <w:sz w:val="24"/>
          <w:szCs w:val="24"/>
          <w:lang w:eastAsia="zh-CN"/>
        </w:rPr>
      </w:pPr>
      <w:r>
        <w:rPr>
          <w:rFonts w:hint="eastAsia" w:ascii="宋体" w:hAnsi="宋体" w:eastAsia="宋体" w:cs="宋体"/>
          <w:color w:val="auto"/>
          <w:spacing w:val="6"/>
          <w:sz w:val="24"/>
          <w:szCs w:val="24"/>
          <w:lang w:eastAsia="zh-CN"/>
        </w:rPr>
        <w:t xml:space="preserve">               单位名称（盖章）：</w:t>
      </w:r>
    </w:p>
    <w:p w14:paraId="34644A5B">
      <w:pPr>
        <w:tabs>
          <w:tab w:val="left" w:pos="4860"/>
        </w:tabs>
        <w:spacing w:line="560" w:lineRule="exact"/>
        <w:ind w:firstLine="504" w:firstLineChars="200"/>
        <w:jc w:val="center"/>
        <w:rPr>
          <w:rFonts w:hint="eastAsia" w:ascii="宋体" w:hAnsi="宋体" w:eastAsia="宋体" w:cs="宋体"/>
          <w:color w:val="auto"/>
          <w:spacing w:val="6"/>
          <w:sz w:val="24"/>
          <w:szCs w:val="24"/>
          <w:lang w:eastAsia="zh-CN"/>
        </w:rPr>
      </w:pPr>
      <w:r>
        <w:rPr>
          <w:rFonts w:hint="eastAsia" w:ascii="宋体" w:hAnsi="宋体" w:eastAsia="宋体" w:cs="宋体"/>
          <w:color w:val="auto"/>
          <w:spacing w:val="6"/>
          <w:sz w:val="24"/>
          <w:szCs w:val="24"/>
          <w:lang w:eastAsia="zh-CN"/>
        </w:rPr>
        <w:t xml:space="preserve">       日  期：</w:t>
      </w:r>
    </w:p>
    <w:p w14:paraId="06855636">
      <w:pPr>
        <w:spacing w:line="560" w:lineRule="exact"/>
        <w:rPr>
          <w:rFonts w:hint="eastAsia" w:ascii="宋体" w:hAnsi="宋体" w:eastAsia="宋体" w:cs="宋体"/>
          <w:color w:val="auto"/>
          <w:sz w:val="24"/>
          <w:szCs w:val="24"/>
          <w:lang w:eastAsia="zh-CN"/>
        </w:rPr>
      </w:pPr>
    </w:p>
    <w:p w14:paraId="4448FE3A">
      <w:pPr>
        <w:spacing w:line="560" w:lineRule="exact"/>
        <w:rPr>
          <w:rFonts w:hint="eastAsia" w:ascii="宋体" w:hAnsi="宋体" w:eastAsia="宋体" w:cs="宋体"/>
          <w:bCs/>
          <w:color w:val="auto"/>
          <w:sz w:val="24"/>
          <w:szCs w:val="24"/>
          <w:lang w:eastAsia="zh-CN"/>
        </w:rPr>
      </w:pPr>
    </w:p>
    <w:p w14:paraId="3F4DE225">
      <w:pPr>
        <w:spacing w:line="560" w:lineRule="exact"/>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备注：须提供证明材料（能反映出企业残疾人的占比等情况的材料及残疾人证等）。</w:t>
      </w:r>
    </w:p>
    <w:p w14:paraId="29E96E93">
      <w:pPr>
        <w:spacing w:line="560" w:lineRule="exact"/>
        <w:jc w:val="center"/>
        <w:rPr>
          <w:rFonts w:hint="eastAsia" w:ascii="宋体" w:hAnsi="宋体" w:eastAsia="宋体" w:cs="宋体"/>
          <w:b/>
          <w:bCs/>
          <w:color w:val="auto"/>
          <w:sz w:val="24"/>
          <w:szCs w:val="24"/>
          <w:lang w:eastAsia="zh-CN"/>
        </w:rPr>
      </w:pPr>
    </w:p>
    <w:p w14:paraId="7B43BBAA">
      <w:pPr>
        <w:spacing w:line="560" w:lineRule="exact"/>
        <w:jc w:val="center"/>
        <w:rPr>
          <w:rFonts w:hint="eastAsia" w:ascii="宋体" w:hAnsi="宋体" w:eastAsia="宋体" w:cs="宋体"/>
          <w:b/>
          <w:bCs/>
          <w:color w:val="auto"/>
          <w:sz w:val="24"/>
          <w:szCs w:val="24"/>
          <w:lang w:eastAsia="zh-CN"/>
        </w:rPr>
      </w:pPr>
    </w:p>
    <w:p w14:paraId="708366C9">
      <w:pPr>
        <w:spacing w:line="560" w:lineRule="exact"/>
        <w:jc w:val="center"/>
        <w:outlineLvl w:val="1"/>
        <w:rPr>
          <w:rFonts w:hint="eastAsia" w:ascii="宋体" w:hAnsi="宋体" w:eastAsia="宋体" w:cs="宋体"/>
          <w:color w:val="auto"/>
          <w:sz w:val="24"/>
          <w:szCs w:val="24"/>
          <w:lang w:eastAsia="zh-CN"/>
        </w:rPr>
      </w:pPr>
      <w:r>
        <w:rPr>
          <w:rFonts w:hint="eastAsia" w:ascii="宋体" w:hAnsi="宋体" w:eastAsia="宋体" w:cs="宋体"/>
          <w:b/>
          <w:color w:val="auto"/>
          <w:sz w:val="24"/>
          <w:szCs w:val="24"/>
          <w:lang w:eastAsia="zh-CN"/>
        </w:rPr>
        <w:br w:type="page"/>
      </w:r>
      <w:bookmarkStart w:id="148" w:name="_Toc2932"/>
      <w:r>
        <w:rPr>
          <w:rFonts w:hint="eastAsia" w:ascii="宋体" w:hAnsi="宋体" w:eastAsia="宋体" w:cs="宋体"/>
          <w:b/>
          <w:color w:val="auto"/>
          <w:sz w:val="24"/>
          <w:szCs w:val="24"/>
          <w:lang w:eastAsia="zh-CN"/>
        </w:rPr>
        <w:t>（三）监狱企业证明文件（如有）</w:t>
      </w:r>
      <w:bookmarkEnd w:id="148"/>
    </w:p>
    <w:p w14:paraId="7C0B1AF0">
      <w:pPr>
        <w:spacing w:line="560" w:lineRule="exact"/>
        <w:ind w:firstLine="480" w:firstLineChars="200"/>
        <w:rPr>
          <w:rFonts w:hint="eastAsia" w:ascii="宋体" w:hAnsi="宋体" w:eastAsia="宋体" w:cs="宋体"/>
          <w:color w:val="auto"/>
          <w:sz w:val="24"/>
          <w:szCs w:val="24"/>
          <w:lang w:eastAsia="zh-CN"/>
        </w:rPr>
      </w:pPr>
    </w:p>
    <w:p w14:paraId="51155502">
      <w:pPr>
        <w:numPr>
          <w:ilvl w:val="0"/>
          <w:numId w:val="7"/>
        </w:num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eastAsia="zh-CN"/>
        </w:rPr>
        <w:t>监狱企业证明（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参加政府采购活动时，应当提供由省级以上监狱管理局、戒毒管理局（含新疆生产建设兵团）出具的属于监狱企业的证明文件。</w:t>
      </w:r>
      <w:r>
        <w:rPr>
          <w:rFonts w:hint="eastAsia" w:ascii="宋体" w:hAnsi="宋体" w:eastAsia="宋体" w:cs="宋体"/>
          <w:color w:val="auto"/>
          <w:sz w:val="24"/>
          <w:szCs w:val="24"/>
        </w:rPr>
        <w:t>）</w:t>
      </w:r>
    </w:p>
    <w:p w14:paraId="3A6B1641">
      <w:pPr>
        <w:pStyle w:val="6"/>
        <w:ind w:firstLine="0" w:firstLineChars="0"/>
        <w:rPr>
          <w:rFonts w:hint="eastAsia" w:ascii="宋体" w:hAnsi="宋体" w:cs="宋体"/>
          <w:color w:val="auto"/>
          <w:sz w:val="24"/>
        </w:rPr>
      </w:pPr>
    </w:p>
    <w:p w14:paraId="39417E00">
      <w:pPr>
        <w:pStyle w:val="6"/>
        <w:spacing w:line="360" w:lineRule="auto"/>
        <w:ind w:firstLine="480"/>
        <w:rPr>
          <w:rFonts w:hint="eastAsia" w:ascii="宋体" w:hAnsi="宋体" w:cs="宋体"/>
          <w:color w:val="auto"/>
          <w:kern w:val="0"/>
          <w:sz w:val="24"/>
        </w:rPr>
      </w:pPr>
      <w:r>
        <w:rPr>
          <w:rFonts w:hint="eastAsia" w:ascii="宋体" w:hAnsi="宋体" w:cs="宋体"/>
          <w:color w:val="auto"/>
          <w:sz w:val="24"/>
        </w:rPr>
        <w:t>2.证明材料加盖投标人公章</w:t>
      </w:r>
      <w:r>
        <w:rPr>
          <w:rFonts w:hint="eastAsia" w:ascii="宋体" w:hAnsi="宋体" w:cs="宋体"/>
          <w:color w:val="auto"/>
          <w:kern w:val="0"/>
          <w:sz w:val="24"/>
        </w:rPr>
        <w:t>。</w:t>
      </w:r>
    </w:p>
    <w:p w14:paraId="208B9D4B">
      <w:pPr>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br w:type="page"/>
      </w:r>
    </w:p>
    <w:p w14:paraId="271E112D">
      <w:pPr>
        <w:rPr>
          <w:rFonts w:hint="eastAsia" w:ascii="宋体" w:hAnsi="宋体" w:eastAsia="宋体" w:cs="宋体"/>
          <w:color w:val="auto"/>
          <w:sz w:val="24"/>
          <w:szCs w:val="24"/>
          <w:lang w:eastAsia="zh-CN"/>
        </w:rPr>
      </w:pPr>
    </w:p>
    <w:p w14:paraId="4785B766">
      <w:pPr>
        <w:pStyle w:val="17"/>
        <w:spacing w:line="560" w:lineRule="exact"/>
        <w:jc w:val="center"/>
        <w:outlineLvl w:val="1"/>
        <w:rPr>
          <w:rFonts w:hint="eastAsia" w:hAnsi="宋体"/>
          <w:b/>
          <w:bCs/>
          <w:color w:val="auto"/>
          <w:sz w:val="24"/>
          <w:szCs w:val="24"/>
        </w:rPr>
      </w:pPr>
      <w:bookmarkStart w:id="149" w:name="_Toc22460"/>
      <w:r>
        <w:rPr>
          <w:rFonts w:hint="eastAsia" w:hAnsi="宋体"/>
          <w:b/>
          <w:bCs/>
          <w:color w:val="auto"/>
          <w:sz w:val="24"/>
          <w:szCs w:val="24"/>
        </w:rPr>
        <w:t>十三、</w:t>
      </w:r>
      <w:bookmarkEnd w:id="149"/>
      <w:bookmarkStart w:id="150" w:name="_Toc7728"/>
      <w:bookmarkStart w:id="151" w:name="_Toc22023"/>
      <w:bookmarkStart w:id="152" w:name="_Toc26900"/>
      <w:r>
        <w:rPr>
          <w:rFonts w:hint="eastAsia" w:hAnsi="宋体"/>
          <w:b/>
          <w:bCs/>
          <w:color w:val="auto"/>
          <w:sz w:val="24"/>
          <w:szCs w:val="24"/>
        </w:rPr>
        <w:t>投标人认为需要提供的资料</w:t>
      </w:r>
    </w:p>
    <w:p w14:paraId="6FD9ABE7">
      <w:pPr>
        <w:pStyle w:val="17"/>
        <w:spacing w:line="560" w:lineRule="exact"/>
        <w:jc w:val="center"/>
        <w:outlineLvl w:val="2"/>
        <w:rPr>
          <w:rFonts w:hint="eastAsia" w:hAnsi="宋体"/>
          <w:b/>
          <w:bCs/>
          <w:color w:val="auto"/>
          <w:sz w:val="24"/>
          <w:szCs w:val="24"/>
        </w:rPr>
      </w:pPr>
      <w:r>
        <w:rPr>
          <w:rFonts w:hint="eastAsia" w:hAnsi="宋体"/>
          <w:b/>
          <w:bCs/>
          <w:color w:val="auto"/>
          <w:sz w:val="24"/>
          <w:szCs w:val="24"/>
        </w:rPr>
        <w:t>（一）投标保证金缴纳凭证</w:t>
      </w:r>
    </w:p>
    <w:p w14:paraId="0CA4B3AF">
      <w:pPr>
        <w:pStyle w:val="17"/>
        <w:spacing w:line="560" w:lineRule="exact"/>
        <w:jc w:val="center"/>
        <w:rPr>
          <w:rFonts w:hint="eastAsia" w:hAnsi="宋体"/>
          <w:color w:val="auto"/>
          <w:sz w:val="24"/>
          <w:szCs w:val="24"/>
        </w:rPr>
      </w:pPr>
    </w:p>
    <w:tbl>
      <w:tblPr>
        <w:tblStyle w:val="36"/>
        <w:tblW w:w="960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608"/>
      </w:tblGrid>
      <w:tr w14:paraId="5148AE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26" w:hRule="atLeast"/>
          <w:jc w:val="center"/>
        </w:trPr>
        <w:tc>
          <w:tcPr>
            <w:tcW w:w="9608" w:type="dxa"/>
            <w:tcBorders>
              <w:top w:val="single" w:color="auto" w:sz="4" w:space="0"/>
              <w:bottom w:val="single" w:color="auto" w:sz="4" w:space="0"/>
            </w:tcBorders>
            <w:vAlign w:val="center"/>
          </w:tcPr>
          <w:p w14:paraId="258DF04E">
            <w:pPr>
              <w:pStyle w:val="17"/>
              <w:spacing w:line="560" w:lineRule="exact"/>
              <w:jc w:val="center"/>
              <w:rPr>
                <w:rFonts w:hint="eastAsia" w:hAnsi="宋体"/>
                <w:color w:val="auto"/>
                <w:sz w:val="24"/>
                <w:szCs w:val="24"/>
              </w:rPr>
            </w:pPr>
            <w:r>
              <w:rPr>
                <w:rFonts w:hint="eastAsia" w:hAnsi="宋体"/>
                <w:color w:val="auto"/>
                <w:sz w:val="24"/>
                <w:szCs w:val="24"/>
              </w:rPr>
              <w:t>投标保证金缴纳凭证</w:t>
            </w:r>
          </w:p>
        </w:tc>
      </w:tr>
    </w:tbl>
    <w:p w14:paraId="6C69158C">
      <w:pPr>
        <w:spacing w:line="560" w:lineRule="exact"/>
        <w:ind w:firstLine="480" w:firstLineChars="200"/>
        <w:rPr>
          <w:rFonts w:hint="eastAsia" w:ascii="宋体" w:hAnsi="宋体" w:eastAsia="宋体" w:cs="宋体"/>
          <w:color w:val="auto"/>
          <w:sz w:val="24"/>
          <w:szCs w:val="24"/>
        </w:rPr>
      </w:pPr>
    </w:p>
    <w:p w14:paraId="166C7DB8">
      <w:pPr>
        <w:pStyle w:val="17"/>
        <w:spacing w:line="560" w:lineRule="exact"/>
        <w:jc w:val="center"/>
        <w:outlineLvl w:val="2"/>
        <w:rPr>
          <w:rFonts w:hint="eastAsia" w:hAnsi="宋体"/>
          <w:b/>
          <w:bCs/>
          <w:color w:val="auto"/>
          <w:sz w:val="24"/>
          <w:szCs w:val="24"/>
        </w:rPr>
      </w:pPr>
      <w:r>
        <w:rPr>
          <w:rFonts w:hint="eastAsia" w:hAnsi="宋体"/>
          <w:b/>
          <w:bCs/>
          <w:color w:val="auto"/>
          <w:sz w:val="24"/>
          <w:szCs w:val="24"/>
        </w:rPr>
        <w:t>（二）其他</w:t>
      </w:r>
    </w:p>
    <w:p w14:paraId="5B1FB803">
      <w:pPr>
        <w:spacing w:line="56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投标人应当仔细核对招标文件中有关</w:t>
      </w:r>
      <w:r>
        <w:rPr>
          <w:rFonts w:hint="eastAsia" w:ascii="宋体" w:hAnsi="宋体" w:eastAsia="宋体" w:cs="宋体"/>
          <w:b/>
          <w:bCs/>
          <w:color w:val="auto"/>
          <w:sz w:val="24"/>
          <w:szCs w:val="24"/>
          <w:lang w:eastAsia="zh-CN"/>
        </w:rPr>
        <w:t>“响应无效”、“拒收”</w:t>
      </w:r>
      <w:r>
        <w:rPr>
          <w:rFonts w:hint="eastAsia" w:ascii="宋体" w:hAnsi="宋体" w:eastAsia="宋体" w:cs="宋体"/>
          <w:color w:val="auto"/>
          <w:sz w:val="24"/>
          <w:szCs w:val="24"/>
          <w:lang w:eastAsia="zh-CN"/>
        </w:rPr>
        <w:t>和评审标准等条款内容，提供投标人认为应当附加的其他内容，以充分证明其投标响应符合招标文件要求，并为评审提供充分依据。</w:t>
      </w:r>
    </w:p>
    <w:bookmarkEnd w:id="150"/>
    <w:bookmarkEnd w:id="151"/>
    <w:bookmarkEnd w:id="152"/>
    <w:p w14:paraId="6AE31F75">
      <w:pPr>
        <w:spacing w:line="360"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br w:type="page"/>
      </w:r>
    </w:p>
    <w:bookmarkEnd w:id="137"/>
    <w:p w14:paraId="263AB993">
      <w:pPr>
        <w:pStyle w:val="11"/>
        <w:spacing w:before="155" w:line="219" w:lineRule="auto"/>
        <w:jc w:val="center"/>
        <w:outlineLvl w:val="0"/>
        <w:rPr>
          <w:rFonts w:hint="eastAsia"/>
          <w:color w:val="auto"/>
          <w:lang w:eastAsia="zh-CN"/>
        </w:rPr>
      </w:pPr>
      <w:bookmarkStart w:id="153" w:name="_Toc4252"/>
      <w:bookmarkStart w:id="154" w:name="_Toc14507"/>
      <w:r>
        <w:rPr>
          <w:rFonts w:hint="eastAsia"/>
          <w:b/>
          <w:bCs/>
          <w:color w:val="auto"/>
          <w:spacing w:val="-3"/>
          <w:lang w:eastAsia="zh-CN"/>
        </w:rPr>
        <w:t>第三章</w:t>
      </w:r>
      <w:r>
        <w:rPr>
          <w:rFonts w:hint="eastAsia"/>
          <w:color w:val="auto"/>
          <w:spacing w:val="-3"/>
          <w:lang w:eastAsia="zh-CN"/>
        </w:rPr>
        <w:t xml:space="preserve">  </w:t>
      </w:r>
      <w:r>
        <w:rPr>
          <w:rFonts w:hint="eastAsia"/>
          <w:b/>
          <w:bCs/>
          <w:color w:val="auto"/>
          <w:spacing w:val="-3"/>
          <w:lang w:eastAsia="zh-CN"/>
        </w:rPr>
        <w:t>服务需求</w:t>
      </w:r>
      <w:bookmarkEnd w:id="153"/>
      <w:bookmarkEnd w:id="154"/>
    </w:p>
    <w:p w14:paraId="7CA42E1B">
      <w:pPr>
        <w:spacing w:line="360" w:lineRule="auto"/>
        <w:jc w:val="both"/>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一、商务要求</w:t>
      </w:r>
    </w:p>
    <w:p w14:paraId="585AC85F">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1、服务期：合同签订之日起一年。</w:t>
      </w:r>
    </w:p>
    <w:p w14:paraId="7AC474E7">
      <w:pPr>
        <w:spacing w:line="360" w:lineRule="auto"/>
        <w:ind w:firstLine="480" w:firstLineChars="200"/>
        <w:rPr>
          <w:lang w:eastAsia="zh-CN"/>
        </w:rPr>
      </w:pPr>
      <w:r>
        <w:rPr>
          <w:rFonts w:hint="eastAsia" w:ascii="宋体" w:hAnsi="宋体" w:eastAsia="宋体" w:cs="宋体"/>
          <w:color w:val="auto"/>
          <w:sz w:val="24"/>
          <w:szCs w:val="24"/>
          <w:lang w:eastAsia="zh-CN"/>
        </w:rPr>
        <w:t>2、服务地点：业主指定地点。</w:t>
      </w:r>
    </w:p>
    <w:p w14:paraId="2CF5103A">
      <w:pPr>
        <w:spacing w:line="360" w:lineRule="auto"/>
        <w:ind w:firstLine="480" w:firstLineChars="200"/>
        <w:rPr>
          <w:rFonts w:hint="eastAsia" w:ascii="宋体" w:hAnsi="宋体" w:eastAsia="宋体" w:cs="宋体"/>
          <w:color w:val="auto"/>
          <w:sz w:val="24"/>
          <w:szCs w:val="24"/>
          <w:highlight w:val="yellow"/>
          <w:lang w:eastAsia="zh-CN"/>
        </w:rPr>
      </w:pPr>
      <w:r>
        <w:rPr>
          <w:rFonts w:hint="eastAsia" w:ascii="宋体" w:hAnsi="宋体" w:eastAsia="宋体" w:cs="宋体"/>
          <w:color w:val="auto"/>
          <w:sz w:val="24"/>
          <w:szCs w:val="24"/>
          <w:highlight w:val="yellow"/>
          <w:lang w:eastAsia="zh-CN"/>
        </w:rPr>
        <w:t>★3、服务标准：按国家、行业及采购人相关标准执行，且中标单位现场维护保养效果不得低于效果图需提供承诺书，效果图如下；</w:t>
      </w:r>
    </w:p>
    <w:p w14:paraId="4120E2AA">
      <w:pPr>
        <w:spacing w:line="360" w:lineRule="auto"/>
        <w:rPr>
          <w:rFonts w:ascii="宋体" w:hAnsi="宋体" w:eastAsia="宋体" w:cs="宋体"/>
          <w:color w:val="auto"/>
          <w:sz w:val="24"/>
          <w:szCs w:val="24"/>
          <w:highlight w:val="yellow"/>
          <w:lang w:eastAsia="zh-CN"/>
        </w:rPr>
      </w:pPr>
      <w:r>
        <w:rPr>
          <w:rFonts w:ascii="宋体" w:hAnsi="宋体" w:eastAsia="宋体" w:cs="宋体"/>
          <w:color w:val="auto"/>
          <w:sz w:val="24"/>
          <w:szCs w:val="24"/>
          <w:lang w:eastAsia="zh-CN"/>
        </w:rPr>
        <w:drawing>
          <wp:inline distT="0" distB="0" distL="0" distR="0">
            <wp:extent cx="6153785" cy="3185160"/>
            <wp:effectExtent l="0" t="0" r="18415" b="15240"/>
            <wp:docPr id="165354125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41252" name="图片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6231775" cy="3225312"/>
                    </a:xfrm>
                    <a:prstGeom prst="rect">
                      <a:avLst/>
                    </a:prstGeom>
                    <a:noFill/>
                    <a:ln>
                      <a:noFill/>
                    </a:ln>
                  </pic:spPr>
                </pic:pic>
              </a:graphicData>
            </a:graphic>
          </wp:inline>
        </w:drawing>
      </w:r>
    </w:p>
    <w:p w14:paraId="6D94BDBA">
      <w:pPr>
        <w:spacing w:line="360" w:lineRule="auto"/>
        <w:rPr>
          <w:rFonts w:ascii="宋体" w:hAnsi="宋体" w:eastAsia="宋体" w:cs="宋体"/>
          <w:color w:val="auto"/>
          <w:sz w:val="24"/>
          <w:szCs w:val="24"/>
          <w:highlight w:val="yellow"/>
          <w:lang w:eastAsia="zh-CN"/>
        </w:rPr>
      </w:pPr>
      <w:r>
        <w:rPr>
          <w:rFonts w:ascii="宋体" w:hAnsi="宋体" w:eastAsia="宋体" w:cs="宋体"/>
          <w:color w:val="auto"/>
          <w:sz w:val="24"/>
          <w:szCs w:val="24"/>
          <w:lang w:eastAsia="zh-CN"/>
        </w:rPr>
        <w:drawing>
          <wp:inline distT="0" distB="0" distL="0" distR="0">
            <wp:extent cx="6187440" cy="3115310"/>
            <wp:effectExtent l="0" t="0" r="3810" b="8890"/>
            <wp:docPr id="65019849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198494" name="图片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6205934" cy="3125160"/>
                    </a:xfrm>
                    <a:prstGeom prst="rect">
                      <a:avLst/>
                    </a:prstGeom>
                    <a:noFill/>
                    <a:ln>
                      <a:noFill/>
                    </a:ln>
                  </pic:spPr>
                </pic:pic>
              </a:graphicData>
            </a:graphic>
          </wp:inline>
        </w:drawing>
      </w:r>
    </w:p>
    <w:p w14:paraId="536C2783">
      <w:pPr>
        <w:spacing w:line="360" w:lineRule="auto"/>
        <w:jc w:val="center"/>
        <w:rPr>
          <w:rFonts w:hint="eastAsia" w:ascii="宋体" w:hAnsi="宋体" w:eastAsia="宋体" w:cs="宋体"/>
          <w:color w:val="auto"/>
          <w:sz w:val="24"/>
          <w:szCs w:val="24"/>
          <w:highlight w:val="yellow"/>
          <w:lang w:eastAsia="zh-CN"/>
        </w:rPr>
      </w:pPr>
      <w:r>
        <w:rPr>
          <w:rFonts w:hint="eastAsia" w:ascii="宋体" w:hAnsi="宋体" w:eastAsia="宋体" w:cs="宋体"/>
          <w:color w:val="auto"/>
          <w:sz w:val="24"/>
          <w:szCs w:val="24"/>
          <w:highlight w:val="yellow"/>
          <w:lang w:eastAsia="zh-CN"/>
        </w:rPr>
        <w:t>（现场效果图）</w:t>
      </w:r>
    </w:p>
    <w:p w14:paraId="0F2E5EDA">
      <w:pPr>
        <w:spacing w:line="360" w:lineRule="auto"/>
        <w:rPr>
          <w:rFonts w:ascii="宋体" w:hAnsi="宋体" w:eastAsia="宋体" w:cs="宋体"/>
          <w:color w:val="auto"/>
          <w:sz w:val="24"/>
          <w:szCs w:val="24"/>
          <w:highlight w:val="yellow"/>
          <w:lang w:eastAsia="zh-CN"/>
        </w:rPr>
      </w:pPr>
    </w:p>
    <w:p w14:paraId="255028A8">
      <w:pPr>
        <w:spacing w:line="360" w:lineRule="auto"/>
        <w:rPr>
          <w:rFonts w:hint="eastAsia" w:ascii="宋体" w:hAnsi="宋体" w:eastAsia="宋体" w:cs="宋体"/>
          <w:color w:val="auto"/>
          <w:sz w:val="24"/>
          <w:szCs w:val="24"/>
          <w:highlight w:val="yellow"/>
          <w:lang w:eastAsia="zh-CN"/>
        </w:rPr>
      </w:pPr>
      <w:r>
        <w:rPr>
          <w:rFonts w:ascii="宋体" w:hAnsi="宋体" w:eastAsia="宋体" w:cs="宋体"/>
          <w:color w:val="auto"/>
          <w:sz w:val="24"/>
          <w:szCs w:val="24"/>
          <w:lang w:eastAsia="zh-CN"/>
        </w:rPr>
        <w:drawing>
          <wp:inline distT="0" distB="0" distL="0" distR="0">
            <wp:extent cx="6183630" cy="4454525"/>
            <wp:effectExtent l="0" t="0" r="7620" b="3175"/>
            <wp:docPr id="9151192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119290" name="图片 1"/>
                    <pic:cNvPicPr>
                      <a:picLocks noChangeAspect="1"/>
                    </pic:cNvPicPr>
                  </pic:nvPicPr>
                  <pic:blipFill>
                    <a:blip r:embed="rId13"/>
                    <a:stretch>
                      <a:fillRect/>
                    </a:stretch>
                  </pic:blipFill>
                  <pic:spPr>
                    <a:xfrm>
                      <a:off x="0" y="0"/>
                      <a:ext cx="6243957" cy="4497998"/>
                    </a:xfrm>
                    <a:prstGeom prst="rect">
                      <a:avLst/>
                    </a:prstGeom>
                  </pic:spPr>
                </pic:pic>
              </a:graphicData>
            </a:graphic>
          </wp:inline>
        </w:drawing>
      </w:r>
    </w:p>
    <w:p w14:paraId="6925808B">
      <w:pPr>
        <w:spacing w:line="360" w:lineRule="auto"/>
        <w:rPr>
          <w:rFonts w:ascii="宋体" w:hAnsi="宋体" w:eastAsia="宋体" w:cs="宋体"/>
          <w:color w:val="auto"/>
          <w:sz w:val="24"/>
          <w:szCs w:val="24"/>
          <w:highlight w:val="yellow"/>
          <w:lang w:eastAsia="zh-CN"/>
        </w:rPr>
      </w:pPr>
      <w:r>
        <w:rPr>
          <w:rFonts w:ascii="宋体" w:hAnsi="宋体" w:eastAsia="宋体" w:cs="宋体"/>
          <w:color w:val="auto"/>
          <w:sz w:val="24"/>
          <w:szCs w:val="24"/>
          <w:lang w:eastAsia="zh-CN"/>
        </w:rPr>
        <w:drawing>
          <wp:inline distT="0" distB="0" distL="0" distR="0">
            <wp:extent cx="6188075" cy="3609340"/>
            <wp:effectExtent l="0" t="0" r="3175" b="10160"/>
            <wp:docPr id="20087996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799672" name="图片 1"/>
                    <pic:cNvPicPr>
                      <a:picLocks noChangeAspect="1"/>
                    </pic:cNvPicPr>
                  </pic:nvPicPr>
                  <pic:blipFill>
                    <a:blip r:embed="rId14"/>
                    <a:stretch>
                      <a:fillRect/>
                    </a:stretch>
                  </pic:blipFill>
                  <pic:spPr>
                    <a:xfrm>
                      <a:off x="0" y="0"/>
                      <a:ext cx="6199601" cy="3616461"/>
                    </a:xfrm>
                    <a:prstGeom prst="rect">
                      <a:avLst/>
                    </a:prstGeom>
                  </pic:spPr>
                </pic:pic>
              </a:graphicData>
            </a:graphic>
          </wp:inline>
        </w:drawing>
      </w:r>
    </w:p>
    <w:p w14:paraId="1C6476FE">
      <w:pPr>
        <w:spacing w:line="360" w:lineRule="auto"/>
        <w:jc w:val="center"/>
        <w:rPr>
          <w:rFonts w:hint="eastAsia" w:ascii="宋体" w:hAnsi="宋体" w:eastAsia="宋体" w:cs="宋体"/>
          <w:color w:val="auto"/>
          <w:sz w:val="24"/>
          <w:szCs w:val="24"/>
          <w:highlight w:val="yellow"/>
          <w:lang w:eastAsia="zh-CN"/>
        </w:rPr>
      </w:pPr>
      <w:r>
        <w:rPr>
          <w:rFonts w:hint="eastAsia" w:ascii="宋体" w:hAnsi="宋体" w:eastAsia="宋体" w:cs="宋体"/>
          <w:color w:val="auto"/>
          <w:sz w:val="24"/>
          <w:szCs w:val="24"/>
          <w:highlight w:val="yellow"/>
          <w:lang w:eastAsia="zh-CN"/>
        </w:rPr>
        <w:t>（现场舞台灯光和舞台机械幕效果图）</w:t>
      </w:r>
    </w:p>
    <w:p w14:paraId="7BC51D31">
      <w:pPr>
        <w:pStyle w:val="9"/>
      </w:pPr>
      <w:r>
        <w:drawing>
          <wp:inline distT="0" distB="0" distL="0" distR="0">
            <wp:extent cx="6188710" cy="3396615"/>
            <wp:effectExtent l="0" t="0" r="2540" b="13335"/>
            <wp:docPr id="19715351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535138" name="图片 1"/>
                    <pic:cNvPicPr>
                      <a:picLocks noChangeAspect="1"/>
                    </pic:cNvPicPr>
                  </pic:nvPicPr>
                  <pic:blipFill>
                    <a:blip r:embed="rId15"/>
                    <a:stretch>
                      <a:fillRect/>
                    </a:stretch>
                  </pic:blipFill>
                  <pic:spPr>
                    <a:xfrm>
                      <a:off x="0" y="0"/>
                      <a:ext cx="6188710" cy="3396615"/>
                    </a:xfrm>
                    <a:prstGeom prst="rect">
                      <a:avLst/>
                    </a:prstGeom>
                  </pic:spPr>
                </pic:pic>
              </a:graphicData>
            </a:graphic>
          </wp:inline>
        </w:drawing>
      </w:r>
    </w:p>
    <w:p w14:paraId="02E265B3">
      <w:pPr>
        <w:rPr>
          <w:rFonts w:eastAsiaTheme="minorEastAsia"/>
          <w:lang w:eastAsia="zh-CN"/>
        </w:rPr>
      </w:pPr>
    </w:p>
    <w:p w14:paraId="0FB5C30B">
      <w:pPr>
        <w:pStyle w:val="9"/>
        <w:jc w:val="center"/>
        <w:rPr>
          <w:rFonts w:hint="eastAsia" w:ascii="宋体" w:hAnsi="宋体" w:cs="宋体"/>
          <w:color w:val="auto"/>
          <w:highlight w:val="yellow"/>
        </w:rPr>
      </w:pPr>
      <w:r>
        <w:rPr>
          <w:rFonts w:hint="eastAsia" w:ascii="宋体" w:hAnsi="宋体" w:cs="宋体"/>
          <w:color w:val="auto"/>
          <w:highlight w:val="yellow"/>
        </w:rPr>
        <w:t>控制室+设备间（离地高1.3米、单导玻璃、要求隔音效果好）</w:t>
      </w:r>
    </w:p>
    <w:p w14:paraId="3B366CAF">
      <w:pPr>
        <w:rPr>
          <w:rFonts w:hint="default"/>
          <w:lang w:val="en-US" w:eastAsia="zh-CN"/>
        </w:rPr>
      </w:pPr>
    </w:p>
    <w:p w14:paraId="67BF016C">
      <w:pPr>
        <w:rPr>
          <w:rFonts w:hint="eastAsia" w:ascii="宋体" w:hAnsi="宋体" w:eastAsia="宋体" w:cs="宋体"/>
          <w:color w:val="auto"/>
          <w:sz w:val="24"/>
          <w:szCs w:val="24"/>
          <w:highlight w:val="yellow"/>
          <w:lang w:val="en-US" w:eastAsia="zh-CN"/>
        </w:rPr>
      </w:pPr>
    </w:p>
    <w:p w14:paraId="27A7CCEF">
      <w:pPr>
        <w:pStyle w:val="9"/>
        <w:rPr>
          <w:rFonts w:hint="eastAsia"/>
          <w:lang w:val="en-US" w:eastAsia="zh-CN"/>
        </w:rPr>
        <w:sectPr>
          <w:footerReference r:id="rId6" w:type="default"/>
          <w:pgSz w:w="11906" w:h="16838"/>
          <w:pgMar w:top="1440" w:right="1080" w:bottom="1440" w:left="1080" w:header="851" w:footer="992" w:gutter="0"/>
          <w:cols w:space="720" w:num="1"/>
          <w:docGrid w:type="lines" w:linePitch="312" w:charSpace="0"/>
        </w:sectPr>
      </w:pPr>
    </w:p>
    <w:p w14:paraId="28E33CE3">
      <w:pPr>
        <w:numPr>
          <w:ilvl w:val="0"/>
          <w:numId w:val="8"/>
        </w:num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技术要求：</w:t>
      </w:r>
    </w:p>
    <w:p w14:paraId="701B2884">
      <w:pPr>
        <w:numPr>
          <w:ilvl w:val="0"/>
          <w:numId w:val="0"/>
        </w:numPr>
        <w:spacing w:line="360" w:lineRule="auto"/>
        <w:rPr>
          <w:rFonts w:hint="default" w:ascii="宋体" w:hAnsi="宋体" w:eastAsia="宋体" w:cs="宋体"/>
          <w:color w:val="auto"/>
          <w:sz w:val="24"/>
          <w:szCs w:val="24"/>
          <w:lang w:val="en-US" w:eastAsia="zh-CN"/>
        </w:rPr>
      </w:pPr>
    </w:p>
    <w:tbl>
      <w:tblPr>
        <w:tblStyle w:val="3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09"/>
        <w:gridCol w:w="606"/>
        <w:gridCol w:w="11435"/>
        <w:gridCol w:w="412"/>
        <w:gridCol w:w="801"/>
        <w:gridCol w:w="411"/>
      </w:tblGrid>
      <w:tr w14:paraId="3B030D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5000" w:type="pct"/>
            <w:gridSpan w:val="6"/>
            <w:vMerge w:val="restart"/>
            <w:tcBorders>
              <w:top w:val="nil"/>
              <w:left w:val="nil"/>
              <w:bottom w:val="nil"/>
              <w:right w:val="nil"/>
            </w:tcBorders>
            <w:shd w:val="clear" w:color="auto" w:fill="auto"/>
            <w:noWrap/>
            <w:vAlign w:val="center"/>
          </w:tcPr>
          <w:p w14:paraId="4FD47A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昌吉多功能厅维护保养需求清单</w:t>
            </w:r>
          </w:p>
        </w:tc>
      </w:tr>
      <w:tr w14:paraId="0332BB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5000" w:type="pct"/>
            <w:gridSpan w:val="6"/>
            <w:vMerge w:val="continue"/>
            <w:tcBorders>
              <w:top w:val="nil"/>
              <w:left w:val="nil"/>
              <w:bottom w:val="nil"/>
              <w:right w:val="nil"/>
            </w:tcBorders>
            <w:shd w:val="clear" w:color="auto" w:fill="auto"/>
            <w:noWrap/>
            <w:vAlign w:val="center"/>
          </w:tcPr>
          <w:p w14:paraId="3978B1B0">
            <w:pPr>
              <w:jc w:val="center"/>
              <w:rPr>
                <w:rFonts w:hint="eastAsia" w:ascii="宋体" w:hAnsi="宋体" w:eastAsia="宋体" w:cs="宋体"/>
                <w:i w:val="0"/>
                <w:iCs w:val="0"/>
                <w:color w:val="000000"/>
                <w:sz w:val="20"/>
                <w:szCs w:val="20"/>
                <w:u w:val="none"/>
              </w:rPr>
            </w:pPr>
          </w:p>
        </w:tc>
      </w:tr>
      <w:tr w14:paraId="18C2C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5000" w:type="pct"/>
            <w:gridSpan w:val="6"/>
            <w:vMerge w:val="continue"/>
            <w:tcBorders>
              <w:top w:val="nil"/>
              <w:left w:val="nil"/>
              <w:bottom w:val="nil"/>
              <w:right w:val="nil"/>
            </w:tcBorders>
            <w:shd w:val="clear" w:color="auto" w:fill="auto"/>
            <w:noWrap/>
            <w:vAlign w:val="center"/>
          </w:tcPr>
          <w:p w14:paraId="096573F4">
            <w:pPr>
              <w:jc w:val="center"/>
              <w:rPr>
                <w:rFonts w:hint="eastAsia" w:ascii="宋体" w:hAnsi="宋体" w:eastAsia="宋体" w:cs="宋体"/>
                <w:i w:val="0"/>
                <w:iCs w:val="0"/>
                <w:color w:val="000000"/>
                <w:sz w:val="20"/>
                <w:szCs w:val="20"/>
                <w:u w:val="none"/>
              </w:rPr>
            </w:pPr>
          </w:p>
        </w:tc>
      </w:tr>
      <w:tr w14:paraId="5A7117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37B8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序号</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500A0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项目名称</w:t>
            </w:r>
          </w:p>
        </w:tc>
        <w:tc>
          <w:tcPr>
            <w:tcW w:w="3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EEFAA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采购需求</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7179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计量单位</w:t>
            </w:r>
          </w:p>
        </w:tc>
        <w:tc>
          <w:tcPr>
            <w:tcW w:w="1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8BCB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维护数量</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DBB8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备注</w:t>
            </w:r>
          </w:p>
        </w:tc>
      </w:tr>
      <w:tr w14:paraId="10C45A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55"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A44C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612" w:type="pct"/>
            <w:tcBorders>
              <w:top w:val="single" w:color="000000" w:sz="4" w:space="0"/>
              <w:left w:val="single" w:color="000000" w:sz="4" w:space="0"/>
              <w:bottom w:val="nil"/>
              <w:right w:val="single" w:color="000000" w:sz="4" w:space="0"/>
            </w:tcBorders>
            <w:shd w:val="clear" w:color="auto" w:fill="auto"/>
            <w:vAlign w:val="center"/>
          </w:tcPr>
          <w:p w14:paraId="0BADD6E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空间吸声体吊顶维护</w:t>
            </w:r>
          </w:p>
        </w:tc>
        <w:tc>
          <w:tcPr>
            <w:tcW w:w="3726" w:type="pct"/>
            <w:tcBorders>
              <w:top w:val="single" w:color="000000" w:sz="4" w:space="0"/>
              <w:left w:val="single" w:color="000000" w:sz="4" w:space="0"/>
              <w:bottom w:val="nil"/>
              <w:right w:val="single" w:color="000000" w:sz="4" w:space="0"/>
            </w:tcBorders>
            <w:shd w:val="clear" w:color="auto" w:fill="auto"/>
            <w:vAlign w:val="center"/>
          </w:tcPr>
          <w:p w14:paraId="126CF32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一、技术参数</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本项目空间吸声体吊顶厚度T50mm，常规尺寸宽600-1200mm×长1200-3000mm×50mm厚，可根据现场实际尺寸定制加工。框体采用≥1.5mm厚铝合金模具一次成型型材，表面采用防共振金属齿纹纹理设计及防氧化喷涂工艺，防腐耐用，可保障框体30年无质变。吸声基材采用80kg/m³高密度玻纤毡+专业声学棉，整体白色，表面覆盖透声毡、全包透声布处理，表面平整、防尘防脱落、结构强度高，可有效提升中低频吸声效果，产品自重轻，完全满足屋面荷载要求，无结构安全隐患。核心性能指标：250Hz、500Hz、1000Hz、2000Hz平均吸声系数≥0.96；燃烧性能达到GB 8624-2012、GB/T 5464-2010国家标准A1级不燃等级；甲醛释放量符合GB 18580-2017环保标准；受潮挠度（RH99）≤0.8mm；弯曲破坏载荷≥120N；放射性内照射指数IRa≤0.3、外照射指数Ir≤0.4；热阻性能≥1.2（m²·K）/W；含湿率≤1.0%；憎水率≥99.99%；光照色牢度≥3级；弯曲变形平均值≤150、最大值≤250，声学、防火、环保、结构、耐候各项指标均优于国标规范。</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二、现状</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现有顶面空间吸声体吊顶，因漏水室内潮湿影响，存在表面积灰严重、透声布老化、局部松动脱落、吸声棉受潮、吸音性能衰减、声场混响时间变长、局部变形下垂、色差泛黄、固定挂件锈蚀松动等问题，整体降噪吸音效果下降，室内声场清晰度不达标，无法满足会议、演出声场声学设计标准，需全面更换更新符合声学要求的吊顶、并进行整体声学优化维护。</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三、维修内容</w:t>
            </w:r>
            <w:r>
              <w:rPr>
                <w:rFonts w:hint="eastAsia" w:ascii="宋体" w:hAnsi="宋体" w:eastAsia="宋体" w:cs="宋体"/>
                <w:i w:val="0"/>
                <w:iCs w:val="0"/>
                <w:snapToGrid w:val="0"/>
                <w:color w:val="000000"/>
                <w:kern w:val="0"/>
                <w:sz w:val="20"/>
                <w:szCs w:val="20"/>
                <w:u w:val="none"/>
                <w:lang w:val="en-US" w:eastAsia="zh-CN" w:bidi="ar"/>
              </w:rPr>
              <w:br w:type="textWrapping"/>
            </w:r>
            <w:r>
              <w:rPr>
                <w:rStyle w:val="131"/>
                <w:snapToGrid w:val="0"/>
                <w:color w:val="000000"/>
                <w:lang w:val="en-US" w:eastAsia="zh-CN" w:bidi="ar"/>
              </w:rPr>
              <w:t>包括但不限于 ：</w:t>
            </w:r>
            <w:r>
              <w:rPr>
                <w:rFonts w:hint="eastAsia" w:ascii="宋体" w:hAnsi="宋体" w:eastAsia="宋体" w:cs="宋体"/>
                <w:i w:val="0"/>
                <w:iCs w:val="0"/>
                <w:snapToGrid w:val="0"/>
                <w:color w:val="000000"/>
                <w:kern w:val="0"/>
                <w:sz w:val="20"/>
                <w:szCs w:val="20"/>
                <w:u w:val="none"/>
                <w:lang w:val="en-US" w:eastAsia="zh-CN" w:bidi="ar"/>
              </w:rPr>
              <w:t>对全场空间吸声体吊顶进行全面更换维护；对吸声体进行拆除更换更新；加固吊顶吊点、紧固锈蚀松动固件，修复吊顶平整度、牢固度；整体校正吊顶水平度、排布规整度；完成全场声学检测调试，优化室内混响参数，恢复设计标准吸声降噪性能，确保声场清晰、降噪达标、外观整洁统一、结构安全牢固。</w:t>
            </w:r>
          </w:p>
        </w:tc>
        <w:tc>
          <w:tcPr>
            <w:tcW w:w="134" w:type="pct"/>
            <w:tcBorders>
              <w:top w:val="single" w:color="000000" w:sz="4" w:space="0"/>
              <w:left w:val="single" w:color="000000" w:sz="4" w:space="0"/>
              <w:bottom w:val="nil"/>
              <w:right w:val="single" w:color="000000" w:sz="4" w:space="0"/>
            </w:tcBorders>
            <w:shd w:val="clear" w:color="auto" w:fill="auto"/>
            <w:vAlign w:val="center"/>
          </w:tcPr>
          <w:p w14:paraId="5A27C9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w:t>
            </w:r>
          </w:p>
        </w:tc>
        <w:tc>
          <w:tcPr>
            <w:tcW w:w="171" w:type="pct"/>
            <w:tcBorders>
              <w:top w:val="single" w:color="000000" w:sz="4" w:space="0"/>
              <w:left w:val="single" w:color="000000" w:sz="4" w:space="0"/>
              <w:bottom w:val="nil"/>
              <w:right w:val="single" w:color="000000" w:sz="4" w:space="0"/>
            </w:tcBorders>
            <w:shd w:val="clear" w:color="auto" w:fill="auto"/>
            <w:vAlign w:val="center"/>
          </w:tcPr>
          <w:p w14:paraId="5A22DC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868</w:t>
            </w:r>
          </w:p>
        </w:tc>
        <w:tc>
          <w:tcPr>
            <w:tcW w:w="223" w:type="pct"/>
            <w:tcBorders>
              <w:top w:val="single" w:color="000000" w:sz="4" w:space="0"/>
              <w:left w:val="single" w:color="000000" w:sz="4" w:space="0"/>
              <w:bottom w:val="nil"/>
              <w:right w:val="single" w:color="000000" w:sz="4" w:space="0"/>
            </w:tcBorders>
            <w:shd w:val="clear" w:color="auto" w:fill="auto"/>
            <w:vAlign w:val="center"/>
          </w:tcPr>
          <w:p w14:paraId="44AA438B">
            <w:pPr>
              <w:jc w:val="left"/>
              <w:rPr>
                <w:rFonts w:hint="eastAsia" w:ascii="宋体" w:hAnsi="宋体" w:eastAsia="宋体" w:cs="宋体"/>
                <w:i w:val="0"/>
                <w:iCs w:val="0"/>
                <w:color w:val="000000"/>
                <w:sz w:val="20"/>
                <w:szCs w:val="20"/>
                <w:u w:val="none"/>
              </w:rPr>
            </w:pPr>
          </w:p>
        </w:tc>
      </w:tr>
      <w:tr w14:paraId="4BB119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0"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AD43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7B97B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空间吸声体墙面维护</w:t>
            </w:r>
          </w:p>
        </w:tc>
        <w:tc>
          <w:tcPr>
            <w:tcW w:w="3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0F709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一、技术参数</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本项目对舞台四周全域墙面进行专业声学维护升级改造，墙面饰面主材采用定制木纹色陶铝槽孔吸音板，全覆盖舞台四周整面墙体，所有声学板材为工厂一体化成品定制，具备全频高效吸声、结构稳定、环保阻燃、耐候耐久等特性。整体采用标准化声学施工工艺，以50型轻钢龙骨作为基层打底构架，龙骨空腔内部填充100mm厚高密度环保声学棉，搭配白色玻纤布整体包覆防护，有效防止棉体脱落、粉尘外泄；面层采用12mm厚木纹色陶铝槽孔吸音板，板材为一体成型结构，结构强度高、稳固性好，具备防潮防虫、防腐防霉、零甲醛、不变形、耐擦洗、抗老化的优良性能，板材采用凹凸启口拼接结构，安装贴合严密、整体性强、施工便捷。板材定制规格：长度2400–3000mm、宽度190–600mm、板厚12mm，板材背部采用圆孔穿孔设计，穿孔率≥18%，构建完整高效全频吸声体系，饰面可适配木纹、纯色、竹纹、仿布纹等多种样式，可按需定制配色。产品声学性能严格遵循GB/T 20247-2006/ISO 354:2003《声学 混响室吸声测量》标准，250Hz、500Hz、1000Hz、2000Hz四频段平均吸声系数≥0.95；板材防火等级达到国家A1级不燃标准，完全符合舞台厅堂声学降噪、消防安全、长期稳定使用的规范要求。</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二、设备现状</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舞台原有墙面曾出现漏水、泡水问题，原有装饰结构破损失效、无法正常使用，且墙面无专业声学吸音构造，声学功能缺失。现场存在墙面吸音性能严重不足、室内混响时间过长、回声杂音突出、人声清晰度低、声场均匀度差等声学问题；同时原有墙面表层老化脱落、基层平整度偏差、结构松散，无专业降噪吸音结构，无法满足舞台会议、文艺演出的专业声学扩声使用标准，整体视听效果不佳，需对全域墙面进行基层翻新、声学结构升级、陶铝吸音板整体改造维护。</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三、维修内容</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 xml:space="preserve">包括但不限于 ：对原有老旧墙面装饰层、松动基层、老化破损饰面材料进行全面拆除、彻底清理及基层平整处理；全面排查墙面基层缺陷，对墙面坑洼、裂缝、空鼓部位进行修补、找平、加固处理，完成基层除尘、干燥养护，确保墙面基层坚实平整、洁净干燥，满足声学板材安装施工标准；现场精准放线定位，规范搭建50型轻钢龙骨骨架，保证龙骨排布规整、受力均匀、固定牢固、结构稳定；龙骨空腔内满填48kg/m³环保高密度声学棉，外层整体包覆白色玻纤布密封防护，杜绝棉体脱落、粉尘外泄；批量定制安装12mm厚木纹色陶铝槽孔吸音板，采用专业凹凸启口工艺拼接施工，精细调校板面平整度、缝隙均匀度、墙体整体垂直度，保证拼接严密、板面规整；严格保护板材渐变槽孔、背部穿孔声学结构，确保吸声结构完整有效、不影响声学性能；对墙面边角、收口位置进行精细化收边、密封处理，完成整体墙面清洁养护；施工完工后开展专业声场实测与声学调试，核验板材吸声系数、整体降噪效果及防火、装饰性能，彻底解决室内回声、杂音、混响超标等问题，全面优化舞台声场环境与视听效果。                                                        </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2DF1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w:t>
            </w:r>
          </w:p>
        </w:tc>
        <w:tc>
          <w:tcPr>
            <w:tcW w:w="1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9DB4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500</w:t>
            </w:r>
          </w:p>
        </w:tc>
        <w:tc>
          <w:tcPr>
            <w:tcW w:w="2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52335">
            <w:pPr>
              <w:jc w:val="left"/>
              <w:rPr>
                <w:rFonts w:hint="eastAsia" w:ascii="宋体" w:hAnsi="宋体" w:eastAsia="宋体" w:cs="宋体"/>
                <w:i w:val="0"/>
                <w:iCs w:val="0"/>
                <w:color w:val="000000"/>
                <w:sz w:val="20"/>
                <w:szCs w:val="20"/>
                <w:u w:val="none"/>
              </w:rPr>
            </w:pPr>
          </w:p>
        </w:tc>
      </w:tr>
      <w:tr w14:paraId="2A92CD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5"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1D7D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88EF8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舞台两侧墙体维护改造</w:t>
            </w:r>
          </w:p>
        </w:tc>
        <w:tc>
          <w:tcPr>
            <w:tcW w:w="3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796C6B">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 xml:space="preserve">包括但不限于 </w:t>
            </w:r>
            <w:r>
              <w:rPr>
                <w:rFonts w:hint="eastAsia" w:ascii="宋体" w:hAnsi="宋体" w:eastAsia="宋体" w:cs="宋体"/>
                <w:i w:val="0"/>
                <w:iCs w:val="0"/>
                <w:snapToGrid w:val="0"/>
                <w:color w:val="000000"/>
                <w:kern w:val="0"/>
                <w:sz w:val="20"/>
                <w:szCs w:val="20"/>
                <w:u w:val="none"/>
                <w:lang w:val="en-US" w:eastAsia="zh-CN" w:bidi="ar"/>
              </w:rPr>
              <w:t>：对原有墙面进行维护，如不满足吸声效果，需维护更新，</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（吸声方案：新建型钢龙骨隔墙，填充吸声岩棉，12厚阻燃板+木质穿孔吸音板吸声系数≥0.9，阻燃等级B1级，防水防潮，表面可根据装修风格选择纯色、木纹等样式，兼具吸声与装饰效果）</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0FDB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项</w:t>
            </w:r>
          </w:p>
        </w:tc>
        <w:tc>
          <w:tcPr>
            <w:tcW w:w="1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0ADF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2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93C2D">
            <w:pPr>
              <w:jc w:val="left"/>
              <w:rPr>
                <w:rFonts w:hint="eastAsia" w:ascii="宋体" w:hAnsi="宋体" w:eastAsia="宋体" w:cs="宋体"/>
                <w:i w:val="0"/>
                <w:iCs w:val="0"/>
                <w:color w:val="000000"/>
                <w:sz w:val="20"/>
                <w:szCs w:val="20"/>
                <w:u w:val="none"/>
              </w:rPr>
            </w:pPr>
          </w:p>
        </w:tc>
      </w:tr>
      <w:tr w14:paraId="112090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5"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291C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54067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控制室维护改造</w:t>
            </w:r>
          </w:p>
        </w:tc>
        <w:tc>
          <w:tcPr>
            <w:tcW w:w="3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960A7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一、技术参数</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针对控制室整体设施进行系统化维护改造，涵盖室内地台搭建、单导玻璃设施、专业操控台、室内照明灯光、强弱电电路系统、设备机柜、室内木地板、返听配套设备等全套设施；改造后控制室布局规整、电路布线规范、操作台使用便捷、灯光照明均匀、隔音返听效果良好，满足舞台控制室常态化操控、值守、设备安全运行标准，适配日常演出、会议管控使用需求。</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二、设备现状</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现有控制室长期使用，存在地台结构老化、平整度偏差、玻璃设施污渍破损、操控台磨损松动、灯光照明昏暗不均、电路线路杂乱老化、机柜排布不规范、木地板磨损起翘、返听设备收音及播放效果不佳等问题，整体使用体验差、存在用电及设备运行隐患，需全方位维护翻新、抬高地面1.3米，升级改造。</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三、维修内容</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包括但不限于 ：对控制室全域设施开展专项维护改造：完成室内地台规整搭建、找平加固，修复或更换破损结构，保证地台平整牢固；检修更换老化、破损、污渍严重的玻璃设施，清洁规整玻璃隔断及围护结构；对操控台进行紧固修复、清洁养护、配件更换，优化操控布局，保障操控顺畅；改造优化室内灯光系统，更换损坏灯具、规整线路，实现照明均匀、开关可控；对室内强弱电电路全面整改，规整布线、更换老化线缆及配件、紧固接线端子，规范电路排布，消除用电安全隐患；整理、加固、规整室内设备机柜，优化机柜内部走线、散热结构，检修机柜配件；修复、找平、更换破损起翘的木地板，做好防潮、防滑养护处理；全面检修调试室内返听设备，修复设备故障、优化收音及播放效果，保障控制室听音清晰、反馈精准；整体规整室内设施，完成清洁、调试、验收，恢复控制室全部使用功能。</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四、改造质量及安全要求</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所有改造及维护施工完成后，控制室地台平整牢固、玻璃设施完好洁净、操控台功能完好、灯光照明均匀合规、电路布线规范安全无隐患，机柜排布规整、木地板平整完好、返听设备运行正常；整体改造符合室内装修及电气安全规范，结构稳固、使用便捷、安全可靠，完全满足控制室长期值守、设备操控、常态化运行使用标准。</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11AE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项</w:t>
            </w:r>
          </w:p>
        </w:tc>
        <w:tc>
          <w:tcPr>
            <w:tcW w:w="1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FCD0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2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EC499">
            <w:pPr>
              <w:jc w:val="left"/>
              <w:rPr>
                <w:rFonts w:hint="eastAsia" w:ascii="宋体" w:hAnsi="宋体" w:eastAsia="宋体" w:cs="宋体"/>
                <w:i w:val="0"/>
                <w:iCs w:val="0"/>
                <w:color w:val="000000"/>
                <w:sz w:val="20"/>
                <w:szCs w:val="20"/>
                <w:u w:val="none"/>
              </w:rPr>
            </w:pPr>
          </w:p>
        </w:tc>
      </w:tr>
      <w:tr w14:paraId="73132E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5"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18DD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54094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舞台改造维护</w:t>
            </w:r>
          </w:p>
        </w:tc>
        <w:tc>
          <w:tcPr>
            <w:tcW w:w="3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3C817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一、技术参数</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对原有舞台整体结构进行维护升级改造，基层骨架采用40×40镀锌方管搭建，管材排布间距为600mm×600mm；配套采用5#角钢，单根长度L=100mm；整体结构采用M10化学螺栓固定安装；面层基层铺设15mm厚防火阻燃板，整体结构稳固、防火阻燃性能达标，符合舞台室内装修及安全消防规范要求，适配会议、演出常态化使用场景。</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二、设备现状</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原有舞台结构长期使用，存在基层骨架锈蚀、管材间距不规整、固定固件老化松动、板材磨损老化、防火阻燃性能衰减、结构平整度偏差等问题，整体结构稳定性、安全性及防火性能不达标，存在使用安全隐患，需全方位结构翻新、固件更换、基层重做、升级改造。</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三、维修内容</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包括但不限于 ：对原有舞台老旧结构、破损板材、锈蚀骨架、松动固件进行全面拆除清理；按照标准工艺重新搭建舞台骨架，采用40×40镀锌方管规整排布，严格控制600mm×600mm标准间距；加装5#角钢（L=100mm）做结构加固补强；采用M10化学螺栓对整体骨架进行多点固定，确保固件锚固牢固、受力均匀；整体找平校正后，铺设15mm厚防火阻燃板作为舞台基层，板材拼接规整、贴合紧密、平整无翘边；完成整体清洁、找平、加固、验收，修复原有结构缺陷，提升舞台整体稳固性、平整度及防火阻燃安全性能。</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四、改造质量及安全要求</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舞台改造完成后，整体骨架排布规整、间距标准、锚固牢固无松动，结构平整度达标、无变形翘曲；15mm防火阻燃板基层铺设严实紧密、拼接平整、防火阻燃性能达标；整体施工符合舞台结构施工及消防安全规范，结构稳固、安全耐久，完全满足长期会议、演出活动常态化安全使用标准。</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0CC1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w:t>
            </w:r>
          </w:p>
        </w:tc>
        <w:tc>
          <w:tcPr>
            <w:tcW w:w="1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B578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83</w:t>
            </w:r>
          </w:p>
        </w:tc>
        <w:tc>
          <w:tcPr>
            <w:tcW w:w="2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92E95">
            <w:pPr>
              <w:jc w:val="left"/>
              <w:rPr>
                <w:rFonts w:hint="eastAsia" w:ascii="宋体" w:hAnsi="宋体" w:eastAsia="宋体" w:cs="宋体"/>
                <w:i w:val="0"/>
                <w:iCs w:val="0"/>
                <w:color w:val="000000"/>
                <w:sz w:val="20"/>
                <w:szCs w:val="20"/>
                <w:u w:val="none"/>
              </w:rPr>
            </w:pPr>
          </w:p>
        </w:tc>
      </w:tr>
      <w:tr w14:paraId="7840D0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5"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48AC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6</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715D2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专业舞台地胶维护</w:t>
            </w:r>
          </w:p>
        </w:tc>
        <w:tc>
          <w:tcPr>
            <w:tcW w:w="3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7FFC7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一、技术参数</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对原有舞台地面进行维护升级改造，舞台地胶需符合国标GB18586-2001标准，具体性能指标如下：防滑性USRV：14；耐磨损性平均圈数≥4000圈，耐磨等级达到Ac4级；回弹值11%，拉伸强度3.2Mpa，扯断伸长率193%；阻燃性能达到国家B1级阻燃标准；摩擦系数0.54，抗磨损厚度5mm，抗凹痕性0.19mm，反弹率98%，冲击吸收22%；地胶整体韧性强、防滑耐磨、阻燃抗冲击，适配专业舞台会议、文艺演出常态化高频使用场景，满足室内舞台安全使用规范。</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二、设备现状</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原有舞台地面长期使用，存在表层磨损老化、防滑性能下降、地面起砂起灰、局部划痕破损、平整度偏差、阻燃及抗冲击性能衰减等问题，地面整体韧性、耐磨性、防滑性不达标，无法满足专业舞台演出、活动安全使用要求，存在人员滑倒、地面破损开裂等安全隐患，需整体翻新升级、专业地胶铺设维护。</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三、维修内容</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包括但不限于 ：对原有舞台老旧地面、破损表层、老化基层进行全面铲除、清理、打磨找平；彻底清除地面浮灰、油污、松散颗粒，对地面裂缝、坑洼点位进行修补找平处理，保证基层平整、坚实、干燥、无杂质；按照专业舞台施工工艺整体铺设全新舞台地胶，严格把控地胶铺装平整度、拼接缝隙、贴合度，做到地面无缝贴合、平整顺滑、无空鼓、无翘边、无起鼓；完成地胶收边、封口、压实固化处理；整体清洁养护、参数核验调试，确保地胶防滑、耐磨、阻燃、回弹、抗冲击等各项性能指标完全达标，恢复舞台地面专业使用性能。</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四、改造质量及安全要求</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舞台地胶维护改造完成后，整体地面平整无缝、贴合牢固、无空鼓翘边、无划痕破损；地胶防滑、耐磨、回弹、抗冲击、阻燃等全部技术参数达标，符合GB18586-2001国标及B1级阻燃消防规范；地面踩踏舒适、受力均匀、安全防滑、耐久抗造，完全满足专业舞台长期会议、演出、人员走动、设备搬运等常态化安全使用标准。</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ECE8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w:t>
            </w:r>
          </w:p>
        </w:tc>
        <w:tc>
          <w:tcPr>
            <w:tcW w:w="1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DA5A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310</w:t>
            </w:r>
          </w:p>
        </w:tc>
        <w:tc>
          <w:tcPr>
            <w:tcW w:w="2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717C5">
            <w:pPr>
              <w:jc w:val="left"/>
              <w:rPr>
                <w:rFonts w:hint="eastAsia" w:ascii="宋体" w:hAnsi="宋体" w:eastAsia="宋体" w:cs="宋体"/>
                <w:i w:val="0"/>
                <w:iCs w:val="0"/>
                <w:color w:val="000000"/>
                <w:sz w:val="20"/>
                <w:szCs w:val="20"/>
                <w:u w:val="none"/>
              </w:rPr>
            </w:pPr>
          </w:p>
        </w:tc>
      </w:tr>
      <w:tr w14:paraId="283DA6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8"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F496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7</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DE417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窗帘维护</w:t>
            </w:r>
          </w:p>
        </w:tc>
        <w:tc>
          <w:tcPr>
            <w:tcW w:w="3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25131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一、技术参数</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对现场原有窗帘进行维护升级改造，升级后窗帘需满足专业舞台会场使用标准，核心性能要求：昼夜平均遮光率达到98%，面料色牢度达到4级；施工需提供对应产品权威检测报告，确保产品性能合规、质量达标，满足舞台会议、演出场景遮光、避光使用需求。</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二、设备现状</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现场原有窗帘长期使用，面料老化、透光率高，整体遮光性能不足，无法满足会场高清大屏显示、专业演出避光遮光使用要求；同时面料色牢度衰减，存在褪色、透光泛光等问题，影响现场使用效果及整体观感，需整体维护升级更换。</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三、维修内容</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包括但不限于 ：对原有老旧窗帘、老化配件进行全面拆除、清理；现场实测尺寸，适配安装全新高遮光窗帘；规范完成窗帘挂装、固定、调试作业，保证窗帘贴合严密、垂坠平整、开合顺畅、闭合无漏光；核对窗帘遮光率、色牢度等核心参数，核验配套权威检测报告，确保所有指标达标，彻底解决现场透光、泛光问题，满足会场专业遮光使用标准。</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四、改造质量及资料要求</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窗帘升级改造完成后，面料平整垂顺、无破损、无褪色，昼夜平均遮光率≥98%、色牢度达4级，闭合严密无漏光，完全适配舞台会议、演出遮光使用需求；投标及施工阶段需提供产品正规权威检测报告，资料齐全可查、合规可验收，满足长期稳定使用标准。</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B7A1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项</w:t>
            </w:r>
          </w:p>
        </w:tc>
        <w:tc>
          <w:tcPr>
            <w:tcW w:w="1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275E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2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04FED">
            <w:pPr>
              <w:jc w:val="left"/>
              <w:rPr>
                <w:rFonts w:hint="eastAsia" w:ascii="宋体" w:hAnsi="宋体" w:eastAsia="宋体" w:cs="宋体"/>
                <w:i w:val="0"/>
                <w:iCs w:val="0"/>
                <w:color w:val="000000"/>
                <w:sz w:val="20"/>
                <w:szCs w:val="20"/>
                <w:u w:val="none"/>
              </w:rPr>
            </w:pPr>
          </w:p>
        </w:tc>
      </w:tr>
      <w:tr w14:paraId="74E0E0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7"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2D1EB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8</w:t>
            </w:r>
          </w:p>
        </w:tc>
        <w:tc>
          <w:tcPr>
            <w:tcW w:w="612" w:type="pct"/>
            <w:tcBorders>
              <w:top w:val="single" w:color="000000" w:sz="4" w:space="0"/>
              <w:left w:val="nil"/>
              <w:bottom w:val="nil"/>
              <w:right w:val="single" w:color="000000" w:sz="4" w:space="0"/>
            </w:tcBorders>
            <w:shd w:val="clear" w:color="auto" w:fill="auto"/>
            <w:vAlign w:val="center"/>
          </w:tcPr>
          <w:p w14:paraId="320328C6">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图形控制器维护</w:t>
            </w:r>
          </w:p>
        </w:tc>
        <w:tc>
          <w:tcPr>
            <w:tcW w:w="3726" w:type="pct"/>
            <w:tcBorders>
              <w:top w:val="single" w:color="000000" w:sz="4" w:space="0"/>
              <w:left w:val="nil"/>
              <w:bottom w:val="nil"/>
              <w:right w:val="single" w:color="000000" w:sz="4" w:space="0"/>
            </w:tcBorders>
            <w:shd w:val="clear" w:color="auto" w:fill="auto"/>
            <w:vAlign w:val="top"/>
          </w:tcPr>
          <w:p w14:paraId="0172599D">
            <w:pPr>
              <w:keepNext w:val="0"/>
              <w:keepLines w:val="0"/>
              <w:widowControl/>
              <w:suppressLineNumbers w:val="0"/>
              <w:jc w:val="left"/>
              <w:textAlignment w:val="top"/>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一、技术参数</w:t>
            </w:r>
            <w:r>
              <w:rPr>
                <w:rFonts w:hint="eastAsia" w:ascii="宋体" w:hAnsi="宋体" w:eastAsia="宋体" w:cs="宋体"/>
                <w:b/>
                <w:bCs/>
                <w:i w:val="0"/>
                <w:iCs w:val="0"/>
                <w:snapToGrid w:val="0"/>
                <w:color w:val="000000"/>
                <w:kern w:val="0"/>
                <w:sz w:val="20"/>
                <w:szCs w:val="20"/>
                <w:u w:val="none"/>
                <w:lang w:val="en-US" w:eastAsia="zh-CN" w:bidi="ar"/>
              </w:rPr>
              <w:br w:type="textWrapping"/>
            </w:r>
            <w:r>
              <w:rPr>
                <w:rFonts w:hint="eastAsia" w:ascii="宋体" w:hAnsi="宋体" w:eastAsia="宋体" w:cs="宋体"/>
                <w:b/>
                <w:bCs/>
                <w:i w:val="0"/>
                <w:iCs w:val="0"/>
                <w:snapToGrid w:val="0"/>
                <w:color w:val="000000"/>
                <w:kern w:val="0"/>
                <w:sz w:val="20"/>
                <w:szCs w:val="20"/>
                <w:u w:val="none"/>
                <w:lang w:val="en-US" w:eastAsia="zh-CN" w:bidi="ar"/>
              </w:rPr>
              <w:t>本次维护基于设备原有硬件架构、接口规格及系统平台，按需对老化、性能不足的核心配件进行兼容适配升级更换，保留原有可用设备结构与功能模块。升级后设备兼容原有整机框架、板卡接口、控制程序及配套外设，可稳定实现多路信号采集、多画面开窗分割、画面重组、角度旋转、不规则拼接、超高清素材解码播放、多通道同步输出、流媒体推流录制等功能，适配会场超高分辨率大屏信号制作、输出与集中控制，满足常态化会议、演出视频导播、直播录播、多格式信号处理使用需求。</w:t>
            </w:r>
            <w:r>
              <w:rPr>
                <w:rFonts w:hint="eastAsia" w:ascii="宋体" w:hAnsi="宋体" w:eastAsia="宋体" w:cs="宋体"/>
                <w:b/>
                <w:bCs/>
                <w:i w:val="0"/>
                <w:iCs w:val="0"/>
                <w:snapToGrid w:val="0"/>
                <w:color w:val="000000"/>
                <w:kern w:val="0"/>
                <w:sz w:val="20"/>
                <w:szCs w:val="20"/>
                <w:u w:val="none"/>
                <w:lang w:val="en-US" w:eastAsia="zh-CN" w:bidi="ar"/>
              </w:rPr>
              <w:br w:type="textWrapping"/>
            </w:r>
            <w:r>
              <w:rPr>
                <w:rFonts w:hint="eastAsia" w:ascii="宋体" w:hAnsi="宋体" w:eastAsia="宋体" w:cs="宋体"/>
                <w:b/>
                <w:bCs/>
                <w:i w:val="0"/>
                <w:iCs w:val="0"/>
                <w:snapToGrid w:val="0"/>
                <w:color w:val="000000"/>
                <w:kern w:val="0"/>
                <w:sz w:val="20"/>
                <w:szCs w:val="20"/>
                <w:u w:val="none"/>
                <w:lang w:val="en-US" w:eastAsia="zh-CN" w:bidi="ar"/>
              </w:rPr>
              <w:t>二、设备现状</w:t>
            </w:r>
            <w:r>
              <w:rPr>
                <w:rFonts w:hint="eastAsia" w:ascii="宋体" w:hAnsi="宋体" w:eastAsia="宋体" w:cs="宋体"/>
                <w:b/>
                <w:bCs/>
                <w:i w:val="0"/>
                <w:iCs w:val="0"/>
                <w:snapToGrid w:val="0"/>
                <w:color w:val="000000"/>
                <w:kern w:val="0"/>
                <w:sz w:val="20"/>
                <w:szCs w:val="20"/>
                <w:u w:val="none"/>
                <w:lang w:val="en-US" w:eastAsia="zh-CN" w:bidi="ar"/>
              </w:rPr>
              <w:br w:type="textWrapping"/>
            </w:r>
            <w:r>
              <w:rPr>
                <w:rFonts w:hint="eastAsia" w:ascii="宋体" w:hAnsi="宋体" w:eastAsia="宋体" w:cs="宋体"/>
                <w:b/>
                <w:bCs/>
                <w:i w:val="0"/>
                <w:iCs w:val="0"/>
                <w:snapToGrid w:val="0"/>
                <w:color w:val="000000"/>
                <w:kern w:val="0"/>
                <w:sz w:val="20"/>
                <w:szCs w:val="20"/>
                <w:u w:val="none"/>
                <w:lang w:val="en-US" w:eastAsia="zh-CN" w:bidi="ar"/>
              </w:rPr>
              <w:t>现有视频工作站长期高负荷不间断运行，整机硬件老化、性能衰减，存在系统运行卡顿、硬件响应迟缓、硬盘读写速度下降、多通道视频输出不稳定、各类输入源接口接触不良、信号传输断续、部分视频解码及素材播放异常、系统运行报错、程序闪退等故障问题，原有硬件配置无法满足超高分辨率多画面输出、8K超高清素材流畅播放及多格式信号稳定处理的使用需求，需开展兼容性配件升级更换、系统优化调试及故障修复维护。</w:t>
            </w:r>
            <w:r>
              <w:rPr>
                <w:rFonts w:hint="eastAsia" w:ascii="宋体" w:hAnsi="宋体" w:eastAsia="宋体" w:cs="宋体"/>
                <w:b/>
                <w:bCs/>
                <w:i w:val="0"/>
                <w:iCs w:val="0"/>
                <w:snapToGrid w:val="0"/>
                <w:color w:val="000000"/>
                <w:kern w:val="0"/>
                <w:sz w:val="20"/>
                <w:szCs w:val="20"/>
                <w:u w:val="none"/>
                <w:lang w:val="en-US" w:eastAsia="zh-CN" w:bidi="ar"/>
              </w:rPr>
              <w:br w:type="textWrapping"/>
            </w:r>
            <w:r>
              <w:rPr>
                <w:rFonts w:hint="eastAsia" w:ascii="宋体" w:hAnsi="宋体" w:eastAsia="宋体" w:cs="宋体"/>
                <w:b/>
                <w:bCs/>
                <w:i w:val="0"/>
                <w:iCs w:val="0"/>
                <w:snapToGrid w:val="0"/>
                <w:color w:val="000000"/>
                <w:kern w:val="0"/>
                <w:sz w:val="20"/>
                <w:szCs w:val="20"/>
                <w:u w:val="none"/>
                <w:lang w:val="en-US" w:eastAsia="zh-CN" w:bidi="ar"/>
              </w:rPr>
              <w:t>三、维修内容</w:t>
            </w:r>
            <w:r>
              <w:rPr>
                <w:rFonts w:hint="eastAsia" w:ascii="宋体" w:hAnsi="宋体" w:eastAsia="宋体" w:cs="宋体"/>
                <w:b/>
                <w:bCs/>
                <w:i w:val="0"/>
                <w:iCs w:val="0"/>
                <w:snapToGrid w:val="0"/>
                <w:color w:val="000000"/>
                <w:kern w:val="0"/>
                <w:sz w:val="20"/>
                <w:szCs w:val="20"/>
                <w:u w:val="none"/>
                <w:lang w:val="en-US" w:eastAsia="zh-CN" w:bidi="ar"/>
              </w:rPr>
              <w:br w:type="textWrapping"/>
            </w:r>
            <w:r>
              <w:rPr>
                <w:rFonts w:hint="eastAsia" w:ascii="宋体" w:hAnsi="宋体" w:eastAsia="宋体" w:cs="宋体"/>
                <w:b/>
                <w:bCs/>
                <w:i w:val="0"/>
                <w:iCs w:val="0"/>
                <w:snapToGrid w:val="0"/>
                <w:color w:val="000000"/>
                <w:kern w:val="0"/>
                <w:sz w:val="20"/>
                <w:szCs w:val="20"/>
                <w:u w:val="none"/>
                <w:lang w:val="en-US" w:eastAsia="zh-CN" w:bidi="ar"/>
              </w:rPr>
              <w:t>包括但不限于 ：基于现有设备架构，对整机老旧、性能不足、故障频发的核心配件进行兼容适配升级更换；开展整机深度拆解除尘、硬件全面检测校准，逐项排查硬盘坏道、内存运行故障、各类接口氧化虚接、芯片高温降频、数据传输异常等安全隐患；针对性修复设备接口接触不良、视频信号卡顿、素材播放闪退、音视频解码异常、系统报错等现存故障；深度优化系统运行配置、清理系统冗余程序、修复系统安全漏洞、全盘查杀病毒及恶意程序，净化运行环境；适配原有设备规格，升级更换双CPU处理器、128GB DDR4高速运行内存、1TB+960GB双高速固态硬盘，硬件升级后完全兼容原有系统及外设，可稳定实现12路4K同步输出、画面拆分重组、角度旋转、不规则拼接、8K超高清视频流畅播放、多格式素材采集解码播放功能；控制软件测试、功能校验、参数校准，确保设备全部功能参数达标，整机运行高速、高效、稳定。</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FA527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项</w:t>
            </w:r>
          </w:p>
        </w:tc>
        <w:tc>
          <w:tcPr>
            <w:tcW w:w="171" w:type="pct"/>
            <w:tcBorders>
              <w:top w:val="single" w:color="000000" w:sz="4" w:space="0"/>
              <w:left w:val="nil"/>
              <w:bottom w:val="nil"/>
              <w:right w:val="single" w:color="000000" w:sz="4" w:space="0"/>
            </w:tcBorders>
            <w:shd w:val="clear" w:color="auto" w:fill="auto"/>
            <w:vAlign w:val="center"/>
          </w:tcPr>
          <w:p w14:paraId="4932CE4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1</w:t>
            </w:r>
          </w:p>
        </w:tc>
        <w:tc>
          <w:tcPr>
            <w:tcW w:w="2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F5652">
            <w:pPr>
              <w:jc w:val="left"/>
              <w:rPr>
                <w:rFonts w:hint="eastAsia" w:ascii="宋体" w:hAnsi="宋体" w:eastAsia="宋体" w:cs="宋体"/>
                <w:b/>
                <w:bCs/>
                <w:i w:val="0"/>
                <w:iCs w:val="0"/>
                <w:color w:val="000000"/>
                <w:sz w:val="20"/>
                <w:szCs w:val="20"/>
                <w:u w:val="none"/>
              </w:rPr>
            </w:pPr>
          </w:p>
        </w:tc>
      </w:tr>
      <w:tr w14:paraId="1A880D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7"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6089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9</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D75FD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发送盒巡检维护</w:t>
            </w:r>
          </w:p>
        </w:tc>
        <w:tc>
          <w:tcPr>
            <w:tcW w:w="3726" w:type="pct"/>
            <w:tcBorders>
              <w:top w:val="single" w:color="000000" w:sz="4" w:space="0"/>
              <w:left w:val="single" w:color="000000" w:sz="4" w:space="0"/>
              <w:bottom w:val="single" w:color="000000" w:sz="4" w:space="0"/>
              <w:right w:val="single" w:color="000000" w:sz="4" w:space="0"/>
            </w:tcBorders>
            <w:shd w:val="clear" w:color="auto" w:fill="auto"/>
            <w:vAlign w:val="top"/>
          </w:tcPr>
          <w:p w14:paraId="75F20DB7">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一、技术参数</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根据会场大屏高清显示、功能升级及智能化调试需求，LED发送盒设备性能参数需满足专业大屏传输运行标准。设备最大输入分辨率可达1920×1200像素，支持现场自定义任意分辨率参数设置，适配各类高清信号接入调试需求；单卡最大带载能力可达230W像素点，最大显示宽度4096像素、最大显示高度4096像素，可完美适配会场超大LED高清大屏画面传输、多画面扩展、自定义分辨率调试运行场景，具备信号传输带宽大、带载能力强、分辨率适配广、运行稳定性高的特性，充分满足大屏高清信号稳定传输、超大画面完整带载常态化运行需求。</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二、设备现状</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会场现有LED发送盒设备服役年限久、整体硬件老旧、固件版本滞后，设备核心性能衰减严重，存在单卡带载能力不足、分辨率适配性差、各类信号兼容性弱、运行功能受限等问题。日常使用中频繁出现画面信号卡顿、传输延迟、画面闪屏、信号丢包、超大画面带载失效、自定义分辨率无法调试等故障，无法适配会场大屏高清显示升级、多画面扩展、智能化调试的使用标准，存在大屏显示异常、画面断层、播放失效等运行隐患，需对设备全套核心及易损配件更换升级、整机深度巡检、原厂固件升级、功能优化及性能参数校准调试。</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三、维修内容</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包括但不限于 ：对会场所有LED发送盒逐台拆机深度检测；</w:t>
            </w:r>
            <w:r>
              <w:rPr>
                <w:rStyle w:val="131"/>
                <w:snapToGrid w:val="0"/>
                <w:color w:val="000000"/>
                <w:lang w:val="en-US" w:eastAsia="zh-CN" w:bidi="ar"/>
              </w:rPr>
              <w:t>全面更换全新原厂核心主板、控制面板、开关电源、信号处理芯片、数据传输模块等核心配件，配齐补全设备老化失效的接口端子、内部排线、稳压电容、电阻芯片、指示灯、按键开关、固定固件、散热配件等全套附属配件；逐项排查设备芯片老化、程序固件滞后、电路稳压异</w:t>
            </w:r>
            <w:r>
              <w:rPr>
                <w:rFonts w:hint="eastAsia" w:ascii="宋体" w:hAnsi="宋体" w:eastAsia="宋体" w:cs="宋体"/>
                <w:i w:val="0"/>
                <w:iCs w:val="0"/>
                <w:snapToGrid w:val="0"/>
                <w:color w:val="000000"/>
                <w:kern w:val="0"/>
                <w:sz w:val="20"/>
                <w:szCs w:val="20"/>
                <w:u w:val="none"/>
                <w:lang w:val="en-US" w:eastAsia="zh-CN" w:bidi="ar"/>
              </w:rPr>
              <w:t>常、信号传输紊乱、带载能力衰减等深层次故障隐患；统一升级设备最新原厂固件程序，修复系统运行漏洞、优化设备底层运行逻辑；精准校准单卡像素带载参数、最大显示宽高像素参数、信号传输带宽参数；针对性修复信号延时、数据丢包、画面闪屏、带载不足、分辨率适配失败等问题；调试优化设备自定义分辨率设置、多信号兼容、超大画面传输、多画面扩展等核心功能，完成整机通电老化测试、信号联动调试、大屏适配联调，确保设备所有运行参数达标，信号传输稳定、画面同步完整、功能运行正常。</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4F7F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张</w:t>
            </w:r>
          </w:p>
        </w:tc>
        <w:tc>
          <w:tcPr>
            <w:tcW w:w="1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CFE8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27</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F60F44">
            <w:pPr>
              <w:jc w:val="left"/>
              <w:rPr>
                <w:rFonts w:hint="eastAsia" w:ascii="宋体" w:hAnsi="宋体" w:eastAsia="宋体" w:cs="宋体"/>
                <w:i w:val="0"/>
                <w:iCs w:val="0"/>
                <w:color w:val="000000"/>
                <w:sz w:val="20"/>
                <w:szCs w:val="20"/>
                <w:u w:val="none"/>
              </w:rPr>
            </w:pPr>
          </w:p>
        </w:tc>
      </w:tr>
      <w:tr w14:paraId="5FC499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7"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CB68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10</w:t>
            </w:r>
          </w:p>
        </w:tc>
        <w:tc>
          <w:tcPr>
            <w:tcW w:w="612" w:type="pct"/>
            <w:tcBorders>
              <w:top w:val="single" w:color="000000" w:sz="4" w:space="0"/>
              <w:left w:val="nil"/>
              <w:bottom w:val="nil"/>
              <w:right w:val="single" w:color="000000" w:sz="4" w:space="0"/>
            </w:tcBorders>
            <w:shd w:val="clear" w:color="auto" w:fill="auto"/>
            <w:vAlign w:val="center"/>
          </w:tcPr>
          <w:p w14:paraId="7FD72B2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控制管理软件巡检维护</w:t>
            </w:r>
          </w:p>
        </w:tc>
        <w:tc>
          <w:tcPr>
            <w:tcW w:w="3726" w:type="pct"/>
            <w:tcBorders>
              <w:top w:val="single" w:color="000000" w:sz="4" w:space="0"/>
              <w:left w:val="nil"/>
              <w:bottom w:val="nil"/>
              <w:right w:val="single" w:color="000000" w:sz="4" w:space="0"/>
            </w:tcBorders>
            <w:shd w:val="clear" w:color="auto" w:fill="auto"/>
            <w:vAlign w:val="center"/>
          </w:tcPr>
          <w:p w14:paraId="427E0A5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一、技术参数</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基础管控：实现大屏幕系统日常全功能操作与管理，含开 / 关机、信号源管理、用户管理、设备管理、远程鼠标、系统状态监控、预案制作 / 保存 / 调用等。</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设备管理：支持软件端统一管理显示屏及各类设备，集中控制、简化流程、提升效率。</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信号分组管理：兼容 DVI、RGB、复合视频、远程桌面、超高分辨率网络信号、流媒体信号及处理器运行程序、时钟信息等；支持按信号源分类、按应用组合分类。</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显示布局管理：支持信号源 / 应用程序任意开窗；窗口可拖放、叠加、缩放、自定义编组、自动排列、独立属性设置。具备 多机位切换、8 路以上字幕 / LOGO 叠加、抠像（Chroma Key）、3D 虚拟场景、慢动作回放、混音、直播推流（RTMP/SRT/NDI）、多通道录制 等功能；音频支持 8 路独立混音母线、EQ、压缩、VST 插件；接口含 SDI/HDMI 输入输出、RJ45（NDI）、USB3.0、音频 I/O；支持 PTZ 摄像机控制、vMix Call 远程连线、实时数据字幕 等扩展功能.</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预案模式管理：画面布局可一键存为预案；支持预案更名、编辑、保存、编组、修改、删除；具备自动运行、一键调用、循环执行；支持按时间段设定自动执行预案。</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二次开发：提供完整二次开发接口，适配大屏高分辨率、多信号源、跨平台集中显示需求。</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中控对接：提供完整中控设备接口，支持主流中控通过协议调用软件全功能。</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系统兼容与著作权：支持 Linux 系统上屏、Windows 高分图像上屏。</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多媒体融合：多视频层实时混合，同步加载 / 播放视频 / 图片 / 摄像头流；支持透明度、位置、缩放、旋转、GLSL 滤镜、遮罩、混合模式；淡入淡出、滑动转场；全屏输出至投影 / 大屏；支持 SRT 网络直播推流、无音频视频录制；图形界面拖拽操控，支持 OSC 协议远程控制（如 TouchOSC）。</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二、软件现状</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针对项目现场设备架构进行软件定制化深度维护与优化，修复系统老旧漏洞、兼容bug及功能失效问题；重装适配现场环境的专用控制软件、驱动程序及运行组件，优化系统运行逻辑、提升响应速度；校准多信号源接入、开窗叠加、缩放布局、预案调用功能，修复卡顿、闪退、断流、录播异常问题；调试多机位切换、字幕叠加、抠像虚拟场景、音频混音、直播推流、远程连线全功能模块；优化中控协议对接，修复大屏、录播导播、现场灯光、窗帘一体化联动控制故障；重置系统参数、优化运行配置、备份专属场景模板，完成整机长时间压力测试、全功能校验调试，确保所有管控、导播、直播、联动功能稳定正常运行。</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三、维护内容</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包括但不限于 ：基于原有软件基础模块，结合项目现场现有硬件架构及设备配套体系，在原有软件框架上新增定制化功能开发并进行深度维护升级，全方位优化适配本项目全套音视频、大屏、智能联动等设备；全面排查并修复系统老旧漏洞、程序兼容BUG及失效功能模块，清理系统冗余程序、修复运行缺陷；重装适配现场环境的专用管控软件、全套驱动程序及运行组件，优化系统底层运行逻辑，提升程序响应速度与运行稳定性；精准校准多类型信号源接入、窗口叠加缩放、画面布局排布、预案一键调用等核心功能，彻底解决系统卡顿、程序闪退、直播断流、录播异常等故障；全面调试多机位切换、字幕LOGO叠加、虚拟场景抠像、音频混音、网络推流、远程连线等全功能模块；优化中控协议对接适配性，修复大屏显示、录播导播、现场灯光、窗帘一体化联动控制故障；重置系统运行参数、优化设备适配配置，备份项目专属场景模板与预案参数；完成整机长时间压力测试、全功能校验、系统联调，确保所有管控、导播、直播、智能联动功能稳定高效运行，完全适配现场设备使用场景。</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四、质量要求</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升级维护定制开发的软件全功能正常运行，无卡顿、无报错、无崩溃，响应及时。</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提供36 个月7*24小时现场运维质保服务，质保期内免费维护、故障修复、技术支持、模块新增、软件定制化升级。</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C16A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套</w:t>
            </w:r>
          </w:p>
        </w:tc>
        <w:tc>
          <w:tcPr>
            <w:tcW w:w="171" w:type="pct"/>
            <w:tcBorders>
              <w:top w:val="single" w:color="000000" w:sz="4" w:space="0"/>
              <w:left w:val="nil"/>
              <w:bottom w:val="nil"/>
              <w:right w:val="single" w:color="000000" w:sz="4" w:space="0"/>
            </w:tcBorders>
            <w:shd w:val="clear" w:color="auto" w:fill="auto"/>
            <w:vAlign w:val="center"/>
          </w:tcPr>
          <w:p w14:paraId="2EF33D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223" w:type="pct"/>
            <w:tcBorders>
              <w:top w:val="single" w:color="000000" w:sz="4" w:space="0"/>
              <w:left w:val="nil"/>
              <w:bottom w:val="nil"/>
              <w:right w:val="single" w:color="000000" w:sz="4" w:space="0"/>
            </w:tcBorders>
            <w:shd w:val="clear" w:color="auto" w:fill="auto"/>
            <w:vAlign w:val="center"/>
          </w:tcPr>
          <w:p w14:paraId="1FED668F">
            <w:pPr>
              <w:jc w:val="left"/>
              <w:rPr>
                <w:rFonts w:hint="eastAsia" w:ascii="宋体" w:hAnsi="宋体" w:eastAsia="宋体" w:cs="宋体"/>
                <w:i w:val="0"/>
                <w:iCs w:val="0"/>
                <w:color w:val="000000"/>
                <w:sz w:val="20"/>
                <w:szCs w:val="20"/>
                <w:u w:val="none"/>
              </w:rPr>
            </w:pPr>
          </w:p>
        </w:tc>
      </w:tr>
      <w:tr w14:paraId="09DC2B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7"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D3B2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11</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95905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拼接控制器巡检维护</w:t>
            </w:r>
          </w:p>
        </w:tc>
        <w:tc>
          <w:tcPr>
            <w:tcW w:w="3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B10D3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包括但不限于 ：</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1）原有处理器维护（原处理器参数：机箱规格：主体采用32U横插卡式机箱，输入40槽位、输出40槽位，支持320路PC类信号输入，320路PC类信号输出；根据现场情况配齐配全输入输出、线材及网络传输设备，安装调试完成后，确保与采购人现有网络系统、业务平台、终端设备实现无缝对接、稳定兼容、安全运行。（质保三年）</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2）信号处理部分采用FPGA嵌入式架构， CrossPoint数字多总线数据路由交换机制，无CPU，无操作系统；纯数字模块化结构，兼容UNIX、LINUX系统下应用的综合数据显示，支持TCP/IP等协议，完全兼容X11R5、X11R6协议；</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3）具备应急维护设计，输入采集卡、输出 卡、切换卡、控制卡、风扇、电源等模块均为插卡设计，支持工作状态下热插拔，无需重启或刷新设备；业务自动恢复时间≤2s；</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4）接入信号均可以在全屏范围内任意位置、任意大小缩放、移动、叠加显示，支持窗口整墙漫游，具备运行模式预案开窗功能；具备内置底图功能，无须外置底图机可以设置背景图片，支持底图设置可以上电自动恢复。</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5）具有手机、PAD（IOS/Andriod等）功能。支持通过IPad触摸屏直接对大屏进行信号开窗、关窗、缩放、预案调用等控制功能，APP可以在应用市场搜索下载。</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6）内嵌BS拼接器配置软件，支持鸿蒙、WINDOWS、麒麟（Kylin）、IOS、macOS、统信UOS、Ubuntu、Android、Linux、操作系统访问设备机交互操作；系统支持简单中文、英文多语言界面。支持浏览器WEB页面远程登陆操作，软件具备C/S和B/S结构。</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7）具有逆场同步技术，画面无缝（0帧）同步切换，输入信号切换时间实时、无缝、无延时、无黑场、无闪烁、无蓝屏、无死机、无花屏、无撕裂、无卡顿停顿、不漏底图现象，切换时间≤10ms；</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8）设备噪声≤37dB,功耗≤350W，MTTR≤10s,MTBF≤180000小时，可用度≥0.99999。</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9）支持国产CPU（龙芯、飞腾、鲲鹏、海光、中威、兆芯）的电脑上操控处理器；具有字幕功能：欢迎词、相关文字介绍等；支持通过ONVIF、PSIA协议搜索IP摄像机。支持TCP/IP网络控制、RS-232串口控制、WEB页面控制。</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10）可通过配置工具将音视频、图片、文档、时钟、计时、天气预报等内容按照时间轴排列成可播放素材，在屏幕上以多窗口图文并茂的播控。</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11）图像拼接处理系统应支持AR系统实时数据交互；支持GB28181直接对接视频平台；支持与可视化系统对接，可完成可视化系统各类显示要求。同时支持与基于JAVA、HTML5、WPF技术可视化系统对接；</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12）支持4/6/9/16等单屏开信号窗口功能，支持信号窗口4：3/16：9画面比例显示，支持窗口锁定、窗口画面标注、裁切功能，支持多信号自动轮询播放。支持通过软件将一个窗口拖动到另一个显示窗口实现窗口信号替换。</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13）产品应通过高低温（-5℃-＋45℃，升降温速率1℃/分钟，时间72小时）循环试验。产品在电源电压在AC187V-AC242V范围变动时，正常工作。静电放电抗扰度测试合格。符合GB/T17626.2-2006中严酷等级3，泄漏电流实验三、维护内容、绝缘电阻实验、涌浪抗扰度实验测试合格。符合GB/T17626.5-2008中严酷等级1 。</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94C7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台</w:t>
            </w:r>
          </w:p>
        </w:tc>
        <w:tc>
          <w:tcPr>
            <w:tcW w:w="1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524A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D6D472">
            <w:pPr>
              <w:jc w:val="left"/>
              <w:rPr>
                <w:rFonts w:hint="eastAsia" w:ascii="宋体" w:hAnsi="宋体" w:eastAsia="宋体" w:cs="宋体"/>
                <w:i w:val="0"/>
                <w:iCs w:val="0"/>
                <w:color w:val="000000"/>
                <w:sz w:val="20"/>
                <w:szCs w:val="20"/>
                <w:u w:val="none"/>
              </w:rPr>
            </w:pPr>
          </w:p>
        </w:tc>
      </w:tr>
      <w:tr w14:paraId="2E0AB6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7"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1FA6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12</w:t>
            </w:r>
          </w:p>
        </w:tc>
        <w:tc>
          <w:tcPr>
            <w:tcW w:w="612" w:type="pct"/>
            <w:tcBorders>
              <w:top w:val="nil"/>
              <w:left w:val="nil"/>
              <w:bottom w:val="single" w:color="000000" w:sz="4" w:space="0"/>
              <w:right w:val="single" w:color="000000" w:sz="4" w:space="0"/>
            </w:tcBorders>
            <w:shd w:val="clear" w:color="auto" w:fill="auto"/>
            <w:vAlign w:val="center"/>
          </w:tcPr>
          <w:p w14:paraId="609D052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PLC智能配电柜巡检维护</w:t>
            </w:r>
          </w:p>
        </w:tc>
        <w:tc>
          <w:tcPr>
            <w:tcW w:w="3726" w:type="pct"/>
            <w:tcBorders>
              <w:top w:val="nil"/>
              <w:left w:val="nil"/>
              <w:bottom w:val="single" w:color="000000" w:sz="4" w:space="0"/>
              <w:right w:val="single" w:color="000000" w:sz="4" w:space="0"/>
            </w:tcBorders>
            <w:shd w:val="clear" w:color="auto" w:fill="auto"/>
            <w:vAlign w:val="center"/>
          </w:tcPr>
          <w:p w14:paraId="19F8728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一、技术参数</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设备额定带载功率≥60KW，支持 PLC 远程控制、分布式供电模式；配备多功能控制器，具备远程控制功能；系统输入电压 380V，输出电压 220V，满足大屏及舞台设备集中配电、智能远程管控使用要求。</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二、设备现状</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现有大屏配电柜长期运行，存在线路老化、触点氧化、控制器参数漂移、远程控制响应不稳定、配电负载性能下降、跳闸等问题，存在用电安全隐患，需全面巡检、检测、养护、调试维护。</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三、维修内容</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包括但不限于 ：配电柜柜体、导电母线、断路器、交流接触器、多功能控制器、PLC通讯模块、设备进出线端子、各类连接线材及配套辅材进行全面排查检修与整体更新更换，检测 380V 输入、220V 输出电压稳定性及带载能力；校验远程控制、PLC 通讯、分布式供电功能；清理老化线路、氧化触点，更换损坏失效配件；整机调试校准，确保配电稳定、通讯正常、远程控制灵敏、带载能力达标。</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四、备品备件</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配齐配电柜专用断路器、接触器、通讯模块、端子、线材、辅材及多功能控制器配套配件，存放甲方现场，满足日常运维及应急抢修使用。</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D707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台</w:t>
            </w:r>
          </w:p>
        </w:tc>
        <w:tc>
          <w:tcPr>
            <w:tcW w:w="171" w:type="pct"/>
            <w:tcBorders>
              <w:top w:val="nil"/>
              <w:left w:val="nil"/>
              <w:bottom w:val="single" w:color="000000" w:sz="4" w:space="0"/>
              <w:right w:val="single" w:color="000000" w:sz="4" w:space="0"/>
            </w:tcBorders>
            <w:shd w:val="clear" w:color="auto" w:fill="auto"/>
            <w:vAlign w:val="center"/>
          </w:tcPr>
          <w:p w14:paraId="7A9C03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223" w:type="pct"/>
            <w:tcBorders>
              <w:top w:val="nil"/>
              <w:left w:val="single" w:color="000000" w:sz="4" w:space="0"/>
              <w:bottom w:val="single" w:color="000000" w:sz="4" w:space="0"/>
              <w:right w:val="single" w:color="000000" w:sz="4" w:space="0"/>
            </w:tcBorders>
            <w:shd w:val="clear" w:color="auto" w:fill="auto"/>
            <w:noWrap/>
            <w:vAlign w:val="center"/>
          </w:tcPr>
          <w:p w14:paraId="6CF037A0">
            <w:pPr>
              <w:jc w:val="left"/>
              <w:rPr>
                <w:rFonts w:hint="eastAsia" w:ascii="宋体" w:hAnsi="宋体" w:eastAsia="宋体" w:cs="宋体"/>
                <w:i w:val="0"/>
                <w:iCs w:val="0"/>
                <w:color w:val="000000"/>
                <w:sz w:val="20"/>
                <w:szCs w:val="20"/>
                <w:u w:val="none"/>
              </w:rPr>
            </w:pPr>
          </w:p>
        </w:tc>
      </w:tr>
      <w:tr w14:paraId="340C0C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7"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AD76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13</w:t>
            </w:r>
          </w:p>
        </w:tc>
        <w:tc>
          <w:tcPr>
            <w:tcW w:w="612" w:type="pct"/>
            <w:tcBorders>
              <w:top w:val="nil"/>
              <w:left w:val="nil"/>
              <w:bottom w:val="single" w:color="000000" w:sz="4" w:space="0"/>
              <w:right w:val="single" w:color="000000" w:sz="4" w:space="0"/>
            </w:tcBorders>
            <w:shd w:val="clear" w:color="auto" w:fill="auto"/>
            <w:vAlign w:val="center"/>
          </w:tcPr>
          <w:p w14:paraId="2AF3E67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工程结构维护</w:t>
            </w:r>
          </w:p>
        </w:tc>
        <w:tc>
          <w:tcPr>
            <w:tcW w:w="3726" w:type="pct"/>
            <w:tcBorders>
              <w:top w:val="nil"/>
              <w:left w:val="nil"/>
              <w:bottom w:val="single" w:color="000000" w:sz="4" w:space="0"/>
              <w:right w:val="single" w:color="000000" w:sz="4" w:space="0"/>
            </w:tcBorders>
            <w:shd w:val="clear" w:color="auto" w:fill="auto"/>
            <w:vAlign w:val="center"/>
          </w:tcPr>
          <w:p w14:paraId="182F40B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一、技术参数</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设备安装结构具备优良耐盐雾腐蚀性能、抗氧化性能；配备完善防高温、阻燃、防静电防护措施；整体采用高精度型材结构支架设计，结构精度高、稳定性强、防护性能达标；</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二、设备现状</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现有设备安装支架及工程结构长期使用，存在表层氧化、轻微锈蚀、防护层老化、精度偏差、防护性能下降等问题，整体防护及结构稳定性不足，需全面维修。</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三、维修内容</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包括但不限于 ：对所有设备安装结构、高精度型材支架全覆盖巡检排查，并将有问题的支架拆除更换；清除结构表面氧化层、锈蚀、污渍，做抗氧化、耐盐雾防腐处理；修复老化阻燃、防静电、防高温防护层；校正支架安装精度、紧固全部连接结构件，排查结构松动、变形隐患，恢复结构防护性能及安装精度；完善现场施工图纸，确保结构合规可查。</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1948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平米</w:t>
            </w:r>
          </w:p>
        </w:tc>
        <w:tc>
          <w:tcPr>
            <w:tcW w:w="171" w:type="pct"/>
            <w:tcBorders>
              <w:top w:val="nil"/>
              <w:left w:val="nil"/>
              <w:bottom w:val="single" w:color="000000" w:sz="4" w:space="0"/>
              <w:right w:val="single" w:color="000000" w:sz="4" w:space="0"/>
            </w:tcBorders>
            <w:shd w:val="clear" w:color="auto" w:fill="auto"/>
            <w:vAlign w:val="center"/>
          </w:tcPr>
          <w:p w14:paraId="424A5A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152</w:t>
            </w:r>
          </w:p>
        </w:tc>
        <w:tc>
          <w:tcPr>
            <w:tcW w:w="2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115DD">
            <w:pPr>
              <w:jc w:val="left"/>
              <w:rPr>
                <w:rFonts w:hint="eastAsia" w:ascii="宋体" w:hAnsi="宋体" w:eastAsia="宋体" w:cs="宋体"/>
                <w:i w:val="0"/>
                <w:iCs w:val="0"/>
                <w:color w:val="000000"/>
                <w:sz w:val="20"/>
                <w:szCs w:val="20"/>
                <w:u w:val="none"/>
              </w:rPr>
            </w:pPr>
          </w:p>
        </w:tc>
      </w:tr>
      <w:tr w14:paraId="4C66C9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5"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F4EC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14</w:t>
            </w:r>
          </w:p>
        </w:tc>
        <w:tc>
          <w:tcPr>
            <w:tcW w:w="612" w:type="pct"/>
            <w:tcBorders>
              <w:top w:val="nil"/>
              <w:left w:val="nil"/>
              <w:bottom w:val="single" w:color="000000" w:sz="4" w:space="0"/>
              <w:right w:val="single" w:color="000000" w:sz="4" w:space="0"/>
            </w:tcBorders>
            <w:shd w:val="clear" w:color="auto" w:fill="auto"/>
            <w:vAlign w:val="center"/>
          </w:tcPr>
          <w:p w14:paraId="6DA198B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工程布线维护</w:t>
            </w:r>
          </w:p>
        </w:tc>
        <w:tc>
          <w:tcPr>
            <w:tcW w:w="3726" w:type="pct"/>
            <w:tcBorders>
              <w:top w:val="nil"/>
              <w:left w:val="nil"/>
              <w:bottom w:val="single" w:color="000000" w:sz="4" w:space="0"/>
              <w:right w:val="single" w:color="000000" w:sz="4" w:space="0"/>
            </w:tcBorders>
            <w:shd w:val="clear" w:color="auto" w:fill="auto"/>
            <w:vAlign w:val="center"/>
          </w:tcPr>
          <w:p w14:paraId="4E574B7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包括但不限于 ：根据现场情况配齐配全相关材料、线材安装调试完成后，确保与采购人现有系统、平台、终端设备实现无缝对接、稳定兼容、安全运行。</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1BD6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平米</w:t>
            </w:r>
          </w:p>
        </w:tc>
        <w:tc>
          <w:tcPr>
            <w:tcW w:w="171" w:type="pct"/>
            <w:tcBorders>
              <w:top w:val="nil"/>
              <w:left w:val="nil"/>
              <w:bottom w:val="single" w:color="000000" w:sz="4" w:space="0"/>
              <w:right w:val="single" w:color="000000" w:sz="4" w:space="0"/>
            </w:tcBorders>
            <w:shd w:val="clear" w:color="auto" w:fill="auto"/>
            <w:vAlign w:val="center"/>
          </w:tcPr>
          <w:p w14:paraId="698E2A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152</w:t>
            </w:r>
          </w:p>
        </w:tc>
        <w:tc>
          <w:tcPr>
            <w:tcW w:w="2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75841">
            <w:pPr>
              <w:jc w:val="left"/>
              <w:rPr>
                <w:rFonts w:hint="eastAsia" w:ascii="宋体" w:hAnsi="宋体" w:eastAsia="宋体" w:cs="宋体"/>
                <w:i w:val="0"/>
                <w:iCs w:val="0"/>
                <w:color w:val="000000"/>
                <w:sz w:val="20"/>
                <w:szCs w:val="20"/>
                <w:u w:val="none"/>
              </w:rPr>
            </w:pPr>
          </w:p>
        </w:tc>
      </w:tr>
      <w:tr w14:paraId="7B8CE1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1BCA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15</w:t>
            </w:r>
          </w:p>
        </w:tc>
        <w:tc>
          <w:tcPr>
            <w:tcW w:w="612" w:type="pct"/>
            <w:tcBorders>
              <w:top w:val="nil"/>
              <w:left w:val="nil"/>
              <w:bottom w:val="single" w:color="000000" w:sz="4" w:space="0"/>
              <w:right w:val="single" w:color="000000" w:sz="4" w:space="0"/>
            </w:tcBorders>
            <w:shd w:val="clear" w:color="auto" w:fill="auto"/>
            <w:vAlign w:val="center"/>
          </w:tcPr>
          <w:p w14:paraId="449A376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包边装饰维护</w:t>
            </w:r>
          </w:p>
        </w:tc>
        <w:tc>
          <w:tcPr>
            <w:tcW w:w="3726" w:type="pct"/>
            <w:tcBorders>
              <w:top w:val="nil"/>
              <w:left w:val="nil"/>
              <w:bottom w:val="single" w:color="000000" w:sz="4" w:space="0"/>
              <w:right w:val="single" w:color="000000" w:sz="4" w:space="0"/>
            </w:tcBorders>
            <w:shd w:val="clear" w:color="auto" w:fill="auto"/>
            <w:vAlign w:val="center"/>
          </w:tcPr>
          <w:p w14:paraId="30301B9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一、技术参数</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对现场显示屏四周装饰包边进行专项维护翻新、整改优化，整体装饰造型、色调、材质质感需与现场原有墙体装饰风格高度统一，做到整体规整协调、衔接自然、美观一体；包边结构贴合牢固、平整顺直、无变形翘边，适配大屏设备整体装饰效果，满足会场整体美观及标准化展示要求。</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二、现状</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现有显示屏四周包边装饰长期使用，存在表层磨损、局部脱胶、松动翘边、色调暗沉、拼接缝隙不均、装饰风格与墙体不匹配等问题，整体观感杂乱、装饰整体性差，影响会场整体美观度及大屏展示效果，需全面维护整改、翻新优化。</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三、维修内容</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包括但不限于 ：对显示屏四周老旧包边、松动配件、破损装饰层进行全面拆除清理；基层清洁修整、找平处理，去除残留胶体、杂物及不平整部位；按照现场墙体原有装饰风格、色调及材质标准，重新定制、安装、调试大屏四周包边装饰；精细处理拼接缝隙、边角收口、贴合固定，确保包边平整顺直、贴合紧密、无空鼓翘边、无明显缝隙；整体打磨养护、色调校准，保证大屏包边与全屋墙体装饰风格统一、浑然一体，提升整体视觉效果。</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四、质量美观要求</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包边装饰维护完成后，显示屏四周包边平整牢固、边角规整、缝隙均匀、无松动翘边、无破损色差；整体装饰风格、色调质感与墙体完全统一，视觉协调美观、一体性强；施工工艺规范、贴合牢固耐久，满足会场常态化使用及美观验收标准。</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21FC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平米</w:t>
            </w:r>
          </w:p>
        </w:tc>
        <w:tc>
          <w:tcPr>
            <w:tcW w:w="171" w:type="pct"/>
            <w:tcBorders>
              <w:top w:val="nil"/>
              <w:left w:val="nil"/>
              <w:bottom w:val="single" w:color="000000" w:sz="4" w:space="0"/>
              <w:right w:val="single" w:color="000000" w:sz="4" w:space="0"/>
            </w:tcBorders>
            <w:shd w:val="clear" w:color="auto" w:fill="auto"/>
            <w:vAlign w:val="center"/>
          </w:tcPr>
          <w:p w14:paraId="4E2F94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152</w:t>
            </w:r>
          </w:p>
        </w:tc>
        <w:tc>
          <w:tcPr>
            <w:tcW w:w="2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DF7AF">
            <w:pPr>
              <w:jc w:val="left"/>
              <w:rPr>
                <w:rFonts w:hint="eastAsia" w:ascii="宋体" w:hAnsi="宋体" w:eastAsia="宋体" w:cs="宋体"/>
                <w:i w:val="0"/>
                <w:iCs w:val="0"/>
                <w:color w:val="000000"/>
                <w:sz w:val="20"/>
                <w:szCs w:val="20"/>
                <w:u w:val="none"/>
              </w:rPr>
            </w:pPr>
          </w:p>
        </w:tc>
      </w:tr>
      <w:tr w14:paraId="731104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7100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16</w:t>
            </w:r>
          </w:p>
        </w:tc>
        <w:tc>
          <w:tcPr>
            <w:tcW w:w="612" w:type="pct"/>
            <w:tcBorders>
              <w:top w:val="nil"/>
              <w:left w:val="nil"/>
              <w:bottom w:val="single" w:color="000000" w:sz="4" w:space="0"/>
              <w:right w:val="single" w:color="000000" w:sz="4" w:space="0"/>
            </w:tcBorders>
            <w:shd w:val="clear" w:color="auto" w:fill="auto"/>
            <w:vAlign w:val="center"/>
          </w:tcPr>
          <w:p w14:paraId="78A5A23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主动力电缆维护</w:t>
            </w:r>
          </w:p>
        </w:tc>
        <w:tc>
          <w:tcPr>
            <w:tcW w:w="3726" w:type="pct"/>
            <w:tcBorders>
              <w:top w:val="nil"/>
              <w:left w:val="nil"/>
              <w:bottom w:val="single" w:color="000000" w:sz="4" w:space="0"/>
              <w:right w:val="single" w:color="000000" w:sz="4" w:space="0"/>
            </w:tcBorders>
            <w:shd w:val="clear" w:color="auto" w:fill="auto"/>
            <w:vAlign w:val="center"/>
          </w:tcPr>
          <w:p w14:paraId="1677BBA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包括但不限于 ：根据现场情况配齐配全相关材料、线材安装调试完成后，确保与采购人现有系统、平台、终端设备实现无缝对接、稳定兼容、安全运行。</w:t>
            </w:r>
          </w:p>
        </w:tc>
        <w:tc>
          <w:tcPr>
            <w:tcW w:w="134" w:type="pct"/>
            <w:tcBorders>
              <w:top w:val="nil"/>
              <w:left w:val="nil"/>
              <w:bottom w:val="single" w:color="000000" w:sz="4" w:space="0"/>
              <w:right w:val="single" w:color="000000" w:sz="4" w:space="0"/>
            </w:tcBorders>
            <w:shd w:val="clear" w:color="auto" w:fill="auto"/>
            <w:vAlign w:val="center"/>
          </w:tcPr>
          <w:p w14:paraId="76EDAB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米</w:t>
            </w:r>
          </w:p>
        </w:tc>
        <w:tc>
          <w:tcPr>
            <w:tcW w:w="171" w:type="pct"/>
            <w:tcBorders>
              <w:top w:val="nil"/>
              <w:left w:val="nil"/>
              <w:bottom w:val="single" w:color="000000" w:sz="4" w:space="0"/>
              <w:right w:val="single" w:color="000000" w:sz="4" w:space="0"/>
            </w:tcBorders>
            <w:shd w:val="clear" w:color="auto" w:fill="auto"/>
            <w:vAlign w:val="center"/>
          </w:tcPr>
          <w:p w14:paraId="14090C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300</w:t>
            </w:r>
          </w:p>
        </w:tc>
        <w:tc>
          <w:tcPr>
            <w:tcW w:w="2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818F2">
            <w:pPr>
              <w:jc w:val="left"/>
              <w:rPr>
                <w:rFonts w:hint="eastAsia" w:ascii="宋体" w:hAnsi="宋体" w:eastAsia="宋体" w:cs="宋体"/>
                <w:i w:val="0"/>
                <w:iCs w:val="0"/>
                <w:color w:val="000000"/>
                <w:sz w:val="20"/>
                <w:szCs w:val="20"/>
                <w:u w:val="none"/>
              </w:rPr>
            </w:pPr>
          </w:p>
        </w:tc>
      </w:tr>
      <w:tr w14:paraId="0E9731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886A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17</w:t>
            </w:r>
          </w:p>
        </w:tc>
        <w:tc>
          <w:tcPr>
            <w:tcW w:w="612" w:type="pct"/>
            <w:tcBorders>
              <w:top w:val="nil"/>
              <w:left w:val="nil"/>
              <w:bottom w:val="single" w:color="000000" w:sz="4" w:space="0"/>
              <w:right w:val="single" w:color="000000" w:sz="4" w:space="0"/>
            </w:tcBorders>
            <w:shd w:val="clear" w:color="auto" w:fill="auto"/>
            <w:vAlign w:val="center"/>
          </w:tcPr>
          <w:p w14:paraId="4824DBF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LED全彩灯珠巡检维护</w:t>
            </w:r>
          </w:p>
        </w:tc>
        <w:tc>
          <w:tcPr>
            <w:tcW w:w="3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3C87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包括但不限于 ：将原来SMD升级改造成, SMD 1515黑面三合一 (RGB)，亮度≥500cd/㎡，红620-630nm、绿520-530nm、蓝460-470nm</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1D9F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颗</w:t>
            </w:r>
          </w:p>
        </w:tc>
        <w:tc>
          <w:tcPr>
            <w:tcW w:w="171" w:type="pct"/>
            <w:tcBorders>
              <w:top w:val="nil"/>
              <w:left w:val="nil"/>
              <w:bottom w:val="single" w:color="000000" w:sz="4" w:space="0"/>
              <w:right w:val="single" w:color="000000" w:sz="4" w:space="0"/>
            </w:tcBorders>
            <w:shd w:val="clear" w:color="auto" w:fill="auto"/>
            <w:vAlign w:val="center"/>
          </w:tcPr>
          <w:p w14:paraId="5D5527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45516</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BC4E9D">
            <w:pPr>
              <w:jc w:val="left"/>
              <w:rPr>
                <w:rFonts w:hint="eastAsia" w:ascii="宋体" w:hAnsi="宋体" w:eastAsia="宋体" w:cs="宋体"/>
                <w:i w:val="0"/>
                <w:iCs w:val="0"/>
                <w:color w:val="000000"/>
                <w:sz w:val="20"/>
                <w:szCs w:val="20"/>
                <w:u w:val="none"/>
              </w:rPr>
            </w:pPr>
          </w:p>
        </w:tc>
      </w:tr>
      <w:tr w14:paraId="7C796D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9668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18</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CF72A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PCB 线路板巡检维护</w:t>
            </w:r>
          </w:p>
        </w:tc>
        <w:tc>
          <w:tcPr>
            <w:tcW w:w="3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B43A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包括但不限于 ：FR-4 双面/多层喷锡/沉金，厚度1.6mm，规格320×160mm，防氧化抗干扰</w:t>
            </w:r>
          </w:p>
        </w:tc>
        <w:tc>
          <w:tcPr>
            <w:tcW w:w="1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F4B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片</w:t>
            </w:r>
          </w:p>
        </w:tc>
        <w:tc>
          <w:tcPr>
            <w:tcW w:w="171" w:type="pct"/>
            <w:tcBorders>
              <w:top w:val="single" w:color="000000" w:sz="4" w:space="0"/>
              <w:left w:val="single" w:color="000000" w:sz="4" w:space="0"/>
              <w:bottom w:val="single" w:color="000000" w:sz="4" w:space="0"/>
              <w:right w:val="nil"/>
            </w:tcBorders>
            <w:shd w:val="clear" w:color="auto" w:fill="auto"/>
            <w:noWrap/>
            <w:vAlign w:val="center"/>
          </w:tcPr>
          <w:p w14:paraId="5B47BF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3155</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1834B8">
            <w:pPr>
              <w:jc w:val="left"/>
              <w:rPr>
                <w:rFonts w:hint="eastAsia" w:ascii="宋体" w:hAnsi="宋体" w:eastAsia="宋体" w:cs="宋体"/>
                <w:i w:val="0"/>
                <w:iCs w:val="0"/>
                <w:color w:val="000000"/>
                <w:sz w:val="20"/>
                <w:szCs w:val="20"/>
                <w:u w:val="none"/>
              </w:rPr>
            </w:pPr>
          </w:p>
        </w:tc>
      </w:tr>
      <w:tr w14:paraId="7AAB17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A0BA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19</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08248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恒流驱动 IC巡检维护</w:t>
            </w:r>
          </w:p>
        </w:tc>
        <w:tc>
          <w:tcPr>
            <w:tcW w:w="3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FC11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包括但不限于 ：SM16386/DP3364，支持4K@60Hz，低功耗，精准控光</w:t>
            </w:r>
          </w:p>
        </w:tc>
        <w:tc>
          <w:tcPr>
            <w:tcW w:w="1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712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颗</w:t>
            </w:r>
          </w:p>
        </w:tc>
        <w:tc>
          <w:tcPr>
            <w:tcW w:w="171" w:type="pct"/>
            <w:tcBorders>
              <w:top w:val="single" w:color="000000" w:sz="4" w:space="0"/>
              <w:left w:val="single" w:color="000000" w:sz="4" w:space="0"/>
              <w:bottom w:val="single" w:color="000000" w:sz="4" w:space="0"/>
              <w:right w:val="nil"/>
            </w:tcBorders>
            <w:shd w:val="clear" w:color="auto" w:fill="auto"/>
            <w:noWrap/>
            <w:vAlign w:val="center"/>
          </w:tcPr>
          <w:p w14:paraId="3A8207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207960</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BDD7DB">
            <w:pPr>
              <w:jc w:val="left"/>
              <w:rPr>
                <w:rFonts w:hint="eastAsia" w:ascii="宋体" w:hAnsi="宋体" w:eastAsia="宋体" w:cs="宋体"/>
                <w:i w:val="0"/>
                <w:iCs w:val="0"/>
                <w:color w:val="000000"/>
                <w:sz w:val="20"/>
                <w:szCs w:val="20"/>
                <w:u w:val="none"/>
              </w:rPr>
            </w:pPr>
          </w:p>
        </w:tc>
      </w:tr>
      <w:tr w14:paraId="1D5874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AEA7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20</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3720E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行驱动 MOS管巡检维护</w:t>
            </w:r>
          </w:p>
        </w:tc>
        <w:tc>
          <w:tcPr>
            <w:tcW w:w="3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A1B1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包括但不限于 ：4953 (双P沟道)，用于行扫描开关，适配1.86mm间距驱动需求</w:t>
            </w:r>
          </w:p>
        </w:tc>
        <w:tc>
          <w:tcPr>
            <w:tcW w:w="1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326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颗</w:t>
            </w:r>
          </w:p>
        </w:tc>
        <w:tc>
          <w:tcPr>
            <w:tcW w:w="171" w:type="pct"/>
            <w:tcBorders>
              <w:top w:val="single" w:color="000000" w:sz="4" w:space="0"/>
              <w:left w:val="single" w:color="000000" w:sz="4" w:space="0"/>
              <w:bottom w:val="single" w:color="000000" w:sz="4" w:space="0"/>
              <w:right w:val="nil"/>
            </w:tcBorders>
            <w:shd w:val="clear" w:color="auto" w:fill="auto"/>
            <w:noWrap/>
            <w:vAlign w:val="center"/>
          </w:tcPr>
          <w:p w14:paraId="2F1FAE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27044</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D4ED3C">
            <w:pPr>
              <w:jc w:val="left"/>
              <w:rPr>
                <w:rFonts w:hint="eastAsia" w:ascii="宋体" w:hAnsi="宋体" w:eastAsia="宋体" w:cs="宋体"/>
                <w:i w:val="0"/>
                <w:iCs w:val="0"/>
                <w:color w:val="000000"/>
                <w:sz w:val="20"/>
                <w:szCs w:val="20"/>
                <w:u w:val="none"/>
              </w:rPr>
            </w:pPr>
          </w:p>
        </w:tc>
      </w:tr>
      <w:tr w14:paraId="260873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644E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21</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D7ABA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译码芯片巡检维护</w:t>
            </w:r>
          </w:p>
        </w:tc>
        <w:tc>
          <w:tcPr>
            <w:tcW w:w="3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6D80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包括但不限于 ：HX6158，地址选通控制，适配模组电路</w:t>
            </w:r>
          </w:p>
        </w:tc>
        <w:tc>
          <w:tcPr>
            <w:tcW w:w="1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A85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颗</w:t>
            </w:r>
          </w:p>
        </w:tc>
        <w:tc>
          <w:tcPr>
            <w:tcW w:w="171" w:type="pct"/>
            <w:tcBorders>
              <w:top w:val="single" w:color="000000" w:sz="4" w:space="0"/>
              <w:left w:val="single" w:color="000000" w:sz="4" w:space="0"/>
              <w:bottom w:val="single" w:color="000000" w:sz="4" w:space="0"/>
              <w:right w:val="nil"/>
            </w:tcBorders>
            <w:shd w:val="clear" w:color="auto" w:fill="auto"/>
            <w:noWrap/>
            <w:vAlign w:val="center"/>
          </w:tcPr>
          <w:p w14:paraId="204FD2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27044</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DCBBE9">
            <w:pPr>
              <w:jc w:val="left"/>
              <w:rPr>
                <w:rFonts w:hint="eastAsia" w:ascii="宋体" w:hAnsi="宋体" w:eastAsia="宋体" w:cs="宋体"/>
                <w:i w:val="0"/>
                <w:iCs w:val="0"/>
                <w:color w:val="000000"/>
                <w:sz w:val="20"/>
                <w:szCs w:val="20"/>
                <w:u w:val="none"/>
              </w:rPr>
            </w:pPr>
          </w:p>
        </w:tc>
      </w:tr>
      <w:tr w14:paraId="14E7D5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369E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22</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C3388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缓冲芯片巡检维护</w:t>
            </w:r>
          </w:p>
        </w:tc>
        <w:tc>
          <w:tcPr>
            <w:tcW w:w="3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48D3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包括但不限于 ：HX6158，信号增强、抗干扰，保障显示稳定</w:t>
            </w:r>
          </w:p>
        </w:tc>
        <w:tc>
          <w:tcPr>
            <w:tcW w:w="1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F13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颗</w:t>
            </w:r>
          </w:p>
        </w:tc>
        <w:tc>
          <w:tcPr>
            <w:tcW w:w="171" w:type="pct"/>
            <w:tcBorders>
              <w:top w:val="single" w:color="000000" w:sz="4" w:space="0"/>
              <w:left w:val="single" w:color="000000" w:sz="4" w:space="0"/>
              <w:bottom w:val="single" w:color="000000" w:sz="4" w:space="0"/>
              <w:right w:val="nil"/>
            </w:tcBorders>
            <w:shd w:val="clear" w:color="auto" w:fill="auto"/>
            <w:noWrap/>
            <w:vAlign w:val="center"/>
          </w:tcPr>
          <w:p w14:paraId="7F77F2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27044</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5145EF">
            <w:pPr>
              <w:jc w:val="left"/>
              <w:rPr>
                <w:rFonts w:hint="eastAsia" w:ascii="宋体" w:hAnsi="宋体" w:eastAsia="宋体" w:cs="宋体"/>
                <w:i w:val="0"/>
                <w:iCs w:val="0"/>
                <w:color w:val="000000"/>
                <w:sz w:val="20"/>
                <w:szCs w:val="20"/>
                <w:u w:val="none"/>
              </w:rPr>
            </w:pPr>
          </w:p>
        </w:tc>
      </w:tr>
      <w:tr w14:paraId="2BF761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3074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23</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69C1A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贴片电阻巡检维护</w:t>
            </w:r>
          </w:p>
        </w:tc>
        <w:tc>
          <w:tcPr>
            <w:tcW w:w="3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45A9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包括但不限于 ：0402/0603 多阻值混装（100</w:t>
            </w:r>
            <w:r>
              <w:rPr>
                <w:rFonts w:ascii="Calibri" w:hAnsi="Calibri" w:eastAsia="宋体" w:cs="Calibri"/>
                <w:i w:val="0"/>
                <w:iCs w:val="0"/>
                <w:snapToGrid w:val="0"/>
                <w:color w:val="000000"/>
                <w:kern w:val="0"/>
                <w:sz w:val="20"/>
                <w:szCs w:val="20"/>
                <w:u w:val="none"/>
                <w:lang w:val="en-US" w:eastAsia="zh-CN" w:bidi="ar"/>
              </w:rPr>
              <w:t>Ω</w:t>
            </w:r>
            <w:r>
              <w:rPr>
                <w:rFonts w:hint="eastAsia" w:ascii="宋体" w:hAnsi="宋体" w:eastAsia="宋体" w:cs="宋体"/>
                <w:i w:val="0"/>
                <w:iCs w:val="0"/>
                <w:snapToGrid w:val="0"/>
                <w:color w:val="000000"/>
                <w:kern w:val="0"/>
                <w:sz w:val="20"/>
                <w:szCs w:val="20"/>
                <w:u w:val="none"/>
                <w:lang w:val="en-US" w:eastAsia="zh-CN" w:bidi="ar"/>
              </w:rPr>
              <w:t>、1k</w:t>
            </w:r>
            <w:r>
              <w:rPr>
                <w:rFonts w:ascii="Calibri" w:hAnsi="Calibri" w:eastAsia="宋体" w:cs="Calibri"/>
                <w:i w:val="0"/>
                <w:iCs w:val="0"/>
                <w:snapToGrid w:val="0"/>
                <w:color w:val="000000"/>
                <w:kern w:val="0"/>
                <w:sz w:val="20"/>
                <w:szCs w:val="20"/>
                <w:u w:val="none"/>
                <w:lang w:val="en-US" w:eastAsia="zh-CN" w:bidi="ar"/>
              </w:rPr>
              <w:t>Ω</w:t>
            </w:r>
            <w:r>
              <w:rPr>
                <w:rFonts w:hint="eastAsia" w:ascii="宋体" w:hAnsi="宋体" w:eastAsia="宋体" w:cs="宋体"/>
                <w:i w:val="0"/>
                <w:iCs w:val="0"/>
                <w:snapToGrid w:val="0"/>
                <w:color w:val="000000"/>
                <w:kern w:val="0"/>
                <w:sz w:val="20"/>
                <w:szCs w:val="20"/>
                <w:u w:val="none"/>
                <w:lang w:val="en-US" w:eastAsia="zh-CN" w:bidi="ar"/>
              </w:rPr>
              <w:t>、10k</w:t>
            </w:r>
            <w:r>
              <w:rPr>
                <w:rFonts w:ascii="Calibri" w:hAnsi="Calibri" w:eastAsia="宋体" w:cs="Calibri"/>
                <w:i w:val="0"/>
                <w:iCs w:val="0"/>
                <w:snapToGrid w:val="0"/>
                <w:color w:val="000000"/>
                <w:kern w:val="0"/>
                <w:sz w:val="20"/>
                <w:szCs w:val="20"/>
                <w:u w:val="none"/>
                <w:lang w:val="en-US" w:eastAsia="zh-CN" w:bidi="ar"/>
              </w:rPr>
              <w:t>Ω</w:t>
            </w:r>
            <w:r>
              <w:rPr>
                <w:rFonts w:hint="eastAsia" w:ascii="宋体" w:hAnsi="宋体" w:eastAsia="宋体" w:cs="宋体"/>
                <w:i w:val="0"/>
                <w:iCs w:val="0"/>
                <w:snapToGrid w:val="0"/>
                <w:color w:val="000000"/>
                <w:kern w:val="0"/>
                <w:sz w:val="20"/>
                <w:szCs w:val="20"/>
                <w:u w:val="none"/>
                <w:lang w:val="en-US" w:eastAsia="zh-CN" w:bidi="ar"/>
              </w:rPr>
              <w:t>等），限流、分压</w:t>
            </w:r>
          </w:p>
        </w:tc>
        <w:tc>
          <w:tcPr>
            <w:tcW w:w="1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8DC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颗</w:t>
            </w:r>
          </w:p>
        </w:tc>
        <w:tc>
          <w:tcPr>
            <w:tcW w:w="171" w:type="pct"/>
            <w:tcBorders>
              <w:top w:val="single" w:color="000000" w:sz="4" w:space="0"/>
              <w:left w:val="single" w:color="000000" w:sz="4" w:space="0"/>
              <w:bottom w:val="single" w:color="000000" w:sz="4" w:space="0"/>
              <w:right w:val="nil"/>
            </w:tcBorders>
            <w:shd w:val="clear" w:color="auto" w:fill="auto"/>
            <w:noWrap/>
            <w:vAlign w:val="center"/>
          </w:tcPr>
          <w:p w14:paraId="21318D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27044</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BC3AA9">
            <w:pPr>
              <w:jc w:val="left"/>
              <w:rPr>
                <w:rFonts w:hint="eastAsia" w:ascii="宋体" w:hAnsi="宋体" w:eastAsia="宋体" w:cs="宋体"/>
                <w:i w:val="0"/>
                <w:iCs w:val="0"/>
                <w:color w:val="000000"/>
                <w:sz w:val="20"/>
                <w:szCs w:val="20"/>
                <w:u w:val="none"/>
              </w:rPr>
            </w:pPr>
          </w:p>
        </w:tc>
      </w:tr>
      <w:tr w14:paraId="6E5873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ADF9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24</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324E1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贴片电容巡检维护</w:t>
            </w:r>
          </w:p>
        </w:tc>
        <w:tc>
          <w:tcPr>
            <w:tcW w:w="3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D4CB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包括但不限于 ：0402/0603 104(0.1</w:t>
            </w:r>
            <w:r>
              <w:rPr>
                <w:rFonts w:ascii="Calibri" w:hAnsi="Calibri" w:eastAsia="宋体" w:cs="Calibri"/>
                <w:i w:val="0"/>
                <w:iCs w:val="0"/>
                <w:snapToGrid w:val="0"/>
                <w:color w:val="000000"/>
                <w:kern w:val="0"/>
                <w:sz w:val="20"/>
                <w:szCs w:val="20"/>
                <w:u w:val="none"/>
                <w:lang w:val="en-US" w:eastAsia="zh-CN" w:bidi="ar"/>
              </w:rPr>
              <w:t>μ</w:t>
            </w:r>
            <w:r>
              <w:rPr>
                <w:rFonts w:hint="eastAsia" w:ascii="宋体" w:hAnsi="宋体" w:eastAsia="宋体" w:cs="宋体"/>
                <w:i w:val="0"/>
                <w:iCs w:val="0"/>
                <w:snapToGrid w:val="0"/>
                <w:color w:val="000000"/>
                <w:kern w:val="0"/>
                <w:sz w:val="20"/>
                <w:szCs w:val="20"/>
                <w:u w:val="none"/>
                <w:lang w:val="en-US" w:eastAsia="zh-CN" w:bidi="ar"/>
              </w:rPr>
              <w:t>F) 为主，滤波、稳压，耐高温</w:t>
            </w:r>
          </w:p>
        </w:tc>
        <w:tc>
          <w:tcPr>
            <w:tcW w:w="1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35A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颗</w:t>
            </w:r>
          </w:p>
        </w:tc>
        <w:tc>
          <w:tcPr>
            <w:tcW w:w="171" w:type="pct"/>
            <w:tcBorders>
              <w:top w:val="single" w:color="000000" w:sz="4" w:space="0"/>
              <w:left w:val="single" w:color="000000" w:sz="4" w:space="0"/>
              <w:bottom w:val="single" w:color="000000" w:sz="4" w:space="0"/>
              <w:right w:val="nil"/>
            </w:tcBorders>
            <w:shd w:val="clear" w:color="auto" w:fill="auto"/>
            <w:noWrap/>
            <w:vAlign w:val="center"/>
          </w:tcPr>
          <w:p w14:paraId="14C15C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27044</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0A28D4">
            <w:pPr>
              <w:jc w:val="left"/>
              <w:rPr>
                <w:rFonts w:hint="eastAsia" w:ascii="宋体" w:hAnsi="宋体" w:eastAsia="宋体" w:cs="宋体"/>
                <w:i w:val="0"/>
                <w:iCs w:val="0"/>
                <w:color w:val="000000"/>
                <w:sz w:val="20"/>
                <w:szCs w:val="20"/>
                <w:u w:val="none"/>
              </w:rPr>
            </w:pPr>
          </w:p>
        </w:tc>
      </w:tr>
      <w:tr w14:paraId="767C8D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362A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25</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D7132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磁珠巡检维护</w:t>
            </w:r>
          </w:p>
        </w:tc>
        <w:tc>
          <w:tcPr>
            <w:tcW w:w="3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117F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包括但不限于 ：0402规格，滤除高频干扰</w:t>
            </w:r>
          </w:p>
        </w:tc>
        <w:tc>
          <w:tcPr>
            <w:tcW w:w="1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346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颗</w:t>
            </w:r>
          </w:p>
        </w:tc>
        <w:tc>
          <w:tcPr>
            <w:tcW w:w="171" w:type="pct"/>
            <w:tcBorders>
              <w:top w:val="single" w:color="000000" w:sz="4" w:space="0"/>
              <w:left w:val="single" w:color="000000" w:sz="4" w:space="0"/>
              <w:bottom w:val="single" w:color="000000" w:sz="4" w:space="0"/>
              <w:right w:val="nil"/>
            </w:tcBorders>
            <w:shd w:val="clear" w:color="auto" w:fill="auto"/>
            <w:noWrap/>
            <w:vAlign w:val="center"/>
          </w:tcPr>
          <w:p w14:paraId="31357E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27044</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2D8905">
            <w:pPr>
              <w:jc w:val="left"/>
              <w:rPr>
                <w:rFonts w:hint="eastAsia" w:ascii="宋体" w:hAnsi="宋体" w:eastAsia="宋体" w:cs="宋体"/>
                <w:i w:val="0"/>
                <w:iCs w:val="0"/>
                <w:color w:val="000000"/>
                <w:sz w:val="20"/>
                <w:szCs w:val="20"/>
                <w:u w:val="none"/>
              </w:rPr>
            </w:pPr>
          </w:p>
        </w:tc>
      </w:tr>
      <w:tr w14:paraId="7BBEB3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8E83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26</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F4093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信号接口巡检维护</w:t>
            </w:r>
          </w:p>
        </w:tc>
        <w:tc>
          <w:tcPr>
            <w:tcW w:w="3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16EBB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包括但不限于 ：HDR8P 牛角座(母座)，DVI信号传输，适配模组</w:t>
            </w:r>
          </w:p>
        </w:tc>
        <w:tc>
          <w:tcPr>
            <w:tcW w:w="1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DEE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c>
          <w:tcPr>
            <w:tcW w:w="171" w:type="pct"/>
            <w:tcBorders>
              <w:top w:val="single" w:color="000000" w:sz="4" w:space="0"/>
              <w:left w:val="single" w:color="000000" w:sz="4" w:space="0"/>
              <w:bottom w:val="single" w:color="000000" w:sz="4" w:space="0"/>
              <w:right w:val="nil"/>
            </w:tcBorders>
            <w:shd w:val="clear" w:color="auto" w:fill="auto"/>
            <w:noWrap/>
            <w:vAlign w:val="center"/>
          </w:tcPr>
          <w:p w14:paraId="6B7C3E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2458</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78190B">
            <w:pPr>
              <w:jc w:val="left"/>
              <w:rPr>
                <w:rFonts w:hint="eastAsia" w:ascii="宋体" w:hAnsi="宋体" w:eastAsia="宋体" w:cs="宋体"/>
                <w:i w:val="0"/>
                <w:iCs w:val="0"/>
                <w:color w:val="000000"/>
                <w:sz w:val="20"/>
                <w:szCs w:val="20"/>
                <w:u w:val="none"/>
              </w:rPr>
            </w:pPr>
          </w:p>
        </w:tc>
      </w:tr>
      <w:tr w14:paraId="6C6C18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4B0E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27</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E68C7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电源接口巡检维护</w:t>
            </w:r>
          </w:p>
        </w:tc>
        <w:tc>
          <w:tcPr>
            <w:tcW w:w="3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4AC28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包括但不限于 ：VH3.96-4P，供电接口，适配模组供电需求，防脱落</w:t>
            </w:r>
          </w:p>
        </w:tc>
        <w:tc>
          <w:tcPr>
            <w:tcW w:w="1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C3C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c>
          <w:tcPr>
            <w:tcW w:w="171" w:type="pct"/>
            <w:tcBorders>
              <w:top w:val="single" w:color="000000" w:sz="4" w:space="0"/>
              <w:left w:val="single" w:color="000000" w:sz="4" w:space="0"/>
              <w:bottom w:val="single" w:color="000000" w:sz="4" w:space="0"/>
              <w:right w:val="nil"/>
            </w:tcBorders>
            <w:shd w:val="clear" w:color="auto" w:fill="auto"/>
            <w:noWrap/>
            <w:vAlign w:val="center"/>
          </w:tcPr>
          <w:p w14:paraId="2CAA2B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2458</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0E639B">
            <w:pPr>
              <w:jc w:val="left"/>
              <w:rPr>
                <w:rFonts w:hint="eastAsia" w:ascii="宋体" w:hAnsi="宋体" w:eastAsia="宋体" w:cs="宋体"/>
                <w:i w:val="0"/>
                <w:iCs w:val="0"/>
                <w:color w:val="000000"/>
                <w:sz w:val="20"/>
                <w:szCs w:val="20"/>
                <w:u w:val="none"/>
              </w:rPr>
            </w:pPr>
          </w:p>
        </w:tc>
      </w:tr>
      <w:tr w14:paraId="08C43D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7A24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28</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8F17D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8P灰排线巡检维护</w:t>
            </w:r>
          </w:p>
        </w:tc>
        <w:tc>
          <w:tcPr>
            <w:tcW w:w="3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FC6CE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包括但不限于 ：纯铜材质，8芯，抗干扰，长度20cm，用于模组级联信号传输</w:t>
            </w:r>
          </w:p>
        </w:tc>
        <w:tc>
          <w:tcPr>
            <w:tcW w:w="1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C02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根</w:t>
            </w:r>
          </w:p>
        </w:tc>
        <w:tc>
          <w:tcPr>
            <w:tcW w:w="171" w:type="pct"/>
            <w:tcBorders>
              <w:top w:val="single" w:color="000000" w:sz="4" w:space="0"/>
              <w:left w:val="single" w:color="000000" w:sz="4" w:space="0"/>
              <w:bottom w:val="single" w:color="000000" w:sz="4" w:space="0"/>
              <w:right w:val="nil"/>
            </w:tcBorders>
            <w:shd w:val="clear" w:color="auto" w:fill="auto"/>
            <w:noWrap/>
            <w:vAlign w:val="center"/>
          </w:tcPr>
          <w:p w14:paraId="1EE634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2458</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FBC721">
            <w:pPr>
              <w:jc w:val="left"/>
              <w:rPr>
                <w:rFonts w:hint="eastAsia" w:ascii="宋体" w:hAnsi="宋体" w:eastAsia="宋体" w:cs="宋体"/>
                <w:i w:val="0"/>
                <w:iCs w:val="0"/>
                <w:color w:val="000000"/>
                <w:sz w:val="20"/>
                <w:szCs w:val="20"/>
                <w:u w:val="none"/>
              </w:rPr>
            </w:pPr>
          </w:p>
        </w:tc>
      </w:tr>
      <w:tr w14:paraId="195B79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02F8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29</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A3ADE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电源连接线巡检维护</w:t>
            </w:r>
          </w:p>
        </w:tc>
        <w:tc>
          <w:tcPr>
            <w:tcW w:w="3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895D4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包括但不限于 ：纯铜芯，线径1.5mm²，长度30cm，适配模组供电</w:t>
            </w:r>
          </w:p>
        </w:tc>
        <w:tc>
          <w:tcPr>
            <w:tcW w:w="1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C0F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根</w:t>
            </w:r>
          </w:p>
        </w:tc>
        <w:tc>
          <w:tcPr>
            <w:tcW w:w="1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43D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2458</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CBE0A5">
            <w:pPr>
              <w:jc w:val="left"/>
              <w:rPr>
                <w:rFonts w:hint="eastAsia" w:ascii="宋体" w:hAnsi="宋体" w:eastAsia="宋体" w:cs="宋体"/>
                <w:i w:val="0"/>
                <w:iCs w:val="0"/>
                <w:color w:val="000000"/>
                <w:sz w:val="20"/>
                <w:szCs w:val="20"/>
                <w:u w:val="none"/>
              </w:rPr>
            </w:pPr>
          </w:p>
        </w:tc>
      </w:tr>
      <w:tr w14:paraId="3B6732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0F2E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30</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E0F72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LED接收卡巡检维护</w:t>
            </w:r>
          </w:p>
        </w:tc>
        <w:tc>
          <w:tcPr>
            <w:tcW w:w="3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BF5D9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包括但不限于 ：单卡最大带载512×384像素，支持24组RGB并行数据，逐点亮色度校正</w:t>
            </w:r>
          </w:p>
        </w:tc>
        <w:tc>
          <w:tcPr>
            <w:tcW w:w="1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B66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张</w:t>
            </w:r>
          </w:p>
        </w:tc>
        <w:tc>
          <w:tcPr>
            <w:tcW w:w="1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2B1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122</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0C22F8">
            <w:pPr>
              <w:jc w:val="left"/>
              <w:rPr>
                <w:rFonts w:hint="eastAsia" w:ascii="宋体" w:hAnsi="宋体" w:eastAsia="宋体" w:cs="宋体"/>
                <w:i w:val="0"/>
                <w:iCs w:val="0"/>
                <w:color w:val="000000"/>
                <w:sz w:val="20"/>
                <w:szCs w:val="20"/>
                <w:u w:val="none"/>
              </w:rPr>
            </w:pPr>
          </w:p>
        </w:tc>
      </w:tr>
      <w:tr w14:paraId="57E185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6CF5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31</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679D2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LED专用电源巡检维护</w:t>
            </w:r>
          </w:p>
        </w:tc>
        <w:tc>
          <w:tcPr>
            <w:tcW w:w="3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67603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包括但不限于 ：200W，输入176～264VAC，输出5V-24V，效率≥86%，短路保护</w:t>
            </w:r>
          </w:p>
        </w:tc>
        <w:tc>
          <w:tcPr>
            <w:tcW w:w="1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17B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台</w:t>
            </w:r>
          </w:p>
        </w:tc>
        <w:tc>
          <w:tcPr>
            <w:tcW w:w="1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93A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410</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E395E7">
            <w:pPr>
              <w:jc w:val="left"/>
              <w:rPr>
                <w:rFonts w:hint="eastAsia" w:ascii="宋体" w:hAnsi="宋体" w:eastAsia="宋体" w:cs="宋体"/>
                <w:i w:val="0"/>
                <w:iCs w:val="0"/>
                <w:color w:val="000000"/>
                <w:sz w:val="20"/>
                <w:szCs w:val="20"/>
                <w:u w:val="none"/>
              </w:rPr>
            </w:pPr>
          </w:p>
        </w:tc>
      </w:tr>
      <w:tr w14:paraId="433108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1332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32</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E9A97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LED配套件巡检维护</w:t>
            </w:r>
          </w:p>
        </w:tc>
        <w:tc>
          <w:tcPr>
            <w:tcW w:w="3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4D3D2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包括但不限于 ：维护保养过程中，使用的配套件，包括但不限于：面罩、底壳、固定配件、紧固件、导热胶/高温双面胶、标识标签、密封胶等，配套件需与主体配套。</w:t>
            </w:r>
          </w:p>
        </w:tc>
        <w:tc>
          <w:tcPr>
            <w:tcW w:w="1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122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片</w:t>
            </w:r>
          </w:p>
        </w:tc>
        <w:tc>
          <w:tcPr>
            <w:tcW w:w="1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4B8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1389</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541D3B">
            <w:pPr>
              <w:jc w:val="left"/>
              <w:rPr>
                <w:rFonts w:hint="eastAsia" w:ascii="宋体" w:hAnsi="宋体" w:eastAsia="宋体" w:cs="宋体"/>
                <w:i w:val="0"/>
                <w:iCs w:val="0"/>
                <w:color w:val="000000"/>
                <w:sz w:val="20"/>
                <w:szCs w:val="20"/>
                <w:u w:val="none"/>
              </w:rPr>
            </w:pPr>
          </w:p>
        </w:tc>
      </w:tr>
      <w:tr w14:paraId="177183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0D0C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33</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FE7C7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拆除</w:t>
            </w:r>
          </w:p>
        </w:tc>
        <w:tc>
          <w:tcPr>
            <w:tcW w:w="3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61325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包括但不限于 ：拆除工作将结合现场实际情况实施，确保拆除后系统与采购人现有平台、终端设备及相关系统实现无缝对接、稳定兼容、安全运行。</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5957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项</w:t>
            </w:r>
          </w:p>
        </w:tc>
        <w:tc>
          <w:tcPr>
            <w:tcW w:w="1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21BA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2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EDC8B">
            <w:pPr>
              <w:jc w:val="left"/>
              <w:rPr>
                <w:rFonts w:hint="eastAsia" w:ascii="宋体" w:hAnsi="宋体" w:eastAsia="宋体" w:cs="宋体"/>
                <w:i w:val="0"/>
                <w:iCs w:val="0"/>
                <w:color w:val="000000"/>
                <w:sz w:val="20"/>
                <w:szCs w:val="20"/>
                <w:u w:val="none"/>
              </w:rPr>
            </w:pPr>
          </w:p>
        </w:tc>
      </w:tr>
      <w:tr w14:paraId="0FA4D3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0A18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34</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DFF11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安装调试</w:t>
            </w:r>
          </w:p>
        </w:tc>
        <w:tc>
          <w:tcPr>
            <w:tcW w:w="3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8468C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包括但不限于 ：安装调试将结合现场实际情况组织实施，施工完成后确保与采购人现有系统、平台及终端设备实现无缝对接、稳定兼容、安全运行。</w:t>
            </w:r>
          </w:p>
        </w:tc>
        <w:tc>
          <w:tcPr>
            <w:tcW w:w="1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16C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项</w:t>
            </w:r>
          </w:p>
        </w:tc>
        <w:tc>
          <w:tcPr>
            <w:tcW w:w="1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476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2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DAEED">
            <w:pPr>
              <w:jc w:val="left"/>
              <w:rPr>
                <w:rFonts w:hint="eastAsia" w:ascii="宋体" w:hAnsi="宋体" w:eastAsia="宋体" w:cs="宋体"/>
                <w:i w:val="0"/>
                <w:iCs w:val="0"/>
                <w:color w:val="000000"/>
                <w:sz w:val="20"/>
                <w:szCs w:val="20"/>
                <w:u w:val="none"/>
              </w:rPr>
            </w:pPr>
          </w:p>
        </w:tc>
      </w:tr>
      <w:tr w14:paraId="25D6E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8"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88D8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35</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88EB8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原LED大屏处理器软件延保升级</w:t>
            </w:r>
          </w:p>
        </w:tc>
        <w:tc>
          <w:tcPr>
            <w:tcW w:w="3726" w:type="pct"/>
            <w:tcBorders>
              <w:top w:val="single" w:color="000000" w:sz="4" w:space="0"/>
              <w:left w:val="single" w:color="000000" w:sz="4" w:space="0"/>
              <w:bottom w:val="single" w:color="000000" w:sz="4" w:space="0"/>
              <w:right w:val="single" w:color="000000" w:sz="4" w:space="0"/>
            </w:tcBorders>
            <w:shd w:val="clear" w:color="auto" w:fill="auto"/>
            <w:vAlign w:val="top"/>
          </w:tcPr>
          <w:p w14:paraId="42282FBA">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包括但不限于 ：</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1.提供2名专业技术人员现场保障；</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2.免费提供技术咨询及现场操作培训服务；</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3.免费提供系统控制软件版本升级服务；</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4.针对用户提出的对原 LED 显示屏硬件维护、处理器硬件维护，软件模块新增及升级更新需求，将在技术、商务、人力等各方面全力配合与支持，确保满足实际使用要求。</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5.提供7×24 小时 400 服务热线，并配备 1 名专职技术人员为甲方提供 7×24 小时大屏系统技术支持；</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6.系统突发故障时及时响应，接到报修电话后立即响应，并 2 小时内抵达现场；</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7.一般故障在0.5 个工作日内排除（人为损坏除外），并出具维护单据，经甲方签字确认。</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8.★以上7条须提供承诺涵</w:t>
            </w:r>
          </w:p>
        </w:tc>
        <w:tc>
          <w:tcPr>
            <w:tcW w:w="1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AA1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年</w:t>
            </w:r>
          </w:p>
        </w:tc>
        <w:tc>
          <w:tcPr>
            <w:tcW w:w="1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99C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ACBE05">
            <w:pPr>
              <w:jc w:val="left"/>
              <w:rPr>
                <w:rFonts w:hint="eastAsia" w:ascii="宋体" w:hAnsi="宋体" w:eastAsia="宋体" w:cs="宋体"/>
                <w:i w:val="0"/>
                <w:iCs w:val="0"/>
                <w:color w:val="000000"/>
                <w:sz w:val="20"/>
                <w:szCs w:val="20"/>
                <w:u w:val="none"/>
              </w:rPr>
            </w:pPr>
          </w:p>
        </w:tc>
      </w:tr>
      <w:tr w14:paraId="0FE68B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8"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C563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36</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A1E3E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备品备件</w:t>
            </w:r>
          </w:p>
        </w:tc>
        <w:tc>
          <w:tcPr>
            <w:tcW w:w="3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55901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包括但不限于 ：乙方须配齐满足现场正常运行所需的系统设备配件，并在甲方现场配备相应备用设备；同时免费提供适配现场使用环境的定制化软件维护、功能新增及版本升级服务。</w:t>
            </w:r>
          </w:p>
        </w:tc>
        <w:tc>
          <w:tcPr>
            <w:tcW w:w="1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B79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年</w:t>
            </w:r>
          </w:p>
        </w:tc>
        <w:tc>
          <w:tcPr>
            <w:tcW w:w="1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0FC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w:t>
            </w:r>
          </w:p>
        </w:tc>
        <w:tc>
          <w:tcPr>
            <w:tcW w:w="223" w:type="pct"/>
            <w:tcBorders>
              <w:top w:val="single" w:color="000000" w:sz="4" w:space="0"/>
              <w:left w:val="single" w:color="000000" w:sz="4" w:space="0"/>
              <w:bottom w:val="nil"/>
              <w:right w:val="single" w:color="000000" w:sz="4" w:space="0"/>
            </w:tcBorders>
            <w:shd w:val="clear" w:color="auto" w:fill="auto"/>
            <w:vAlign w:val="center"/>
          </w:tcPr>
          <w:p w14:paraId="326FC373">
            <w:pPr>
              <w:jc w:val="left"/>
              <w:rPr>
                <w:rFonts w:hint="eastAsia" w:ascii="宋体" w:hAnsi="宋体" w:eastAsia="宋体" w:cs="宋体"/>
                <w:i w:val="0"/>
                <w:iCs w:val="0"/>
                <w:color w:val="000000"/>
                <w:sz w:val="20"/>
                <w:szCs w:val="20"/>
                <w:u w:val="none"/>
              </w:rPr>
            </w:pPr>
          </w:p>
        </w:tc>
      </w:tr>
      <w:tr w14:paraId="7BAA22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3F6B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37</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75A46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LED染色灯灯珠</w:t>
            </w:r>
          </w:p>
        </w:tc>
        <w:tc>
          <w:tcPr>
            <w:tcW w:w="3726" w:type="pct"/>
            <w:tcBorders>
              <w:top w:val="single" w:color="000000" w:sz="4" w:space="0"/>
              <w:left w:val="single" w:color="000000" w:sz="4" w:space="0"/>
              <w:bottom w:val="single" w:color="000000" w:sz="4" w:space="0"/>
              <w:right w:val="single" w:color="000000" w:sz="4" w:space="0"/>
            </w:tcBorders>
            <w:shd w:val="clear" w:color="auto" w:fill="auto"/>
            <w:vAlign w:val="top"/>
          </w:tcPr>
          <w:p w14:paraId="7BF0AA83">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包括但不限于 ：3W RGBW LED (R12, R14, B14, W14)配件</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A543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颗</w:t>
            </w:r>
          </w:p>
        </w:tc>
        <w:tc>
          <w:tcPr>
            <w:tcW w:w="171" w:type="pct"/>
            <w:tcBorders>
              <w:top w:val="single" w:color="000000" w:sz="4" w:space="0"/>
              <w:left w:val="nil"/>
              <w:bottom w:val="single" w:color="000000" w:sz="4" w:space="0"/>
              <w:right w:val="single" w:color="000000" w:sz="4" w:space="0"/>
            </w:tcBorders>
            <w:shd w:val="clear" w:color="auto" w:fill="auto"/>
            <w:noWrap/>
            <w:vAlign w:val="center"/>
          </w:tcPr>
          <w:p w14:paraId="78FCFEDC">
            <w:pPr>
              <w:keepNext w:val="0"/>
              <w:keepLines w:val="0"/>
              <w:widowControl/>
              <w:suppressLineNumbers w:val="0"/>
              <w:jc w:val="center"/>
              <w:textAlignment w:val="center"/>
              <w:rPr>
                <w:rFonts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6280</w:t>
            </w:r>
          </w:p>
        </w:tc>
        <w:tc>
          <w:tcPr>
            <w:tcW w:w="223" w:type="pct"/>
            <w:tcBorders>
              <w:top w:val="single" w:color="000000" w:sz="4" w:space="0"/>
              <w:left w:val="single" w:color="000000" w:sz="4" w:space="0"/>
              <w:bottom w:val="nil"/>
              <w:right w:val="single" w:color="000000" w:sz="4" w:space="0"/>
            </w:tcBorders>
            <w:shd w:val="clear" w:color="auto" w:fill="auto"/>
            <w:vAlign w:val="center"/>
          </w:tcPr>
          <w:p w14:paraId="67209488">
            <w:pPr>
              <w:jc w:val="left"/>
              <w:rPr>
                <w:rFonts w:hint="eastAsia" w:ascii="宋体" w:hAnsi="宋体" w:eastAsia="宋体" w:cs="宋体"/>
                <w:i w:val="0"/>
                <w:iCs w:val="0"/>
                <w:color w:val="000000"/>
                <w:sz w:val="20"/>
                <w:szCs w:val="20"/>
                <w:u w:val="none"/>
              </w:rPr>
            </w:pPr>
          </w:p>
        </w:tc>
      </w:tr>
      <w:tr w14:paraId="5C209B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3EE6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38</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DD6A7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LED染色灯电源</w:t>
            </w:r>
          </w:p>
        </w:tc>
        <w:tc>
          <w:tcPr>
            <w:tcW w:w="3726" w:type="pct"/>
            <w:tcBorders>
              <w:top w:val="single" w:color="000000" w:sz="4" w:space="0"/>
              <w:left w:val="single" w:color="000000" w:sz="4" w:space="0"/>
              <w:bottom w:val="single" w:color="000000" w:sz="4" w:space="0"/>
              <w:right w:val="single" w:color="000000" w:sz="4" w:space="0"/>
            </w:tcBorders>
            <w:shd w:val="clear" w:color="auto" w:fill="auto"/>
            <w:vAlign w:val="top"/>
          </w:tcPr>
          <w:p w14:paraId="0079593B">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包括但不限于 ：HS-U200D36＋12S(PFC)双路稳压配件</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A884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c>
          <w:tcPr>
            <w:tcW w:w="171" w:type="pct"/>
            <w:tcBorders>
              <w:top w:val="single" w:color="000000" w:sz="4" w:space="0"/>
              <w:left w:val="nil"/>
              <w:bottom w:val="single" w:color="000000" w:sz="4" w:space="0"/>
              <w:right w:val="single" w:color="000000" w:sz="4" w:space="0"/>
            </w:tcBorders>
            <w:shd w:val="clear" w:color="auto" w:fill="auto"/>
            <w:noWrap/>
            <w:vAlign w:val="center"/>
          </w:tcPr>
          <w:p w14:paraId="2BEA9E5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80</w:t>
            </w:r>
          </w:p>
        </w:tc>
        <w:tc>
          <w:tcPr>
            <w:tcW w:w="223" w:type="pct"/>
            <w:tcBorders>
              <w:top w:val="single" w:color="000000" w:sz="4" w:space="0"/>
              <w:left w:val="single" w:color="000000" w:sz="4" w:space="0"/>
              <w:bottom w:val="nil"/>
              <w:right w:val="single" w:color="000000" w:sz="4" w:space="0"/>
            </w:tcBorders>
            <w:shd w:val="clear" w:color="auto" w:fill="auto"/>
            <w:vAlign w:val="center"/>
          </w:tcPr>
          <w:p w14:paraId="36152A3A">
            <w:pPr>
              <w:jc w:val="left"/>
              <w:rPr>
                <w:rFonts w:hint="eastAsia" w:ascii="宋体" w:hAnsi="宋体" w:eastAsia="宋体" w:cs="宋体"/>
                <w:i w:val="0"/>
                <w:iCs w:val="0"/>
                <w:color w:val="000000"/>
                <w:sz w:val="20"/>
                <w:szCs w:val="20"/>
                <w:u w:val="none"/>
              </w:rPr>
            </w:pPr>
          </w:p>
        </w:tc>
      </w:tr>
      <w:tr w14:paraId="69EFC6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B5B8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39</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A9619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LED染色灯透镜</w:t>
            </w:r>
          </w:p>
        </w:tc>
        <w:tc>
          <w:tcPr>
            <w:tcW w:w="3726" w:type="pct"/>
            <w:tcBorders>
              <w:top w:val="single" w:color="000000" w:sz="4" w:space="0"/>
              <w:left w:val="single" w:color="000000" w:sz="4" w:space="0"/>
              <w:bottom w:val="single" w:color="000000" w:sz="4" w:space="0"/>
              <w:right w:val="single" w:color="000000" w:sz="4" w:space="0"/>
            </w:tcBorders>
            <w:shd w:val="clear" w:color="auto" w:fill="auto"/>
            <w:vAlign w:val="top"/>
          </w:tcPr>
          <w:p w14:paraId="46D8A94F">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包括但不限于 ：LED染色灯透镜角度:25°配件</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792B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块</w:t>
            </w:r>
          </w:p>
        </w:tc>
        <w:tc>
          <w:tcPr>
            <w:tcW w:w="171" w:type="pct"/>
            <w:tcBorders>
              <w:top w:val="single" w:color="000000" w:sz="4" w:space="0"/>
              <w:left w:val="nil"/>
              <w:bottom w:val="single" w:color="000000" w:sz="4" w:space="0"/>
              <w:right w:val="single" w:color="000000" w:sz="4" w:space="0"/>
            </w:tcBorders>
            <w:shd w:val="clear" w:color="auto" w:fill="auto"/>
            <w:noWrap/>
            <w:vAlign w:val="center"/>
          </w:tcPr>
          <w:p w14:paraId="4A92DB36">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4320</w:t>
            </w:r>
          </w:p>
        </w:tc>
        <w:tc>
          <w:tcPr>
            <w:tcW w:w="223" w:type="pct"/>
            <w:tcBorders>
              <w:top w:val="single" w:color="000000" w:sz="4" w:space="0"/>
              <w:left w:val="single" w:color="000000" w:sz="4" w:space="0"/>
              <w:bottom w:val="nil"/>
              <w:right w:val="single" w:color="000000" w:sz="4" w:space="0"/>
            </w:tcBorders>
            <w:shd w:val="clear" w:color="auto" w:fill="auto"/>
            <w:vAlign w:val="center"/>
          </w:tcPr>
          <w:p w14:paraId="475324E7">
            <w:pPr>
              <w:jc w:val="left"/>
              <w:rPr>
                <w:rFonts w:hint="eastAsia" w:ascii="宋体" w:hAnsi="宋体" w:eastAsia="宋体" w:cs="宋体"/>
                <w:i w:val="0"/>
                <w:iCs w:val="0"/>
                <w:color w:val="000000"/>
                <w:sz w:val="20"/>
                <w:szCs w:val="20"/>
                <w:u w:val="none"/>
              </w:rPr>
            </w:pPr>
          </w:p>
        </w:tc>
      </w:tr>
      <w:tr w14:paraId="072196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9ABB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40</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F264E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LED染色灯主板</w:t>
            </w:r>
          </w:p>
        </w:tc>
        <w:tc>
          <w:tcPr>
            <w:tcW w:w="3726" w:type="pct"/>
            <w:tcBorders>
              <w:top w:val="single" w:color="000000" w:sz="4" w:space="0"/>
              <w:left w:val="single" w:color="000000" w:sz="4" w:space="0"/>
              <w:bottom w:val="single" w:color="000000" w:sz="4" w:space="0"/>
              <w:right w:val="single" w:color="000000" w:sz="4" w:space="0"/>
            </w:tcBorders>
            <w:shd w:val="clear" w:color="auto" w:fill="auto"/>
            <w:vAlign w:val="top"/>
          </w:tcPr>
          <w:p w14:paraId="4C6BB6D8">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包括但不限于 ：LED染色灯主板8通道配件</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2F28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块</w:t>
            </w:r>
          </w:p>
        </w:tc>
        <w:tc>
          <w:tcPr>
            <w:tcW w:w="171" w:type="pct"/>
            <w:tcBorders>
              <w:top w:val="single" w:color="000000" w:sz="4" w:space="0"/>
              <w:left w:val="nil"/>
              <w:bottom w:val="single" w:color="000000" w:sz="4" w:space="0"/>
              <w:right w:val="single" w:color="000000" w:sz="4" w:space="0"/>
            </w:tcBorders>
            <w:shd w:val="clear" w:color="auto" w:fill="auto"/>
            <w:noWrap/>
            <w:vAlign w:val="center"/>
          </w:tcPr>
          <w:p w14:paraId="484A1576">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80</w:t>
            </w:r>
          </w:p>
        </w:tc>
        <w:tc>
          <w:tcPr>
            <w:tcW w:w="223" w:type="pct"/>
            <w:tcBorders>
              <w:top w:val="single" w:color="000000" w:sz="4" w:space="0"/>
              <w:left w:val="single" w:color="000000" w:sz="4" w:space="0"/>
              <w:bottom w:val="nil"/>
              <w:right w:val="single" w:color="000000" w:sz="4" w:space="0"/>
            </w:tcBorders>
            <w:shd w:val="clear" w:color="auto" w:fill="auto"/>
            <w:vAlign w:val="center"/>
          </w:tcPr>
          <w:p w14:paraId="02B02676">
            <w:pPr>
              <w:jc w:val="left"/>
              <w:rPr>
                <w:rFonts w:hint="eastAsia" w:ascii="宋体" w:hAnsi="宋体" w:eastAsia="宋体" w:cs="宋体"/>
                <w:i w:val="0"/>
                <w:iCs w:val="0"/>
                <w:color w:val="000000"/>
                <w:sz w:val="20"/>
                <w:szCs w:val="20"/>
                <w:u w:val="none"/>
              </w:rPr>
            </w:pPr>
          </w:p>
        </w:tc>
      </w:tr>
      <w:tr w14:paraId="703683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8541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41</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4061F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LED平板会议灯灯珠</w:t>
            </w:r>
          </w:p>
        </w:tc>
        <w:tc>
          <w:tcPr>
            <w:tcW w:w="3726" w:type="pct"/>
            <w:tcBorders>
              <w:top w:val="single" w:color="000000" w:sz="4" w:space="0"/>
              <w:left w:val="single" w:color="000000" w:sz="4" w:space="0"/>
              <w:bottom w:val="single" w:color="000000" w:sz="4" w:space="0"/>
              <w:right w:val="single" w:color="000000" w:sz="4" w:space="0"/>
            </w:tcBorders>
            <w:shd w:val="clear" w:color="auto" w:fill="auto"/>
            <w:vAlign w:val="top"/>
          </w:tcPr>
          <w:p w14:paraId="02D2D35C">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包括但不限于 ：SMD2835 0.5W贴片高显指LED阵列，光通量(lm):4041.3配件</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5BCA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颗</w:t>
            </w:r>
          </w:p>
        </w:tc>
        <w:tc>
          <w:tcPr>
            <w:tcW w:w="171" w:type="pct"/>
            <w:tcBorders>
              <w:top w:val="single" w:color="000000" w:sz="4" w:space="0"/>
              <w:left w:val="nil"/>
              <w:bottom w:val="single" w:color="000000" w:sz="4" w:space="0"/>
              <w:right w:val="single" w:color="000000" w:sz="4" w:space="0"/>
            </w:tcBorders>
            <w:shd w:val="clear" w:color="auto" w:fill="auto"/>
            <w:noWrap/>
            <w:vAlign w:val="center"/>
          </w:tcPr>
          <w:p w14:paraId="3DC7878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16500</w:t>
            </w:r>
          </w:p>
        </w:tc>
        <w:tc>
          <w:tcPr>
            <w:tcW w:w="223" w:type="pct"/>
            <w:tcBorders>
              <w:top w:val="single" w:color="000000" w:sz="4" w:space="0"/>
              <w:left w:val="single" w:color="000000" w:sz="4" w:space="0"/>
              <w:bottom w:val="nil"/>
              <w:right w:val="single" w:color="000000" w:sz="4" w:space="0"/>
            </w:tcBorders>
            <w:shd w:val="clear" w:color="auto" w:fill="auto"/>
            <w:vAlign w:val="center"/>
          </w:tcPr>
          <w:p w14:paraId="33DEABB6">
            <w:pPr>
              <w:jc w:val="left"/>
              <w:rPr>
                <w:rFonts w:hint="eastAsia" w:ascii="宋体" w:hAnsi="宋体" w:eastAsia="宋体" w:cs="宋体"/>
                <w:i w:val="0"/>
                <w:iCs w:val="0"/>
                <w:color w:val="000000"/>
                <w:sz w:val="20"/>
                <w:szCs w:val="20"/>
                <w:u w:val="none"/>
              </w:rPr>
            </w:pPr>
          </w:p>
        </w:tc>
      </w:tr>
      <w:tr w14:paraId="1E7CEC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E0C7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42</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0EEF1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LED平板会议灯</w:t>
            </w:r>
          </w:p>
        </w:tc>
        <w:tc>
          <w:tcPr>
            <w:tcW w:w="3726" w:type="pct"/>
            <w:tcBorders>
              <w:top w:val="single" w:color="000000" w:sz="4" w:space="0"/>
              <w:left w:val="single" w:color="000000" w:sz="4" w:space="0"/>
              <w:bottom w:val="single" w:color="000000" w:sz="4" w:space="0"/>
              <w:right w:val="single" w:color="000000" w:sz="4" w:space="0"/>
            </w:tcBorders>
            <w:shd w:val="clear" w:color="auto" w:fill="auto"/>
            <w:vAlign w:val="top"/>
          </w:tcPr>
          <w:p w14:paraId="31602496">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包括但不限于 ：HS-U200D36＋12S(PFC)双路稳压配件</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563A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c>
          <w:tcPr>
            <w:tcW w:w="171" w:type="pct"/>
            <w:tcBorders>
              <w:top w:val="single" w:color="000000" w:sz="4" w:space="0"/>
              <w:left w:val="nil"/>
              <w:bottom w:val="single" w:color="000000" w:sz="4" w:space="0"/>
              <w:right w:val="single" w:color="000000" w:sz="4" w:space="0"/>
            </w:tcBorders>
            <w:shd w:val="clear" w:color="auto" w:fill="auto"/>
            <w:noWrap/>
            <w:vAlign w:val="center"/>
          </w:tcPr>
          <w:p w14:paraId="5F06E17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27</w:t>
            </w:r>
          </w:p>
        </w:tc>
        <w:tc>
          <w:tcPr>
            <w:tcW w:w="223" w:type="pct"/>
            <w:tcBorders>
              <w:top w:val="single" w:color="000000" w:sz="4" w:space="0"/>
              <w:left w:val="single" w:color="000000" w:sz="4" w:space="0"/>
              <w:bottom w:val="nil"/>
              <w:right w:val="single" w:color="000000" w:sz="4" w:space="0"/>
            </w:tcBorders>
            <w:shd w:val="clear" w:color="auto" w:fill="auto"/>
            <w:vAlign w:val="center"/>
          </w:tcPr>
          <w:p w14:paraId="6AE8BC40">
            <w:pPr>
              <w:jc w:val="left"/>
              <w:rPr>
                <w:rFonts w:hint="eastAsia" w:ascii="宋体" w:hAnsi="宋体" w:eastAsia="宋体" w:cs="宋体"/>
                <w:i w:val="0"/>
                <w:iCs w:val="0"/>
                <w:color w:val="000000"/>
                <w:sz w:val="20"/>
                <w:szCs w:val="20"/>
                <w:u w:val="none"/>
              </w:rPr>
            </w:pPr>
          </w:p>
        </w:tc>
      </w:tr>
      <w:tr w14:paraId="50A3AC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A1AD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43</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0F2D5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LED平板会议灯</w:t>
            </w:r>
          </w:p>
        </w:tc>
        <w:tc>
          <w:tcPr>
            <w:tcW w:w="3726" w:type="pct"/>
            <w:tcBorders>
              <w:top w:val="single" w:color="000000" w:sz="4" w:space="0"/>
              <w:left w:val="single" w:color="000000" w:sz="4" w:space="0"/>
              <w:bottom w:val="single" w:color="000000" w:sz="4" w:space="0"/>
              <w:right w:val="single" w:color="000000" w:sz="4" w:space="0"/>
            </w:tcBorders>
            <w:shd w:val="clear" w:color="auto" w:fill="auto"/>
            <w:vAlign w:val="top"/>
          </w:tcPr>
          <w:p w14:paraId="70723BA8">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包括但不限于 ：亚克力板等配件</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1967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台</w:t>
            </w:r>
          </w:p>
        </w:tc>
        <w:tc>
          <w:tcPr>
            <w:tcW w:w="171" w:type="pct"/>
            <w:tcBorders>
              <w:top w:val="single" w:color="000000" w:sz="4" w:space="0"/>
              <w:left w:val="nil"/>
              <w:bottom w:val="single" w:color="000000" w:sz="4" w:space="0"/>
              <w:right w:val="single" w:color="000000" w:sz="4" w:space="0"/>
            </w:tcBorders>
            <w:shd w:val="clear" w:color="auto" w:fill="auto"/>
            <w:noWrap/>
            <w:vAlign w:val="center"/>
          </w:tcPr>
          <w:p w14:paraId="55C04B5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27</w:t>
            </w:r>
          </w:p>
        </w:tc>
        <w:tc>
          <w:tcPr>
            <w:tcW w:w="223" w:type="pct"/>
            <w:tcBorders>
              <w:top w:val="single" w:color="000000" w:sz="4" w:space="0"/>
              <w:left w:val="single" w:color="000000" w:sz="4" w:space="0"/>
              <w:bottom w:val="nil"/>
              <w:right w:val="single" w:color="000000" w:sz="4" w:space="0"/>
            </w:tcBorders>
            <w:shd w:val="clear" w:color="auto" w:fill="auto"/>
            <w:vAlign w:val="center"/>
          </w:tcPr>
          <w:p w14:paraId="5A4C2DD9">
            <w:pPr>
              <w:jc w:val="left"/>
              <w:rPr>
                <w:rFonts w:hint="eastAsia" w:ascii="宋体" w:hAnsi="宋体" w:eastAsia="宋体" w:cs="宋体"/>
                <w:i w:val="0"/>
                <w:iCs w:val="0"/>
                <w:color w:val="000000"/>
                <w:sz w:val="20"/>
                <w:szCs w:val="20"/>
                <w:u w:val="none"/>
              </w:rPr>
            </w:pPr>
          </w:p>
        </w:tc>
      </w:tr>
      <w:tr w14:paraId="46B9A0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4F14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44</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A7294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LED平板会议灯主板</w:t>
            </w:r>
          </w:p>
        </w:tc>
        <w:tc>
          <w:tcPr>
            <w:tcW w:w="3726" w:type="pct"/>
            <w:tcBorders>
              <w:top w:val="single" w:color="000000" w:sz="4" w:space="0"/>
              <w:left w:val="single" w:color="000000" w:sz="4" w:space="0"/>
              <w:bottom w:val="single" w:color="000000" w:sz="4" w:space="0"/>
              <w:right w:val="single" w:color="000000" w:sz="4" w:space="0"/>
            </w:tcBorders>
            <w:shd w:val="clear" w:color="auto" w:fill="auto"/>
            <w:vAlign w:val="top"/>
          </w:tcPr>
          <w:p w14:paraId="40A3797F">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包括但不限于 ：LED平板会议灯主板配件，含4通道等其它配件</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EBAC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块</w:t>
            </w:r>
          </w:p>
        </w:tc>
        <w:tc>
          <w:tcPr>
            <w:tcW w:w="171" w:type="pct"/>
            <w:tcBorders>
              <w:top w:val="single" w:color="000000" w:sz="4" w:space="0"/>
              <w:left w:val="nil"/>
              <w:bottom w:val="single" w:color="000000" w:sz="4" w:space="0"/>
              <w:right w:val="single" w:color="000000" w:sz="4" w:space="0"/>
            </w:tcBorders>
            <w:shd w:val="clear" w:color="auto" w:fill="auto"/>
            <w:noWrap/>
            <w:vAlign w:val="center"/>
          </w:tcPr>
          <w:p w14:paraId="687EB57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27</w:t>
            </w:r>
          </w:p>
        </w:tc>
        <w:tc>
          <w:tcPr>
            <w:tcW w:w="223" w:type="pct"/>
            <w:tcBorders>
              <w:top w:val="single" w:color="000000" w:sz="4" w:space="0"/>
              <w:left w:val="single" w:color="000000" w:sz="4" w:space="0"/>
              <w:bottom w:val="nil"/>
              <w:right w:val="single" w:color="000000" w:sz="4" w:space="0"/>
            </w:tcBorders>
            <w:shd w:val="clear" w:color="auto" w:fill="auto"/>
            <w:vAlign w:val="center"/>
          </w:tcPr>
          <w:p w14:paraId="6C0725C2">
            <w:pPr>
              <w:jc w:val="left"/>
              <w:rPr>
                <w:rFonts w:hint="eastAsia" w:ascii="宋体" w:hAnsi="宋体" w:eastAsia="宋体" w:cs="宋体"/>
                <w:i w:val="0"/>
                <w:iCs w:val="0"/>
                <w:color w:val="000000"/>
                <w:sz w:val="20"/>
                <w:szCs w:val="20"/>
                <w:u w:val="none"/>
              </w:rPr>
            </w:pPr>
          </w:p>
        </w:tc>
      </w:tr>
      <w:tr w14:paraId="1D5024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907B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45</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C78A6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超级光束灯灯珠</w:t>
            </w:r>
          </w:p>
        </w:tc>
        <w:tc>
          <w:tcPr>
            <w:tcW w:w="3726" w:type="pct"/>
            <w:tcBorders>
              <w:top w:val="single" w:color="000000" w:sz="4" w:space="0"/>
              <w:left w:val="single" w:color="000000" w:sz="4" w:space="0"/>
              <w:bottom w:val="single" w:color="000000" w:sz="4" w:space="0"/>
              <w:right w:val="single" w:color="000000" w:sz="4" w:space="0"/>
            </w:tcBorders>
            <w:shd w:val="clear" w:color="auto" w:fill="auto"/>
            <w:vAlign w:val="top"/>
          </w:tcPr>
          <w:p w14:paraId="4F400505">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包括但不限于 ：灯珠配件：OSRAM 280W</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2C8C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颗</w:t>
            </w:r>
          </w:p>
        </w:tc>
        <w:tc>
          <w:tcPr>
            <w:tcW w:w="171" w:type="pct"/>
            <w:tcBorders>
              <w:top w:val="single" w:color="000000" w:sz="4" w:space="0"/>
              <w:left w:val="nil"/>
              <w:bottom w:val="single" w:color="000000" w:sz="4" w:space="0"/>
              <w:right w:val="single" w:color="000000" w:sz="4" w:space="0"/>
            </w:tcBorders>
            <w:shd w:val="clear" w:color="auto" w:fill="auto"/>
            <w:noWrap/>
            <w:vAlign w:val="center"/>
          </w:tcPr>
          <w:p w14:paraId="6089410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72</w:t>
            </w:r>
          </w:p>
        </w:tc>
        <w:tc>
          <w:tcPr>
            <w:tcW w:w="223" w:type="pct"/>
            <w:tcBorders>
              <w:top w:val="single" w:color="000000" w:sz="4" w:space="0"/>
              <w:left w:val="single" w:color="000000" w:sz="4" w:space="0"/>
              <w:bottom w:val="nil"/>
              <w:right w:val="single" w:color="000000" w:sz="4" w:space="0"/>
            </w:tcBorders>
            <w:shd w:val="clear" w:color="auto" w:fill="auto"/>
            <w:vAlign w:val="center"/>
          </w:tcPr>
          <w:p w14:paraId="433E62ED">
            <w:pPr>
              <w:jc w:val="left"/>
              <w:rPr>
                <w:rFonts w:hint="eastAsia" w:ascii="宋体" w:hAnsi="宋体" w:eastAsia="宋体" w:cs="宋体"/>
                <w:i w:val="0"/>
                <w:iCs w:val="0"/>
                <w:color w:val="000000"/>
                <w:sz w:val="20"/>
                <w:szCs w:val="20"/>
                <w:u w:val="none"/>
              </w:rPr>
            </w:pPr>
          </w:p>
        </w:tc>
      </w:tr>
      <w:tr w14:paraId="2165E0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2CF6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46</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0D8A1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超级光束灯电源</w:t>
            </w:r>
          </w:p>
        </w:tc>
        <w:tc>
          <w:tcPr>
            <w:tcW w:w="3726" w:type="pct"/>
            <w:tcBorders>
              <w:top w:val="single" w:color="000000" w:sz="4" w:space="0"/>
              <w:left w:val="single" w:color="000000" w:sz="4" w:space="0"/>
              <w:bottom w:val="single" w:color="000000" w:sz="4" w:space="0"/>
              <w:right w:val="single" w:color="000000" w:sz="4" w:space="0"/>
            </w:tcBorders>
            <w:shd w:val="clear" w:color="auto" w:fill="auto"/>
            <w:vAlign w:val="top"/>
          </w:tcPr>
          <w:p w14:paraId="1BF61F6B">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包括但不限于 ：电源配件：HS-U300D36＋12S(PFC)双路稳压，驱动：CCD-36D30S080PWM</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04FB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c>
          <w:tcPr>
            <w:tcW w:w="171" w:type="pct"/>
            <w:tcBorders>
              <w:top w:val="single" w:color="000000" w:sz="4" w:space="0"/>
              <w:left w:val="nil"/>
              <w:bottom w:val="single" w:color="000000" w:sz="4" w:space="0"/>
              <w:right w:val="single" w:color="000000" w:sz="4" w:space="0"/>
            </w:tcBorders>
            <w:shd w:val="clear" w:color="auto" w:fill="auto"/>
            <w:noWrap/>
            <w:vAlign w:val="center"/>
          </w:tcPr>
          <w:p w14:paraId="74F0EFF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32</w:t>
            </w:r>
          </w:p>
        </w:tc>
        <w:tc>
          <w:tcPr>
            <w:tcW w:w="223" w:type="pct"/>
            <w:tcBorders>
              <w:top w:val="single" w:color="000000" w:sz="4" w:space="0"/>
              <w:left w:val="single" w:color="000000" w:sz="4" w:space="0"/>
              <w:bottom w:val="nil"/>
              <w:right w:val="single" w:color="000000" w:sz="4" w:space="0"/>
            </w:tcBorders>
            <w:shd w:val="clear" w:color="auto" w:fill="auto"/>
            <w:vAlign w:val="center"/>
          </w:tcPr>
          <w:p w14:paraId="60CF398E">
            <w:pPr>
              <w:jc w:val="left"/>
              <w:rPr>
                <w:rFonts w:hint="eastAsia" w:ascii="宋体" w:hAnsi="宋体" w:eastAsia="宋体" w:cs="宋体"/>
                <w:i w:val="0"/>
                <w:iCs w:val="0"/>
                <w:color w:val="000000"/>
                <w:sz w:val="20"/>
                <w:szCs w:val="20"/>
                <w:u w:val="none"/>
              </w:rPr>
            </w:pPr>
          </w:p>
        </w:tc>
      </w:tr>
      <w:tr w14:paraId="7ACB92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13C7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47</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E1471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超级光束灯色片</w:t>
            </w:r>
          </w:p>
        </w:tc>
        <w:tc>
          <w:tcPr>
            <w:tcW w:w="3726" w:type="pct"/>
            <w:tcBorders>
              <w:top w:val="single" w:color="000000" w:sz="4" w:space="0"/>
              <w:left w:val="single" w:color="000000" w:sz="4" w:space="0"/>
              <w:bottom w:val="single" w:color="000000" w:sz="4" w:space="0"/>
              <w:right w:val="single" w:color="000000" w:sz="4" w:space="0"/>
            </w:tcBorders>
            <w:shd w:val="clear" w:color="auto" w:fill="auto"/>
            <w:vAlign w:val="top"/>
          </w:tcPr>
          <w:p w14:paraId="5D5FCF52">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包括但不限于 ：色片配件：14色，1个彩虹盘</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B9AD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片</w:t>
            </w:r>
          </w:p>
        </w:tc>
        <w:tc>
          <w:tcPr>
            <w:tcW w:w="171" w:type="pct"/>
            <w:tcBorders>
              <w:top w:val="single" w:color="000000" w:sz="4" w:space="0"/>
              <w:left w:val="nil"/>
              <w:bottom w:val="single" w:color="000000" w:sz="4" w:space="0"/>
              <w:right w:val="single" w:color="000000" w:sz="4" w:space="0"/>
            </w:tcBorders>
            <w:shd w:val="clear" w:color="auto" w:fill="auto"/>
            <w:noWrap/>
            <w:vAlign w:val="center"/>
          </w:tcPr>
          <w:p w14:paraId="7CC23C94">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480</w:t>
            </w:r>
          </w:p>
        </w:tc>
        <w:tc>
          <w:tcPr>
            <w:tcW w:w="223" w:type="pct"/>
            <w:tcBorders>
              <w:top w:val="single" w:color="000000" w:sz="4" w:space="0"/>
              <w:left w:val="single" w:color="000000" w:sz="4" w:space="0"/>
              <w:bottom w:val="nil"/>
              <w:right w:val="single" w:color="000000" w:sz="4" w:space="0"/>
            </w:tcBorders>
            <w:shd w:val="clear" w:color="auto" w:fill="auto"/>
            <w:vAlign w:val="center"/>
          </w:tcPr>
          <w:p w14:paraId="22F01122">
            <w:pPr>
              <w:jc w:val="left"/>
              <w:rPr>
                <w:rFonts w:hint="eastAsia" w:ascii="宋体" w:hAnsi="宋体" w:eastAsia="宋体" w:cs="宋体"/>
                <w:i w:val="0"/>
                <w:iCs w:val="0"/>
                <w:color w:val="000000"/>
                <w:sz w:val="20"/>
                <w:szCs w:val="20"/>
                <w:u w:val="none"/>
              </w:rPr>
            </w:pPr>
          </w:p>
        </w:tc>
      </w:tr>
      <w:tr w14:paraId="442A7F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9F50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48</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59BE8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超级光束灯固图盘</w:t>
            </w:r>
          </w:p>
        </w:tc>
        <w:tc>
          <w:tcPr>
            <w:tcW w:w="3726" w:type="pct"/>
            <w:tcBorders>
              <w:top w:val="single" w:color="000000" w:sz="4" w:space="0"/>
              <w:left w:val="single" w:color="000000" w:sz="4" w:space="0"/>
              <w:bottom w:val="single" w:color="000000" w:sz="4" w:space="0"/>
              <w:right w:val="single" w:color="000000" w:sz="4" w:space="0"/>
            </w:tcBorders>
            <w:shd w:val="clear" w:color="auto" w:fill="auto"/>
            <w:vAlign w:val="top"/>
          </w:tcPr>
          <w:p w14:paraId="53BFB3DC">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包括但不限于 ：配件固图盘：17个图案</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49B5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c>
          <w:tcPr>
            <w:tcW w:w="171" w:type="pct"/>
            <w:tcBorders>
              <w:top w:val="single" w:color="000000" w:sz="4" w:space="0"/>
              <w:left w:val="nil"/>
              <w:bottom w:val="single" w:color="000000" w:sz="4" w:space="0"/>
              <w:right w:val="single" w:color="000000" w:sz="4" w:space="0"/>
            </w:tcBorders>
            <w:shd w:val="clear" w:color="auto" w:fill="auto"/>
            <w:noWrap/>
            <w:vAlign w:val="center"/>
          </w:tcPr>
          <w:p w14:paraId="754A0D6B">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32</w:t>
            </w:r>
          </w:p>
        </w:tc>
        <w:tc>
          <w:tcPr>
            <w:tcW w:w="223" w:type="pct"/>
            <w:tcBorders>
              <w:top w:val="single" w:color="000000" w:sz="4" w:space="0"/>
              <w:left w:val="single" w:color="000000" w:sz="4" w:space="0"/>
              <w:bottom w:val="nil"/>
              <w:right w:val="single" w:color="000000" w:sz="4" w:space="0"/>
            </w:tcBorders>
            <w:shd w:val="clear" w:color="auto" w:fill="auto"/>
            <w:vAlign w:val="center"/>
          </w:tcPr>
          <w:p w14:paraId="760AE1F6">
            <w:pPr>
              <w:jc w:val="left"/>
              <w:rPr>
                <w:rFonts w:hint="eastAsia" w:ascii="宋体" w:hAnsi="宋体" w:eastAsia="宋体" w:cs="宋体"/>
                <w:i w:val="0"/>
                <w:iCs w:val="0"/>
                <w:color w:val="000000"/>
                <w:sz w:val="20"/>
                <w:szCs w:val="20"/>
                <w:u w:val="none"/>
              </w:rPr>
            </w:pPr>
          </w:p>
        </w:tc>
      </w:tr>
      <w:tr w14:paraId="0703EE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4EDC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49</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7B03A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超级光束灯棱镜</w:t>
            </w:r>
          </w:p>
        </w:tc>
        <w:tc>
          <w:tcPr>
            <w:tcW w:w="3726" w:type="pct"/>
            <w:tcBorders>
              <w:top w:val="single" w:color="000000" w:sz="4" w:space="0"/>
              <w:left w:val="single" w:color="000000" w:sz="4" w:space="0"/>
              <w:bottom w:val="single" w:color="000000" w:sz="4" w:space="0"/>
              <w:right w:val="single" w:color="000000" w:sz="4" w:space="0"/>
            </w:tcBorders>
            <w:shd w:val="clear" w:color="auto" w:fill="auto"/>
            <w:vAlign w:val="top"/>
          </w:tcPr>
          <w:p w14:paraId="59A83C46">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包括但不限于 ：配件棱镜：12棱鏡，（8+16+24）棱镜</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D7A9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块</w:t>
            </w:r>
          </w:p>
        </w:tc>
        <w:tc>
          <w:tcPr>
            <w:tcW w:w="171" w:type="pct"/>
            <w:tcBorders>
              <w:top w:val="single" w:color="000000" w:sz="4" w:space="0"/>
              <w:left w:val="nil"/>
              <w:bottom w:val="single" w:color="000000" w:sz="4" w:space="0"/>
              <w:right w:val="single" w:color="000000" w:sz="4" w:space="0"/>
            </w:tcBorders>
            <w:shd w:val="clear" w:color="auto" w:fill="auto"/>
            <w:noWrap/>
            <w:vAlign w:val="center"/>
          </w:tcPr>
          <w:p w14:paraId="0B712FC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64</w:t>
            </w:r>
          </w:p>
        </w:tc>
        <w:tc>
          <w:tcPr>
            <w:tcW w:w="223" w:type="pct"/>
            <w:tcBorders>
              <w:top w:val="single" w:color="000000" w:sz="4" w:space="0"/>
              <w:left w:val="single" w:color="000000" w:sz="4" w:space="0"/>
              <w:bottom w:val="nil"/>
              <w:right w:val="single" w:color="000000" w:sz="4" w:space="0"/>
            </w:tcBorders>
            <w:shd w:val="clear" w:color="auto" w:fill="auto"/>
            <w:vAlign w:val="center"/>
          </w:tcPr>
          <w:p w14:paraId="024144F0">
            <w:pPr>
              <w:jc w:val="left"/>
              <w:rPr>
                <w:rFonts w:hint="eastAsia" w:ascii="宋体" w:hAnsi="宋体" w:eastAsia="宋体" w:cs="宋体"/>
                <w:i w:val="0"/>
                <w:iCs w:val="0"/>
                <w:color w:val="000000"/>
                <w:sz w:val="20"/>
                <w:szCs w:val="20"/>
                <w:u w:val="none"/>
              </w:rPr>
            </w:pPr>
          </w:p>
        </w:tc>
      </w:tr>
      <w:tr w14:paraId="384EA7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35C9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50</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7C216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超级光束灯透镜</w:t>
            </w:r>
          </w:p>
        </w:tc>
        <w:tc>
          <w:tcPr>
            <w:tcW w:w="3726" w:type="pct"/>
            <w:tcBorders>
              <w:top w:val="single" w:color="000000" w:sz="4" w:space="0"/>
              <w:left w:val="single" w:color="000000" w:sz="4" w:space="0"/>
              <w:bottom w:val="single" w:color="000000" w:sz="4" w:space="0"/>
              <w:right w:val="single" w:color="000000" w:sz="4" w:space="0"/>
            </w:tcBorders>
            <w:shd w:val="clear" w:color="auto" w:fill="auto"/>
            <w:vAlign w:val="top"/>
          </w:tcPr>
          <w:p w14:paraId="7FA128C1">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超级光束灯透镜：1.8°</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1335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块</w:t>
            </w:r>
          </w:p>
        </w:tc>
        <w:tc>
          <w:tcPr>
            <w:tcW w:w="171" w:type="pct"/>
            <w:tcBorders>
              <w:top w:val="single" w:color="000000" w:sz="4" w:space="0"/>
              <w:left w:val="nil"/>
              <w:bottom w:val="single" w:color="000000" w:sz="4" w:space="0"/>
              <w:right w:val="single" w:color="000000" w:sz="4" w:space="0"/>
            </w:tcBorders>
            <w:shd w:val="clear" w:color="auto" w:fill="auto"/>
            <w:noWrap/>
            <w:vAlign w:val="center"/>
          </w:tcPr>
          <w:p w14:paraId="5361E894">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32</w:t>
            </w:r>
          </w:p>
        </w:tc>
        <w:tc>
          <w:tcPr>
            <w:tcW w:w="223" w:type="pct"/>
            <w:tcBorders>
              <w:top w:val="single" w:color="000000" w:sz="4" w:space="0"/>
              <w:left w:val="single" w:color="000000" w:sz="4" w:space="0"/>
              <w:bottom w:val="nil"/>
              <w:right w:val="single" w:color="000000" w:sz="4" w:space="0"/>
            </w:tcBorders>
            <w:shd w:val="clear" w:color="auto" w:fill="auto"/>
            <w:vAlign w:val="center"/>
          </w:tcPr>
          <w:p w14:paraId="4E92407C">
            <w:pPr>
              <w:jc w:val="left"/>
              <w:rPr>
                <w:rFonts w:hint="eastAsia" w:ascii="宋体" w:hAnsi="宋体" w:eastAsia="宋体" w:cs="宋体"/>
                <w:i w:val="0"/>
                <w:iCs w:val="0"/>
                <w:color w:val="000000"/>
                <w:sz w:val="20"/>
                <w:szCs w:val="20"/>
                <w:u w:val="none"/>
              </w:rPr>
            </w:pPr>
          </w:p>
        </w:tc>
      </w:tr>
      <w:tr w14:paraId="4843E4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D557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51</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DA261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超级光束灯显示板</w:t>
            </w:r>
          </w:p>
        </w:tc>
        <w:tc>
          <w:tcPr>
            <w:tcW w:w="3726" w:type="pct"/>
            <w:tcBorders>
              <w:top w:val="single" w:color="000000" w:sz="4" w:space="0"/>
              <w:left w:val="single" w:color="000000" w:sz="4" w:space="0"/>
              <w:bottom w:val="single" w:color="000000" w:sz="4" w:space="0"/>
              <w:right w:val="single" w:color="000000" w:sz="4" w:space="0"/>
            </w:tcBorders>
            <w:shd w:val="clear" w:color="auto" w:fill="auto"/>
            <w:vAlign w:val="top"/>
          </w:tcPr>
          <w:p w14:paraId="359B9B70">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配件1.8寸，触摸显</w:t>
            </w:r>
            <w:r>
              <w:rPr>
                <w:rFonts w:ascii="微软雅黑" w:hAnsi="微软雅黑" w:eastAsia="微软雅黑" w:cs="微软雅黑"/>
                <w:i w:val="0"/>
                <w:iCs w:val="0"/>
                <w:snapToGrid w:val="0"/>
                <w:color w:val="000000"/>
                <w:kern w:val="0"/>
                <w:sz w:val="20"/>
                <w:szCs w:val="20"/>
                <w:u w:val="none"/>
                <w:lang w:val="en-US" w:eastAsia="zh-CN" w:bidi="ar"/>
              </w:rPr>
              <w:t>⽰</w:t>
            </w:r>
            <w:r>
              <w:rPr>
                <w:rFonts w:hint="eastAsia" w:ascii="宋体" w:hAnsi="宋体" w:eastAsia="宋体" w:cs="宋体"/>
                <w:i w:val="0"/>
                <w:iCs w:val="0"/>
                <w:snapToGrid w:val="0"/>
                <w:color w:val="000000"/>
                <w:kern w:val="0"/>
                <w:sz w:val="20"/>
                <w:szCs w:val="20"/>
                <w:u w:val="none"/>
                <w:lang w:val="en-US" w:eastAsia="zh-CN" w:bidi="ar"/>
              </w:rPr>
              <w:t>屏，17通道</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8BCA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块</w:t>
            </w:r>
          </w:p>
        </w:tc>
        <w:tc>
          <w:tcPr>
            <w:tcW w:w="171" w:type="pct"/>
            <w:tcBorders>
              <w:top w:val="single" w:color="000000" w:sz="4" w:space="0"/>
              <w:left w:val="nil"/>
              <w:bottom w:val="single" w:color="000000" w:sz="4" w:space="0"/>
              <w:right w:val="single" w:color="000000" w:sz="4" w:space="0"/>
            </w:tcBorders>
            <w:shd w:val="clear" w:color="auto" w:fill="auto"/>
            <w:noWrap/>
            <w:vAlign w:val="center"/>
          </w:tcPr>
          <w:p w14:paraId="231CEBAD">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32</w:t>
            </w:r>
          </w:p>
        </w:tc>
        <w:tc>
          <w:tcPr>
            <w:tcW w:w="223" w:type="pct"/>
            <w:tcBorders>
              <w:top w:val="single" w:color="000000" w:sz="4" w:space="0"/>
              <w:left w:val="single" w:color="000000" w:sz="4" w:space="0"/>
              <w:bottom w:val="nil"/>
              <w:right w:val="single" w:color="000000" w:sz="4" w:space="0"/>
            </w:tcBorders>
            <w:shd w:val="clear" w:color="auto" w:fill="auto"/>
            <w:vAlign w:val="center"/>
          </w:tcPr>
          <w:p w14:paraId="29615D6B">
            <w:pPr>
              <w:jc w:val="left"/>
              <w:rPr>
                <w:rFonts w:hint="eastAsia" w:ascii="宋体" w:hAnsi="宋体" w:eastAsia="宋体" w:cs="宋体"/>
                <w:i w:val="0"/>
                <w:iCs w:val="0"/>
                <w:color w:val="000000"/>
                <w:sz w:val="20"/>
                <w:szCs w:val="20"/>
                <w:u w:val="none"/>
              </w:rPr>
            </w:pPr>
          </w:p>
        </w:tc>
      </w:tr>
      <w:tr w14:paraId="3B907E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1630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52</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D8AC0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超级光束灯XY轴电机</w:t>
            </w:r>
          </w:p>
        </w:tc>
        <w:tc>
          <w:tcPr>
            <w:tcW w:w="3726" w:type="pct"/>
            <w:tcBorders>
              <w:top w:val="single" w:color="000000" w:sz="4" w:space="0"/>
              <w:left w:val="single" w:color="000000" w:sz="4" w:space="0"/>
              <w:bottom w:val="single" w:color="000000" w:sz="4" w:space="0"/>
              <w:right w:val="single" w:color="000000" w:sz="4" w:space="0"/>
            </w:tcBorders>
            <w:shd w:val="clear" w:color="auto" w:fill="auto"/>
            <w:vAlign w:val="top"/>
          </w:tcPr>
          <w:p w14:paraId="05F63F09">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XY轴电机：60-22-6-24，16bit精度微调及自动回位纠正功能</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5504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台</w:t>
            </w:r>
          </w:p>
        </w:tc>
        <w:tc>
          <w:tcPr>
            <w:tcW w:w="171" w:type="pct"/>
            <w:tcBorders>
              <w:top w:val="single" w:color="000000" w:sz="4" w:space="0"/>
              <w:left w:val="nil"/>
              <w:bottom w:val="single" w:color="000000" w:sz="4" w:space="0"/>
              <w:right w:val="single" w:color="000000" w:sz="4" w:space="0"/>
            </w:tcBorders>
            <w:shd w:val="clear" w:color="auto" w:fill="auto"/>
            <w:noWrap/>
            <w:vAlign w:val="center"/>
          </w:tcPr>
          <w:p w14:paraId="1C72858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142</w:t>
            </w:r>
          </w:p>
        </w:tc>
        <w:tc>
          <w:tcPr>
            <w:tcW w:w="223" w:type="pct"/>
            <w:tcBorders>
              <w:top w:val="single" w:color="000000" w:sz="4" w:space="0"/>
              <w:left w:val="single" w:color="000000" w:sz="4" w:space="0"/>
              <w:bottom w:val="nil"/>
              <w:right w:val="single" w:color="000000" w:sz="4" w:space="0"/>
            </w:tcBorders>
            <w:shd w:val="clear" w:color="auto" w:fill="auto"/>
            <w:vAlign w:val="center"/>
          </w:tcPr>
          <w:p w14:paraId="20B8F637">
            <w:pPr>
              <w:jc w:val="left"/>
              <w:rPr>
                <w:rFonts w:hint="eastAsia" w:ascii="宋体" w:hAnsi="宋体" w:eastAsia="宋体" w:cs="宋体"/>
                <w:i w:val="0"/>
                <w:iCs w:val="0"/>
                <w:color w:val="000000"/>
                <w:sz w:val="20"/>
                <w:szCs w:val="20"/>
                <w:u w:val="none"/>
              </w:rPr>
            </w:pPr>
          </w:p>
        </w:tc>
      </w:tr>
      <w:tr w14:paraId="3424F1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202C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53</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AF1B0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三合一摇头灯灯珠</w:t>
            </w:r>
          </w:p>
        </w:tc>
        <w:tc>
          <w:tcPr>
            <w:tcW w:w="3726" w:type="pct"/>
            <w:tcBorders>
              <w:top w:val="single" w:color="000000" w:sz="4" w:space="0"/>
              <w:left w:val="single" w:color="000000" w:sz="4" w:space="0"/>
              <w:bottom w:val="single" w:color="000000" w:sz="4" w:space="0"/>
              <w:right w:val="single" w:color="000000" w:sz="4" w:space="0"/>
            </w:tcBorders>
            <w:shd w:val="clear" w:color="auto" w:fill="auto"/>
            <w:vAlign w:val="top"/>
          </w:tcPr>
          <w:p w14:paraId="2AC901C3">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灯珠：LED250W模组，光通量(lm):7264.9，孔位30X33  5管W1250</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F3D7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颗</w:t>
            </w:r>
          </w:p>
        </w:tc>
        <w:tc>
          <w:tcPr>
            <w:tcW w:w="171" w:type="pct"/>
            <w:tcBorders>
              <w:top w:val="single" w:color="000000" w:sz="4" w:space="0"/>
              <w:left w:val="nil"/>
              <w:bottom w:val="single" w:color="000000" w:sz="4" w:space="0"/>
              <w:right w:val="single" w:color="000000" w:sz="4" w:space="0"/>
            </w:tcBorders>
            <w:shd w:val="clear" w:color="auto" w:fill="auto"/>
            <w:noWrap/>
            <w:vAlign w:val="center"/>
          </w:tcPr>
          <w:p w14:paraId="483D0B06">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32</w:t>
            </w:r>
          </w:p>
        </w:tc>
        <w:tc>
          <w:tcPr>
            <w:tcW w:w="223" w:type="pct"/>
            <w:tcBorders>
              <w:top w:val="single" w:color="000000" w:sz="4" w:space="0"/>
              <w:left w:val="single" w:color="000000" w:sz="4" w:space="0"/>
              <w:bottom w:val="nil"/>
              <w:right w:val="single" w:color="000000" w:sz="4" w:space="0"/>
            </w:tcBorders>
            <w:shd w:val="clear" w:color="auto" w:fill="auto"/>
            <w:vAlign w:val="center"/>
          </w:tcPr>
          <w:p w14:paraId="2D9A570B">
            <w:pPr>
              <w:jc w:val="left"/>
              <w:rPr>
                <w:rFonts w:hint="eastAsia" w:ascii="宋体" w:hAnsi="宋体" w:eastAsia="宋体" w:cs="宋体"/>
                <w:i w:val="0"/>
                <w:iCs w:val="0"/>
                <w:color w:val="000000"/>
                <w:sz w:val="20"/>
                <w:szCs w:val="20"/>
                <w:u w:val="none"/>
              </w:rPr>
            </w:pPr>
          </w:p>
        </w:tc>
      </w:tr>
      <w:tr w14:paraId="0158D5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F951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54</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0D200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三合一摇头灯电源</w:t>
            </w:r>
          </w:p>
        </w:tc>
        <w:tc>
          <w:tcPr>
            <w:tcW w:w="3726" w:type="pct"/>
            <w:tcBorders>
              <w:top w:val="single" w:color="000000" w:sz="4" w:space="0"/>
              <w:left w:val="single" w:color="000000" w:sz="4" w:space="0"/>
              <w:bottom w:val="single" w:color="000000" w:sz="4" w:space="0"/>
              <w:right w:val="single" w:color="000000" w:sz="4" w:space="0"/>
            </w:tcBorders>
            <w:shd w:val="clear" w:color="auto" w:fill="auto"/>
            <w:vAlign w:val="top"/>
          </w:tcPr>
          <w:p w14:paraId="0DAF73E4">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电源：HS-U300D36＋12S(PFC)双路稳压，驱动：CCD-36D30S080PWM</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304D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c>
          <w:tcPr>
            <w:tcW w:w="171" w:type="pct"/>
            <w:tcBorders>
              <w:top w:val="single" w:color="000000" w:sz="4" w:space="0"/>
              <w:left w:val="nil"/>
              <w:bottom w:val="single" w:color="000000" w:sz="4" w:space="0"/>
              <w:right w:val="single" w:color="000000" w:sz="4" w:space="0"/>
            </w:tcBorders>
            <w:shd w:val="clear" w:color="auto" w:fill="auto"/>
            <w:noWrap/>
            <w:vAlign w:val="center"/>
          </w:tcPr>
          <w:p w14:paraId="0D7FC27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14</w:t>
            </w:r>
          </w:p>
        </w:tc>
        <w:tc>
          <w:tcPr>
            <w:tcW w:w="223" w:type="pct"/>
            <w:tcBorders>
              <w:top w:val="single" w:color="000000" w:sz="4" w:space="0"/>
              <w:left w:val="single" w:color="000000" w:sz="4" w:space="0"/>
              <w:bottom w:val="nil"/>
              <w:right w:val="single" w:color="000000" w:sz="4" w:space="0"/>
            </w:tcBorders>
            <w:shd w:val="clear" w:color="auto" w:fill="auto"/>
            <w:vAlign w:val="center"/>
          </w:tcPr>
          <w:p w14:paraId="78957BF0">
            <w:pPr>
              <w:jc w:val="left"/>
              <w:rPr>
                <w:rFonts w:hint="eastAsia" w:ascii="宋体" w:hAnsi="宋体" w:eastAsia="宋体" w:cs="宋体"/>
                <w:i w:val="0"/>
                <w:iCs w:val="0"/>
                <w:color w:val="000000"/>
                <w:sz w:val="20"/>
                <w:szCs w:val="20"/>
                <w:u w:val="none"/>
              </w:rPr>
            </w:pPr>
          </w:p>
        </w:tc>
      </w:tr>
      <w:tr w14:paraId="1E20FF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6846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55</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C32E3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三合一摇头灯色片</w:t>
            </w:r>
          </w:p>
        </w:tc>
        <w:tc>
          <w:tcPr>
            <w:tcW w:w="3726" w:type="pct"/>
            <w:tcBorders>
              <w:top w:val="single" w:color="000000" w:sz="4" w:space="0"/>
              <w:left w:val="single" w:color="000000" w:sz="4" w:space="0"/>
              <w:bottom w:val="single" w:color="000000" w:sz="4" w:space="0"/>
              <w:right w:val="single" w:color="000000" w:sz="4" w:space="0"/>
            </w:tcBorders>
            <w:shd w:val="clear" w:color="auto" w:fill="auto"/>
            <w:vAlign w:val="top"/>
          </w:tcPr>
          <w:p w14:paraId="10C65C74">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色片：6色，CMY,CTO</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59C0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片</w:t>
            </w:r>
          </w:p>
        </w:tc>
        <w:tc>
          <w:tcPr>
            <w:tcW w:w="171" w:type="pct"/>
            <w:tcBorders>
              <w:top w:val="single" w:color="000000" w:sz="4" w:space="0"/>
              <w:left w:val="nil"/>
              <w:bottom w:val="single" w:color="000000" w:sz="4" w:space="0"/>
              <w:right w:val="single" w:color="000000" w:sz="4" w:space="0"/>
            </w:tcBorders>
            <w:shd w:val="clear" w:color="auto" w:fill="auto"/>
            <w:noWrap/>
            <w:vAlign w:val="center"/>
          </w:tcPr>
          <w:p w14:paraId="4384156C">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140</w:t>
            </w:r>
          </w:p>
        </w:tc>
        <w:tc>
          <w:tcPr>
            <w:tcW w:w="223" w:type="pct"/>
            <w:tcBorders>
              <w:top w:val="single" w:color="000000" w:sz="4" w:space="0"/>
              <w:left w:val="single" w:color="000000" w:sz="4" w:space="0"/>
              <w:bottom w:val="nil"/>
              <w:right w:val="single" w:color="000000" w:sz="4" w:space="0"/>
            </w:tcBorders>
            <w:shd w:val="clear" w:color="auto" w:fill="auto"/>
            <w:vAlign w:val="center"/>
          </w:tcPr>
          <w:p w14:paraId="4FE614C7">
            <w:pPr>
              <w:jc w:val="left"/>
              <w:rPr>
                <w:rFonts w:hint="eastAsia" w:ascii="宋体" w:hAnsi="宋体" w:eastAsia="宋体" w:cs="宋体"/>
                <w:i w:val="0"/>
                <w:iCs w:val="0"/>
                <w:color w:val="000000"/>
                <w:sz w:val="20"/>
                <w:szCs w:val="20"/>
                <w:u w:val="none"/>
              </w:rPr>
            </w:pPr>
          </w:p>
        </w:tc>
      </w:tr>
      <w:tr w14:paraId="39FA2D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FB27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56</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FDDCA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三合一摇头灯旋图</w:t>
            </w:r>
          </w:p>
        </w:tc>
        <w:tc>
          <w:tcPr>
            <w:tcW w:w="3726" w:type="pct"/>
            <w:tcBorders>
              <w:top w:val="single" w:color="000000" w:sz="4" w:space="0"/>
              <w:left w:val="single" w:color="000000" w:sz="4" w:space="0"/>
              <w:bottom w:val="single" w:color="000000" w:sz="4" w:space="0"/>
              <w:right w:val="single" w:color="000000" w:sz="4" w:space="0"/>
            </w:tcBorders>
            <w:shd w:val="clear" w:color="auto" w:fill="auto"/>
            <w:vAlign w:val="top"/>
          </w:tcPr>
          <w:p w14:paraId="4B081467">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旋图：7个图案</w:t>
            </w:r>
            <w:r>
              <w:rPr>
                <w:rFonts w:ascii="Microsoft YaHei UI" w:hAnsi="Microsoft YaHei UI" w:eastAsia="Microsoft YaHei UI" w:cs="Microsoft YaHei UI"/>
                <w:i w:val="0"/>
                <w:iCs w:val="0"/>
                <w:snapToGrid w:val="0"/>
                <w:color w:val="000000"/>
                <w:kern w:val="0"/>
                <w:sz w:val="20"/>
                <w:szCs w:val="20"/>
                <w:u w:val="none"/>
                <w:lang w:val="en-US" w:eastAsia="zh-CN" w:bidi="ar"/>
              </w:rPr>
              <w:t>⽚，波图外径</w:t>
            </w:r>
            <w:r>
              <w:rPr>
                <w:rFonts w:hint="eastAsia" w:ascii="宋体" w:hAnsi="宋体" w:eastAsia="宋体" w:cs="宋体"/>
                <w:i w:val="0"/>
                <w:iCs w:val="0"/>
                <w:snapToGrid w:val="0"/>
                <w:color w:val="000000"/>
                <w:kern w:val="0"/>
                <w:sz w:val="20"/>
                <w:szCs w:val="20"/>
                <w:u w:val="none"/>
                <w:lang w:val="en-US" w:eastAsia="zh-CN" w:bidi="ar"/>
              </w:rPr>
              <w:t>19.7内径10MM</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EF27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c>
          <w:tcPr>
            <w:tcW w:w="171" w:type="pct"/>
            <w:tcBorders>
              <w:top w:val="single" w:color="000000" w:sz="4" w:space="0"/>
              <w:left w:val="nil"/>
              <w:bottom w:val="single" w:color="000000" w:sz="4" w:space="0"/>
              <w:right w:val="single" w:color="000000" w:sz="4" w:space="0"/>
            </w:tcBorders>
            <w:shd w:val="clear" w:color="auto" w:fill="auto"/>
            <w:noWrap/>
            <w:vAlign w:val="center"/>
          </w:tcPr>
          <w:p w14:paraId="3E555A4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98</w:t>
            </w:r>
          </w:p>
        </w:tc>
        <w:tc>
          <w:tcPr>
            <w:tcW w:w="223" w:type="pct"/>
            <w:tcBorders>
              <w:top w:val="single" w:color="000000" w:sz="4" w:space="0"/>
              <w:left w:val="single" w:color="000000" w:sz="4" w:space="0"/>
              <w:bottom w:val="nil"/>
              <w:right w:val="single" w:color="000000" w:sz="4" w:space="0"/>
            </w:tcBorders>
            <w:shd w:val="clear" w:color="auto" w:fill="auto"/>
            <w:vAlign w:val="center"/>
          </w:tcPr>
          <w:p w14:paraId="1143F1DA">
            <w:pPr>
              <w:jc w:val="left"/>
              <w:rPr>
                <w:rFonts w:hint="eastAsia" w:ascii="宋体" w:hAnsi="宋体" w:eastAsia="宋体" w:cs="宋体"/>
                <w:i w:val="0"/>
                <w:iCs w:val="0"/>
                <w:color w:val="000000"/>
                <w:sz w:val="20"/>
                <w:szCs w:val="20"/>
                <w:u w:val="none"/>
              </w:rPr>
            </w:pPr>
          </w:p>
        </w:tc>
      </w:tr>
      <w:tr w14:paraId="10C569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D4D0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57</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78F8E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三合一摇头灯棱镜</w:t>
            </w:r>
          </w:p>
        </w:tc>
        <w:tc>
          <w:tcPr>
            <w:tcW w:w="3726" w:type="pct"/>
            <w:tcBorders>
              <w:top w:val="single" w:color="000000" w:sz="4" w:space="0"/>
              <w:left w:val="single" w:color="000000" w:sz="4" w:space="0"/>
              <w:bottom w:val="single" w:color="000000" w:sz="4" w:space="0"/>
              <w:right w:val="single" w:color="000000" w:sz="4" w:space="0"/>
            </w:tcBorders>
            <w:shd w:val="clear" w:color="auto" w:fill="auto"/>
            <w:vAlign w:val="top"/>
          </w:tcPr>
          <w:p w14:paraId="0F582091">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棱镜：46*20°</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2424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块</w:t>
            </w:r>
          </w:p>
        </w:tc>
        <w:tc>
          <w:tcPr>
            <w:tcW w:w="171" w:type="pct"/>
            <w:tcBorders>
              <w:top w:val="single" w:color="000000" w:sz="4" w:space="0"/>
              <w:left w:val="nil"/>
              <w:bottom w:val="single" w:color="000000" w:sz="4" w:space="0"/>
              <w:right w:val="single" w:color="000000" w:sz="4" w:space="0"/>
            </w:tcBorders>
            <w:shd w:val="clear" w:color="auto" w:fill="auto"/>
            <w:noWrap/>
            <w:vAlign w:val="center"/>
          </w:tcPr>
          <w:p w14:paraId="6CB9E4F7">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14</w:t>
            </w:r>
          </w:p>
        </w:tc>
        <w:tc>
          <w:tcPr>
            <w:tcW w:w="223" w:type="pct"/>
            <w:tcBorders>
              <w:top w:val="single" w:color="000000" w:sz="4" w:space="0"/>
              <w:left w:val="single" w:color="000000" w:sz="4" w:space="0"/>
              <w:bottom w:val="nil"/>
              <w:right w:val="single" w:color="000000" w:sz="4" w:space="0"/>
            </w:tcBorders>
            <w:shd w:val="clear" w:color="auto" w:fill="auto"/>
            <w:vAlign w:val="center"/>
          </w:tcPr>
          <w:p w14:paraId="7223E8C6">
            <w:pPr>
              <w:jc w:val="left"/>
              <w:rPr>
                <w:rFonts w:hint="eastAsia" w:ascii="宋体" w:hAnsi="宋体" w:eastAsia="宋体" w:cs="宋体"/>
                <w:i w:val="0"/>
                <w:iCs w:val="0"/>
                <w:color w:val="000000"/>
                <w:sz w:val="20"/>
                <w:szCs w:val="20"/>
                <w:u w:val="none"/>
              </w:rPr>
            </w:pPr>
          </w:p>
        </w:tc>
      </w:tr>
      <w:tr w14:paraId="41104B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3979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58</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54AE6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三合一摇头灯调焦</w:t>
            </w:r>
          </w:p>
        </w:tc>
        <w:tc>
          <w:tcPr>
            <w:tcW w:w="3726" w:type="pct"/>
            <w:tcBorders>
              <w:top w:val="single" w:color="000000" w:sz="4" w:space="0"/>
              <w:left w:val="single" w:color="000000" w:sz="4" w:space="0"/>
              <w:bottom w:val="single" w:color="000000" w:sz="4" w:space="0"/>
              <w:right w:val="single" w:color="000000" w:sz="4" w:space="0"/>
            </w:tcBorders>
            <w:shd w:val="clear" w:color="auto" w:fill="auto"/>
            <w:vAlign w:val="top"/>
          </w:tcPr>
          <w:p w14:paraId="0F8A643F">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调焦放大：42-12-20-15， 4.5°-30°</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E5BE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c>
          <w:tcPr>
            <w:tcW w:w="171" w:type="pct"/>
            <w:tcBorders>
              <w:top w:val="single" w:color="000000" w:sz="4" w:space="0"/>
              <w:left w:val="nil"/>
              <w:bottom w:val="single" w:color="000000" w:sz="4" w:space="0"/>
              <w:right w:val="single" w:color="000000" w:sz="4" w:space="0"/>
            </w:tcBorders>
            <w:shd w:val="clear" w:color="auto" w:fill="auto"/>
            <w:noWrap/>
            <w:vAlign w:val="center"/>
          </w:tcPr>
          <w:p w14:paraId="55A31B7C">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28</w:t>
            </w:r>
          </w:p>
        </w:tc>
        <w:tc>
          <w:tcPr>
            <w:tcW w:w="223" w:type="pct"/>
            <w:tcBorders>
              <w:top w:val="single" w:color="000000" w:sz="4" w:space="0"/>
              <w:left w:val="single" w:color="000000" w:sz="4" w:space="0"/>
              <w:bottom w:val="nil"/>
              <w:right w:val="single" w:color="000000" w:sz="4" w:space="0"/>
            </w:tcBorders>
            <w:shd w:val="clear" w:color="auto" w:fill="auto"/>
            <w:vAlign w:val="center"/>
          </w:tcPr>
          <w:p w14:paraId="200A9C09">
            <w:pPr>
              <w:jc w:val="left"/>
              <w:rPr>
                <w:rFonts w:hint="eastAsia" w:ascii="宋体" w:hAnsi="宋体" w:eastAsia="宋体" w:cs="宋体"/>
                <w:i w:val="0"/>
                <w:iCs w:val="0"/>
                <w:color w:val="000000"/>
                <w:sz w:val="20"/>
                <w:szCs w:val="20"/>
                <w:u w:val="none"/>
              </w:rPr>
            </w:pPr>
          </w:p>
        </w:tc>
      </w:tr>
      <w:tr w14:paraId="4CF72F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3E93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59</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78878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三合一摇头灯显示板</w:t>
            </w:r>
          </w:p>
        </w:tc>
        <w:tc>
          <w:tcPr>
            <w:tcW w:w="3726" w:type="pct"/>
            <w:tcBorders>
              <w:top w:val="single" w:color="000000" w:sz="4" w:space="0"/>
              <w:left w:val="single" w:color="000000" w:sz="4" w:space="0"/>
              <w:bottom w:val="single" w:color="000000" w:sz="4" w:space="0"/>
              <w:right w:val="single" w:color="000000" w:sz="4" w:space="0"/>
            </w:tcBorders>
            <w:shd w:val="clear" w:color="auto" w:fill="auto"/>
            <w:vAlign w:val="top"/>
          </w:tcPr>
          <w:p w14:paraId="7EA43748">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显示板1.8寸，触摸显</w:t>
            </w:r>
            <w:r>
              <w:rPr>
                <w:rFonts w:ascii="微软雅黑" w:hAnsi="微软雅黑" w:eastAsia="微软雅黑" w:cs="微软雅黑"/>
                <w:i w:val="0"/>
                <w:iCs w:val="0"/>
                <w:snapToGrid w:val="0"/>
                <w:color w:val="000000"/>
                <w:kern w:val="0"/>
                <w:sz w:val="20"/>
                <w:szCs w:val="20"/>
                <w:u w:val="none"/>
                <w:lang w:val="en-US" w:eastAsia="zh-CN" w:bidi="ar"/>
              </w:rPr>
              <w:t>⽰</w:t>
            </w:r>
            <w:r>
              <w:rPr>
                <w:rFonts w:hint="eastAsia" w:ascii="宋体" w:hAnsi="宋体" w:eastAsia="宋体" w:cs="宋体"/>
                <w:i w:val="0"/>
                <w:iCs w:val="0"/>
                <w:snapToGrid w:val="0"/>
                <w:color w:val="000000"/>
                <w:kern w:val="0"/>
                <w:sz w:val="20"/>
                <w:szCs w:val="20"/>
                <w:u w:val="none"/>
                <w:lang w:val="en-US" w:eastAsia="zh-CN" w:bidi="ar"/>
              </w:rPr>
              <w:t>屏，22通道</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C386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块</w:t>
            </w:r>
          </w:p>
        </w:tc>
        <w:tc>
          <w:tcPr>
            <w:tcW w:w="171" w:type="pct"/>
            <w:tcBorders>
              <w:top w:val="single" w:color="000000" w:sz="4" w:space="0"/>
              <w:left w:val="nil"/>
              <w:bottom w:val="single" w:color="000000" w:sz="4" w:space="0"/>
              <w:right w:val="single" w:color="000000" w:sz="4" w:space="0"/>
            </w:tcBorders>
            <w:shd w:val="clear" w:color="auto" w:fill="auto"/>
            <w:noWrap/>
            <w:vAlign w:val="center"/>
          </w:tcPr>
          <w:p w14:paraId="7BAF5416">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14</w:t>
            </w:r>
          </w:p>
        </w:tc>
        <w:tc>
          <w:tcPr>
            <w:tcW w:w="223" w:type="pct"/>
            <w:tcBorders>
              <w:top w:val="single" w:color="000000" w:sz="4" w:space="0"/>
              <w:left w:val="single" w:color="000000" w:sz="4" w:space="0"/>
              <w:bottom w:val="nil"/>
              <w:right w:val="single" w:color="000000" w:sz="4" w:space="0"/>
            </w:tcBorders>
            <w:shd w:val="clear" w:color="auto" w:fill="auto"/>
            <w:vAlign w:val="center"/>
          </w:tcPr>
          <w:p w14:paraId="4269EB98">
            <w:pPr>
              <w:jc w:val="left"/>
              <w:rPr>
                <w:rFonts w:hint="eastAsia" w:ascii="宋体" w:hAnsi="宋体" w:eastAsia="宋体" w:cs="宋体"/>
                <w:i w:val="0"/>
                <w:iCs w:val="0"/>
                <w:color w:val="000000"/>
                <w:sz w:val="20"/>
                <w:szCs w:val="20"/>
                <w:u w:val="none"/>
              </w:rPr>
            </w:pPr>
          </w:p>
        </w:tc>
      </w:tr>
      <w:tr w14:paraId="2E20A2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DE31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60</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62A94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三合一摇头灯XY轴电机</w:t>
            </w:r>
          </w:p>
        </w:tc>
        <w:tc>
          <w:tcPr>
            <w:tcW w:w="3726" w:type="pct"/>
            <w:tcBorders>
              <w:top w:val="single" w:color="000000" w:sz="4" w:space="0"/>
              <w:left w:val="single" w:color="000000" w:sz="4" w:space="0"/>
              <w:bottom w:val="single" w:color="000000" w:sz="4" w:space="0"/>
              <w:right w:val="single" w:color="000000" w:sz="4" w:space="0"/>
            </w:tcBorders>
            <w:shd w:val="clear" w:color="auto" w:fill="auto"/>
            <w:vAlign w:val="top"/>
          </w:tcPr>
          <w:p w14:paraId="6DE3198D">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XY轴电机：60-22-6-24，16bit精度微调及自动回位纠正功能</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A2A0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台</w:t>
            </w:r>
          </w:p>
        </w:tc>
        <w:tc>
          <w:tcPr>
            <w:tcW w:w="171" w:type="pct"/>
            <w:tcBorders>
              <w:top w:val="single" w:color="000000" w:sz="4" w:space="0"/>
              <w:left w:val="nil"/>
              <w:bottom w:val="single" w:color="000000" w:sz="4" w:space="0"/>
              <w:right w:val="single" w:color="000000" w:sz="4" w:space="0"/>
            </w:tcBorders>
            <w:shd w:val="clear" w:color="auto" w:fill="auto"/>
            <w:noWrap/>
            <w:vAlign w:val="center"/>
          </w:tcPr>
          <w:p w14:paraId="657CABD7">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56</w:t>
            </w:r>
          </w:p>
        </w:tc>
        <w:tc>
          <w:tcPr>
            <w:tcW w:w="223" w:type="pct"/>
            <w:tcBorders>
              <w:top w:val="single" w:color="000000" w:sz="4" w:space="0"/>
              <w:left w:val="single" w:color="000000" w:sz="4" w:space="0"/>
              <w:bottom w:val="nil"/>
              <w:right w:val="single" w:color="000000" w:sz="4" w:space="0"/>
            </w:tcBorders>
            <w:shd w:val="clear" w:color="auto" w:fill="auto"/>
            <w:vAlign w:val="center"/>
          </w:tcPr>
          <w:p w14:paraId="1A8B6F10">
            <w:pPr>
              <w:jc w:val="left"/>
              <w:rPr>
                <w:rFonts w:hint="eastAsia" w:ascii="宋体" w:hAnsi="宋体" w:eastAsia="宋体" w:cs="宋体"/>
                <w:i w:val="0"/>
                <w:iCs w:val="0"/>
                <w:color w:val="000000"/>
                <w:sz w:val="20"/>
                <w:szCs w:val="20"/>
                <w:u w:val="none"/>
              </w:rPr>
            </w:pPr>
          </w:p>
        </w:tc>
      </w:tr>
      <w:tr w14:paraId="67A735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F6C2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61</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8FC02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LED聚光灯灯珠</w:t>
            </w:r>
          </w:p>
        </w:tc>
        <w:tc>
          <w:tcPr>
            <w:tcW w:w="3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D143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灯珠：2828SW200C25F13-03H922770，200WCOB,3P单45CM   0.3线径</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92FA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颗</w:t>
            </w:r>
          </w:p>
        </w:tc>
        <w:tc>
          <w:tcPr>
            <w:tcW w:w="171" w:type="pct"/>
            <w:tcBorders>
              <w:top w:val="single" w:color="000000" w:sz="4" w:space="0"/>
              <w:left w:val="nil"/>
              <w:bottom w:val="single" w:color="000000" w:sz="4" w:space="0"/>
              <w:right w:val="single" w:color="000000" w:sz="4" w:space="0"/>
            </w:tcBorders>
            <w:shd w:val="clear" w:color="auto" w:fill="auto"/>
            <w:noWrap/>
            <w:vAlign w:val="center"/>
          </w:tcPr>
          <w:p w14:paraId="46311D47">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36</w:t>
            </w:r>
          </w:p>
        </w:tc>
        <w:tc>
          <w:tcPr>
            <w:tcW w:w="223" w:type="pct"/>
            <w:tcBorders>
              <w:top w:val="single" w:color="000000" w:sz="4" w:space="0"/>
              <w:left w:val="single" w:color="000000" w:sz="4" w:space="0"/>
              <w:bottom w:val="nil"/>
              <w:right w:val="single" w:color="000000" w:sz="4" w:space="0"/>
            </w:tcBorders>
            <w:shd w:val="clear" w:color="auto" w:fill="auto"/>
            <w:vAlign w:val="center"/>
          </w:tcPr>
          <w:p w14:paraId="75C1D0DB">
            <w:pPr>
              <w:jc w:val="left"/>
              <w:rPr>
                <w:rFonts w:hint="eastAsia" w:ascii="宋体" w:hAnsi="宋体" w:eastAsia="宋体" w:cs="宋体"/>
                <w:i w:val="0"/>
                <w:iCs w:val="0"/>
                <w:color w:val="000000"/>
                <w:sz w:val="20"/>
                <w:szCs w:val="20"/>
                <w:u w:val="none"/>
              </w:rPr>
            </w:pPr>
          </w:p>
        </w:tc>
      </w:tr>
      <w:tr w14:paraId="17BB14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0479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62</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65B70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LED聚光灯电源</w:t>
            </w:r>
          </w:p>
        </w:tc>
        <w:tc>
          <w:tcPr>
            <w:tcW w:w="3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6870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电源：HS-U250D42+12L(LED),400W</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8FA2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c>
          <w:tcPr>
            <w:tcW w:w="171" w:type="pct"/>
            <w:tcBorders>
              <w:top w:val="single" w:color="000000" w:sz="4" w:space="0"/>
              <w:left w:val="nil"/>
              <w:bottom w:val="single" w:color="000000" w:sz="4" w:space="0"/>
              <w:right w:val="single" w:color="000000" w:sz="4" w:space="0"/>
            </w:tcBorders>
            <w:shd w:val="clear" w:color="auto" w:fill="auto"/>
            <w:noWrap/>
            <w:vAlign w:val="center"/>
          </w:tcPr>
          <w:p w14:paraId="2A6F5B1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14</w:t>
            </w:r>
          </w:p>
        </w:tc>
        <w:tc>
          <w:tcPr>
            <w:tcW w:w="223" w:type="pct"/>
            <w:tcBorders>
              <w:top w:val="single" w:color="000000" w:sz="4" w:space="0"/>
              <w:left w:val="single" w:color="000000" w:sz="4" w:space="0"/>
              <w:bottom w:val="nil"/>
              <w:right w:val="single" w:color="000000" w:sz="4" w:space="0"/>
            </w:tcBorders>
            <w:shd w:val="clear" w:color="auto" w:fill="auto"/>
            <w:vAlign w:val="center"/>
          </w:tcPr>
          <w:p w14:paraId="54A0B86C">
            <w:pPr>
              <w:jc w:val="left"/>
              <w:rPr>
                <w:rFonts w:hint="eastAsia" w:ascii="宋体" w:hAnsi="宋体" w:eastAsia="宋体" w:cs="宋体"/>
                <w:i w:val="0"/>
                <w:iCs w:val="0"/>
                <w:color w:val="000000"/>
                <w:sz w:val="20"/>
                <w:szCs w:val="20"/>
                <w:u w:val="none"/>
              </w:rPr>
            </w:pPr>
          </w:p>
        </w:tc>
      </w:tr>
      <w:tr w14:paraId="65E976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89BE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63</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357CD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LED聚光灯主板</w:t>
            </w:r>
          </w:p>
        </w:tc>
        <w:tc>
          <w:tcPr>
            <w:tcW w:w="3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05C2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主板：3200K-5600K,4通道</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8512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块</w:t>
            </w:r>
          </w:p>
        </w:tc>
        <w:tc>
          <w:tcPr>
            <w:tcW w:w="171" w:type="pct"/>
            <w:tcBorders>
              <w:top w:val="single" w:color="000000" w:sz="4" w:space="0"/>
              <w:left w:val="nil"/>
              <w:bottom w:val="single" w:color="000000" w:sz="4" w:space="0"/>
              <w:right w:val="single" w:color="000000" w:sz="4" w:space="0"/>
            </w:tcBorders>
            <w:shd w:val="clear" w:color="auto" w:fill="auto"/>
            <w:noWrap/>
            <w:vAlign w:val="center"/>
          </w:tcPr>
          <w:p w14:paraId="3137611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14</w:t>
            </w:r>
          </w:p>
        </w:tc>
        <w:tc>
          <w:tcPr>
            <w:tcW w:w="223" w:type="pct"/>
            <w:tcBorders>
              <w:top w:val="single" w:color="000000" w:sz="4" w:space="0"/>
              <w:left w:val="single" w:color="000000" w:sz="4" w:space="0"/>
              <w:bottom w:val="nil"/>
              <w:right w:val="single" w:color="000000" w:sz="4" w:space="0"/>
            </w:tcBorders>
            <w:shd w:val="clear" w:color="auto" w:fill="auto"/>
            <w:vAlign w:val="center"/>
          </w:tcPr>
          <w:p w14:paraId="6EF42B0B">
            <w:pPr>
              <w:jc w:val="left"/>
              <w:rPr>
                <w:rFonts w:hint="eastAsia" w:ascii="宋体" w:hAnsi="宋体" w:eastAsia="宋体" w:cs="宋体"/>
                <w:i w:val="0"/>
                <w:iCs w:val="0"/>
                <w:color w:val="000000"/>
                <w:sz w:val="20"/>
                <w:szCs w:val="20"/>
                <w:u w:val="none"/>
              </w:rPr>
            </w:pPr>
          </w:p>
        </w:tc>
      </w:tr>
      <w:tr w14:paraId="696DEA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D92A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64</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9A929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LED聚光灯调焦</w:t>
            </w:r>
          </w:p>
        </w:tc>
        <w:tc>
          <w:tcPr>
            <w:tcW w:w="3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DBDE5">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调焦放大:15°-50°</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77B7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c>
          <w:tcPr>
            <w:tcW w:w="171" w:type="pct"/>
            <w:tcBorders>
              <w:top w:val="single" w:color="000000" w:sz="4" w:space="0"/>
              <w:left w:val="nil"/>
              <w:bottom w:val="single" w:color="000000" w:sz="4" w:space="0"/>
              <w:right w:val="single" w:color="000000" w:sz="4" w:space="0"/>
            </w:tcBorders>
            <w:shd w:val="clear" w:color="auto" w:fill="auto"/>
            <w:noWrap/>
            <w:vAlign w:val="center"/>
          </w:tcPr>
          <w:p w14:paraId="762DAA0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14</w:t>
            </w:r>
          </w:p>
        </w:tc>
        <w:tc>
          <w:tcPr>
            <w:tcW w:w="223" w:type="pct"/>
            <w:tcBorders>
              <w:top w:val="single" w:color="000000" w:sz="4" w:space="0"/>
              <w:left w:val="single" w:color="000000" w:sz="4" w:space="0"/>
              <w:bottom w:val="nil"/>
              <w:right w:val="single" w:color="000000" w:sz="4" w:space="0"/>
            </w:tcBorders>
            <w:shd w:val="clear" w:color="auto" w:fill="auto"/>
            <w:vAlign w:val="center"/>
          </w:tcPr>
          <w:p w14:paraId="2FA574EA">
            <w:pPr>
              <w:jc w:val="left"/>
              <w:rPr>
                <w:rFonts w:hint="eastAsia" w:ascii="宋体" w:hAnsi="宋体" w:eastAsia="宋体" w:cs="宋体"/>
                <w:i w:val="0"/>
                <w:iCs w:val="0"/>
                <w:color w:val="000000"/>
                <w:sz w:val="20"/>
                <w:szCs w:val="20"/>
                <w:u w:val="none"/>
              </w:rPr>
            </w:pPr>
          </w:p>
        </w:tc>
      </w:tr>
      <w:tr w14:paraId="0C1A84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B321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65</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61B60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LED聚光灯风机</w:t>
            </w:r>
          </w:p>
        </w:tc>
        <w:tc>
          <w:tcPr>
            <w:tcW w:w="3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9346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风机:MF92251V1-1000C-A99,D：250</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6E7B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台</w:t>
            </w:r>
          </w:p>
        </w:tc>
        <w:tc>
          <w:tcPr>
            <w:tcW w:w="171" w:type="pct"/>
            <w:tcBorders>
              <w:top w:val="single" w:color="000000" w:sz="4" w:space="0"/>
              <w:left w:val="nil"/>
              <w:bottom w:val="single" w:color="000000" w:sz="4" w:space="0"/>
              <w:right w:val="single" w:color="000000" w:sz="4" w:space="0"/>
            </w:tcBorders>
            <w:shd w:val="clear" w:color="auto" w:fill="auto"/>
            <w:noWrap/>
            <w:vAlign w:val="center"/>
          </w:tcPr>
          <w:p w14:paraId="26F8286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28</w:t>
            </w:r>
          </w:p>
        </w:tc>
        <w:tc>
          <w:tcPr>
            <w:tcW w:w="223" w:type="pct"/>
            <w:tcBorders>
              <w:top w:val="single" w:color="000000" w:sz="4" w:space="0"/>
              <w:left w:val="single" w:color="000000" w:sz="4" w:space="0"/>
              <w:bottom w:val="nil"/>
              <w:right w:val="single" w:color="000000" w:sz="4" w:space="0"/>
            </w:tcBorders>
            <w:shd w:val="clear" w:color="auto" w:fill="auto"/>
            <w:vAlign w:val="center"/>
          </w:tcPr>
          <w:p w14:paraId="19FA38EE">
            <w:pPr>
              <w:jc w:val="left"/>
              <w:rPr>
                <w:rFonts w:hint="eastAsia" w:ascii="宋体" w:hAnsi="宋体" w:eastAsia="宋体" w:cs="宋体"/>
                <w:i w:val="0"/>
                <w:iCs w:val="0"/>
                <w:color w:val="000000"/>
                <w:sz w:val="20"/>
                <w:szCs w:val="20"/>
                <w:u w:val="none"/>
              </w:rPr>
            </w:pPr>
          </w:p>
        </w:tc>
      </w:tr>
      <w:tr w14:paraId="476AE6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75A3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66</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596FB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COB面光灯灯珠</w:t>
            </w:r>
          </w:p>
        </w:tc>
        <w:tc>
          <w:tcPr>
            <w:tcW w:w="3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EFBF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 xml:space="preserve">灯珠：COB 200W </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CF39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颗</w:t>
            </w:r>
          </w:p>
        </w:tc>
        <w:tc>
          <w:tcPr>
            <w:tcW w:w="171" w:type="pct"/>
            <w:tcBorders>
              <w:top w:val="single" w:color="000000" w:sz="4" w:space="0"/>
              <w:left w:val="nil"/>
              <w:bottom w:val="single" w:color="000000" w:sz="4" w:space="0"/>
              <w:right w:val="single" w:color="000000" w:sz="4" w:space="0"/>
            </w:tcBorders>
            <w:shd w:val="clear" w:color="auto" w:fill="auto"/>
            <w:noWrap/>
            <w:vAlign w:val="center"/>
          </w:tcPr>
          <w:p w14:paraId="3206ECCB">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55</w:t>
            </w:r>
          </w:p>
        </w:tc>
        <w:tc>
          <w:tcPr>
            <w:tcW w:w="223" w:type="pct"/>
            <w:tcBorders>
              <w:top w:val="single" w:color="000000" w:sz="4" w:space="0"/>
              <w:left w:val="single" w:color="000000" w:sz="4" w:space="0"/>
              <w:bottom w:val="nil"/>
              <w:right w:val="single" w:color="000000" w:sz="4" w:space="0"/>
            </w:tcBorders>
            <w:shd w:val="clear" w:color="auto" w:fill="auto"/>
            <w:vAlign w:val="center"/>
          </w:tcPr>
          <w:p w14:paraId="020D094A">
            <w:pPr>
              <w:jc w:val="left"/>
              <w:rPr>
                <w:rFonts w:hint="eastAsia" w:ascii="宋体" w:hAnsi="宋体" w:eastAsia="宋体" w:cs="宋体"/>
                <w:i w:val="0"/>
                <w:iCs w:val="0"/>
                <w:color w:val="000000"/>
                <w:sz w:val="20"/>
                <w:szCs w:val="20"/>
                <w:u w:val="none"/>
              </w:rPr>
            </w:pPr>
          </w:p>
        </w:tc>
      </w:tr>
      <w:tr w14:paraId="373988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1934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67</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C8B34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COB面光灯电源</w:t>
            </w:r>
          </w:p>
        </w:tc>
        <w:tc>
          <w:tcPr>
            <w:tcW w:w="3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0F2C7">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电源：HS-U200D36＋12S(PFC)双路稳压</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0622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c>
          <w:tcPr>
            <w:tcW w:w="171" w:type="pct"/>
            <w:tcBorders>
              <w:top w:val="single" w:color="000000" w:sz="4" w:space="0"/>
              <w:left w:val="nil"/>
              <w:bottom w:val="single" w:color="000000" w:sz="4" w:space="0"/>
              <w:right w:val="single" w:color="000000" w:sz="4" w:space="0"/>
            </w:tcBorders>
            <w:shd w:val="clear" w:color="auto" w:fill="auto"/>
            <w:noWrap/>
            <w:vAlign w:val="center"/>
          </w:tcPr>
          <w:p w14:paraId="371DF37C">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16</w:t>
            </w:r>
          </w:p>
        </w:tc>
        <w:tc>
          <w:tcPr>
            <w:tcW w:w="223" w:type="pct"/>
            <w:tcBorders>
              <w:top w:val="single" w:color="000000" w:sz="4" w:space="0"/>
              <w:left w:val="single" w:color="000000" w:sz="4" w:space="0"/>
              <w:bottom w:val="nil"/>
              <w:right w:val="single" w:color="000000" w:sz="4" w:space="0"/>
            </w:tcBorders>
            <w:shd w:val="clear" w:color="auto" w:fill="auto"/>
            <w:vAlign w:val="center"/>
          </w:tcPr>
          <w:p w14:paraId="2A7486EE">
            <w:pPr>
              <w:jc w:val="left"/>
              <w:rPr>
                <w:rFonts w:hint="eastAsia" w:ascii="宋体" w:hAnsi="宋体" w:eastAsia="宋体" w:cs="宋体"/>
                <w:i w:val="0"/>
                <w:iCs w:val="0"/>
                <w:color w:val="000000"/>
                <w:sz w:val="20"/>
                <w:szCs w:val="20"/>
                <w:u w:val="none"/>
              </w:rPr>
            </w:pPr>
          </w:p>
        </w:tc>
      </w:tr>
      <w:tr w14:paraId="048506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67D6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68</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87DE6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COB面光灯透镜</w:t>
            </w:r>
          </w:p>
        </w:tc>
        <w:tc>
          <w:tcPr>
            <w:tcW w:w="3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91BA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透镜角度:60°</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C227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块</w:t>
            </w:r>
          </w:p>
        </w:tc>
        <w:tc>
          <w:tcPr>
            <w:tcW w:w="171" w:type="pct"/>
            <w:tcBorders>
              <w:top w:val="single" w:color="000000" w:sz="4" w:space="0"/>
              <w:left w:val="nil"/>
              <w:bottom w:val="single" w:color="000000" w:sz="4" w:space="0"/>
              <w:right w:val="single" w:color="000000" w:sz="4" w:space="0"/>
            </w:tcBorders>
            <w:shd w:val="clear" w:color="auto" w:fill="auto"/>
            <w:noWrap/>
            <w:vAlign w:val="center"/>
          </w:tcPr>
          <w:p w14:paraId="4A4B70F1">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16</w:t>
            </w:r>
          </w:p>
        </w:tc>
        <w:tc>
          <w:tcPr>
            <w:tcW w:w="223" w:type="pct"/>
            <w:tcBorders>
              <w:top w:val="single" w:color="000000" w:sz="4" w:space="0"/>
              <w:left w:val="single" w:color="000000" w:sz="4" w:space="0"/>
              <w:bottom w:val="nil"/>
              <w:right w:val="single" w:color="000000" w:sz="4" w:space="0"/>
            </w:tcBorders>
            <w:shd w:val="clear" w:color="auto" w:fill="auto"/>
            <w:vAlign w:val="center"/>
          </w:tcPr>
          <w:p w14:paraId="22FAC866">
            <w:pPr>
              <w:jc w:val="left"/>
              <w:rPr>
                <w:rFonts w:hint="eastAsia" w:ascii="宋体" w:hAnsi="宋体" w:eastAsia="宋体" w:cs="宋体"/>
                <w:i w:val="0"/>
                <w:iCs w:val="0"/>
                <w:color w:val="000000"/>
                <w:sz w:val="20"/>
                <w:szCs w:val="20"/>
                <w:u w:val="none"/>
              </w:rPr>
            </w:pPr>
          </w:p>
        </w:tc>
      </w:tr>
      <w:tr w14:paraId="48FFAF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CC4F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69</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F95A3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COB面光灯主板</w:t>
            </w:r>
          </w:p>
        </w:tc>
        <w:tc>
          <w:tcPr>
            <w:tcW w:w="3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899B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主板：4通道</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CA00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块</w:t>
            </w:r>
          </w:p>
        </w:tc>
        <w:tc>
          <w:tcPr>
            <w:tcW w:w="171" w:type="pct"/>
            <w:tcBorders>
              <w:top w:val="single" w:color="000000" w:sz="4" w:space="0"/>
              <w:left w:val="nil"/>
              <w:bottom w:val="single" w:color="000000" w:sz="4" w:space="0"/>
              <w:right w:val="single" w:color="000000" w:sz="4" w:space="0"/>
            </w:tcBorders>
            <w:shd w:val="clear" w:color="auto" w:fill="auto"/>
            <w:noWrap/>
            <w:vAlign w:val="center"/>
          </w:tcPr>
          <w:p w14:paraId="05F9254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16</w:t>
            </w:r>
          </w:p>
        </w:tc>
        <w:tc>
          <w:tcPr>
            <w:tcW w:w="223" w:type="pct"/>
            <w:tcBorders>
              <w:top w:val="single" w:color="000000" w:sz="4" w:space="0"/>
              <w:left w:val="single" w:color="000000" w:sz="4" w:space="0"/>
              <w:bottom w:val="nil"/>
              <w:right w:val="single" w:color="000000" w:sz="4" w:space="0"/>
            </w:tcBorders>
            <w:shd w:val="clear" w:color="auto" w:fill="auto"/>
            <w:vAlign w:val="center"/>
          </w:tcPr>
          <w:p w14:paraId="3E45710B">
            <w:pPr>
              <w:jc w:val="left"/>
              <w:rPr>
                <w:rFonts w:hint="eastAsia" w:ascii="宋体" w:hAnsi="宋体" w:eastAsia="宋体" w:cs="宋体"/>
                <w:i w:val="0"/>
                <w:iCs w:val="0"/>
                <w:color w:val="000000"/>
                <w:sz w:val="20"/>
                <w:szCs w:val="20"/>
                <w:u w:val="none"/>
              </w:rPr>
            </w:pPr>
          </w:p>
        </w:tc>
      </w:tr>
      <w:tr w14:paraId="722FE9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2448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70</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7C542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LED追光灯灯珠</w:t>
            </w:r>
          </w:p>
        </w:tc>
        <w:tc>
          <w:tcPr>
            <w:tcW w:w="3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58CC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灯珠：LED400W模组，</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BCB2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颗</w:t>
            </w:r>
          </w:p>
        </w:tc>
        <w:tc>
          <w:tcPr>
            <w:tcW w:w="171" w:type="pct"/>
            <w:tcBorders>
              <w:top w:val="single" w:color="000000" w:sz="4" w:space="0"/>
              <w:left w:val="nil"/>
              <w:bottom w:val="single" w:color="000000" w:sz="4" w:space="0"/>
              <w:right w:val="single" w:color="000000" w:sz="4" w:space="0"/>
            </w:tcBorders>
            <w:shd w:val="clear" w:color="auto" w:fill="auto"/>
            <w:noWrap/>
            <w:vAlign w:val="center"/>
          </w:tcPr>
          <w:p w14:paraId="5517A586">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23</w:t>
            </w:r>
          </w:p>
        </w:tc>
        <w:tc>
          <w:tcPr>
            <w:tcW w:w="223" w:type="pct"/>
            <w:tcBorders>
              <w:top w:val="single" w:color="000000" w:sz="4" w:space="0"/>
              <w:left w:val="single" w:color="000000" w:sz="4" w:space="0"/>
              <w:bottom w:val="nil"/>
              <w:right w:val="single" w:color="000000" w:sz="4" w:space="0"/>
            </w:tcBorders>
            <w:shd w:val="clear" w:color="auto" w:fill="auto"/>
            <w:vAlign w:val="center"/>
          </w:tcPr>
          <w:p w14:paraId="4637CF77">
            <w:pPr>
              <w:jc w:val="left"/>
              <w:rPr>
                <w:rFonts w:hint="eastAsia" w:ascii="宋体" w:hAnsi="宋体" w:eastAsia="宋体" w:cs="宋体"/>
                <w:i w:val="0"/>
                <w:iCs w:val="0"/>
                <w:color w:val="000000"/>
                <w:sz w:val="20"/>
                <w:szCs w:val="20"/>
                <w:u w:val="none"/>
              </w:rPr>
            </w:pPr>
          </w:p>
        </w:tc>
      </w:tr>
      <w:tr w14:paraId="5FEA06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F146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71</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AC760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LED追光灯电源</w:t>
            </w:r>
          </w:p>
        </w:tc>
        <w:tc>
          <w:tcPr>
            <w:tcW w:w="3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7453F">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电源：HS-U250D42+12L(LED),600W</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2E11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c>
          <w:tcPr>
            <w:tcW w:w="171" w:type="pct"/>
            <w:tcBorders>
              <w:top w:val="single" w:color="000000" w:sz="4" w:space="0"/>
              <w:left w:val="nil"/>
              <w:bottom w:val="single" w:color="000000" w:sz="4" w:space="0"/>
              <w:right w:val="single" w:color="000000" w:sz="4" w:space="0"/>
            </w:tcBorders>
            <w:shd w:val="clear" w:color="auto" w:fill="auto"/>
            <w:noWrap/>
            <w:vAlign w:val="center"/>
          </w:tcPr>
          <w:p w14:paraId="30E96E1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2</w:t>
            </w:r>
          </w:p>
        </w:tc>
        <w:tc>
          <w:tcPr>
            <w:tcW w:w="223" w:type="pct"/>
            <w:tcBorders>
              <w:top w:val="single" w:color="000000" w:sz="4" w:space="0"/>
              <w:left w:val="single" w:color="000000" w:sz="4" w:space="0"/>
              <w:bottom w:val="nil"/>
              <w:right w:val="single" w:color="000000" w:sz="4" w:space="0"/>
            </w:tcBorders>
            <w:shd w:val="clear" w:color="auto" w:fill="auto"/>
            <w:vAlign w:val="center"/>
          </w:tcPr>
          <w:p w14:paraId="092E8239">
            <w:pPr>
              <w:jc w:val="left"/>
              <w:rPr>
                <w:rFonts w:hint="eastAsia" w:ascii="宋体" w:hAnsi="宋体" w:eastAsia="宋体" w:cs="宋体"/>
                <w:i w:val="0"/>
                <w:iCs w:val="0"/>
                <w:color w:val="000000"/>
                <w:sz w:val="20"/>
                <w:szCs w:val="20"/>
                <w:u w:val="none"/>
              </w:rPr>
            </w:pPr>
          </w:p>
        </w:tc>
      </w:tr>
      <w:tr w14:paraId="227B28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2921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72</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CAEF9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LED追光灯颜色</w:t>
            </w:r>
          </w:p>
        </w:tc>
        <w:tc>
          <w:tcPr>
            <w:tcW w:w="3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D8736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 xml:space="preserve">颜色: 8色，升温片：3200K-4500K-5600K-6500K </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A15E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c>
          <w:tcPr>
            <w:tcW w:w="171" w:type="pct"/>
            <w:tcBorders>
              <w:top w:val="single" w:color="000000" w:sz="4" w:space="0"/>
              <w:left w:val="nil"/>
              <w:bottom w:val="single" w:color="000000" w:sz="4" w:space="0"/>
              <w:right w:val="single" w:color="000000" w:sz="4" w:space="0"/>
            </w:tcBorders>
            <w:shd w:val="clear" w:color="auto" w:fill="auto"/>
            <w:noWrap/>
            <w:vAlign w:val="center"/>
          </w:tcPr>
          <w:p w14:paraId="076AF219">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16</w:t>
            </w:r>
          </w:p>
        </w:tc>
        <w:tc>
          <w:tcPr>
            <w:tcW w:w="223" w:type="pct"/>
            <w:tcBorders>
              <w:top w:val="single" w:color="000000" w:sz="4" w:space="0"/>
              <w:left w:val="single" w:color="000000" w:sz="4" w:space="0"/>
              <w:bottom w:val="nil"/>
              <w:right w:val="single" w:color="000000" w:sz="4" w:space="0"/>
            </w:tcBorders>
            <w:shd w:val="clear" w:color="auto" w:fill="auto"/>
            <w:vAlign w:val="center"/>
          </w:tcPr>
          <w:p w14:paraId="5963B1E8">
            <w:pPr>
              <w:jc w:val="left"/>
              <w:rPr>
                <w:rFonts w:hint="eastAsia" w:ascii="宋体" w:hAnsi="宋体" w:eastAsia="宋体" w:cs="宋体"/>
                <w:i w:val="0"/>
                <w:iCs w:val="0"/>
                <w:color w:val="000000"/>
                <w:sz w:val="20"/>
                <w:szCs w:val="20"/>
                <w:u w:val="none"/>
              </w:rPr>
            </w:pPr>
          </w:p>
        </w:tc>
      </w:tr>
      <w:tr w14:paraId="5ABDA1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A266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73</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7B1D3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LED追光灯主板</w:t>
            </w:r>
          </w:p>
        </w:tc>
        <w:tc>
          <w:tcPr>
            <w:tcW w:w="3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34017">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主板；6个DMX512通道</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6594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块</w:t>
            </w:r>
          </w:p>
        </w:tc>
        <w:tc>
          <w:tcPr>
            <w:tcW w:w="171" w:type="pct"/>
            <w:tcBorders>
              <w:top w:val="single" w:color="000000" w:sz="4" w:space="0"/>
              <w:left w:val="nil"/>
              <w:bottom w:val="single" w:color="000000" w:sz="4" w:space="0"/>
              <w:right w:val="single" w:color="000000" w:sz="4" w:space="0"/>
            </w:tcBorders>
            <w:shd w:val="clear" w:color="auto" w:fill="auto"/>
            <w:noWrap/>
            <w:vAlign w:val="center"/>
          </w:tcPr>
          <w:p w14:paraId="6E43BC04">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2</w:t>
            </w:r>
          </w:p>
        </w:tc>
        <w:tc>
          <w:tcPr>
            <w:tcW w:w="223" w:type="pct"/>
            <w:tcBorders>
              <w:top w:val="single" w:color="000000" w:sz="4" w:space="0"/>
              <w:left w:val="single" w:color="000000" w:sz="4" w:space="0"/>
              <w:bottom w:val="nil"/>
              <w:right w:val="single" w:color="000000" w:sz="4" w:space="0"/>
            </w:tcBorders>
            <w:shd w:val="clear" w:color="auto" w:fill="auto"/>
            <w:vAlign w:val="center"/>
          </w:tcPr>
          <w:p w14:paraId="04287195">
            <w:pPr>
              <w:jc w:val="left"/>
              <w:rPr>
                <w:rFonts w:hint="eastAsia" w:ascii="宋体" w:hAnsi="宋体" w:eastAsia="宋体" w:cs="宋体"/>
                <w:i w:val="0"/>
                <w:iCs w:val="0"/>
                <w:color w:val="000000"/>
                <w:sz w:val="20"/>
                <w:szCs w:val="20"/>
                <w:u w:val="none"/>
              </w:rPr>
            </w:pPr>
          </w:p>
        </w:tc>
      </w:tr>
      <w:tr w14:paraId="385087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CC7D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74</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87F52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LED追光灯调焦</w:t>
            </w:r>
          </w:p>
        </w:tc>
        <w:tc>
          <w:tcPr>
            <w:tcW w:w="3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8FD0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调焦：手动变焦+无级线性电子调焦</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EF99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c>
          <w:tcPr>
            <w:tcW w:w="171" w:type="pct"/>
            <w:tcBorders>
              <w:top w:val="single" w:color="000000" w:sz="4" w:space="0"/>
              <w:left w:val="nil"/>
              <w:bottom w:val="single" w:color="000000" w:sz="4" w:space="0"/>
              <w:right w:val="single" w:color="000000" w:sz="4" w:space="0"/>
            </w:tcBorders>
            <w:shd w:val="clear" w:color="auto" w:fill="auto"/>
            <w:noWrap/>
            <w:vAlign w:val="center"/>
          </w:tcPr>
          <w:p w14:paraId="27F3E5DE">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4</w:t>
            </w:r>
          </w:p>
        </w:tc>
        <w:tc>
          <w:tcPr>
            <w:tcW w:w="223" w:type="pct"/>
            <w:tcBorders>
              <w:top w:val="single" w:color="000000" w:sz="4" w:space="0"/>
              <w:left w:val="single" w:color="000000" w:sz="4" w:space="0"/>
              <w:bottom w:val="nil"/>
              <w:right w:val="single" w:color="000000" w:sz="4" w:space="0"/>
            </w:tcBorders>
            <w:shd w:val="clear" w:color="auto" w:fill="auto"/>
            <w:vAlign w:val="center"/>
          </w:tcPr>
          <w:p w14:paraId="6D8E4253">
            <w:pPr>
              <w:jc w:val="left"/>
              <w:rPr>
                <w:rFonts w:hint="eastAsia" w:ascii="宋体" w:hAnsi="宋体" w:eastAsia="宋体" w:cs="宋体"/>
                <w:i w:val="0"/>
                <w:iCs w:val="0"/>
                <w:color w:val="000000"/>
                <w:sz w:val="20"/>
                <w:szCs w:val="20"/>
                <w:u w:val="none"/>
              </w:rPr>
            </w:pPr>
          </w:p>
        </w:tc>
      </w:tr>
      <w:tr w14:paraId="330713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D519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75</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9CE8E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LED追光灯支架</w:t>
            </w:r>
          </w:p>
        </w:tc>
        <w:tc>
          <w:tcPr>
            <w:tcW w:w="3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60F83">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 xml:space="preserve">支架5KG </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E364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c>
          <w:tcPr>
            <w:tcW w:w="171" w:type="pct"/>
            <w:tcBorders>
              <w:top w:val="single" w:color="000000" w:sz="4" w:space="0"/>
              <w:left w:val="nil"/>
              <w:bottom w:val="single" w:color="000000" w:sz="4" w:space="0"/>
              <w:right w:val="single" w:color="000000" w:sz="4" w:space="0"/>
            </w:tcBorders>
            <w:shd w:val="clear" w:color="auto" w:fill="auto"/>
            <w:noWrap/>
            <w:vAlign w:val="center"/>
          </w:tcPr>
          <w:p w14:paraId="3E725B3D">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2</w:t>
            </w:r>
          </w:p>
        </w:tc>
        <w:tc>
          <w:tcPr>
            <w:tcW w:w="223" w:type="pct"/>
            <w:tcBorders>
              <w:top w:val="single" w:color="000000" w:sz="4" w:space="0"/>
              <w:left w:val="single" w:color="000000" w:sz="4" w:space="0"/>
              <w:bottom w:val="nil"/>
              <w:right w:val="single" w:color="000000" w:sz="4" w:space="0"/>
            </w:tcBorders>
            <w:shd w:val="clear" w:color="auto" w:fill="auto"/>
            <w:vAlign w:val="center"/>
          </w:tcPr>
          <w:p w14:paraId="61C95D3D">
            <w:pPr>
              <w:jc w:val="left"/>
              <w:rPr>
                <w:rFonts w:hint="eastAsia" w:ascii="宋体" w:hAnsi="宋体" w:eastAsia="宋体" w:cs="宋体"/>
                <w:i w:val="0"/>
                <w:iCs w:val="0"/>
                <w:color w:val="000000"/>
                <w:sz w:val="20"/>
                <w:szCs w:val="20"/>
                <w:u w:val="none"/>
              </w:rPr>
            </w:pPr>
          </w:p>
        </w:tc>
      </w:tr>
      <w:tr w14:paraId="395C18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4319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76</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582ED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雾机电源配件</w:t>
            </w:r>
          </w:p>
        </w:tc>
        <w:tc>
          <w:tcPr>
            <w:tcW w:w="3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C9A0A">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电源：HS-U250D42+12L(LED),700W</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0574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c>
          <w:tcPr>
            <w:tcW w:w="171" w:type="pct"/>
            <w:tcBorders>
              <w:top w:val="single" w:color="000000" w:sz="4" w:space="0"/>
              <w:left w:val="nil"/>
              <w:bottom w:val="single" w:color="000000" w:sz="4" w:space="0"/>
              <w:right w:val="single" w:color="000000" w:sz="4" w:space="0"/>
            </w:tcBorders>
            <w:shd w:val="clear" w:color="auto" w:fill="auto"/>
            <w:noWrap/>
            <w:vAlign w:val="center"/>
          </w:tcPr>
          <w:p w14:paraId="6C3E891B">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2</w:t>
            </w:r>
          </w:p>
        </w:tc>
        <w:tc>
          <w:tcPr>
            <w:tcW w:w="223" w:type="pct"/>
            <w:tcBorders>
              <w:top w:val="single" w:color="000000" w:sz="4" w:space="0"/>
              <w:left w:val="single" w:color="000000" w:sz="4" w:space="0"/>
              <w:bottom w:val="nil"/>
              <w:right w:val="single" w:color="000000" w:sz="4" w:space="0"/>
            </w:tcBorders>
            <w:shd w:val="clear" w:color="auto" w:fill="auto"/>
            <w:vAlign w:val="center"/>
          </w:tcPr>
          <w:p w14:paraId="08C5D728">
            <w:pPr>
              <w:jc w:val="left"/>
              <w:rPr>
                <w:rFonts w:hint="eastAsia" w:ascii="宋体" w:hAnsi="宋体" w:eastAsia="宋体" w:cs="宋体"/>
                <w:i w:val="0"/>
                <w:iCs w:val="0"/>
                <w:color w:val="000000"/>
                <w:sz w:val="20"/>
                <w:szCs w:val="20"/>
                <w:u w:val="none"/>
              </w:rPr>
            </w:pPr>
          </w:p>
        </w:tc>
      </w:tr>
      <w:tr w14:paraId="35ECDB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0E33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77</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15F70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雾机主板配件</w:t>
            </w:r>
          </w:p>
        </w:tc>
        <w:tc>
          <w:tcPr>
            <w:tcW w:w="3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6ACB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主板；2个DMX512通道</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1732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块</w:t>
            </w:r>
          </w:p>
        </w:tc>
        <w:tc>
          <w:tcPr>
            <w:tcW w:w="171" w:type="pct"/>
            <w:tcBorders>
              <w:top w:val="single" w:color="000000" w:sz="4" w:space="0"/>
              <w:left w:val="nil"/>
              <w:bottom w:val="single" w:color="000000" w:sz="4" w:space="0"/>
              <w:right w:val="single" w:color="000000" w:sz="4" w:space="0"/>
            </w:tcBorders>
            <w:shd w:val="clear" w:color="auto" w:fill="auto"/>
            <w:noWrap/>
            <w:vAlign w:val="center"/>
          </w:tcPr>
          <w:p w14:paraId="706E42E4">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2</w:t>
            </w:r>
          </w:p>
        </w:tc>
        <w:tc>
          <w:tcPr>
            <w:tcW w:w="223" w:type="pct"/>
            <w:tcBorders>
              <w:top w:val="single" w:color="000000" w:sz="4" w:space="0"/>
              <w:left w:val="single" w:color="000000" w:sz="4" w:space="0"/>
              <w:bottom w:val="nil"/>
              <w:right w:val="single" w:color="000000" w:sz="4" w:space="0"/>
            </w:tcBorders>
            <w:shd w:val="clear" w:color="auto" w:fill="auto"/>
            <w:vAlign w:val="center"/>
          </w:tcPr>
          <w:p w14:paraId="7378CA71">
            <w:pPr>
              <w:jc w:val="left"/>
              <w:rPr>
                <w:rFonts w:hint="eastAsia" w:ascii="宋体" w:hAnsi="宋体" w:eastAsia="宋体" w:cs="宋体"/>
                <w:i w:val="0"/>
                <w:iCs w:val="0"/>
                <w:color w:val="000000"/>
                <w:sz w:val="20"/>
                <w:szCs w:val="20"/>
                <w:u w:val="none"/>
              </w:rPr>
            </w:pPr>
          </w:p>
        </w:tc>
      </w:tr>
      <w:tr w14:paraId="653BC1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2F27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78</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A3511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雾机控制器配件</w:t>
            </w:r>
          </w:p>
        </w:tc>
        <w:tc>
          <w:tcPr>
            <w:tcW w:w="3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7CD13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控制器 :液晶控制器、遥控</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908F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台</w:t>
            </w:r>
          </w:p>
        </w:tc>
        <w:tc>
          <w:tcPr>
            <w:tcW w:w="171" w:type="pct"/>
            <w:tcBorders>
              <w:top w:val="single" w:color="000000" w:sz="4" w:space="0"/>
              <w:left w:val="nil"/>
              <w:bottom w:val="single" w:color="000000" w:sz="4" w:space="0"/>
              <w:right w:val="single" w:color="000000" w:sz="4" w:space="0"/>
            </w:tcBorders>
            <w:shd w:val="clear" w:color="auto" w:fill="auto"/>
            <w:noWrap/>
            <w:vAlign w:val="center"/>
          </w:tcPr>
          <w:p w14:paraId="7C4B40AB">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2</w:t>
            </w:r>
          </w:p>
        </w:tc>
        <w:tc>
          <w:tcPr>
            <w:tcW w:w="223" w:type="pct"/>
            <w:tcBorders>
              <w:top w:val="single" w:color="000000" w:sz="4" w:space="0"/>
              <w:left w:val="single" w:color="000000" w:sz="4" w:space="0"/>
              <w:bottom w:val="nil"/>
              <w:right w:val="single" w:color="000000" w:sz="4" w:space="0"/>
            </w:tcBorders>
            <w:shd w:val="clear" w:color="auto" w:fill="auto"/>
            <w:vAlign w:val="center"/>
          </w:tcPr>
          <w:p w14:paraId="1B044C00">
            <w:pPr>
              <w:jc w:val="left"/>
              <w:rPr>
                <w:rFonts w:hint="eastAsia" w:ascii="宋体" w:hAnsi="宋体" w:eastAsia="宋体" w:cs="宋体"/>
                <w:i w:val="0"/>
                <w:iCs w:val="0"/>
                <w:color w:val="000000"/>
                <w:sz w:val="20"/>
                <w:szCs w:val="20"/>
                <w:u w:val="none"/>
              </w:rPr>
            </w:pPr>
          </w:p>
        </w:tc>
      </w:tr>
      <w:tr w14:paraId="372C6C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0257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79</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7F2A8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雾机机身配件</w:t>
            </w:r>
          </w:p>
        </w:tc>
        <w:tc>
          <w:tcPr>
            <w:tcW w:w="3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DBAC7">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机身：12厘黑板，静音轮</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99A3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台</w:t>
            </w:r>
          </w:p>
        </w:tc>
        <w:tc>
          <w:tcPr>
            <w:tcW w:w="171" w:type="pct"/>
            <w:tcBorders>
              <w:top w:val="single" w:color="000000" w:sz="4" w:space="0"/>
              <w:left w:val="nil"/>
              <w:bottom w:val="single" w:color="000000" w:sz="4" w:space="0"/>
              <w:right w:val="single" w:color="000000" w:sz="4" w:space="0"/>
            </w:tcBorders>
            <w:shd w:val="clear" w:color="auto" w:fill="auto"/>
            <w:noWrap/>
            <w:vAlign w:val="center"/>
          </w:tcPr>
          <w:p w14:paraId="4D3C0ED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2</w:t>
            </w:r>
          </w:p>
        </w:tc>
        <w:tc>
          <w:tcPr>
            <w:tcW w:w="223" w:type="pct"/>
            <w:tcBorders>
              <w:top w:val="single" w:color="000000" w:sz="4" w:space="0"/>
              <w:left w:val="single" w:color="000000" w:sz="4" w:space="0"/>
              <w:bottom w:val="nil"/>
              <w:right w:val="single" w:color="000000" w:sz="4" w:space="0"/>
            </w:tcBorders>
            <w:shd w:val="clear" w:color="auto" w:fill="auto"/>
            <w:vAlign w:val="center"/>
          </w:tcPr>
          <w:p w14:paraId="7B5F7DAB">
            <w:pPr>
              <w:jc w:val="left"/>
              <w:rPr>
                <w:rFonts w:hint="eastAsia" w:ascii="宋体" w:hAnsi="宋体" w:eastAsia="宋体" w:cs="宋体"/>
                <w:i w:val="0"/>
                <w:iCs w:val="0"/>
                <w:color w:val="000000"/>
                <w:sz w:val="20"/>
                <w:szCs w:val="20"/>
                <w:u w:val="none"/>
              </w:rPr>
            </w:pPr>
          </w:p>
        </w:tc>
      </w:tr>
      <w:tr w14:paraId="402667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8764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80</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5B7E7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雾机油桶配件</w:t>
            </w:r>
          </w:p>
        </w:tc>
        <w:tc>
          <w:tcPr>
            <w:tcW w:w="3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B5E81">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油桶 :5L</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58D0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c>
          <w:tcPr>
            <w:tcW w:w="171" w:type="pct"/>
            <w:tcBorders>
              <w:top w:val="single" w:color="000000" w:sz="4" w:space="0"/>
              <w:left w:val="nil"/>
              <w:bottom w:val="single" w:color="000000" w:sz="4" w:space="0"/>
              <w:right w:val="single" w:color="000000" w:sz="4" w:space="0"/>
            </w:tcBorders>
            <w:shd w:val="clear" w:color="auto" w:fill="auto"/>
            <w:noWrap/>
            <w:vAlign w:val="center"/>
          </w:tcPr>
          <w:p w14:paraId="32000691">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2</w:t>
            </w:r>
          </w:p>
        </w:tc>
        <w:tc>
          <w:tcPr>
            <w:tcW w:w="223" w:type="pct"/>
            <w:tcBorders>
              <w:top w:val="single" w:color="000000" w:sz="4" w:space="0"/>
              <w:left w:val="single" w:color="000000" w:sz="4" w:space="0"/>
              <w:bottom w:val="nil"/>
              <w:right w:val="single" w:color="000000" w:sz="4" w:space="0"/>
            </w:tcBorders>
            <w:shd w:val="clear" w:color="auto" w:fill="auto"/>
            <w:vAlign w:val="center"/>
          </w:tcPr>
          <w:p w14:paraId="0AAB6A00">
            <w:pPr>
              <w:jc w:val="left"/>
              <w:rPr>
                <w:rFonts w:hint="eastAsia" w:ascii="宋体" w:hAnsi="宋体" w:eastAsia="宋体" w:cs="宋体"/>
                <w:i w:val="0"/>
                <w:iCs w:val="0"/>
                <w:color w:val="000000"/>
                <w:sz w:val="20"/>
                <w:szCs w:val="20"/>
                <w:u w:val="none"/>
              </w:rPr>
            </w:pPr>
          </w:p>
        </w:tc>
      </w:tr>
      <w:tr w14:paraId="381AD1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D46C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81</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C8F04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雾机耗材</w:t>
            </w:r>
          </w:p>
        </w:tc>
        <w:tc>
          <w:tcPr>
            <w:tcW w:w="3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0C2B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雾油</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E1C1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桶</w:t>
            </w:r>
          </w:p>
        </w:tc>
        <w:tc>
          <w:tcPr>
            <w:tcW w:w="171" w:type="pct"/>
            <w:tcBorders>
              <w:top w:val="single" w:color="000000" w:sz="4" w:space="0"/>
              <w:left w:val="nil"/>
              <w:bottom w:val="single" w:color="000000" w:sz="4" w:space="0"/>
              <w:right w:val="single" w:color="000000" w:sz="4" w:space="0"/>
            </w:tcBorders>
            <w:shd w:val="clear" w:color="auto" w:fill="auto"/>
            <w:noWrap/>
            <w:vAlign w:val="center"/>
          </w:tcPr>
          <w:p w14:paraId="27BCE314">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8</w:t>
            </w:r>
          </w:p>
        </w:tc>
        <w:tc>
          <w:tcPr>
            <w:tcW w:w="223" w:type="pct"/>
            <w:tcBorders>
              <w:top w:val="single" w:color="000000" w:sz="4" w:space="0"/>
              <w:left w:val="single" w:color="000000" w:sz="4" w:space="0"/>
              <w:bottom w:val="nil"/>
              <w:right w:val="single" w:color="000000" w:sz="4" w:space="0"/>
            </w:tcBorders>
            <w:shd w:val="clear" w:color="auto" w:fill="auto"/>
            <w:vAlign w:val="center"/>
          </w:tcPr>
          <w:p w14:paraId="237F0174">
            <w:pPr>
              <w:jc w:val="left"/>
              <w:rPr>
                <w:rFonts w:hint="eastAsia" w:ascii="宋体" w:hAnsi="宋体" w:eastAsia="宋体" w:cs="宋体"/>
                <w:i w:val="0"/>
                <w:iCs w:val="0"/>
                <w:color w:val="000000"/>
                <w:sz w:val="20"/>
                <w:szCs w:val="20"/>
                <w:u w:val="none"/>
              </w:rPr>
            </w:pPr>
          </w:p>
        </w:tc>
      </w:tr>
      <w:tr w14:paraId="49D6A6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3296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82</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50A35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雪花机电源配件</w:t>
            </w:r>
          </w:p>
        </w:tc>
        <w:tc>
          <w:tcPr>
            <w:tcW w:w="3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14613">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电源：HS-U250D42+12L(LED),1000W</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DB97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c>
          <w:tcPr>
            <w:tcW w:w="171" w:type="pct"/>
            <w:tcBorders>
              <w:top w:val="single" w:color="000000" w:sz="4" w:space="0"/>
              <w:left w:val="nil"/>
              <w:bottom w:val="single" w:color="000000" w:sz="4" w:space="0"/>
              <w:right w:val="single" w:color="000000" w:sz="4" w:space="0"/>
            </w:tcBorders>
            <w:shd w:val="clear" w:color="auto" w:fill="auto"/>
            <w:noWrap/>
            <w:vAlign w:val="center"/>
          </w:tcPr>
          <w:p w14:paraId="230FD95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2</w:t>
            </w:r>
          </w:p>
        </w:tc>
        <w:tc>
          <w:tcPr>
            <w:tcW w:w="223" w:type="pct"/>
            <w:tcBorders>
              <w:top w:val="single" w:color="000000" w:sz="4" w:space="0"/>
              <w:left w:val="single" w:color="000000" w:sz="4" w:space="0"/>
              <w:bottom w:val="nil"/>
              <w:right w:val="single" w:color="000000" w:sz="4" w:space="0"/>
            </w:tcBorders>
            <w:shd w:val="clear" w:color="auto" w:fill="auto"/>
            <w:vAlign w:val="center"/>
          </w:tcPr>
          <w:p w14:paraId="758BC24D">
            <w:pPr>
              <w:jc w:val="left"/>
              <w:rPr>
                <w:rFonts w:hint="eastAsia" w:ascii="宋体" w:hAnsi="宋体" w:eastAsia="宋体" w:cs="宋体"/>
                <w:i w:val="0"/>
                <w:iCs w:val="0"/>
                <w:color w:val="000000"/>
                <w:sz w:val="20"/>
                <w:szCs w:val="20"/>
                <w:u w:val="none"/>
              </w:rPr>
            </w:pPr>
          </w:p>
        </w:tc>
      </w:tr>
      <w:tr w14:paraId="1884ED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5996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83</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D6395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雪花机主板配件</w:t>
            </w:r>
          </w:p>
        </w:tc>
        <w:tc>
          <w:tcPr>
            <w:tcW w:w="3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48C2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主板；2个DMX512通道</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0150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块</w:t>
            </w:r>
          </w:p>
        </w:tc>
        <w:tc>
          <w:tcPr>
            <w:tcW w:w="171" w:type="pct"/>
            <w:tcBorders>
              <w:top w:val="single" w:color="000000" w:sz="4" w:space="0"/>
              <w:left w:val="nil"/>
              <w:bottom w:val="single" w:color="000000" w:sz="4" w:space="0"/>
              <w:right w:val="single" w:color="000000" w:sz="4" w:space="0"/>
            </w:tcBorders>
            <w:shd w:val="clear" w:color="auto" w:fill="auto"/>
            <w:noWrap/>
            <w:vAlign w:val="center"/>
          </w:tcPr>
          <w:p w14:paraId="73C5DE9D">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2</w:t>
            </w:r>
          </w:p>
        </w:tc>
        <w:tc>
          <w:tcPr>
            <w:tcW w:w="223" w:type="pct"/>
            <w:tcBorders>
              <w:top w:val="single" w:color="000000" w:sz="4" w:space="0"/>
              <w:left w:val="single" w:color="000000" w:sz="4" w:space="0"/>
              <w:bottom w:val="nil"/>
              <w:right w:val="single" w:color="000000" w:sz="4" w:space="0"/>
            </w:tcBorders>
            <w:shd w:val="clear" w:color="auto" w:fill="auto"/>
            <w:vAlign w:val="center"/>
          </w:tcPr>
          <w:p w14:paraId="2056E3E8">
            <w:pPr>
              <w:jc w:val="left"/>
              <w:rPr>
                <w:rFonts w:hint="eastAsia" w:ascii="宋体" w:hAnsi="宋体" w:eastAsia="宋体" w:cs="宋体"/>
                <w:i w:val="0"/>
                <w:iCs w:val="0"/>
                <w:color w:val="000000"/>
                <w:sz w:val="20"/>
                <w:szCs w:val="20"/>
                <w:u w:val="none"/>
              </w:rPr>
            </w:pPr>
          </w:p>
        </w:tc>
      </w:tr>
      <w:tr w14:paraId="2E88C5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CCFE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84</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BBF28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雪花机风扇配件</w:t>
            </w:r>
          </w:p>
        </w:tc>
        <w:tc>
          <w:tcPr>
            <w:tcW w:w="3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9773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风扇：涡轮</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A8CC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c>
          <w:tcPr>
            <w:tcW w:w="171" w:type="pct"/>
            <w:tcBorders>
              <w:top w:val="single" w:color="000000" w:sz="4" w:space="0"/>
              <w:left w:val="nil"/>
              <w:bottom w:val="single" w:color="000000" w:sz="4" w:space="0"/>
              <w:right w:val="single" w:color="000000" w:sz="4" w:space="0"/>
            </w:tcBorders>
            <w:shd w:val="clear" w:color="auto" w:fill="auto"/>
            <w:noWrap/>
            <w:vAlign w:val="center"/>
          </w:tcPr>
          <w:p w14:paraId="6A25085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4</w:t>
            </w:r>
          </w:p>
        </w:tc>
        <w:tc>
          <w:tcPr>
            <w:tcW w:w="223" w:type="pct"/>
            <w:tcBorders>
              <w:top w:val="single" w:color="000000" w:sz="4" w:space="0"/>
              <w:left w:val="single" w:color="000000" w:sz="4" w:space="0"/>
              <w:bottom w:val="nil"/>
              <w:right w:val="single" w:color="000000" w:sz="4" w:space="0"/>
            </w:tcBorders>
            <w:shd w:val="clear" w:color="auto" w:fill="auto"/>
            <w:vAlign w:val="center"/>
          </w:tcPr>
          <w:p w14:paraId="252E7640">
            <w:pPr>
              <w:jc w:val="left"/>
              <w:rPr>
                <w:rFonts w:hint="eastAsia" w:ascii="宋体" w:hAnsi="宋体" w:eastAsia="宋体" w:cs="宋体"/>
                <w:i w:val="0"/>
                <w:iCs w:val="0"/>
                <w:color w:val="000000"/>
                <w:sz w:val="20"/>
                <w:szCs w:val="20"/>
                <w:u w:val="none"/>
              </w:rPr>
            </w:pPr>
          </w:p>
        </w:tc>
      </w:tr>
      <w:tr w14:paraId="24F534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4EEB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85</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07A51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雪花机油桶 配件</w:t>
            </w:r>
          </w:p>
        </w:tc>
        <w:tc>
          <w:tcPr>
            <w:tcW w:w="3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5C60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油桶 :5L</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340E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桶</w:t>
            </w:r>
          </w:p>
        </w:tc>
        <w:tc>
          <w:tcPr>
            <w:tcW w:w="171" w:type="pct"/>
            <w:tcBorders>
              <w:top w:val="single" w:color="000000" w:sz="4" w:space="0"/>
              <w:left w:val="nil"/>
              <w:bottom w:val="single" w:color="000000" w:sz="4" w:space="0"/>
              <w:right w:val="single" w:color="000000" w:sz="4" w:space="0"/>
            </w:tcBorders>
            <w:shd w:val="clear" w:color="auto" w:fill="auto"/>
            <w:noWrap/>
            <w:vAlign w:val="center"/>
          </w:tcPr>
          <w:p w14:paraId="39D00D46">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2</w:t>
            </w:r>
          </w:p>
        </w:tc>
        <w:tc>
          <w:tcPr>
            <w:tcW w:w="223" w:type="pct"/>
            <w:tcBorders>
              <w:top w:val="single" w:color="000000" w:sz="4" w:space="0"/>
              <w:left w:val="single" w:color="000000" w:sz="4" w:space="0"/>
              <w:bottom w:val="nil"/>
              <w:right w:val="single" w:color="000000" w:sz="4" w:space="0"/>
            </w:tcBorders>
            <w:shd w:val="clear" w:color="auto" w:fill="auto"/>
            <w:vAlign w:val="center"/>
          </w:tcPr>
          <w:p w14:paraId="2C02A5FC">
            <w:pPr>
              <w:jc w:val="left"/>
              <w:rPr>
                <w:rFonts w:hint="eastAsia" w:ascii="宋体" w:hAnsi="宋体" w:eastAsia="宋体" w:cs="宋体"/>
                <w:i w:val="0"/>
                <w:iCs w:val="0"/>
                <w:color w:val="000000"/>
                <w:sz w:val="20"/>
                <w:szCs w:val="20"/>
                <w:u w:val="none"/>
              </w:rPr>
            </w:pPr>
          </w:p>
        </w:tc>
      </w:tr>
      <w:tr w14:paraId="4CF6F4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5000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86</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71A9E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雪花机耗材</w:t>
            </w:r>
          </w:p>
        </w:tc>
        <w:tc>
          <w:tcPr>
            <w:tcW w:w="3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264A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雪花油</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D383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桶</w:t>
            </w:r>
          </w:p>
        </w:tc>
        <w:tc>
          <w:tcPr>
            <w:tcW w:w="171" w:type="pct"/>
            <w:tcBorders>
              <w:top w:val="single" w:color="000000" w:sz="4" w:space="0"/>
              <w:left w:val="nil"/>
              <w:bottom w:val="single" w:color="000000" w:sz="4" w:space="0"/>
              <w:right w:val="single" w:color="000000" w:sz="4" w:space="0"/>
            </w:tcBorders>
            <w:shd w:val="clear" w:color="auto" w:fill="auto"/>
            <w:noWrap/>
            <w:vAlign w:val="center"/>
          </w:tcPr>
          <w:p w14:paraId="4AD60B04">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8</w:t>
            </w:r>
          </w:p>
        </w:tc>
        <w:tc>
          <w:tcPr>
            <w:tcW w:w="223" w:type="pct"/>
            <w:tcBorders>
              <w:top w:val="single" w:color="000000" w:sz="4" w:space="0"/>
              <w:left w:val="single" w:color="000000" w:sz="4" w:space="0"/>
              <w:bottom w:val="nil"/>
              <w:right w:val="single" w:color="000000" w:sz="4" w:space="0"/>
            </w:tcBorders>
            <w:shd w:val="clear" w:color="auto" w:fill="auto"/>
            <w:vAlign w:val="center"/>
          </w:tcPr>
          <w:p w14:paraId="7127F7C0">
            <w:pPr>
              <w:jc w:val="left"/>
              <w:rPr>
                <w:rFonts w:hint="eastAsia" w:ascii="宋体" w:hAnsi="宋体" w:eastAsia="宋体" w:cs="宋体"/>
                <w:i w:val="0"/>
                <w:iCs w:val="0"/>
                <w:color w:val="000000"/>
                <w:sz w:val="20"/>
                <w:szCs w:val="20"/>
                <w:u w:val="none"/>
              </w:rPr>
            </w:pPr>
          </w:p>
        </w:tc>
      </w:tr>
      <w:tr w14:paraId="3B52DF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641E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87</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B13FB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泡泡机电源配件</w:t>
            </w:r>
          </w:p>
        </w:tc>
        <w:tc>
          <w:tcPr>
            <w:tcW w:w="3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BBD9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电源：HS-U250D42+12L(LED),300W</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8D00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c>
          <w:tcPr>
            <w:tcW w:w="171" w:type="pct"/>
            <w:tcBorders>
              <w:top w:val="single" w:color="000000" w:sz="4" w:space="0"/>
              <w:left w:val="nil"/>
              <w:bottom w:val="single" w:color="000000" w:sz="4" w:space="0"/>
              <w:right w:val="single" w:color="000000" w:sz="4" w:space="0"/>
            </w:tcBorders>
            <w:shd w:val="clear" w:color="auto" w:fill="auto"/>
            <w:noWrap/>
            <w:vAlign w:val="center"/>
          </w:tcPr>
          <w:p w14:paraId="6E3BBEFC">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2</w:t>
            </w:r>
          </w:p>
        </w:tc>
        <w:tc>
          <w:tcPr>
            <w:tcW w:w="223" w:type="pct"/>
            <w:tcBorders>
              <w:top w:val="single" w:color="000000" w:sz="4" w:space="0"/>
              <w:left w:val="single" w:color="000000" w:sz="4" w:space="0"/>
              <w:bottom w:val="nil"/>
              <w:right w:val="single" w:color="000000" w:sz="4" w:space="0"/>
            </w:tcBorders>
            <w:shd w:val="clear" w:color="auto" w:fill="auto"/>
            <w:vAlign w:val="center"/>
          </w:tcPr>
          <w:p w14:paraId="150CAAA0">
            <w:pPr>
              <w:jc w:val="left"/>
              <w:rPr>
                <w:rFonts w:hint="eastAsia" w:ascii="宋体" w:hAnsi="宋体" w:eastAsia="宋体" w:cs="宋体"/>
                <w:i w:val="0"/>
                <w:iCs w:val="0"/>
                <w:color w:val="000000"/>
                <w:sz w:val="20"/>
                <w:szCs w:val="20"/>
                <w:u w:val="none"/>
              </w:rPr>
            </w:pPr>
          </w:p>
        </w:tc>
      </w:tr>
      <w:tr w14:paraId="0A7F6B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745F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88</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E8C5C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泡泡机风扇配件</w:t>
            </w:r>
          </w:p>
        </w:tc>
        <w:tc>
          <w:tcPr>
            <w:tcW w:w="3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5C11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风扇：涡轮</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390C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c>
          <w:tcPr>
            <w:tcW w:w="171" w:type="pct"/>
            <w:tcBorders>
              <w:top w:val="single" w:color="000000" w:sz="4" w:space="0"/>
              <w:left w:val="nil"/>
              <w:bottom w:val="single" w:color="000000" w:sz="4" w:space="0"/>
              <w:right w:val="single" w:color="000000" w:sz="4" w:space="0"/>
            </w:tcBorders>
            <w:shd w:val="clear" w:color="auto" w:fill="auto"/>
            <w:noWrap/>
            <w:vAlign w:val="center"/>
          </w:tcPr>
          <w:p w14:paraId="2DDCBFD9">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4</w:t>
            </w:r>
          </w:p>
        </w:tc>
        <w:tc>
          <w:tcPr>
            <w:tcW w:w="223" w:type="pct"/>
            <w:tcBorders>
              <w:top w:val="single" w:color="000000" w:sz="4" w:space="0"/>
              <w:left w:val="single" w:color="000000" w:sz="4" w:space="0"/>
              <w:bottom w:val="nil"/>
              <w:right w:val="single" w:color="000000" w:sz="4" w:space="0"/>
            </w:tcBorders>
            <w:shd w:val="clear" w:color="auto" w:fill="auto"/>
            <w:vAlign w:val="center"/>
          </w:tcPr>
          <w:p w14:paraId="43818535">
            <w:pPr>
              <w:jc w:val="left"/>
              <w:rPr>
                <w:rFonts w:hint="eastAsia" w:ascii="宋体" w:hAnsi="宋体" w:eastAsia="宋体" w:cs="宋体"/>
                <w:i w:val="0"/>
                <w:iCs w:val="0"/>
                <w:color w:val="000000"/>
                <w:sz w:val="20"/>
                <w:szCs w:val="20"/>
                <w:u w:val="none"/>
              </w:rPr>
            </w:pPr>
          </w:p>
        </w:tc>
      </w:tr>
      <w:tr w14:paraId="74481F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E70A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89</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88E7C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泡泡机油桶配件</w:t>
            </w:r>
          </w:p>
        </w:tc>
        <w:tc>
          <w:tcPr>
            <w:tcW w:w="3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DC76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油桶 :5L</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E593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桶</w:t>
            </w:r>
          </w:p>
        </w:tc>
        <w:tc>
          <w:tcPr>
            <w:tcW w:w="171" w:type="pct"/>
            <w:tcBorders>
              <w:top w:val="single" w:color="000000" w:sz="4" w:space="0"/>
              <w:left w:val="nil"/>
              <w:bottom w:val="single" w:color="000000" w:sz="4" w:space="0"/>
              <w:right w:val="single" w:color="000000" w:sz="4" w:space="0"/>
            </w:tcBorders>
            <w:shd w:val="clear" w:color="auto" w:fill="auto"/>
            <w:noWrap/>
            <w:vAlign w:val="center"/>
          </w:tcPr>
          <w:p w14:paraId="287CDDC4">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2</w:t>
            </w:r>
          </w:p>
        </w:tc>
        <w:tc>
          <w:tcPr>
            <w:tcW w:w="223" w:type="pct"/>
            <w:tcBorders>
              <w:top w:val="single" w:color="000000" w:sz="4" w:space="0"/>
              <w:left w:val="single" w:color="000000" w:sz="4" w:space="0"/>
              <w:bottom w:val="nil"/>
              <w:right w:val="single" w:color="000000" w:sz="4" w:space="0"/>
            </w:tcBorders>
            <w:shd w:val="clear" w:color="auto" w:fill="auto"/>
            <w:vAlign w:val="center"/>
          </w:tcPr>
          <w:p w14:paraId="0E00368B">
            <w:pPr>
              <w:jc w:val="left"/>
              <w:rPr>
                <w:rFonts w:hint="eastAsia" w:ascii="宋体" w:hAnsi="宋体" w:eastAsia="宋体" w:cs="宋体"/>
                <w:i w:val="0"/>
                <w:iCs w:val="0"/>
                <w:color w:val="000000"/>
                <w:sz w:val="20"/>
                <w:szCs w:val="20"/>
                <w:u w:val="none"/>
              </w:rPr>
            </w:pPr>
          </w:p>
        </w:tc>
      </w:tr>
      <w:tr w14:paraId="7A6567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EE5C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90</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A2D25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泡泡机耗材</w:t>
            </w:r>
          </w:p>
        </w:tc>
        <w:tc>
          <w:tcPr>
            <w:tcW w:w="3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23953">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泡泡油</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AB3B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桶</w:t>
            </w:r>
          </w:p>
        </w:tc>
        <w:tc>
          <w:tcPr>
            <w:tcW w:w="171" w:type="pct"/>
            <w:tcBorders>
              <w:top w:val="single" w:color="000000" w:sz="4" w:space="0"/>
              <w:left w:val="nil"/>
              <w:bottom w:val="single" w:color="000000" w:sz="4" w:space="0"/>
              <w:right w:val="single" w:color="000000" w:sz="4" w:space="0"/>
            </w:tcBorders>
            <w:shd w:val="clear" w:color="auto" w:fill="auto"/>
            <w:noWrap/>
            <w:vAlign w:val="center"/>
          </w:tcPr>
          <w:p w14:paraId="427CB53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8</w:t>
            </w:r>
          </w:p>
        </w:tc>
        <w:tc>
          <w:tcPr>
            <w:tcW w:w="223" w:type="pct"/>
            <w:tcBorders>
              <w:top w:val="single" w:color="000000" w:sz="4" w:space="0"/>
              <w:left w:val="single" w:color="000000" w:sz="4" w:space="0"/>
              <w:bottom w:val="nil"/>
              <w:right w:val="single" w:color="000000" w:sz="4" w:space="0"/>
            </w:tcBorders>
            <w:shd w:val="clear" w:color="auto" w:fill="auto"/>
            <w:vAlign w:val="center"/>
          </w:tcPr>
          <w:p w14:paraId="1C6EBC76">
            <w:pPr>
              <w:jc w:val="left"/>
              <w:rPr>
                <w:rFonts w:hint="eastAsia" w:ascii="宋体" w:hAnsi="宋体" w:eastAsia="宋体" w:cs="宋体"/>
                <w:i w:val="0"/>
                <w:iCs w:val="0"/>
                <w:color w:val="000000"/>
                <w:sz w:val="20"/>
                <w:szCs w:val="20"/>
                <w:u w:val="none"/>
              </w:rPr>
            </w:pPr>
          </w:p>
        </w:tc>
      </w:tr>
      <w:tr w14:paraId="76C0AF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CD29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91</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77BCD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控制台独立主板配件</w:t>
            </w:r>
          </w:p>
        </w:tc>
        <w:tc>
          <w:tcPr>
            <w:tcW w:w="3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C30D8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华硕独立主板，因特尔酷睿双核，金士顿骇客120GB固态硬盘，金士顿4GB内存。</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90DC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块</w:t>
            </w:r>
          </w:p>
        </w:tc>
        <w:tc>
          <w:tcPr>
            <w:tcW w:w="171" w:type="pct"/>
            <w:tcBorders>
              <w:top w:val="single" w:color="000000" w:sz="4" w:space="0"/>
              <w:left w:val="nil"/>
              <w:bottom w:val="single" w:color="000000" w:sz="4" w:space="0"/>
              <w:right w:val="single" w:color="000000" w:sz="4" w:space="0"/>
            </w:tcBorders>
            <w:shd w:val="clear" w:color="auto" w:fill="auto"/>
            <w:noWrap/>
            <w:vAlign w:val="center"/>
          </w:tcPr>
          <w:p w14:paraId="0D7B7FAD">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2</w:t>
            </w:r>
          </w:p>
        </w:tc>
        <w:tc>
          <w:tcPr>
            <w:tcW w:w="223" w:type="pct"/>
            <w:tcBorders>
              <w:top w:val="single" w:color="000000" w:sz="4" w:space="0"/>
              <w:left w:val="single" w:color="000000" w:sz="4" w:space="0"/>
              <w:bottom w:val="nil"/>
              <w:right w:val="single" w:color="000000" w:sz="4" w:space="0"/>
            </w:tcBorders>
            <w:shd w:val="clear" w:color="auto" w:fill="auto"/>
            <w:vAlign w:val="center"/>
          </w:tcPr>
          <w:p w14:paraId="379B6DA7">
            <w:pPr>
              <w:jc w:val="left"/>
              <w:rPr>
                <w:rFonts w:hint="eastAsia" w:ascii="宋体" w:hAnsi="宋体" w:eastAsia="宋体" w:cs="宋体"/>
                <w:i w:val="0"/>
                <w:iCs w:val="0"/>
                <w:color w:val="000000"/>
                <w:sz w:val="20"/>
                <w:szCs w:val="20"/>
                <w:u w:val="none"/>
              </w:rPr>
            </w:pPr>
          </w:p>
        </w:tc>
      </w:tr>
      <w:tr w14:paraId="616143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EA87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92</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BC593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触摸屏配件</w:t>
            </w:r>
          </w:p>
        </w:tc>
        <w:tc>
          <w:tcPr>
            <w:tcW w:w="3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24E4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内置一个15.4寸触摸屏并可扩展外接一个17寸触摸屏</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1D4D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块</w:t>
            </w:r>
          </w:p>
        </w:tc>
        <w:tc>
          <w:tcPr>
            <w:tcW w:w="171" w:type="pct"/>
            <w:tcBorders>
              <w:top w:val="single" w:color="000000" w:sz="4" w:space="0"/>
              <w:left w:val="nil"/>
              <w:bottom w:val="single" w:color="000000" w:sz="4" w:space="0"/>
              <w:right w:val="single" w:color="000000" w:sz="4" w:space="0"/>
            </w:tcBorders>
            <w:shd w:val="clear" w:color="auto" w:fill="auto"/>
            <w:noWrap/>
            <w:vAlign w:val="center"/>
          </w:tcPr>
          <w:p w14:paraId="74ACD51B">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2</w:t>
            </w:r>
          </w:p>
        </w:tc>
        <w:tc>
          <w:tcPr>
            <w:tcW w:w="223" w:type="pct"/>
            <w:tcBorders>
              <w:top w:val="single" w:color="000000" w:sz="4" w:space="0"/>
              <w:left w:val="single" w:color="000000" w:sz="4" w:space="0"/>
              <w:bottom w:val="nil"/>
              <w:right w:val="single" w:color="000000" w:sz="4" w:space="0"/>
            </w:tcBorders>
            <w:shd w:val="clear" w:color="auto" w:fill="auto"/>
            <w:vAlign w:val="center"/>
          </w:tcPr>
          <w:p w14:paraId="29AE0A73">
            <w:pPr>
              <w:jc w:val="left"/>
              <w:rPr>
                <w:rFonts w:hint="eastAsia" w:ascii="宋体" w:hAnsi="宋体" w:eastAsia="宋体" w:cs="宋体"/>
                <w:i w:val="0"/>
                <w:iCs w:val="0"/>
                <w:color w:val="000000"/>
                <w:sz w:val="20"/>
                <w:szCs w:val="20"/>
                <w:u w:val="none"/>
              </w:rPr>
            </w:pPr>
          </w:p>
        </w:tc>
      </w:tr>
      <w:tr w14:paraId="686397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B2B3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93</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315EF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电源配件</w:t>
            </w:r>
          </w:p>
        </w:tc>
        <w:tc>
          <w:tcPr>
            <w:tcW w:w="3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3CD71">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内置UPS电源避免交流220V突然断电方便保存数据。</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67FD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c>
          <w:tcPr>
            <w:tcW w:w="171" w:type="pct"/>
            <w:tcBorders>
              <w:top w:val="single" w:color="000000" w:sz="4" w:space="0"/>
              <w:left w:val="nil"/>
              <w:bottom w:val="single" w:color="000000" w:sz="4" w:space="0"/>
              <w:right w:val="single" w:color="000000" w:sz="4" w:space="0"/>
            </w:tcBorders>
            <w:shd w:val="clear" w:color="auto" w:fill="auto"/>
            <w:noWrap/>
            <w:vAlign w:val="center"/>
          </w:tcPr>
          <w:p w14:paraId="08879EA6">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1</w:t>
            </w:r>
          </w:p>
        </w:tc>
        <w:tc>
          <w:tcPr>
            <w:tcW w:w="223" w:type="pct"/>
            <w:tcBorders>
              <w:top w:val="single" w:color="000000" w:sz="4" w:space="0"/>
              <w:left w:val="single" w:color="000000" w:sz="4" w:space="0"/>
              <w:bottom w:val="nil"/>
              <w:right w:val="single" w:color="000000" w:sz="4" w:space="0"/>
            </w:tcBorders>
            <w:shd w:val="clear" w:color="auto" w:fill="auto"/>
            <w:vAlign w:val="center"/>
          </w:tcPr>
          <w:p w14:paraId="50E97C38">
            <w:pPr>
              <w:jc w:val="left"/>
              <w:rPr>
                <w:rFonts w:hint="eastAsia" w:ascii="宋体" w:hAnsi="宋体" w:eastAsia="宋体" w:cs="宋体"/>
                <w:i w:val="0"/>
                <w:iCs w:val="0"/>
                <w:color w:val="000000"/>
                <w:sz w:val="20"/>
                <w:szCs w:val="20"/>
                <w:u w:val="none"/>
              </w:rPr>
            </w:pPr>
          </w:p>
        </w:tc>
      </w:tr>
      <w:tr w14:paraId="12D15D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4F75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94</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9C85C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控制台DMX配件</w:t>
            </w:r>
          </w:p>
        </w:tc>
        <w:tc>
          <w:tcPr>
            <w:tcW w:w="3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8885A">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支持Artnet8个DMX输出口4096个通道</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A3C7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c>
          <w:tcPr>
            <w:tcW w:w="171" w:type="pct"/>
            <w:tcBorders>
              <w:top w:val="single" w:color="000000" w:sz="4" w:space="0"/>
              <w:left w:val="nil"/>
              <w:bottom w:val="single" w:color="000000" w:sz="4" w:space="0"/>
              <w:right w:val="single" w:color="000000" w:sz="4" w:space="0"/>
            </w:tcBorders>
            <w:shd w:val="clear" w:color="auto" w:fill="auto"/>
            <w:noWrap/>
            <w:vAlign w:val="center"/>
          </w:tcPr>
          <w:p w14:paraId="211493E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8</w:t>
            </w:r>
          </w:p>
        </w:tc>
        <w:tc>
          <w:tcPr>
            <w:tcW w:w="223" w:type="pct"/>
            <w:tcBorders>
              <w:top w:val="single" w:color="000000" w:sz="4" w:space="0"/>
              <w:left w:val="single" w:color="000000" w:sz="4" w:space="0"/>
              <w:bottom w:val="nil"/>
              <w:right w:val="single" w:color="000000" w:sz="4" w:space="0"/>
            </w:tcBorders>
            <w:shd w:val="clear" w:color="auto" w:fill="auto"/>
            <w:vAlign w:val="center"/>
          </w:tcPr>
          <w:p w14:paraId="16C0761D">
            <w:pPr>
              <w:jc w:val="left"/>
              <w:rPr>
                <w:rFonts w:hint="eastAsia" w:ascii="宋体" w:hAnsi="宋体" w:eastAsia="宋体" w:cs="宋体"/>
                <w:i w:val="0"/>
                <w:iCs w:val="0"/>
                <w:color w:val="000000"/>
                <w:sz w:val="20"/>
                <w:szCs w:val="20"/>
                <w:u w:val="none"/>
              </w:rPr>
            </w:pPr>
          </w:p>
        </w:tc>
      </w:tr>
      <w:tr w14:paraId="5DC166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B7DA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95</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6D898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控制台按键配件</w:t>
            </w:r>
          </w:p>
        </w:tc>
        <w:tc>
          <w:tcPr>
            <w:tcW w:w="3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E704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10个宏按键可编辑任何程序。</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214D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c>
          <w:tcPr>
            <w:tcW w:w="171" w:type="pct"/>
            <w:tcBorders>
              <w:top w:val="single" w:color="000000" w:sz="4" w:space="0"/>
              <w:left w:val="nil"/>
              <w:bottom w:val="single" w:color="000000" w:sz="4" w:space="0"/>
              <w:right w:val="single" w:color="000000" w:sz="4" w:space="0"/>
            </w:tcBorders>
            <w:shd w:val="clear" w:color="auto" w:fill="auto"/>
            <w:noWrap/>
            <w:vAlign w:val="center"/>
          </w:tcPr>
          <w:p w14:paraId="5C71783E">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10</w:t>
            </w:r>
          </w:p>
        </w:tc>
        <w:tc>
          <w:tcPr>
            <w:tcW w:w="223" w:type="pct"/>
            <w:tcBorders>
              <w:top w:val="single" w:color="000000" w:sz="4" w:space="0"/>
              <w:left w:val="single" w:color="000000" w:sz="4" w:space="0"/>
              <w:bottom w:val="nil"/>
              <w:right w:val="single" w:color="000000" w:sz="4" w:space="0"/>
            </w:tcBorders>
            <w:shd w:val="clear" w:color="auto" w:fill="auto"/>
            <w:vAlign w:val="center"/>
          </w:tcPr>
          <w:p w14:paraId="478F91D8">
            <w:pPr>
              <w:jc w:val="left"/>
              <w:rPr>
                <w:rFonts w:hint="eastAsia" w:ascii="宋体" w:hAnsi="宋体" w:eastAsia="宋体" w:cs="宋体"/>
                <w:i w:val="0"/>
                <w:iCs w:val="0"/>
                <w:color w:val="000000"/>
                <w:sz w:val="20"/>
                <w:szCs w:val="20"/>
                <w:u w:val="none"/>
              </w:rPr>
            </w:pPr>
          </w:p>
        </w:tc>
      </w:tr>
      <w:tr w14:paraId="292ECC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D03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96</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0CA33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重放推杆配件</w:t>
            </w:r>
          </w:p>
        </w:tc>
        <w:tc>
          <w:tcPr>
            <w:tcW w:w="3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87E6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20个重放推杆支持10000个虚拟重放</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75D5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c>
          <w:tcPr>
            <w:tcW w:w="171" w:type="pct"/>
            <w:tcBorders>
              <w:top w:val="single" w:color="000000" w:sz="4" w:space="0"/>
              <w:left w:val="nil"/>
              <w:bottom w:val="single" w:color="000000" w:sz="4" w:space="0"/>
              <w:right w:val="single" w:color="000000" w:sz="4" w:space="0"/>
            </w:tcBorders>
            <w:shd w:val="clear" w:color="auto" w:fill="auto"/>
            <w:noWrap/>
            <w:vAlign w:val="center"/>
          </w:tcPr>
          <w:p w14:paraId="48B94C27">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20</w:t>
            </w:r>
          </w:p>
        </w:tc>
        <w:tc>
          <w:tcPr>
            <w:tcW w:w="223" w:type="pct"/>
            <w:tcBorders>
              <w:top w:val="single" w:color="000000" w:sz="4" w:space="0"/>
              <w:left w:val="single" w:color="000000" w:sz="4" w:space="0"/>
              <w:bottom w:val="nil"/>
              <w:right w:val="single" w:color="000000" w:sz="4" w:space="0"/>
            </w:tcBorders>
            <w:shd w:val="clear" w:color="auto" w:fill="auto"/>
            <w:vAlign w:val="center"/>
          </w:tcPr>
          <w:p w14:paraId="60A53B6C">
            <w:pPr>
              <w:jc w:val="left"/>
              <w:rPr>
                <w:rFonts w:hint="eastAsia" w:ascii="宋体" w:hAnsi="宋体" w:eastAsia="宋体" w:cs="宋体"/>
                <w:i w:val="0"/>
                <w:iCs w:val="0"/>
                <w:color w:val="000000"/>
                <w:sz w:val="20"/>
                <w:szCs w:val="20"/>
                <w:u w:val="none"/>
              </w:rPr>
            </w:pPr>
          </w:p>
        </w:tc>
      </w:tr>
      <w:tr w14:paraId="12EFF3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FC0A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97</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2AFAD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调色板配件</w:t>
            </w:r>
          </w:p>
        </w:tc>
        <w:tc>
          <w:tcPr>
            <w:tcW w:w="3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E880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强大的CMY调色板功能。</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A82A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项</w:t>
            </w:r>
          </w:p>
        </w:tc>
        <w:tc>
          <w:tcPr>
            <w:tcW w:w="171" w:type="pct"/>
            <w:tcBorders>
              <w:top w:val="single" w:color="000000" w:sz="4" w:space="0"/>
              <w:left w:val="nil"/>
              <w:bottom w:val="single" w:color="000000" w:sz="4" w:space="0"/>
              <w:right w:val="single" w:color="000000" w:sz="4" w:space="0"/>
            </w:tcBorders>
            <w:shd w:val="clear" w:color="auto" w:fill="auto"/>
            <w:noWrap/>
            <w:vAlign w:val="center"/>
          </w:tcPr>
          <w:p w14:paraId="47C1626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1</w:t>
            </w:r>
          </w:p>
        </w:tc>
        <w:tc>
          <w:tcPr>
            <w:tcW w:w="223" w:type="pct"/>
            <w:tcBorders>
              <w:top w:val="single" w:color="000000" w:sz="4" w:space="0"/>
              <w:left w:val="single" w:color="000000" w:sz="4" w:space="0"/>
              <w:bottom w:val="nil"/>
              <w:right w:val="single" w:color="000000" w:sz="4" w:space="0"/>
            </w:tcBorders>
            <w:shd w:val="clear" w:color="auto" w:fill="auto"/>
            <w:vAlign w:val="center"/>
          </w:tcPr>
          <w:p w14:paraId="372DAA95">
            <w:pPr>
              <w:jc w:val="left"/>
              <w:rPr>
                <w:rFonts w:hint="eastAsia" w:ascii="宋体" w:hAnsi="宋体" w:eastAsia="宋体" w:cs="宋体"/>
                <w:i w:val="0"/>
                <w:iCs w:val="0"/>
                <w:color w:val="000000"/>
                <w:sz w:val="20"/>
                <w:szCs w:val="20"/>
                <w:u w:val="none"/>
              </w:rPr>
            </w:pPr>
          </w:p>
        </w:tc>
      </w:tr>
      <w:tr w14:paraId="40BFDE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E9D3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98</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7CAD9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控制台手写功能</w:t>
            </w:r>
          </w:p>
        </w:tc>
        <w:tc>
          <w:tcPr>
            <w:tcW w:w="3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D97B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涂鸦式手写命名功能</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E5DB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项</w:t>
            </w:r>
          </w:p>
        </w:tc>
        <w:tc>
          <w:tcPr>
            <w:tcW w:w="171" w:type="pct"/>
            <w:tcBorders>
              <w:top w:val="single" w:color="000000" w:sz="4" w:space="0"/>
              <w:left w:val="nil"/>
              <w:bottom w:val="single" w:color="000000" w:sz="4" w:space="0"/>
              <w:right w:val="single" w:color="000000" w:sz="4" w:space="0"/>
            </w:tcBorders>
            <w:shd w:val="clear" w:color="auto" w:fill="auto"/>
            <w:noWrap/>
            <w:vAlign w:val="center"/>
          </w:tcPr>
          <w:p w14:paraId="5C0E18A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1</w:t>
            </w:r>
          </w:p>
        </w:tc>
        <w:tc>
          <w:tcPr>
            <w:tcW w:w="223" w:type="pct"/>
            <w:tcBorders>
              <w:top w:val="single" w:color="000000" w:sz="4" w:space="0"/>
              <w:left w:val="single" w:color="000000" w:sz="4" w:space="0"/>
              <w:bottom w:val="nil"/>
              <w:right w:val="single" w:color="000000" w:sz="4" w:space="0"/>
            </w:tcBorders>
            <w:shd w:val="clear" w:color="auto" w:fill="auto"/>
            <w:vAlign w:val="center"/>
          </w:tcPr>
          <w:p w14:paraId="64378317">
            <w:pPr>
              <w:jc w:val="left"/>
              <w:rPr>
                <w:rFonts w:hint="eastAsia" w:ascii="宋体" w:hAnsi="宋体" w:eastAsia="宋体" w:cs="宋体"/>
                <w:i w:val="0"/>
                <w:iCs w:val="0"/>
                <w:color w:val="000000"/>
                <w:sz w:val="20"/>
                <w:szCs w:val="20"/>
                <w:u w:val="none"/>
              </w:rPr>
            </w:pPr>
          </w:p>
        </w:tc>
      </w:tr>
      <w:tr w14:paraId="776506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4346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99</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DD156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控制台软件</w:t>
            </w:r>
          </w:p>
        </w:tc>
        <w:tc>
          <w:tcPr>
            <w:tcW w:w="3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E36A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内置Visualiser可视化舞台模拟软件</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49E5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c>
          <w:tcPr>
            <w:tcW w:w="171" w:type="pct"/>
            <w:tcBorders>
              <w:top w:val="single" w:color="000000" w:sz="4" w:space="0"/>
              <w:left w:val="nil"/>
              <w:bottom w:val="single" w:color="000000" w:sz="4" w:space="0"/>
              <w:right w:val="single" w:color="000000" w:sz="4" w:space="0"/>
            </w:tcBorders>
            <w:shd w:val="clear" w:color="auto" w:fill="auto"/>
            <w:noWrap/>
            <w:vAlign w:val="center"/>
          </w:tcPr>
          <w:p w14:paraId="043494F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1</w:t>
            </w:r>
          </w:p>
        </w:tc>
        <w:tc>
          <w:tcPr>
            <w:tcW w:w="223" w:type="pct"/>
            <w:tcBorders>
              <w:top w:val="single" w:color="000000" w:sz="4" w:space="0"/>
              <w:left w:val="single" w:color="000000" w:sz="4" w:space="0"/>
              <w:bottom w:val="nil"/>
              <w:right w:val="single" w:color="000000" w:sz="4" w:space="0"/>
            </w:tcBorders>
            <w:shd w:val="clear" w:color="auto" w:fill="auto"/>
            <w:vAlign w:val="center"/>
          </w:tcPr>
          <w:p w14:paraId="3E536FEC">
            <w:pPr>
              <w:jc w:val="left"/>
              <w:rPr>
                <w:rFonts w:hint="eastAsia" w:ascii="宋体" w:hAnsi="宋体" w:eastAsia="宋体" w:cs="宋体"/>
                <w:i w:val="0"/>
                <w:iCs w:val="0"/>
                <w:color w:val="000000"/>
                <w:sz w:val="20"/>
                <w:szCs w:val="20"/>
                <w:u w:val="none"/>
              </w:rPr>
            </w:pPr>
          </w:p>
        </w:tc>
      </w:tr>
      <w:tr w14:paraId="3F9E0B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6925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100</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888BC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直通柜供电配件</w:t>
            </w:r>
          </w:p>
        </w:tc>
        <w:tc>
          <w:tcPr>
            <w:tcW w:w="3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B74F08">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供电：三相五线制AC380V±10％，频率50Hz±5％.</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3138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组</w:t>
            </w:r>
          </w:p>
        </w:tc>
        <w:tc>
          <w:tcPr>
            <w:tcW w:w="171" w:type="pct"/>
            <w:tcBorders>
              <w:top w:val="single" w:color="000000" w:sz="4" w:space="0"/>
              <w:left w:val="nil"/>
              <w:bottom w:val="single" w:color="000000" w:sz="4" w:space="0"/>
              <w:right w:val="single" w:color="000000" w:sz="4" w:space="0"/>
            </w:tcBorders>
            <w:shd w:val="clear" w:color="auto" w:fill="auto"/>
            <w:noWrap/>
            <w:vAlign w:val="center"/>
          </w:tcPr>
          <w:p w14:paraId="46347769">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1</w:t>
            </w:r>
          </w:p>
        </w:tc>
        <w:tc>
          <w:tcPr>
            <w:tcW w:w="223" w:type="pct"/>
            <w:tcBorders>
              <w:top w:val="single" w:color="000000" w:sz="4" w:space="0"/>
              <w:left w:val="single" w:color="000000" w:sz="4" w:space="0"/>
              <w:bottom w:val="nil"/>
              <w:right w:val="single" w:color="000000" w:sz="4" w:space="0"/>
            </w:tcBorders>
            <w:shd w:val="clear" w:color="auto" w:fill="auto"/>
            <w:vAlign w:val="center"/>
          </w:tcPr>
          <w:p w14:paraId="2F0B26BA">
            <w:pPr>
              <w:jc w:val="left"/>
              <w:rPr>
                <w:rFonts w:hint="eastAsia" w:ascii="宋体" w:hAnsi="宋体" w:eastAsia="宋体" w:cs="宋体"/>
                <w:i w:val="0"/>
                <w:iCs w:val="0"/>
                <w:color w:val="000000"/>
                <w:sz w:val="20"/>
                <w:szCs w:val="20"/>
                <w:u w:val="none"/>
              </w:rPr>
            </w:pPr>
          </w:p>
        </w:tc>
      </w:tr>
      <w:tr w14:paraId="3590F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5FFA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101</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335CE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直通柜输入配件</w:t>
            </w:r>
          </w:p>
        </w:tc>
        <w:tc>
          <w:tcPr>
            <w:tcW w:w="3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6FC3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输入：400A 380V犀牛插</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6663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c>
          <w:tcPr>
            <w:tcW w:w="171" w:type="pct"/>
            <w:tcBorders>
              <w:top w:val="single" w:color="000000" w:sz="4" w:space="0"/>
              <w:left w:val="nil"/>
              <w:bottom w:val="single" w:color="000000" w:sz="4" w:space="0"/>
              <w:right w:val="single" w:color="000000" w:sz="4" w:space="0"/>
            </w:tcBorders>
            <w:shd w:val="clear" w:color="auto" w:fill="auto"/>
            <w:noWrap/>
            <w:vAlign w:val="center"/>
          </w:tcPr>
          <w:p w14:paraId="29751E3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1</w:t>
            </w:r>
          </w:p>
        </w:tc>
        <w:tc>
          <w:tcPr>
            <w:tcW w:w="223" w:type="pct"/>
            <w:tcBorders>
              <w:top w:val="single" w:color="000000" w:sz="4" w:space="0"/>
              <w:left w:val="single" w:color="000000" w:sz="4" w:space="0"/>
              <w:bottom w:val="nil"/>
              <w:right w:val="single" w:color="000000" w:sz="4" w:space="0"/>
            </w:tcBorders>
            <w:shd w:val="clear" w:color="auto" w:fill="auto"/>
            <w:vAlign w:val="center"/>
          </w:tcPr>
          <w:p w14:paraId="7A4C4B02">
            <w:pPr>
              <w:jc w:val="left"/>
              <w:rPr>
                <w:rFonts w:hint="eastAsia" w:ascii="宋体" w:hAnsi="宋体" w:eastAsia="宋体" w:cs="宋体"/>
                <w:i w:val="0"/>
                <w:iCs w:val="0"/>
                <w:color w:val="000000"/>
                <w:sz w:val="20"/>
                <w:szCs w:val="20"/>
                <w:u w:val="none"/>
              </w:rPr>
            </w:pPr>
          </w:p>
        </w:tc>
      </w:tr>
      <w:tr w14:paraId="4F577A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B49A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102</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7CD60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直通柜输出配件</w:t>
            </w:r>
          </w:p>
        </w:tc>
        <w:tc>
          <w:tcPr>
            <w:tcW w:w="3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66FC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输出： 36路40A胶木插，4KW</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5EA8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c>
          <w:tcPr>
            <w:tcW w:w="171" w:type="pct"/>
            <w:tcBorders>
              <w:top w:val="single" w:color="000000" w:sz="4" w:space="0"/>
              <w:left w:val="nil"/>
              <w:bottom w:val="single" w:color="000000" w:sz="4" w:space="0"/>
              <w:right w:val="single" w:color="000000" w:sz="4" w:space="0"/>
            </w:tcBorders>
            <w:shd w:val="clear" w:color="auto" w:fill="auto"/>
            <w:noWrap/>
            <w:vAlign w:val="center"/>
          </w:tcPr>
          <w:p w14:paraId="6A4F8759">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36</w:t>
            </w:r>
          </w:p>
        </w:tc>
        <w:tc>
          <w:tcPr>
            <w:tcW w:w="223" w:type="pct"/>
            <w:tcBorders>
              <w:top w:val="single" w:color="000000" w:sz="4" w:space="0"/>
              <w:left w:val="single" w:color="000000" w:sz="4" w:space="0"/>
              <w:bottom w:val="nil"/>
              <w:right w:val="single" w:color="000000" w:sz="4" w:space="0"/>
            </w:tcBorders>
            <w:shd w:val="clear" w:color="auto" w:fill="auto"/>
            <w:vAlign w:val="center"/>
          </w:tcPr>
          <w:p w14:paraId="512C3B79">
            <w:pPr>
              <w:jc w:val="left"/>
              <w:rPr>
                <w:rFonts w:hint="eastAsia" w:ascii="宋体" w:hAnsi="宋体" w:eastAsia="宋体" w:cs="宋体"/>
                <w:i w:val="0"/>
                <w:iCs w:val="0"/>
                <w:color w:val="000000"/>
                <w:sz w:val="20"/>
                <w:szCs w:val="20"/>
                <w:u w:val="none"/>
              </w:rPr>
            </w:pPr>
          </w:p>
        </w:tc>
      </w:tr>
      <w:tr w14:paraId="7084C5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C8E5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103</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85487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直通柜250A总开关配件</w:t>
            </w:r>
          </w:p>
        </w:tc>
        <w:tc>
          <w:tcPr>
            <w:tcW w:w="3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E652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250A总开关,过载与短路双重保护高分断空气开关.</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9882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c>
          <w:tcPr>
            <w:tcW w:w="171" w:type="pct"/>
            <w:tcBorders>
              <w:top w:val="single" w:color="000000" w:sz="4" w:space="0"/>
              <w:left w:val="nil"/>
              <w:bottom w:val="single" w:color="000000" w:sz="4" w:space="0"/>
              <w:right w:val="single" w:color="000000" w:sz="4" w:space="0"/>
            </w:tcBorders>
            <w:shd w:val="clear" w:color="auto" w:fill="auto"/>
            <w:noWrap/>
            <w:vAlign w:val="center"/>
          </w:tcPr>
          <w:p w14:paraId="5B9E371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1</w:t>
            </w:r>
          </w:p>
        </w:tc>
        <w:tc>
          <w:tcPr>
            <w:tcW w:w="223" w:type="pct"/>
            <w:tcBorders>
              <w:top w:val="single" w:color="000000" w:sz="4" w:space="0"/>
              <w:left w:val="single" w:color="000000" w:sz="4" w:space="0"/>
              <w:bottom w:val="nil"/>
              <w:right w:val="single" w:color="000000" w:sz="4" w:space="0"/>
            </w:tcBorders>
            <w:shd w:val="clear" w:color="auto" w:fill="auto"/>
            <w:vAlign w:val="center"/>
          </w:tcPr>
          <w:p w14:paraId="3BEEFDCE">
            <w:pPr>
              <w:jc w:val="left"/>
              <w:rPr>
                <w:rFonts w:hint="eastAsia" w:ascii="宋体" w:hAnsi="宋体" w:eastAsia="宋体" w:cs="宋体"/>
                <w:i w:val="0"/>
                <w:iCs w:val="0"/>
                <w:color w:val="000000"/>
                <w:sz w:val="20"/>
                <w:szCs w:val="20"/>
                <w:u w:val="none"/>
              </w:rPr>
            </w:pPr>
          </w:p>
        </w:tc>
      </w:tr>
      <w:tr w14:paraId="79D266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3FDC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104</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A57F3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直通柜三相电压指示配件</w:t>
            </w:r>
          </w:p>
        </w:tc>
        <w:tc>
          <w:tcPr>
            <w:tcW w:w="3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A88F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三相独立电压，电流，监测，三相A.B.C指示灯指示</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4E55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c>
          <w:tcPr>
            <w:tcW w:w="171" w:type="pct"/>
            <w:tcBorders>
              <w:top w:val="single" w:color="000000" w:sz="4" w:space="0"/>
              <w:left w:val="nil"/>
              <w:bottom w:val="single" w:color="000000" w:sz="4" w:space="0"/>
              <w:right w:val="single" w:color="000000" w:sz="4" w:space="0"/>
            </w:tcBorders>
            <w:shd w:val="clear" w:color="auto" w:fill="auto"/>
            <w:noWrap/>
            <w:vAlign w:val="center"/>
          </w:tcPr>
          <w:p w14:paraId="7B2AA096">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1</w:t>
            </w:r>
          </w:p>
        </w:tc>
        <w:tc>
          <w:tcPr>
            <w:tcW w:w="223" w:type="pct"/>
            <w:tcBorders>
              <w:top w:val="single" w:color="000000" w:sz="4" w:space="0"/>
              <w:left w:val="single" w:color="000000" w:sz="4" w:space="0"/>
              <w:bottom w:val="nil"/>
              <w:right w:val="single" w:color="000000" w:sz="4" w:space="0"/>
            </w:tcBorders>
            <w:shd w:val="clear" w:color="auto" w:fill="auto"/>
            <w:vAlign w:val="center"/>
          </w:tcPr>
          <w:p w14:paraId="6EBDF10F">
            <w:pPr>
              <w:jc w:val="left"/>
              <w:rPr>
                <w:rFonts w:hint="eastAsia" w:ascii="宋体" w:hAnsi="宋体" w:eastAsia="宋体" w:cs="宋体"/>
                <w:i w:val="0"/>
                <w:iCs w:val="0"/>
                <w:color w:val="000000"/>
                <w:sz w:val="20"/>
                <w:szCs w:val="20"/>
                <w:u w:val="none"/>
              </w:rPr>
            </w:pPr>
          </w:p>
        </w:tc>
      </w:tr>
      <w:tr w14:paraId="4CAD7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0657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105</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50A00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直通柜机身配件</w:t>
            </w:r>
          </w:p>
        </w:tc>
        <w:tc>
          <w:tcPr>
            <w:tcW w:w="3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2716F">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机身：12厘黑板，静音轮</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E41A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c>
          <w:tcPr>
            <w:tcW w:w="171" w:type="pct"/>
            <w:tcBorders>
              <w:top w:val="single" w:color="000000" w:sz="4" w:space="0"/>
              <w:left w:val="nil"/>
              <w:bottom w:val="single" w:color="000000" w:sz="4" w:space="0"/>
              <w:right w:val="single" w:color="000000" w:sz="4" w:space="0"/>
            </w:tcBorders>
            <w:shd w:val="clear" w:color="auto" w:fill="auto"/>
            <w:noWrap/>
            <w:vAlign w:val="center"/>
          </w:tcPr>
          <w:p w14:paraId="4D6BEB1E">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1</w:t>
            </w:r>
          </w:p>
        </w:tc>
        <w:tc>
          <w:tcPr>
            <w:tcW w:w="223" w:type="pct"/>
            <w:tcBorders>
              <w:top w:val="single" w:color="000000" w:sz="4" w:space="0"/>
              <w:left w:val="single" w:color="000000" w:sz="4" w:space="0"/>
              <w:bottom w:val="nil"/>
              <w:right w:val="single" w:color="000000" w:sz="4" w:space="0"/>
            </w:tcBorders>
            <w:shd w:val="clear" w:color="auto" w:fill="auto"/>
            <w:vAlign w:val="center"/>
          </w:tcPr>
          <w:p w14:paraId="78EA94BB">
            <w:pPr>
              <w:jc w:val="left"/>
              <w:rPr>
                <w:rFonts w:hint="eastAsia" w:ascii="宋体" w:hAnsi="宋体" w:eastAsia="宋体" w:cs="宋体"/>
                <w:i w:val="0"/>
                <w:iCs w:val="0"/>
                <w:color w:val="000000"/>
                <w:sz w:val="20"/>
                <w:szCs w:val="20"/>
                <w:u w:val="none"/>
              </w:rPr>
            </w:pPr>
          </w:p>
        </w:tc>
      </w:tr>
      <w:tr w14:paraId="73221F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9BB2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106</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8434D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信号放大器接口配件</w:t>
            </w:r>
          </w:p>
        </w:tc>
        <w:tc>
          <w:tcPr>
            <w:tcW w:w="3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8DC505">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1路输入，1路直通输出（非隔离），8路光隔离信号分配输出 。</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CB54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c>
          <w:tcPr>
            <w:tcW w:w="171" w:type="pct"/>
            <w:tcBorders>
              <w:top w:val="single" w:color="000000" w:sz="4" w:space="0"/>
              <w:left w:val="nil"/>
              <w:bottom w:val="single" w:color="000000" w:sz="4" w:space="0"/>
              <w:right w:val="single" w:color="000000" w:sz="4" w:space="0"/>
            </w:tcBorders>
            <w:shd w:val="clear" w:color="auto" w:fill="auto"/>
            <w:noWrap/>
            <w:vAlign w:val="center"/>
          </w:tcPr>
          <w:p w14:paraId="15B0EB59">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4</w:t>
            </w:r>
          </w:p>
        </w:tc>
        <w:tc>
          <w:tcPr>
            <w:tcW w:w="223" w:type="pct"/>
            <w:tcBorders>
              <w:top w:val="single" w:color="000000" w:sz="4" w:space="0"/>
              <w:left w:val="single" w:color="000000" w:sz="4" w:space="0"/>
              <w:bottom w:val="nil"/>
              <w:right w:val="single" w:color="000000" w:sz="4" w:space="0"/>
            </w:tcBorders>
            <w:shd w:val="clear" w:color="auto" w:fill="auto"/>
            <w:vAlign w:val="center"/>
          </w:tcPr>
          <w:p w14:paraId="7241C8B4">
            <w:pPr>
              <w:jc w:val="left"/>
              <w:rPr>
                <w:rFonts w:hint="eastAsia" w:ascii="宋体" w:hAnsi="宋体" w:eastAsia="宋体" w:cs="宋体"/>
                <w:i w:val="0"/>
                <w:iCs w:val="0"/>
                <w:color w:val="000000"/>
                <w:sz w:val="20"/>
                <w:szCs w:val="20"/>
                <w:u w:val="none"/>
              </w:rPr>
            </w:pPr>
          </w:p>
        </w:tc>
      </w:tr>
      <w:tr w14:paraId="7F7CDB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4696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107</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38936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信号放大器电源模块配件</w:t>
            </w:r>
          </w:p>
        </w:tc>
        <w:tc>
          <w:tcPr>
            <w:tcW w:w="3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C27E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各输入输出接口之间的电气隔离电压：&gt;1000V</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6B75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c>
          <w:tcPr>
            <w:tcW w:w="1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4966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8</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1083F4">
            <w:pPr>
              <w:jc w:val="left"/>
              <w:rPr>
                <w:rFonts w:hint="eastAsia" w:ascii="宋体" w:hAnsi="宋体" w:eastAsia="宋体" w:cs="宋体"/>
                <w:i w:val="0"/>
                <w:iCs w:val="0"/>
                <w:color w:val="000000"/>
                <w:sz w:val="20"/>
                <w:szCs w:val="20"/>
                <w:u w:val="none"/>
              </w:rPr>
            </w:pPr>
          </w:p>
        </w:tc>
      </w:tr>
      <w:tr w14:paraId="4E4E77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BB38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108</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63878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信号放大器主板配件</w:t>
            </w:r>
          </w:p>
        </w:tc>
        <w:tc>
          <w:tcPr>
            <w:tcW w:w="3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DFA17">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每路带一个数字信号指示灯和一个电源指示灯</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DE5F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c>
          <w:tcPr>
            <w:tcW w:w="1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C3E26">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snapToGrid w:val="0"/>
                <w:color w:val="000000"/>
                <w:kern w:val="0"/>
                <w:sz w:val="20"/>
                <w:szCs w:val="20"/>
                <w:u w:val="none"/>
                <w:lang w:val="en-US" w:eastAsia="zh-CN" w:bidi="ar"/>
              </w:rPr>
              <w:t>4</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734B8F">
            <w:pPr>
              <w:jc w:val="left"/>
              <w:rPr>
                <w:rFonts w:hint="eastAsia" w:ascii="宋体" w:hAnsi="宋体" w:eastAsia="宋体" w:cs="宋体"/>
                <w:i w:val="0"/>
                <w:iCs w:val="0"/>
                <w:color w:val="000000"/>
                <w:sz w:val="20"/>
                <w:szCs w:val="20"/>
                <w:u w:val="none"/>
              </w:rPr>
            </w:pPr>
          </w:p>
        </w:tc>
      </w:tr>
      <w:tr w14:paraId="4D69AC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40"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2AC8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109</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E2224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卷扬机维修</w:t>
            </w:r>
          </w:p>
        </w:tc>
        <w:tc>
          <w:tcPr>
            <w:tcW w:w="3726" w:type="pct"/>
            <w:tcBorders>
              <w:top w:val="single" w:color="000000" w:sz="4" w:space="0"/>
              <w:left w:val="single" w:color="000000" w:sz="4" w:space="0"/>
              <w:bottom w:val="single" w:color="000000" w:sz="4" w:space="0"/>
              <w:right w:val="single" w:color="000000" w:sz="4" w:space="0"/>
            </w:tcBorders>
            <w:shd w:val="clear" w:color="auto" w:fill="auto"/>
            <w:vAlign w:val="top"/>
          </w:tcPr>
          <w:p w14:paraId="0DD8F0C0">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一、技术参数</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电动机功率：≥2.2kW，升降速度：≥0.2m/s，额定载重：≥6kN，吊点数：≥6，运行噪音：＜50dB</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定位精度：≤±5mm</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二、设备现状</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现有电动升降吊杆卷扬机已停用多年，长期未通电，设备老化严重，通电无响应、整机无法运行，需整机拆解维修。</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三、维修内容</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包括但不限于 ：更换全新电动机、减速箱、卷盘、钢丝绳、轴承、滑轮、制动器、底座、机架、限位开关、电源线、控制线、接线端子、紧固件等配件。</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拆解后逐一检测、除锈、清洁、润滑</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更换老化、损坏、失效零部件</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重新组装、接线、调试</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恢复升降、制动、限位、安全保护全部功能</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保证运行稳定、制动可靠、定位精准、安全可靠</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四、备品备件</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维修完成后，配齐全套原厂备品备件，放置甲方现场，保证日常维护及突发故障快速更换。</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五、球形网架吊顶承重要求（★）电动机、吊杆安装涉及球形网架吊顶，必须充分考虑承重荷载。</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施工前须由具备资质设计院出具盖章正式施工图、荷载验算报告或单体结构模型计算书；</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投标单位须出具书面承诺函，对结构安全、资料合规性负责。</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7303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项</w:t>
            </w:r>
          </w:p>
        </w:tc>
        <w:tc>
          <w:tcPr>
            <w:tcW w:w="171" w:type="pct"/>
            <w:tcBorders>
              <w:top w:val="single" w:color="000000" w:sz="4" w:space="0"/>
              <w:left w:val="single" w:color="000000" w:sz="4" w:space="0"/>
              <w:bottom w:val="single" w:color="000000" w:sz="4" w:space="0"/>
              <w:right w:val="single" w:color="000000" w:sz="4" w:space="0"/>
            </w:tcBorders>
            <w:shd w:val="clear" w:color="auto" w:fill="auto"/>
            <w:vAlign w:val="top"/>
          </w:tcPr>
          <w:p w14:paraId="46915ED8">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top"/>
          </w:tcPr>
          <w:p w14:paraId="0D87BFDC">
            <w:pPr>
              <w:jc w:val="left"/>
              <w:rPr>
                <w:rFonts w:hint="eastAsia" w:ascii="宋体" w:hAnsi="宋体" w:eastAsia="宋体" w:cs="宋体"/>
                <w:i w:val="0"/>
                <w:iCs w:val="0"/>
                <w:color w:val="000000"/>
                <w:sz w:val="20"/>
                <w:szCs w:val="20"/>
                <w:u w:val="none"/>
              </w:rPr>
            </w:pPr>
          </w:p>
        </w:tc>
      </w:tr>
      <w:tr w14:paraId="2CEC53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90"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8D9B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110</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C920C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吊杆配件维修</w:t>
            </w:r>
          </w:p>
        </w:tc>
        <w:tc>
          <w:tcPr>
            <w:tcW w:w="3726" w:type="pct"/>
            <w:tcBorders>
              <w:top w:val="single" w:color="000000" w:sz="4" w:space="0"/>
              <w:left w:val="single" w:color="000000" w:sz="4" w:space="0"/>
              <w:bottom w:val="single" w:color="000000" w:sz="4" w:space="0"/>
              <w:right w:val="single" w:color="000000" w:sz="4" w:space="0"/>
            </w:tcBorders>
            <w:shd w:val="clear" w:color="auto" w:fill="auto"/>
            <w:vAlign w:val="top"/>
          </w:tcPr>
          <w:p w14:paraId="538E8D6D">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一、技术参数</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工型专用舞台吊杆、高强复式吊杆专用扣件、配套紧绳器，满足舞台吊挂承重及安全使用要求，连接牢固、升降顺畅、安全可靠。</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二、设备现状</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现有会标吊杆长期使用，存在锈蚀、变形、扣件松动、紧绳器卡滞等问题，整体运行状态不良，需全面巡检维护。</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三、维修内容</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包括但不限于 ：对现有吊杆全面巡检、除锈、防腐、校正、紧固；更换全新工型专用舞台吊杆杆体、高强复式吊杆专用扣件、配套紧绳；确保吊杆平直无变形、连接牢固、升降顺畅、锁止可靠、安全稳定。</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四、备品备件</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配齐高强扣件、紧绳器、紧固件等备品备件，放置甲方现场，保障日常维护及应急更换。</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E292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项</w:t>
            </w:r>
          </w:p>
        </w:tc>
        <w:tc>
          <w:tcPr>
            <w:tcW w:w="171" w:type="pct"/>
            <w:tcBorders>
              <w:top w:val="single" w:color="000000" w:sz="4" w:space="0"/>
              <w:left w:val="single" w:color="000000" w:sz="4" w:space="0"/>
              <w:bottom w:val="single" w:color="000000" w:sz="4" w:space="0"/>
              <w:right w:val="single" w:color="000000" w:sz="4" w:space="0"/>
            </w:tcBorders>
            <w:shd w:val="clear" w:color="auto" w:fill="auto"/>
            <w:vAlign w:val="top"/>
          </w:tcPr>
          <w:p w14:paraId="7F903261">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top"/>
          </w:tcPr>
          <w:p w14:paraId="33736EB5">
            <w:pPr>
              <w:jc w:val="left"/>
              <w:rPr>
                <w:rFonts w:hint="eastAsia" w:ascii="宋体" w:hAnsi="宋体" w:eastAsia="宋体" w:cs="宋体"/>
                <w:i w:val="0"/>
                <w:iCs w:val="0"/>
                <w:color w:val="000000"/>
                <w:sz w:val="20"/>
                <w:szCs w:val="20"/>
                <w:u w:val="none"/>
              </w:rPr>
            </w:pPr>
          </w:p>
        </w:tc>
      </w:tr>
      <w:tr w14:paraId="5566B1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8"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D893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111</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5E1F6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变频调速大幕机巡检维护</w:t>
            </w:r>
          </w:p>
        </w:tc>
        <w:tc>
          <w:tcPr>
            <w:tcW w:w="3726" w:type="pct"/>
            <w:tcBorders>
              <w:top w:val="single" w:color="000000" w:sz="4" w:space="0"/>
              <w:left w:val="single" w:color="000000" w:sz="4" w:space="0"/>
              <w:bottom w:val="single" w:color="000000" w:sz="4" w:space="0"/>
              <w:right w:val="single" w:color="000000" w:sz="4" w:space="0"/>
            </w:tcBorders>
            <w:shd w:val="clear" w:color="auto" w:fill="auto"/>
            <w:vAlign w:val="top"/>
          </w:tcPr>
          <w:p w14:paraId="6C9B17EA">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一、技术参数</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电动机功率≥1.1kW，对开速度 0.01–1m/s（变频可调），适配幕重；具备左右限位、断电保护功能；观众厅第一排位置运行噪声≤50dB；工作寿命≥10000 小时。</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二、设备现状</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现有变频调速大幕机长期使用，部件老化、传动磨损、线路老化、限位及保护功能异常，整机运行不良，需整机拆解检修维护。</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三、维修内容</w:t>
            </w:r>
            <w:r>
              <w:rPr>
                <w:rFonts w:hint="eastAsia" w:ascii="宋体" w:hAnsi="宋体" w:eastAsia="宋体" w:cs="宋体"/>
                <w:i w:val="0"/>
                <w:iCs w:val="0"/>
                <w:snapToGrid w:val="0"/>
                <w:color w:val="000000"/>
                <w:kern w:val="0"/>
                <w:sz w:val="20"/>
                <w:szCs w:val="20"/>
                <w:u w:val="none"/>
                <w:lang w:val="en-US" w:eastAsia="zh-CN" w:bidi="ar"/>
              </w:rPr>
              <w:br w:type="textWrapping"/>
            </w:r>
            <w:r>
              <w:rPr>
                <w:rStyle w:val="131"/>
                <w:snapToGrid w:val="0"/>
                <w:color w:val="000000"/>
                <w:lang w:val="en-US" w:eastAsia="zh-CN" w:bidi="ar"/>
              </w:rPr>
              <w:t>包括但不限于 ：整机拆解检修，补齐设备原有缺失、日常损耗及未纳入统计的隐蔽配套配件、适配耗材与润滑辅料。</w:t>
            </w:r>
            <w:r>
              <w:rPr>
                <w:rFonts w:hint="eastAsia" w:ascii="宋体" w:hAnsi="宋体" w:eastAsia="宋体" w:cs="宋体"/>
                <w:i w:val="0"/>
                <w:iCs w:val="0"/>
                <w:snapToGrid w:val="0"/>
                <w:color w:val="000000"/>
                <w:kern w:val="0"/>
                <w:sz w:val="20"/>
                <w:szCs w:val="20"/>
                <w:u w:val="none"/>
                <w:lang w:val="en-US" w:eastAsia="zh-CN" w:bidi="ar"/>
              </w:rPr>
              <w:t>更换全新铝合金机体电机、减速箱、传动轮、轴承、限位开关、控制箱、电源线、控制线、接线端子、紧固件等；拆解后逐一检测、除锈、清洁、润滑，更换老化、损坏、失效零部件；重新组装、接线、调试，恢复对开、限位、制动、保护等全部功能，确保运行平稳、低噪、安全可靠。</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四、备品备件</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配齐减速箱、传动件、轴承、限位开关、线缆、紧固件等备品备件，放置甲方现场，保证日常维护及突发故障快速更换。</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五、球形网架吊顶承重要求（★）</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大幕机安装涉及球形网架吊顶，必须充分考虑承重荷载。施工前须由具备资质设计院出具盖章正式施工图、荷载验算报告或单体结构模型计算书；投标单位须出具书面承诺函，对结构安全、资料合规性负责。</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C567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项</w:t>
            </w:r>
          </w:p>
        </w:tc>
        <w:tc>
          <w:tcPr>
            <w:tcW w:w="171" w:type="pct"/>
            <w:tcBorders>
              <w:top w:val="single" w:color="000000" w:sz="4" w:space="0"/>
              <w:left w:val="single" w:color="000000" w:sz="4" w:space="0"/>
              <w:bottom w:val="single" w:color="000000" w:sz="4" w:space="0"/>
              <w:right w:val="single" w:color="000000" w:sz="4" w:space="0"/>
            </w:tcBorders>
            <w:shd w:val="clear" w:color="auto" w:fill="auto"/>
            <w:vAlign w:val="top"/>
          </w:tcPr>
          <w:p w14:paraId="5D9E84E6">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top"/>
          </w:tcPr>
          <w:p w14:paraId="39493ED9">
            <w:pPr>
              <w:jc w:val="left"/>
              <w:rPr>
                <w:rFonts w:hint="eastAsia" w:ascii="宋体" w:hAnsi="宋体" w:eastAsia="宋体" w:cs="宋体"/>
                <w:i w:val="0"/>
                <w:iCs w:val="0"/>
                <w:color w:val="000000"/>
                <w:sz w:val="20"/>
                <w:szCs w:val="20"/>
                <w:u w:val="none"/>
              </w:rPr>
            </w:pPr>
          </w:p>
        </w:tc>
      </w:tr>
      <w:tr w14:paraId="3431D7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782D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112</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top"/>
          </w:tcPr>
          <w:p w14:paraId="244A058C">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对开轨道维修</w:t>
            </w:r>
          </w:p>
        </w:tc>
        <w:tc>
          <w:tcPr>
            <w:tcW w:w="3726" w:type="pct"/>
            <w:tcBorders>
              <w:top w:val="single" w:color="000000" w:sz="4" w:space="0"/>
              <w:left w:val="single" w:color="000000" w:sz="4" w:space="0"/>
              <w:bottom w:val="single" w:color="000000" w:sz="4" w:space="0"/>
              <w:right w:val="single" w:color="000000" w:sz="4" w:space="0"/>
            </w:tcBorders>
            <w:shd w:val="clear" w:color="auto" w:fill="auto"/>
            <w:vAlign w:val="top"/>
          </w:tcPr>
          <w:p w14:paraId="11E96DA3">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一、技术参数</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对开导轨；台口中间重叠≥1.5m，满足舞台对开运行要求。</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二、设备现状</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现有对开轨道长期使用，存在变形、锈蚀、滑轮磨损、连接件松动、运行卡顿等问题，运行精度与稳定性下降，需全面巡检维护。</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三、维修内容</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包括但不限于 ：拆解检修，补齐设备原有缺失、日常损耗及未纳入统计的隐蔽配套配件、适配耗材与润滑辅料。对大幕对开轨道进行全面巡检、除锈、防腐、校正、紧固；更换全新滑轮、连接件、紧固件、轨道，确保运行顺畅、定位准确、无卡顿异响。</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四、备品备件</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配齐轨道滑轮、连接件、紧固件等备品备件，放置甲方现场，保障日常维护及应急更换。</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五、球形网架吊顶承重要求（★）轨道安装涉及球形网架吊顶，必须充分考虑承重荷载。施工前须由具备资质设计院出具盖章正式施工图、荷载验算报告或单体结构模型计算书；投标单位须出具书面承诺函，对结构安全、资料合规性负责。</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2CAF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项</w:t>
            </w:r>
          </w:p>
        </w:tc>
        <w:tc>
          <w:tcPr>
            <w:tcW w:w="171" w:type="pct"/>
            <w:tcBorders>
              <w:top w:val="single" w:color="000000" w:sz="4" w:space="0"/>
              <w:left w:val="single" w:color="000000" w:sz="4" w:space="0"/>
              <w:bottom w:val="single" w:color="000000" w:sz="4" w:space="0"/>
              <w:right w:val="single" w:color="000000" w:sz="4" w:space="0"/>
            </w:tcBorders>
            <w:shd w:val="clear" w:color="auto" w:fill="auto"/>
            <w:vAlign w:val="top"/>
          </w:tcPr>
          <w:p w14:paraId="34A0A1B1">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top"/>
          </w:tcPr>
          <w:p w14:paraId="3CA44E19">
            <w:pPr>
              <w:jc w:val="left"/>
              <w:rPr>
                <w:rFonts w:hint="eastAsia" w:ascii="宋体" w:hAnsi="宋体" w:eastAsia="宋体" w:cs="宋体"/>
                <w:i w:val="0"/>
                <w:iCs w:val="0"/>
                <w:color w:val="000000"/>
                <w:sz w:val="20"/>
                <w:szCs w:val="20"/>
                <w:u w:val="none"/>
              </w:rPr>
            </w:pPr>
          </w:p>
        </w:tc>
      </w:tr>
      <w:tr w14:paraId="627B6D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7"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E4C9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113</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top"/>
          </w:tcPr>
          <w:p w14:paraId="000E8AE6">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操作台维修</w:t>
            </w:r>
          </w:p>
        </w:tc>
        <w:tc>
          <w:tcPr>
            <w:tcW w:w="3726" w:type="pct"/>
            <w:tcBorders>
              <w:top w:val="single" w:color="000000" w:sz="4" w:space="0"/>
              <w:left w:val="single" w:color="000000" w:sz="4" w:space="0"/>
              <w:bottom w:val="single" w:color="000000" w:sz="4" w:space="0"/>
              <w:right w:val="single" w:color="000000" w:sz="4" w:space="0"/>
            </w:tcBorders>
            <w:shd w:val="clear" w:color="auto" w:fill="auto"/>
            <w:vAlign w:val="top"/>
          </w:tcPr>
          <w:p w14:paraId="1918059E">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一、技术参数</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合金面板、台面指示清晰；具备电锁、急停、电压显示（内嵌）、相序及缺相指示保护功能；实现机械平稳运行，配备限位保护、紧急一键急停装置。</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二、设备现状</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现有操作台长期使用，面板老化、按键失灵、指示不清、线路老化、保护功能异常，操控不稳定、存在安全隐患，需全面巡检维护。</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三、维修内容</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包括但不限于 ：对操作台全面拆解、检测、清洁、除尘；检修面板、按键、指示灯、电锁、急停按钮、电压表、相序 / 缺相保护模块、控制线路、接线端子、内部元器件；更换老化、损坏、失效部件；重新接线、组装、调试，恢复机械控制、限位保护、急停、电压 / 相序显示等全部功能，确保操控灵敏、指示清晰、运行稳定、安全可靠。</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四、备品备件</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配齐按键、指示灯、急停按钮、电锁、线缆、端子等备品备件，放置甲方现场，保障日常维护及应急更换。</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五、安全要求（★）</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维修及调试后需逐项测试限位、急停、相序 / 缺相、断电保护功能，确保动作灵敏、安全可靠；所有操作及保护功能必须符合舞台机械安全规范。</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8125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台</w:t>
            </w:r>
          </w:p>
        </w:tc>
        <w:tc>
          <w:tcPr>
            <w:tcW w:w="171" w:type="pct"/>
            <w:tcBorders>
              <w:top w:val="single" w:color="000000" w:sz="4" w:space="0"/>
              <w:left w:val="single" w:color="000000" w:sz="4" w:space="0"/>
              <w:bottom w:val="single" w:color="000000" w:sz="4" w:space="0"/>
              <w:right w:val="single" w:color="000000" w:sz="4" w:space="0"/>
            </w:tcBorders>
            <w:shd w:val="clear" w:color="auto" w:fill="auto"/>
            <w:vAlign w:val="top"/>
          </w:tcPr>
          <w:p w14:paraId="2C452201">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top"/>
          </w:tcPr>
          <w:p w14:paraId="26A4817D">
            <w:pPr>
              <w:jc w:val="left"/>
              <w:rPr>
                <w:rFonts w:hint="eastAsia" w:ascii="宋体" w:hAnsi="宋体" w:eastAsia="宋体" w:cs="宋体"/>
                <w:i w:val="0"/>
                <w:iCs w:val="0"/>
                <w:color w:val="000000"/>
                <w:sz w:val="20"/>
                <w:szCs w:val="20"/>
                <w:u w:val="none"/>
              </w:rPr>
            </w:pPr>
          </w:p>
        </w:tc>
      </w:tr>
      <w:tr w14:paraId="5EA2E5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7"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DEB7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114</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top"/>
          </w:tcPr>
          <w:p w14:paraId="508EB46C">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控制柜维修</w:t>
            </w:r>
          </w:p>
        </w:tc>
        <w:tc>
          <w:tcPr>
            <w:tcW w:w="3726" w:type="pct"/>
            <w:tcBorders>
              <w:top w:val="single" w:color="000000" w:sz="4" w:space="0"/>
              <w:left w:val="single" w:color="000000" w:sz="4" w:space="0"/>
              <w:bottom w:val="single" w:color="000000" w:sz="4" w:space="0"/>
              <w:right w:val="single" w:color="000000" w:sz="4" w:space="0"/>
            </w:tcBorders>
            <w:shd w:val="clear" w:color="auto" w:fill="auto"/>
            <w:vAlign w:val="top"/>
          </w:tcPr>
          <w:p w14:paraId="132A10E3">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一、技术参数</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污迹面积≤2mm²，划伤长度≤3cm、宽度≤0.5mm；柜体涂层厚度≥40</w:t>
            </w:r>
            <w:r>
              <w:rPr>
                <w:rFonts w:hint="default" w:ascii="Calibri" w:hAnsi="Calibri" w:eastAsia="宋体" w:cs="Calibri"/>
                <w:i w:val="0"/>
                <w:iCs w:val="0"/>
                <w:snapToGrid w:val="0"/>
                <w:color w:val="000000"/>
                <w:kern w:val="0"/>
                <w:sz w:val="20"/>
                <w:szCs w:val="20"/>
                <w:u w:val="none"/>
                <w:lang w:val="en-US" w:eastAsia="zh-CN" w:bidi="ar"/>
              </w:rPr>
              <w:t>μ</w:t>
            </w:r>
            <w:r>
              <w:rPr>
                <w:rFonts w:hint="eastAsia" w:ascii="宋体" w:hAnsi="宋体" w:eastAsia="宋体" w:cs="宋体"/>
                <w:i w:val="0"/>
                <w:iCs w:val="0"/>
                <w:snapToGrid w:val="0"/>
                <w:color w:val="000000"/>
                <w:kern w:val="0"/>
                <w:sz w:val="20"/>
                <w:szCs w:val="20"/>
                <w:u w:val="none"/>
                <w:lang w:val="en-US" w:eastAsia="zh-CN" w:bidi="ar"/>
              </w:rPr>
              <w:t>m，漆面附着牢固、耐腐蚀、不易脱落；含全套柜体电气控制矩阵、内部线材及配套辅材。</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二、设备现状</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现有控制柜长期运行，存在柜体漆面老化、轻微划痕、污渍、线路氧化、端子松动、元器件积尘老化等问题，外观标准及电气稳定性下降，需整机巡检清洁、养护检修。</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三、维修内容</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包括但不限于 ：对控制柜整体除尘、清洁、漆面养护修复；排查柜体外观缺陷，处理污渍、轻微划痕、色差问题，保证外观色泽均匀、漆面附着牢固；全面检测内部电气矩阵模块、线路、线材、辅材、接线端子、电气元器件；紧固松动线路、更换老化破损线材及失效辅材；整机通电调试，保证控制柜电气控制稳定、信号传输正常、保护功能完好，外观及电气性能达标。</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四、备品备件</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配齐控制柜专用线材、连接辅材、端子、小型电气配件、漆面修复耗材等备品备件，存放于甲方现场，满足日常运维及应急抢修使用。</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五、安全及工艺要求</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检修后柜体外观、涂层厚度、划痕、污渍、色差均满足标准要求，电气接线规范、排布整齐、绝缘可靠，整体设备运行稳定、安全合规，符合电气安全运行规范。</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DD61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台</w:t>
            </w:r>
          </w:p>
        </w:tc>
        <w:tc>
          <w:tcPr>
            <w:tcW w:w="171" w:type="pct"/>
            <w:tcBorders>
              <w:top w:val="single" w:color="000000" w:sz="4" w:space="0"/>
              <w:left w:val="single" w:color="000000" w:sz="4" w:space="0"/>
              <w:bottom w:val="single" w:color="000000" w:sz="4" w:space="0"/>
              <w:right w:val="single" w:color="000000" w:sz="4" w:space="0"/>
            </w:tcBorders>
            <w:shd w:val="clear" w:color="auto" w:fill="auto"/>
            <w:vAlign w:val="top"/>
          </w:tcPr>
          <w:p w14:paraId="3CF0C732">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top"/>
          </w:tcPr>
          <w:p w14:paraId="105AD2C6">
            <w:pPr>
              <w:jc w:val="left"/>
              <w:rPr>
                <w:rFonts w:hint="eastAsia" w:ascii="宋体" w:hAnsi="宋体" w:eastAsia="宋体" w:cs="宋体"/>
                <w:i w:val="0"/>
                <w:iCs w:val="0"/>
                <w:color w:val="000000"/>
                <w:sz w:val="20"/>
                <w:szCs w:val="20"/>
                <w:u w:val="none"/>
              </w:rPr>
            </w:pPr>
          </w:p>
        </w:tc>
      </w:tr>
      <w:tr w14:paraId="578283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48A9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115</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top"/>
          </w:tcPr>
          <w:p w14:paraId="388B4AC5">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会标幕、大幕、会议幕、侧幕、横条幕、竖条幕等巡检维护</w:t>
            </w:r>
          </w:p>
        </w:tc>
        <w:tc>
          <w:tcPr>
            <w:tcW w:w="3726" w:type="pct"/>
            <w:tcBorders>
              <w:top w:val="single" w:color="000000" w:sz="4" w:space="0"/>
              <w:left w:val="single" w:color="000000" w:sz="4" w:space="0"/>
              <w:bottom w:val="single" w:color="000000" w:sz="4" w:space="0"/>
              <w:right w:val="single" w:color="000000" w:sz="4" w:space="0"/>
            </w:tcBorders>
            <w:shd w:val="clear" w:color="auto" w:fill="auto"/>
            <w:vAlign w:val="top"/>
          </w:tcPr>
          <w:p w14:paraId="1BD1380A">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一、技术参数</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尺寸规格：尺寸原有幕尺寸，三折制作、单块整幅；面料采用专业丝绒材质，具备阻燃防火性能，满足室内舞台演出、会议场景使用标准。</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二、设备现状</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现有幕长期悬挂使用，存在积灰、面料松弛、褶皱、局部色差、阻燃性能衰减、折痕变形、边角松动等问题，整体观感及使用标准下降，需全面巡检清洁养护。</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三、维修内容</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包括但不限于 ：对原有老旧幕、老化配件进行全面拆除、清理；现场实测尺寸，适配安装全新幕；恢复幕面平整、色泽均匀、垂坠整齐，保证整体美观大方、符合舞台会务使用标准。</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F067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项</w:t>
            </w:r>
          </w:p>
        </w:tc>
        <w:tc>
          <w:tcPr>
            <w:tcW w:w="171" w:type="pct"/>
            <w:tcBorders>
              <w:top w:val="single" w:color="000000" w:sz="4" w:space="0"/>
              <w:left w:val="single" w:color="000000" w:sz="4" w:space="0"/>
              <w:bottom w:val="single" w:color="000000" w:sz="4" w:space="0"/>
              <w:right w:val="single" w:color="000000" w:sz="4" w:space="0"/>
            </w:tcBorders>
            <w:shd w:val="clear" w:color="auto" w:fill="auto"/>
            <w:vAlign w:val="top"/>
          </w:tcPr>
          <w:p w14:paraId="61614097">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top"/>
          </w:tcPr>
          <w:p w14:paraId="225BA7FB">
            <w:pPr>
              <w:jc w:val="left"/>
              <w:rPr>
                <w:rFonts w:hint="eastAsia" w:ascii="宋体" w:hAnsi="宋体" w:eastAsia="宋体" w:cs="宋体"/>
                <w:i w:val="0"/>
                <w:iCs w:val="0"/>
                <w:color w:val="000000"/>
                <w:sz w:val="20"/>
                <w:szCs w:val="20"/>
                <w:u w:val="none"/>
              </w:rPr>
            </w:pPr>
          </w:p>
        </w:tc>
      </w:tr>
      <w:tr w14:paraId="2F7E0A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CD19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116</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D6DAD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会标幕、大幕、会议幕、侧幕、横条幕、竖条幕等幕衬里巡检维护</w:t>
            </w:r>
          </w:p>
        </w:tc>
        <w:tc>
          <w:tcPr>
            <w:tcW w:w="3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B43F1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一、技术参数</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配套衬里，尺寸原有幕尺寸，单折工艺、1 块整幅；衬里面料具备阻燃防火性能，与丝绒幕配套使用，满足室内舞台会务阻燃及遮光配套使用要求。</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二、设备现状</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现有衬里长期悬挂使用，积灰严重、面料松弛、折位变形、局部脱线、贴合度下降，阻燃性能衰减，整体整洁度及使用性能不达标，需全面巡检清洁养护。</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三、维修内容</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包括但不限于 ：对原有老旧衬里、老化配件进行全面拆除、清理；现场实测尺寸，适配安装全新衬里；全面检查面料完整性、阻燃层状态、边缘缝线及固定点位；修补脱线、松边、破损位置，校正整体平整度与垂坠度，保证衬里贴合紧密、平整规整、无破损、无松垮，与幕完美配套。</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50C7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项</w:t>
            </w:r>
          </w:p>
        </w:tc>
        <w:tc>
          <w:tcPr>
            <w:tcW w:w="1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79E2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1A55B0">
            <w:pPr>
              <w:jc w:val="left"/>
              <w:rPr>
                <w:rFonts w:hint="eastAsia" w:ascii="宋体" w:hAnsi="宋体" w:eastAsia="宋体" w:cs="宋体"/>
                <w:i w:val="0"/>
                <w:iCs w:val="0"/>
                <w:color w:val="000000"/>
                <w:sz w:val="20"/>
                <w:szCs w:val="20"/>
                <w:u w:val="none"/>
              </w:rPr>
            </w:pPr>
          </w:p>
        </w:tc>
      </w:tr>
      <w:tr w14:paraId="23376E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5"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87A0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117</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B79A5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线材辅材巡检维护</w:t>
            </w:r>
          </w:p>
        </w:tc>
        <w:tc>
          <w:tcPr>
            <w:tcW w:w="3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F7265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包括但不限于 ：国标3*2.5橡套，国标3*0.75信号线</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24EF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项</w:t>
            </w:r>
          </w:p>
        </w:tc>
        <w:tc>
          <w:tcPr>
            <w:tcW w:w="1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A0E1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8D67BB">
            <w:pPr>
              <w:jc w:val="left"/>
              <w:rPr>
                <w:rFonts w:hint="eastAsia" w:ascii="宋体" w:hAnsi="宋体" w:eastAsia="宋体" w:cs="宋体"/>
                <w:i w:val="0"/>
                <w:iCs w:val="0"/>
                <w:color w:val="000000"/>
                <w:sz w:val="20"/>
                <w:szCs w:val="20"/>
                <w:u w:val="none"/>
              </w:rPr>
            </w:pPr>
          </w:p>
        </w:tc>
      </w:tr>
      <w:tr w14:paraId="23DABB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40"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CCEA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118</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12A10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舞台设备层系统巡检维护</w:t>
            </w:r>
          </w:p>
        </w:tc>
        <w:tc>
          <w:tcPr>
            <w:tcW w:w="3726" w:type="pct"/>
            <w:tcBorders>
              <w:top w:val="single" w:color="000000" w:sz="4" w:space="0"/>
              <w:left w:val="single" w:color="000000" w:sz="4" w:space="0"/>
              <w:bottom w:val="single" w:color="000000" w:sz="4" w:space="0"/>
              <w:right w:val="single" w:color="000000" w:sz="4" w:space="0"/>
            </w:tcBorders>
            <w:shd w:val="clear" w:color="auto" w:fill="auto"/>
            <w:vAlign w:val="top"/>
          </w:tcPr>
          <w:p w14:paraId="7833345E">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一、技术参数</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主梁采用 Q235B 槽钢焊接成型，吊点梁采用 Q235B 方管，电机机脚梁采用Q235B 槽钢焊接制作，整体结构为现场定制成型，承载强度高、结构稳固，满足舞台全部吊挂设备承重运行标准。</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二、设备现状</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现有舞台设备层钢结构长期承重服役，存在焊缝疲劳、局部锈蚀、固件松动、漆面老化、受力点位应力不均等隐患，整体结构稳定性下降，需全面系统巡检、检测、养护加固。</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三、维修内容</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包括但不限于 ：更换全新舞台设备层整体钢结构主梁、吊点方管、电机机脚双槽钢构架；整体除锈、除垢、清洁、防腐防锈处理；检查所有焊缝、焊接节点、受力点位，排查虚焊、脱焊、裂纹隐患；紧固全部连接螺栓、固件，校正轻微形变构件；对结构薄弱点位加固处理，整体漆面修复养护，确保钢结构承载稳定、结构安全、符合承重设计标准。</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四、备品备件</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配齐结构加固固件、高强螺栓、防锈漆、防腐辅料、加固垫片等备品备件，存放甲方现场，保障后期日常巡检维护及应急加固使用。</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五、结构安全要求（★）</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设备层为舞台核心承重结构，涉及球形网架吊顶受力，施工前须复核整体荷载；施工前由具备资质设计院出具盖章施工图、荷载验算报告或单体结构模型计算书，并出具结构安全承诺函，确保整体结构承载力、稳定性、安全性完全达标，无安全隐患。</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6E1B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项</w:t>
            </w:r>
          </w:p>
        </w:tc>
        <w:tc>
          <w:tcPr>
            <w:tcW w:w="1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3621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65C6A4">
            <w:pPr>
              <w:jc w:val="center"/>
              <w:rPr>
                <w:rFonts w:hint="eastAsia" w:ascii="宋体" w:hAnsi="宋体" w:eastAsia="宋体" w:cs="宋体"/>
                <w:i w:val="0"/>
                <w:iCs w:val="0"/>
                <w:color w:val="000000"/>
                <w:sz w:val="20"/>
                <w:szCs w:val="20"/>
                <w:u w:val="none"/>
              </w:rPr>
            </w:pPr>
          </w:p>
        </w:tc>
      </w:tr>
      <w:tr w14:paraId="5B098D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40"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D16C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119</w:t>
            </w:r>
          </w:p>
        </w:tc>
        <w:tc>
          <w:tcPr>
            <w:tcW w:w="612" w:type="pct"/>
            <w:tcBorders>
              <w:top w:val="nil"/>
              <w:left w:val="single" w:color="000000" w:sz="4" w:space="0"/>
              <w:bottom w:val="single" w:color="000000" w:sz="4" w:space="0"/>
              <w:right w:val="single" w:color="000000" w:sz="4" w:space="0"/>
            </w:tcBorders>
            <w:shd w:val="clear" w:color="auto" w:fill="auto"/>
            <w:vAlign w:val="center"/>
          </w:tcPr>
          <w:p w14:paraId="0D81314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数字调音台升级维护</w:t>
            </w:r>
          </w:p>
        </w:tc>
        <w:tc>
          <w:tcPr>
            <w:tcW w:w="3726" w:type="pct"/>
            <w:tcBorders>
              <w:top w:val="nil"/>
              <w:left w:val="single" w:color="000000" w:sz="4" w:space="0"/>
              <w:bottom w:val="single" w:color="000000" w:sz="4" w:space="0"/>
              <w:right w:val="single" w:color="000000" w:sz="4" w:space="0"/>
            </w:tcBorders>
            <w:shd w:val="clear" w:color="auto" w:fill="auto"/>
            <w:vAlign w:val="top"/>
          </w:tcPr>
          <w:p w14:paraId="1418456B">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一、技术参数</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设备为 32 通道数字调音台，内置 16 个  经典话放；支持 AES50 网络传输，最大可传输 96 路输入和 96 路输出；采用 40bit 浮点信号处理，兼容 96kHz 采样率；搭载 192kHz 数模 / 模数转换模块；配置 17 个 100mm  PRO 电动推子、5 寸日光可视 TFT 彩色显示屏；内置 8 个立体声效果器，支持 Mackie Control 及 Hui 协议控制，可通过无线网络由移动设备 APP 远程操控；整机采用铝合金 + 碳纤维材质打造，配备自适应开关电源。</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二、设备现状</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现有数字调音台长期高频运行，设备内部积尘严重，存在推子卡顿、按键响应延迟、接口接触不良、信号传输不稳定、音效调用异常、无线控制断连等问题；部分预设参数紊乱、自定义按键失灵，无法满足舞台高清扩声、声场调试、音频录制及后期制作的专业使用标准，存在演出扩声卡顿、杂音、信号中断等隐患，需整机深度巡检、除尘养护、更换配件并升级扩展、参数校准、功能调试维护。</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三、维修内容</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包括但不限于 ：更换全新显示屏、按键、电动推子、接口端口及内部电路板；更换全新话放模块、输入输出通道、混音母线、编组控制模块等；排查修复电路老化、接口氧化、线路虚接、芯片工作异常等故障；校准数模 、 模数转换精度、信号处理参数，修正声道相位偏差、优化音频动态及降噪性能；检修电动推子、自定义按键、显示屏显示功能，修复卡顿、失灵、显示异常问题；调试内置效果器，核验音效类型运行正常，重置优化设备预设参数；检测 AES50 网络传输、USB 音频传输、MIDI 信号收发功能，修复无线 APP 控制、个人监听联动、U 盘录播、RTA 频谱分析、DAW 路由控制功能；整机通电老化测试、全功能逐一校验、声场适配调试，确保所有通道、功能、参数完全达标，音频输出清晰稳定、无杂音、无断连。</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四、备品备件</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配齐设备专用电动推子、编码器旋钮、按键开关、TFT 显示屏背光组件、XLR 接口端子、AES50/ULTRANET 网络接口模块、RJ45 屏蔽网线、MIDI/USB 接口配件、电源插座、保险管、电源开关、开关电源模块、 话放单元配件、内部排线、LED 指示灯、防尘罩、机架安装耳、减震脚垫等全套备品备件，存放甲方现场，用于设备日常除尘养护、故障快速替换及应急抢修，保障舞台音频系统长期稳定运行。</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五、质量性能要求</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维护完成后，数字调音台所有输入输出通道、混音母线、编组控制功能运行正常；音频采样、信号处理、数模转换精度达标，声道相位一致、音质清晰纯净、无杂音、无失真、无信号断连；推子、按键、显示屏操控灵敏稳定，无线控制、录播、音效、频谱分析、工作站对接等全功能正常使用，设备整体性能恢复出厂专业标准，完全满足舞台会议、文艺演出、音频录制及后期制作的长期安全稳定使用需求。</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36EF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台</w:t>
            </w:r>
          </w:p>
        </w:tc>
        <w:tc>
          <w:tcPr>
            <w:tcW w:w="1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3EE8B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515515">
            <w:pPr>
              <w:jc w:val="left"/>
              <w:rPr>
                <w:rFonts w:hint="eastAsia" w:ascii="宋体" w:hAnsi="宋体" w:eastAsia="宋体" w:cs="宋体"/>
                <w:i w:val="0"/>
                <w:iCs w:val="0"/>
                <w:color w:val="000000"/>
                <w:sz w:val="20"/>
                <w:szCs w:val="20"/>
                <w:u w:val="none"/>
              </w:rPr>
            </w:pPr>
          </w:p>
        </w:tc>
      </w:tr>
      <w:tr w14:paraId="2B8E26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40"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F777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120</w:t>
            </w:r>
          </w:p>
        </w:tc>
        <w:tc>
          <w:tcPr>
            <w:tcW w:w="612" w:type="pct"/>
            <w:tcBorders>
              <w:top w:val="nil"/>
              <w:left w:val="single" w:color="000000" w:sz="4" w:space="0"/>
              <w:bottom w:val="single" w:color="000000" w:sz="4" w:space="0"/>
              <w:right w:val="single" w:color="000000" w:sz="4" w:space="0"/>
            </w:tcBorders>
            <w:shd w:val="clear" w:color="auto" w:fill="auto"/>
            <w:vAlign w:val="center"/>
          </w:tcPr>
          <w:p w14:paraId="639004F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数字接口箱维护</w:t>
            </w:r>
          </w:p>
        </w:tc>
        <w:tc>
          <w:tcPr>
            <w:tcW w:w="3726" w:type="pct"/>
            <w:tcBorders>
              <w:top w:val="nil"/>
              <w:left w:val="single" w:color="000000" w:sz="4" w:space="0"/>
              <w:bottom w:val="single" w:color="000000" w:sz="4" w:space="0"/>
              <w:right w:val="single" w:color="000000" w:sz="4" w:space="0"/>
            </w:tcBorders>
            <w:shd w:val="clear" w:color="auto" w:fill="auto"/>
            <w:vAlign w:val="center"/>
          </w:tcPr>
          <w:p w14:paraId="2E18DD5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一、技术参数</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设备为舞台专用数字接口箱，配置 16 路可编组输入通道、搭载远程控制经典话放，配备 8 路模拟平衡 XLR 输出接口；采用 CAT5 屏蔽双绞线（STP）传输，可串联 3 台 DL16 接口箱或接入 1 台  DL150 接口箱，拓展后实现 48 路输入、24 路输出；配备双 AES50 端口，配合路由器组网，系统最大支持 96 路输入通道，信号传输低延迟、抗干扰能力强。</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二、设备现状</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现有数字舞台接口箱长期在舞台区域使用，现场粉尘大、接口插拔频繁，存在接口氧化、接触不良、话放增益异常、通道编组失灵、远程控制失效、网络组网不稳定等问题，信号传输断续、底噪升高，无法满足舞台多通道音频信号稳定采集与传输要求，需整机检修、养护及功能调试。</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三、维修内容</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包括但不限于 ：对设备除尘、清洁养护，更换全新接口、电路板及接线端子等配件；更换 16 路输入话放、8 路 XLR 输出通道，更换 CAT5 网络端口、双 AES50 传输端口运行状态，排查线路虚接、信号丢包故障；完成多设备串联组网调试，核验拓展通道及 96 路输入组网功能；整机通电测试、参数校准，确保信号传输稳定、各功能运行正常。</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四、备品备件</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配齐 XLR 接口端子、AES50 网络模块、CAT5e/6 屏蔽网线（STP）、EtherCON 防水接头、接线端子、内部排线、固定固件、防尘防护配件等全套备品备件，放置甲方现场，保证日常维护及突发故障快速更换。</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五、质量性能要求</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维护完成后，设备各路输入输出通道、编组及远程控制功能灵敏有效，网络传输稳定无丢包、无延迟，多设备串联组网、大通道扩容功能全部达标；音频信号传输纯净无杂音、无失真，整体性能符合专业舞台音频传输使用标准，可长期稳定运行。</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0D0CB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台</w:t>
            </w:r>
          </w:p>
        </w:tc>
        <w:tc>
          <w:tcPr>
            <w:tcW w:w="1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E79F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477E35">
            <w:pPr>
              <w:jc w:val="left"/>
              <w:rPr>
                <w:rFonts w:hint="eastAsia" w:ascii="宋体" w:hAnsi="宋体" w:eastAsia="宋体" w:cs="宋体"/>
                <w:i w:val="0"/>
                <w:iCs w:val="0"/>
                <w:color w:val="000000"/>
                <w:sz w:val="20"/>
                <w:szCs w:val="20"/>
                <w:u w:val="none"/>
              </w:rPr>
            </w:pPr>
          </w:p>
        </w:tc>
      </w:tr>
      <w:tr w14:paraId="662318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40"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849D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121</w:t>
            </w:r>
          </w:p>
        </w:tc>
        <w:tc>
          <w:tcPr>
            <w:tcW w:w="612" w:type="pct"/>
            <w:tcBorders>
              <w:top w:val="nil"/>
              <w:left w:val="single" w:color="000000" w:sz="4" w:space="0"/>
              <w:bottom w:val="single" w:color="000000" w:sz="4" w:space="0"/>
              <w:right w:val="single" w:color="000000" w:sz="4" w:space="0"/>
            </w:tcBorders>
            <w:shd w:val="clear" w:color="auto" w:fill="auto"/>
            <w:vAlign w:val="center"/>
          </w:tcPr>
          <w:p w14:paraId="3DF73FD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线阵列扬声器维护</w:t>
            </w:r>
          </w:p>
        </w:tc>
        <w:tc>
          <w:tcPr>
            <w:tcW w:w="3726" w:type="pct"/>
            <w:tcBorders>
              <w:top w:val="nil"/>
              <w:left w:val="single" w:color="000000" w:sz="4" w:space="0"/>
              <w:bottom w:val="single" w:color="000000" w:sz="4" w:space="0"/>
              <w:right w:val="single" w:color="000000" w:sz="4" w:space="0"/>
            </w:tcBorders>
            <w:shd w:val="clear" w:color="auto" w:fill="auto"/>
            <w:vAlign w:val="center"/>
          </w:tcPr>
          <w:p w14:paraId="17D000A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一、技术参数</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本项目舞台左右声道主扩声采用12英寸低音无源两路线阵列扬声器，专为舞台专业扩声场景设计，适配室内会议、文艺演出主声场覆盖使用。设备核心技术参数如下：频率范围（-10dB）：57Hz–20kHz；频率响应（±3dB）：75Hz–20kHz；声场覆盖角度为水平100°、垂直15°，声场投射均匀、覆盖范围广。设备支持无源分频、双功放两种工作模式：无源分频模式功率参数为持续800W、节目1600W、峰值3200W；双功放模式下低频单元持续800W、节目1600W、峰值3200W，高频单元持续75W、节目150W、峰值300W。最大声压级表现优异，无源分频模式1m处最大声压级130dB，双功放模式低频130dB/1m、高频139dB/1m。扬声器单元配置：低频单元采用2262H，高频单元配置3组2407J（1.5英寸音圈），高低音搭配合理、解析力高、动态范围大。设备整体尺寸为349mm×597mm×381mm，单台净重21.8kg，结构轻量化、安装便捷、音质通透饱满，满足舞台高清扩声、远距离声场覆盖、大动态演出扩声使用标准。</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二、设备现状</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现有舞台左右声道阵列全频扬声器长期高频运行，受舞台粉尘、震动、环境湿度影响，设备存在单元老化、振膜积灰、防尘网堵塞、音质衰减、高低频衔接失衡、声压不足、声场偏移等问题；长期功率负荷运行导致分频模块性能下降、接口接触不良、箱体固定松动，出现播放杂音、破音、失真、单侧声道音量不均衡、高频通透度不足、低频下沉力度不够等故障，无法满足专业舞台演出、大型会议高清、高保真、大动态扩声需求，存在声场覆盖不均、音质失真、设备异响等使用隐患，需整机深度养护、故障检修、参数校准、声场调试维护。</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三、维修内容</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包括但不限于 ：整机拆解清洁、深度养护，更换防尘网、更换高低音单元振膜配件、音圈配件等其它配；更换全新2262H低频单元、2407J高频单元；更换无源分频模块、双功放切换工作模块，检测电路通断、功率承载性能，修复分频异常、高低频衔接紊乱问题；更换扬声器接线端口、内置线路板；更换扬声器箱体固定结构、安装挂架配件，校正设备安装角度、声场投射方位；针对无源分频、双功放两种工作模式进行逐项通电测试，核验设备功率承载、声压输出、频率响应性能；调试左右声道音量平衡、声场均匀度、高低音音质效果，消除杂音、破音、失真问题；完成整机老化测试、声场覆盖校准、音质精细调试，确保设备各项参数达标、扩声性能完好。</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四、质量性能要求</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维护完成后，左右声道阵列全频扬声器运行稳定、无杂音、无破音、无失真；设备频率范围、频率响应、声场覆盖角度、声压级、功率承载等全部技术参数达标；高低音单元工作正常、音质通透饱满、动态充足，高低频衔接自然，左右声道声场平衡、投射精准、覆盖均匀，可完美适配舞台大型会议、专业文艺演出大动态、高保真扩声需求，整体扩声性能恢复专业设备标准，满足长期常态化安全稳定使用要求。</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32D6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支</w:t>
            </w:r>
          </w:p>
        </w:tc>
        <w:tc>
          <w:tcPr>
            <w:tcW w:w="171" w:type="pct"/>
            <w:tcBorders>
              <w:top w:val="nil"/>
              <w:left w:val="single" w:color="000000" w:sz="4" w:space="0"/>
              <w:bottom w:val="single" w:color="000000" w:sz="4" w:space="0"/>
              <w:right w:val="single" w:color="000000" w:sz="4" w:space="0"/>
            </w:tcBorders>
            <w:shd w:val="clear" w:color="auto" w:fill="auto"/>
            <w:vAlign w:val="center"/>
          </w:tcPr>
          <w:p w14:paraId="5D9484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8</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6D48D9">
            <w:pPr>
              <w:jc w:val="left"/>
              <w:rPr>
                <w:rFonts w:hint="eastAsia" w:ascii="宋体" w:hAnsi="宋体" w:eastAsia="宋体" w:cs="宋体"/>
                <w:i w:val="0"/>
                <w:iCs w:val="0"/>
                <w:color w:val="000000"/>
                <w:sz w:val="20"/>
                <w:szCs w:val="20"/>
                <w:u w:val="none"/>
              </w:rPr>
            </w:pPr>
          </w:p>
        </w:tc>
      </w:tr>
      <w:tr w14:paraId="68D7D0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40"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1D17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122</w:t>
            </w:r>
          </w:p>
        </w:tc>
        <w:tc>
          <w:tcPr>
            <w:tcW w:w="612" w:type="pct"/>
            <w:tcBorders>
              <w:top w:val="nil"/>
              <w:left w:val="single" w:color="000000" w:sz="4" w:space="0"/>
              <w:bottom w:val="single" w:color="000000" w:sz="4" w:space="0"/>
              <w:right w:val="single" w:color="000000" w:sz="4" w:space="0"/>
            </w:tcBorders>
            <w:shd w:val="clear" w:color="auto" w:fill="auto"/>
            <w:vAlign w:val="center"/>
          </w:tcPr>
          <w:p w14:paraId="6B2F15A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线阵列低音扬声器维护</w:t>
            </w:r>
          </w:p>
        </w:tc>
        <w:tc>
          <w:tcPr>
            <w:tcW w:w="3726" w:type="pct"/>
            <w:tcBorders>
              <w:top w:val="nil"/>
              <w:left w:val="single" w:color="000000" w:sz="4" w:space="0"/>
              <w:bottom w:val="single" w:color="000000" w:sz="4" w:space="0"/>
              <w:right w:val="single" w:color="000000" w:sz="4" w:space="0"/>
            </w:tcBorders>
            <w:shd w:val="clear" w:color="auto" w:fill="auto"/>
            <w:vAlign w:val="center"/>
          </w:tcPr>
          <w:p w14:paraId="4854F83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一、技术参数</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设备核心技术参数如下：频率范围（-10dB）：35Hz–250Hz；频率响应（±3dB）：40Hz–250Hz；输入连接模式支持自主设置+1/-1、+2/-2两种接线模式，适配不同组网及功率适配需求；推荐分频频率80–120Hz，滤波斜率24–48dB/octave；设备灵敏度97dB，额定阻抗4</w:t>
            </w:r>
            <w:r>
              <w:rPr>
                <w:rFonts w:ascii="Calibri" w:hAnsi="Calibri" w:eastAsia="宋体" w:cs="Calibri"/>
                <w:i w:val="0"/>
                <w:iCs w:val="0"/>
                <w:snapToGrid w:val="0"/>
                <w:color w:val="000000"/>
                <w:kern w:val="0"/>
                <w:sz w:val="20"/>
                <w:szCs w:val="20"/>
                <w:u w:val="none"/>
                <w:lang w:val="en-US" w:eastAsia="zh-CN" w:bidi="ar"/>
              </w:rPr>
              <w:t>Ω</w:t>
            </w:r>
            <w:r>
              <w:rPr>
                <w:rFonts w:hint="eastAsia" w:ascii="宋体" w:hAnsi="宋体" w:eastAsia="宋体" w:cs="宋体"/>
                <w:i w:val="0"/>
                <w:iCs w:val="0"/>
                <w:snapToGrid w:val="0"/>
                <w:color w:val="000000"/>
                <w:kern w:val="0"/>
                <w:sz w:val="20"/>
                <w:szCs w:val="20"/>
                <w:u w:val="none"/>
                <w:lang w:val="en-US" w:eastAsia="zh-CN" w:bidi="ar"/>
              </w:rPr>
              <w:t>；最大持续声压级133dB，峰值声压级可达139dB；功率参数为持续1000W、节目2000W、峰值4000W。单元配置双18英寸（457.00mm）JBL2044H专用低音单元，低频下潜深、动态大、力度充足、失真极低。设备整体尺寸为1080mm×533mm×700mm，单台净重54.16kg，结构稳固、承载功率大、低频性能优异，可完美补足舞台超低频声场，提升整体扩声层次感与氛围感。</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二、设备现状</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现有双18寸线阵列低音扬声器长期大负荷低频工作，受舞台震动、粉尘、潮湿环境影响，设备存在低音单元振膜老化、折边疲劳、防尘孔堵塞、低频下潜不足、动态衰减、低音浑浊发闷等问题；长期大功率运行导致内部接线老化、接线模式接触不稳、分频适配性能下降，出现低音失真、拍边、音量不均衡、低频力度不足等故障；箱体固件松动、密封性下降，造成低频漏声、声场衰减，无法满足专业舞台大动态、高保真低频扩声需求，存在演出低音效果差、设备异响、单元损伤等隐患，需整机深度拆解养护、故障检修、参数校准、声场适配调试。</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三、维修内容</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包括但不限于 ：对线阵列无源超低扬声器整机进行深度拆解、除尘清洁、全面养护，彻底清理箱体内部、单元振膜、折边、防尘结构表面粉尘与杂物；全面检测双18寸JBL2044H低音单元工作状态，排查振膜破损、折边老化、音圈偏移、磁隙杂质、单元灵敏度衰减、拍边失真等故障；检修设备内部接线结构，校验+1/-1、+2/-2双模式切换功能，修复接线虚接、模式切换异常、接触不良问题；检测箱体密封性、结构牢固度，紧固箱体连接固件、吊装配件，修复箱体漏气、松动缺陷，杜绝低频漏声、共振杂音；按标准核验80–120Hz分频适配性能，优化24–48dB/octave滤波斜率匹配度；通电测试设备阻抗、灵敏度、功率承载、声压输出性能，校准低频频率响应、下潜深度，优化低频清晰度与动态表现；调试超低音箱与主扩音箱分频衔接、声场融合度，消除低音浑浊、拖尾、失真问题；完成整机老化测试、声场校准、音质精细调试，确保设备全部参数达标、低频扩声性能完好。</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四、质量性能要求</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维护完成后，双18寸无源线阵列低音扬声器运行稳定、无共振、无杂音、无拍边、无低频失真；设备频率范围、频率响应、阻抗、灵敏度、声压级、功率承载、分频适配等全部技术参数达标；双低音单元工作状态良好，低频下潜深沉、动态充足、音质干净紧实，与主扩声场衔接自然、融合度高，声场覆盖均匀饱满，可完全满足舞台大型会议、专业文艺演出大动态、高保真低频扩声使用需求，设备整体性能恢复专业出厂标准，适配长期常态化安全稳定运行。</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F36C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台</w:t>
            </w:r>
          </w:p>
        </w:tc>
        <w:tc>
          <w:tcPr>
            <w:tcW w:w="171" w:type="pct"/>
            <w:tcBorders>
              <w:top w:val="nil"/>
              <w:left w:val="single" w:color="000000" w:sz="4" w:space="0"/>
              <w:bottom w:val="single" w:color="000000" w:sz="4" w:space="0"/>
              <w:right w:val="single" w:color="000000" w:sz="4" w:space="0"/>
            </w:tcBorders>
            <w:shd w:val="clear" w:color="auto" w:fill="auto"/>
            <w:vAlign w:val="center"/>
          </w:tcPr>
          <w:p w14:paraId="4190F4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EDAB8E">
            <w:pPr>
              <w:jc w:val="left"/>
              <w:rPr>
                <w:rFonts w:hint="eastAsia" w:ascii="宋体" w:hAnsi="宋体" w:eastAsia="宋体" w:cs="宋体"/>
                <w:i w:val="0"/>
                <w:iCs w:val="0"/>
                <w:color w:val="000000"/>
                <w:sz w:val="20"/>
                <w:szCs w:val="20"/>
                <w:u w:val="none"/>
              </w:rPr>
            </w:pPr>
          </w:p>
        </w:tc>
      </w:tr>
      <w:tr w14:paraId="5DE8E0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40"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2E2E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123</w:t>
            </w:r>
          </w:p>
        </w:tc>
        <w:tc>
          <w:tcPr>
            <w:tcW w:w="612" w:type="pct"/>
            <w:tcBorders>
              <w:top w:val="nil"/>
              <w:left w:val="single" w:color="000000" w:sz="4" w:space="0"/>
              <w:bottom w:val="single" w:color="000000" w:sz="4" w:space="0"/>
              <w:right w:val="single" w:color="000000" w:sz="4" w:space="0"/>
            </w:tcBorders>
            <w:shd w:val="clear" w:color="auto" w:fill="auto"/>
            <w:vAlign w:val="center"/>
          </w:tcPr>
          <w:p w14:paraId="1273CFA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全频扩声扬声器维护</w:t>
            </w:r>
          </w:p>
        </w:tc>
        <w:tc>
          <w:tcPr>
            <w:tcW w:w="3726" w:type="pct"/>
            <w:tcBorders>
              <w:top w:val="nil"/>
              <w:left w:val="single" w:color="000000" w:sz="4" w:space="0"/>
              <w:bottom w:val="single" w:color="000000" w:sz="4" w:space="0"/>
              <w:right w:val="single" w:color="000000" w:sz="4" w:space="0"/>
            </w:tcBorders>
            <w:shd w:val="clear" w:color="auto" w:fill="auto"/>
            <w:vAlign w:val="center"/>
          </w:tcPr>
          <w:p w14:paraId="11430B9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一、技术参数</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双 15 寸全频扩声扬声器，采用高低音二分频设计，人声清晰、动态充足，适配舞台辅助扩声、场地补声使用；箱体结构坚固，防水防尘、抗震动，适配舞台长期高频使用场景，频响平直、失真低、声场覆盖均匀。</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二、设备现状</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设备长期吊挂使用，受舞台震动、粉尘、潮湿影响，存在单元积灰老化、振膜松弛、音质发闷、高频衰减、破音失真、接口氧化接触不良、箱体固定松动、吊架异响等问题，声道响度不均、清晰度下降，无法满足正常会议及演出扩声标准，需整机深度养护、检修调试。</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三、维修内容</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包括但不限于 ：对扬声器整机除尘清洁、箱体养护；全面检测双 15 寸低频单元、高音单元工作状态，排查振膜破损、音圈老化、单元脱胶故障；检修内置分频器、内置线路、接线端子；更换老化线材，设备配件；紧固箱体螺丝、吊架固件，校正安装角度；通电测试频响、灵敏度、音质、声压输出，调试音色均衡、消除杂音失真，整机老化测试确保工作稳定。</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6ADE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只</w:t>
            </w:r>
          </w:p>
        </w:tc>
        <w:tc>
          <w:tcPr>
            <w:tcW w:w="171" w:type="pct"/>
            <w:tcBorders>
              <w:top w:val="nil"/>
              <w:left w:val="single" w:color="000000" w:sz="4" w:space="0"/>
              <w:bottom w:val="single" w:color="000000" w:sz="4" w:space="0"/>
              <w:right w:val="single" w:color="000000" w:sz="4" w:space="0"/>
            </w:tcBorders>
            <w:shd w:val="clear" w:color="auto" w:fill="auto"/>
            <w:vAlign w:val="center"/>
          </w:tcPr>
          <w:p w14:paraId="197F29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B8A5D3">
            <w:pPr>
              <w:jc w:val="left"/>
              <w:rPr>
                <w:rFonts w:hint="eastAsia" w:ascii="宋体" w:hAnsi="宋体" w:eastAsia="宋体" w:cs="宋体"/>
                <w:i w:val="0"/>
                <w:iCs w:val="0"/>
                <w:color w:val="000000"/>
                <w:sz w:val="20"/>
                <w:szCs w:val="20"/>
                <w:u w:val="none"/>
              </w:rPr>
            </w:pPr>
          </w:p>
        </w:tc>
      </w:tr>
      <w:tr w14:paraId="32C518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40"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C426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124</w:t>
            </w:r>
          </w:p>
        </w:tc>
        <w:tc>
          <w:tcPr>
            <w:tcW w:w="612" w:type="pct"/>
            <w:tcBorders>
              <w:top w:val="nil"/>
              <w:left w:val="single" w:color="000000" w:sz="4" w:space="0"/>
              <w:bottom w:val="single" w:color="000000" w:sz="4" w:space="0"/>
              <w:right w:val="single" w:color="000000" w:sz="4" w:space="0"/>
            </w:tcBorders>
            <w:shd w:val="clear" w:color="auto" w:fill="auto"/>
            <w:vAlign w:val="center"/>
          </w:tcPr>
          <w:p w14:paraId="4FD6B6D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超低低频扬声器</w:t>
            </w:r>
          </w:p>
        </w:tc>
        <w:tc>
          <w:tcPr>
            <w:tcW w:w="3726" w:type="pct"/>
            <w:tcBorders>
              <w:top w:val="nil"/>
              <w:left w:val="single" w:color="000000" w:sz="4" w:space="0"/>
              <w:bottom w:val="single" w:color="000000" w:sz="4" w:space="0"/>
              <w:right w:val="single" w:color="000000" w:sz="4" w:space="0"/>
            </w:tcBorders>
            <w:shd w:val="clear" w:color="auto" w:fill="auto"/>
            <w:vAlign w:val="center"/>
          </w:tcPr>
          <w:p w14:paraId="6F12934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一、技术参数</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双 18 寸超低低频扬声器，专为舞台低频补强设计，低频下潜深、动态大、失真低、力度足，主要用于补充全场低频氛围，适配大型文艺演出、歌舞节目大动态扩声场景，箱体密封性强、承重抗震性能好。</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二、设备现状</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设备长期大负荷低频工作，存在低音单元折边老化、振膜积灰、低频浑浊、下潜不足、动态衰减、拍边共振、箱体漏气、固定松动、接口接触不良、低音拖尾失真等问题，低频效果单薄、氛围感不足，存在设备损伤隐患，需深度拆解养护检修。</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三、维修内容</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包括但不限于 ：整机拆解除尘、清洁养护；更换全新双 18 寸低音单元振膜、折边、音圈、磁隙等配件，修复拍边、失真、震动异响故障；检修内置接线、分频适配结构；修复箱体漏气、松动缺陷，加固吊装结构；通电测试阻抗、低频响应、动态声压，校准低频清晰度、下潜深度，优化超低与主扩音箱衔接，整机老化测试、声场调试。</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A0AF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只</w:t>
            </w:r>
          </w:p>
        </w:tc>
        <w:tc>
          <w:tcPr>
            <w:tcW w:w="171" w:type="pct"/>
            <w:tcBorders>
              <w:top w:val="nil"/>
              <w:left w:val="single" w:color="000000" w:sz="4" w:space="0"/>
              <w:bottom w:val="single" w:color="000000" w:sz="4" w:space="0"/>
              <w:right w:val="single" w:color="000000" w:sz="4" w:space="0"/>
            </w:tcBorders>
            <w:shd w:val="clear" w:color="auto" w:fill="auto"/>
            <w:vAlign w:val="center"/>
          </w:tcPr>
          <w:p w14:paraId="6D864E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F22752">
            <w:pPr>
              <w:jc w:val="left"/>
              <w:rPr>
                <w:rFonts w:hint="eastAsia" w:ascii="宋体" w:hAnsi="宋体" w:eastAsia="宋体" w:cs="宋体"/>
                <w:i w:val="0"/>
                <w:iCs w:val="0"/>
                <w:color w:val="000000"/>
                <w:sz w:val="20"/>
                <w:szCs w:val="20"/>
                <w:u w:val="none"/>
              </w:rPr>
            </w:pPr>
          </w:p>
        </w:tc>
      </w:tr>
      <w:tr w14:paraId="0014E6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E284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125</w:t>
            </w:r>
          </w:p>
        </w:tc>
        <w:tc>
          <w:tcPr>
            <w:tcW w:w="612" w:type="pct"/>
            <w:tcBorders>
              <w:top w:val="nil"/>
              <w:left w:val="single" w:color="000000" w:sz="4" w:space="0"/>
              <w:bottom w:val="single" w:color="000000" w:sz="4" w:space="0"/>
              <w:right w:val="single" w:color="000000" w:sz="4" w:space="0"/>
            </w:tcBorders>
            <w:shd w:val="clear" w:color="auto" w:fill="auto"/>
            <w:vAlign w:val="center"/>
          </w:tcPr>
          <w:p w14:paraId="753ABB9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单 15 寸专业全频扬声器</w:t>
            </w:r>
          </w:p>
        </w:tc>
        <w:tc>
          <w:tcPr>
            <w:tcW w:w="3726" w:type="pct"/>
            <w:tcBorders>
              <w:top w:val="nil"/>
              <w:left w:val="single" w:color="000000" w:sz="4" w:space="0"/>
              <w:bottom w:val="single" w:color="000000" w:sz="4" w:space="0"/>
              <w:right w:val="single" w:color="000000" w:sz="4" w:space="0"/>
            </w:tcBorders>
            <w:shd w:val="clear" w:color="auto" w:fill="auto"/>
            <w:vAlign w:val="center"/>
          </w:tcPr>
          <w:p w14:paraId="6106103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一、技术参数</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设备为单 15 寸专业全频扬声器，二分频结构，人声还原度高、音色通透、覆盖均匀，适用于舞台辅助扩声、区域补声使用，频响平直、抗干扰强、结构牢固耐用。</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二、设备现状</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设备长期使用积尘严重，存在高音衰减、低音浑浊、单元灵敏度下降、接口氧化、声音断续、箱体轻微松动、音质失衡等问题，扩声清晰度不足，无法满足现场正常扩声标准，需全面清洁、检修、调试养护。</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三、维修内容</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包括但不限于 ：整机除尘清洁、外观养护；更换全新高低音单元、分频器、内部线路、接线端口等配件；排查修复单元老化、虚接、杂音、失真故障；紧固箱体结构、安装支架；通电逐台测试音质、响度、频响平衡，精细调试音色参数，消除缺陷，确保设备运行稳定。</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F4AE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只</w:t>
            </w:r>
          </w:p>
        </w:tc>
        <w:tc>
          <w:tcPr>
            <w:tcW w:w="171" w:type="pct"/>
            <w:tcBorders>
              <w:top w:val="nil"/>
              <w:left w:val="single" w:color="000000" w:sz="4" w:space="0"/>
              <w:bottom w:val="single" w:color="000000" w:sz="4" w:space="0"/>
              <w:right w:val="single" w:color="000000" w:sz="4" w:space="0"/>
            </w:tcBorders>
            <w:shd w:val="clear" w:color="auto" w:fill="auto"/>
            <w:vAlign w:val="center"/>
          </w:tcPr>
          <w:p w14:paraId="41CD0D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AC0D99">
            <w:pPr>
              <w:jc w:val="left"/>
              <w:rPr>
                <w:rFonts w:hint="eastAsia" w:ascii="宋体" w:hAnsi="宋体" w:eastAsia="宋体" w:cs="宋体"/>
                <w:i w:val="0"/>
                <w:iCs w:val="0"/>
                <w:color w:val="000000"/>
                <w:sz w:val="20"/>
                <w:szCs w:val="20"/>
                <w:u w:val="none"/>
              </w:rPr>
            </w:pPr>
          </w:p>
        </w:tc>
      </w:tr>
      <w:tr w14:paraId="4A595E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5"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07AA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126</w:t>
            </w:r>
          </w:p>
        </w:tc>
        <w:tc>
          <w:tcPr>
            <w:tcW w:w="612" w:type="pct"/>
            <w:tcBorders>
              <w:top w:val="nil"/>
              <w:left w:val="single" w:color="000000" w:sz="4" w:space="0"/>
              <w:bottom w:val="single" w:color="000000" w:sz="4" w:space="0"/>
              <w:right w:val="single" w:color="000000" w:sz="4" w:space="0"/>
            </w:tcBorders>
            <w:shd w:val="clear" w:color="auto" w:fill="auto"/>
            <w:vAlign w:val="center"/>
          </w:tcPr>
          <w:p w14:paraId="5E91205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 10 寸专业舞台补声扬声器</w:t>
            </w:r>
          </w:p>
        </w:tc>
        <w:tc>
          <w:tcPr>
            <w:tcW w:w="3726" w:type="pct"/>
            <w:tcBorders>
              <w:top w:val="nil"/>
              <w:left w:val="single" w:color="000000" w:sz="4" w:space="0"/>
              <w:bottom w:val="single" w:color="000000" w:sz="4" w:space="0"/>
              <w:right w:val="single" w:color="000000" w:sz="4" w:space="0"/>
            </w:tcBorders>
            <w:shd w:val="clear" w:color="auto" w:fill="auto"/>
            <w:vAlign w:val="center"/>
          </w:tcPr>
          <w:p w14:paraId="22DC79E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一、技术参数</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设备为 10 寸专业舞台补声扬声器，体积小巧、人声聚焦强、清晰度高，专门用于舞台近场补声、消除听音盲区，二分频设计，音色通透、指向性好、安装灵活，适配会议、演出辅助扩声。</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二、设备现状</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长期近场使用，粉尘堆积、接口频繁插拔氧化，存在声音偏小、高频缺失、人声发闷、接触断续、箱体松动异响、单元灵敏度衰减等问题，导致舞台近场听音不均匀、听感模糊，需整机检修养护调试。</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三、维修内容</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包括但不限于 ：整机除尘清洁、箱体养护；更换全新10 寸低音单元、高音单元、分频电路、内部走线、接线端口等其它配件；修复接触不良、音质失真、声音衰减故障；紧固支架及箱体配件；逐台通电测试、音量平衡、音色调校、声场补声角度校准，确保补声均匀无盲区。</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0174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只</w:t>
            </w:r>
          </w:p>
        </w:tc>
        <w:tc>
          <w:tcPr>
            <w:tcW w:w="171" w:type="pct"/>
            <w:tcBorders>
              <w:top w:val="nil"/>
              <w:left w:val="single" w:color="000000" w:sz="4" w:space="0"/>
              <w:bottom w:val="single" w:color="000000" w:sz="4" w:space="0"/>
              <w:right w:val="single" w:color="000000" w:sz="4" w:space="0"/>
            </w:tcBorders>
            <w:shd w:val="clear" w:color="auto" w:fill="auto"/>
            <w:vAlign w:val="center"/>
          </w:tcPr>
          <w:p w14:paraId="37FB83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8</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A911F2">
            <w:pPr>
              <w:jc w:val="left"/>
              <w:rPr>
                <w:rFonts w:hint="eastAsia" w:ascii="宋体" w:hAnsi="宋体" w:eastAsia="宋体" w:cs="宋体"/>
                <w:i w:val="0"/>
                <w:iCs w:val="0"/>
                <w:color w:val="000000"/>
                <w:sz w:val="20"/>
                <w:szCs w:val="20"/>
                <w:u w:val="none"/>
              </w:rPr>
            </w:pPr>
          </w:p>
        </w:tc>
      </w:tr>
      <w:tr w14:paraId="2DEE63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5"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0195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127</w:t>
            </w:r>
          </w:p>
        </w:tc>
        <w:tc>
          <w:tcPr>
            <w:tcW w:w="612" w:type="pct"/>
            <w:tcBorders>
              <w:top w:val="nil"/>
              <w:left w:val="single" w:color="000000" w:sz="4" w:space="0"/>
              <w:bottom w:val="single" w:color="000000" w:sz="4" w:space="0"/>
              <w:right w:val="single" w:color="000000" w:sz="4" w:space="0"/>
            </w:tcBorders>
            <w:shd w:val="clear" w:color="auto" w:fill="auto"/>
            <w:vAlign w:val="center"/>
          </w:tcPr>
          <w:p w14:paraId="01D3C07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主括功放维护</w:t>
            </w:r>
          </w:p>
        </w:tc>
        <w:tc>
          <w:tcPr>
            <w:tcW w:w="3726" w:type="pct"/>
            <w:tcBorders>
              <w:top w:val="nil"/>
              <w:left w:val="single" w:color="000000" w:sz="4" w:space="0"/>
              <w:bottom w:val="single" w:color="000000" w:sz="4" w:space="0"/>
              <w:right w:val="single" w:color="000000" w:sz="4" w:space="0"/>
            </w:tcBorders>
            <w:shd w:val="clear" w:color="auto" w:fill="auto"/>
            <w:vAlign w:val="top"/>
          </w:tcPr>
          <w:p w14:paraId="4CC97075">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一、技术参数</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设备为专业 TD 类双通道大功率主扩功率放大器，融合高保真音质与高效节能特性，无 PWM 输出波纹；支持立体声、并联、桥接三种模式切换，双档输入灵敏度可调；具备完整短路、过热、过载、软启动、限幅多重保护；面板 LED 状态指示灯齐全，带 XLR 环接输入、Speakon 专业输出接口，适配全频阵列音箱大功率驱动使用。</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额定输出功率：立体声 8</w:t>
            </w:r>
            <w:r>
              <w:rPr>
                <w:rFonts w:ascii="Calibri" w:hAnsi="Calibri" w:eastAsia="宋体" w:cs="Calibri"/>
                <w:i w:val="0"/>
                <w:iCs w:val="0"/>
                <w:snapToGrid w:val="0"/>
                <w:color w:val="000000"/>
                <w:kern w:val="0"/>
                <w:sz w:val="20"/>
                <w:szCs w:val="20"/>
                <w:u w:val="none"/>
                <w:lang w:val="en-US" w:eastAsia="zh-CN" w:bidi="ar"/>
              </w:rPr>
              <w:t>Ω</w:t>
            </w:r>
            <w:r>
              <w:rPr>
                <w:rFonts w:ascii="Cambria Math" w:hAnsi="Cambria Math" w:eastAsia="Cambria Math" w:cs="Cambria Math"/>
                <w:i w:val="0"/>
                <w:iCs w:val="0"/>
                <w:snapToGrid w:val="0"/>
                <w:color w:val="000000"/>
                <w:kern w:val="0"/>
                <w:sz w:val="20"/>
                <w:szCs w:val="20"/>
                <w:u w:val="none"/>
                <w:lang w:val="en-US" w:eastAsia="zh-CN" w:bidi="ar"/>
              </w:rPr>
              <w:t>≥</w:t>
            </w:r>
            <w:r>
              <w:rPr>
                <w:rFonts w:hint="eastAsia" w:ascii="宋体" w:hAnsi="宋体" w:eastAsia="宋体" w:cs="宋体"/>
                <w:i w:val="0"/>
                <w:iCs w:val="0"/>
                <w:snapToGrid w:val="0"/>
                <w:color w:val="000000"/>
                <w:kern w:val="0"/>
                <w:sz w:val="20"/>
                <w:szCs w:val="20"/>
                <w:u w:val="none"/>
                <w:lang w:val="en-US" w:eastAsia="zh-CN" w:bidi="ar"/>
              </w:rPr>
              <w:t>1200W×2、4</w:t>
            </w:r>
            <w:r>
              <w:rPr>
                <w:rFonts w:ascii="Calibri" w:hAnsi="Calibri" w:eastAsia="宋体" w:cs="Calibri"/>
                <w:i w:val="0"/>
                <w:iCs w:val="0"/>
                <w:snapToGrid w:val="0"/>
                <w:color w:val="000000"/>
                <w:kern w:val="0"/>
                <w:sz w:val="20"/>
                <w:szCs w:val="20"/>
                <w:u w:val="none"/>
                <w:lang w:val="en-US" w:eastAsia="zh-CN" w:bidi="ar"/>
              </w:rPr>
              <w:t>Ω</w:t>
            </w:r>
            <w:r>
              <w:rPr>
                <w:rFonts w:ascii="Cambria Math" w:hAnsi="Cambria Math" w:eastAsia="Cambria Math" w:cs="Cambria Math"/>
                <w:i w:val="0"/>
                <w:iCs w:val="0"/>
                <w:snapToGrid w:val="0"/>
                <w:color w:val="000000"/>
                <w:kern w:val="0"/>
                <w:sz w:val="20"/>
                <w:szCs w:val="20"/>
                <w:u w:val="none"/>
                <w:lang w:val="en-US" w:eastAsia="zh-CN" w:bidi="ar"/>
              </w:rPr>
              <w:t>≥</w:t>
            </w:r>
            <w:r>
              <w:rPr>
                <w:rFonts w:hint="eastAsia" w:ascii="宋体" w:hAnsi="宋体" w:eastAsia="宋体" w:cs="宋体"/>
                <w:i w:val="0"/>
                <w:iCs w:val="0"/>
                <w:snapToGrid w:val="0"/>
                <w:color w:val="000000"/>
                <w:kern w:val="0"/>
                <w:sz w:val="20"/>
                <w:szCs w:val="20"/>
                <w:u w:val="none"/>
                <w:lang w:val="en-US" w:eastAsia="zh-CN" w:bidi="ar"/>
              </w:rPr>
              <w:t>1800W×2，桥接 8</w:t>
            </w:r>
            <w:r>
              <w:rPr>
                <w:rFonts w:ascii="Calibri" w:hAnsi="Calibri" w:eastAsia="宋体" w:cs="Calibri"/>
                <w:i w:val="0"/>
                <w:iCs w:val="0"/>
                <w:snapToGrid w:val="0"/>
                <w:color w:val="000000"/>
                <w:kern w:val="0"/>
                <w:sz w:val="20"/>
                <w:szCs w:val="20"/>
                <w:u w:val="none"/>
                <w:lang w:val="en-US" w:eastAsia="zh-CN" w:bidi="ar"/>
              </w:rPr>
              <w:t>Ω</w:t>
            </w:r>
            <w:r>
              <w:rPr>
                <w:rFonts w:ascii="Cambria Math" w:hAnsi="Cambria Math" w:eastAsia="Cambria Math" w:cs="Cambria Math"/>
                <w:i w:val="0"/>
                <w:iCs w:val="0"/>
                <w:snapToGrid w:val="0"/>
                <w:color w:val="000000"/>
                <w:kern w:val="0"/>
                <w:sz w:val="20"/>
                <w:szCs w:val="20"/>
                <w:u w:val="none"/>
                <w:lang w:val="en-US" w:eastAsia="zh-CN" w:bidi="ar"/>
              </w:rPr>
              <w:t>≥</w:t>
            </w:r>
            <w:r>
              <w:rPr>
                <w:rFonts w:hint="eastAsia" w:ascii="宋体" w:hAnsi="宋体" w:eastAsia="宋体" w:cs="宋体"/>
                <w:i w:val="0"/>
                <w:iCs w:val="0"/>
                <w:snapToGrid w:val="0"/>
                <w:color w:val="000000"/>
                <w:kern w:val="0"/>
                <w:sz w:val="20"/>
                <w:szCs w:val="20"/>
                <w:u w:val="none"/>
                <w:lang w:val="en-US" w:eastAsia="zh-CN" w:bidi="ar"/>
              </w:rPr>
              <w:t>3800W；频响 20Hz-20kHz（+0/-0.3dB），信噪比≥100dB，总谐波失真≤0.1%，阻尼系数≥130，通道分离度≥75dB。</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二、设备现状</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功放长期满负荷驱动阵列音箱工作，内部积尘严重、功率管老化、电容衰减，存在发热严重、声道不平衡、音量忽大忽小、削波失真、保护跳闸、风扇异响、信号不稳等故障，大功率输出时容易断音、失真、重启，存在演出扩声安全隐患，需整机深度检修养护。</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三、维修内容</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包括但不限于 ：整机拆机深度除尘、电路板清洁养护；检测电源板、功率放大管、滤波电容、继电器、温控模块、风扇系统；更换全新输入输出信号电路、模式切换电路、保护电路；更换老化电容、损坏功率器件、故障继电器、温控元件等其它配件；校准声道增益平衡、输入灵敏度；测试立体声、并联、桥接全模式工作状态；校验过热、短路、过载各项保护功能；整机通电老化测试、带载测试，确保大功率输出稳定、无失真、无保护误触发。</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8B0B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支</w:t>
            </w:r>
          </w:p>
        </w:tc>
        <w:tc>
          <w:tcPr>
            <w:tcW w:w="171" w:type="pct"/>
            <w:tcBorders>
              <w:top w:val="nil"/>
              <w:left w:val="single" w:color="000000" w:sz="4" w:space="0"/>
              <w:bottom w:val="single" w:color="000000" w:sz="4" w:space="0"/>
              <w:right w:val="single" w:color="000000" w:sz="4" w:space="0"/>
            </w:tcBorders>
            <w:shd w:val="clear" w:color="auto" w:fill="auto"/>
            <w:vAlign w:val="center"/>
          </w:tcPr>
          <w:p w14:paraId="3CD73F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EAC3F9">
            <w:pPr>
              <w:jc w:val="center"/>
              <w:rPr>
                <w:rFonts w:hint="eastAsia" w:ascii="宋体" w:hAnsi="宋体" w:eastAsia="宋体" w:cs="宋体"/>
                <w:i w:val="0"/>
                <w:iCs w:val="0"/>
                <w:color w:val="000000"/>
                <w:sz w:val="20"/>
                <w:szCs w:val="20"/>
                <w:u w:val="none"/>
              </w:rPr>
            </w:pPr>
          </w:p>
        </w:tc>
      </w:tr>
      <w:tr w14:paraId="00836C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FA64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128</w:t>
            </w:r>
          </w:p>
        </w:tc>
        <w:tc>
          <w:tcPr>
            <w:tcW w:w="612" w:type="pct"/>
            <w:tcBorders>
              <w:top w:val="nil"/>
              <w:left w:val="single" w:color="000000" w:sz="4" w:space="0"/>
              <w:bottom w:val="single" w:color="000000" w:sz="4" w:space="0"/>
              <w:right w:val="single" w:color="000000" w:sz="4" w:space="0"/>
            </w:tcBorders>
            <w:shd w:val="clear" w:color="auto" w:fill="auto"/>
            <w:vAlign w:val="center"/>
          </w:tcPr>
          <w:p w14:paraId="361B263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低音功放维护</w:t>
            </w:r>
          </w:p>
        </w:tc>
        <w:tc>
          <w:tcPr>
            <w:tcW w:w="3726" w:type="pct"/>
            <w:tcBorders>
              <w:top w:val="nil"/>
              <w:left w:val="single" w:color="000000" w:sz="4" w:space="0"/>
              <w:bottom w:val="single" w:color="000000" w:sz="4" w:space="0"/>
              <w:right w:val="single" w:color="000000" w:sz="4" w:space="0"/>
            </w:tcBorders>
            <w:shd w:val="clear" w:color="auto" w:fill="auto"/>
            <w:vAlign w:val="top"/>
          </w:tcPr>
          <w:p w14:paraId="0E097A8F">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一、技术参数</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设备为 TD 类专业超低专用功率放大器，专为双 18 寸超低音箱匹配驱动；支持立体声、并联、桥接模式切换，双档输入灵敏度可选；内置多重电气保护，频响平直、底噪极低、低频控制力强。</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额定功率：8</w:t>
            </w:r>
            <w:r>
              <w:rPr>
                <w:rFonts w:ascii="Calibri" w:hAnsi="Calibri" w:eastAsia="宋体" w:cs="Calibri"/>
                <w:i w:val="0"/>
                <w:iCs w:val="0"/>
                <w:snapToGrid w:val="0"/>
                <w:color w:val="000000"/>
                <w:kern w:val="0"/>
                <w:sz w:val="20"/>
                <w:szCs w:val="20"/>
                <w:u w:val="none"/>
                <w:lang w:val="en-US" w:eastAsia="zh-CN" w:bidi="ar"/>
              </w:rPr>
              <w:t>Ω</w:t>
            </w:r>
            <w:r>
              <w:rPr>
                <w:rFonts w:ascii="Cambria Math" w:hAnsi="Cambria Math" w:eastAsia="Cambria Math" w:cs="Cambria Math"/>
                <w:i w:val="0"/>
                <w:iCs w:val="0"/>
                <w:snapToGrid w:val="0"/>
                <w:color w:val="000000"/>
                <w:kern w:val="0"/>
                <w:sz w:val="20"/>
                <w:szCs w:val="20"/>
                <w:u w:val="none"/>
                <w:lang w:val="en-US" w:eastAsia="zh-CN" w:bidi="ar"/>
              </w:rPr>
              <w:t>≥</w:t>
            </w:r>
            <w:r>
              <w:rPr>
                <w:rFonts w:hint="eastAsia" w:ascii="宋体" w:hAnsi="宋体" w:eastAsia="宋体" w:cs="宋体"/>
                <w:i w:val="0"/>
                <w:iCs w:val="0"/>
                <w:snapToGrid w:val="0"/>
                <w:color w:val="000000"/>
                <w:kern w:val="0"/>
                <w:sz w:val="20"/>
                <w:szCs w:val="20"/>
                <w:u w:val="none"/>
                <w:lang w:val="en-US" w:eastAsia="zh-CN" w:bidi="ar"/>
              </w:rPr>
              <w:t>550W×2、4</w:t>
            </w:r>
            <w:r>
              <w:rPr>
                <w:rFonts w:ascii="Calibri" w:hAnsi="Calibri" w:eastAsia="宋体" w:cs="Calibri"/>
                <w:i w:val="0"/>
                <w:iCs w:val="0"/>
                <w:snapToGrid w:val="0"/>
                <w:color w:val="000000"/>
                <w:kern w:val="0"/>
                <w:sz w:val="20"/>
                <w:szCs w:val="20"/>
                <w:u w:val="none"/>
                <w:lang w:val="en-US" w:eastAsia="zh-CN" w:bidi="ar"/>
              </w:rPr>
              <w:t>Ω</w:t>
            </w:r>
            <w:r>
              <w:rPr>
                <w:rFonts w:ascii="Cambria Math" w:hAnsi="Cambria Math" w:eastAsia="Cambria Math" w:cs="Cambria Math"/>
                <w:i w:val="0"/>
                <w:iCs w:val="0"/>
                <w:snapToGrid w:val="0"/>
                <w:color w:val="000000"/>
                <w:kern w:val="0"/>
                <w:sz w:val="20"/>
                <w:szCs w:val="20"/>
                <w:u w:val="none"/>
                <w:lang w:val="en-US" w:eastAsia="zh-CN" w:bidi="ar"/>
              </w:rPr>
              <w:t>≥</w:t>
            </w:r>
            <w:r>
              <w:rPr>
                <w:rFonts w:hint="eastAsia" w:ascii="宋体" w:hAnsi="宋体" w:eastAsia="宋体" w:cs="宋体"/>
                <w:i w:val="0"/>
                <w:iCs w:val="0"/>
                <w:snapToGrid w:val="0"/>
                <w:color w:val="000000"/>
                <w:kern w:val="0"/>
                <w:sz w:val="20"/>
                <w:szCs w:val="20"/>
                <w:u w:val="none"/>
                <w:lang w:val="en-US" w:eastAsia="zh-CN" w:bidi="ar"/>
              </w:rPr>
              <w:t>900W×2，桥接 8</w:t>
            </w:r>
            <w:r>
              <w:rPr>
                <w:rFonts w:ascii="Calibri" w:hAnsi="Calibri" w:eastAsia="宋体" w:cs="Calibri"/>
                <w:i w:val="0"/>
                <w:iCs w:val="0"/>
                <w:snapToGrid w:val="0"/>
                <w:color w:val="000000"/>
                <w:kern w:val="0"/>
                <w:sz w:val="20"/>
                <w:szCs w:val="20"/>
                <w:u w:val="none"/>
                <w:lang w:val="en-US" w:eastAsia="zh-CN" w:bidi="ar"/>
              </w:rPr>
              <w:t>Ω</w:t>
            </w:r>
            <w:r>
              <w:rPr>
                <w:rFonts w:ascii="Cambria Math" w:hAnsi="Cambria Math" w:eastAsia="Cambria Math" w:cs="Cambria Math"/>
                <w:i w:val="0"/>
                <w:iCs w:val="0"/>
                <w:snapToGrid w:val="0"/>
                <w:color w:val="000000"/>
                <w:kern w:val="0"/>
                <w:sz w:val="20"/>
                <w:szCs w:val="20"/>
                <w:u w:val="none"/>
                <w:lang w:val="en-US" w:eastAsia="zh-CN" w:bidi="ar"/>
              </w:rPr>
              <w:t>≥</w:t>
            </w:r>
            <w:r>
              <w:rPr>
                <w:rFonts w:hint="eastAsia" w:ascii="宋体" w:hAnsi="宋体" w:eastAsia="宋体" w:cs="宋体"/>
                <w:i w:val="0"/>
                <w:iCs w:val="0"/>
                <w:snapToGrid w:val="0"/>
                <w:color w:val="000000"/>
                <w:kern w:val="0"/>
                <w:sz w:val="20"/>
                <w:szCs w:val="20"/>
                <w:u w:val="none"/>
                <w:lang w:val="en-US" w:eastAsia="zh-CN" w:bidi="ar"/>
              </w:rPr>
              <w:t>1800W；频响 20Hz-20kHz（+0/-0.3dB），信噪比＞100dB，总谐波失真＜0.1%，阻尼系数＞130，串扰＞75dB，转换速率＞15V/</w:t>
            </w:r>
            <w:r>
              <w:rPr>
                <w:rFonts w:ascii="Calibri" w:hAnsi="Calibri" w:eastAsia="宋体" w:cs="Calibri"/>
                <w:i w:val="0"/>
                <w:iCs w:val="0"/>
                <w:snapToGrid w:val="0"/>
                <w:color w:val="000000"/>
                <w:kern w:val="0"/>
                <w:sz w:val="20"/>
                <w:szCs w:val="20"/>
                <w:u w:val="none"/>
                <w:lang w:val="en-US" w:eastAsia="zh-CN" w:bidi="ar"/>
              </w:rPr>
              <w:t>μ</w:t>
            </w:r>
            <w:r>
              <w:rPr>
                <w:rFonts w:hint="eastAsia" w:ascii="宋体" w:hAnsi="宋体" w:eastAsia="宋体" w:cs="宋体"/>
                <w:i w:val="0"/>
                <w:iCs w:val="0"/>
                <w:snapToGrid w:val="0"/>
                <w:color w:val="000000"/>
                <w:kern w:val="0"/>
                <w:sz w:val="20"/>
                <w:szCs w:val="20"/>
                <w:u w:val="none"/>
                <w:lang w:val="en-US" w:eastAsia="zh-CN" w:bidi="ar"/>
              </w:rPr>
              <w:t>s；配备 XLR 输入环接、Speakon NL4 输出接口。</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二、设备现状</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长期驱动超低音箱大动态工作，设备积尘老化、电源不稳、低频控制力下降，出现低音无力、浑浊拖尾、功放发热异常、单声道无声、低频失真、间歇性保护停机等问题，超低声场无法达标，影响整体演出效果，需整机深度检修养护。</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三、维修内容</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包括但不限于 ：整机拆机除尘、电路板清洁、散热系统养护；更换全新电源模块、放大电路、输出回路、保护电路、温控等配件；更换老化电容、损坏功率器件、故障配件；校准低频增益、声道平衡；测试三模式工作状态及带载能力；校验短路、过热、过载保护功能；搭配超低音箱整机联调，优化低频控制力、消除失真拖尾，整机老化测试稳定。</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FC3B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台</w:t>
            </w:r>
          </w:p>
        </w:tc>
        <w:tc>
          <w:tcPr>
            <w:tcW w:w="171" w:type="pct"/>
            <w:tcBorders>
              <w:top w:val="nil"/>
              <w:left w:val="single" w:color="000000" w:sz="4" w:space="0"/>
              <w:bottom w:val="single" w:color="000000" w:sz="4" w:space="0"/>
              <w:right w:val="single" w:color="000000" w:sz="4" w:space="0"/>
            </w:tcBorders>
            <w:shd w:val="clear" w:color="auto" w:fill="auto"/>
            <w:vAlign w:val="center"/>
          </w:tcPr>
          <w:p w14:paraId="33B4B2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A29869">
            <w:pPr>
              <w:jc w:val="center"/>
              <w:rPr>
                <w:rFonts w:hint="eastAsia" w:ascii="宋体" w:hAnsi="宋体" w:eastAsia="宋体" w:cs="宋体"/>
                <w:i w:val="0"/>
                <w:iCs w:val="0"/>
                <w:color w:val="000000"/>
                <w:sz w:val="20"/>
                <w:szCs w:val="20"/>
                <w:u w:val="none"/>
              </w:rPr>
            </w:pPr>
          </w:p>
        </w:tc>
      </w:tr>
      <w:tr w14:paraId="2E515C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1977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129</w:t>
            </w:r>
          </w:p>
        </w:tc>
        <w:tc>
          <w:tcPr>
            <w:tcW w:w="612" w:type="pct"/>
            <w:tcBorders>
              <w:top w:val="nil"/>
              <w:left w:val="single" w:color="000000" w:sz="4" w:space="0"/>
              <w:bottom w:val="single" w:color="000000" w:sz="4" w:space="0"/>
              <w:right w:val="single" w:color="000000" w:sz="4" w:space="0"/>
            </w:tcBorders>
            <w:shd w:val="clear" w:color="auto" w:fill="auto"/>
            <w:vAlign w:val="center"/>
          </w:tcPr>
          <w:p w14:paraId="4003415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台唇扬声器维护</w:t>
            </w:r>
          </w:p>
        </w:tc>
        <w:tc>
          <w:tcPr>
            <w:tcW w:w="3726" w:type="pct"/>
            <w:tcBorders>
              <w:top w:val="nil"/>
              <w:left w:val="single" w:color="000000" w:sz="4" w:space="0"/>
              <w:bottom w:val="single" w:color="000000" w:sz="4" w:space="0"/>
              <w:right w:val="single" w:color="000000" w:sz="4" w:space="0"/>
            </w:tcBorders>
            <w:shd w:val="clear" w:color="auto" w:fill="auto"/>
            <w:vAlign w:val="top"/>
          </w:tcPr>
          <w:p w14:paraId="5CF52885">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一、技术参数</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台唇专用返听扬声器，低频 8 英寸、高频 1 英寸，二分频结构；频率范围 70Hz–20kHz，频率响应 90Hz–18kHz，阻抗 8</w:t>
            </w:r>
            <w:r>
              <w:rPr>
                <w:rFonts w:ascii="Calibri" w:hAnsi="Calibri" w:eastAsia="宋体" w:cs="Calibri"/>
                <w:i w:val="0"/>
                <w:iCs w:val="0"/>
                <w:snapToGrid w:val="0"/>
                <w:color w:val="000000"/>
                <w:kern w:val="0"/>
                <w:sz w:val="20"/>
                <w:szCs w:val="20"/>
                <w:u w:val="none"/>
                <w:lang w:val="en-US" w:eastAsia="zh-CN" w:bidi="ar"/>
              </w:rPr>
              <w:t>Ω</w:t>
            </w:r>
            <w:r>
              <w:rPr>
                <w:rFonts w:hint="eastAsia" w:ascii="宋体" w:hAnsi="宋体" w:eastAsia="宋体" w:cs="宋体"/>
                <w:i w:val="0"/>
                <w:iCs w:val="0"/>
                <w:snapToGrid w:val="0"/>
                <w:color w:val="000000"/>
                <w:kern w:val="0"/>
                <w:sz w:val="20"/>
                <w:szCs w:val="20"/>
                <w:u w:val="none"/>
                <w:lang w:val="en-US" w:eastAsia="zh-CN" w:bidi="ar"/>
              </w:rPr>
              <w:t>，灵敏度≥94dB，最大声压级 116dB（峰值 122dB）；节目功率 300W、峰值 600W，分频点 2kHz；配备双 NL4MP 接口及螺旋接线端，桦木多层板箱体，多点位 M10 吊点，专为舞台舞台近场返听、台口补声设计。</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二、设备现状</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台唇音箱长期近距离工作，积尘、受潮、接口氧化，存在人声模糊、高频不足、破音失真、接触不良、箱体松动异响、返听效果差等问题，演员舞台听音不清，影响演出发挥，需全面检修养护调试。</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三、维修内容</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包括但不限于 ：整机配件更换；含高音单元、分频器、内部线路、接线端口等配件；修复单元老化、破音、杂音、接触不良故障；紧固吊点及箱体结构；通电测试频响、灵敏度、人声清晰度，精细调试返听音质，消除缺陷。</w:t>
            </w:r>
          </w:p>
        </w:tc>
        <w:tc>
          <w:tcPr>
            <w:tcW w:w="134" w:type="pct"/>
            <w:tcBorders>
              <w:top w:val="nil"/>
              <w:left w:val="single" w:color="000000" w:sz="4" w:space="0"/>
              <w:bottom w:val="single" w:color="000000" w:sz="4" w:space="0"/>
              <w:right w:val="single" w:color="000000" w:sz="4" w:space="0"/>
            </w:tcBorders>
            <w:shd w:val="clear" w:color="auto" w:fill="auto"/>
            <w:vAlign w:val="center"/>
          </w:tcPr>
          <w:p w14:paraId="11B81B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只</w:t>
            </w:r>
          </w:p>
        </w:tc>
        <w:tc>
          <w:tcPr>
            <w:tcW w:w="171" w:type="pct"/>
            <w:tcBorders>
              <w:top w:val="nil"/>
              <w:left w:val="single" w:color="000000" w:sz="4" w:space="0"/>
              <w:bottom w:val="single" w:color="000000" w:sz="4" w:space="0"/>
              <w:right w:val="single" w:color="000000" w:sz="4" w:space="0"/>
            </w:tcBorders>
            <w:shd w:val="clear" w:color="auto" w:fill="auto"/>
            <w:vAlign w:val="center"/>
          </w:tcPr>
          <w:p w14:paraId="040C99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w:t>
            </w:r>
          </w:p>
        </w:tc>
        <w:tc>
          <w:tcPr>
            <w:tcW w:w="223" w:type="pct"/>
            <w:tcBorders>
              <w:top w:val="nil"/>
              <w:left w:val="single" w:color="000000" w:sz="4" w:space="0"/>
              <w:bottom w:val="single" w:color="000000" w:sz="4" w:space="0"/>
              <w:right w:val="single" w:color="000000" w:sz="4" w:space="0"/>
            </w:tcBorders>
            <w:shd w:val="clear" w:color="auto" w:fill="auto"/>
            <w:vAlign w:val="center"/>
          </w:tcPr>
          <w:p w14:paraId="667E0CFD">
            <w:pPr>
              <w:jc w:val="center"/>
              <w:rPr>
                <w:rFonts w:hint="eastAsia" w:ascii="宋体" w:hAnsi="宋体" w:eastAsia="宋体" w:cs="宋体"/>
                <w:i w:val="0"/>
                <w:iCs w:val="0"/>
                <w:color w:val="000000"/>
                <w:sz w:val="20"/>
                <w:szCs w:val="20"/>
                <w:u w:val="none"/>
              </w:rPr>
            </w:pPr>
          </w:p>
        </w:tc>
      </w:tr>
      <w:tr w14:paraId="6558E3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20"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9A60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130</w:t>
            </w:r>
          </w:p>
        </w:tc>
        <w:tc>
          <w:tcPr>
            <w:tcW w:w="612" w:type="pct"/>
            <w:tcBorders>
              <w:top w:val="nil"/>
              <w:left w:val="single" w:color="000000" w:sz="4" w:space="0"/>
              <w:bottom w:val="single" w:color="000000" w:sz="4" w:space="0"/>
              <w:right w:val="single" w:color="000000" w:sz="4" w:space="0"/>
            </w:tcBorders>
            <w:shd w:val="clear" w:color="auto" w:fill="auto"/>
            <w:vAlign w:val="center"/>
          </w:tcPr>
          <w:p w14:paraId="647EBA0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辅助扬声器维护</w:t>
            </w:r>
          </w:p>
        </w:tc>
        <w:tc>
          <w:tcPr>
            <w:tcW w:w="3726" w:type="pct"/>
            <w:tcBorders>
              <w:top w:val="nil"/>
              <w:left w:val="single" w:color="000000" w:sz="4" w:space="0"/>
              <w:bottom w:val="single" w:color="000000" w:sz="4" w:space="0"/>
              <w:right w:val="single" w:color="000000" w:sz="4" w:space="0"/>
            </w:tcBorders>
            <w:shd w:val="clear" w:color="auto" w:fill="auto"/>
            <w:vAlign w:val="top"/>
          </w:tcPr>
          <w:p w14:paraId="4C34481C">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一、技术参数</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设备为专业二分频全频音箱，单元配置采用8英寸低频单元搭配1英寸高频单元，频响性能优异，其中-10dB频率范围为70Hz–20kHz，±3dB标准频率响应为90Hz–18kHz；设备标称阻抗8</w:t>
            </w:r>
            <w:r>
              <w:rPr>
                <w:rFonts w:ascii="Calibri" w:hAnsi="Calibri" w:eastAsia="宋体" w:cs="Calibri"/>
                <w:i w:val="0"/>
                <w:iCs w:val="0"/>
                <w:snapToGrid w:val="0"/>
                <w:color w:val="000000"/>
                <w:kern w:val="0"/>
                <w:sz w:val="20"/>
                <w:szCs w:val="20"/>
                <w:u w:val="none"/>
                <w:lang w:val="en-US" w:eastAsia="zh-CN" w:bidi="ar"/>
              </w:rPr>
              <w:t>Ω</w:t>
            </w:r>
            <w:r>
              <w:rPr>
                <w:rFonts w:hint="eastAsia" w:ascii="宋体" w:hAnsi="宋体" w:eastAsia="宋体" w:cs="宋体"/>
                <w:i w:val="0"/>
                <w:iCs w:val="0"/>
                <w:snapToGrid w:val="0"/>
                <w:color w:val="000000"/>
                <w:kern w:val="0"/>
                <w:sz w:val="20"/>
                <w:szCs w:val="20"/>
                <w:u w:val="none"/>
                <w:lang w:val="en-US" w:eastAsia="zh-CN" w:bidi="ar"/>
              </w:rPr>
              <w:t>，灵敏度≥94dB，额定最大声压级116dB，峰值声压级可达122dB，声场覆盖角度为水平90°、垂直50°，声场覆盖均匀、人声还原度高。功率指标严格符合IEC国际标准，节目功率300W，峰值功率600W，分频点设置为2kHz，高低音衔接顺滑、无断层失真。设备输入接口配备双Neutrik NL4MP专业插头，同时搭载螺旋接线端子，可适配多种现场接线方式，满足不同施工及设备对接需求。音箱箱体采用15mm厚多层桦木板一体构造，结构坚固稳定，具备抗冲击、耐磨损、防变形、长期耐用的特性；机身预留≥14个M10标准吊装吊点，支持U型悬挂、壁挂支架等多种安装固定方式，适配舞台、会场多场景安装布局。设备外形尺寸（高×宽×深）为470mm×265mm×254mm，允许±5mm工程误差，整机净重≤10Kg，自重轻便、安装便捷、场地适配性强，可满足会场会议、文艺演出人声扩声、音乐还原、声场覆盖的专业使用需求。</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二、设备现状</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现有专业全频音箱长期连续运行，受环境湿度、粉尘、声场震动及长期高负荷工作影响，存在单元老化、振膜积灰松弛、音圈疲劳、分频器件性能衰减、接口氧化接触不良、箱体受潮松动、固定吊点锈蚀等问题；日常使用中易出现声音发闷、高频缺失、低音无力、破音失真、声道不均衡、无声断音、设备共振异响等故障，导致整体扩声清晰度、层次感、声场均匀度下降，无法满足高质量会议、文艺演出扩声标准，需开展整机深度检修、清洁养护、配件更换及性能校准调试。</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三、维修内容</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包括但不限于 ：对全场专业全频音箱进行逐台拆机深度检测、整机除尘清洁养护；更换全新高低音单元振膜、音圈、弹波、分频器、内部线路、接线端子、吊装吊点及箱体结构等；针对性修复单元老化、发音失真、高低频失衡、接触不良、断音无声、共振异响等问题；更换老化破损的喇叭单元、分频器件、内部线材、氧化接线端子、锈蚀固件及失效辅材；对箱体进行防潮加固、缝隙密封、清洁养护，修复箱体松动、受潮变形缺陷；校准设备阻抗、灵敏度、频响、声压级等核心参数，调试高低音衔接、分频精度、声场输出均衡度；完成单设备单机测试、多设备声场联动测试、整机老化稳定性测试，确保音箱全部声学参数达标、发音纯净无失真、运行稳定可靠。</w:t>
            </w:r>
          </w:p>
        </w:tc>
        <w:tc>
          <w:tcPr>
            <w:tcW w:w="134" w:type="pct"/>
            <w:tcBorders>
              <w:top w:val="nil"/>
              <w:left w:val="single" w:color="000000" w:sz="4" w:space="0"/>
              <w:bottom w:val="single" w:color="000000" w:sz="4" w:space="0"/>
              <w:right w:val="single" w:color="000000" w:sz="4" w:space="0"/>
            </w:tcBorders>
            <w:shd w:val="clear" w:color="auto" w:fill="auto"/>
            <w:vAlign w:val="center"/>
          </w:tcPr>
          <w:p w14:paraId="149965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只</w:t>
            </w:r>
          </w:p>
        </w:tc>
        <w:tc>
          <w:tcPr>
            <w:tcW w:w="171" w:type="pct"/>
            <w:tcBorders>
              <w:top w:val="nil"/>
              <w:left w:val="single" w:color="000000" w:sz="4" w:space="0"/>
              <w:bottom w:val="single" w:color="000000" w:sz="4" w:space="0"/>
              <w:right w:val="single" w:color="000000" w:sz="4" w:space="0"/>
            </w:tcBorders>
            <w:shd w:val="clear" w:color="auto" w:fill="auto"/>
            <w:vAlign w:val="center"/>
          </w:tcPr>
          <w:p w14:paraId="5F4FDB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w:t>
            </w:r>
          </w:p>
        </w:tc>
        <w:tc>
          <w:tcPr>
            <w:tcW w:w="223" w:type="pct"/>
            <w:tcBorders>
              <w:top w:val="nil"/>
              <w:left w:val="single" w:color="000000" w:sz="4" w:space="0"/>
              <w:bottom w:val="single" w:color="000000" w:sz="4" w:space="0"/>
              <w:right w:val="single" w:color="000000" w:sz="4" w:space="0"/>
            </w:tcBorders>
            <w:shd w:val="clear" w:color="auto" w:fill="auto"/>
            <w:vAlign w:val="center"/>
          </w:tcPr>
          <w:p w14:paraId="6022C5ED">
            <w:pPr>
              <w:jc w:val="center"/>
              <w:rPr>
                <w:rFonts w:hint="eastAsia" w:ascii="宋体" w:hAnsi="宋体" w:eastAsia="宋体" w:cs="宋体"/>
                <w:i w:val="0"/>
                <w:iCs w:val="0"/>
                <w:color w:val="000000"/>
                <w:sz w:val="20"/>
                <w:szCs w:val="20"/>
                <w:u w:val="none"/>
              </w:rPr>
            </w:pPr>
          </w:p>
        </w:tc>
      </w:tr>
      <w:tr w14:paraId="3E641D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8484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131</w:t>
            </w:r>
          </w:p>
        </w:tc>
        <w:tc>
          <w:tcPr>
            <w:tcW w:w="612" w:type="pct"/>
            <w:tcBorders>
              <w:top w:val="nil"/>
              <w:left w:val="single" w:color="000000" w:sz="4" w:space="0"/>
              <w:bottom w:val="single" w:color="000000" w:sz="4" w:space="0"/>
              <w:right w:val="single" w:color="000000" w:sz="4" w:space="0"/>
            </w:tcBorders>
            <w:shd w:val="clear" w:color="auto" w:fill="auto"/>
            <w:vAlign w:val="center"/>
          </w:tcPr>
          <w:p w14:paraId="7BF1BBB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台唇功放维护</w:t>
            </w:r>
          </w:p>
        </w:tc>
        <w:tc>
          <w:tcPr>
            <w:tcW w:w="3726" w:type="pct"/>
            <w:tcBorders>
              <w:top w:val="nil"/>
              <w:left w:val="single" w:color="000000" w:sz="4" w:space="0"/>
              <w:bottom w:val="single" w:color="000000" w:sz="4" w:space="0"/>
              <w:right w:val="single" w:color="000000" w:sz="4" w:space="0"/>
            </w:tcBorders>
            <w:shd w:val="clear" w:color="auto" w:fill="auto"/>
            <w:vAlign w:val="top"/>
          </w:tcPr>
          <w:p w14:paraId="7E6E13C6">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一、技术参数</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专业双通道功率放大器，适配台唇返听音箱驱动；8</w:t>
            </w:r>
            <w:r>
              <w:rPr>
                <w:rFonts w:ascii="Calibri" w:hAnsi="Calibri" w:eastAsia="宋体" w:cs="Calibri"/>
                <w:i w:val="0"/>
                <w:iCs w:val="0"/>
                <w:snapToGrid w:val="0"/>
                <w:color w:val="000000"/>
                <w:kern w:val="0"/>
                <w:sz w:val="20"/>
                <w:szCs w:val="20"/>
                <w:u w:val="none"/>
                <w:lang w:val="en-US" w:eastAsia="zh-CN" w:bidi="ar"/>
              </w:rPr>
              <w:t>Ω</w:t>
            </w:r>
            <w:r>
              <w:rPr>
                <w:rFonts w:hint="eastAsia" w:ascii="宋体" w:hAnsi="宋体" w:eastAsia="宋体" w:cs="宋体"/>
                <w:i w:val="0"/>
                <w:iCs w:val="0"/>
                <w:snapToGrid w:val="0"/>
                <w:color w:val="000000"/>
                <w:kern w:val="0"/>
                <w:sz w:val="20"/>
                <w:szCs w:val="20"/>
                <w:u w:val="none"/>
                <w:lang w:val="en-US" w:eastAsia="zh-CN" w:bidi="ar"/>
              </w:rPr>
              <w:t xml:space="preserve"> 功率≥550W×2、4</w:t>
            </w:r>
            <w:r>
              <w:rPr>
                <w:rFonts w:ascii="Calibri" w:hAnsi="Calibri" w:eastAsia="宋体" w:cs="Calibri"/>
                <w:i w:val="0"/>
                <w:iCs w:val="0"/>
                <w:snapToGrid w:val="0"/>
                <w:color w:val="000000"/>
                <w:kern w:val="0"/>
                <w:sz w:val="20"/>
                <w:szCs w:val="20"/>
                <w:u w:val="none"/>
                <w:lang w:val="en-US" w:eastAsia="zh-CN" w:bidi="ar"/>
              </w:rPr>
              <w:t>Ω</w:t>
            </w:r>
            <w:r>
              <w:rPr>
                <w:rFonts w:ascii="Cambria Math" w:hAnsi="Cambria Math" w:eastAsia="Cambria Math" w:cs="Cambria Math"/>
                <w:i w:val="0"/>
                <w:iCs w:val="0"/>
                <w:snapToGrid w:val="0"/>
                <w:color w:val="000000"/>
                <w:kern w:val="0"/>
                <w:sz w:val="20"/>
                <w:szCs w:val="20"/>
                <w:u w:val="none"/>
                <w:lang w:val="en-US" w:eastAsia="zh-CN" w:bidi="ar"/>
              </w:rPr>
              <w:t>≥</w:t>
            </w:r>
            <w:r>
              <w:rPr>
                <w:rFonts w:hint="eastAsia" w:ascii="宋体" w:hAnsi="宋体" w:eastAsia="宋体" w:cs="宋体"/>
                <w:i w:val="0"/>
                <w:iCs w:val="0"/>
                <w:snapToGrid w:val="0"/>
                <w:color w:val="000000"/>
                <w:kern w:val="0"/>
                <w:sz w:val="20"/>
                <w:szCs w:val="20"/>
                <w:u w:val="none"/>
                <w:lang w:val="en-US" w:eastAsia="zh-CN" w:bidi="ar"/>
              </w:rPr>
              <w:t>900W×2，桥接 8</w:t>
            </w:r>
            <w:r>
              <w:rPr>
                <w:rFonts w:ascii="Calibri" w:hAnsi="Calibri" w:eastAsia="宋体" w:cs="Calibri"/>
                <w:i w:val="0"/>
                <w:iCs w:val="0"/>
                <w:snapToGrid w:val="0"/>
                <w:color w:val="000000"/>
                <w:kern w:val="0"/>
                <w:sz w:val="20"/>
                <w:szCs w:val="20"/>
                <w:u w:val="none"/>
                <w:lang w:val="en-US" w:eastAsia="zh-CN" w:bidi="ar"/>
              </w:rPr>
              <w:t>Ω</w:t>
            </w:r>
            <w:r>
              <w:rPr>
                <w:rFonts w:ascii="Cambria Math" w:hAnsi="Cambria Math" w:eastAsia="Cambria Math" w:cs="Cambria Math"/>
                <w:i w:val="0"/>
                <w:iCs w:val="0"/>
                <w:snapToGrid w:val="0"/>
                <w:color w:val="000000"/>
                <w:kern w:val="0"/>
                <w:sz w:val="20"/>
                <w:szCs w:val="20"/>
                <w:u w:val="none"/>
                <w:lang w:val="en-US" w:eastAsia="zh-CN" w:bidi="ar"/>
              </w:rPr>
              <w:t>≥</w:t>
            </w:r>
            <w:r>
              <w:rPr>
                <w:rFonts w:hint="eastAsia" w:ascii="宋体" w:hAnsi="宋体" w:eastAsia="宋体" w:cs="宋体"/>
                <w:i w:val="0"/>
                <w:iCs w:val="0"/>
                <w:snapToGrid w:val="0"/>
                <w:color w:val="000000"/>
                <w:kern w:val="0"/>
                <w:sz w:val="20"/>
                <w:szCs w:val="20"/>
                <w:u w:val="none"/>
                <w:lang w:val="en-US" w:eastAsia="zh-CN" w:bidi="ar"/>
              </w:rPr>
              <w:t>1800W；频响 20Hz-20kHz、信噪比＞100dB、总谐波失真＜0.1%；支持立体声、并联、桥接模式，双档灵敏度调节，带完整电气保护及状态指示灯，标准机柜安装。</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二、设备现状</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长期驱动台唇音箱工作，设备积尘、电路老化、散热不良，存在声道不均衡、声音断续、轻微失真、开机异响、偶发保护等问题，返听系统不稳定，影响舞台监听效果，需整机检修养护。</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三、维修内容</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包括但不限于 ：整机拆机除尘、散热系统清理、更换全新电路板；检测电源、功率电路、信号输入输出、模式切换、保护模块；更换老化失效配件；校准声道平衡、输入增益；全功能测试、带载测试、老化测试，与台唇音箱联调适配，确保监听音质稳定干净 毛重：≤23.6kg</w:t>
            </w:r>
          </w:p>
        </w:tc>
        <w:tc>
          <w:tcPr>
            <w:tcW w:w="134" w:type="pct"/>
            <w:tcBorders>
              <w:top w:val="nil"/>
              <w:left w:val="single" w:color="000000" w:sz="4" w:space="0"/>
              <w:bottom w:val="single" w:color="000000" w:sz="4" w:space="0"/>
              <w:right w:val="single" w:color="000000" w:sz="4" w:space="0"/>
            </w:tcBorders>
            <w:shd w:val="clear" w:color="auto" w:fill="auto"/>
            <w:vAlign w:val="center"/>
          </w:tcPr>
          <w:p w14:paraId="711E65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台</w:t>
            </w:r>
          </w:p>
        </w:tc>
        <w:tc>
          <w:tcPr>
            <w:tcW w:w="171" w:type="pct"/>
            <w:tcBorders>
              <w:top w:val="nil"/>
              <w:left w:val="single" w:color="000000" w:sz="4" w:space="0"/>
              <w:bottom w:val="single" w:color="000000" w:sz="4" w:space="0"/>
              <w:right w:val="single" w:color="000000" w:sz="4" w:space="0"/>
            </w:tcBorders>
            <w:shd w:val="clear" w:color="auto" w:fill="auto"/>
            <w:vAlign w:val="center"/>
          </w:tcPr>
          <w:p w14:paraId="456EDB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223" w:type="pct"/>
            <w:tcBorders>
              <w:top w:val="nil"/>
              <w:left w:val="single" w:color="000000" w:sz="4" w:space="0"/>
              <w:bottom w:val="single" w:color="000000" w:sz="4" w:space="0"/>
              <w:right w:val="single" w:color="000000" w:sz="4" w:space="0"/>
            </w:tcBorders>
            <w:shd w:val="clear" w:color="auto" w:fill="auto"/>
            <w:vAlign w:val="center"/>
          </w:tcPr>
          <w:p w14:paraId="16EB6070">
            <w:pPr>
              <w:jc w:val="center"/>
              <w:rPr>
                <w:rFonts w:hint="eastAsia" w:ascii="宋体" w:hAnsi="宋体" w:eastAsia="宋体" w:cs="宋体"/>
                <w:i w:val="0"/>
                <w:iCs w:val="0"/>
                <w:color w:val="000000"/>
                <w:sz w:val="20"/>
                <w:szCs w:val="20"/>
                <w:u w:val="none"/>
              </w:rPr>
            </w:pPr>
          </w:p>
        </w:tc>
      </w:tr>
      <w:tr w14:paraId="3DAB37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8DAF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132</w:t>
            </w:r>
          </w:p>
        </w:tc>
        <w:tc>
          <w:tcPr>
            <w:tcW w:w="612" w:type="pct"/>
            <w:tcBorders>
              <w:top w:val="nil"/>
              <w:left w:val="single" w:color="000000" w:sz="4" w:space="0"/>
              <w:bottom w:val="single" w:color="000000" w:sz="4" w:space="0"/>
              <w:right w:val="single" w:color="000000" w:sz="4" w:space="0"/>
            </w:tcBorders>
            <w:shd w:val="clear" w:color="auto" w:fill="auto"/>
            <w:vAlign w:val="center"/>
          </w:tcPr>
          <w:p w14:paraId="68E5CA5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辅助功放维护</w:t>
            </w:r>
          </w:p>
        </w:tc>
        <w:tc>
          <w:tcPr>
            <w:tcW w:w="3726" w:type="pct"/>
            <w:tcBorders>
              <w:top w:val="nil"/>
              <w:left w:val="single" w:color="000000" w:sz="4" w:space="0"/>
              <w:bottom w:val="single" w:color="000000" w:sz="4" w:space="0"/>
              <w:right w:val="single" w:color="000000" w:sz="4" w:space="0"/>
            </w:tcBorders>
            <w:shd w:val="clear" w:color="auto" w:fill="auto"/>
            <w:vAlign w:val="top"/>
          </w:tcPr>
          <w:p w14:paraId="247843C3">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一、技术参数</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双通道专业功放，适配全场辅助补声音箱驱动；8</w:t>
            </w:r>
            <w:r>
              <w:rPr>
                <w:rFonts w:ascii="Calibri" w:hAnsi="Calibri" w:eastAsia="宋体" w:cs="Calibri"/>
                <w:i w:val="0"/>
                <w:iCs w:val="0"/>
                <w:snapToGrid w:val="0"/>
                <w:color w:val="000000"/>
                <w:kern w:val="0"/>
                <w:sz w:val="20"/>
                <w:szCs w:val="20"/>
                <w:u w:val="none"/>
                <w:lang w:val="en-US" w:eastAsia="zh-CN" w:bidi="ar"/>
              </w:rPr>
              <w:t>Ω</w:t>
            </w:r>
            <w:r>
              <w:rPr>
                <w:rFonts w:ascii="Cambria Math" w:hAnsi="Cambria Math" w:eastAsia="Cambria Math" w:cs="Cambria Math"/>
                <w:i w:val="0"/>
                <w:iCs w:val="0"/>
                <w:snapToGrid w:val="0"/>
                <w:color w:val="000000"/>
                <w:kern w:val="0"/>
                <w:sz w:val="20"/>
                <w:szCs w:val="20"/>
                <w:u w:val="none"/>
                <w:lang w:val="en-US" w:eastAsia="zh-CN" w:bidi="ar"/>
              </w:rPr>
              <w:t>≥</w:t>
            </w:r>
            <w:r>
              <w:rPr>
                <w:rFonts w:hint="eastAsia" w:ascii="宋体" w:hAnsi="宋体" w:eastAsia="宋体" w:cs="宋体"/>
                <w:i w:val="0"/>
                <w:iCs w:val="0"/>
                <w:snapToGrid w:val="0"/>
                <w:color w:val="000000"/>
                <w:kern w:val="0"/>
                <w:sz w:val="20"/>
                <w:szCs w:val="20"/>
                <w:u w:val="none"/>
                <w:lang w:val="en-US" w:eastAsia="zh-CN" w:bidi="ar"/>
              </w:rPr>
              <w:t>550W×2、4</w:t>
            </w:r>
            <w:r>
              <w:rPr>
                <w:rFonts w:ascii="Calibri" w:hAnsi="Calibri" w:eastAsia="宋体" w:cs="Calibri"/>
                <w:i w:val="0"/>
                <w:iCs w:val="0"/>
                <w:snapToGrid w:val="0"/>
                <w:color w:val="000000"/>
                <w:kern w:val="0"/>
                <w:sz w:val="20"/>
                <w:szCs w:val="20"/>
                <w:u w:val="none"/>
                <w:lang w:val="en-US" w:eastAsia="zh-CN" w:bidi="ar"/>
              </w:rPr>
              <w:t>Ω</w:t>
            </w:r>
            <w:r>
              <w:rPr>
                <w:rFonts w:ascii="Cambria Math" w:hAnsi="Cambria Math" w:eastAsia="Cambria Math" w:cs="Cambria Math"/>
                <w:i w:val="0"/>
                <w:iCs w:val="0"/>
                <w:snapToGrid w:val="0"/>
                <w:color w:val="000000"/>
                <w:kern w:val="0"/>
                <w:sz w:val="20"/>
                <w:szCs w:val="20"/>
                <w:u w:val="none"/>
                <w:lang w:val="en-US" w:eastAsia="zh-CN" w:bidi="ar"/>
              </w:rPr>
              <w:t>≥</w:t>
            </w:r>
            <w:r>
              <w:rPr>
                <w:rFonts w:hint="eastAsia" w:ascii="宋体" w:hAnsi="宋体" w:eastAsia="宋体" w:cs="宋体"/>
                <w:i w:val="0"/>
                <w:iCs w:val="0"/>
                <w:snapToGrid w:val="0"/>
                <w:color w:val="000000"/>
                <w:kern w:val="0"/>
                <w:sz w:val="20"/>
                <w:szCs w:val="20"/>
                <w:u w:val="none"/>
                <w:lang w:val="en-US" w:eastAsia="zh-CN" w:bidi="ar"/>
              </w:rPr>
              <w:t>900W×2，桥接 8</w:t>
            </w:r>
            <w:r>
              <w:rPr>
                <w:rFonts w:ascii="Calibri" w:hAnsi="Calibri" w:eastAsia="宋体" w:cs="Calibri"/>
                <w:i w:val="0"/>
                <w:iCs w:val="0"/>
                <w:snapToGrid w:val="0"/>
                <w:color w:val="000000"/>
                <w:kern w:val="0"/>
                <w:sz w:val="20"/>
                <w:szCs w:val="20"/>
                <w:u w:val="none"/>
                <w:lang w:val="en-US" w:eastAsia="zh-CN" w:bidi="ar"/>
              </w:rPr>
              <w:t>Ω</w:t>
            </w:r>
            <w:r>
              <w:rPr>
                <w:rFonts w:ascii="Cambria Math" w:hAnsi="Cambria Math" w:eastAsia="Cambria Math" w:cs="Cambria Math"/>
                <w:i w:val="0"/>
                <w:iCs w:val="0"/>
                <w:snapToGrid w:val="0"/>
                <w:color w:val="000000"/>
                <w:kern w:val="0"/>
                <w:sz w:val="20"/>
                <w:szCs w:val="20"/>
                <w:u w:val="none"/>
                <w:lang w:val="en-US" w:eastAsia="zh-CN" w:bidi="ar"/>
              </w:rPr>
              <w:t>≥</w:t>
            </w:r>
            <w:r>
              <w:rPr>
                <w:rFonts w:hint="eastAsia" w:ascii="宋体" w:hAnsi="宋体" w:eastAsia="宋体" w:cs="宋体"/>
                <w:i w:val="0"/>
                <w:iCs w:val="0"/>
                <w:snapToGrid w:val="0"/>
                <w:color w:val="000000"/>
                <w:kern w:val="0"/>
                <w:sz w:val="20"/>
                <w:szCs w:val="20"/>
                <w:u w:val="none"/>
                <w:lang w:val="en-US" w:eastAsia="zh-CN" w:bidi="ar"/>
              </w:rPr>
              <w:t>1800W；频响平直、底噪极低、失真小；支持多模式切换、双档灵敏度调节，具备完整过载、短路、过热保护，状态指示齐全，适配舞台辅助扩声系统稳定驱动。</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二、设备现状</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辅助功放长期连续工作，内部积尘、元器件老化，存在底噪偏大、声道偏差、动态不足、轻微失真、发热异常等问题，辅助扩声层次差、声场不均匀，需整机深度检修养护。</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三、维修内容</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包括但不限于 ：整机深度除尘、电路清洁、散热养护；全换全新电源系统、功率放大回路、信号处理、电路板等其它配件；更换老化元器件；校准增益平衡、输出参数；全模式功能测试、带载老化测试；与辅助音箱联调，优化声场匹配度。</w:t>
            </w:r>
          </w:p>
        </w:tc>
        <w:tc>
          <w:tcPr>
            <w:tcW w:w="134" w:type="pct"/>
            <w:tcBorders>
              <w:top w:val="nil"/>
              <w:left w:val="single" w:color="000000" w:sz="4" w:space="0"/>
              <w:bottom w:val="single" w:color="000000" w:sz="4" w:space="0"/>
              <w:right w:val="single" w:color="000000" w:sz="4" w:space="0"/>
            </w:tcBorders>
            <w:shd w:val="clear" w:color="auto" w:fill="auto"/>
            <w:vAlign w:val="center"/>
          </w:tcPr>
          <w:p w14:paraId="4472F9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台</w:t>
            </w:r>
          </w:p>
        </w:tc>
        <w:tc>
          <w:tcPr>
            <w:tcW w:w="171" w:type="pct"/>
            <w:tcBorders>
              <w:top w:val="nil"/>
              <w:left w:val="single" w:color="000000" w:sz="4" w:space="0"/>
              <w:bottom w:val="single" w:color="000000" w:sz="4" w:space="0"/>
              <w:right w:val="single" w:color="000000" w:sz="4" w:space="0"/>
            </w:tcBorders>
            <w:shd w:val="clear" w:color="auto" w:fill="auto"/>
            <w:vAlign w:val="center"/>
          </w:tcPr>
          <w:p w14:paraId="573B25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w:t>
            </w:r>
          </w:p>
        </w:tc>
        <w:tc>
          <w:tcPr>
            <w:tcW w:w="223" w:type="pct"/>
            <w:tcBorders>
              <w:top w:val="nil"/>
              <w:left w:val="single" w:color="000000" w:sz="4" w:space="0"/>
              <w:bottom w:val="single" w:color="000000" w:sz="4" w:space="0"/>
              <w:right w:val="single" w:color="000000" w:sz="4" w:space="0"/>
            </w:tcBorders>
            <w:shd w:val="clear" w:color="auto" w:fill="auto"/>
            <w:vAlign w:val="center"/>
          </w:tcPr>
          <w:p w14:paraId="232174AF">
            <w:pPr>
              <w:jc w:val="center"/>
              <w:rPr>
                <w:rFonts w:hint="eastAsia" w:ascii="宋体" w:hAnsi="宋体" w:eastAsia="宋体" w:cs="宋体"/>
                <w:i w:val="0"/>
                <w:iCs w:val="0"/>
                <w:color w:val="000000"/>
                <w:sz w:val="20"/>
                <w:szCs w:val="20"/>
                <w:u w:val="none"/>
              </w:rPr>
            </w:pPr>
          </w:p>
        </w:tc>
      </w:tr>
      <w:tr w14:paraId="26E906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8"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14A5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133</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C0196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数字处理器维护</w:t>
            </w:r>
          </w:p>
        </w:tc>
        <w:tc>
          <w:tcPr>
            <w:tcW w:w="3726" w:type="pct"/>
            <w:tcBorders>
              <w:top w:val="nil"/>
              <w:left w:val="single" w:color="000000" w:sz="4" w:space="0"/>
              <w:bottom w:val="single" w:color="000000" w:sz="4" w:space="0"/>
              <w:right w:val="single" w:color="000000" w:sz="4" w:space="0"/>
            </w:tcBorders>
            <w:shd w:val="clear" w:color="auto" w:fill="auto"/>
            <w:vAlign w:val="center"/>
          </w:tcPr>
          <w:p w14:paraId="3E29247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一、技术参数</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专业舞台数字音频处理器，4 进 8 出电子平衡端口；原生 96kHz 采样率，支持 192kHz 数字输入；动态范围＞116dB，频响 10Hz-32kHz (±0.5dB)，总谐波失真＜0.001%；最大延迟 650ms，微秒级精准延时调节；宽电压开关电源 60-250V 适配；标准 1U 机架设备，重量 3.5kg，用于全场音箱分频、延时、均衡、限幅、声场整合处理。</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二、设备现状</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处理器长期 24 小时待机运行，内部积尘、程序紊乱、参数漂移、端口氧化，出现信号处理异常、分频不准、延时错乱、声场偏移、音质失衡、通道无声、噪声抬升等问题，全场音响系统衔接混乱，需整机检修、内部更换全新配件，参数重置、系统优化。</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三、维修内容</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包括但不限于 ：更换全新配件含：端口、电路板；输入输出通道、DSP 处理模块、存储模块、电源模块等其它零配件；修复通道无声、信号异常、噪声故障；恢复出厂程序、重置标准声场参数；精准调校分频、延时、均衡、限幅、相位参数；整机联机调试、声场整体校准、系统联动测试。</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48FD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台</w:t>
            </w:r>
          </w:p>
        </w:tc>
        <w:tc>
          <w:tcPr>
            <w:tcW w:w="1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962B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3CF4F8">
            <w:pPr>
              <w:jc w:val="center"/>
              <w:rPr>
                <w:rFonts w:hint="eastAsia" w:ascii="宋体" w:hAnsi="宋体" w:eastAsia="宋体" w:cs="宋体"/>
                <w:i w:val="0"/>
                <w:iCs w:val="0"/>
                <w:color w:val="000000"/>
                <w:sz w:val="20"/>
                <w:szCs w:val="20"/>
                <w:u w:val="none"/>
              </w:rPr>
            </w:pPr>
          </w:p>
        </w:tc>
      </w:tr>
      <w:tr w14:paraId="0E34E3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83"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6D9B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134</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0A0CF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台式发言传声器维护</w:t>
            </w:r>
          </w:p>
        </w:tc>
        <w:tc>
          <w:tcPr>
            <w:tcW w:w="3726" w:type="pct"/>
            <w:tcBorders>
              <w:top w:val="nil"/>
              <w:left w:val="single" w:color="000000" w:sz="4" w:space="0"/>
              <w:bottom w:val="single" w:color="000000" w:sz="4" w:space="0"/>
              <w:right w:val="single" w:color="000000" w:sz="4" w:space="0"/>
            </w:tcBorders>
            <w:shd w:val="clear" w:color="auto" w:fill="auto"/>
            <w:vAlign w:val="center"/>
          </w:tcPr>
          <w:p w14:paraId="3993FCF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一、技术参数</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专业双头台式演讲话筒，配备 19.8mm 镀金大电容音头，超心型指向；灵敏度 - 32dB（25.1mV/Pa），频率响应 20Hz-20kHz，输出阻抗≤200</w:t>
            </w:r>
            <w:r>
              <w:rPr>
                <w:rFonts w:ascii="Calibri" w:hAnsi="Calibri" w:eastAsia="宋体" w:cs="Calibri"/>
                <w:i w:val="0"/>
                <w:iCs w:val="0"/>
                <w:snapToGrid w:val="0"/>
                <w:color w:val="000000"/>
                <w:kern w:val="0"/>
                <w:sz w:val="20"/>
                <w:szCs w:val="20"/>
                <w:u w:val="none"/>
                <w:lang w:val="en-US" w:eastAsia="zh-CN" w:bidi="ar"/>
              </w:rPr>
              <w:t>Ω</w:t>
            </w:r>
            <w:r>
              <w:rPr>
                <w:rFonts w:hint="eastAsia" w:ascii="宋体" w:hAnsi="宋体" w:eastAsia="宋体" w:cs="宋体"/>
                <w:i w:val="0"/>
                <w:iCs w:val="0"/>
                <w:snapToGrid w:val="0"/>
                <w:color w:val="000000"/>
                <w:kern w:val="0"/>
                <w:sz w:val="20"/>
                <w:szCs w:val="20"/>
                <w:u w:val="none"/>
                <w:lang w:val="en-US" w:eastAsia="zh-CN" w:bidi="ar"/>
              </w:rPr>
              <w:t>；最大声压级 137dB，等效噪声≤18dB (A)，信噪比≥76dB (A)，人声拾音清晰、抑制啸叫能力强，适配会议主持、舞台发言使用。</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二、设备现状</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台式话筒长期摆放使用，音头积灰、网罩堵塞、线材老化、底座松动、开关接触不良，出现拾音微弱、单边无声、杂音电流声、接触断续、啸叫敏感等问题，会议发言音质差、不稳定，需全面清洁养护检修。</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三、维修内容</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包括但不限于 ：更换全新镀金电容音头、内部拾音电路、底座开关、连接线材、接头端子等配件；修复接触不良、无声、杂音、拾音衰减故障；紧固底座结构、整理线材；通电测试拾音灵敏度、清晰度、抗啸叫性能，调校拾音效果。</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E360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套</w:t>
            </w:r>
          </w:p>
        </w:tc>
        <w:tc>
          <w:tcPr>
            <w:tcW w:w="1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C0FF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CB6BEC">
            <w:pPr>
              <w:jc w:val="center"/>
              <w:rPr>
                <w:rFonts w:hint="eastAsia" w:ascii="宋体" w:hAnsi="宋体" w:eastAsia="宋体" w:cs="宋体"/>
                <w:i w:val="0"/>
                <w:iCs w:val="0"/>
                <w:color w:val="000000"/>
                <w:sz w:val="20"/>
                <w:szCs w:val="20"/>
                <w:u w:val="none"/>
              </w:rPr>
            </w:pPr>
          </w:p>
        </w:tc>
      </w:tr>
      <w:tr w14:paraId="7DAC14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0"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1198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135</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934E8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无线手持话筒</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维护</w:t>
            </w:r>
          </w:p>
        </w:tc>
        <w:tc>
          <w:tcPr>
            <w:tcW w:w="3726" w:type="pct"/>
            <w:tcBorders>
              <w:top w:val="nil"/>
              <w:left w:val="single" w:color="000000" w:sz="4" w:space="0"/>
              <w:bottom w:val="single" w:color="000000" w:sz="4" w:space="0"/>
              <w:right w:val="single" w:color="000000" w:sz="4" w:space="0"/>
            </w:tcBorders>
            <w:shd w:val="clear" w:color="auto" w:fill="auto"/>
            <w:vAlign w:val="top"/>
          </w:tcPr>
          <w:p w14:paraId="36F1C568">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与本源二分频扬声器系统、音频处理设备无缝兼容，</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 xml:space="preserve">音频处理：采用24位数字音频处理技术，提供高保真音频还原，音频动态范围≥120dB（@1% THD，A计权，典型值），总谐波失真＜0.02%，保障人声拾音清晰、纯净无杂音​  </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 xml:space="preserve">无线传输：采用数字式预开关分集技术，信号传输稳定可靠，有效工作距离≥100米（实际范围可根据现场射频环境调整），可全面覆盖中等规模场地拾音需求​  </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 xml:space="preserve">射频载波频率范围：470-937.5 MHz（视地区规范适配）​  </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 xml:space="preserve">调谐带宽：≥44 MHz（视地区规范适配），调谐步进25 kHz（视地区规范适配）​  </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 xml:space="preserve">可用通道：每个频段≥32个可用通道（视地区规范适配），每个6MHz电视频段可兼容≥10个系统，每个8MHz频段可兼容≥12个系统，支持多套设备同时使用无干扰​  </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 xml:space="preserve">射频灵敏度：≤-97dBm，镜频抑制＞70dB（典型值），具备优异的抗干扰性能，可抵御现场复杂电磁干扰​  </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一、技术参数</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专业数字无线手持话筒系统，采用 24 位数字音频处理，动态范围≥120dB，总谐波失真＜0.02%；预开关分集接收技术，有效工作距离≥100 米；频率覆盖 470-937.5MHz，宽带可调，多通道互不干扰；音频延迟≤3.2ms；SM58 心形动圈音头，人声聚焦强；支持 AA 电池 / 锂电双供电，续航≥8 小时；具备红外对频、自动扫频、增益可调、整机抗干扰、稳定可靠。</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二、设备现状</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无线话筒长期流动使用，手持摔碰、受潮、积尘、电池触点氧化，出现断频、跳频、杂音、电流声、拾音忽大忽小、对频失败、续航变短、接收不稳定等问题，演出发言极易断音，存在重大使用隐患。</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三、维修内容</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包括但不限于 ：更换全新话筒音头、拾音电路、发射主板、电池触点、开关按键；检测接收机射频接收模块、对频模块、输出接口、电源等其它零配件；修复断频、杂音、接收不稳、对频异常故障；重新扫频、锁频、频段优化、增益调校；整机配对测试、远距离稳定性测试、抗干扰测试。</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3CF0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套</w:t>
            </w:r>
          </w:p>
        </w:tc>
        <w:tc>
          <w:tcPr>
            <w:tcW w:w="1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28A9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5DD3CD">
            <w:pPr>
              <w:jc w:val="center"/>
              <w:rPr>
                <w:rFonts w:hint="eastAsia" w:ascii="宋体" w:hAnsi="宋体" w:eastAsia="宋体" w:cs="宋体"/>
                <w:i w:val="0"/>
                <w:iCs w:val="0"/>
                <w:color w:val="000000"/>
                <w:sz w:val="20"/>
                <w:szCs w:val="20"/>
                <w:u w:val="none"/>
              </w:rPr>
            </w:pPr>
          </w:p>
        </w:tc>
      </w:tr>
      <w:tr w14:paraId="210207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80"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3F4D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136</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80F50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隔离耳机维护</w:t>
            </w:r>
          </w:p>
        </w:tc>
        <w:tc>
          <w:tcPr>
            <w:tcW w:w="3726" w:type="pct"/>
            <w:tcBorders>
              <w:top w:val="nil"/>
              <w:left w:val="single" w:color="000000" w:sz="4" w:space="0"/>
              <w:bottom w:val="single" w:color="000000" w:sz="4" w:space="0"/>
              <w:right w:val="single" w:color="000000" w:sz="4" w:space="0"/>
            </w:tcBorders>
            <w:shd w:val="clear" w:color="auto" w:fill="auto"/>
            <w:vAlign w:val="center"/>
          </w:tcPr>
          <w:p w14:paraId="4997962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一、技术参数</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动圈发声单元，频率响应 22Hz-17.5kHz，阻抗 20</w:t>
            </w:r>
            <w:r>
              <w:rPr>
                <w:rFonts w:ascii="Calibri" w:hAnsi="Calibri" w:eastAsia="宋体" w:cs="Calibri"/>
                <w:i w:val="0"/>
                <w:iCs w:val="0"/>
                <w:snapToGrid w:val="0"/>
                <w:color w:val="000000"/>
                <w:kern w:val="0"/>
                <w:sz w:val="20"/>
                <w:szCs w:val="20"/>
                <w:u w:val="none"/>
                <w:lang w:val="en-US" w:eastAsia="zh-CN" w:bidi="ar"/>
              </w:rPr>
              <w:t>Ω</w:t>
            </w:r>
            <w:r>
              <w:rPr>
                <w:rFonts w:hint="eastAsia" w:ascii="宋体" w:hAnsi="宋体" w:eastAsia="宋体" w:cs="宋体"/>
                <w:i w:val="0"/>
                <w:iCs w:val="0"/>
                <w:snapToGrid w:val="0"/>
                <w:color w:val="000000"/>
                <w:kern w:val="0"/>
                <w:sz w:val="20"/>
                <w:szCs w:val="20"/>
                <w:u w:val="none"/>
                <w:lang w:val="en-US" w:eastAsia="zh-CN" w:bidi="ar"/>
              </w:rPr>
              <w:t>，灵敏度≥107dB；隔音降噪≥37dB，隔绝 90% 以上环境噪音；总谐波失真＜0.5%，三频均衡清晰；挂耳式佩戴结构，可拆卸线材，适配舞台个人监听腰包系统，用于演员舞台返听监听。</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二、设备现状</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长期佩戴使用，耳塞老化、线材破皮、插头氧化、发声单元积灰，出现单边不响、声音偏小、杂音、音质浑浊、隔音效果变差等问题，演员监听听音不准，影响舞台演出。</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三、维修内容</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包括但不限于 ：耳机整机清洁，更换全新耳塞、线材检测、插头等配件；排查单元无声、破音、杂音故障；更换老化破损线材、耳塞配件；调校发声单元音质；测试与监听腰包匹配度、听音清晰度、隔音效果，确保监听纯净稳定。</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254E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只</w:t>
            </w:r>
          </w:p>
        </w:tc>
        <w:tc>
          <w:tcPr>
            <w:tcW w:w="1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1081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F542B8">
            <w:pPr>
              <w:jc w:val="center"/>
              <w:rPr>
                <w:rFonts w:hint="eastAsia" w:ascii="宋体" w:hAnsi="宋体" w:eastAsia="宋体" w:cs="宋体"/>
                <w:i w:val="0"/>
                <w:iCs w:val="0"/>
                <w:color w:val="000000"/>
                <w:sz w:val="20"/>
                <w:szCs w:val="20"/>
                <w:u w:val="none"/>
              </w:rPr>
            </w:pPr>
          </w:p>
        </w:tc>
      </w:tr>
      <w:tr w14:paraId="596AB5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0"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2DF8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137</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F2424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天线放大器维护</w:t>
            </w:r>
          </w:p>
        </w:tc>
        <w:tc>
          <w:tcPr>
            <w:tcW w:w="3726" w:type="pct"/>
            <w:tcBorders>
              <w:top w:val="nil"/>
              <w:left w:val="single" w:color="000000" w:sz="4" w:space="0"/>
              <w:bottom w:val="single" w:color="000000" w:sz="4" w:space="0"/>
              <w:right w:val="single" w:color="000000" w:sz="4" w:space="0"/>
            </w:tcBorders>
            <w:shd w:val="clear" w:color="auto" w:fill="auto"/>
            <w:vAlign w:val="center"/>
          </w:tcPr>
          <w:p w14:paraId="075310E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一、技术参数</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专业 UHF 频段无线射频天线放大器，频率 470-952MHz，阻抗 50</w:t>
            </w:r>
            <w:r>
              <w:rPr>
                <w:rFonts w:ascii="Calibri" w:hAnsi="Calibri" w:eastAsia="宋体" w:cs="Calibri"/>
                <w:i w:val="0"/>
                <w:iCs w:val="0"/>
                <w:snapToGrid w:val="0"/>
                <w:color w:val="000000"/>
                <w:kern w:val="0"/>
                <w:sz w:val="20"/>
                <w:szCs w:val="20"/>
                <w:u w:val="none"/>
                <w:lang w:val="en-US" w:eastAsia="zh-CN" w:bidi="ar"/>
              </w:rPr>
              <w:t>Ω</w:t>
            </w:r>
            <w:r>
              <w:rPr>
                <w:rFonts w:hint="eastAsia" w:ascii="宋体" w:hAnsi="宋体" w:eastAsia="宋体" w:cs="宋体"/>
                <w:i w:val="0"/>
                <w:iCs w:val="0"/>
                <w:snapToGrid w:val="0"/>
                <w:color w:val="000000"/>
                <w:kern w:val="0"/>
                <w:sz w:val="20"/>
                <w:szCs w:val="20"/>
                <w:u w:val="none"/>
                <w:lang w:val="en-US" w:eastAsia="zh-CN" w:bidi="ar"/>
              </w:rPr>
              <w:t>，增益 0dB±1dB；噪声指数≤2dB，三阶交调≥+14dBm；支持 100-240V 宽压供电，可集中为多台接收机 15V 供电、天线 12V 偏置供电；多路射频输出，带过载保护、信号放大净化功能，用于稳定无线话筒信号、减少断频干扰。</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二、设备现状</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天线放大器长期通电运行，射频端口积灰氧化、内部电路老化、增益衰减、供电不稳，导致无线信号弱、干扰大、断频频繁、多话筒互相串扰，无线系统不稳定，需整机检修校准。</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三、维修内容</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包括但不限于 ：整机除尘清洁、端口氧化处理；更换射频放大模块、供电模块、滤波模块、输出回路等配件；修复信号衰减、放大异常、供电不稳故障；校准射频增益、噪声指标；整机联机测试、多话筒组网稳定性调试、抗干扰优化。</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A0DD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台</w:t>
            </w:r>
          </w:p>
        </w:tc>
        <w:tc>
          <w:tcPr>
            <w:tcW w:w="1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4CAC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742B25">
            <w:pPr>
              <w:jc w:val="center"/>
              <w:rPr>
                <w:rFonts w:hint="eastAsia" w:ascii="宋体" w:hAnsi="宋体" w:eastAsia="宋体" w:cs="宋体"/>
                <w:i w:val="0"/>
                <w:iCs w:val="0"/>
                <w:color w:val="000000"/>
                <w:sz w:val="20"/>
                <w:szCs w:val="20"/>
                <w:u w:val="none"/>
              </w:rPr>
            </w:pPr>
          </w:p>
        </w:tc>
      </w:tr>
      <w:tr w14:paraId="48C8B4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0"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3E1A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138</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6889F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指向性天线维护</w:t>
            </w:r>
          </w:p>
        </w:tc>
        <w:tc>
          <w:tcPr>
            <w:tcW w:w="3726" w:type="pct"/>
            <w:tcBorders>
              <w:top w:val="nil"/>
              <w:left w:val="single" w:color="000000" w:sz="4" w:space="0"/>
              <w:bottom w:val="single" w:color="000000" w:sz="4" w:space="0"/>
              <w:right w:val="single" w:color="000000" w:sz="4" w:space="0"/>
            </w:tcBorders>
            <w:shd w:val="clear" w:color="auto" w:fill="auto"/>
            <w:vAlign w:val="center"/>
          </w:tcPr>
          <w:p w14:paraId="6493E03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一、技术参数</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指向性天线，频率 470-900MHz，阻抗 50</w:t>
            </w:r>
            <w:r>
              <w:rPr>
                <w:rFonts w:ascii="Calibri" w:hAnsi="Calibri" w:eastAsia="宋体" w:cs="Calibri"/>
                <w:i w:val="0"/>
                <w:iCs w:val="0"/>
                <w:snapToGrid w:val="0"/>
                <w:color w:val="000000"/>
                <w:kern w:val="0"/>
                <w:sz w:val="20"/>
                <w:szCs w:val="20"/>
                <w:u w:val="none"/>
                <w:lang w:val="en-US" w:eastAsia="zh-CN" w:bidi="ar"/>
              </w:rPr>
              <w:t>Ω</w:t>
            </w:r>
            <w:r>
              <w:rPr>
                <w:rFonts w:hint="eastAsia" w:ascii="宋体" w:hAnsi="宋体" w:eastAsia="宋体" w:cs="宋体"/>
                <w:i w:val="0"/>
                <w:iCs w:val="0"/>
                <w:snapToGrid w:val="0"/>
                <w:color w:val="000000"/>
                <w:kern w:val="0"/>
                <w:sz w:val="20"/>
                <w:szCs w:val="20"/>
                <w:u w:val="none"/>
                <w:lang w:val="en-US" w:eastAsia="zh-CN" w:bidi="ar"/>
              </w:rPr>
              <w:t>，轴增益≥7.5dBi；支持 4 档增益可调，三阶交调≥30dBm，波束宽度≥70°；支持同轴偏置供电，无需独立电源，指向性强、抗干扰优异，专门用于舞台远距离、强干扰环境无线信号拾取。</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二、设备现状</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天线长期吊挂裸露使用，积灰、受潮、接口氧化、增益衰减，导致无线信号接收弱、死角多、干扰严重、话筒频繁断频、掉信号，无线系统稳定性差。</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三、维修内容</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包括但不限于 ：更换天线外壳、BNC 接口、天线振子、滤波放大模块、增益调节电路等配件；修复信号接收弱、增益异常故障；校准档位增益、指向接收角度；联机实测信号强度、覆盖范围、抗干扰能力。</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C1D5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支</w:t>
            </w:r>
          </w:p>
        </w:tc>
        <w:tc>
          <w:tcPr>
            <w:tcW w:w="1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9B16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1C98C3">
            <w:pPr>
              <w:jc w:val="center"/>
              <w:rPr>
                <w:rFonts w:hint="eastAsia" w:ascii="宋体" w:hAnsi="宋体" w:eastAsia="宋体" w:cs="宋体"/>
                <w:i w:val="0"/>
                <w:iCs w:val="0"/>
                <w:color w:val="000000"/>
                <w:sz w:val="20"/>
                <w:szCs w:val="20"/>
                <w:u w:val="none"/>
              </w:rPr>
            </w:pPr>
          </w:p>
        </w:tc>
      </w:tr>
      <w:tr w14:paraId="0D53E2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0"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280E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139</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4719C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天线分配器维护</w:t>
            </w:r>
          </w:p>
        </w:tc>
        <w:tc>
          <w:tcPr>
            <w:tcW w:w="3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35696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一、技术参数</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信号分配器，宽带 470-952MHz，阻抗 50</w:t>
            </w:r>
            <w:r>
              <w:rPr>
                <w:rFonts w:ascii="Calibri" w:hAnsi="Calibri" w:eastAsia="宋体" w:cs="Calibri"/>
                <w:i w:val="0"/>
                <w:iCs w:val="0"/>
                <w:snapToGrid w:val="0"/>
                <w:color w:val="000000"/>
                <w:kern w:val="0"/>
                <w:sz w:val="20"/>
                <w:szCs w:val="20"/>
                <w:u w:val="none"/>
                <w:lang w:val="en-US" w:eastAsia="zh-CN" w:bidi="ar"/>
              </w:rPr>
              <w:t>Ω</w:t>
            </w:r>
            <w:r>
              <w:rPr>
                <w:rFonts w:hint="eastAsia" w:ascii="宋体" w:hAnsi="宋体" w:eastAsia="宋体" w:cs="宋体"/>
                <w:i w:val="0"/>
                <w:iCs w:val="0"/>
                <w:snapToGrid w:val="0"/>
                <w:color w:val="000000"/>
                <w:kern w:val="0"/>
                <w:sz w:val="20"/>
                <w:szCs w:val="20"/>
                <w:u w:val="none"/>
                <w:lang w:val="en-US" w:eastAsia="zh-CN" w:bidi="ar"/>
              </w:rPr>
              <w:t>，增益≥6dBi；三阶交调≥28dBm、噪声指数≤2.5dB；支持同轴偏置供电，多通道信号均匀分配，信号损耗小、隔离度高、抗串扰，实现单组天线带动多台接收机稳定工作。</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二、设备现状</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分配器长期通电工作，端口氧化、内部模块老化、信号分配不均、隔离度下降，导致多话筒互相干扰、信号强弱不一、局部接收机信号差、杂音增多，无线系统整体不稳定。</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三、维修内容</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包括但不限于 ：整机除尘、端口清洁养护；更换全新信号分配模块、隔离电路模块、滤波电路模块、供电回路模块等；修复信号衰减、分配不均、隔离不良故障；校准通道信号平衡、增益指标；多设备组网联调，优化整体无线系统稳定性。</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E2DD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支</w:t>
            </w:r>
          </w:p>
        </w:tc>
        <w:tc>
          <w:tcPr>
            <w:tcW w:w="1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9FFD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5E63B2">
            <w:pPr>
              <w:jc w:val="center"/>
              <w:rPr>
                <w:rFonts w:hint="eastAsia" w:ascii="宋体" w:hAnsi="宋体" w:eastAsia="宋体" w:cs="宋体"/>
                <w:i w:val="0"/>
                <w:iCs w:val="0"/>
                <w:color w:val="000000"/>
                <w:sz w:val="20"/>
                <w:szCs w:val="20"/>
                <w:u w:val="none"/>
              </w:rPr>
            </w:pPr>
          </w:p>
        </w:tc>
      </w:tr>
      <w:tr w14:paraId="0524FA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0"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CC34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140</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800C7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电源时序器维护</w:t>
            </w:r>
          </w:p>
        </w:tc>
        <w:tc>
          <w:tcPr>
            <w:tcW w:w="3726" w:type="pct"/>
            <w:tcBorders>
              <w:top w:val="nil"/>
              <w:left w:val="single" w:color="000000" w:sz="4" w:space="0"/>
              <w:bottom w:val="single" w:color="000000" w:sz="4" w:space="0"/>
              <w:right w:val="single" w:color="000000" w:sz="4" w:space="0"/>
            </w:tcBorders>
            <w:shd w:val="clear" w:color="auto" w:fill="auto"/>
            <w:vAlign w:val="center"/>
          </w:tcPr>
          <w:p w14:paraId="7D59920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 一、技术参数</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支持顺序开机、逆序关机，间隔时间可调；具备单路独立控制、PASS 全通功能；带 RS232 中控远程接口，支持叠机级联扩展；配置 40A 过流短路保护，大屏电压实时显示，有效防止设备上电冲击、保护整套音视频设备安全。</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二、设备现状</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时序器长期带电运行，内部继电器老化、触点氧化、电压检测不准、时序错乱、单路供电异常、开机冲击大，存在设备上电损坏、跳闸、时序紊乱、中控控制失效等隐患，需整机深度检修养护。</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三、维修内容</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包括但不限于 ：整机拆机除尘、更换全新电路板、各路继电器、开关电源、电压检测模块、中控通讯模块、保护模块等配件；更换老化继电器、损坏开关、故障元器件；重新校准时序间隔、电压显示；调试本地控制及远程中控控制功能；测试过流、短路保护功能，确保上电、断电时序逻辑精准、安全可靠。</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C4D9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台</w:t>
            </w:r>
          </w:p>
        </w:tc>
        <w:tc>
          <w:tcPr>
            <w:tcW w:w="1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0670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D74DC2">
            <w:pPr>
              <w:jc w:val="center"/>
              <w:rPr>
                <w:rFonts w:hint="eastAsia" w:ascii="宋体" w:hAnsi="宋体" w:eastAsia="宋体" w:cs="宋体"/>
                <w:i w:val="0"/>
                <w:iCs w:val="0"/>
                <w:color w:val="000000"/>
                <w:sz w:val="20"/>
                <w:szCs w:val="20"/>
                <w:u w:val="none"/>
              </w:rPr>
            </w:pPr>
          </w:p>
        </w:tc>
      </w:tr>
      <w:tr w14:paraId="484B79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0"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CC4D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141</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A9B0F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场内设备辅材</w:t>
            </w:r>
          </w:p>
        </w:tc>
        <w:tc>
          <w:tcPr>
            <w:tcW w:w="3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8004A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一、技术参数</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包含全场多媒体地插盒、扬声器原装吊架、国标电源线、专业屏蔽音频线、音频电缆、六类千兆网线、PVC 穿管辅材等整套现场布线及安装配套材料，为舞台音视频系统传输、供电、安装固定必备辅材，保障系统布线规整、信号稳定、供电安全、安装牢固。</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二、设备现状</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现场各类辅材长期使用，存在线材老化、外皮破损、地插松动氧化、吊架锈蚀松动、管线脱落、线路杂乱、屏蔽性能下降、信号干扰增大、供电隐患等问题，影响系统整体稳定性与现场美观安全。</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三、维修内容</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包括但不限于 ：更换全新音频线材、网线、电源线、地插、吊架、PVC 管路等；更换老化破损线材、破损地插、失效辅材；整理杂乱线路、重新规整走线、固定管线、加固吊架及地插底座；做好线路屏蔽、接地、防护处理，保证布线规范、美观、安全、信号纯净。</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2562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批</w:t>
            </w:r>
          </w:p>
        </w:tc>
        <w:tc>
          <w:tcPr>
            <w:tcW w:w="171" w:type="pct"/>
            <w:tcBorders>
              <w:top w:val="single" w:color="000000" w:sz="4" w:space="0"/>
              <w:left w:val="single" w:color="000000" w:sz="4" w:space="0"/>
              <w:bottom w:val="single" w:color="000000" w:sz="4" w:space="0"/>
              <w:right w:val="nil"/>
            </w:tcBorders>
            <w:shd w:val="clear" w:color="auto" w:fill="auto"/>
            <w:vAlign w:val="center"/>
          </w:tcPr>
          <w:p w14:paraId="402D29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6B2AFF">
            <w:pPr>
              <w:jc w:val="center"/>
              <w:rPr>
                <w:rFonts w:hint="eastAsia" w:ascii="宋体" w:hAnsi="宋体" w:eastAsia="宋体" w:cs="宋体"/>
                <w:i w:val="0"/>
                <w:iCs w:val="0"/>
                <w:color w:val="000000"/>
                <w:sz w:val="20"/>
                <w:szCs w:val="20"/>
                <w:u w:val="none"/>
              </w:rPr>
            </w:pPr>
          </w:p>
        </w:tc>
      </w:tr>
      <w:tr w14:paraId="36C709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5" w:hRule="atLeast"/>
        </w:trPr>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10DA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142</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75A45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系统集成费</w:t>
            </w:r>
          </w:p>
        </w:tc>
        <w:tc>
          <w:tcPr>
            <w:tcW w:w="3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4C31A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包含本项目所有设备、线路辅材的整体系统集成、联动调试、声场校准、参数优化、中控联动、系统联调、竣工优化全套服务。</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E49D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项</w:t>
            </w:r>
          </w:p>
        </w:tc>
        <w:tc>
          <w:tcPr>
            <w:tcW w:w="171" w:type="pct"/>
            <w:tcBorders>
              <w:top w:val="single" w:color="000000" w:sz="4" w:space="0"/>
              <w:left w:val="single" w:color="000000" w:sz="4" w:space="0"/>
              <w:bottom w:val="single" w:color="000000" w:sz="4" w:space="0"/>
              <w:right w:val="nil"/>
            </w:tcBorders>
            <w:shd w:val="clear" w:color="auto" w:fill="auto"/>
            <w:vAlign w:val="center"/>
          </w:tcPr>
          <w:p w14:paraId="602C6C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05BD1F">
            <w:pPr>
              <w:jc w:val="center"/>
              <w:rPr>
                <w:rFonts w:hint="eastAsia" w:ascii="宋体" w:hAnsi="宋体" w:eastAsia="宋体" w:cs="宋体"/>
                <w:i w:val="0"/>
                <w:iCs w:val="0"/>
                <w:color w:val="000000"/>
                <w:sz w:val="20"/>
                <w:szCs w:val="20"/>
                <w:u w:val="none"/>
              </w:rPr>
            </w:pPr>
          </w:p>
        </w:tc>
      </w:tr>
      <w:tr w14:paraId="26954C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8"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52D27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以上需求及工程量仅供参考，具体结合现场综合考虑，报价包含维修保养一切费用，需满足采购需求，最终达到维护效果要求</w:t>
            </w:r>
          </w:p>
        </w:tc>
      </w:tr>
    </w:tbl>
    <w:p w14:paraId="56826E3D">
      <w:pPr>
        <w:numPr>
          <w:ilvl w:val="0"/>
          <w:numId w:val="0"/>
        </w:numPr>
        <w:spacing w:line="360" w:lineRule="auto"/>
        <w:ind w:firstLine="480" w:firstLineChars="200"/>
        <w:rPr>
          <w:rFonts w:hint="eastAsia" w:ascii="宋体" w:hAnsi="宋体" w:eastAsia="宋体" w:cs="宋体"/>
          <w:color w:val="000000" w:themeColor="text1"/>
          <w:sz w:val="24"/>
          <w:szCs w:val="24"/>
          <w:lang w:val="en-US" w:eastAsia="zh-CN"/>
          <w14:textFill>
            <w14:solidFill>
              <w14:schemeClr w14:val="tx1"/>
            </w14:solidFill>
          </w14:textFill>
        </w:rPr>
      </w:pPr>
    </w:p>
    <w:p w14:paraId="13E2724B">
      <w:pPr>
        <w:numPr>
          <w:ilvl w:val="0"/>
          <w:numId w:val="0"/>
        </w:numPr>
        <w:spacing w:line="360" w:lineRule="auto"/>
        <w:ind w:firstLine="480" w:firstLineChars="200"/>
        <w:rPr>
          <w:rFonts w:hint="eastAsia" w:ascii="宋体" w:hAnsi="宋体" w:eastAsia="宋体" w:cs="宋体"/>
          <w:color w:val="0000FF"/>
          <w:sz w:val="24"/>
          <w:szCs w:val="24"/>
          <w:lang w:eastAsia="zh-CN"/>
        </w:rPr>
        <w:sectPr>
          <w:type w:val="continuous"/>
          <w:pgSz w:w="16838" w:h="11906" w:orient="landscape"/>
          <w:pgMar w:top="1080" w:right="1440" w:bottom="1080" w:left="1440" w:header="851" w:footer="992" w:gutter="0"/>
          <w:cols w:space="720" w:num="1"/>
          <w:docGrid w:type="lines" w:linePitch="312" w:charSpace="0"/>
        </w:sectPr>
      </w:pPr>
    </w:p>
    <w:p w14:paraId="7F630703">
      <w:pPr>
        <w:pStyle w:val="11"/>
        <w:spacing w:before="155" w:line="219" w:lineRule="auto"/>
        <w:ind w:left="3726" w:firstLine="235" w:firstLineChars="100"/>
        <w:outlineLvl w:val="0"/>
        <w:rPr>
          <w:rFonts w:hint="eastAsia"/>
          <w:color w:val="auto"/>
          <w:lang w:eastAsia="zh-CN"/>
        </w:rPr>
      </w:pPr>
      <w:bookmarkStart w:id="155" w:name="_Toc19307"/>
      <w:bookmarkStart w:id="156" w:name="_Toc28549"/>
      <w:r>
        <w:rPr>
          <w:rFonts w:hint="eastAsia"/>
          <w:b/>
          <w:bCs/>
          <w:color w:val="auto"/>
          <w:spacing w:val="-3"/>
          <w:lang w:eastAsia="zh-CN"/>
        </w:rPr>
        <w:t>第四章</w:t>
      </w:r>
      <w:r>
        <w:rPr>
          <w:rFonts w:hint="eastAsia"/>
          <w:color w:val="auto"/>
          <w:spacing w:val="-3"/>
          <w:lang w:eastAsia="zh-CN"/>
        </w:rPr>
        <w:t xml:space="preserve"> </w:t>
      </w:r>
      <w:r>
        <w:rPr>
          <w:rFonts w:hint="eastAsia"/>
          <w:b/>
          <w:bCs/>
          <w:color w:val="auto"/>
          <w:spacing w:val="-3"/>
          <w:lang w:eastAsia="zh-CN"/>
        </w:rPr>
        <w:t>评标办法</w:t>
      </w:r>
      <w:bookmarkEnd w:id="155"/>
      <w:bookmarkEnd w:id="156"/>
    </w:p>
    <w:p w14:paraId="15110B1C">
      <w:pPr>
        <w:spacing w:line="403" w:lineRule="auto"/>
        <w:rPr>
          <w:rFonts w:hint="eastAsia" w:ascii="宋体" w:hAnsi="宋体" w:eastAsia="宋体" w:cs="宋体"/>
          <w:color w:val="auto"/>
          <w:sz w:val="24"/>
          <w:szCs w:val="24"/>
          <w:lang w:eastAsia="zh-CN"/>
        </w:rPr>
      </w:pPr>
    </w:p>
    <w:p w14:paraId="49E3DEF4">
      <w:pPr>
        <w:spacing w:line="560" w:lineRule="exact"/>
        <w:ind w:firstLine="480" w:firstLineChars="200"/>
        <w:rPr>
          <w:rFonts w:hint="eastAsia" w:ascii="宋体" w:hAnsi="宋体" w:eastAsia="宋体" w:cs="宋体"/>
          <w:color w:val="auto"/>
          <w:sz w:val="24"/>
          <w:szCs w:val="24"/>
          <w:lang w:eastAsia="zh-CN"/>
        </w:rPr>
      </w:pPr>
      <w:bookmarkStart w:id="157" w:name="_Toc217446099"/>
      <w:r>
        <w:rPr>
          <w:rFonts w:hint="eastAsia" w:ascii="宋体" w:hAnsi="宋体" w:eastAsia="宋体" w:cs="宋体"/>
          <w:color w:val="auto"/>
          <w:sz w:val="24"/>
          <w:szCs w:val="24"/>
          <w:lang w:eastAsia="zh-CN"/>
        </w:rPr>
        <w:t>1. 总则</w:t>
      </w:r>
    </w:p>
    <w:p w14:paraId="45ED0FCE">
      <w:pPr>
        <w:spacing w:line="56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1.1 根据《中华人民共和国政府采购法》《中华人民共和国政府采购法实施条例》和《政府采购货物和服务招标投标管理办法》（财政部第87号令）等法律法规、规章和相关规定，结合招标项目特点制定本评标办法。</w:t>
      </w:r>
    </w:p>
    <w:p w14:paraId="32843185">
      <w:pPr>
        <w:spacing w:line="56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 xml:space="preserve">1.2 </w:t>
      </w:r>
      <w:r>
        <w:rPr>
          <w:rFonts w:hint="eastAsia" w:ascii="宋体" w:hAnsi="宋体" w:eastAsia="宋体" w:cs="宋体"/>
          <w:bCs/>
          <w:color w:val="auto"/>
          <w:sz w:val="24"/>
          <w:szCs w:val="24"/>
          <w:lang w:eastAsia="zh-CN"/>
        </w:rPr>
        <w:t>评标工作由采购人负责组织，具体评标工作由采购人依法组建的评标委员会负责。评标委员会由采购人代表和有关技术、经济等方面的专家组成。</w:t>
      </w:r>
    </w:p>
    <w:p w14:paraId="146C936F">
      <w:pPr>
        <w:spacing w:line="56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1.3 评标工作应遵循公平、公正、科学及择优的原则。</w:t>
      </w:r>
    </w:p>
    <w:p w14:paraId="2460D42E">
      <w:pPr>
        <w:spacing w:line="56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1.4 评标委员会按照招标文件规定的评标方法和标准进行评标，并独立履行下列职责：</w:t>
      </w:r>
    </w:p>
    <w:p w14:paraId="31B8ADCC">
      <w:pPr>
        <w:spacing w:line="56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（1）审查投标文件是否符合招标文件要求，并作出评价；</w:t>
      </w:r>
    </w:p>
    <w:p w14:paraId="14F030B9">
      <w:pPr>
        <w:spacing w:line="56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（2）要求投标人对投标文件有关事项作出解释或者澄清；</w:t>
      </w:r>
    </w:p>
    <w:p w14:paraId="5D89D2DE">
      <w:pPr>
        <w:spacing w:line="56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（3）推荐中标候选投标人名单，或者受采购人委托按照事先确定的办法直接确定中标投标人；</w:t>
      </w:r>
    </w:p>
    <w:p w14:paraId="0B6B6831">
      <w:pPr>
        <w:spacing w:line="56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（4）向采购人或者有关部门报告非法干预评标工作的行为。</w:t>
      </w:r>
      <w:bookmarkStart w:id="158" w:name="_Toc217446098"/>
    </w:p>
    <w:p w14:paraId="3288D59A">
      <w:pPr>
        <w:spacing w:line="56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1.5 评标过程严格保密。投标人对评标委员会的评标过程或合同授予决定施加影响的任何行为都可能导致其投标被拒绝。</w:t>
      </w:r>
    </w:p>
    <w:p w14:paraId="46773875">
      <w:pPr>
        <w:spacing w:line="56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1.6评标委员会决定投标文件的响应性应依据投标文件本身的内容，而不寻求外部的证据。</w:t>
      </w:r>
    </w:p>
    <w:p w14:paraId="66BDAD3A">
      <w:pPr>
        <w:spacing w:line="56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1.7评标委员会发现招标文件表述不明确或需要说明的事项，可提请采购人书面解释说明。发现招标文件违反法律、法规、规章和相关规定的，可以拒绝评标，并向采购人书面说明情况。</w:t>
      </w:r>
    </w:p>
    <w:p w14:paraId="15AB8A47">
      <w:pPr>
        <w:spacing w:line="560" w:lineRule="exact"/>
        <w:ind w:firstLine="482" w:firstLineChars="200"/>
        <w:rPr>
          <w:rFonts w:hint="eastAsia" w:ascii="宋体" w:hAnsi="宋体" w:eastAsia="宋体" w:cs="宋体"/>
          <w:color w:val="auto"/>
          <w:sz w:val="24"/>
          <w:szCs w:val="24"/>
          <w:lang w:eastAsia="zh-CN"/>
        </w:rPr>
      </w:pPr>
      <w:r>
        <w:rPr>
          <w:rFonts w:hint="eastAsia" w:ascii="宋体" w:hAnsi="宋体" w:eastAsia="宋体" w:cs="宋体"/>
          <w:b/>
          <w:color w:val="auto"/>
          <w:sz w:val="24"/>
          <w:szCs w:val="24"/>
          <w:lang w:eastAsia="zh-CN"/>
        </w:rPr>
        <w:t>2</w:t>
      </w:r>
      <w:r>
        <w:rPr>
          <w:rFonts w:hint="eastAsia" w:ascii="宋体" w:hAnsi="宋体" w:eastAsia="宋体" w:cs="宋体"/>
          <w:color w:val="auto"/>
          <w:sz w:val="24"/>
          <w:szCs w:val="24"/>
          <w:lang w:eastAsia="zh-CN"/>
        </w:rPr>
        <w:t xml:space="preserve">. </w:t>
      </w:r>
      <w:r>
        <w:rPr>
          <w:rFonts w:hint="eastAsia" w:ascii="宋体" w:hAnsi="宋体" w:eastAsia="宋体" w:cs="宋体"/>
          <w:b/>
          <w:color w:val="auto"/>
          <w:sz w:val="24"/>
          <w:szCs w:val="24"/>
          <w:lang w:eastAsia="zh-CN"/>
        </w:rPr>
        <w:t>评标方法</w:t>
      </w:r>
    </w:p>
    <w:p w14:paraId="70E47119">
      <w:pPr>
        <w:spacing w:line="56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本项目评标方法为：综合评分法。</w:t>
      </w:r>
    </w:p>
    <w:p w14:paraId="06D3CBD7">
      <w:pPr>
        <w:spacing w:line="560" w:lineRule="exact"/>
        <w:ind w:firstLine="482" w:firstLineChars="200"/>
        <w:rPr>
          <w:rFonts w:hint="eastAsia" w:ascii="宋体" w:hAnsi="宋体" w:eastAsia="宋体" w:cs="宋体"/>
          <w:b/>
          <w:color w:val="auto"/>
          <w:sz w:val="24"/>
          <w:szCs w:val="24"/>
          <w:lang w:eastAsia="zh-CN"/>
        </w:rPr>
      </w:pPr>
      <w:r>
        <w:rPr>
          <w:rFonts w:hint="eastAsia" w:ascii="宋体" w:hAnsi="宋体" w:eastAsia="宋体" w:cs="宋体"/>
          <w:b/>
          <w:bCs/>
          <w:color w:val="auto"/>
          <w:sz w:val="24"/>
          <w:szCs w:val="24"/>
          <w:lang w:eastAsia="zh-CN"/>
        </w:rPr>
        <w:t>3</w:t>
      </w:r>
      <w:r>
        <w:rPr>
          <w:rFonts w:hint="eastAsia" w:ascii="宋体" w:hAnsi="宋体" w:eastAsia="宋体" w:cs="宋体"/>
          <w:color w:val="auto"/>
          <w:sz w:val="24"/>
          <w:szCs w:val="24"/>
          <w:lang w:eastAsia="zh-CN"/>
        </w:rPr>
        <w:t xml:space="preserve">. </w:t>
      </w:r>
      <w:r>
        <w:rPr>
          <w:rFonts w:hint="eastAsia" w:ascii="宋体" w:hAnsi="宋体" w:eastAsia="宋体" w:cs="宋体"/>
          <w:b/>
          <w:color w:val="auto"/>
          <w:sz w:val="24"/>
          <w:szCs w:val="24"/>
          <w:lang w:eastAsia="zh-CN"/>
        </w:rPr>
        <w:t>评标程序</w:t>
      </w:r>
      <w:bookmarkEnd w:id="158"/>
    </w:p>
    <w:p w14:paraId="063F9F0C">
      <w:pPr>
        <w:spacing w:line="56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3.1资格审查</w:t>
      </w:r>
    </w:p>
    <w:p w14:paraId="51C53BB7">
      <w:pPr>
        <w:keepNext/>
        <w:keepLines/>
        <w:spacing w:line="560" w:lineRule="exact"/>
        <w:jc w:val="center"/>
        <w:outlineLvl w:val="1"/>
        <w:rPr>
          <w:rFonts w:hint="eastAsia" w:ascii="宋体" w:hAnsi="宋体" w:eastAsia="宋体" w:cs="宋体"/>
          <w:b/>
          <w:color w:val="auto"/>
          <w:sz w:val="24"/>
          <w:szCs w:val="24"/>
          <w:lang w:eastAsia="zh-CN"/>
        </w:rPr>
      </w:pPr>
      <w:r>
        <w:rPr>
          <w:rFonts w:hint="eastAsia" w:ascii="宋体" w:hAnsi="宋体" w:eastAsia="宋体" w:cs="宋体"/>
          <w:b/>
          <w:color w:val="auto"/>
          <w:sz w:val="24"/>
          <w:szCs w:val="24"/>
          <w:lang w:eastAsia="zh-CN"/>
        </w:rPr>
        <w:t>资格审查表</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7"/>
        <w:gridCol w:w="3861"/>
        <w:gridCol w:w="4205"/>
      </w:tblGrid>
      <w:tr w14:paraId="22CF5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408" w:type="pct"/>
            <w:noWrap w:val="0"/>
            <w:vAlign w:val="center"/>
          </w:tcPr>
          <w:p w14:paraId="586D75B2">
            <w:pPr>
              <w:autoSpaceDE w:val="0"/>
              <w:autoSpaceDN w:val="0"/>
              <w:adjustRightInd w:val="0"/>
              <w:snapToGrid w:val="0"/>
              <w:spacing w:line="46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zh-CN"/>
              </w:rPr>
              <w:t>序号</w:t>
            </w:r>
          </w:p>
        </w:tc>
        <w:tc>
          <w:tcPr>
            <w:tcW w:w="2198" w:type="pct"/>
            <w:noWrap w:val="0"/>
            <w:vAlign w:val="center"/>
          </w:tcPr>
          <w:p w14:paraId="6D972029">
            <w:pPr>
              <w:autoSpaceDE w:val="0"/>
              <w:autoSpaceDN w:val="0"/>
              <w:adjustRightInd w:val="0"/>
              <w:snapToGrid w:val="0"/>
              <w:spacing w:line="46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zh-CN"/>
              </w:rPr>
              <w:t>审查内容</w:t>
            </w:r>
          </w:p>
        </w:tc>
        <w:tc>
          <w:tcPr>
            <w:tcW w:w="2393" w:type="pct"/>
            <w:noWrap w:val="0"/>
            <w:vAlign w:val="center"/>
          </w:tcPr>
          <w:p w14:paraId="2718432F">
            <w:pPr>
              <w:autoSpaceDE w:val="0"/>
              <w:autoSpaceDN w:val="0"/>
              <w:adjustRightInd w:val="0"/>
              <w:snapToGrid w:val="0"/>
              <w:spacing w:line="460" w:lineRule="exact"/>
              <w:jc w:val="center"/>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审查标准</w:t>
            </w:r>
          </w:p>
        </w:tc>
      </w:tr>
      <w:tr w14:paraId="5D637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08" w:type="pct"/>
            <w:noWrap w:val="0"/>
            <w:vAlign w:val="center"/>
          </w:tcPr>
          <w:p w14:paraId="56297BF0">
            <w:pPr>
              <w:autoSpaceDE w:val="0"/>
              <w:autoSpaceDN w:val="0"/>
              <w:adjustRightInd w:val="0"/>
              <w:snapToGrid w:val="0"/>
              <w:spacing w:line="460" w:lineRule="exact"/>
              <w:jc w:val="center"/>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1</w:t>
            </w:r>
          </w:p>
        </w:tc>
        <w:tc>
          <w:tcPr>
            <w:tcW w:w="2198" w:type="pct"/>
            <w:noWrap w:val="0"/>
            <w:vAlign w:val="center"/>
          </w:tcPr>
          <w:p w14:paraId="2BB7971B">
            <w:pPr>
              <w:autoSpaceDE w:val="0"/>
              <w:autoSpaceDN w:val="0"/>
              <w:adjustRightInd w:val="0"/>
              <w:snapToGrid w:val="0"/>
              <w:rPr>
                <w:rFonts w:hint="eastAsia" w:ascii="宋体" w:hAnsi="宋体" w:eastAsia="宋体" w:cs="宋体"/>
                <w:color w:val="000000"/>
                <w:sz w:val="24"/>
                <w:szCs w:val="24"/>
              </w:rPr>
            </w:pPr>
            <w:r>
              <w:rPr>
                <w:rFonts w:hint="eastAsia" w:ascii="宋体" w:hAnsi="宋体" w:eastAsia="宋体" w:cs="宋体"/>
                <w:color w:val="000000"/>
                <w:sz w:val="24"/>
                <w:szCs w:val="24"/>
              </w:rPr>
              <w:t>满足《中华人民共和国政府采购法》第二十二条规定；</w:t>
            </w:r>
          </w:p>
          <w:p w14:paraId="755C40D2">
            <w:pPr>
              <w:autoSpaceDE w:val="0"/>
              <w:autoSpaceDN w:val="0"/>
              <w:adjustRightInd w:val="0"/>
              <w:snapToGrid w:val="0"/>
              <w:rPr>
                <w:rFonts w:hint="eastAsia" w:ascii="宋体" w:hAnsi="宋体" w:eastAsia="宋体" w:cs="宋体"/>
                <w:color w:val="000000"/>
                <w:sz w:val="24"/>
                <w:szCs w:val="24"/>
              </w:rPr>
            </w:pPr>
            <w:r>
              <w:rPr>
                <w:rFonts w:hint="eastAsia" w:ascii="宋体" w:hAnsi="宋体" w:eastAsia="宋体" w:cs="宋体"/>
                <w:color w:val="000000"/>
                <w:sz w:val="24"/>
                <w:szCs w:val="24"/>
              </w:rPr>
              <w:t>(1)具有独立承担民事责任的能力；</w:t>
            </w:r>
          </w:p>
          <w:p w14:paraId="3B33F71B">
            <w:pPr>
              <w:autoSpaceDE w:val="0"/>
              <w:autoSpaceDN w:val="0"/>
              <w:adjustRightInd w:val="0"/>
              <w:snapToGrid w:val="0"/>
              <w:rPr>
                <w:rFonts w:hint="eastAsia" w:ascii="宋体" w:hAnsi="宋体" w:eastAsia="宋体" w:cs="宋体"/>
                <w:color w:val="000000"/>
                <w:sz w:val="24"/>
                <w:szCs w:val="24"/>
              </w:rPr>
            </w:pPr>
            <w:r>
              <w:rPr>
                <w:rFonts w:hint="eastAsia" w:ascii="宋体" w:hAnsi="宋体" w:eastAsia="宋体" w:cs="宋体"/>
                <w:color w:val="000000"/>
                <w:sz w:val="24"/>
                <w:szCs w:val="24"/>
              </w:rPr>
              <w:t>(2)具有良好的商业信誉和健全的财务会计制度；</w:t>
            </w:r>
          </w:p>
          <w:p w14:paraId="4182D1B9">
            <w:pPr>
              <w:autoSpaceDE w:val="0"/>
              <w:autoSpaceDN w:val="0"/>
              <w:adjustRightInd w:val="0"/>
              <w:snapToGrid w:val="0"/>
              <w:rPr>
                <w:rFonts w:hint="eastAsia" w:ascii="宋体" w:hAnsi="宋体" w:eastAsia="宋体" w:cs="宋体"/>
                <w:color w:val="000000"/>
                <w:sz w:val="24"/>
                <w:szCs w:val="24"/>
              </w:rPr>
            </w:pPr>
            <w:r>
              <w:rPr>
                <w:rFonts w:hint="eastAsia" w:ascii="宋体" w:hAnsi="宋体" w:eastAsia="宋体" w:cs="宋体"/>
                <w:color w:val="000000"/>
                <w:sz w:val="24"/>
                <w:szCs w:val="24"/>
              </w:rPr>
              <w:t>(3)具有履行合同所必需的设备和专业技术能力；</w:t>
            </w:r>
          </w:p>
          <w:p w14:paraId="664613AD">
            <w:pPr>
              <w:autoSpaceDE w:val="0"/>
              <w:autoSpaceDN w:val="0"/>
              <w:adjustRightInd w:val="0"/>
              <w:snapToGrid w:val="0"/>
              <w:rPr>
                <w:rFonts w:hint="eastAsia" w:ascii="宋体" w:hAnsi="宋体" w:eastAsia="宋体" w:cs="宋体"/>
                <w:color w:val="000000"/>
                <w:sz w:val="24"/>
                <w:szCs w:val="24"/>
              </w:rPr>
            </w:pPr>
            <w:r>
              <w:rPr>
                <w:rFonts w:hint="eastAsia" w:ascii="宋体" w:hAnsi="宋体" w:eastAsia="宋体" w:cs="宋体"/>
                <w:color w:val="000000"/>
                <w:sz w:val="24"/>
                <w:szCs w:val="24"/>
              </w:rPr>
              <w:t>(4)有依法缴纳税收和社会保障资金的良好记录；</w:t>
            </w:r>
          </w:p>
          <w:p w14:paraId="6C5FF4D4">
            <w:pPr>
              <w:autoSpaceDE w:val="0"/>
              <w:autoSpaceDN w:val="0"/>
              <w:adjustRightInd w:val="0"/>
              <w:snapToGrid w:val="0"/>
              <w:rPr>
                <w:rFonts w:hint="eastAsia" w:ascii="宋体" w:hAnsi="宋体" w:eastAsia="宋体" w:cs="宋体"/>
                <w:color w:val="000000"/>
                <w:sz w:val="24"/>
                <w:szCs w:val="24"/>
              </w:rPr>
            </w:pPr>
            <w:r>
              <w:rPr>
                <w:rFonts w:hint="eastAsia" w:ascii="宋体" w:hAnsi="宋体" w:eastAsia="宋体" w:cs="宋体"/>
                <w:color w:val="000000"/>
                <w:sz w:val="24"/>
                <w:szCs w:val="24"/>
              </w:rPr>
              <w:t>(5)参加政府采购活动前三年内，在经营活动中没有重大违法记录；</w:t>
            </w:r>
          </w:p>
          <w:p w14:paraId="5FA169F0">
            <w:pPr>
              <w:autoSpaceDE w:val="0"/>
              <w:autoSpaceDN w:val="0"/>
              <w:adjustRightInd w:val="0"/>
              <w:snapToGrid w:val="0"/>
              <w:rPr>
                <w:rFonts w:hint="eastAsia" w:ascii="宋体" w:hAnsi="宋体" w:eastAsia="宋体" w:cs="宋体"/>
                <w:color w:val="000000"/>
                <w:sz w:val="24"/>
                <w:szCs w:val="24"/>
              </w:rPr>
            </w:pPr>
            <w:r>
              <w:rPr>
                <w:rFonts w:hint="eastAsia" w:ascii="宋体" w:hAnsi="宋体" w:eastAsia="宋体" w:cs="宋体"/>
                <w:color w:val="000000"/>
                <w:sz w:val="24"/>
                <w:szCs w:val="24"/>
              </w:rPr>
              <w:t>(6)法律法规相关规定的其他条件</w:t>
            </w:r>
          </w:p>
        </w:tc>
        <w:tc>
          <w:tcPr>
            <w:tcW w:w="2393" w:type="pct"/>
            <w:noWrap w:val="0"/>
            <w:vAlign w:val="center"/>
          </w:tcPr>
          <w:p w14:paraId="1EFC192C">
            <w:pPr>
              <w:rPr>
                <w:rFonts w:hint="eastAsia" w:ascii="宋体" w:hAnsi="宋体" w:eastAsia="宋体" w:cs="宋体"/>
                <w:color w:val="000000"/>
                <w:sz w:val="24"/>
                <w:szCs w:val="24"/>
              </w:rPr>
            </w:pPr>
            <w:r>
              <w:rPr>
                <w:rFonts w:hint="eastAsia" w:ascii="宋体" w:hAnsi="宋体" w:eastAsia="宋体" w:cs="宋体"/>
                <w:color w:val="000000"/>
                <w:sz w:val="24"/>
                <w:szCs w:val="24"/>
              </w:rPr>
              <w:t>(1)供应商为企业（包括合伙企业）的，应提供有效的“营业执照”；供应商为事业单位的，应提供有效的“事业单位法人证书”；供应商是非企业机构的，应提供有效的“执业许可证”、“登记证书”等证明材料;供应商是个体工商户的，应提供有效的“个体工商户营业执照”；供应商是自然人的，应提供有效的自然人身份证明。”</w:t>
            </w:r>
          </w:p>
          <w:p w14:paraId="783283CC">
            <w:pPr>
              <w:rPr>
                <w:rFonts w:hint="eastAsia" w:ascii="宋体" w:hAnsi="宋体" w:eastAsia="宋体" w:cs="宋体"/>
                <w:color w:val="000000"/>
                <w:sz w:val="24"/>
                <w:szCs w:val="24"/>
              </w:rPr>
            </w:pPr>
            <w:r>
              <w:rPr>
                <w:rFonts w:hint="eastAsia" w:ascii="宋体" w:hAnsi="宋体" w:eastAsia="宋体" w:cs="宋体"/>
                <w:color w:val="000000"/>
                <w:sz w:val="24"/>
                <w:szCs w:val="24"/>
              </w:rPr>
              <w:t>分支机构参加投标的，应提供该分支机构或其所属法人/其他组织的相应证明材料；同时还应提供其所属法人/其他组织出具的授权其参与本项目的授权书（格式自拟，须加盖其所属法人/其他组织的公章）；</w:t>
            </w:r>
          </w:p>
          <w:p w14:paraId="3493DE02">
            <w:pPr>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良好的商业信誉：凡拟参加本次招标项目的供应商，未在“信用中国”网站（www.creditchina.gov.cn）被列入重大税收违法失信主体、政府采购严重违法失信名单的（尚在处罚期内的）、“中国政府采购网”（www.ccgp.gov.cn）被列入政府采购严重违法失信行为记录名单（尚在处罚期内的）以及未被列入“中国执行信息公开网”（http://zxgk.court.gov.cn/）失信被执行人名单。（以递交截止时间点采购代理机构查询为准，供应商无须提供）</w:t>
            </w:r>
          </w:p>
          <w:p w14:paraId="3C88B146">
            <w:pPr>
              <w:rPr>
                <w:rFonts w:hint="eastAsia" w:ascii="宋体" w:hAnsi="宋体" w:eastAsia="宋体" w:cs="宋体"/>
                <w:color w:val="000000"/>
                <w:sz w:val="24"/>
                <w:szCs w:val="24"/>
              </w:rPr>
            </w:pPr>
            <w:r>
              <w:rPr>
                <w:rFonts w:hint="eastAsia" w:ascii="宋体" w:hAnsi="宋体" w:eastAsia="宋体" w:cs="宋体"/>
                <w:color w:val="000000"/>
                <w:sz w:val="24"/>
                <w:szCs w:val="24"/>
              </w:rPr>
              <w:t>健全的财务会计制度：须提供本单位上一年度由会计师事务所出具的财务审计报告（当上一年度审计报告未出来时，可提供前一年度审计报告），审计报告须包括资产负债表、利润表、现金流量表、所有者权益变动（如有）及其附注。如供应商无法提供上年度审计报告，则需提供开标日前三个月内银行出具的资信证明。如供应商注册成立不足三个月的则提供承诺书（自拟）。</w:t>
            </w:r>
          </w:p>
          <w:p w14:paraId="4614A561">
            <w:pPr>
              <w:rPr>
                <w:rFonts w:hint="eastAsia" w:ascii="宋体" w:hAnsi="宋体" w:eastAsia="宋体" w:cs="宋体"/>
                <w:color w:val="000000"/>
                <w:sz w:val="24"/>
                <w:szCs w:val="24"/>
              </w:rPr>
            </w:pPr>
            <w:r>
              <w:rPr>
                <w:rFonts w:hint="eastAsia" w:ascii="宋体" w:hAnsi="宋体" w:eastAsia="宋体" w:cs="宋体"/>
                <w:color w:val="000000"/>
                <w:sz w:val="24"/>
                <w:szCs w:val="24"/>
              </w:rPr>
              <w:t>(3)须提供具备履行合同所必需的设备和专业技术能力的证明材料</w:t>
            </w:r>
            <w:r>
              <w:rPr>
                <w:rFonts w:hint="eastAsia" w:ascii="宋体" w:hAnsi="宋体" w:eastAsia="宋体" w:cs="宋体"/>
                <w:color w:val="000000"/>
                <w:sz w:val="24"/>
                <w:szCs w:val="24"/>
                <w:lang w:val="en-US" w:eastAsia="zh-CN"/>
              </w:rPr>
              <w:t>或者</w:t>
            </w:r>
            <w:r>
              <w:rPr>
                <w:rFonts w:hint="eastAsia" w:ascii="宋体" w:hAnsi="宋体" w:eastAsia="宋体" w:cs="宋体"/>
                <w:color w:val="000000"/>
                <w:sz w:val="24"/>
                <w:szCs w:val="24"/>
                <w:highlight w:val="none"/>
                <w:lang w:val="en-US" w:eastAsia="zh-CN"/>
              </w:rPr>
              <w:t>承诺函</w:t>
            </w:r>
            <w:r>
              <w:rPr>
                <w:rFonts w:hint="eastAsia" w:ascii="宋体" w:hAnsi="宋体" w:eastAsia="宋体" w:cs="宋体"/>
                <w:color w:val="000000"/>
                <w:sz w:val="24"/>
                <w:szCs w:val="24"/>
                <w:highlight w:val="none"/>
              </w:rPr>
              <w:t>。</w:t>
            </w:r>
          </w:p>
          <w:p w14:paraId="179528C9">
            <w:pPr>
              <w:rPr>
                <w:rFonts w:hint="eastAsia" w:ascii="宋体" w:hAnsi="宋体" w:eastAsia="宋体" w:cs="宋体"/>
                <w:color w:val="000000"/>
                <w:sz w:val="24"/>
                <w:szCs w:val="24"/>
              </w:rPr>
            </w:pPr>
            <w:r>
              <w:rPr>
                <w:rFonts w:hint="eastAsia" w:ascii="宋体" w:hAnsi="宋体" w:eastAsia="宋体" w:cs="宋体"/>
                <w:color w:val="000000"/>
                <w:sz w:val="24"/>
                <w:szCs w:val="24"/>
              </w:rPr>
              <w:t>(4)须提供投标文件递交截止日期之前六个月内任意一个月的纳税记录或证明材料（依法免税的应提供相应文件说明），如供应商注册成立不足三个月的则提供承诺书（自拟）原件。</w:t>
            </w:r>
          </w:p>
          <w:p w14:paraId="1902BF37">
            <w:pPr>
              <w:rPr>
                <w:rFonts w:hint="eastAsia" w:ascii="宋体" w:hAnsi="宋体" w:eastAsia="宋体" w:cs="宋体"/>
                <w:color w:val="000000"/>
                <w:sz w:val="24"/>
                <w:szCs w:val="24"/>
              </w:rPr>
            </w:pPr>
            <w:r>
              <w:rPr>
                <w:rFonts w:hint="eastAsia" w:ascii="宋体" w:hAnsi="宋体" w:eastAsia="宋体" w:cs="宋体"/>
                <w:color w:val="000000"/>
                <w:sz w:val="24"/>
                <w:szCs w:val="24"/>
              </w:rPr>
              <w:t>须提供投标文件递交截止日期之前六个月内为员工缴纳社会保障资金的证明材料（任意一个月即可），证明材料是缴纳社会保险的凭据（专用收据或社会保险缴纳清单或银行回单等）（依法不需要缴纳社会保障资金的应提供相应文件说明）；如供应商注册成立不足三个月的则提供承诺书（自拟）。</w:t>
            </w:r>
          </w:p>
          <w:p w14:paraId="74F3B8EE">
            <w:pPr>
              <w:rPr>
                <w:rFonts w:hint="eastAsia" w:ascii="宋体" w:hAnsi="宋体" w:eastAsia="宋体" w:cs="宋体"/>
                <w:color w:val="000000"/>
                <w:sz w:val="24"/>
                <w:szCs w:val="24"/>
              </w:rPr>
            </w:pPr>
            <w:r>
              <w:rPr>
                <w:rFonts w:hint="eastAsia" w:ascii="宋体" w:hAnsi="宋体" w:eastAsia="宋体" w:cs="宋体"/>
                <w:color w:val="000000"/>
                <w:sz w:val="24"/>
                <w:szCs w:val="24"/>
              </w:rPr>
              <w:t>(5)须提供声明函。</w:t>
            </w:r>
          </w:p>
          <w:p w14:paraId="1FCB184E">
            <w:pPr>
              <w:rPr>
                <w:rFonts w:hint="eastAsia" w:ascii="宋体" w:hAnsi="宋体" w:eastAsia="宋体" w:cs="宋体"/>
                <w:color w:val="000000"/>
                <w:sz w:val="24"/>
                <w:szCs w:val="24"/>
              </w:rPr>
            </w:pPr>
            <w:r>
              <w:rPr>
                <w:rFonts w:hint="eastAsia" w:ascii="宋体" w:hAnsi="宋体" w:eastAsia="宋体" w:cs="宋体"/>
                <w:color w:val="000000"/>
                <w:sz w:val="24"/>
                <w:szCs w:val="24"/>
              </w:rPr>
              <w:t>(6)须提供声明函。</w:t>
            </w:r>
          </w:p>
        </w:tc>
      </w:tr>
      <w:tr w14:paraId="28154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08" w:type="pct"/>
            <w:noWrap w:val="0"/>
            <w:vAlign w:val="center"/>
          </w:tcPr>
          <w:p w14:paraId="462C14CF">
            <w:pPr>
              <w:autoSpaceDE w:val="0"/>
              <w:autoSpaceDN w:val="0"/>
              <w:adjustRightInd w:val="0"/>
              <w:snapToGrid w:val="0"/>
              <w:spacing w:line="460" w:lineRule="exact"/>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w:t>
            </w:r>
          </w:p>
        </w:tc>
        <w:tc>
          <w:tcPr>
            <w:tcW w:w="2198" w:type="pct"/>
            <w:noWrap w:val="0"/>
            <w:vAlign w:val="center"/>
          </w:tcPr>
          <w:p w14:paraId="40292EAE">
            <w:pPr>
              <w:autoSpaceDE w:val="0"/>
              <w:autoSpaceDN w:val="0"/>
              <w:adjustRightInd w:val="0"/>
              <w:snapToGrid w:val="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本项目为专门面向小微企业采购项目</w:t>
            </w:r>
            <w:r>
              <w:rPr>
                <w:rFonts w:hint="eastAsia" w:ascii="宋体" w:hAnsi="宋体" w:eastAsia="宋体" w:cs="宋体"/>
                <w:color w:val="000000"/>
                <w:sz w:val="24"/>
                <w:szCs w:val="24"/>
                <w:highlight w:val="none"/>
              </w:rPr>
              <w:t>；</w:t>
            </w:r>
          </w:p>
        </w:tc>
        <w:tc>
          <w:tcPr>
            <w:tcW w:w="2393" w:type="pct"/>
            <w:noWrap w:val="0"/>
            <w:vAlign w:val="center"/>
          </w:tcPr>
          <w:p w14:paraId="248B1246">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须提供《中小企业声明函》</w:t>
            </w:r>
          </w:p>
        </w:tc>
      </w:tr>
      <w:tr w14:paraId="2045E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408" w:type="pct"/>
            <w:noWrap w:val="0"/>
            <w:vAlign w:val="center"/>
          </w:tcPr>
          <w:p w14:paraId="65B4395C">
            <w:pPr>
              <w:autoSpaceDE w:val="0"/>
              <w:autoSpaceDN w:val="0"/>
              <w:adjustRightInd w:val="0"/>
              <w:snapToGrid w:val="0"/>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val="en-US" w:eastAsia="zh-CN"/>
              </w:rPr>
              <w:t>3</w:t>
            </w:r>
          </w:p>
        </w:tc>
        <w:tc>
          <w:tcPr>
            <w:tcW w:w="2198" w:type="pct"/>
            <w:noWrap w:val="0"/>
            <w:vAlign w:val="center"/>
          </w:tcPr>
          <w:p w14:paraId="39368C3C">
            <w:pPr>
              <w:rPr>
                <w:rFonts w:hint="eastAsia" w:ascii="宋体" w:hAnsi="宋体" w:eastAsia="宋体" w:cs="宋体"/>
                <w:color w:val="000000"/>
                <w:sz w:val="24"/>
                <w:szCs w:val="24"/>
              </w:rPr>
            </w:pPr>
            <w:r>
              <w:rPr>
                <w:rFonts w:hint="eastAsia" w:ascii="宋体" w:hAnsi="宋体" w:eastAsia="宋体" w:cs="宋体"/>
                <w:color w:val="000000"/>
                <w:kern w:val="0"/>
                <w:sz w:val="24"/>
                <w:szCs w:val="24"/>
                <w:lang w:val="en-US" w:eastAsia="zh-CN"/>
              </w:rPr>
              <w:t>本项目不接受联合体投标。</w:t>
            </w:r>
          </w:p>
        </w:tc>
        <w:tc>
          <w:tcPr>
            <w:tcW w:w="2393" w:type="pct"/>
            <w:noWrap w:val="0"/>
            <w:vAlign w:val="center"/>
          </w:tcPr>
          <w:p w14:paraId="24847C42">
            <w:pPr>
              <w:autoSpaceDE w:val="0"/>
              <w:autoSpaceDN w:val="0"/>
              <w:adjustRightInd w:val="0"/>
              <w:snapToGrid w:val="0"/>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w:t>
            </w:r>
          </w:p>
        </w:tc>
      </w:tr>
      <w:tr w14:paraId="39314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000" w:type="pct"/>
            <w:gridSpan w:val="3"/>
            <w:noWrap w:val="0"/>
            <w:vAlign w:val="center"/>
          </w:tcPr>
          <w:p w14:paraId="787FFD84">
            <w:pPr>
              <w:adjustRightInd w:val="0"/>
              <w:snapToGrid w:val="0"/>
              <w:spacing w:line="460" w:lineRule="exact"/>
              <w:rPr>
                <w:rFonts w:hint="eastAsia" w:ascii="宋体" w:hAnsi="宋体" w:eastAsia="宋体" w:cs="宋体"/>
                <w:b/>
                <w:color w:val="000000"/>
                <w:sz w:val="24"/>
                <w:szCs w:val="24"/>
              </w:rPr>
            </w:pPr>
            <w:r>
              <w:rPr>
                <w:rFonts w:hint="eastAsia" w:ascii="宋体" w:hAnsi="宋体" w:eastAsia="宋体" w:cs="宋体"/>
                <w:color w:val="000000"/>
                <w:kern w:val="0"/>
                <w:sz w:val="24"/>
                <w:szCs w:val="24"/>
                <w:lang w:val="en-US" w:eastAsia="zh-CN"/>
              </w:rPr>
              <w:t>注：如果资格性审查有一项未通过上述审查标准，评审委员会将认定整个投标文件不响应招标文件而予以无效处理，并且不允许投标供应商通过修改或撤销其不符合要求的差异或 保留，使之成为具有响应性的投标。</w:t>
            </w:r>
          </w:p>
        </w:tc>
      </w:tr>
    </w:tbl>
    <w:p w14:paraId="5E82A1A9">
      <w:pPr>
        <w:spacing w:line="560" w:lineRule="exact"/>
        <w:ind w:firstLine="480" w:firstLineChars="200"/>
        <w:rPr>
          <w:rFonts w:hint="eastAsia" w:ascii="宋体" w:hAnsi="宋体" w:eastAsia="宋体" w:cs="宋体"/>
          <w:color w:val="auto"/>
          <w:sz w:val="24"/>
          <w:szCs w:val="24"/>
          <w:lang w:eastAsia="zh-CN"/>
        </w:rPr>
      </w:pPr>
    </w:p>
    <w:p w14:paraId="1D995DDA">
      <w:pPr>
        <w:spacing w:line="560" w:lineRule="exact"/>
        <w:ind w:firstLine="480" w:firstLineChars="200"/>
        <w:rPr>
          <w:rFonts w:hint="eastAsia" w:ascii="宋体" w:hAnsi="宋体" w:eastAsia="宋体" w:cs="宋体"/>
          <w:strike/>
          <w:color w:val="auto"/>
          <w:sz w:val="24"/>
          <w:szCs w:val="24"/>
          <w:lang w:eastAsia="zh-CN"/>
        </w:rPr>
      </w:pPr>
      <w:r>
        <w:rPr>
          <w:rFonts w:hint="eastAsia" w:ascii="宋体" w:hAnsi="宋体" w:eastAsia="宋体" w:cs="宋体"/>
          <w:color w:val="auto"/>
          <w:sz w:val="24"/>
          <w:szCs w:val="24"/>
          <w:lang w:eastAsia="zh-CN"/>
        </w:rPr>
        <w:t>3.2符合性审查。依据招标文件的规定，从投标文件的有效性、完整性和对招标文件的响应程度进行审查，以确定是否对招标文件的实质性要求作出响应。</w:t>
      </w:r>
    </w:p>
    <w:p w14:paraId="1FB23529">
      <w:pPr>
        <w:spacing w:line="560" w:lineRule="exact"/>
        <w:jc w:val="center"/>
        <w:outlineLvl w:val="1"/>
        <w:rPr>
          <w:rFonts w:hint="eastAsia" w:ascii="宋体" w:hAnsi="宋体" w:eastAsia="宋体" w:cs="宋体"/>
          <w:b/>
          <w:bCs/>
          <w:color w:val="auto"/>
          <w:sz w:val="24"/>
          <w:szCs w:val="24"/>
        </w:rPr>
      </w:pPr>
      <w:r>
        <w:rPr>
          <w:rFonts w:hint="eastAsia" w:ascii="宋体" w:hAnsi="宋体" w:eastAsia="宋体" w:cs="宋体"/>
          <w:b/>
          <w:bCs/>
          <w:color w:val="auto"/>
          <w:sz w:val="24"/>
          <w:szCs w:val="24"/>
        </w:rPr>
        <w:t>符合性审查表</w:t>
      </w:r>
    </w:p>
    <w:tbl>
      <w:tblPr>
        <w:tblStyle w:val="36"/>
        <w:tblW w:w="5000" w:type="pct"/>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11"/>
        <w:gridCol w:w="1516"/>
        <w:gridCol w:w="5277"/>
        <w:gridCol w:w="617"/>
        <w:gridCol w:w="762"/>
      </w:tblGrid>
      <w:tr w14:paraId="69D454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6" w:hRule="atLeast"/>
        </w:trPr>
        <w:tc>
          <w:tcPr>
            <w:tcW w:w="693" w:type="dxa"/>
            <w:vMerge w:val="restart"/>
            <w:tcBorders>
              <w:bottom w:val="nil"/>
            </w:tcBorders>
            <w:shd w:val="clear" w:color="auto" w:fill="FFFFFF" w:themeFill="background1"/>
          </w:tcPr>
          <w:p w14:paraId="21825B4A">
            <w:pPr>
              <w:pStyle w:val="46"/>
              <w:spacing w:line="360" w:lineRule="auto"/>
              <w:jc w:val="both"/>
              <w:rPr>
                <w:b/>
                <w:bCs/>
                <w:color w:val="auto"/>
                <w:spacing w:val="5"/>
                <w:sz w:val="21"/>
                <w:szCs w:val="21"/>
                <w:highlight w:val="none"/>
              </w:rPr>
            </w:pPr>
          </w:p>
          <w:p w14:paraId="1AF56E66">
            <w:pPr>
              <w:pStyle w:val="46"/>
              <w:spacing w:line="360" w:lineRule="auto"/>
              <w:jc w:val="both"/>
              <w:rPr>
                <w:color w:val="auto"/>
                <w:sz w:val="21"/>
                <w:szCs w:val="21"/>
                <w:highlight w:val="none"/>
              </w:rPr>
            </w:pPr>
            <w:r>
              <w:rPr>
                <w:rFonts w:hint="eastAsia"/>
                <w:b/>
                <w:bCs/>
                <w:color w:val="auto"/>
                <w:spacing w:val="5"/>
                <w:sz w:val="21"/>
                <w:szCs w:val="21"/>
                <w:highlight w:val="none"/>
              </w:rPr>
              <w:t>序号</w:t>
            </w:r>
          </w:p>
        </w:tc>
        <w:tc>
          <w:tcPr>
            <w:tcW w:w="1720" w:type="dxa"/>
            <w:vMerge w:val="restart"/>
            <w:tcBorders>
              <w:bottom w:val="nil"/>
            </w:tcBorders>
            <w:shd w:val="clear" w:color="auto" w:fill="FFFFFF" w:themeFill="background1"/>
            <w:vAlign w:val="center"/>
          </w:tcPr>
          <w:p w14:paraId="45700CB1">
            <w:pPr>
              <w:pStyle w:val="46"/>
              <w:spacing w:before="65" w:line="360" w:lineRule="auto"/>
              <w:jc w:val="center"/>
              <w:rPr>
                <w:color w:val="auto"/>
                <w:sz w:val="21"/>
                <w:szCs w:val="21"/>
                <w:highlight w:val="none"/>
              </w:rPr>
            </w:pPr>
            <w:r>
              <w:rPr>
                <w:rFonts w:hint="eastAsia"/>
                <w:b/>
                <w:bCs/>
                <w:color w:val="auto"/>
                <w:spacing w:val="4"/>
                <w:sz w:val="21"/>
                <w:szCs w:val="21"/>
                <w:highlight w:val="none"/>
              </w:rPr>
              <w:t>审查项名称</w:t>
            </w:r>
          </w:p>
        </w:tc>
        <w:tc>
          <w:tcPr>
            <w:tcW w:w="5985" w:type="dxa"/>
            <w:vMerge w:val="restart"/>
            <w:tcBorders>
              <w:bottom w:val="nil"/>
            </w:tcBorders>
            <w:shd w:val="clear" w:color="auto" w:fill="FFFFFF" w:themeFill="background1"/>
            <w:vAlign w:val="center"/>
          </w:tcPr>
          <w:p w14:paraId="3DBA7ACD">
            <w:pPr>
              <w:pStyle w:val="46"/>
              <w:spacing w:before="65" w:line="360" w:lineRule="auto"/>
              <w:jc w:val="center"/>
              <w:rPr>
                <w:color w:val="auto"/>
                <w:sz w:val="21"/>
                <w:szCs w:val="21"/>
                <w:highlight w:val="none"/>
              </w:rPr>
            </w:pPr>
            <w:r>
              <w:rPr>
                <w:rFonts w:hint="eastAsia"/>
                <w:b/>
                <w:bCs/>
                <w:color w:val="auto"/>
                <w:spacing w:val="3"/>
                <w:sz w:val="21"/>
                <w:szCs w:val="21"/>
                <w:highlight w:val="none"/>
              </w:rPr>
              <w:t>审查内容</w:t>
            </w:r>
          </w:p>
        </w:tc>
        <w:tc>
          <w:tcPr>
            <w:tcW w:w="1564" w:type="dxa"/>
            <w:gridSpan w:val="2"/>
            <w:shd w:val="clear" w:color="auto" w:fill="FFFFFF" w:themeFill="background1"/>
            <w:vAlign w:val="center"/>
          </w:tcPr>
          <w:p w14:paraId="40D6FB24">
            <w:pPr>
              <w:pStyle w:val="46"/>
              <w:spacing w:before="142" w:line="360" w:lineRule="auto"/>
              <w:ind w:left="-63"/>
              <w:jc w:val="center"/>
              <w:rPr>
                <w:color w:val="auto"/>
                <w:sz w:val="21"/>
                <w:szCs w:val="21"/>
                <w:highlight w:val="none"/>
              </w:rPr>
            </w:pPr>
            <w:r>
              <w:rPr>
                <w:rFonts w:hint="eastAsia"/>
                <w:b/>
                <w:bCs/>
                <w:color w:val="auto"/>
                <w:spacing w:val="3"/>
                <w:sz w:val="21"/>
                <w:szCs w:val="21"/>
                <w:highlight w:val="none"/>
              </w:rPr>
              <w:t>审查结果</w:t>
            </w:r>
          </w:p>
        </w:tc>
      </w:tr>
      <w:tr w14:paraId="36086A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0" w:hRule="atLeast"/>
        </w:trPr>
        <w:tc>
          <w:tcPr>
            <w:tcW w:w="693" w:type="dxa"/>
            <w:vMerge w:val="continue"/>
            <w:tcBorders>
              <w:top w:val="nil"/>
            </w:tcBorders>
            <w:shd w:val="clear" w:color="auto" w:fill="FFFFFF" w:themeFill="background1"/>
            <w:textDirection w:val="tbRlV"/>
          </w:tcPr>
          <w:p w14:paraId="3404C319">
            <w:pPr>
              <w:spacing w:line="360" w:lineRule="auto"/>
              <w:rPr>
                <w:rFonts w:ascii="宋体" w:hAnsi="宋体" w:eastAsia="宋体" w:cs="宋体"/>
                <w:color w:val="auto"/>
                <w:highlight w:val="none"/>
              </w:rPr>
            </w:pPr>
          </w:p>
        </w:tc>
        <w:tc>
          <w:tcPr>
            <w:tcW w:w="1720" w:type="dxa"/>
            <w:vMerge w:val="continue"/>
            <w:tcBorders>
              <w:top w:val="nil"/>
            </w:tcBorders>
            <w:shd w:val="clear" w:color="auto" w:fill="FFFFFF" w:themeFill="background1"/>
            <w:vAlign w:val="center"/>
          </w:tcPr>
          <w:p w14:paraId="71899321">
            <w:pPr>
              <w:spacing w:line="360" w:lineRule="auto"/>
              <w:jc w:val="center"/>
              <w:rPr>
                <w:rFonts w:ascii="宋体" w:hAnsi="宋体" w:eastAsia="宋体" w:cs="宋体"/>
                <w:color w:val="auto"/>
                <w:highlight w:val="none"/>
              </w:rPr>
            </w:pPr>
          </w:p>
        </w:tc>
        <w:tc>
          <w:tcPr>
            <w:tcW w:w="5985" w:type="dxa"/>
            <w:vMerge w:val="continue"/>
            <w:tcBorders>
              <w:top w:val="nil"/>
            </w:tcBorders>
            <w:shd w:val="clear" w:color="auto" w:fill="FFFFFF" w:themeFill="background1"/>
            <w:vAlign w:val="center"/>
          </w:tcPr>
          <w:p w14:paraId="5083ADED">
            <w:pPr>
              <w:spacing w:line="360" w:lineRule="auto"/>
              <w:jc w:val="center"/>
              <w:rPr>
                <w:rFonts w:ascii="宋体" w:hAnsi="宋体" w:eastAsia="宋体" w:cs="宋体"/>
                <w:color w:val="auto"/>
                <w:highlight w:val="none"/>
              </w:rPr>
            </w:pPr>
          </w:p>
        </w:tc>
        <w:tc>
          <w:tcPr>
            <w:tcW w:w="700" w:type="dxa"/>
            <w:shd w:val="clear" w:color="auto" w:fill="FFFFFF" w:themeFill="background1"/>
            <w:vAlign w:val="center"/>
          </w:tcPr>
          <w:p w14:paraId="248B9000">
            <w:pPr>
              <w:pStyle w:val="46"/>
              <w:spacing w:before="136" w:line="360" w:lineRule="auto"/>
              <w:ind w:left="-63"/>
              <w:jc w:val="center"/>
              <w:rPr>
                <w:color w:val="auto"/>
                <w:sz w:val="21"/>
                <w:szCs w:val="21"/>
                <w:highlight w:val="none"/>
              </w:rPr>
            </w:pPr>
            <w:r>
              <w:rPr>
                <w:rFonts w:hint="eastAsia"/>
                <w:b/>
                <w:bCs/>
                <w:color w:val="auto"/>
                <w:spacing w:val="3"/>
                <w:sz w:val="21"/>
                <w:szCs w:val="21"/>
                <w:highlight w:val="none"/>
              </w:rPr>
              <w:t>符合</w:t>
            </w:r>
          </w:p>
        </w:tc>
        <w:tc>
          <w:tcPr>
            <w:tcW w:w="864" w:type="dxa"/>
            <w:shd w:val="clear" w:color="auto" w:fill="FFFFFF" w:themeFill="background1"/>
            <w:vAlign w:val="center"/>
          </w:tcPr>
          <w:p w14:paraId="2D93578F">
            <w:pPr>
              <w:pStyle w:val="46"/>
              <w:spacing w:before="136" w:line="360" w:lineRule="auto"/>
              <w:ind w:left="-108" w:right="-36" w:rightChars="-17"/>
              <w:jc w:val="center"/>
              <w:rPr>
                <w:color w:val="auto"/>
                <w:sz w:val="21"/>
                <w:szCs w:val="21"/>
                <w:highlight w:val="none"/>
              </w:rPr>
            </w:pPr>
            <w:r>
              <w:rPr>
                <w:rFonts w:hint="eastAsia"/>
                <w:b/>
                <w:bCs/>
                <w:color w:val="auto"/>
                <w:spacing w:val="4"/>
                <w:sz w:val="21"/>
                <w:szCs w:val="21"/>
                <w:highlight w:val="none"/>
              </w:rPr>
              <w:t>不符合</w:t>
            </w:r>
          </w:p>
        </w:tc>
      </w:tr>
      <w:tr w14:paraId="3A4C5C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04" w:hRule="atLeast"/>
        </w:trPr>
        <w:tc>
          <w:tcPr>
            <w:tcW w:w="693" w:type="dxa"/>
            <w:vAlign w:val="center"/>
          </w:tcPr>
          <w:p w14:paraId="4603773D">
            <w:pPr>
              <w:pStyle w:val="46"/>
              <w:spacing w:line="360" w:lineRule="auto"/>
              <w:ind w:right="-124" w:rightChars="-59"/>
              <w:jc w:val="both"/>
              <w:rPr>
                <w:color w:val="auto"/>
                <w:sz w:val="21"/>
                <w:szCs w:val="21"/>
                <w:highlight w:val="none"/>
                <w:lang w:eastAsia="zh-CN"/>
              </w:rPr>
            </w:pPr>
            <w:r>
              <w:rPr>
                <w:rFonts w:hint="eastAsia"/>
                <w:color w:val="auto"/>
                <w:sz w:val="21"/>
                <w:szCs w:val="21"/>
                <w:highlight w:val="none"/>
                <w:lang w:eastAsia="zh-CN"/>
              </w:rPr>
              <w:t>1</w:t>
            </w:r>
          </w:p>
        </w:tc>
        <w:tc>
          <w:tcPr>
            <w:tcW w:w="1720" w:type="dxa"/>
            <w:vAlign w:val="center"/>
          </w:tcPr>
          <w:p w14:paraId="22258E8E">
            <w:pPr>
              <w:pStyle w:val="46"/>
              <w:spacing w:line="360" w:lineRule="auto"/>
              <w:ind w:left="-92" w:right="-98" w:firstLine="2"/>
              <w:jc w:val="center"/>
              <w:rPr>
                <w:color w:val="auto"/>
                <w:sz w:val="21"/>
                <w:szCs w:val="21"/>
                <w:highlight w:val="none"/>
              </w:rPr>
            </w:pPr>
            <w:r>
              <w:rPr>
                <w:rFonts w:hint="eastAsia"/>
                <w:color w:val="auto"/>
                <w:spacing w:val="7"/>
                <w:sz w:val="21"/>
                <w:szCs w:val="21"/>
                <w:highlight w:val="none"/>
              </w:rPr>
              <w:t>投标文件签</w:t>
            </w:r>
            <w:r>
              <w:rPr>
                <w:rFonts w:hint="eastAsia"/>
                <w:color w:val="auto"/>
                <w:sz w:val="21"/>
                <w:szCs w:val="21"/>
                <w:highlight w:val="none"/>
              </w:rPr>
              <w:t>署</w:t>
            </w:r>
          </w:p>
        </w:tc>
        <w:tc>
          <w:tcPr>
            <w:tcW w:w="5985" w:type="dxa"/>
            <w:vAlign w:val="center"/>
          </w:tcPr>
          <w:p w14:paraId="11F8E5E3">
            <w:pPr>
              <w:pStyle w:val="46"/>
              <w:spacing w:line="360" w:lineRule="auto"/>
              <w:ind w:left="24" w:right="-10" w:rightChars="-5"/>
              <w:jc w:val="both"/>
              <w:rPr>
                <w:color w:val="auto"/>
                <w:spacing w:val="9"/>
                <w:sz w:val="21"/>
                <w:szCs w:val="21"/>
                <w:highlight w:val="none"/>
                <w:lang w:eastAsia="zh-CN"/>
              </w:rPr>
            </w:pPr>
            <w:r>
              <w:rPr>
                <w:rFonts w:hint="eastAsia"/>
                <w:color w:val="auto"/>
                <w:spacing w:val="9"/>
                <w:sz w:val="21"/>
                <w:szCs w:val="21"/>
                <w:highlight w:val="none"/>
                <w:lang w:eastAsia="zh-CN"/>
              </w:rPr>
              <w:t>投标文件按招标文件要求签署、盖章。</w:t>
            </w:r>
          </w:p>
        </w:tc>
        <w:tc>
          <w:tcPr>
            <w:tcW w:w="700" w:type="dxa"/>
            <w:vAlign w:val="center"/>
          </w:tcPr>
          <w:p w14:paraId="6BF4FDBF">
            <w:pPr>
              <w:spacing w:line="360" w:lineRule="auto"/>
              <w:jc w:val="center"/>
              <w:rPr>
                <w:rFonts w:ascii="宋体" w:hAnsi="宋体" w:eastAsia="宋体" w:cs="宋体"/>
                <w:color w:val="auto"/>
                <w:highlight w:val="none"/>
                <w:lang w:eastAsia="zh-CN"/>
              </w:rPr>
            </w:pPr>
          </w:p>
        </w:tc>
        <w:tc>
          <w:tcPr>
            <w:tcW w:w="864" w:type="dxa"/>
            <w:vAlign w:val="center"/>
          </w:tcPr>
          <w:p w14:paraId="436B1FFD">
            <w:pPr>
              <w:spacing w:line="360" w:lineRule="auto"/>
              <w:jc w:val="center"/>
              <w:rPr>
                <w:rFonts w:ascii="宋体" w:hAnsi="宋体" w:eastAsia="宋体" w:cs="宋体"/>
                <w:color w:val="auto"/>
                <w:highlight w:val="none"/>
                <w:lang w:eastAsia="zh-CN"/>
              </w:rPr>
            </w:pPr>
          </w:p>
        </w:tc>
      </w:tr>
      <w:tr w14:paraId="006D16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04" w:hRule="atLeast"/>
        </w:trPr>
        <w:tc>
          <w:tcPr>
            <w:tcW w:w="693" w:type="dxa"/>
            <w:vAlign w:val="center"/>
          </w:tcPr>
          <w:p w14:paraId="489759FD">
            <w:pPr>
              <w:pStyle w:val="46"/>
              <w:spacing w:line="360" w:lineRule="auto"/>
              <w:ind w:right="-124" w:rightChars="-59"/>
              <w:jc w:val="both"/>
              <w:rPr>
                <w:color w:val="auto"/>
                <w:sz w:val="21"/>
                <w:szCs w:val="21"/>
                <w:highlight w:val="none"/>
                <w:lang w:eastAsia="zh-CN"/>
              </w:rPr>
            </w:pPr>
            <w:r>
              <w:rPr>
                <w:rFonts w:hint="eastAsia"/>
                <w:color w:val="auto"/>
                <w:sz w:val="21"/>
                <w:szCs w:val="21"/>
                <w:highlight w:val="none"/>
                <w:lang w:eastAsia="zh-CN"/>
              </w:rPr>
              <w:t>2</w:t>
            </w:r>
          </w:p>
        </w:tc>
        <w:tc>
          <w:tcPr>
            <w:tcW w:w="1720" w:type="dxa"/>
            <w:vAlign w:val="center"/>
          </w:tcPr>
          <w:p w14:paraId="160F3ACC">
            <w:pPr>
              <w:pStyle w:val="46"/>
              <w:spacing w:line="360" w:lineRule="auto"/>
              <w:ind w:left="-92" w:right="-98" w:firstLine="2"/>
              <w:jc w:val="center"/>
              <w:rPr>
                <w:color w:val="auto"/>
                <w:spacing w:val="7"/>
                <w:sz w:val="21"/>
                <w:szCs w:val="21"/>
                <w:highlight w:val="none"/>
                <w:lang w:eastAsia="zh-CN"/>
              </w:rPr>
            </w:pPr>
            <w:r>
              <w:rPr>
                <w:rFonts w:hint="eastAsia"/>
                <w:color w:val="auto"/>
                <w:spacing w:val="7"/>
                <w:sz w:val="21"/>
                <w:szCs w:val="21"/>
                <w:highlight w:val="none"/>
                <w:lang w:eastAsia="zh-CN"/>
              </w:rPr>
              <w:t>投标文件格式</w:t>
            </w:r>
          </w:p>
        </w:tc>
        <w:tc>
          <w:tcPr>
            <w:tcW w:w="5985" w:type="dxa"/>
            <w:vAlign w:val="center"/>
          </w:tcPr>
          <w:p w14:paraId="68C0CD95">
            <w:pPr>
              <w:pStyle w:val="46"/>
              <w:spacing w:line="360" w:lineRule="auto"/>
              <w:ind w:left="24" w:right="-10" w:rightChars="-5"/>
              <w:jc w:val="both"/>
              <w:rPr>
                <w:color w:val="auto"/>
                <w:spacing w:val="9"/>
                <w:sz w:val="21"/>
                <w:szCs w:val="21"/>
                <w:highlight w:val="none"/>
                <w:lang w:eastAsia="zh-CN"/>
              </w:rPr>
            </w:pPr>
            <w:r>
              <w:rPr>
                <w:rFonts w:hint="eastAsia"/>
                <w:color w:val="auto"/>
                <w:spacing w:val="9"/>
                <w:sz w:val="21"/>
                <w:szCs w:val="21"/>
                <w:highlight w:val="none"/>
                <w:lang w:eastAsia="zh-CN"/>
              </w:rPr>
              <w:t>投标文件按照招标文件要求完整提供。</w:t>
            </w:r>
          </w:p>
        </w:tc>
        <w:tc>
          <w:tcPr>
            <w:tcW w:w="700" w:type="dxa"/>
            <w:vAlign w:val="center"/>
          </w:tcPr>
          <w:p w14:paraId="5EEE2FAD">
            <w:pPr>
              <w:spacing w:line="360" w:lineRule="auto"/>
              <w:jc w:val="center"/>
              <w:rPr>
                <w:rFonts w:ascii="宋体" w:hAnsi="宋体" w:eastAsia="宋体" w:cs="宋体"/>
                <w:color w:val="auto"/>
                <w:highlight w:val="none"/>
                <w:lang w:eastAsia="zh-CN"/>
              </w:rPr>
            </w:pPr>
          </w:p>
        </w:tc>
        <w:tc>
          <w:tcPr>
            <w:tcW w:w="864" w:type="dxa"/>
            <w:vAlign w:val="center"/>
          </w:tcPr>
          <w:p w14:paraId="5296F62D">
            <w:pPr>
              <w:spacing w:line="360" w:lineRule="auto"/>
              <w:jc w:val="center"/>
              <w:rPr>
                <w:rFonts w:ascii="宋体" w:hAnsi="宋体" w:eastAsia="宋体" w:cs="宋体"/>
                <w:color w:val="auto"/>
                <w:highlight w:val="none"/>
                <w:lang w:eastAsia="zh-CN"/>
              </w:rPr>
            </w:pPr>
          </w:p>
        </w:tc>
      </w:tr>
      <w:tr w14:paraId="46A747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57" w:hRule="atLeast"/>
        </w:trPr>
        <w:tc>
          <w:tcPr>
            <w:tcW w:w="693" w:type="dxa"/>
            <w:vAlign w:val="center"/>
          </w:tcPr>
          <w:p w14:paraId="7D5171E9">
            <w:pPr>
              <w:pStyle w:val="46"/>
              <w:spacing w:line="360" w:lineRule="auto"/>
              <w:ind w:right="-124" w:rightChars="-59"/>
              <w:jc w:val="both"/>
              <w:rPr>
                <w:color w:val="auto"/>
                <w:sz w:val="21"/>
                <w:szCs w:val="21"/>
                <w:highlight w:val="none"/>
                <w:lang w:eastAsia="zh-CN"/>
              </w:rPr>
            </w:pPr>
            <w:r>
              <w:rPr>
                <w:rFonts w:hint="eastAsia"/>
                <w:color w:val="auto"/>
                <w:sz w:val="21"/>
                <w:szCs w:val="21"/>
                <w:highlight w:val="none"/>
                <w:lang w:eastAsia="zh-CN"/>
              </w:rPr>
              <w:t>3</w:t>
            </w:r>
          </w:p>
        </w:tc>
        <w:tc>
          <w:tcPr>
            <w:tcW w:w="1720" w:type="dxa"/>
            <w:vAlign w:val="center"/>
          </w:tcPr>
          <w:p w14:paraId="42DBC0FC">
            <w:pPr>
              <w:pStyle w:val="46"/>
              <w:spacing w:before="51" w:line="360" w:lineRule="auto"/>
              <w:ind w:left="-92" w:right="-98" w:firstLine="2"/>
              <w:jc w:val="center"/>
              <w:rPr>
                <w:color w:val="auto"/>
                <w:spacing w:val="7"/>
                <w:sz w:val="21"/>
                <w:szCs w:val="21"/>
                <w:highlight w:val="none"/>
              </w:rPr>
            </w:pPr>
            <w:r>
              <w:rPr>
                <w:rFonts w:hint="eastAsia"/>
                <w:color w:val="auto"/>
                <w:spacing w:val="7"/>
                <w:sz w:val="21"/>
                <w:szCs w:val="21"/>
                <w:highlight w:val="none"/>
              </w:rPr>
              <w:t>实质性要求</w:t>
            </w:r>
          </w:p>
        </w:tc>
        <w:tc>
          <w:tcPr>
            <w:tcW w:w="5985" w:type="dxa"/>
            <w:vAlign w:val="center"/>
          </w:tcPr>
          <w:p w14:paraId="7FB62166">
            <w:pPr>
              <w:pStyle w:val="46"/>
              <w:spacing w:line="360" w:lineRule="auto"/>
              <w:ind w:left="24" w:right="-10" w:rightChars="-5"/>
              <w:jc w:val="both"/>
              <w:rPr>
                <w:color w:val="auto"/>
                <w:spacing w:val="9"/>
                <w:sz w:val="21"/>
                <w:szCs w:val="21"/>
                <w:highlight w:val="none"/>
                <w:lang w:eastAsia="zh-CN"/>
              </w:rPr>
            </w:pPr>
            <w:r>
              <w:rPr>
                <w:rFonts w:hint="eastAsia"/>
                <w:color w:val="auto"/>
                <w:spacing w:val="9"/>
                <w:sz w:val="21"/>
                <w:szCs w:val="21"/>
                <w:highlight w:val="none"/>
                <w:lang w:eastAsia="zh-CN"/>
              </w:rPr>
              <w:t>投标文件满足招标文件规定的</w:t>
            </w:r>
            <w:r>
              <w:rPr>
                <w:rFonts w:hint="eastAsia"/>
                <w:color w:val="auto"/>
                <w:spacing w:val="9"/>
                <w:sz w:val="21"/>
                <w:szCs w:val="21"/>
                <w:highlight w:val="none"/>
                <w:lang w:val="en-US" w:eastAsia="zh-CN"/>
              </w:rPr>
              <w:t>服务</w:t>
            </w:r>
            <w:r>
              <w:rPr>
                <w:rFonts w:hint="eastAsia"/>
                <w:color w:val="auto"/>
                <w:spacing w:val="9"/>
                <w:sz w:val="21"/>
                <w:szCs w:val="21"/>
                <w:highlight w:val="none"/>
                <w:lang w:eastAsia="zh-CN"/>
              </w:rPr>
              <w:t>期、</w:t>
            </w:r>
            <w:r>
              <w:rPr>
                <w:rFonts w:hint="eastAsia"/>
                <w:color w:val="auto"/>
                <w:spacing w:val="9"/>
                <w:sz w:val="21"/>
                <w:szCs w:val="21"/>
                <w:highlight w:val="none"/>
                <w:lang w:val="en-US" w:eastAsia="zh-CN"/>
              </w:rPr>
              <w:t>服务</w:t>
            </w:r>
            <w:r>
              <w:rPr>
                <w:rFonts w:hint="eastAsia"/>
                <w:color w:val="auto"/>
                <w:spacing w:val="9"/>
                <w:sz w:val="21"/>
                <w:szCs w:val="21"/>
                <w:highlight w:val="none"/>
                <w:lang w:eastAsia="zh-CN"/>
              </w:rPr>
              <w:t>地点、投标有效期。</w:t>
            </w:r>
          </w:p>
        </w:tc>
        <w:tc>
          <w:tcPr>
            <w:tcW w:w="700" w:type="dxa"/>
            <w:vAlign w:val="center"/>
          </w:tcPr>
          <w:p w14:paraId="0ED3C3EE">
            <w:pPr>
              <w:spacing w:line="360" w:lineRule="auto"/>
              <w:jc w:val="center"/>
              <w:rPr>
                <w:rFonts w:ascii="宋体" w:hAnsi="宋体" w:eastAsia="宋体" w:cs="宋体"/>
                <w:color w:val="auto"/>
                <w:highlight w:val="none"/>
                <w:lang w:eastAsia="zh-CN"/>
              </w:rPr>
            </w:pPr>
          </w:p>
        </w:tc>
        <w:tc>
          <w:tcPr>
            <w:tcW w:w="864" w:type="dxa"/>
            <w:vAlign w:val="center"/>
          </w:tcPr>
          <w:p w14:paraId="33EECE94">
            <w:pPr>
              <w:spacing w:line="360" w:lineRule="auto"/>
              <w:jc w:val="center"/>
              <w:rPr>
                <w:rFonts w:ascii="宋体" w:hAnsi="宋体" w:eastAsia="宋体" w:cs="宋体"/>
                <w:color w:val="auto"/>
                <w:highlight w:val="none"/>
                <w:lang w:eastAsia="zh-CN"/>
              </w:rPr>
            </w:pPr>
          </w:p>
        </w:tc>
      </w:tr>
      <w:tr w14:paraId="2513F2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57" w:hRule="atLeast"/>
        </w:trPr>
        <w:tc>
          <w:tcPr>
            <w:tcW w:w="693" w:type="dxa"/>
            <w:vAlign w:val="center"/>
          </w:tcPr>
          <w:p w14:paraId="16D7C90A">
            <w:pPr>
              <w:pStyle w:val="46"/>
              <w:spacing w:line="360" w:lineRule="auto"/>
              <w:ind w:right="-124" w:rightChars="-59"/>
              <w:jc w:val="both"/>
              <w:rPr>
                <w:rFonts w:hint="default"/>
                <w:color w:val="auto"/>
                <w:sz w:val="21"/>
                <w:szCs w:val="21"/>
                <w:highlight w:val="none"/>
                <w:lang w:val="en-US" w:eastAsia="zh-CN"/>
              </w:rPr>
            </w:pPr>
            <w:r>
              <w:rPr>
                <w:rFonts w:hint="eastAsia"/>
                <w:color w:val="auto"/>
                <w:sz w:val="21"/>
                <w:szCs w:val="21"/>
                <w:highlight w:val="none"/>
                <w:lang w:val="en-US" w:eastAsia="zh-CN"/>
              </w:rPr>
              <w:t>4</w:t>
            </w:r>
          </w:p>
        </w:tc>
        <w:tc>
          <w:tcPr>
            <w:tcW w:w="1720" w:type="dxa"/>
            <w:vAlign w:val="center"/>
          </w:tcPr>
          <w:p w14:paraId="5797476D">
            <w:pPr>
              <w:pStyle w:val="46"/>
              <w:spacing w:before="51" w:line="360" w:lineRule="auto"/>
              <w:ind w:left="-92" w:right="-98" w:firstLine="2"/>
              <w:jc w:val="center"/>
              <w:rPr>
                <w:rFonts w:hint="default" w:eastAsia="宋体"/>
                <w:color w:val="auto"/>
                <w:spacing w:val="7"/>
                <w:sz w:val="21"/>
                <w:szCs w:val="21"/>
                <w:highlight w:val="none"/>
                <w:lang w:val="en-US" w:eastAsia="zh-CN"/>
              </w:rPr>
            </w:pPr>
            <w:r>
              <w:rPr>
                <w:rFonts w:hint="eastAsia"/>
                <w:color w:val="auto"/>
                <w:spacing w:val="7"/>
                <w:sz w:val="21"/>
                <w:szCs w:val="21"/>
                <w:highlight w:val="none"/>
                <w:lang w:val="en-US" w:eastAsia="zh-CN"/>
              </w:rPr>
              <w:t>商务技术要求</w:t>
            </w:r>
          </w:p>
        </w:tc>
        <w:tc>
          <w:tcPr>
            <w:tcW w:w="5985" w:type="dxa"/>
            <w:vAlign w:val="center"/>
          </w:tcPr>
          <w:p w14:paraId="210C9DD5">
            <w:pPr>
              <w:pStyle w:val="46"/>
              <w:spacing w:line="360" w:lineRule="auto"/>
              <w:ind w:left="24" w:right="-10" w:rightChars="-5"/>
              <w:jc w:val="both"/>
              <w:rPr>
                <w:rFonts w:hint="eastAsia"/>
                <w:color w:val="auto"/>
                <w:spacing w:val="9"/>
                <w:sz w:val="21"/>
                <w:szCs w:val="21"/>
                <w:highlight w:val="none"/>
                <w:lang w:eastAsia="zh-CN"/>
              </w:rPr>
            </w:pPr>
            <w:r>
              <w:rPr>
                <w:rFonts w:hint="eastAsia"/>
                <w:color w:val="auto"/>
                <w:spacing w:val="9"/>
                <w:sz w:val="21"/>
                <w:szCs w:val="21"/>
                <w:highlight w:val="none"/>
                <w:lang w:val="en-US" w:eastAsia="zh-CN"/>
              </w:rPr>
              <w:t>“商务条款偏离表”有一项</w:t>
            </w:r>
            <w:r>
              <w:rPr>
                <w:rFonts w:hint="eastAsia"/>
                <w:color w:val="auto"/>
                <w:spacing w:val="9"/>
                <w:sz w:val="21"/>
                <w:szCs w:val="21"/>
                <w:highlight w:val="none"/>
                <w:lang w:eastAsia="zh-CN"/>
              </w:rPr>
              <w:t>“×”</w:t>
            </w:r>
            <w:r>
              <w:rPr>
                <w:rFonts w:hint="eastAsia"/>
                <w:color w:val="auto"/>
                <w:spacing w:val="9"/>
                <w:sz w:val="21"/>
                <w:szCs w:val="21"/>
                <w:highlight w:val="none"/>
                <w:lang w:val="en-US" w:eastAsia="zh-CN"/>
              </w:rPr>
              <w:t>未响应或者负偏离，均视为未实质性响应投标文件。</w:t>
            </w:r>
          </w:p>
        </w:tc>
        <w:tc>
          <w:tcPr>
            <w:tcW w:w="700" w:type="dxa"/>
            <w:vAlign w:val="center"/>
          </w:tcPr>
          <w:p w14:paraId="61A02656">
            <w:pPr>
              <w:spacing w:line="360" w:lineRule="auto"/>
              <w:jc w:val="center"/>
              <w:rPr>
                <w:rFonts w:ascii="宋体" w:hAnsi="宋体" w:eastAsia="宋体" w:cs="宋体"/>
                <w:color w:val="auto"/>
                <w:highlight w:val="none"/>
                <w:lang w:eastAsia="zh-CN"/>
              </w:rPr>
            </w:pPr>
          </w:p>
        </w:tc>
        <w:tc>
          <w:tcPr>
            <w:tcW w:w="864" w:type="dxa"/>
            <w:vAlign w:val="center"/>
          </w:tcPr>
          <w:p w14:paraId="0E06F485">
            <w:pPr>
              <w:spacing w:line="360" w:lineRule="auto"/>
              <w:jc w:val="center"/>
              <w:rPr>
                <w:rFonts w:ascii="宋体" w:hAnsi="宋体" w:eastAsia="宋体" w:cs="宋体"/>
                <w:color w:val="auto"/>
                <w:highlight w:val="none"/>
                <w:lang w:eastAsia="zh-CN"/>
              </w:rPr>
            </w:pPr>
          </w:p>
        </w:tc>
      </w:tr>
      <w:tr w14:paraId="7A8E57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65" w:hRule="atLeast"/>
        </w:trPr>
        <w:tc>
          <w:tcPr>
            <w:tcW w:w="693" w:type="dxa"/>
            <w:vAlign w:val="center"/>
          </w:tcPr>
          <w:p w14:paraId="0F16A9E0">
            <w:pPr>
              <w:pStyle w:val="46"/>
              <w:spacing w:line="360" w:lineRule="auto"/>
              <w:ind w:right="-124" w:rightChars="-59"/>
              <w:jc w:val="both"/>
              <w:rPr>
                <w:color w:val="auto"/>
                <w:sz w:val="21"/>
                <w:szCs w:val="21"/>
                <w:highlight w:val="none"/>
                <w:lang w:eastAsia="zh-CN"/>
              </w:rPr>
            </w:pPr>
            <w:r>
              <w:rPr>
                <w:rFonts w:hint="eastAsia"/>
                <w:color w:val="auto"/>
                <w:sz w:val="21"/>
                <w:szCs w:val="21"/>
                <w:highlight w:val="none"/>
                <w:lang w:val="en-US" w:eastAsia="zh-CN"/>
              </w:rPr>
              <w:t>5</w:t>
            </w:r>
          </w:p>
        </w:tc>
        <w:tc>
          <w:tcPr>
            <w:tcW w:w="1720" w:type="dxa"/>
            <w:vAlign w:val="center"/>
          </w:tcPr>
          <w:p w14:paraId="1344D0F2">
            <w:pPr>
              <w:pStyle w:val="46"/>
              <w:spacing w:before="51" w:line="360" w:lineRule="auto"/>
              <w:ind w:left="-92" w:right="-98" w:firstLine="2"/>
              <w:jc w:val="center"/>
              <w:rPr>
                <w:color w:val="auto"/>
                <w:spacing w:val="7"/>
                <w:sz w:val="21"/>
                <w:szCs w:val="21"/>
                <w:highlight w:val="none"/>
              </w:rPr>
            </w:pPr>
            <w:r>
              <w:rPr>
                <w:rFonts w:hint="eastAsia"/>
                <w:color w:val="auto"/>
                <w:spacing w:val="7"/>
                <w:sz w:val="21"/>
                <w:szCs w:val="21"/>
                <w:highlight w:val="none"/>
              </w:rPr>
              <w:t>投标报价</w:t>
            </w:r>
          </w:p>
        </w:tc>
        <w:tc>
          <w:tcPr>
            <w:tcW w:w="5985" w:type="dxa"/>
            <w:vAlign w:val="center"/>
          </w:tcPr>
          <w:p w14:paraId="035AE128">
            <w:pPr>
              <w:pStyle w:val="46"/>
              <w:spacing w:line="360" w:lineRule="auto"/>
              <w:ind w:left="24" w:right="-10" w:rightChars="-5"/>
              <w:jc w:val="both"/>
              <w:rPr>
                <w:color w:val="auto"/>
                <w:spacing w:val="9"/>
                <w:sz w:val="21"/>
                <w:szCs w:val="21"/>
                <w:highlight w:val="none"/>
                <w:lang w:eastAsia="zh-CN"/>
              </w:rPr>
            </w:pPr>
            <w:r>
              <w:rPr>
                <w:rFonts w:hint="eastAsia"/>
                <w:color w:val="auto"/>
                <w:spacing w:val="9"/>
                <w:sz w:val="21"/>
                <w:szCs w:val="21"/>
                <w:highlight w:val="none"/>
                <w:lang w:eastAsia="zh-CN"/>
              </w:rPr>
              <w:t>投标人报价符合招标文件规定。</w:t>
            </w:r>
          </w:p>
        </w:tc>
        <w:tc>
          <w:tcPr>
            <w:tcW w:w="700" w:type="dxa"/>
            <w:vAlign w:val="center"/>
          </w:tcPr>
          <w:p w14:paraId="139F1B05">
            <w:pPr>
              <w:spacing w:line="360" w:lineRule="auto"/>
              <w:jc w:val="center"/>
              <w:rPr>
                <w:rFonts w:ascii="宋体" w:hAnsi="宋体" w:eastAsia="宋体" w:cs="宋体"/>
                <w:color w:val="auto"/>
                <w:highlight w:val="none"/>
                <w:lang w:eastAsia="zh-CN"/>
              </w:rPr>
            </w:pPr>
          </w:p>
        </w:tc>
        <w:tc>
          <w:tcPr>
            <w:tcW w:w="864" w:type="dxa"/>
            <w:vAlign w:val="center"/>
          </w:tcPr>
          <w:p w14:paraId="36F10182">
            <w:pPr>
              <w:spacing w:line="360" w:lineRule="auto"/>
              <w:jc w:val="center"/>
              <w:rPr>
                <w:rFonts w:ascii="宋体" w:hAnsi="宋体" w:eastAsia="宋体" w:cs="宋体"/>
                <w:color w:val="auto"/>
                <w:highlight w:val="none"/>
                <w:lang w:eastAsia="zh-CN"/>
              </w:rPr>
            </w:pPr>
          </w:p>
        </w:tc>
      </w:tr>
      <w:tr w14:paraId="5FBC74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61" w:hRule="atLeast"/>
        </w:trPr>
        <w:tc>
          <w:tcPr>
            <w:tcW w:w="693" w:type="dxa"/>
            <w:vAlign w:val="center"/>
          </w:tcPr>
          <w:p w14:paraId="153C042C">
            <w:pPr>
              <w:pStyle w:val="46"/>
              <w:spacing w:line="360" w:lineRule="auto"/>
              <w:ind w:right="-124" w:rightChars="-59"/>
              <w:jc w:val="both"/>
              <w:rPr>
                <w:color w:val="auto"/>
                <w:sz w:val="21"/>
                <w:szCs w:val="21"/>
                <w:highlight w:val="none"/>
                <w:lang w:eastAsia="zh-CN"/>
              </w:rPr>
            </w:pPr>
            <w:r>
              <w:rPr>
                <w:rFonts w:hint="eastAsia"/>
                <w:color w:val="auto"/>
                <w:sz w:val="21"/>
                <w:szCs w:val="21"/>
                <w:highlight w:val="none"/>
                <w:lang w:val="en-US" w:eastAsia="zh-CN"/>
              </w:rPr>
              <w:t>6</w:t>
            </w:r>
          </w:p>
        </w:tc>
        <w:tc>
          <w:tcPr>
            <w:tcW w:w="1720" w:type="dxa"/>
            <w:vAlign w:val="center"/>
          </w:tcPr>
          <w:p w14:paraId="5841FA5A">
            <w:pPr>
              <w:pStyle w:val="46"/>
              <w:spacing w:before="51" w:line="360" w:lineRule="auto"/>
              <w:ind w:left="-92" w:right="-98" w:firstLine="2"/>
              <w:jc w:val="center"/>
              <w:rPr>
                <w:color w:val="auto"/>
                <w:spacing w:val="7"/>
                <w:sz w:val="21"/>
                <w:szCs w:val="21"/>
                <w:highlight w:val="none"/>
              </w:rPr>
            </w:pPr>
            <w:r>
              <w:rPr>
                <w:rFonts w:hint="eastAsia"/>
                <w:color w:val="auto"/>
                <w:spacing w:val="7"/>
                <w:sz w:val="21"/>
                <w:szCs w:val="21"/>
                <w:highlight w:val="none"/>
              </w:rPr>
              <w:t>投标保证金</w:t>
            </w:r>
          </w:p>
        </w:tc>
        <w:tc>
          <w:tcPr>
            <w:tcW w:w="5985" w:type="dxa"/>
            <w:vAlign w:val="center"/>
          </w:tcPr>
          <w:p w14:paraId="4CBAE193">
            <w:pPr>
              <w:pStyle w:val="46"/>
              <w:spacing w:line="360" w:lineRule="auto"/>
              <w:ind w:left="24" w:right="-10" w:rightChars="-5"/>
              <w:jc w:val="both"/>
              <w:rPr>
                <w:color w:val="auto"/>
                <w:spacing w:val="9"/>
                <w:sz w:val="21"/>
                <w:szCs w:val="21"/>
                <w:highlight w:val="none"/>
                <w:lang w:eastAsia="zh-CN"/>
              </w:rPr>
            </w:pPr>
            <w:r>
              <w:rPr>
                <w:rFonts w:hint="eastAsia"/>
                <w:color w:val="auto"/>
                <w:spacing w:val="9"/>
                <w:sz w:val="21"/>
                <w:szCs w:val="21"/>
                <w:highlight w:val="none"/>
                <w:lang w:eastAsia="zh-CN"/>
              </w:rPr>
              <w:t>投标人按招标文件的规定交纳投标保证金的。</w:t>
            </w:r>
          </w:p>
        </w:tc>
        <w:tc>
          <w:tcPr>
            <w:tcW w:w="700" w:type="dxa"/>
            <w:vAlign w:val="center"/>
          </w:tcPr>
          <w:p w14:paraId="5707B1EA">
            <w:pPr>
              <w:spacing w:line="360" w:lineRule="auto"/>
              <w:jc w:val="center"/>
              <w:rPr>
                <w:rFonts w:ascii="宋体" w:hAnsi="宋体" w:eastAsia="宋体" w:cs="宋体"/>
                <w:color w:val="auto"/>
                <w:highlight w:val="none"/>
                <w:lang w:eastAsia="zh-CN"/>
              </w:rPr>
            </w:pPr>
          </w:p>
        </w:tc>
        <w:tc>
          <w:tcPr>
            <w:tcW w:w="864" w:type="dxa"/>
            <w:vAlign w:val="center"/>
          </w:tcPr>
          <w:p w14:paraId="7F73175F">
            <w:pPr>
              <w:spacing w:line="360" w:lineRule="auto"/>
              <w:jc w:val="center"/>
              <w:rPr>
                <w:rFonts w:ascii="宋体" w:hAnsi="宋体" w:eastAsia="宋体" w:cs="宋体"/>
                <w:color w:val="auto"/>
                <w:highlight w:val="none"/>
                <w:lang w:eastAsia="zh-CN"/>
              </w:rPr>
            </w:pPr>
          </w:p>
        </w:tc>
      </w:tr>
      <w:tr w14:paraId="64509B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778" w:hRule="atLeast"/>
        </w:trPr>
        <w:tc>
          <w:tcPr>
            <w:tcW w:w="693" w:type="dxa"/>
            <w:vAlign w:val="center"/>
          </w:tcPr>
          <w:p w14:paraId="32CEE27A">
            <w:pPr>
              <w:pStyle w:val="46"/>
              <w:spacing w:line="360" w:lineRule="auto"/>
              <w:ind w:right="-124" w:rightChars="-59"/>
              <w:jc w:val="both"/>
              <w:rPr>
                <w:color w:val="auto"/>
                <w:sz w:val="21"/>
                <w:szCs w:val="21"/>
                <w:highlight w:val="none"/>
                <w:lang w:eastAsia="zh-CN"/>
              </w:rPr>
            </w:pPr>
            <w:r>
              <w:rPr>
                <w:rFonts w:hint="eastAsia"/>
                <w:color w:val="auto"/>
                <w:sz w:val="21"/>
                <w:szCs w:val="21"/>
                <w:highlight w:val="none"/>
                <w:lang w:val="en-US" w:eastAsia="zh-CN"/>
              </w:rPr>
              <w:t>7</w:t>
            </w:r>
          </w:p>
        </w:tc>
        <w:tc>
          <w:tcPr>
            <w:tcW w:w="1720" w:type="dxa"/>
            <w:vAlign w:val="center"/>
          </w:tcPr>
          <w:p w14:paraId="153A4559">
            <w:pPr>
              <w:pStyle w:val="46"/>
              <w:spacing w:before="51" w:line="360" w:lineRule="auto"/>
              <w:ind w:left="-92" w:right="-98" w:firstLine="2"/>
              <w:jc w:val="center"/>
              <w:rPr>
                <w:color w:val="auto"/>
                <w:spacing w:val="7"/>
                <w:sz w:val="21"/>
                <w:szCs w:val="21"/>
                <w:highlight w:val="none"/>
                <w:lang w:eastAsia="zh-CN"/>
              </w:rPr>
            </w:pPr>
            <w:r>
              <w:rPr>
                <w:rFonts w:hint="eastAsia"/>
                <w:color w:val="auto"/>
                <w:spacing w:val="7"/>
                <w:sz w:val="21"/>
                <w:szCs w:val="21"/>
                <w:highlight w:val="none"/>
                <w:lang w:eastAsia="zh-CN"/>
              </w:rPr>
              <w:t>投标文件的澄清、说明、补正</w:t>
            </w:r>
          </w:p>
        </w:tc>
        <w:tc>
          <w:tcPr>
            <w:tcW w:w="5985" w:type="dxa"/>
            <w:vAlign w:val="center"/>
          </w:tcPr>
          <w:p w14:paraId="34803690">
            <w:pPr>
              <w:pStyle w:val="46"/>
              <w:spacing w:line="360" w:lineRule="auto"/>
              <w:ind w:left="24" w:right="-10" w:rightChars="-5"/>
              <w:jc w:val="both"/>
              <w:rPr>
                <w:color w:val="auto"/>
                <w:spacing w:val="9"/>
                <w:sz w:val="21"/>
                <w:szCs w:val="21"/>
                <w:highlight w:val="none"/>
                <w:lang w:eastAsia="zh-CN"/>
              </w:rPr>
            </w:pPr>
            <w:r>
              <w:rPr>
                <w:rFonts w:hint="eastAsia"/>
                <w:color w:val="auto"/>
                <w:spacing w:val="9"/>
                <w:sz w:val="21"/>
                <w:szCs w:val="21"/>
                <w:highlight w:val="none"/>
                <w:lang w:eastAsia="zh-CN"/>
              </w:rPr>
              <w:t>评审期间,投标人按评标委员会的要求提交经授权代表签字的澄清、说明、补正或未改变投标文件的实质性内容。</w:t>
            </w:r>
          </w:p>
        </w:tc>
        <w:tc>
          <w:tcPr>
            <w:tcW w:w="700" w:type="dxa"/>
            <w:vAlign w:val="center"/>
          </w:tcPr>
          <w:p w14:paraId="028F7E42">
            <w:pPr>
              <w:spacing w:line="360" w:lineRule="auto"/>
              <w:jc w:val="center"/>
              <w:rPr>
                <w:rFonts w:ascii="宋体" w:hAnsi="宋体" w:eastAsia="宋体" w:cs="宋体"/>
                <w:color w:val="auto"/>
                <w:highlight w:val="none"/>
                <w:lang w:eastAsia="zh-CN"/>
              </w:rPr>
            </w:pPr>
          </w:p>
        </w:tc>
        <w:tc>
          <w:tcPr>
            <w:tcW w:w="864" w:type="dxa"/>
            <w:vAlign w:val="center"/>
          </w:tcPr>
          <w:p w14:paraId="6E499381">
            <w:pPr>
              <w:spacing w:line="360" w:lineRule="auto"/>
              <w:jc w:val="center"/>
              <w:rPr>
                <w:rFonts w:ascii="宋体" w:hAnsi="宋体" w:eastAsia="宋体" w:cs="宋体"/>
                <w:color w:val="auto"/>
                <w:highlight w:val="none"/>
                <w:lang w:eastAsia="zh-CN"/>
              </w:rPr>
            </w:pPr>
          </w:p>
        </w:tc>
      </w:tr>
      <w:tr w14:paraId="7F3428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0" w:hRule="atLeast"/>
        </w:trPr>
        <w:tc>
          <w:tcPr>
            <w:tcW w:w="693" w:type="dxa"/>
            <w:vAlign w:val="center"/>
          </w:tcPr>
          <w:p w14:paraId="0548EA4A">
            <w:pPr>
              <w:pStyle w:val="46"/>
              <w:spacing w:line="360" w:lineRule="auto"/>
              <w:ind w:right="-124" w:rightChars="-59"/>
              <w:jc w:val="both"/>
              <w:rPr>
                <w:color w:val="auto"/>
                <w:sz w:val="21"/>
                <w:szCs w:val="21"/>
                <w:highlight w:val="none"/>
                <w:lang w:eastAsia="zh-CN"/>
              </w:rPr>
            </w:pPr>
            <w:r>
              <w:rPr>
                <w:rFonts w:hint="eastAsia"/>
                <w:color w:val="auto"/>
                <w:sz w:val="21"/>
                <w:szCs w:val="21"/>
                <w:highlight w:val="none"/>
                <w:lang w:val="en-US" w:eastAsia="zh-CN"/>
              </w:rPr>
              <w:t>8</w:t>
            </w:r>
          </w:p>
        </w:tc>
        <w:tc>
          <w:tcPr>
            <w:tcW w:w="1720" w:type="dxa"/>
            <w:vAlign w:val="center"/>
          </w:tcPr>
          <w:p w14:paraId="44D8B354">
            <w:pPr>
              <w:pStyle w:val="46"/>
              <w:spacing w:before="51" w:line="360" w:lineRule="auto"/>
              <w:ind w:left="-92" w:right="-98" w:firstLine="2"/>
              <w:jc w:val="center"/>
              <w:rPr>
                <w:color w:val="auto"/>
                <w:spacing w:val="7"/>
                <w:sz w:val="21"/>
                <w:szCs w:val="21"/>
                <w:highlight w:val="none"/>
              </w:rPr>
            </w:pPr>
            <w:r>
              <w:rPr>
                <w:rFonts w:hint="eastAsia"/>
                <w:color w:val="auto"/>
                <w:spacing w:val="7"/>
                <w:sz w:val="21"/>
                <w:szCs w:val="21"/>
                <w:highlight w:val="none"/>
              </w:rPr>
              <w:t>围标串标情形</w:t>
            </w:r>
          </w:p>
        </w:tc>
        <w:tc>
          <w:tcPr>
            <w:tcW w:w="5985" w:type="dxa"/>
            <w:vAlign w:val="center"/>
          </w:tcPr>
          <w:p w14:paraId="260A31A0">
            <w:pPr>
              <w:pStyle w:val="46"/>
              <w:spacing w:line="360" w:lineRule="auto"/>
              <w:ind w:left="24" w:right="-10" w:rightChars="-5"/>
              <w:jc w:val="both"/>
              <w:rPr>
                <w:color w:val="auto"/>
                <w:spacing w:val="9"/>
                <w:sz w:val="21"/>
                <w:szCs w:val="21"/>
                <w:highlight w:val="none"/>
                <w:lang w:eastAsia="zh-CN"/>
              </w:rPr>
            </w:pPr>
            <w:r>
              <w:rPr>
                <w:rFonts w:hint="eastAsia"/>
                <w:color w:val="auto"/>
                <w:spacing w:val="9"/>
                <w:sz w:val="21"/>
                <w:szCs w:val="21"/>
                <w:highlight w:val="none"/>
                <w:lang w:eastAsia="zh-CN"/>
              </w:rPr>
              <w:t>没有“第五章 评标方法及标准”第21条情形之一的。</w:t>
            </w:r>
          </w:p>
        </w:tc>
        <w:tc>
          <w:tcPr>
            <w:tcW w:w="700" w:type="dxa"/>
            <w:vAlign w:val="center"/>
          </w:tcPr>
          <w:p w14:paraId="5376E75C">
            <w:pPr>
              <w:spacing w:line="360" w:lineRule="auto"/>
              <w:jc w:val="center"/>
              <w:rPr>
                <w:rFonts w:ascii="宋体" w:hAnsi="宋体" w:eastAsia="宋体" w:cs="宋体"/>
                <w:color w:val="auto"/>
                <w:highlight w:val="none"/>
                <w:lang w:eastAsia="zh-CN"/>
              </w:rPr>
            </w:pPr>
          </w:p>
        </w:tc>
        <w:tc>
          <w:tcPr>
            <w:tcW w:w="864" w:type="dxa"/>
            <w:vAlign w:val="center"/>
          </w:tcPr>
          <w:p w14:paraId="5CB7E297">
            <w:pPr>
              <w:spacing w:line="360" w:lineRule="auto"/>
              <w:jc w:val="center"/>
              <w:rPr>
                <w:rFonts w:ascii="宋体" w:hAnsi="宋体" w:eastAsia="宋体" w:cs="宋体"/>
                <w:color w:val="auto"/>
                <w:highlight w:val="none"/>
                <w:lang w:eastAsia="zh-CN"/>
              </w:rPr>
            </w:pPr>
          </w:p>
        </w:tc>
      </w:tr>
      <w:tr w14:paraId="4C0D9E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18" w:hRule="atLeast"/>
        </w:trPr>
        <w:tc>
          <w:tcPr>
            <w:tcW w:w="693" w:type="dxa"/>
            <w:vAlign w:val="center"/>
          </w:tcPr>
          <w:p w14:paraId="4A97EBC9">
            <w:pPr>
              <w:pStyle w:val="46"/>
              <w:spacing w:line="360" w:lineRule="auto"/>
              <w:ind w:right="-124" w:rightChars="-59"/>
              <w:jc w:val="both"/>
              <w:rPr>
                <w:color w:val="auto"/>
                <w:sz w:val="21"/>
                <w:szCs w:val="21"/>
                <w:highlight w:val="none"/>
                <w:lang w:eastAsia="zh-CN"/>
              </w:rPr>
            </w:pPr>
            <w:r>
              <w:rPr>
                <w:rFonts w:hint="eastAsia"/>
                <w:color w:val="auto"/>
                <w:sz w:val="21"/>
                <w:szCs w:val="21"/>
                <w:highlight w:val="none"/>
                <w:lang w:val="en-US" w:eastAsia="zh-CN"/>
              </w:rPr>
              <w:t>9</w:t>
            </w:r>
          </w:p>
        </w:tc>
        <w:tc>
          <w:tcPr>
            <w:tcW w:w="1720" w:type="dxa"/>
            <w:vAlign w:val="center"/>
          </w:tcPr>
          <w:p w14:paraId="7197BC40">
            <w:pPr>
              <w:pStyle w:val="46"/>
              <w:spacing w:before="51" w:line="360" w:lineRule="auto"/>
              <w:ind w:left="-92" w:right="-98" w:firstLine="2"/>
              <w:jc w:val="center"/>
              <w:rPr>
                <w:color w:val="auto"/>
                <w:spacing w:val="7"/>
                <w:sz w:val="21"/>
                <w:szCs w:val="21"/>
                <w:highlight w:val="none"/>
              </w:rPr>
            </w:pPr>
            <w:r>
              <w:rPr>
                <w:rFonts w:hint="eastAsia"/>
                <w:color w:val="auto"/>
                <w:spacing w:val="7"/>
                <w:sz w:val="21"/>
                <w:szCs w:val="21"/>
                <w:highlight w:val="none"/>
              </w:rPr>
              <w:t>附加条件</w:t>
            </w:r>
          </w:p>
        </w:tc>
        <w:tc>
          <w:tcPr>
            <w:tcW w:w="5985" w:type="dxa"/>
            <w:vAlign w:val="center"/>
          </w:tcPr>
          <w:p w14:paraId="4DA57D2A">
            <w:pPr>
              <w:pStyle w:val="46"/>
              <w:spacing w:line="360" w:lineRule="auto"/>
              <w:ind w:left="24" w:right="-10" w:rightChars="-5"/>
              <w:jc w:val="both"/>
              <w:rPr>
                <w:color w:val="auto"/>
                <w:spacing w:val="9"/>
                <w:sz w:val="21"/>
                <w:szCs w:val="21"/>
                <w:highlight w:val="none"/>
                <w:lang w:eastAsia="zh-CN"/>
              </w:rPr>
            </w:pPr>
            <w:r>
              <w:rPr>
                <w:rFonts w:hint="eastAsia"/>
                <w:color w:val="auto"/>
                <w:spacing w:val="9"/>
                <w:sz w:val="21"/>
                <w:szCs w:val="21"/>
                <w:highlight w:val="none"/>
                <w:lang w:eastAsia="zh-CN"/>
              </w:rPr>
              <w:t>投标文件没有采购人不能接受的条件。</w:t>
            </w:r>
          </w:p>
        </w:tc>
        <w:tc>
          <w:tcPr>
            <w:tcW w:w="700" w:type="dxa"/>
            <w:vAlign w:val="center"/>
          </w:tcPr>
          <w:p w14:paraId="43772111">
            <w:pPr>
              <w:spacing w:line="360" w:lineRule="auto"/>
              <w:jc w:val="center"/>
              <w:rPr>
                <w:rFonts w:ascii="宋体" w:hAnsi="宋体" w:eastAsia="宋体" w:cs="宋体"/>
                <w:color w:val="auto"/>
                <w:highlight w:val="none"/>
                <w:lang w:eastAsia="zh-CN"/>
              </w:rPr>
            </w:pPr>
          </w:p>
        </w:tc>
        <w:tc>
          <w:tcPr>
            <w:tcW w:w="864" w:type="dxa"/>
            <w:vAlign w:val="center"/>
          </w:tcPr>
          <w:p w14:paraId="24DA9449">
            <w:pPr>
              <w:spacing w:line="360" w:lineRule="auto"/>
              <w:jc w:val="center"/>
              <w:rPr>
                <w:rFonts w:ascii="宋体" w:hAnsi="宋体" w:eastAsia="宋体" w:cs="宋体"/>
                <w:color w:val="auto"/>
                <w:highlight w:val="none"/>
                <w:lang w:eastAsia="zh-CN"/>
              </w:rPr>
            </w:pPr>
          </w:p>
        </w:tc>
      </w:tr>
      <w:tr w14:paraId="48F570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707" w:hRule="atLeast"/>
        </w:trPr>
        <w:tc>
          <w:tcPr>
            <w:tcW w:w="693" w:type="dxa"/>
            <w:vAlign w:val="center"/>
          </w:tcPr>
          <w:p w14:paraId="7AA23280">
            <w:pPr>
              <w:pStyle w:val="46"/>
              <w:spacing w:line="360" w:lineRule="auto"/>
              <w:ind w:right="-124" w:rightChars="-59"/>
              <w:jc w:val="both"/>
              <w:rPr>
                <w:rFonts w:hint="default"/>
                <w:color w:val="auto"/>
                <w:sz w:val="21"/>
                <w:szCs w:val="21"/>
                <w:highlight w:val="none"/>
                <w:lang w:val="en-US" w:eastAsia="zh-CN"/>
              </w:rPr>
            </w:pPr>
            <w:r>
              <w:rPr>
                <w:rFonts w:hint="eastAsia"/>
                <w:color w:val="auto"/>
                <w:sz w:val="21"/>
                <w:szCs w:val="21"/>
                <w:highlight w:val="none"/>
                <w:lang w:val="en-US" w:eastAsia="zh-CN"/>
              </w:rPr>
              <w:t>10</w:t>
            </w:r>
          </w:p>
        </w:tc>
        <w:tc>
          <w:tcPr>
            <w:tcW w:w="1720" w:type="dxa"/>
            <w:vAlign w:val="center"/>
          </w:tcPr>
          <w:p w14:paraId="055419DE">
            <w:pPr>
              <w:pStyle w:val="46"/>
              <w:spacing w:before="51" w:line="360" w:lineRule="auto"/>
              <w:ind w:left="-92" w:right="-98" w:firstLine="2"/>
              <w:jc w:val="center"/>
              <w:rPr>
                <w:color w:val="auto"/>
                <w:spacing w:val="7"/>
                <w:sz w:val="21"/>
                <w:szCs w:val="21"/>
                <w:highlight w:val="none"/>
              </w:rPr>
            </w:pPr>
            <w:r>
              <w:rPr>
                <w:rFonts w:hint="eastAsia"/>
                <w:color w:val="auto"/>
                <w:spacing w:val="7"/>
                <w:sz w:val="21"/>
                <w:szCs w:val="21"/>
                <w:highlight w:val="none"/>
              </w:rPr>
              <w:t>其他无效情形</w:t>
            </w:r>
          </w:p>
        </w:tc>
        <w:tc>
          <w:tcPr>
            <w:tcW w:w="5985" w:type="dxa"/>
            <w:vAlign w:val="center"/>
          </w:tcPr>
          <w:p w14:paraId="474CE7C2">
            <w:pPr>
              <w:pStyle w:val="46"/>
              <w:spacing w:line="360" w:lineRule="auto"/>
              <w:ind w:left="24" w:right="-10" w:rightChars="-5"/>
              <w:jc w:val="both"/>
              <w:rPr>
                <w:color w:val="auto"/>
                <w:spacing w:val="9"/>
                <w:sz w:val="21"/>
                <w:szCs w:val="21"/>
                <w:highlight w:val="none"/>
                <w:lang w:eastAsia="zh-CN"/>
              </w:rPr>
            </w:pPr>
            <w:r>
              <w:rPr>
                <w:rFonts w:hint="eastAsia"/>
                <w:color w:val="auto"/>
                <w:spacing w:val="9"/>
                <w:sz w:val="21"/>
                <w:szCs w:val="21"/>
                <w:highlight w:val="none"/>
                <w:lang w:eastAsia="zh-CN"/>
              </w:rPr>
              <w:t>没有法律、法规、规章规定属于投标无效的其他情形。</w:t>
            </w:r>
          </w:p>
        </w:tc>
        <w:tc>
          <w:tcPr>
            <w:tcW w:w="700" w:type="dxa"/>
            <w:vAlign w:val="center"/>
          </w:tcPr>
          <w:p w14:paraId="77A81A4A">
            <w:pPr>
              <w:spacing w:line="360" w:lineRule="auto"/>
              <w:jc w:val="center"/>
              <w:rPr>
                <w:rFonts w:ascii="宋体" w:hAnsi="宋体" w:eastAsia="宋体" w:cs="宋体"/>
                <w:color w:val="auto"/>
                <w:highlight w:val="none"/>
                <w:lang w:eastAsia="zh-CN"/>
              </w:rPr>
            </w:pPr>
          </w:p>
        </w:tc>
        <w:tc>
          <w:tcPr>
            <w:tcW w:w="864" w:type="dxa"/>
            <w:vAlign w:val="center"/>
          </w:tcPr>
          <w:p w14:paraId="4AE3FEFA">
            <w:pPr>
              <w:spacing w:line="360" w:lineRule="auto"/>
              <w:jc w:val="center"/>
              <w:rPr>
                <w:rFonts w:ascii="宋体" w:hAnsi="宋体" w:eastAsia="宋体" w:cs="宋体"/>
                <w:color w:val="auto"/>
                <w:highlight w:val="none"/>
                <w:lang w:eastAsia="zh-CN"/>
              </w:rPr>
            </w:pPr>
          </w:p>
        </w:tc>
      </w:tr>
      <w:tr w14:paraId="121D3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12" w:hRule="exact"/>
          <w:jc w:val="center"/>
        </w:trPr>
        <w:tc>
          <w:tcPr>
            <w:tcW w:w="9962" w:type="dxa"/>
            <w:gridSpan w:val="5"/>
            <w:vAlign w:val="center"/>
          </w:tcPr>
          <w:p w14:paraId="4F29CFFF">
            <w:pPr>
              <w:pStyle w:val="96"/>
              <w:textAlignment w:val="center"/>
              <w:rPr>
                <w:rFonts w:hint="eastAsia" w:ascii="宋体" w:hAnsi="宋体" w:cs="宋体"/>
                <w:color w:val="auto"/>
                <w:lang w:eastAsia="zh-CN"/>
              </w:rPr>
            </w:pPr>
            <w:r>
              <w:rPr>
                <w:rFonts w:hint="eastAsia" w:ascii="宋体" w:hAnsi="宋体" w:cs="宋体"/>
                <w:color w:val="auto"/>
                <w:lang w:eastAsia="zh-CN"/>
              </w:rPr>
              <w:t>注：如果符合性审查中有一项未通过上述审查标准，评审委员会将认定整个投标文件不响应招标文件而予以无效处理，并且不允许投标供应商通过修改或撤销其不符合要求的差异或保留，使之成为具有响应性的投标。</w:t>
            </w:r>
          </w:p>
        </w:tc>
      </w:tr>
    </w:tbl>
    <w:p w14:paraId="0639E1F0">
      <w:pPr>
        <w:pStyle w:val="12"/>
        <w:tabs>
          <w:tab w:val="left" w:pos="600"/>
        </w:tabs>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3.2.1在投标文件符合性审查过程中，如果出现评标委员会成员意见不一致的情况，按照少数服从多数的原则确定，但不得违背政府采购基本原则和招标文件规定。</w:t>
      </w:r>
    </w:p>
    <w:p w14:paraId="759D69FC">
      <w:pPr>
        <w:spacing w:line="56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3.3澄清有关问题。对投标文件中含义不明确、同类问题表述不一致或者有明显文字和计算错误的内容，评标委员会可以书面形式（应当由评标委员会签字）要求投标人作出必要的澄清、说明或者补正。投标人的澄清、说明或者补正应当采用书面形式，由其授权人或者被授权人签字，并不得超出投标文件的范围或者改变投标文件的实质性内容。</w:t>
      </w:r>
    </w:p>
    <w:p w14:paraId="32F7D26C">
      <w:pPr>
        <w:spacing w:line="56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3.4比较与评价。按招标文件中规定的评标方法和标准，对符合性审查合格的投标文件进行综合比较与评价。</w:t>
      </w:r>
    </w:p>
    <w:p w14:paraId="68504609">
      <w:pPr>
        <w:spacing w:line="56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3.5推荐中标候选人名单。中标候选人数量应当根据招标文件确定，但必须按顺序排列中标候选人。</w:t>
      </w:r>
    </w:p>
    <w:p w14:paraId="6A9BA813">
      <w:pPr>
        <w:pStyle w:val="92"/>
        <w:spacing w:line="560" w:lineRule="exact"/>
        <w:rPr>
          <w:rFonts w:hint="eastAsia" w:ascii="宋体" w:hAnsi="宋体" w:eastAsia="宋体" w:cs="宋体"/>
          <w:b/>
          <w:bCs/>
          <w:color w:val="auto"/>
          <w:szCs w:val="24"/>
          <w:lang w:eastAsia="zh-CN"/>
        </w:rPr>
      </w:pPr>
      <w:r>
        <w:rPr>
          <w:rFonts w:hint="eastAsia" w:ascii="宋体" w:hAnsi="宋体" w:eastAsia="宋体" w:cs="宋体"/>
          <w:color w:val="auto"/>
          <w:szCs w:val="24"/>
          <w:lang w:eastAsia="zh-CN"/>
        </w:rPr>
        <w:t>3.5.1评标委员会根据综合评分情况，按照评标得分由高到低顺序推荐3名中标候选人，并编写评标报告。得分相同的，按投标报价由低到高顺序排列。得分且投标报价相同的</w:t>
      </w:r>
      <w:r>
        <w:rPr>
          <w:rFonts w:hint="eastAsia" w:ascii="宋体" w:hAnsi="宋体" w:eastAsia="宋体" w:cs="宋体"/>
          <w:color w:val="auto"/>
          <w:szCs w:val="24"/>
          <w:shd w:val="clear" w:color="auto" w:fill="FAFAFA"/>
          <w:lang w:eastAsia="zh-CN"/>
        </w:rPr>
        <w:t>，按照技术指标优劣顺序推荐</w:t>
      </w:r>
      <w:r>
        <w:rPr>
          <w:rFonts w:hint="eastAsia" w:ascii="宋体" w:hAnsi="宋体" w:eastAsia="宋体" w:cs="宋体"/>
          <w:color w:val="auto"/>
          <w:szCs w:val="24"/>
          <w:lang w:eastAsia="zh-CN"/>
        </w:rPr>
        <w:t>。</w:t>
      </w:r>
    </w:p>
    <w:p w14:paraId="708BD4D0">
      <w:pPr>
        <w:spacing w:line="56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3.6编写评标报告。评标报告是评标委员会根据评标委员成员签字的原始评标记录和评标结果编写的报告，其主要内容包括：</w:t>
      </w:r>
    </w:p>
    <w:p w14:paraId="3F702FB1">
      <w:pPr>
        <w:spacing w:line="56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（1）项目概况、开标日期和地点；</w:t>
      </w:r>
    </w:p>
    <w:p w14:paraId="4DE26427">
      <w:pPr>
        <w:spacing w:line="56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（2）参与竞争的的投标人名单和评标委员会成员名单；</w:t>
      </w:r>
    </w:p>
    <w:p w14:paraId="0129179F">
      <w:pPr>
        <w:spacing w:line="56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（3）评审因素和评分标准；</w:t>
      </w:r>
    </w:p>
    <w:p w14:paraId="207BCE02">
      <w:pPr>
        <w:spacing w:line="56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（4）开标记录和评标情况及说明，包括投标无效投标人名单及原因；</w:t>
      </w:r>
    </w:p>
    <w:p w14:paraId="489AF2C0">
      <w:pPr>
        <w:spacing w:line="56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（5）评标结果和中标候选人排序。</w:t>
      </w:r>
    </w:p>
    <w:p w14:paraId="7B5F94CA">
      <w:pPr>
        <w:spacing w:line="56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4. 评标细则及标准</w:t>
      </w:r>
    </w:p>
    <w:p w14:paraId="1CDBF43C">
      <w:pPr>
        <w:spacing w:line="56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4.1 评标委员会只对通过符合性审查的投标文件，根据招标文件的要求采用相同的评标程序、评分办法及标准进行评价和比较。</w:t>
      </w:r>
    </w:p>
    <w:p w14:paraId="3D35562C">
      <w:pPr>
        <w:spacing w:line="56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4.2 本次综合评分的因素是：商务、价格、技术服务、业绩、对招标文件的响应程度以及投标文件规范性等。</w:t>
      </w:r>
    </w:p>
    <w:p w14:paraId="4237AE8D">
      <w:pPr>
        <w:spacing w:line="56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4.3 除价格因素外，评标委员会成员应依据投标文件规定的评审因素和评分标准进行比较打分。</w:t>
      </w:r>
    </w:p>
    <w:p w14:paraId="6D302585">
      <w:pPr>
        <w:spacing w:line="56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4.4 评标细则及标准的制定以科学合理、降低评标委员会自由裁量权为原则。</w:t>
      </w:r>
    </w:p>
    <w:p w14:paraId="6B1C5866">
      <w:pPr>
        <w:spacing w:line="56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4.5 评标委员会将按照下述评分标准对通过符合性审查的投标文件进行详细评标，投标人评标得分等于所有评委评分的算术平均值，结果保留两位小数。</w:t>
      </w:r>
    </w:p>
    <w:p w14:paraId="39782F46">
      <w:pPr>
        <w:spacing w:line="5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评审因素权重表</w:t>
      </w:r>
    </w:p>
    <w:tbl>
      <w:tblPr>
        <w:tblStyle w:val="36"/>
        <w:tblW w:w="96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0"/>
        <w:gridCol w:w="2225"/>
        <w:gridCol w:w="2527"/>
        <w:gridCol w:w="3042"/>
      </w:tblGrid>
      <w:tr w14:paraId="253AF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810" w:type="dxa"/>
            <w:tcBorders>
              <w:top w:val="single" w:color="auto" w:sz="4" w:space="0"/>
              <w:left w:val="single" w:color="auto" w:sz="4" w:space="0"/>
              <w:bottom w:val="single" w:color="auto" w:sz="4" w:space="0"/>
              <w:right w:val="single" w:color="auto" w:sz="4" w:space="0"/>
            </w:tcBorders>
            <w:vAlign w:val="center"/>
          </w:tcPr>
          <w:p w14:paraId="52BA71C3">
            <w:pPr>
              <w:spacing w:line="560" w:lineRule="exact"/>
              <w:jc w:val="center"/>
              <w:rPr>
                <w:rFonts w:hint="eastAsia" w:ascii="宋体" w:hAnsi="宋体" w:eastAsia="宋体" w:cs="宋体"/>
                <w:color w:val="auto"/>
                <w:spacing w:val="6"/>
                <w:sz w:val="24"/>
                <w:szCs w:val="24"/>
              </w:rPr>
            </w:pPr>
            <w:r>
              <w:rPr>
                <w:rFonts w:hint="eastAsia" w:ascii="宋体" w:hAnsi="宋体" w:eastAsia="宋体" w:cs="宋体"/>
                <w:color w:val="auto"/>
                <w:spacing w:val="6"/>
                <w:sz w:val="24"/>
                <w:szCs w:val="24"/>
              </w:rPr>
              <w:t>序号</w:t>
            </w:r>
          </w:p>
        </w:tc>
        <w:tc>
          <w:tcPr>
            <w:tcW w:w="2225" w:type="dxa"/>
            <w:tcBorders>
              <w:top w:val="single" w:color="auto" w:sz="4" w:space="0"/>
              <w:left w:val="single" w:color="auto" w:sz="4" w:space="0"/>
              <w:bottom w:val="single" w:color="auto" w:sz="4" w:space="0"/>
              <w:right w:val="single" w:color="auto" w:sz="4" w:space="0"/>
            </w:tcBorders>
            <w:vAlign w:val="center"/>
          </w:tcPr>
          <w:p w14:paraId="55AB1DCE">
            <w:pPr>
              <w:spacing w:line="560" w:lineRule="exact"/>
              <w:jc w:val="center"/>
              <w:rPr>
                <w:rFonts w:hint="eastAsia" w:ascii="宋体" w:hAnsi="宋体" w:eastAsia="宋体" w:cs="宋体"/>
                <w:color w:val="auto"/>
                <w:spacing w:val="6"/>
                <w:sz w:val="24"/>
                <w:szCs w:val="24"/>
              </w:rPr>
            </w:pPr>
            <w:r>
              <w:rPr>
                <w:rFonts w:hint="eastAsia" w:ascii="宋体" w:hAnsi="宋体" w:eastAsia="宋体" w:cs="宋体"/>
                <w:color w:val="auto"/>
                <w:spacing w:val="6"/>
                <w:sz w:val="24"/>
                <w:szCs w:val="24"/>
              </w:rPr>
              <w:t>1</w:t>
            </w:r>
          </w:p>
        </w:tc>
        <w:tc>
          <w:tcPr>
            <w:tcW w:w="2527" w:type="dxa"/>
            <w:tcBorders>
              <w:top w:val="single" w:color="auto" w:sz="4" w:space="0"/>
              <w:left w:val="single" w:color="auto" w:sz="4" w:space="0"/>
              <w:bottom w:val="single" w:color="auto" w:sz="4" w:space="0"/>
              <w:right w:val="single" w:color="auto" w:sz="4" w:space="0"/>
            </w:tcBorders>
            <w:vAlign w:val="center"/>
          </w:tcPr>
          <w:p w14:paraId="20A34B1E">
            <w:pPr>
              <w:spacing w:line="560" w:lineRule="exact"/>
              <w:jc w:val="center"/>
              <w:rPr>
                <w:rFonts w:hint="eastAsia" w:ascii="宋体" w:hAnsi="宋体" w:eastAsia="宋体" w:cs="宋体"/>
                <w:color w:val="auto"/>
                <w:spacing w:val="6"/>
                <w:sz w:val="24"/>
                <w:szCs w:val="24"/>
              </w:rPr>
            </w:pPr>
            <w:r>
              <w:rPr>
                <w:rFonts w:hint="eastAsia" w:ascii="宋体" w:hAnsi="宋体" w:eastAsia="宋体" w:cs="宋体"/>
                <w:color w:val="auto"/>
                <w:spacing w:val="6"/>
                <w:sz w:val="24"/>
                <w:szCs w:val="24"/>
              </w:rPr>
              <w:t>2</w:t>
            </w:r>
          </w:p>
        </w:tc>
        <w:tc>
          <w:tcPr>
            <w:tcW w:w="3042" w:type="dxa"/>
            <w:tcBorders>
              <w:top w:val="single" w:color="auto" w:sz="4" w:space="0"/>
              <w:left w:val="single" w:color="auto" w:sz="4" w:space="0"/>
              <w:bottom w:val="single" w:color="auto" w:sz="4" w:space="0"/>
              <w:right w:val="single" w:color="auto" w:sz="4" w:space="0"/>
            </w:tcBorders>
            <w:vAlign w:val="center"/>
          </w:tcPr>
          <w:p w14:paraId="33858B3A">
            <w:pPr>
              <w:spacing w:line="560" w:lineRule="exact"/>
              <w:jc w:val="center"/>
              <w:rPr>
                <w:rFonts w:hint="eastAsia" w:ascii="宋体" w:hAnsi="宋体" w:eastAsia="宋体" w:cs="宋体"/>
                <w:color w:val="auto"/>
                <w:spacing w:val="6"/>
                <w:sz w:val="24"/>
                <w:szCs w:val="24"/>
              </w:rPr>
            </w:pPr>
            <w:r>
              <w:rPr>
                <w:rFonts w:hint="eastAsia" w:ascii="宋体" w:hAnsi="宋体" w:eastAsia="宋体" w:cs="宋体"/>
                <w:color w:val="auto"/>
                <w:spacing w:val="6"/>
                <w:sz w:val="24"/>
                <w:szCs w:val="24"/>
              </w:rPr>
              <w:t>3</w:t>
            </w:r>
          </w:p>
        </w:tc>
      </w:tr>
      <w:tr w14:paraId="65D00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810" w:type="dxa"/>
            <w:tcBorders>
              <w:top w:val="single" w:color="auto" w:sz="4" w:space="0"/>
              <w:left w:val="single" w:color="auto" w:sz="4" w:space="0"/>
              <w:bottom w:val="single" w:color="auto" w:sz="4" w:space="0"/>
              <w:right w:val="single" w:color="auto" w:sz="4" w:space="0"/>
            </w:tcBorders>
            <w:vAlign w:val="center"/>
          </w:tcPr>
          <w:p w14:paraId="61D32587">
            <w:pPr>
              <w:spacing w:line="560" w:lineRule="exact"/>
              <w:jc w:val="center"/>
              <w:rPr>
                <w:rFonts w:hint="eastAsia" w:ascii="宋体" w:hAnsi="宋体" w:eastAsia="宋体" w:cs="宋体"/>
                <w:color w:val="auto"/>
                <w:spacing w:val="6"/>
                <w:sz w:val="24"/>
                <w:szCs w:val="24"/>
              </w:rPr>
            </w:pPr>
            <w:r>
              <w:rPr>
                <w:rFonts w:hint="eastAsia" w:ascii="宋体" w:hAnsi="宋体" w:eastAsia="宋体" w:cs="宋体"/>
                <w:color w:val="auto"/>
                <w:spacing w:val="6"/>
                <w:sz w:val="24"/>
                <w:szCs w:val="24"/>
              </w:rPr>
              <w:t>评审因素</w:t>
            </w:r>
          </w:p>
        </w:tc>
        <w:tc>
          <w:tcPr>
            <w:tcW w:w="2225" w:type="dxa"/>
            <w:tcBorders>
              <w:top w:val="single" w:color="auto" w:sz="4" w:space="0"/>
              <w:left w:val="single" w:color="auto" w:sz="4" w:space="0"/>
              <w:bottom w:val="single" w:color="auto" w:sz="4" w:space="0"/>
              <w:right w:val="single" w:color="auto" w:sz="4" w:space="0"/>
            </w:tcBorders>
            <w:vAlign w:val="center"/>
          </w:tcPr>
          <w:p w14:paraId="7C53886D">
            <w:pPr>
              <w:spacing w:line="560" w:lineRule="exact"/>
              <w:jc w:val="center"/>
              <w:rPr>
                <w:rFonts w:hint="eastAsia" w:ascii="宋体" w:hAnsi="宋体" w:eastAsia="宋体" w:cs="宋体"/>
                <w:color w:val="auto"/>
                <w:spacing w:val="6"/>
                <w:sz w:val="24"/>
                <w:szCs w:val="24"/>
              </w:rPr>
            </w:pPr>
            <w:r>
              <w:rPr>
                <w:rFonts w:hint="eastAsia" w:ascii="宋体" w:hAnsi="宋体" w:eastAsia="宋体" w:cs="宋体"/>
                <w:color w:val="auto"/>
                <w:spacing w:val="6"/>
                <w:sz w:val="24"/>
                <w:szCs w:val="24"/>
              </w:rPr>
              <w:t>投标报价</w:t>
            </w:r>
          </w:p>
        </w:tc>
        <w:tc>
          <w:tcPr>
            <w:tcW w:w="2527" w:type="dxa"/>
            <w:tcBorders>
              <w:top w:val="single" w:color="auto" w:sz="4" w:space="0"/>
              <w:left w:val="single" w:color="auto" w:sz="4" w:space="0"/>
              <w:bottom w:val="single" w:color="auto" w:sz="4" w:space="0"/>
              <w:right w:val="single" w:color="auto" w:sz="4" w:space="0"/>
            </w:tcBorders>
            <w:vAlign w:val="center"/>
          </w:tcPr>
          <w:p w14:paraId="2BA5BC61">
            <w:pPr>
              <w:spacing w:line="560" w:lineRule="exact"/>
              <w:jc w:val="center"/>
              <w:rPr>
                <w:rFonts w:hint="eastAsia" w:ascii="宋体" w:hAnsi="宋体" w:eastAsia="宋体" w:cs="宋体"/>
                <w:color w:val="auto"/>
                <w:spacing w:val="6"/>
                <w:sz w:val="24"/>
                <w:szCs w:val="24"/>
              </w:rPr>
            </w:pPr>
            <w:r>
              <w:rPr>
                <w:rFonts w:hint="eastAsia" w:ascii="宋体" w:hAnsi="宋体" w:eastAsia="宋体" w:cs="宋体"/>
                <w:color w:val="auto"/>
                <w:spacing w:val="6"/>
                <w:sz w:val="24"/>
                <w:szCs w:val="24"/>
              </w:rPr>
              <w:t>技术、商务部分</w:t>
            </w:r>
          </w:p>
        </w:tc>
        <w:tc>
          <w:tcPr>
            <w:tcW w:w="3042" w:type="dxa"/>
            <w:tcBorders>
              <w:top w:val="single" w:color="auto" w:sz="4" w:space="0"/>
              <w:left w:val="single" w:color="auto" w:sz="4" w:space="0"/>
              <w:bottom w:val="single" w:color="auto" w:sz="4" w:space="0"/>
              <w:right w:val="single" w:color="auto" w:sz="4" w:space="0"/>
            </w:tcBorders>
            <w:vAlign w:val="center"/>
          </w:tcPr>
          <w:p w14:paraId="1038959B">
            <w:pPr>
              <w:spacing w:line="560" w:lineRule="exact"/>
              <w:jc w:val="center"/>
              <w:rPr>
                <w:rFonts w:hint="eastAsia" w:ascii="宋体" w:hAnsi="宋体" w:eastAsia="宋体" w:cs="宋体"/>
                <w:color w:val="auto"/>
                <w:spacing w:val="6"/>
                <w:sz w:val="24"/>
                <w:szCs w:val="24"/>
              </w:rPr>
            </w:pPr>
            <w:r>
              <w:rPr>
                <w:rFonts w:hint="eastAsia" w:ascii="宋体" w:hAnsi="宋体" w:eastAsia="宋体" w:cs="宋体"/>
                <w:color w:val="auto"/>
                <w:spacing w:val="6"/>
                <w:sz w:val="24"/>
                <w:szCs w:val="24"/>
              </w:rPr>
              <w:t>合计</w:t>
            </w:r>
          </w:p>
        </w:tc>
      </w:tr>
      <w:tr w14:paraId="3D712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1810" w:type="dxa"/>
            <w:tcBorders>
              <w:top w:val="single" w:color="auto" w:sz="4" w:space="0"/>
              <w:left w:val="single" w:color="auto" w:sz="4" w:space="0"/>
              <w:bottom w:val="single" w:color="auto" w:sz="4" w:space="0"/>
              <w:right w:val="single" w:color="auto" w:sz="4" w:space="0"/>
            </w:tcBorders>
            <w:vAlign w:val="center"/>
          </w:tcPr>
          <w:p w14:paraId="79FF24C0">
            <w:pPr>
              <w:spacing w:line="560" w:lineRule="exact"/>
              <w:jc w:val="center"/>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权重</w:t>
            </w:r>
          </w:p>
        </w:tc>
        <w:tc>
          <w:tcPr>
            <w:tcW w:w="2225" w:type="dxa"/>
            <w:tcBorders>
              <w:top w:val="single" w:color="auto" w:sz="4" w:space="0"/>
              <w:left w:val="single" w:color="auto" w:sz="4" w:space="0"/>
              <w:bottom w:val="single" w:color="auto" w:sz="4" w:space="0"/>
              <w:right w:val="single" w:color="auto" w:sz="4" w:space="0"/>
            </w:tcBorders>
            <w:vAlign w:val="center"/>
          </w:tcPr>
          <w:p w14:paraId="4C31C20D">
            <w:pPr>
              <w:spacing w:line="560" w:lineRule="exact"/>
              <w:jc w:val="center"/>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lang w:val="en-US" w:eastAsia="zh-CN"/>
              </w:rPr>
              <w:t>1</w:t>
            </w:r>
            <w:r>
              <w:rPr>
                <w:rFonts w:hint="eastAsia" w:ascii="宋体" w:hAnsi="宋体" w:eastAsia="宋体" w:cs="宋体"/>
                <w:color w:val="auto"/>
                <w:spacing w:val="6"/>
                <w:sz w:val="24"/>
                <w:szCs w:val="24"/>
                <w:highlight w:val="none"/>
                <w:lang w:eastAsia="zh-CN"/>
              </w:rPr>
              <w:t>0</w:t>
            </w:r>
            <w:r>
              <w:rPr>
                <w:rFonts w:hint="eastAsia" w:ascii="宋体" w:hAnsi="宋体" w:eastAsia="宋体" w:cs="宋体"/>
                <w:color w:val="auto"/>
                <w:spacing w:val="6"/>
                <w:sz w:val="24"/>
                <w:szCs w:val="24"/>
                <w:highlight w:val="none"/>
              </w:rPr>
              <w:t>%</w:t>
            </w:r>
          </w:p>
        </w:tc>
        <w:tc>
          <w:tcPr>
            <w:tcW w:w="2527" w:type="dxa"/>
            <w:tcBorders>
              <w:top w:val="single" w:color="auto" w:sz="4" w:space="0"/>
              <w:left w:val="single" w:color="auto" w:sz="4" w:space="0"/>
              <w:bottom w:val="single" w:color="auto" w:sz="4" w:space="0"/>
              <w:right w:val="single" w:color="auto" w:sz="4" w:space="0"/>
            </w:tcBorders>
            <w:vAlign w:val="center"/>
          </w:tcPr>
          <w:p w14:paraId="2BEE4092">
            <w:pPr>
              <w:spacing w:line="560" w:lineRule="exact"/>
              <w:jc w:val="center"/>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lang w:val="en-US" w:eastAsia="zh-CN"/>
              </w:rPr>
              <w:t>9</w:t>
            </w:r>
            <w:r>
              <w:rPr>
                <w:rFonts w:hint="eastAsia" w:ascii="宋体" w:hAnsi="宋体" w:eastAsia="宋体" w:cs="宋体"/>
                <w:color w:val="auto"/>
                <w:spacing w:val="6"/>
                <w:sz w:val="24"/>
                <w:szCs w:val="24"/>
                <w:highlight w:val="none"/>
              </w:rPr>
              <w:t>0%</w:t>
            </w:r>
          </w:p>
        </w:tc>
        <w:tc>
          <w:tcPr>
            <w:tcW w:w="3042" w:type="dxa"/>
            <w:tcBorders>
              <w:top w:val="single" w:color="auto" w:sz="4" w:space="0"/>
              <w:left w:val="single" w:color="auto" w:sz="4" w:space="0"/>
              <w:bottom w:val="single" w:color="auto" w:sz="4" w:space="0"/>
              <w:right w:val="single" w:color="auto" w:sz="4" w:space="0"/>
            </w:tcBorders>
            <w:vAlign w:val="center"/>
          </w:tcPr>
          <w:p w14:paraId="6E2FDE54">
            <w:pPr>
              <w:spacing w:line="560" w:lineRule="exact"/>
              <w:jc w:val="center"/>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100%</w:t>
            </w:r>
          </w:p>
        </w:tc>
      </w:tr>
    </w:tbl>
    <w:p w14:paraId="63FF6C9C">
      <w:pPr>
        <w:pStyle w:val="12"/>
        <w:tabs>
          <w:tab w:val="left" w:pos="600"/>
        </w:tabs>
        <w:spacing w:line="560" w:lineRule="exact"/>
        <w:ind w:firstLine="0"/>
        <w:jc w:val="center"/>
        <w:outlineLvl w:val="1"/>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商务、技术部分评审标准（</w:t>
      </w:r>
      <w:r>
        <w:rPr>
          <w:rFonts w:hint="eastAsia" w:ascii="宋体" w:hAnsi="宋体" w:eastAsia="宋体" w:cs="宋体"/>
          <w:b/>
          <w:bCs/>
          <w:color w:val="auto"/>
          <w:sz w:val="24"/>
          <w:szCs w:val="24"/>
          <w:highlight w:val="none"/>
          <w:lang w:val="en-US" w:eastAsia="zh-CN"/>
        </w:rPr>
        <w:t>9</w:t>
      </w:r>
      <w:r>
        <w:rPr>
          <w:rFonts w:hint="eastAsia" w:ascii="宋体" w:hAnsi="宋体" w:eastAsia="宋体" w:cs="宋体"/>
          <w:b/>
          <w:bCs/>
          <w:color w:val="auto"/>
          <w:sz w:val="24"/>
          <w:szCs w:val="24"/>
          <w:highlight w:val="none"/>
        </w:rPr>
        <w:t>0分）</w:t>
      </w:r>
    </w:p>
    <w:p w14:paraId="115E50C4">
      <w:pPr>
        <w:pStyle w:val="13"/>
        <w:rPr>
          <w:highlight w:val="none"/>
        </w:rPr>
      </w:pPr>
    </w:p>
    <w:tbl>
      <w:tblPr>
        <w:tblStyle w:val="36"/>
        <w:tblW w:w="100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1"/>
        <w:gridCol w:w="587"/>
        <w:gridCol w:w="850"/>
        <w:gridCol w:w="851"/>
        <w:gridCol w:w="7201"/>
      </w:tblGrid>
      <w:tr w14:paraId="26FE3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601" w:type="dxa"/>
            <w:tcBorders>
              <w:top w:val="single" w:color="auto" w:sz="4" w:space="0"/>
              <w:left w:val="single" w:color="auto" w:sz="4" w:space="0"/>
              <w:right w:val="single" w:color="auto" w:sz="4" w:space="0"/>
            </w:tcBorders>
            <w:vAlign w:val="center"/>
          </w:tcPr>
          <w:p w14:paraId="58F689B1">
            <w:pPr>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评审</w:t>
            </w:r>
          </w:p>
        </w:tc>
        <w:tc>
          <w:tcPr>
            <w:tcW w:w="587" w:type="dxa"/>
            <w:tcBorders>
              <w:top w:val="single" w:color="auto" w:sz="4" w:space="0"/>
              <w:left w:val="single" w:color="auto" w:sz="4" w:space="0"/>
              <w:right w:val="single" w:color="auto" w:sz="4" w:space="0"/>
            </w:tcBorders>
            <w:vAlign w:val="center"/>
          </w:tcPr>
          <w:p w14:paraId="050D3028">
            <w:pPr>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850" w:type="dxa"/>
            <w:tcBorders>
              <w:top w:val="single" w:color="auto" w:sz="4" w:space="0"/>
              <w:left w:val="single" w:color="auto" w:sz="4" w:space="0"/>
              <w:bottom w:val="single" w:color="auto" w:sz="4" w:space="0"/>
              <w:right w:val="single" w:color="auto" w:sz="4" w:space="0"/>
            </w:tcBorders>
            <w:vAlign w:val="center"/>
          </w:tcPr>
          <w:p w14:paraId="65FD34BD">
            <w:pPr>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评审项目</w:t>
            </w:r>
          </w:p>
        </w:tc>
        <w:tc>
          <w:tcPr>
            <w:tcW w:w="851" w:type="dxa"/>
            <w:tcBorders>
              <w:top w:val="single" w:color="auto" w:sz="4" w:space="0"/>
              <w:left w:val="single" w:color="auto" w:sz="4" w:space="0"/>
              <w:bottom w:val="single" w:color="auto" w:sz="4" w:space="0"/>
              <w:right w:val="single" w:color="auto" w:sz="4" w:space="0"/>
            </w:tcBorders>
            <w:vAlign w:val="center"/>
          </w:tcPr>
          <w:p w14:paraId="3DDD1811">
            <w:pPr>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分值 </w:t>
            </w:r>
          </w:p>
          <w:p w14:paraId="65F1231C">
            <w:pPr>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0分）</w:t>
            </w:r>
          </w:p>
        </w:tc>
        <w:tc>
          <w:tcPr>
            <w:tcW w:w="7201" w:type="dxa"/>
            <w:tcBorders>
              <w:top w:val="single" w:color="auto" w:sz="4" w:space="0"/>
              <w:left w:val="single" w:color="auto" w:sz="4" w:space="0"/>
              <w:bottom w:val="single" w:color="auto" w:sz="4" w:space="0"/>
              <w:right w:val="single" w:color="auto" w:sz="4" w:space="0"/>
            </w:tcBorders>
            <w:vAlign w:val="center"/>
          </w:tcPr>
          <w:p w14:paraId="6EDCC854">
            <w:pPr>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评审标准</w:t>
            </w:r>
          </w:p>
        </w:tc>
      </w:tr>
      <w:tr w14:paraId="49EB5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1" w:type="dxa"/>
            <w:vMerge w:val="restart"/>
            <w:tcBorders>
              <w:left w:val="single" w:color="auto" w:sz="4" w:space="0"/>
              <w:right w:val="single" w:color="auto" w:sz="4" w:space="0"/>
            </w:tcBorders>
            <w:vAlign w:val="center"/>
          </w:tcPr>
          <w:p w14:paraId="00E73F8C">
            <w:pPr>
              <w:spacing w:line="240" w:lineRule="auto"/>
              <w:jc w:val="center"/>
              <w:rPr>
                <w:rFonts w:hint="default" w:ascii="宋体" w:hAnsi="宋体" w:eastAsia="宋体" w:cs="宋体"/>
                <w:color w:val="auto"/>
                <w:spacing w:val="6"/>
                <w:sz w:val="24"/>
                <w:szCs w:val="24"/>
                <w:highlight w:val="none"/>
                <w:lang w:val="en-US" w:eastAsia="zh-CN"/>
              </w:rPr>
            </w:pPr>
            <w:r>
              <w:rPr>
                <w:rFonts w:hint="eastAsia" w:ascii="宋体" w:hAnsi="宋体" w:eastAsia="宋体" w:cs="宋体"/>
                <w:color w:val="auto"/>
                <w:spacing w:val="6"/>
                <w:sz w:val="24"/>
                <w:szCs w:val="24"/>
                <w:highlight w:val="none"/>
                <w:lang w:val="en-US" w:eastAsia="zh-CN"/>
              </w:rPr>
              <w:t>商务部分</w:t>
            </w:r>
          </w:p>
        </w:tc>
        <w:tc>
          <w:tcPr>
            <w:tcW w:w="587" w:type="dxa"/>
            <w:tcBorders>
              <w:left w:val="single" w:color="auto" w:sz="4" w:space="0"/>
              <w:right w:val="single" w:color="auto" w:sz="4" w:space="0"/>
            </w:tcBorders>
            <w:vAlign w:val="center"/>
          </w:tcPr>
          <w:p w14:paraId="427D80ED">
            <w:pPr>
              <w:spacing w:line="240" w:lineRule="auto"/>
              <w:jc w:val="center"/>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1</w:t>
            </w:r>
          </w:p>
        </w:tc>
        <w:tc>
          <w:tcPr>
            <w:tcW w:w="850" w:type="dxa"/>
            <w:tcBorders>
              <w:top w:val="single" w:color="auto" w:sz="4" w:space="0"/>
              <w:left w:val="single" w:color="auto" w:sz="4" w:space="0"/>
              <w:bottom w:val="single" w:color="auto" w:sz="4" w:space="0"/>
              <w:right w:val="single" w:color="auto" w:sz="4" w:space="0"/>
            </w:tcBorders>
            <w:vAlign w:val="center"/>
          </w:tcPr>
          <w:p w14:paraId="63C7DE3C">
            <w:pPr>
              <w:spacing w:line="240" w:lineRule="auto"/>
              <w:jc w:val="center"/>
              <w:rPr>
                <w:rFonts w:hint="eastAsia" w:ascii="宋体" w:hAnsi="宋体" w:eastAsia="宋体" w:cs="宋体"/>
                <w:color w:val="auto"/>
                <w:spacing w:val="6"/>
                <w:sz w:val="24"/>
                <w:szCs w:val="24"/>
                <w:highlight w:val="none"/>
              </w:rPr>
            </w:pPr>
            <w:r>
              <w:rPr>
                <w:rFonts w:hint="eastAsia" w:ascii="宋体" w:hAnsi="宋体" w:eastAsia="宋体" w:cs="宋体"/>
                <w:color w:val="auto"/>
                <w:sz w:val="24"/>
                <w:szCs w:val="24"/>
                <w:highlight w:val="none"/>
              </w:rPr>
              <w:t>类似业绩</w:t>
            </w:r>
          </w:p>
        </w:tc>
        <w:tc>
          <w:tcPr>
            <w:tcW w:w="851" w:type="dxa"/>
            <w:tcBorders>
              <w:top w:val="single" w:color="auto" w:sz="4" w:space="0"/>
              <w:left w:val="single" w:color="auto" w:sz="4" w:space="0"/>
              <w:bottom w:val="single" w:color="auto" w:sz="4" w:space="0"/>
              <w:right w:val="single" w:color="auto" w:sz="4" w:space="0"/>
            </w:tcBorders>
            <w:vAlign w:val="center"/>
          </w:tcPr>
          <w:p w14:paraId="05A59CCF">
            <w:pPr>
              <w:spacing w:line="240" w:lineRule="auto"/>
              <w:jc w:val="center"/>
              <w:rPr>
                <w:rFonts w:hint="eastAsia" w:ascii="宋体" w:hAnsi="宋体" w:eastAsia="宋体" w:cs="宋体"/>
                <w:color w:val="auto"/>
                <w:spacing w:val="6"/>
                <w:sz w:val="24"/>
                <w:szCs w:val="24"/>
                <w:highlight w:val="none"/>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分</w:t>
            </w:r>
          </w:p>
        </w:tc>
        <w:tc>
          <w:tcPr>
            <w:tcW w:w="7201" w:type="dxa"/>
            <w:tcBorders>
              <w:top w:val="single" w:color="auto" w:sz="4" w:space="0"/>
              <w:left w:val="single" w:color="auto" w:sz="4" w:space="0"/>
              <w:bottom w:val="single" w:color="auto" w:sz="4" w:space="0"/>
              <w:right w:val="single" w:color="auto" w:sz="4" w:space="0"/>
            </w:tcBorders>
            <w:vAlign w:val="center"/>
          </w:tcPr>
          <w:p w14:paraId="3D7D7216">
            <w:pPr>
              <w:spacing w:line="24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投标人近三年（202</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年01月01日-至今）完成的类似业绩进行评审，每提供一项得</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eastAsia="zh-CN"/>
              </w:rPr>
              <w:t>分，最高得</w:t>
            </w: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lang w:eastAsia="zh-CN"/>
              </w:rPr>
              <w:t>分，</w:t>
            </w:r>
            <w:r>
              <w:rPr>
                <w:rFonts w:hint="eastAsia" w:ascii="宋体" w:hAnsi="宋体" w:eastAsia="宋体" w:cs="宋体"/>
                <w:color w:val="auto"/>
                <w:sz w:val="24"/>
                <w:szCs w:val="24"/>
                <w:highlight w:val="none"/>
                <w:lang w:val="en-US" w:eastAsia="zh-CN"/>
              </w:rPr>
              <w:t>未提供</w:t>
            </w:r>
            <w:r>
              <w:rPr>
                <w:rFonts w:hint="eastAsia" w:ascii="宋体" w:hAnsi="宋体" w:eastAsia="宋体" w:cs="宋体"/>
                <w:color w:val="auto"/>
                <w:sz w:val="24"/>
                <w:szCs w:val="24"/>
                <w:highlight w:val="none"/>
                <w:lang w:eastAsia="zh-CN"/>
              </w:rPr>
              <w:t>不得分。</w:t>
            </w:r>
          </w:p>
          <w:p w14:paraId="7D57605A">
            <w:pPr>
              <w:spacing w:line="24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注：投标人须提供中标通知书或合同(合同至少包含合同首页、关键页、签订时间、双方签章页等)，业绩认定日期以中标通知书或合同签订日期为准。</w:t>
            </w:r>
          </w:p>
        </w:tc>
      </w:tr>
      <w:tr w14:paraId="14FE2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2" w:hRule="atLeast"/>
          <w:jc w:val="center"/>
        </w:trPr>
        <w:tc>
          <w:tcPr>
            <w:tcW w:w="601" w:type="dxa"/>
            <w:vMerge w:val="continue"/>
            <w:tcBorders>
              <w:left w:val="single" w:color="auto" w:sz="4" w:space="0"/>
              <w:right w:val="single" w:color="auto" w:sz="4" w:space="0"/>
            </w:tcBorders>
            <w:vAlign w:val="center"/>
          </w:tcPr>
          <w:p w14:paraId="653A6F46">
            <w:pPr>
              <w:spacing w:line="240" w:lineRule="auto"/>
              <w:jc w:val="center"/>
              <w:rPr>
                <w:rFonts w:hint="eastAsia" w:ascii="宋体" w:hAnsi="宋体" w:eastAsia="宋体" w:cs="宋体"/>
                <w:color w:val="auto"/>
                <w:spacing w:val="6"/>
                <w:sz w:val="24"/>
                <w:szCs w:val="24"/>
                <w:highlight w:val="none"/>
                <w:lang w:eastAsia="zh-CN"/>
              </w:rPr>
            </w:pPr>
          </w:p>
        </w:tc>
        <w:tc>
          <w:tcPr>
            <w:tcW w:w="587" w:type="dxa"/>
            <w:tcBorders>
              <w:left w:val="single" w:color="auto" w:sz="4" w:space="0"/>
              <w:right w:val="single" w:color="auto" w:sz="4" w:space="0"/>
            </w:tcBorders>
            <w:vAlign w:val="center"/>
          </w:tcPr>
          <w:p w14:paraId="0DCBB1FD">
            <w:pPr>
              <w:spacing w:line="240" w:lineRule="auto"/>
              <w:jc w:val="center"/>
              <w:rPr>
                <w:rFonts w:hint="eastAsia" w:ascii="宋体" w:hAnsi="宋体" w:eastAsia="宋体" w:cs="宋体"/>
                <w:color w:val="auto"/>
                <w:spacing w:val="6"/>
                <w:sz w:val="24"/>
                <w:szCs w:val="24"/>
                <w:highlight w:val="none"/>
                <w:lang w:eastAsia="zh-CN"/>
              </w:rPr>
            </w:pPr>
            <w:r>
              <w:rPr>
                <w:rFonts w:hint="eastAsia" w:ascii="宋体" w:hAnsi="宋体" w:eastAsia="宋体" w:cs="宋体"/>
                <w:color w:val="auto"/>
                <w:spacing w:val="6"/>
                <w:sz w:val="24"/>
                <w:szCs w:val="24"/>
                <w:highlight w:val="none"/>
                <w:lang w:eastAsia="zh-CN"/>
              </w:rPr>
              <w:t>2</w:t>
            </w:r>
          </w:p>
        </w:tc>
        <w:tc>
          <w:tcPr>
            <w:tcW w:w="850" w:type="dxa"/>
            <w:tcBorders>
              <w:top w:val="single" w:color="auto" w:sz="4" w:space="0"/>
              <w:left w:val="single" w:color="auto" w:sz="4" w:space="0"/>
              <w:bottom w:val="single" w:color="auto" w:sz="4" w:space="0"/>
              <w:right w:val="single" w:color="auto" w:sz="4" w:space="0"/>
            </w:tcBorders>
            <w:vAlign w:val="center"/>
          </w:tcPr>
          <w:p w14:paraId="5A77FD6B">
            <w:pPr>
              <w:spacing w:line="24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项目负责人</w:t>
            </w:r>
          </w:p>
        </w:tc>
        <w:tc>
          <w:tcPr>
            <w:tcW w:w="851" w:type="dxa"/>
            <w:tcBorders>
              <w:top w:val="single" w:color="auto" w:sz="4" w:space="0"/>
              <w:left w:val="single" w:color="auto" w:sz="4" w:space="0"/>
              <w:bottom w:val="single" w:color="auto" w:sz="4" w:space="0"/>
              <w:right w:val="single" w:color="auto" w:sz="4" w:space="0"/>
            </w:tcBorders>
            <w:vAlign w:val="center"/>
          </w:tcPr>
          <w:p w14:paraId="4841C8CA">
            <w:pPr>
              <w:spacing w:line="24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8分</w:t>
            </w:r>
          </w:p>
        </w:tc>
        <w:tc>
          <w:tcPr>
            <w:tcW w:w="7201" w:type="dxa"/>
            <w:tcBorders>
              <w:top w:val="single" w:color="auto" w:sz="4" w:space="0"/>
              <w:left w:val="single" w:color="auto" w:sz="4" w:space="0"/>
              <w:bottom w:val="single" w:color="auto" w:sz="4" w:space="0"/>
              <w:right w:val="single" w:color="auto" w:sz="4" w:space="0"/>
            </w:tcBorders>
            <w:vAlign w:val="center"/>
          </w:tcPr>
          <w:p w14:paraId="2AF81A0A">
            <w:pPr>
              <w:spacing w:line="24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项目负责人近三年类似业绩，每提供一项得2分，最高得4分，未提供不得分。【须提供中标通知书或合同(合同至少包含合同首页、关键页、签订时间、双方签章页等)，业绩认定日期以中标通知书或合同签订日期为准，业绩须反映项目负责人】</w:t>
            </w:r>
          </w:p>
          <w:p w14:paraId="512E8F77">
            <w:pPr>
              <w:spacing w:line="24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项目负责人须具有三年以上工作经验，提供证明材料得4分，未提供不得分。【须提供项目负责人身份证、劳动合同、工资发放证明、相关专业的职业资格或职称或注册证书或岗位证或中标通知书或合同等，日期以相关证书初始取得年限或中标通知书或合同签订日期为准】</w:t>
            </w:r>
          </w:p>
        </w:tc>
      </w:tr>
      <w:tr w14:paraId="46D5C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2" w:hRule="atLeast"/>
          <w:jc w:val="center"/>
        </w:trPr>
        <w:tc>
          <w:tcPr>
            <w:tcW w:w="601" w:type="dxa"/>
            <w:vMerge w:val="continue"/>
            <w:tcBorders>
              <w:left w:val="single" w:color="auto" w:sz="4" w:space="0"/>
              <w:right w:val="single" w:color="auto" w:sz="4" w:space="0"/>
            </w:tcBorders>
            <w:vAlign w:val="center"/>
          </w:tcPr>
          <w:p w14:paraId="764108E4">
            <w:pPr>
              <w:spacing w:line="240" w:lineRule="auto"/>
              <w:jc w:val="center"/>
              <w:rPr>
                <w:rFonts w:hint="eastAsia" w:ascii="宋体" w:hAnsi="宋体" w:eastAsia="宋体" w:cs="宋体"/>
                <w:color w:val="auto"/>
                <w:spacing w:val="6"/>
                <w:sz w:val="24"/>
                <w:szCs w:val="24"/>
                <w:highlight w:val="none"/>
                <w:lang w:eastAsia="zh-CN"/>
              </w:rPr>
            </w:pPr>
          </w:p>
        </w:tc>
        <w:tc>
          <w:tcPr>
            <w:tcW w:w="587" w:type="dxa"/>
            <w:tcBorders>
              <w:left w:val="single" w:color="auto" w:sz="4" w:space="0"/>
              <w:right w:val="single" w:color="auto" w:sz="4" w:space="0"/>
            </w:tcBorders>
            <w:vAlign w:val="center"/>
          </w:tcPr>
          <w:p w14:paraId="37FF0325">
            <w:pPr>
              <w:spacing w:line="240" w:lineRule="auto"/>
              <w:jc w:val="center"/>
              <w:rPr>
                <w:rFonts w:hint="eastAsia" w:ascii="宋体" w:hAnsi="宋体" w:eastAsia="宋体" w:cs="宋体"/>
                <w:color w:val="auto"/>
                <w:spacing w:val="6"/>
                <w:sz w:val="24"/>
                <w:szCs w:val="24"/>
                <w:highlight w:val="none"/>
                <w:lang w:eastAsia="zh-CN"/>
              </w:rPr>
            </w:pPr>
            <w:r>
              <w:rPr>
                <w:rFonts w:hint="eastAsia" w:ascii="宋体" w:hAnsi="宋体" w:eastAsia="宋体" w:cs="宋体"/>
                <w:color w:val="auto"/>
                <w:spacing w:val="6"/>
                <w:sz w:val="24"/>
                <w:szCs w:val="24"/>
                <w:highlight w:val="none"/>
                <w:lang w:eastAsia="zh-CN"/>
              </w:rPr>
              <w:t>3</w:t>
            </w:r>
          </w:p>
        </w:tc>
        <w:tc>
          <w:tcPr>
            <w:tcW w:w="850" w:type="dxa"/>
            <w:tcBorders>
              <w:top w:val="single" w:color="auto" w:sz="4" w:space="0"/>
              <w:left w:val="single" w:color="auto" w:sz="4" w:space="0"/>
              <w:bottom w:val="single" w:color="auto" w:sz="4" w:space="0"/>
              <w:right w:val="single" w:color="auto" w:sz="4" w:space="0"/>
            </w:tcBorders>
            <w:vAlign w:val="center"/>
          </w:tcPr>
          <w:p w14:paraId="4D288712">
            <w:pPr>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拟配备人员</w:t>
            </w:r>
          </w:p>
        </w:tc>
        <w:tc>
          <w:tcPr>
            <w:tcW w:w="851" w:type="dxa"/>
            <w:tcBorders>
              <w:top w:val="single" w:color="auto" w:sz="4" w:space="0"/>
              <w:left w:val="single" w:color="auto" w:sz="4" w:space="0"/>
              <w:bottom w:val="single" w:color="auto" w:sz="4" w:space="0"/>
              <w:right w:val="single" w:color="auto" w:sz="4" w:space="0"/>
            </w:tcBorders>
            <w:vAlign w:val="center"/>
          </w:tcPr>
          <w:p w14:paraId="26D29535">
            <w:pPr>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12</w:t>
            </w:r>
            <w:r>
              <w:rPr>
                <w:rFonts w:hint="eastAsia" w:ascii="宋体" w:hAnsi="宋体" w:eastAsia="宋体" w:cs="宋体"/>
                <w:color w:val="auto"/>
                <w:sz w:val="24"/>
                <w:szCs w:val="24"/>
                <w:highlight w:val="none"/>
              </w:rPr>
              <w:t>分</w:t>
            </w:r>
          </w:p>
        </w:tc>
        <w:tc>
          <w:tcPr>
            <w:tcW w:w="7201" w:type="dxa"/>
            <w:tcBorders>
              <w:top w:val="single" w:color="auto" w:sz="4" w:space="0"/>
              <w:left w:val="single" w:color="auto" w:sz="4" w:space="0"/>
              <w:bottom w:val="single" w:color="auto" w:sz="4" w:space="0"/>
              <w:right w:val="single" w:color="auto" w:sz="4" w:space="0"/>
            </w:tcBorders>
            <w:vAlign w:val="center"/>
          </w:tcPr>
          <w:p w14:paraId="01918631">
            <w:pPr>
              <w:pStyle w:val="11"/>
              <w:spacing w:line="240" w:lineRule="auto"/>
              <w:rPr>
                <w:spacing w:val="-3"/>
                <w:highlight w:val="none"/>
              </w:rPr>
            </w:pPr>
            <w:r>
              <w:rPr>
                <w:rFonts w:hint="eastAsia" w:ascii="宋体" w:hAnsi="宋体" w:eastAsia="宋体" w:cs="宋体"/>
                <w:color w:val="auto"/>
                <w:sz w:val="24"/>
                <w:szCs w:val="24"/>
                <w:highlight w:val="none"/>
                <w:lang w:val="en-US" w:eastAsia="zh-CN"/>
              </w:rPr>
              <w:t>根据</w:t>
            </w:r>
            <w:r>
              <w:rPr>
                <w:rFonts w:hint="eastAsia" w:cs="宋体"/>
                <w:color w:val="auto"/>
                <w:sz w:val="24"/>
                <w:szCs w:val="24"/>
                <w:highlight w:val="none"/>
                <w:lang w:val="en-US" w:eastAsia="zh-CN"/>
              </w:rPr>
              <w:t>投标人</w:t>
            </w:r>
            <w:r>
              <w:rPr>
                <w:rFonts w:hint="eastAsia" w:ascii="宋体" w:hAnsi="宋体" w:eastAsia="宋体" w:cs="宋体"/>
                <w:color w:val="auto"/>
                <w:sz w:val="24"/>
                <w:szCs w:val="24"/>
                <w:highlight w:val="none"/>
              </w:rPr>
              <w:t>拟配备</w:t>
            </w:r>
            <w:r>
              <w:rPr>
                <w:spacing w:val="-3"/>
                <w:highlight w:val="none"/>
              </w:rPr>
              <w:t>的维保</w:t>
            </w:r>
            <w:r>
              <w:rPr>
                <w:rFonts w:hint="eastAsia"/>
                <w:spacing w:val="-3"/>
                <w:highlight w:val="none"/>
                <w:lang w:val="en-US" w:eastAsia="zh-CN"/>
              </w:rPr>
              <w:t>人员进行评审</w:t>
            </w:r>
            <w:r>
              <w:rPr>
                <w:spacing w:val="-3"/>
                <w:highlight w:val="none"/>
              </w:rPr>
              <w:t>(包括但不限于</w:t>
            </w:r>
            <w:r>
              <w:rPr>
                <w:rFonts w:hint="eastAsia"/>
                <w:spacing w:val="-3"/>
                <w:highlight w:val="none"/>
                <w:lang w:val="en-US" w:eastAsia="zh-CN"/>
              </w:rPr>
              <w:t>设备</w:t>
            </w:r>
            <w:r>
              <w:rPr>
                <w:rFonts w:hint="eastAsia"/>
                <w:spacing w:val="-4"/>
                <w:highlight w:val="none"/>
                <w:lang w:val="en-US" w:eastAsia="zh-CN"/>
              </w:rPr>
              <w:t>巡检人员</w:t>
            </w:r>
            <w:r>
              <w:rPr>
                <w:spacing w:val="-4"/>
                <w:highlight w:val="none"/>
              </w:rPr>
              <w:t>、</w:t>
            </w:r>
            <w:r>
              <w:rPr>
                <w:rFonts w:hint="eastAsia"/>
                <w:spacing w:val="-4"/>
                <w:highlight w:val="none"/>
                <w:lang w:val="en-US" w:eastAsia="zh-CN"/>
              </w:rPr>
              <w:t>系统</w:t>
            </w:r>
            <w:bookmarkStart w:id="185" w:name="_GoBack"/>
            <w:bookmarkEnd w:id="185"/>
            <w:r>
              <w:rPr>
                <w:rFonts w:hint="eastAsia"/>
                <w:spacing w:val="-4"/>
                <w:highlight w:val="none"/>
                <w:lang w:val="en-US" w:eastAsia="zh-CN"/>
              </w:rPr>
              <w:t>维护人</w:t>
            </w:r>
            <w:r>
              <w:rPr>
                <w:spacing w:val="-4"/>
                <w:highlight w:val="none"/>
              </w:rPr>
              <w:t>员</w:t>
            </w:r>
            <w:r>
              <w:rPr>
                <w:rFonts w:hint="eastAsia"/>
                <w:spacing w:val="-4"/>
                <w:highlight w:val="none"/>
                <w:lang w:eastAsia="zh-CN"/>
              </w:rPr>
              <w:t>、</w:t>
            </w:r>
            <w:r>
              <w:rPr>
                <w:rFonts w:hint="eastAsia"/>
                <w:spacing w:val="-4"/>
                <w:highlight w:val="none"/>
                <w:lang w:val="en-US" w:eastAsia="zh-CN"/>
              </w:rPr>
              <w:t>现场维护保养人员</w:t>
            </w:r>
            <w:r>
              <w:rPr>
                <w:spacing w:val="-4"/>
                <w:highlight w:val="none"/>
              </w:rPr>
              <w:t>等)，每配备</w:t>
            </w:r>
            <w:r>
              <w:rPr>
                <w:rFonts w:hint="eastAsia"/>
                <w:spacing w:val="-4"/>
                <w:highlight w:val="none"/>
                <w:lang w:val="en-US" w:eastAsia="zh-CN"/>
              </w:rPr>
              <w:t>一人</w:t>
            </w:r>
            <w:r>
              <w:rPr>
                <w:spacing w:val="-3"/>
                <w:highlight w:val="none"/>
              </w:rPr>
              <w:t>得</w:t>
            </w:r>
            <w:r>
              <w:rPr>
                <w:rFonts w:hint="eastAsia"/>
                <w:spacing w:val="-3"/>
                <w:highlight w:val="none"/>
                <w:lang w:val="en-US" w:eastAsia="zh-CN"/>
              </w:rPr>
              <w:t>2</w:t>
            </w:r>
            <w:r>
              <w:rPr>
                <w:spacing w:val="-3"/>
                <w:highlight w:val="none"/>
              </w:rPr>
              <w:t>分，</w:t>
            </w:r>
            <w:r>
              <w:rPr>
                <w:rFonts w:hint="eastAsia"/>
                <w:spacing w:val="-3"/>
                <w:highlight w:val="none"/>
                <w:lang w:val="en-US" w:eastAsia="zh-CN"/>
              </w:rPr>
              <w:t>满分12</w:t>
            </w:r>
            <w:r>
              <w:rPr>
                <w:spacing w:val="-3"/>
                <w:highlight w:val="none"/>
              </w:rPr>
              <w:t>分；未提供不得分。</w:t>
            </w:r>
          </w:p>
          <w:p w14:paraId="0E825D57">
            <w:pPr>
              <w:pStyle w:val="11"/>
              <w:spacing w:line="240" w:lineRule="auto"/>
              <w:rPr>
                <w:rFonts w:hint="eastAsia"/>
                <w:spacing w:val="-3"/>
                <w:highlight w:val="none"/>
                <w:lang w:eastAsia="zh-CN"/>
              </w:rPr>
            </w:pPr>
            <w:r>
              <w:rPr>
                <w:rFonts w:hint="eastAsia"/>
                <w:spacing w:val="-3"/>
                <w:highlight w:val="none"/>
                <w:lang w:val="en-US" w:eastAsia="zh-CN"/>
              </w:rPr>
              <w:t>注：</w:t>
            </w:r>
            <w:r>
              <w:rPr>
                <w:rFonts w:hint="eastAsia" w:eastAsia="宋体"/>
                <w:spacing w:val="-3"/>
                <w:highlight w:val="none"/>
                <w:lang w:val="en-US" w:eastAsia="zh-CN"/>
              </w:rPr>
              <w:t>拟配备人员须同时提供身份证、相关专业的职业或职称或注册证书或岗位证、劳动合同、工资发放证明(非本单位或以个人名义缴纳的不予认可)，未提供的不得分</w:t>
            </w:r>
            <w:r>
              <w:rPr>
                <w:rFonts w:hint="eastAsia"/>
                <w:spacing w:val="-3"/>
                <w:highlight w:val="none"/>
                <w:lang w:val="en-US" w:eastAsia="zh-CN"/>
              </w:rPr>
              <w:t>。</w:t>
            </w:r>
          </w:p>
        </w:tc>
      </w:tr>
      <w:tr w14:paraId="28D85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8" w:hRule="atLeast"/>
          <w:jc w:val="center"/>
        </w:trPr>
        <w:tc>
          <w:tcPr>
            <w:tcW w:w="601" w:type="dxa"/>
            <w:vMerge w:val="restart"/>
            <w:tcBorders>
              <w:left w:val="single" w:color="auto" w:sz="4" w:space="0"/>
              <w:right w:val="single" w:color="auto" w:sz="4" w:space="0"/>
            </w:tcBorders>
            <w:vAlign w:val="center"/>
          </w:tcPr>
          <w:p w14:paraId="5D2EE6AF">
            <w:pPr>
              <w:spacing w:line="240" w:lineRule="auto"/>
              <w:jc w:val="center"/>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技术部分</w:t>
            </w:r>
          </w:p>
        </w:tc>
        <w:tc>
          <w:tcPr>
            <w:tcW w:w="587" w:type="dxa"/>
            <w:tcBorders>
              <w:left w:val="single" w:color="auto" w:sz="4" w:space="0"/>
              <w:right w:val="single" w:color="auto" w:sz="4" w:space="0"/>
            </w:tcBorders>
            <w:vAlign w:val="center"/>
          </w:tcPr>
          <w:p w14:paraId="6B54B5B7">
            <w:pPr>
              <w:spacing w:line="240" w:lineRule="auto"/>
              <w:jc w:val="center"/>
              <w:rPr>
                <w:rFonts w:hint="default" w:ascii="宋体" w:hAnsi="宋体" w:eastAsia="宋体" w:cs="宋体"/>
                <w:color w:val="auto"/>
                <w:spacing w:val="6"/>
                <w:sz w:val="24"/>
                <w:szCs w:val="24"/>
                <w:highlight w:val="none"/>
                <w:lang w:val="en-US" w:eastAsia="zh-CN"/>
              </w:rPr>
            </w:pPr>
            <w:r>
              <w:rPr>
                <w:rFonts w:hint="eastAsia" w:ascii="宋体" w:hAnsi="宋体" w:eastAsia="宋体" w:cs="宋体"/>
                <w:color w:val="auto"/>
                <w:spacing w:val="6"/>
                <w:sz w:val="24"/>
                <w:szCs w:val="24"/>
                <w:highlight w:val="none"/>
                <w:lang w:val="en-US" w:eastAsia="zh-CN"/>
              </w:rPr>
              <w:t>4</w:t>
            </w:r>
          </w:p>
        </w:tc>
        <w:tc>
          <w:tcPr>
            <w:tcW w:w="850" w:type="dxa"/>
            <w:tcBorders>
              <w:top w:val="single" w:color="auto" w:sz="4" w:space="0"/>
              <w:left w:val="single" w:color="auto" w:sz="4" w:space="0"/>
              <w:bottom w:val="single" w:color="auto" w:sz="4" w:space="0"/>
              <w:right w:val="single" w:color="auto" w:sz="4" w:space="0"/>
            </w:tcBorders>
            <w:vAlign w:val="center"/>
          </w:tcPr>
          <w:p w14:paraId="2BCC2E22">
            <w:pPr>
              <w:spacing w:line="240" w:lineRule="auto"/>
              <w:jc w:val="center"/>
              <w:rPr>
                <w:rFonts w:hint="eastAsia" w:ascii="宋体" w:hAnsi="宋体" w:eastAsia="宋体" w:cs="宋体"/>
                <w:color w:val="auto"/>
                <w:spacing w:val="6"/>
                <w:sz w:val="24"/>
                <w:szCs w:val="24"/>
                <w:highlight w:val="none"/>
              </w:rPr>
            </w:pPr>
            <w:r>
              <w:rPr>
                <w:rFonts w:hint="eastAsia" w:ascii="宋体" w:hAnsi="宋体" w:eastAsia="宋体" w:cs="宋体"/>
                <w:color w:val="auto"/>
                <w:sz w:val="24"/>
                <w:szCs w:val="24"/>
                <w:highlight w:val="none"/>
                <w:lang w:val="en-US" w:eastAsia="zh-CN"/>
              </w:rPr>
              <w:t>技术要求</w:t>
            </w:r>
            <w:r>
              <w:rPr>
                <w:rFonts w:hint="eastAsia" w:ascii="宋体" w:hAnsi="宋体" w:eastAsia="宋体" w:cs="宋体"/>
                <w:color w:val="auto"/>
                <w:sz w:val="24"/>
                <w:szCs w:val="24"/>
                <w:highlight w:val="none"/>
              </w:rPr>
              <w:t>符合程度</w:t>
            </w:r>
          </w:p>
        </w:tc>
        <w:tc>
          <w:tcPr>
            <w:tcW w:w="851" w:type="dxa"/>
            <w:tcBorders>
              <w:top w:val="single" w:color="auto" w:sz="4" w:space="0"/>
              <w:left w:val="single" w:color="auto" w:sz="4" w:space="0"/>
              <w:bottom w:val="single" w:color="auto" w:sz="4" w:space="0"/>
              <w:right w:val="single" w:color="auto" w:sz="4" w:space="0"/>
            </w:tcBorders>
            <w:vAlign w:val="center"/>
          </w:tcPr>
          <w:p w14:paraId="5312A38B">
            <w:pPr>
              <w:spacing w:line="240" w:lineRule="auto"/>
              <w:jc w:val="center"/>
              <w:rPr>
                <w:rFonts w:hint="eastAsia" w:ascii="宋体" w:hAnsi="宋体" w:eastAsia="宋体" w:cs="宋体"/>
                <w:color w:val="auto"/>
                <w:spacing w:val="6"/>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分</w:t>
            </w:r>
          </w:p>
        </w:tc>
        <w:tc>
          <w:tcPr>
            <w:tcW w:w="7201" w:type="dxa"/>
            <w:tcBorders>
              <w:top w:val="single" w:color="auto" w:sz="4" w:space="0"/>
              <w:left w:val="single" w:color="auto" w:sz="4" w:space="0"/>
              <w:bottom w:val="single" w:color="auto" w:sz="4" w:space="0"/>
              <w:right w:val="single" w:color="auto" w:sz="4" w:space="0"/>
            </w:tcBorders>
            <w:vAlign w:val="center"/>
          </w:tcPr>
          <w:p w14:paraId="0D18F97F">
            <w:pPr>
              <w:spacing w:line="24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根据“</w:t>
            </w:r>
            <w:r>
              <w:rPr>
                <w:rFonts w:hint="eastAsia" w:ascii="宋体" w:hAnsi="宋体" w:eastAsia="宋体" w:cs="宋体"/>
                <w:color w:val="auto"/>
                <w:sz w:val="24"/>
                <w:szCs w:val="24"/>
                <w:highlight w:val="none"/>
                <w:lang w:val="en-US" w:eastAsia="zh-CN"/>
              </w:rPr>
              <w:t>技术要求</w:t>
            </w:r>
            <w:r>
              <w:rPr>
                <w:rFonts w:hint="eastAsia" w:ascii="宋体" w:hAnsi="宋体" w:eastAsia="宋体" w:cs="宋体"/>
                <w:color w:val="auto"/>
                <w:sz w:val="24"/>
                <w:szCs w:val="24"/>
                <w:highlight w:val="none"/>
                <w:lang w:eastAsia="zh-CN"/>
              </w:rPr>
              <w:t>偏离表”进行评分，基础分</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eastAsia="zh-CN"/>
              </w:rPr>
              <w:t>分。“负偏离”一项扣</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分，扣完为止。</w:t>
            </w:r>
          </w:p>
          <w:p w14:paraId="12282321">
            <w:pPr>
              <w:spacing w:line="24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注：投标人</w:t>
            </w:r>
            <w:r>
              <w:rPr>
                <w:rFonts w:hint="eastAsia" w:ascii="宋体" w:hAnsi="宋体" w:eastAsia="宋体" w:cs="宋体"/>
                <w:color w:val="auto"/>
                <w:sz w:val="24"/>
                <w:szCs w:val="24"/>
                <w:highlight w:val="none"/>
                <w:lang w:eastAsia="zh-CN"/>
              </w:rPr>
              <w:t>须提供证明材料，不提供或不清楚或不准确，不予认可。</w:t>
            </w:r>
          </w:p>
        </w:tc>
      </w:tr>
      <w:tr w14:paraId="0A993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601" w:type="dxa"/>
            <w:vMerge w:val="continue"/>
            <w:tcBorders>
              <w:left w:val="single" w:color="auto" w:sz="4" w:space="0"/>
              <w:right w:val="single" w:color="auto" w:sz="4" w:space="0"/>
            </w:tcBorders>
            <w:vAlign w:val="center"/>
          </w:tcPr>
          <w:p w14:paraId="0FE72CD4">
            <w:pPr>
              <w:spacing w:line="240" w:lineRule="auto"/>
              <w:jc w:val="center"/>
              <w:rPr>
                <w:rFonts w:hint="eastAsia" w:ascii="宋体" w:hAnsi="宋体" w:eastAsia="宋体" w:cs="宋体"/>
                <w:color w:val="auto"/>
                <w:spacing w:val="6"/>
                <w:sz w:val="24"/>
                <w:szCs w:val="24"/>
                <w:lang w:eastAsia="zh-CN"/>
              </w:rPr>
            </w:pPr>
          </w:p>
        </w:tc>
        <w:tc>
          <w:tcPr>
            <w:tcW w:w="587" w:type="dxa"/>
            <w:tcBorders>
              <w:left w:val="single" w:color="auto" w:sz="4" w:space="0"/>
              <w:right w:val="single" w:color="auto" w:sz="4" w:space="0"/>
            </w:tcBorders>
            <w:vAlign w:val="center"/>
          </w:tcPr>
          <w:p w14:paraId="32AF722B">
            <w:pPr>
              <w:spacing w:line="240" w:lineRule="auto"/>
              <w:jc w:val="center"/>
              <w:rPr>
                <w:rFonts w:hint="default" w:ascii="宋体" w:hAnsi="宋体" w:eastAsia="宋体" w:cs="宋体"/>
                <w:color w:val="auto"/>
                <w:spacing w:val="6"/>
                <w:sz w:val="24"/>
                <w:szCs w:val="24"/>
                <w:lang w:val="en-US" w:eastAsia="zh-CN"/>
              </w:rPr>
            </w:pPr>
            <w:r>
              <w:rPr>
                <w:rFonts w:hint="eastAsia" w:ascii="宋体" w:hAnsi="宋体" w:eastAsia="宋体" w:cs="宋体"/>
                <w:color w:val="auto"/>
                <w:spacing w:val="6"/>
                <w:sz w:val="24"/>
                <w:szCs w:val="24"/>
                <w:lang w:val="en-US" w:eastAsia="zh-CN"/>
              </w:rPr>
              <w:t>5</w:t>
            </w:r>
          </w:p>
        </w:tc>
        <w:tc>
          <w:tcPr>
            <w:tcW w:w="850" w:type="dxa"/>
            <w:tcBorders>
              <w:top w:val="single" w:color="auto" w:sz="4" w:space="0"/>
              <w:left w:val="single" w:color="auto" w:sz="4" w:space="0"/>
              <w:bottom w:val="single" w:color="auto" w:sz="4" w:space="0"/>
              <w:right w:val="single" w:color="auto" w:sz="4" w:space="0"/>
            </w:tcBorders>
            <w:vAlign w:val="center"/>
          </w:tcPr>
          <w:p w14:paraId="0FBBBB75">
            <w:pPr>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维护保养部署</w:t>
            </w:r>
          </w:p>
        </w:tc>
        <w:tc>
          <w:tcPr>
            <w:tcW w:w="851" w:type="dxa"/>
            <w:tcBorders>
              <w:top w:val="single" w:color="auto" w:sz="4" w:space="0"/>
              <w:left w:val="single" w:color="auto" w:sz="4" w:space="0"/>
              <w:bottom w:val="single" w:color="auto" w:sz="4" w:space="0"/>
              <w:right w:val="single" w:color="auto" w:sz="4" w:space="0"/>
            </w:tcBorders>
            <w:vAlign w:val="center"/>
          </w:tcPr>
          <w:p w14:paraId="30133732">
            <w:pPr>
              <w:spacing w:line="24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lang w:eastAsia="zh-CN"/>
              </w:rPr>
              <w:t>分</w:t>
            </w:r>
          </w:p>
        </w:tc>
        <w:tc>
          <w:tcPr>
            <w:tcW w:w="7201" w:type="dxa"/>
            <w:tcBorders>
              <w:top w:val="single" w:color="auto" w:sz="4" w:space="0"/>
              <w:left w:val="single" w:color="auto" w:sz="4" w:space="0"/>
              <w:bottom w:val="single" w:color="auto" w:sz="4" w:space="0"/>
              <w:right w:val="single" w:color="auto" w:sz="4" w:space="0"/>
            </w:tcBorders>
            <w:vAlign w:val="center"/>
          </w:tcPr>
          <w:p w14:paraId="385338CF">
            <w:pPr>
              <w:spacing w:line="24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根据投标人维护保养部署方案进行评审，包括但不限于：</w:t>
            </w:r>
          </w:p>
          <w:p w14:paraId="62112DE5">
            <w:pPr>
              <w:numPr>
                <w:ilvl w:val="0"/>
                <w:numId w:val="0"/>
              </w:numPr>
              <w:spacing w:line="240" w:lineRule="auto"/>
              <w:rPr>
                <w:rFonts w:hint="eastAsia" w:ascii="宋体" w:hAnsi="宋体" w:eastAsia="宋体" w:cs="宋体"/>
                <w:color w:val="auto"/>
                <w:sz w:val="24"/>
                <w:szCs w:val="24"/>
                <w:lang w:val="en-US" w:eastAsia="zh-CN"/>
              </w:rPr>
            </w:pPr>
            <w:r>
              <w:rPr>
                <w:rFonts w:hint="eastAsia" w:ascii="宋体" w:hAnsi="宋体" w:eastAsia="宋体" w:cs="宋体"/>
                <w:snapToGrid w:val="0"/>
                <w:color w:val="auto"/>
                <w:sz w:val="24"/>
                <w:szCs w:val="24"/>
                <w:lang w:val="en-US" w:eastAsia="zh-CN" w:bidi="ar-SA"/>
              </w:rPr>
              <w:t>1、</w:t>
            </w:r>
            <w:r>
              <w:rPr>
                <w:rFonts w:hint="eastAsia" w:ascii="宋体" w:hAnsi="宋体" w:eastAsia="宋体" w:cs="宋体"/>
                <w:color w:val="auto"/>
                <w:sz w:val="24"/>
                <w:szCs w:val="24"/>
                <w:lang w:val="en-US" w:eastAsia="zh-CN"/>
              </w:rPr>
              <w:t>前期准备（2分）；1.现场分析（0.5分）2.物资与资源准备（0.5分）3.制定方案（0.5分）4.场地布置（0.5分）每缺少一项扣相应分值，内容存在明显错误则该小项不得分。</w:t>
            </w:r>
          </w:p>
          <w:p w14:paraId="597AC89C">
            <w:pPr>
              <w:numPr>
                <w:ilvl w:val="0"/>
                <w:numId w:val="0"/>
              </w:numPr>
              <w:spacing w:line="240" w:lineRule="auto"/>
              <w:rPr>
                <w:rFonts w:hint="default" w:ascii="宋体" w:hAnsi="宋体" w:eastAsia="宋体" w:cs="宋体"/>
                <w:color w:val="auto"/>
                <w:sz w:val="24"/>
                <w:szCs w:val="24"/>
                <w:lang w:val="en-US" w:eastAsia="zh-CN"/>
              </w:rPr>
            </w:pPr>
            <w:r>
              <w:rPr>
                <w:rFonts w:hint="default" w:ascii="宋体" w:hAnsi="宋体" w:eastAsia="宋体" w:cs="宋体"/>
                <w:snapToGrid w:val="0"/>
                <w:color w:val="auto"/>
                <w:sz w:val="24"/>
                <w:szCs w:val="24"/>
                <w:lang w:val="en-US" w:eastAsia="zh-CN" w:bidi="ar-SA"/>
              </w:rPr>
              <w:t>2</w:t>
            </w:r>
            <w:r>
              <w:rPr>
                <w:rFonts w:hint="eastAsia" w:ascii="宋体" w:hAnsi="宋体" w:eastAsia="宋体" w:cs="宋体"/>
                <w:snapToGrid w:val="0"/>
                <w:color w:val="auto"/>
                <w:sz w:val="24"/>
                <w:szCs w:val="24"/>
                <w:lang w:val="en-US" w:eastAsia="zh-CN" w:bidi="ar-SA"/>
              </w:rPr>
              <w:t>、</w:t>
            </w:r>
            <w:r>
              <w:rPr>
                <w:rFonts w:hint="eastAsia" w:ascii="宋体" w:hAnsi="宋体" w:eastAsia="宋体" w:cs="宋体"/>
                <w:color w:val="auto"/>
                <w:sz w:val="24"/>
                <w:szCs w:val="24"/>
                <w:lang w:val="en-US" w:eastAsia="zh-CN"/>
              </w:rPr>
              <w:t>组织协调主要措施（2分）；1.明确职责分工（0.7分）2.强化现场监督（0.7分）3.跨部门协同机制（0.6分）每缺少一项扣相应分值，内容存在明显错误则该小项不得分。</w:t>
            </w:r>
          </w:p>
          <w:p w14:paraId="614E8B25">
            <w:pPr>
              <w:numPr>
                <w:ilvl w:val="0"/>
                <w:numId w:val="0"/>
              </w:numPr>
              <w:spacing w:line="240" w:lineRule="auto"/>
              <w:rPr>
                <w:rFonts w:hint="default" w:ascii="宋体" w:hAnsi="宋体" w:eastAsia="宋体" w:cs="宋体"/>
                <w:color w:val="auto"/>
                <w:sz w:val="24"/>
                <w:szCs w:val="24"/>
                <w:lang w:val="en-US" w:eastAsia="zh-CN"/>
              </w:rPr>
            </w:pPr>
            <w:r>
              <w:rPr>
                <w:rFonts w:hint="default" w:ascii="宋体" w:hAnsi="宋体" w:eastAsia="宋体" w:cs="宋体"/>
                <w:snapToGrid w:val="0"/>
                <w:color w:val="auto"/>
                <w:sz w:val="24"/>
                <w:szCs w:val="24"/>
                <w:lang w:val="en-US" w:eastAsia="zh-CN" w:bidi="ar-SA"/>
              </w:rPr>
              <w:t>3</w:t>
            </w:r>
            <w:r>
              <w:rPr>
                <w:rFonts w:hint="eastAsia" w:ascii="宋体" w:hAnsi="宋体" w:eastAsia="宋体" w:cs="宋体"/>
                <w:snapToGrid w:val="0"/>
                <w:color w:val="auto"/>
                <w:sz w:val="24"/>
                <w:szCs w:val="24"/>
                <w:lang w:val="en-US" w:eastAsia="zh-CN" w:bidi="ar-SA"/>
              </w:rPr>
              <w:t>、</w:t>
            </w:r>
            <w:r>
              <w:rPr>
                <w:rFonts w:hint="eastAsia" w:ascii="宋体" w:hAnsi="宋体" w:eastAsia="宋体" w:cs="宋体"/>
                <w:color w:val="auto"/>
                <w:sz w:val="24"/>
                <w:szCs w:val="24"/>
                <w:lang w:val="en-US" w:eastAsia="zh-CN"/>
              </w:rPr>
              <w:t>实施方案（2分）；1.日常维护管理体系（0.6分）2.专项维护计划（0.7分）3.方案实施与推进计划（0.7分）每缺少一项扣相应分值，内容存在明显错误则该小项不得分。</w:t>
            </w:r>
          </w:p>
          <w:p w14:paraId="6AB70720">
            <w:pPr>
              <w:spacing w:line="240" w:lineRule="auto"/>
              <w:rPr>
                <w:rFonts w:hint="default"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t>注：本评审内容中“明显错误”是指：方案中引用的标准、规范错误或已废止；方案内容与招标文件明确要求的服务范围、地点、规模等实际情况明显不符；方案中存在逻辑矛盾、数据错误或无法实现的承诺；关键措施缺失导致方案无法指导实际工作等任意一种情形。每项扣分不超过该小项总分，扣完为止，未提供不得分。</w:t>
            </w:r>
          </w:p>
        </w:tc>
      </w:tr>
      <w:tr w14:paraId="315A8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601" w:type="dxa"/>
            <w:vMerge w:val="continue"/>
            <w:tcBorders>
              <w:left w:val="single" w:color="auto" w:sz="4" w:space="0"/>
              <w:right w:val="single" w:color="auto" w:sz="4" w:space="0"/>
            </w:tcBorders>
            <w:vAlign w:val="center"/>
          </w:tcPr>
          <w:p w14:paraId="338E83C3">
            <w:pPr>
              <w:spacing w:line="240" w:lineRule="auto"/>
              <w:jc w:val="center"/>
              <w:rPr>
                <w:rFonts w:hint="eastAsia" w:ascii="宋体" w:hAnsi="宋体" w:eastAsia="宋体" w:cs="宋体"/>
                <w:color w:val="auto"/>
                <w:spacing w:val="6"/>
                <w:sz w:val="24"/>
                <w:szCs w:val="24"/>
                <w:lang w:eastAsia="zh-CN"/>
              </w:rPr>
            </w:pPr>
          </w:p>
        </w:tc>
        <w:tc>
          <w:tcPr>
            <w:tcW w:w="587" w:type="dxa"/>
            <w:tcBorders>
              <w:left w:val="single" w:color="auto" w:sz="4" w:space="0"/>
              <w:right w:val="single" w:color="auto" w:sz="4" w:space="0"/>
            </w:tcBorders>
            <w:vAlign w:val="center"/>
          </w:tcPr>
          <w:p w14:paraId="7D61AD1F">
            <w:pPr>
              <w:spacing w:line="240" w:lineRule="auto"/>
              <w:jc w:val="center"/>
              <w:rPr>
                <w:rFonts w:hint="default" w:ascii="宋体" w:hAnsi="宋体" w:eastAsia="宋体" w:cs="宋体"/>
                <w:color w:val="auto"/>
                <w:spacing w:val="6"/>
                <w:sz w:val="24"/>
                <w:szCs w:val="24"/>
                <w:lang w:val="en-US" w:eastAsia="zh-CN"/>
              </w:rPr>
            </w:pPr>
            <w:r>
              <w:rPr>
                <w:rFonts w:hint="eastAsia" w:ascii="宋体" w:hAnsi="宋体" w:eastAsia="宋体" w:cs="宋体"/>
                <w:color w:val="auto"/>
                <w:spacing w:val="6"/>
                <w:sz w:val="24"/>
                <w:szCs w:val="24"/>
                <w:lang w:val="en-US" w:eastAsia="zh-CN"/>
              </w:rPr>
              <w:t>6</w:t>
            </w:r>
          </w:p>
        </w:tc>
        <w:tc>
          <w:tcPr>
            <w:tcW w:w="850" w:type="dxa"/>
            <w:tcBorders>
              <w:top w:val="single" w:color="auto" w:sz="4" w:space="0"/>
              <w:left w:val="single" w:color="auto" w:sz="4" w:space="0"/>
              <w:bottom w:val="single" w:color="auto" w:sz="4" w:space="0"/>
              <w:right w:val="single" w:color="auto" w:sz="4" w:space="0"/>
            </w:tcBorders>
            <w:vAlign w:val="center"/>
          </w:tcPr>
          <w:p w14:paraId="273B83F0">
            <w:pPr>
              <w:spacing w:line="240" w:lineRule="auto"/>
              <w:jc w:val="center"/>
              <w:rPr>
                <w:rFonts w:hint="default" w:ascii="宋体" w:hAnsi="宋体" w:eastAsia="宋体" w:cs="宋体"/>
                <w:color w:val="auto"/>
                <w:sz w:val="24"/>
                <w:szCs w:val="24"/>
                <w:lang w:val="en-US" w:eastAsia="zh-CN"/>
              </w:rPr>
            </w:pPr>
            <w:r>
              <w:rPr>
                <w:rFonts w:hint="default" w:ascii="宋体" w:hAnsi="宋体" w:eastAsia="宋体" w:cs="宋体"/>
                <w:color w:val="auto"/>
                <w:spacing w:val="6"/>
                <w:sz w:val="24"/>
                <w:szCs w:val="24"/>
                <w:lang w:val="en-US" w:eastAsia="zh-CN"/>
              </w:rPr>
              <w:t>维</w:t>
            </w:r>
            <w:r>
              <w:rPr>
                <w:rFonts w:hint="eastAsia" w:ascii="宋体" w:hAnsi="宋体" w:eastAsia="宋体" w:cs="宋体"/>
                <w:color w:val="auto"/>
                <w:spacing w:val="6"/>
                <w:sz w:val="24"/>
                <w:szCs w:val="24"/>
                <w:lang w:val="en-US" w:eastAsia="zh-CN"/>
              </w:rPr>
              <w:t>保</w:t>
            </w:r>
            <w:r>
              <w:rPr>
                <w:rFonts w:hint="default" w:ascii="宋体" w:hAnsi="宋体" w:eastAsia="宋体" w:cs="宋体"/>
                <w:color w:val="auto"/>
                <w:spacing w:val="6"/>
                <w:sz w:val="24"/>
                <w:szCs w:val="24"/>
                <w:lang w:val="en-US" w:eastAsia="zh-CN"/>
              </w:rPr>
              <w:t>方案</w:t>
            </w:r>
          </w:p>
        </w:tc>
        <w:tc>
          <w:tcPr>
            <w:tcW w:w="851" w:type="dxa"/>
            <w:tcBorders>
              <w:top w:val="single" w:color="auto" w:sz="4" w:space="0"/>
              <w:left w:val="single" w:color="auto" w:sz="4" w:space="0"/>
              <w:bottom w:val="single" w:color="auto" w:sz="4" w:space="0"/>
              <w:right w:val="single" w:color="auto" w:sz="4" w:space="0"/>
            </w:tcBorders>
            <w:vAlign w:val="center"/>
          </w:tcPr>
          <w:p w14:paraId="31414376">
            <w:pPr>
              <w:spacing w:line="240" w:lineRule="auto"/>
              <w:jc w:val="center"/>
              <w:rPr>
                <w:rFonts w:hint="default" w:ascii="宋体" w:hAnsi="宋体" w:eastAsia="宋体" w:cs="宋体"/>
                <w:color w:val="auto"/>
                <w:sz w:val="24"/>
                <w:szCs w:val="24"/>
                <w:lang w:val="en-US" w:eastAsia="zh-CN"/>
              </w:rPr>
            </w:pPr>
            <w:r>
              <w:rPr>
                <w:rFonts w:hint="eastAsia" w:ascii="宋体" w:hAnsi="宋体" w:eastAsia="宋体" w:cs="宋体"/>
                <w:color w:val="auto"/>
                <w:spacing w:val="6"/>
                <w:sz w:val="24"/>
                <w:szCs w:val="24"/>
                <w:lang w:val="en-US" w:eastAsia="zh-CN"/>
              </w:rPr>
              <w:t>21分</w:t>
            </w:r>
          </w:p>
        </w:tc>
        <w:tc>
          <w:tcPr>
            <w:tcW w:w="7201" w:type="dxa"/>
            <w:tcBorders>
              <w:top w:val="single" w:color="auto" w:sz="4" w:space="0"/>
              <w:left w:val="single" w:color="auto" w:sz="4" w:space="0"/>
              <w:bottom w:val="single" w:color="auto" w:sz="4" w:space="0"/>
              <w:right w:val="single" w:color="auto" w:sz="4" w:space="0"/>
            </w:tcBorders>
            <w:vAlign w:val="center"/>
          </w:tcPr>
          <w:p w14:paraId="0748BD37">
            <w:pPr>
              <w:pStyle w:val="6"/>
              <w:spacing w:line="240" w:lineRule="auto"/>
              <w:ind w:left="0" w:leftChars="0" w:firstLine="0" w:firstLineChars="0"/>
              <w:rPr>
                <w:rFonts w:hint="eastAsia" w:ascii="宋体" w:hAnsi="宋体" w:eastAsia="宋体" w:cs="宋体"/>
                <w:snapToGrid w:val="0"/>
                <w:color w:val="auto"/>
                <w:kern w:val="0"/>
                <w:sz w:val="24"/>
                <w:szCs w:val="24"/>
                <w:lang w:val="en-US" w:eastAsia="zh-CN" w:bidi="ar-SA"/>
              </w:rPr>
            </w:pPr>
            <w:r>
              <w:rPr>
                <w:rFonts w:hint="eastAsia" w:ascii="宋体" w:hAnsi="宋体" w:eastAsia="宋体" w:cs="宋体"/>
                <w:snapToGrid w:val="0"/>
                <w:color w:val="auto"/>
                <w:kern w:val="0"/>
                <w:sz w:val="24"/>
                <w:szCs w:val="24"/>
                <w:lang w:val="en-US" w:eastAsia="zh-CN" w:bidi="ar-SA"/>
              </w:rPr>
              <w:t>针对本项目制定整体维保方案，方案应具备合理性、可行性、时效性，内容包括但不限于</w:t>
            </w:r>
          </w:p>
          <w:p w14:paraId="20CF507E">
            <w:pPr>
              <w:pStyle w:val="6"/>
              <w:spacing w:line="240" w:lineRule="auto"/>
              <w:ind w:left="0" w:leftChars="0" w:firstLine="0" w:firstLineChars="0"/>
              <w:rPr>
                <w:rFonts w:hint="default" w:ascii="宋体" w:hAnsi="宋体" w:eastAsia="宋体" w:cs="宋体"/>
                <w:snapToGrid w:val="0"/>
                <w:color w:val="auto"/>
                <w:kern w:val="0"/>
                <w:sz w:val="24"/>
                <w:szCs w:val="24"/>
                <w:lang w:val="en-US" w:eastAsia="zh-CN" w:bidi="ar-SA"/>
              </w:rPr>
            </w:pPr>
            <w:r>
              <w:rPr>
                <w:rFonts w:hint="eastAsia" w:ascii="宋体" w:hAnsi="宋体" w:eastAsia="宋体" w:cs="宋体"/>
                <w:snapToGrid w:val="0"/>
                <w:color w:val="auto"/>
                <w:kern w:val="0"/>
                <w:sz w:val="24"/>
                <w:szCs w:val="24"/>
                <w:lang w:val="en-US" w:eastAsia="zh-CN" w:bidi="ar-SA"/>
              </w:rPr>
              <w:t>①服务团队组织架构</w:t>
            </w:r>
            <w:r>
              <w:rPr>
                <w:rFonts w:hint="eastAsia" w:ascii="宋体" w:hAnsi="宋体" w:cs="宋体"/>
                <w:snapToGrid w:val="0"/>
                <w:color w:val="auto"/>
                <w:kern w:val="0"/>
                <w:sz w:val="24"/>
                <w:szCs w:val="24"/>
                <w:lang w:val="en-US" w:eastAsia="zh-CN" w:bidi="ar-SA"/>
              </w:rPr>
              <w:t>（3分）：（1）服务管理部（0.6分）</w:t>
            </w:r>
            <w:r>
              <w:rPr>
                <w:rFonts w:hint="eastAsia" w:ascii="宋体" w:hAnsi="宋体" w:eastAsia="宋体" w:cs="宋体"/>
                <w:snapToGrid w:val="0"/>
                <w:color w:val="auto"/>
                <w:kern w:val="0"/>
                <w:sz w:val="24"/>
                <w:szCs w:val="24"/>
                <w:lang w:val="en-US" w:eastAsia="zh-CN" w:bidi="ar-SA"/>
              </w:rPr>
              <w:t>（2）‌</w:t>
            </w:r>
            <w:r>
              <w:rPr>
                <w:rFonts w:hint="default" w:ascii="宋体" w:hAnsi="宋体" w:eastAsia="宋体" w:cs="宋体"/>
                <w:snapToGrid w:val="0"/>
                <w:color w:val="auto"/>
                <w:kern w:val="0"/>
                <w:sz w:val="24"/>
                <w:szCs w:val="24"/>
                <w:lang w:val="en-US" w:eastAsia="zh-CN" w:bidi="ar-SA"/>
              </w:rPr>
              <w:t>技术支持团队</w:t>
            </w:r>
            <w:r>
              <w:rPr>
                <w:rFonts w:hint="eastAsia" w:ascii="宋体" w:hAnsi="宋体" w:cs="宋体"/>
                <w:snapToGrid w:val="0"/>
                <w:color w:val="auto"/>
                <w:kern w:val="0"/>
                <w:sz w:val="24"/>
                <w:szCs w:val="24"/>
                <w:lang w:val="en-US" w:eastAsia="zh-CN" w:bidi="ar-SA"/>
              </w:rPr>
              <w:t>（0.6分）</w:t>
            </w:r>
            <w:r>
              <w:rPr>
                <w:rFonts w:hint="eastAsia" w:ascii="宋体" w:hAnsi="宋体" w:eastAsia="宋体" w:cs="宋体"/>
                <w:snapToGrid w:val="0"/>
                <w:color w:val="auto"/>
                <w:kern w:val="0"/>
                <w:sz w:val="24"/>
                <w:szCs w:val="24"/>
                <w:lang w:val="en-US" w:eastAsia="zh-CN" w:bidi="ar-SA"/>
              </w:rPr>
              <w:t>（3）‌</w:t>
            </w:r>
            <w:r>
              <w:rPr>
                <w:rFonts w:hint="default" w:ascii="宋体" w:hAnsi="宋体" w:eastAsia="宋体" w:cs="宋体"/>
                <w:snapToGrid w:val="0"/>
                <w:color w:val="auto"/>
                <w:kern w:val="0"/>
                <w:sz w:val="24"/>
                <w:szCs w:val="24"/>
                <w:lang w:val="en-US" w:eastAsia="zh-CN" w:bidi="ar-SA"/>
              </w:rPr>
              <w:t>现场运维/服务执行团队</w:t>
            </w:r>
            <w:r>
              <w:rPr>
                <w:rFonts w:hint="eastAsia" w:ascii="宋体" w:hAnsi="宋体" w:cs="宋体"/>
                <w:snapToGrid w:val="0"/>
                <w:color w:val="auto"/>
                <w:kern w:val="0"/>
                <w:sz w:val="24"/>
                <w:szCs w:val="24"/>
                <w:lang w:val="en-US" w:eastAsia="zh-CN" w:bidi="ar-SA"/>
              </w:rPr>
              <w:t>（0.6分）</w:t>
            </w:r>
            <w:r>
              <w:rPr>
                <w:rFonts w:hint="eastAsia" w:ascii="宋体" w:hAnsi="宋体" w:eastAsia="宋体" w:cs="宋体"/>
                <w:snapToGrid w:val="0"/>
                <w:color w:val="auto"/>
                <w:kern w:val="0"/>
                <w:sz w:val="24"/>
                <w:szCs w:val="24"/>
                <w:lang w:val="en-US" w:eastAsia="zh-CN" w:bidi="ar-SA"/>
              </w:rPr>
              <w:t>（4）‌</w:t>
            </w:r>
            <w:r>
              <w:rPr>
                <w:rFonts w:hint="default" w:ascii="宋体" w:hAnsi="宋体" w:eastAsia="宋体" w:cs="宋体"/>
                <w:snapToGrid w:val="0"/>
                <w:color w:val="auto"/>
                <w:kern w:val="0"/>
                <w:sz w:val="24"/>
                <w:szCs w:val="24"/>
                <w:lang w:val="en-US" w:eastAsia="zh-CN" w:bidi="ar-SA"/>
              </w:rPr>
              <w:t>客户支持与协调组</w:t>
            </w:r>
            <w:r>
              <w:rPr>
                <w:rFonts w:hint="eastAsia" w:ascii="宋体" w:hAnsi="宋体" w:cs="宋体"/>
                <w:snapToGrid w:val="0"/>
                <w:color w:val="auto"/>
                <w:kern w:val="0"/>
                <w:sz w:val="24"/>
                <w:szCs w:val="24"/>
                <w:lang w:val="en-US" w:eastAsia="zh-CN" w:bidi="ar-SA"/>
              </w:rPr>
              <w:t>（0.6分）</w:t>
            </w:r>
            <w:r>
              <w:rPr>
                <w:rFonts w:hint="eastAsia" w:ascii="宋体" w:hAnsi="宋体" w:eastAsia="宋体" w:cs="宋体"/>
                <w:snapToGrid w:val="0"/>
                <w:color w:val="auto"/>
                <w:kern w:val="0"/>
                <w:sz w:val="24"/>
                <w:szCs w:val="24"/>
                <w:lang w:val="en-US" w:eastAsia="zh-CN" w:bidi="ar-SA"/>
              </w:rPr>
              <w:t>（5）‌</w:t>
            </w:r>
            <w:r>
              <w:rPr>
                <w:rFonts w:hint="default" w:ascii="宋体" w:hAnsi="宋体" w:eastAsia="宋体" w:cs="宋体"/>
                <w:snapToGrid w:val="0"/>
                <w:color w:val="auto"/>
                <w:kern w:val="0"/>
                <w:sz w:val="24"/>
                <w:szCs w:val="24"/>
                <w:lang w:val="en-US" w:eastAsia="zh-CN" w:bidi="ar-SA"/>
              </w:rPr>
              <w:t>培训与知识管理岗</w:t>
            </w:r>
            <w:r>
              <w:rPr>
                <w:rFonts w:hint="eastAsia" w:ascii="宋体" w:hAnsi="宋体" w:cs="宋体"/>
                <w:snapToGrid w:val="0"/>
                <w:color w:val="auto"/>
                <w:kern w:val="0"/>
                <w:sz w:val="24"/>
                <w:szCs w:val="24"/>
                <w:lang w:val="en-US" w:eastAsia="zh-CN" w:bidi="ar-SA"/>
              </w:rPr>
              <w:t>（0.6分）每缺少一项扣相应分值，内容存在明显错误则该小项不得分。</w:t>
            </w:r>
          </w:p>
          <w:p w14:paraId="24257580">
            <w:pPr>
              <w:pStyle w:val="6"/>
              <w:spacing w:line="240" w:lineRule="auto"/>
              <w:ind w:left="0" w:leftChars="0" w:firstLine="0" w:firstLineChars="0"/>
              <w:rPr>
                <w:rFonts w:hint="eastAsia" w:ascii="宋体" w:hAnsi="宋体" w:eastAsia="宋体" w:cs="宋体"/>
                <w:b/>
                <w:bCs/>
                <w:snapToGrid w:val="0"/>
                <w:color w:val="auto"/>
                <w:kern w:val="0"/>
                <w:sz w:val="24"/>
                <w:szCs w:val="24"/>
                <w:lang w:val="en-US" w:eastAsia="zh-CN" w:bidi="ar-SA"/>
              </w:rPr>
            </w:pPr>
            <w:r>
              <w:rPr>
                <w:rFonts w:hint="eastAsia" w:ascii="宋体" w:hAnsi="宋体" w:eastAsia="宋体" w:cs="宋体"/>
                <w:snapToGrid w:val="0"/>
                <w:color w:val="auto"/>
                <w:kern w:val="0"/>
                <w:sz w:val="24"/>
                <w:szCs w:val="24"/>
                <w:lang w:val="en-US" w:eastAsia="zh-CN" w:bidi="ar-SA"/>
              </w:rPr>
              <w:t>②服务管理流程</w:t>
            </w:r>
            <w:r>
              <w:rPr>
                <w:rFonts w:hint="eastAsia" w:ascii="宋体" w:hAnsi="宋体" w:cs="宋体"/>
                <w:snapToGrid w:val="0"/>
                <w:color w:val="auto"/>
                <w:kern w:val="0"/>
                <w:sz w:val="24"/>
                <w:szCs w:val="24"/>
                <w:lang w:val="en-US" w:eastAsia="zh-CN" w:bidi="ar-SA"/>
              </w:rPr>
              <w:t>（3分）：（1）‌服务请求受理（0.6分）（2）任务分派与响应（0.6分）（3）‌服务执行与过程跟踪（0.6分）（4）服务验收与闭环（0.6分）（5）‌数据分析与持续优化（0.6分）</w:t>
            </w:r>
            <w:r>
              <w:rPr>
                <w:rFonts w:hint="eastAsia" w:ascii="宋体" w:hAnsi="宋体" w:eastAsia="宋体" w:cs="宋体"/>
                <w:color w:val="auto"/>
                <w:sz w:val="24"/>
                <w:szCs w:val="24"/>
                <w:lang w:val="en-US" w:eastAsia="zh-CN"/>
              </w:rPr>
              <w:t>每缺少一项扣相应分值，内容存在明显错误则该小项不得分。</w:t>
            </w:r>
          </w:p>
          <w:p w14:paraId="53AE94C9">
            <w:pPr>
              <w:pStyle w:val="6"/>
              <w:spacing w:line="240" w:lineRule="auto"/>
              <w:ind w:left="0" w:leftChars="0" w:firstLine="0" w:firstLineChars="0"/>
              <w:rPr>
                <w:rFonts w:hint="eastAsia" w:ascii="宋体" w:hAnsi="宋体" w:eastAsia="宋体" w:cs="宋体"/>
                <w:b/>
                <w:bCs/>
                <w:snapToGrid w:val="0"/>
                <w:color w:val="auto"/>
                <w:kern w:val="0"/>
                <w:sz w:val="24"/>
                <w:szCs w:val="24"/>
                <w:lang w:val="en-US" w:eastAsia="zh-CN" w:bidi="ar-SA"/>
              </w:rPr>
            </w:pPr>
            <w:r>
              <w:rPr>
                <w:rFonts w:hint="eastAsia" w:ascii="宋体" w:hAnsi="宋体" w:eastAsia="宋体" w:cs="宋体"/>
                <w:snapToGrid w:val="0"/>
                <w:color w:val="auto"/>
                <w:kern w:val="0"/>
                <w:sz w:val="24"/>
                <w:szCs w:val="24"/>
                <w:lang w:val="en-US" w:eastAsia="zh-CN" w:bidi="ar-SA"/>
              </w:rPr>
              <w:t>③供应链体系</w:t>
            </w:r>
            <w:r>
              <w:rPr>
                <w:rFonts w:hint="eastAsia" w:ascii="宋体" w:hAnsi="宋体" w:cs="宋体"/>
                <w:snapToGrid w:val="0"/>
                <w:color w:val="auto"/>
                <w:kern w:val="0"/>
                <w:sz w:val="24"/>
                <w:szCs w:val="24"/>
                <w:lang w:val="en-US" w:eastAsia="zh-CN" w:bidi="ar-SA"/>
              </w:rPr>
              <w:t>（3分）：（1）供应链网络结构（1分）（2）供应链业务流程（1分）（3）供应链管理要素（1分）</w:t>
            </w:r>
            <w:r>
              <w:rPr>
                <w:rFonts w:hint="eastAsia" w:ascii="宋体" w:hAnsi="宋体" w:eastAsia="宋体" w:cs="宋体"/>
                <w:color w:val="auto"/>
                <w:sz w:val="24"/>
                <w:szCs w:val="24"/>
                <w:lang w:val="en-US" w:eastAsia="zh-CN"/>
              </w:rPr>
              <w:t>每缺少一项扣相应分值，内容存在明显错误则该小项不得分。</w:t>
            </w:r>
          </w:p>
          <w:p w14:paraId="681EDD73">
            <w:pPr>
              <w:pStyle w:val="6"/>
              <w:spacing w:line="240" w:lineRule="auto"/>
              <w:ind w:left="0" w:leftChars="0" w:firstLine="0" w:firstLineChars="0"/>
              <w:rPr>
                <w:rFonts w:hint="eastAsia" w:ascii="宋体" w:hAnsi="宋体" w:eastAsia="宋体" w:cs="宋体"/>
                <w:b/>
                <w:bCs/>
                <w:snapToGrid w:val="0"/>
                <w:color w:val="auto"/>
                <w:kern w:val="0"/>
                <w:sz w:val="24"/>
                <w:szCs w:val="24"/>
                <w:lang w:val="en-US" w:eastAsia="zh-CN" w:bidi="ar-SA"/>
              </w:rPr>
            </w:pPr>
            <w:r>
              <w:rPr>
                <w:rFonts w:hint="eastAsia" w:ascii="宋体" w:hAnsi="宋体" w:eastAsia="宋体" w:cs="宋体"/>
                <w:snapToGrid w:val="0"/>
                <w:color w:val="auto"/>
                <w:kern w:val="0"/>
                <w:sz w:val="24"/>
                <w:szCs w:val="24"/>
                <w:lang w:val="en-US" w:eastAsia="zh-CN" w:bidi="ar-SA"/>
              </w:rPr>
              <w:t>④服务水平管理流程</w:t>
            </w:r>
            <w:r>
              <w:rPr>
                <w:rFonts w:hint="eastAsia" w:ascii="宋体" w:hAnsi="宋体" w:cs="宋体"/>
                <w:snapToGrid w:val="0"/>
                <w:color w:val="auto"/>
                <w:kern w:val="0"/>
                <w:sz w:val="24"/>
                <w:szCs w:val="24"/>
                <w:lang w:val="en-US" w:eastAsia="zh-CN" w:bidi="ar-SA"/>
              </w:rPr>
              <w:t>（3分）：（1）规划与制定（0.6分）（2）‌服务监控与数据采集（0.6分）（3）‌定期服务评审（0.6分）（4）</w:t>
            </w:r>
            <w:r>
              <w:rPr>
                <w:rFonts w:hint="eastAsia" w:ascii="宋体" w:hAnsi="宋体" w:eastAsia="宋体" w:cs="宋体"/>
                <w:snapToGrid w:val="0"/>
                <w:color w:val="auto"/>
                <w:kern w:val="0"/>
                <w:sz w:val="24"/>
                <w:szCs w:val="24"/>
                <w:lang w:val="en-US" w:eastAsia="zh-CN" w:bidi="ar-SA"/>
              </w:rPr>
              <w:t>服务改进与闭环管理</w:t>
            </w:r>
            <w:r>
              <w:rPr>
                <w:rFonts w:hint="eastAsia" w:ascii="宋体" w:hAnsi="宋体" w:cs="宋体"/>
                <w:snapToGrid w:val="0"/>
                <w:color w:val="auto"/>
                <w:kern w:val="0"/>
                <w:sz w:val="24"/>
                <w:szCs w:val="24"/>
                <w:lang w:val="en-US" w:eastAsia="zh-CN" w:bidi="ar-SA"/>
              </w:rPr>
              <w:t>（0.6分）</w:t>
            </w:r>
            <w:r>
              <w:rPr>
                <w:rFonts w:hint="eastAsia" w:ascii="宋体" w:hAnsi="宋体" w:eastAsia="宋体" w:cs="宋体"/>
                <w:snapToGrid w:val="0"/>
                <w:color w:val="auto"/>
                <w:kern w:val="0"/>
                <w:sz w:val="24"/>
                <w:szCs w:val="24"/>
                <w:lang w:val="en-US" w:eastAsia="zh-CN" w:bidi="ar-SA"/>
              </w:rPr>
              <w:t>（5）合规与监督机制</w:t>
            </w:r>
            <w:r>
              <w:rPr>
                <w:rFonts w:hint="eastAsia" w:ascii="宋体" w:hAnsi="宋体" w:cs="宋体"/>
                <w:snapToGrid w:val="0"/>
                <w:color w:val="auto"/>
                <w:kern w:val="0"/>
                <w:sz w:val="24"/>
                <w:szCs w:val="24"/>
                <w:lang w:val="en-US" w:eastAsia="zh-CN" w:bidi="ar-SA"/>
              </w:rPr>
              <w:t>（0.6分）</w:t>
            </w:r>
            <w:r>
              <w:rPr>
                <w:rFonts w:hint="eastAsia" w:ascii="宋体" w:hAnsi="宋体" w:eastAsia="宋体" w:cs="宋体"/>
                <w:color w:val="auto"/>
                <w:sz w:val="24"/>
                <w:szCs w:val="24"/>
                <w:lang w:val="en-US" w:eastAsia="zh-CN"/>
              </w:rPr>
              <w:t>每缺少一项扣相应分值，内容存在明显错误则该小项不得分。</w:t>
            </w:r>
          </w:p>
          <w:p w14:paraId="2B4A9F50">
            <w:pPr>
              <w:pStyle w:val="6"/>
              <w:spacing w:line="240" w:lineRule="auto"/>
              <w:ind w:left="0" w:leftChars="0" w:firstLine="0" w:firstLineChars="0"/>
              <w:rPr>
                <w:rFonts w:hint="eastAsia" w:ascii="宋体" w:hAnsi="宋体" w:eastAsia="宋体" w:cs="宋体"/>
                <w:snapToGrid w:val="0"/>
                <w:color w:val="auto"/>
                <w:kern w:val="0"/>
                <w:sz w:val="24"/>
                <w:szCs w:val="24"/>
                <w:lang w:val="en-US" w:eastAsia="zh-CN" w:bidi="ar-SA"/>
              </w:rPr>
            </w:pPr>
            <w:r>
              <w:rPr>
                <w:rFonts w:hint="eastAsia" w:ascii="宋体" w:hAnsi="宋体" w:eastAsia="宋体" w:cs="宋体"/>
                <w:snapToGrid w:val="0"/>
                <w:color w:val="auto"/>
                <w:kern w:val="0"/>
                <w:sz w:val="24"/>
                <w:szCs w:val="24"/>
                <w:lang w:val="en-US" w:eastAsia="zh-CN" w:bidi="ar-SA"/>
              </w:rPr>
              <w:t>⑤备品备件保障</w:t>
            </w:r>
            <w:r>
              <w:rPr>
                <w:rFonts w:hint="eastAsia" w:ascii="宋体" w:hAnsi="宋体" w:cs="宋体"/>
                <w:snapToGrid w:val="0"/>
                <w:color w:val="auto"/>
                <w:kern w:val="0"/>
                <w:sz w:val="24"/>
                <w:szCs w:val="24"/>
                <w:lang w:val="en-US" w:eastAsia="zh-CN" w:bidi="ar-SA"/>
              </w:rPr>
              <w:t>（3分）：（1）‌需求分析与计划制定（0.6分）（2）‌采购与供应渠道建设（0.6分）（3）库存科学管理（0.6分）（4）‌仓储与发放规范（0.6分）（5）质量全过程控制（0.6分）</w:t>
            </w:r>
            <w:r>
              <w:rPr>
                <w:rFonts w:hint="eastAsia" w:ascii="宋体" w:hAnsi="宋体" w:eastAsia="宋体" w:cs="宋体"/>
                <w:color w:val="auto"/>
                <w:sz w:val="24"/>
                <w:szCs w:val="24"/>
                <w:lang w:val="en-US" w:eastAsia="zh-CN"/>
              </w:rPr>
              <w:t>每缺少一项扣相应分值，内容存在明显错误则该小项不得分。</w:t>
            </w:r>
          </w:p>
          <w:p w14:paraId="6DDD1655">
            <w:pPr>
              <w:pStyle w:val="6"/>
              <w:spacing w:line="240" w:lineRule="auto"/>
              <w:ind w:left="0" w:leftChars="0" w:firstLine="0" w:firstLineChars="0"/>
              <w:rPr>
                <w:rFonts w:hint="eastAsia" w:ascii="宋体" w:hAnsi="宋体" w:eastAsia="宋体" w:cs="宋体"/>
                <w:snapToGrid w:val="0"/>
                <w:color w:val="auto"/>
                <w:kern w:val="0"/>
                <w:sz w:val="24"/>
                <w:szCs w:val="24"/>
                <w:lang w:val="en-US" w:eastAsia="zh-CN" w:bidi="ar-SA"/>
              </w:rPr>
            </w:pPr>
            <w:r>
              <w:rPr>
                <w:rFonts w:hint="eastAsia" w:ascii="宋体" w:hAnsi="宋体" w:eastAsia="宋体" w:cs="宋体"/>
                <w:snapToGrid w:val="0"/>
                <w:color w:val="auto"/>
                <w:kern w:val="0"/>
                <w:sz w:val="24"/>
                <w:szCs w:val="24"/>
                <w:lang w:val="en-US" w:eastAsia="zh-CN" w:bidi="ar-SA"/>
              </w:rPr>
              <w:t>⑥维护质量保障</w:t>
            </w:r>
            <w:r>
              <w:rPr>
                <w:rFonts w:hint="eastAsia" w:ascii="宋体" w:hAnsi="宋体" w:cs="宋体"/>
                <w:snapToGrid w:val="0"/>
                <w:color w:val="auto"/>
                <w:kern w:val="0"/>
                <w:sz w:val="24"/>
                <w:szCs w:val="24"/>
                <w:lang w:val="en-US" w:eastAsia="zh-CN" w:bidi="ar-SA"/>
              </w:rPr>
              <w:t>（3分）：（1）预防为主，定期维保（0.5分）（2）标准化作业流程（0.5分）（3）人员专业能力保障（0.5分）（4）高质量配件与工具支持（0.5分）（5）全过程质量监督（0.5分）（6）‌信息化与数据驱动管理（0.5分）</w:t>
            </w:r>
            <w:r>
              <w:rPr>
                <w:rFonts w:hint="eastAsia" w:ascii="宋体" w:hAnsi="宋体" w:eastAsia="宋体" w:cs="宋体"/>
                <w:color w:val="auto"/>
                <w:sz w:val="24"/>
                <w:szCs w:val="24"/>
                <w:lang w:val="en-US" w:eastAsia="zh-CN"/>
              </w:rPr>
              <w:t>每缺少一项扣相应分值，内容存在明显错误则该小项不得分。</w:t>
            </w:r>
          </w:p>
          <w:p w14:paraId="382530D6">
            <w:pPr>
              <w:pStyle w:val="6"/>
              <w:spacing w:line="240" w:lineRule="auto"/>
              <w:ind w:left="0" w:leftChars="0" w:firstLine="0" w:firstLineChars="0"/>
              <w:rPr>
                <w:rFonts w:hint="eastAsia" w:ascii="宋体" w:hAnsi="宋体" w:eastAsia="宋体" w:cs="宋体"/>
                <w:snapToGrid w:val="0"/>
                <w:color w:val="auto"/>
                <w:kern w:val="0"/>
                <w:sz w:val="24"/>
                <w:szCs w:val="24"/>
                <w:lang w:val="en-US" w:eastAsia="zh-CN" w:bidi="ar-SA"/>
              </w:rPr>
            </w:pPr>
            <w:r>
              <w:rPr>
                <w:rFonts w:hint="eastAsia" w:ascii="宋体" w:hAnsi="宋体" w:eastAsia="宋体" w:cs="宋体"/>
                <w:snapToGrid w:val="0"/>
                <w:color w:val="auto"/>
                <w:kern w:val="0"/>
                <w:sz w:val="24"/>
                <w:szCs w:val="24"/>
                <w:lang w:val="en-US" w:eastAsia="zh-CN" w:bidi="ar-SA"/>
              </w:rPr>
              <w:t>⑦服务质量保障</w:t>
            </w:r>
            <w:r>
              <w:rPr>
                <w:rFonts w:hint="eastAsia" w:ascii="宋体" w:hAnsi="宋体" w:cs="宋体"/>
                <w:snapToGrid w:val="0"/>
                <w:color w:val="auto"/>
                <w:kern w:val="0"/>
                <w:sz w:val="24"/>
                <w:szCs w:val="24"/>
                <w:lang w:val="en-US" w:eastAsia="zh-CN" w:bidi="ar-SA"/>
              </w:rPr>
              <w:t>（3分）：（1）专业技术能力支撑（0.8分）（2）原厂级配件与质量控制（0.8分）（3）预防性维护与系统优化（0.7分）（4）客户服务体系完善</w:t>
            </w:r>
            <w:r>
              <w:rPr>
                <w:rFonts w:hint="eastAsia" w:ascii="宋体" w:hAnsi="宋体" w:eastAsia="宋体" w:cs="宋体"/>
                <w:snapToGrid w:val="0"/>
                <w:color w:val="auto"/>
                <w:kern w:val="0"/>
                <w:sz w:val="24"/>
                <w:szCs w:val="24"/>
                <w:lang w:val="en-US" w:eastAsia="zh-CN" w:bidi="ar-SA"/>
              </w:rPr>
              <w:t>。</w:t>
            </w:r>
            <w:r>
              <w:rPr>
                <w:rFonts w:hint="eastAsia" w:ascii="宋体" w:hAnsi="宋体" w:cs="宋体"/>
                <w:snapToGrid w:val="0"/>
                <w:color w:val="auto"/>
                <w:kern w:val="0"/>
                <w:sz w:val="24"/>
                <w:szCs w:val="24"/>
                <w:lang w:val="en-US" w:eastAsia="zh-CN" w:bidi="ar-SA"/>
              </w:rPr>
              <w:t>（0.7分）</w:t>
            </w:r>
            <w:r>
              <w:rPr>
                <w:rFonts w:hint="eastAsia" w:ascii="宋体" w:hAnsi="宋体" w:eastAsia="宋体" w:cs="宋体"/>
                <w:color w:val="auto"/>
                <w:sz w:val="24"/>
                <w:szCs w:val="24"/>
                <w:lang w:val="en-US" w:eastAsia="zh-CN"/>
              </w:rPr>
              <w:t>每缺少一项扣相应分值，内容存在明显错误则该小项不得分。</w:t>
            </w:r>
          </w:p>
          <w:p w14:paraId="485C7B9F">
            <w:pPr>
              <w:pStyle w:val="6"/>
              <w:spacing w:line="240" w:lineRule="auto"/>
              <w:ind w:left="0" w:leftChars="0" w:firstLine="0" w:firstLineChars="0"/>
              <w:rPr>
                <w:rFonts w:hint="default"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t>注：本评审内容中“明显错误”是指：方案中引用的标准、规范错误或已废止；方案内容与招标文件明确要求的服务范围、地点、规模等实际情况明显不符；方案中存在逻辑矛盾、数据错误或无法实现的承诺；关键措施缺失导致方案无法指导实际工作等任意一种情形。每项扣分不超过该小项总分，扣完为止，未提供不得分。</w:t>
            </w:r>
          </w:p>
        </w:tc>
      </w:tr>
      <w:tr w14:paraId="5FDD1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601" w:type="dxa"/>
            <w:vMerge w:val="continue"/>
            <w:tcBorders>
              <w:left w:val="single" w:color="auto" w:sz="4" w:space="0"/>
              <w:right w:val="single" w:color="auto" w:sz="4" w:space="0"/>
            </w:tcBorders>
            <w:vAlign w:val="center"/>
          </w:tcPr>
          <w:p w14:paraId="7820DD24">
            <w:pPr>
              <w:spacing w:line="240" w:lineRule="auto"/>
              <w:jc w:val="center"/>
              <w:rPr>
                <w:rFonts w:hint="eastAsia" w:ascii="宋体" w:hAnsi="宋体" w:eastAsia="宋体" w:cs="宋体"/>
                <w:color w:val="auto"/>
                <w:spacing w:val="6"/>
                <w:sz w:val="24"/>
                <w:szCs w:val="24"/>
                <w:lang w:eastAsia="zh-CN"/>
              </w:rPr>
            </w:pPr>
          </w:p>
        </w:tc>
        <w:tc>
          <w:tcPr>
            <w:tcW w:w="587" w:type="dxa"/>
            <w:tcBorders>
              <w:left w:val="single" w:color="auto" w:sz="4" w:space="0"/>
              <w:right w:val="single" w:color="auto" w:sz="4" w:space="0"/>
            </w:tcBorders>
            <w:vAlign w:val="center"/>
          </w:tcPr>
          <w:p w14:paraId="1FD0958E">
            <w:pPr>
              <w:spacing w:line="240" w:lineRule="auto"/>
              <w:jc w:val="center"/>
              <w:rPr>
                <w:rFonts w:hint="default" w:ascii="宋体" w:hAnsi="宋体" w:eastAsia="宋体" w:cs="宋体"/>
                <w:color w:val="auto"/>
                <w:spacing w:val="6"/>
                <w:sz w:val="24"/>
                <w:szCs w:val="24"/>
                <w:lang w:val="en-US" w:eastAsia="zh-CN"/>
              </w:rPr>
            </w:pPr>
            <w:r>
              <w:rPr>
                <w:rFonts w:hint="eastAsia" w:ascii="宋体" w:hAnsi="宋体" w:eastAsia="宋体" w:cs="宋体"/>
                <w:color w:val="auto"/>
                <w:spacing w:val="6"/>
                <w:sz w:val="24"/>
                <w:szCs w:val="24"/>
                <w:lang w:val="en-US" w:eastAsia="zh-CN"/>
              </w:rPr>
              <w:t>7</w:t>
            </w:r>
          </w:p>
        </w:tc>
        <w:tc>
          <w:tcPr>
            <w:tcW w:w="850" w:type="dxa"/>
            <w:tcBorders>
              <w:top w:val="single" w:color="auto" w:sz="4" w:space="0"/>
              <w:left w:val="single" w:color="auto" w:sz="4" w:space="0"/>
              <w:bottom w:val="single" w:color="auto" w:sz="4" w:space="0"/>
              <w:right w:val="single" w:color="auto" w:sz="4" w:space="0"/>
            </w:tcBorders>
            <w:vAlign w:val="center"/>
          </w:tcPr>
          <w:p w14:paraId="20063C95">
            <w:pPr>
              <w:spacing w:line="240" w:lineRule="auto"/>
              <w:jc w:val="center"/>
              <w:rPr>
                <w:rFonts w:hint="eastAsia" w:ascii="宋体" w:hAnsi="宋体" w:eastAsia="宋体" w:cs="宋体"/>
                <w:color w:val="auto"/>
                <w:spacing w:val="6"/>
                <w:sz w:val="24"/>
                <w:szCs w:val="24"/>
                <w:lang w:eastAsia="zh-CN"/>
              </w:rPr>
            </w:pPr>
            <w:r>
              <w:rPr>
                <w:rFonts w:hint="eastAsia" w:ascii="宋体" w:hAnsi="宋体" w:cs="宋体"/>
                <w:color w:val="000000"/>
                <w:kern w:val="0"/>
                <w:szCs w:val="21"/>
                <w:highlight w:val="none"/>
              </w:rPr>
              <w:t>服务方案</w:t>
            </w:r>
          </w:p>
        </w:tc>
        <w:tc>
          <w:tcPr>
            <w:tcW w:w="851" w:type="dxa"/>
            <w:tcBorders>
              <w:top w:val="single" w:color="auto" w:sz="4" w:space="0"/>
              <w:left w:val="single" w:color="auto" w:sz="4" w:space="0"/>
              <w:bottom w:val="single" w:color="auto" w:sz="4" w:space="0"/>
              <w:right w:val="single" w:color="auto" w:sz="4" w:space="0"/>
            </w:tcBorders>
            <w:vAlign w:val="center"/>
          </w:tcPr>
          <w:p w14:paraId="2A4EEB5C">
            <w:pPr>
              <w:spacing w:line="240" w:lineRule="auto"/>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15分</w:t>
            </w:r>
          </w:p>
        </w:tc>
        <w:tc>
          <w:tcPr>
            <w:tcW w:w="7201" w:type="dxa"/>
            <w:tcBorders>
              <w:top w:val="single" w:color="auto" w:sz="4" w:space="0"/>
              <w:left w:val="single" w:color="auto" w:sz="4" w:space="0"/>
              <w:bottom w:val="single" w:color="auto" w:sz="4" w:space="0"/>
              <w:right w:val="single" w:color="auto" w:sz="4" w:space="0"/>
            </w:tcBorders>
            <w:vAlign w:val="center"/>
          </w:tcPr>
          <w:p w14:paraId="1370CF85">
            <w:pPr>
              <w:spacing w:line="240" w:lineRule="auto"/>
              <w:rPr>
                <w:rFonts w:hint="eastAsia" w:ascii="宋体" w:hAnsi="宋体" w:eastAsia="宋体" w:cs="宋体"/>
                <w:color w:val="auto"/>
                <w:spacing w:val="-2"/>
                <w:sz w:val="24"/>
                <w:szCs w:val="24"/>
                <w:lang w:val="en-US" w:eastAsia="zh-CN"/>
              </w:rPr>
            </w:pPr>
            <w:r>
              <w:rPr>
                <w:rFonts w:hint="eastAsia" w:ascii="宋体" w:hAnsi="宋体" w:eastAsia="宋体" w:cs="宋体"/>
                <w:color w:val="auto"/>
                <w:spacing w:val="-2"/>
                <w:sz w:val="24"/>
                <w:szCs w:val="24"/>
                <w:lang w:val="en-US" w:eastAsia="zh-CN"/>
              </w:rPr>
              <w:t>根据投标人服务方案的合理性、全面性等方面进行评分。内容包括但不限于</w:t>
            </w:r>
          </w:p>
          <w:p w14:paraId="0D0E8B83">
            <w:pPr>
              <w:spacing w:line="240" w:lineRule="auto"/>
              <w:rPr>
                <w:rFonts w:hint="eastAsia" w:ascii="宋体" w:hAnsi="宋体" w:eastAsia="宋体" w:cs="宋体"/>
                <w:color w:val="auto"/>
                <w:spacing w:val="-2"/>
                <w:sz w:val="24"/>
                <w:szCs w:val="24"/>
                <w:lang w:val="en-US" w:eastAsia="zh-CN"/>
              </w:rPr>
            </w:pPr>
            <w:r>
              <w:rPr>
                <w:rFonts w:hint="eastAsia" w:ascii="宋体" w:hAnsi="宋体" w:eastAsia="宋体" w:cs="宋体"/>
                <w:color w:val="auto"/>
                <w:spacing w:val="-2"/>
                <w:sz w:val="24"/>
                <w:szCs w:val="24"/>
                <w:lang w:val="en-US" w:eastAsia="zh-CN"/>
              </w:rPr>
              <w:t>①巡检规范（3分）：（1）‌巡检范围与对象（1分）（2）‌巡检频率与周期（1分）（3）巡检内容与标准（1分）</w:t>
            </w:r>
            <w:r>
              <w:rPr>
                <w:rFonts w:hint="eastAsia" w:ascii="宋体" w:hAnsi="宋体" w:eastAsia="宋体" w:cs="宋体"/>
                <w:color w:val="auto"/>
                <w:sz w:val="24"/>
                <w:szCs w:val="24"/>
                <w:lang w:val="en-US" w:eastAsia="zh-CN"/>
              </w:rPr>
              <w:t>每缺少一项扣相应分值，内容存在明显错误则该小项不得分。</w:t>
            </w:r>
          </w:p>
          <w:p w14:paraId="262AEFDE">
            <w:pPr>
              <w:spacing w:line="240" w:lineRule="auto"/>
              <w:rPr>
                <w:rFonts w:hint="eastAsia" w:ascii="宋体" w:hAnsi="宋体" w:eastAsia="宋体" w:cs="宋体"/>
                <w:color w:val="auto"/>
                <w:spacing w:val="-2"/>
                <w:sz w:val="24"/>
                <w:szCs w:val="24"/>
                <w:lang w:val="en-US" w:eastAsia="zh-CN"/>
              </w:rPr>
            </w:pPr>
            <w:r>
              <w:rPr>
                <w:rFonts w:hint="eastAsia" w:ascii="宋体" w:hAnsi="宋体" w:eastAsia="宋体" w:cs="宋体"/>
                <w:color w:val="auto"/>
                <w:spacing w:val="-2"/>
                <w:sz w:val="24"/>
                <w:szCs w:val="24"/>
                <w:lang w:val="en-US" w:eastAsia="zh-CN"/>
              </w:rPr>
              <w:t>②巡检流程（3分）：（1）巡前准备（0.7分）（2）现场巡检执行（0.8分）（3）‌问题识别与分级处置（0.8分）（4）‌整改闭环与复核（0.7分）</w:t>
            </w:r>
            <w:r>
              <w:rPr>
                <w:rFonts w:hint="eastAsia" w:ascii="宋体" w:hAnsi="宋体" w:eastAsia="宋体" w:cs="宋体"/>
                <w:color w:val="auto"/>
                <w:sz w:val="24"/>
                <w:szCs w:val="24"/>
                <w:lang w:val="en-US" w:eastAsia="zh-CN"/>
              </w:rPr>
              <w:t>每缺少一项扣相应分值，内容存在明显错误则该小项不得分。</w:t>
            </w:r>
          </w:p>
          <w:p w14:paraId="23B220B4">
            <w:pPr>
              <w:spacing w:line="240" w:lineRule="auto"/>
              <w:rPr>
                <w:rFonts w:hint="default" w:ascii="宋体" w:hAnsi="宋体" w:eastAsia="宋体" w:cs="宋体"/>
                <w:color w:val="auto"/>
                <w:spacing w:val="-2"/>
                <w:sz w:val="24"/>
                <w:szCs w:val="24"/>
                <w:lang w:val="en-US" w:eastAsia="zh-CN"/>
              </w:rPr>
            </w:pPr>
            <w:r>
              <w:rPr>
                <w:rFonts w:hint="eastAsia" w:ascii="宋体" w:hAnsi="宋体" w:eastAsia="宋体" w:cs="宋体"/>
                <w:color w:val="auto"/>
                <w:spacing w:val="-2"/>
                <w:sz w:val="24"/>
                <w:szCs w:val="24"/>
                <w:lang w:val="en-US" w:eastAsia="zh-CN"/>
              </w:rPr>
              <w:t>③巡检文档（3分）：（1）基础信息区（0.7分）（2）巡检项目与检查标准（0.8分）（3）‌问题描述与整改闭环（0.8分）（4）附件与证据留存（0.7分）</w:t>
            </w:r>
            <w:r>
              <w:rPr>
                <w:rFonts w:hint="eastAsia" w:ascii="宋体" w:hAnsi="宋体" w:eastAsia="宋体" w:cs="宋体"/>
                <w:color w:val="auto"/>
                <w:sz w:val="24"/>
                <w:szCs w:val="24"/>
                <w:lang w:val="en-US" w:eastAsia="zh-CN"/>
              </w:rPr>
              <w:t>每缺少一项扣相应分值，内容存在明显错误则该小项不得分。</w:t>
            </w:r>
          </w:p>
          <w:p w14:paraId="4E0A7E0B">
            <w:pPr>
              <w:spacing w:line="240" w:lineRule="auto"/>
              <w:rPr>
                <w:rFonts w:hint="default" w:ascii="宋体" w:hAnsi="宋体" w:eastAsia="宋体" w:cs="宋体"/>
                <w:color w:val="auto"/>
                <w:spacing w:val="-2"/>
                <w:sz w:val="24"/>
                <w:szCs w:val="24"/>
                <w:lang w:val="en-US" w:eastAsia="zh-CN"/>
              </w:rPr>
            </w:pPr>
            <w:r>
              <w:rPr>
                <w:rFonts w:hint="eastAsia" w:ascii="宋体" w:hAnsi="宋体" w:eastAsia="宋体" w:cs="宋体"/>
                <w:color w:val="auto"/>
                <w:spacing w:val="-2"/>
                <w:sz w:val="24"/>
                <w:szCs w:val="24"/>
                <w:lang w:val="en-US" w:eastAsia="zh-CN"/>
              </w:rPr>
              <w:t>④管理制度（3分）：（1）‌组织架构与职责分工（0.4分）（2）‌巡检类型（0.4分）（3）‌巡检方法与要求（0.4分）（4）‌巡检范围与重点内容（0.5分）（5）‌信息化管理手段（0.4分）（6）‌监督考核与持续改进（0.5分）（7）‌问题处理与闭环机制（0.4分）</w:t>
            </w:r>
            <w:r>
              <w:rPr>
                <w:rFonts w:hint="eastAsia" w:ascii="宋体" w:hAnsi="宋体" w:eastAsia="宋体" w:cs="宋体"/>
                <w:color w:val="auto"/>
                <w:sz w:val="24"/>
                <w:szCs w:val="24"/>
                <w:lang w:val="en-US" w:eastAsia="zh-CN"/>
              </w:rPr>
              <w:t>每缺少一项扣相应分值，内容存在明显错误则该小项不得分。</w:t>
            </w:r>
          </w:p>
          <w:p w14:paraId="057002A5">
            <w:pPr>
              <w:spacing w:line="240" w:lineRule="auto"/>
              <w:rPr>
                <w:rFonts w:hint="eastAsia" w:ascii="宋体" w:hAnsi="宋体" w:eastAsia="宋体" w:cs="宋体"/>
                <w:color w:val="auto"/>
                <w:spacing w:val="-2"/>
                <w:sz w:val="24"/>
                <w:szCs w:val="24"/>
                <w:lang w:val="en-US" w:eastAsia="zh-CN"/>
              </w:rPr>
            </w:pPr>
            <w:r>
              <w:rPr>
                <w:rFonts w:hint="eastAsia" w:ascii="宋体" w:hAnsi="宋体" w:eastAsia="宋体" w:cs="宋体"/>
                <w:color w:val="auto"/>
                <w:spacing w:val="-2"/>
                <w:sz w:val="24"/>
                <w:szCs w:val="24"/>
                <w:lang w:val="en-US" w:eastAsia="zh-CN"/>
              </w:rPr>
              <w:t>⑤巡检人员配置（3分）：（1）通用配置（1分）（2）</w:t>
            </w:r>
            <w:r>
              <w:rPr>
                <w:rFonts w:hint="default" w:ascii="宋体" w:hAnsi="宋体" w:eastAsia="宋体" w:cs="宋体"/>
                <w:color w:val="auto"/>
                <w:spacing w:val="-2"/>
                <w:sz w:val="24"/>
                <w:szCs w:val="24"/>
                <w:lang w:val="en-US" w:eastAsia="zh-CN"/>
              </w:rPr>
              <w:t>配置标准</w:t>
            </w:r>
            <w:r>
              <w:rPr>
                <w:rFonts w:hint="eastAsia" w:ascii="宋体" w:hAnsi="宋体" w:eastAsia="宋体" w:cs="宋体"/>
                <w:color w:val="auto"/>
                <w:spacing w:val="-2"/>
                <w:sz w:val="24"/>
                <w:szCs w:val="24"/>
                <w:lang w:val="en-US" w:eastAsia="zh-CN"/>
              </w:rPr>
              <w:t>（1分）（3）</w:t>
            </w:r>
            <w:r>
              <w:rPr>
                <w:rFonts w:hint="default" w:ascii="宋体" w:hAnsi="宋体" w:eastAsia="宋体" w:cs="宋体"/>
                <w:color w:val="auto"/>
                <w:spacing w:val="-2"/>
                <w:sz w:val="24"/>
                <w:szCs w:val="24"/>
                <w:lang w:val="en-US" w:eastAsia="zh-CN"/>
              </w:rPr>
              <w:t>特殊要求与管理机制</w:t>
            </w:r>
            <w:r>
              <w:rPr>
                <w:rFonts w:hint="eastAsia" w:ascii="宋体" w:hAnsi="宋体" w:eastAsia="宋体" w:cs="宋体"/>
                <w:color w:val="auto"/>
                <w:spacing w:val="-2"/>
                <w:sz w:val="24"/>
                <w:szCs w:val="24"/>
                <w:lang w:val="en-US" w:eastAsia="zh-CN"/>
              </w:rPr>
              <w:t>（1分）</w:t>
            </w:r>
            <w:r>
              <w:rPr>
                <w:rFonts w:hint="eastAsia" w:ascii="宋体" w:hAnsi="宋体" w:eastAsia="宋体" w:cs="宋体"/>
                <w:color w:val="auto"/>
                <w:sz w:val="24"/>
                <w:szCs w:val="24"/>
                <w:lang w:val="en-US" w:eastAsia="zh-CN"/>
              </w:rPr>
              <w:t>每缺少一项扣相应分值，内容存在明显错误则该小项不得分。</w:t>
            </w:r>
          </w:p>
          <w:p w14:paraId="4BBD303F">
            <w:pPr>
              <w:spacing w:line="240" w:lineRule="auto"/>
              <w:rPr>
                <w:rFonts w:hint="eastAsia" w:ascii="宋体" w:hAnsi="宋体" w:eastAsia="宋体" w:cs="宋体"/>
                <w:color w:val="auto"/>
                <w:sz w:val="24"/>
                <w:szCs w:val="24"/>
                <w:lang w:eastAsia="zh-CN"/>
              </w:rPr>
            </w:pPr>
            <w:r>
              <w:rPr>
                <w:rFonts w:hint="default" w:ascii="宋体" w:hAnsi="宋体" w:eastAsia="宋体" w:cs="宋体"/>
                <w:color w:val="auto"/>
                <w:sz w:val="24"/>
                <w:szCs w:val="24"/>
                <w:lang w:val="en-US" w:eastAsia="zh-CN"/>
              </w:rPr>
              <w:t>注：本评审内容中“明显错误”是指：方案中引用的标准、规范错误或已废止；方案内容与招标文件明确要求的服务范围、地点、规模等实际情况明显不符；方案中存在逻辑矛盾、数据错误或无法实现的承诺；关键措施缺失导致方案无法指导实际工作等任意一种情形。每项扣分不超过该小项总分，扣完为止，未提供不得分。</w:t>
            </w:r>
          </w:p>
        </w:tc>
      </w:tr>
      <w:tr w14:paraId="37B5A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601" w:type="dxa"/>
            <w:vMerge w:val="continue"/>
            <w:tcBorders>
              <w:left w:val="single" w:color="auto" w:sz="4" w:space="0"/>
              <w:right w:val="single" w:color="auto" w:sz="4" w:space="0"/>
            </w:tcBorders>
            <w:vAlign w:val="center"/>
          </w:tcPr>
          <w:p w14:paraId="40B688D8">
            <w:pPr>
              <w:spacing w:line="240" w:lineRule="auto"/>
              <w:jc w:val="center"/>
              <w:rPr>
                <w:rFonts w:hint="eastAsia" w:ascii="宋体" w:hAnsi="宋体" w:eastAsia="宋体" w:cs="宋体"/>
                <w:color w:val="auto"/>
                <w:spacing w:val="6"/>
                <w:sz w:val="24"/>
                <w:szCs w:val="24"/>
                <w:lang w:eastAsia="zh-CN"/>
              </w:rPr>
            </w:pPr>
          </w:p>
        </w:tc>
        <w:tc>
          <w:tcPr>
            <w:tcW w:w="587" w:type="dxa"/>
            <w:tcBorders>
              <w:left w:val="single" w:color="auto" w:sz="4" w:space="0"/>
              <w:right w:val="single" w:color="auto" w:sz="4" w:space="0"/>
            </w:tcBorders>
            <w:vAlign w:val="center"/>
          </w:tcPr>
          <w:p w14:paraId="7F66E71A">
            <w:pPr>
              <w:spacing w:line="240" w:lineRule="auto"/>
              <w:jc w:val="center"/>
              <w:rPr>
                <w:rFonts w:hint="default" w:ascii="宋体" w:hAnsi="宋体" w:eastAsia="宋体" w:cs="宋体"/>
                <w:color w:val="auto"/>
                <w:spacing w:val="6"/>
                <w:sz w:val="24"/>
                <w:szCs w:val="24"/>
                <w:lang w:val="en-US" w:eastAsia="zh-CN"/>
              </w:rPr>
            </w:pPr>
            <w:r>
              <w:rPr>
                <w:rFonts w:hint="eastAsia" w:ascii="宋体" w:hAnsi="宋体" w:eastAsia="宋体" w:cs="宋体"/>
                <w:color w:val="auto"/>
                <w:spacing w:val="6"/>
                <w:sz w:val="24"/>
                <w:szCs w:val="24"/>
                <w:lang w:val="en-US" w:eastAsia="zh-CN"/>
              </w:rPr>
              <w:t>8</w:t>
            </w:r>
          </w:p>
        </w:tc>
        <w:tc>
          <w:tcPr>
            <w:tcW w:w="850" w:type="dxa"/>
            <w:tcBorders>
              <w:top w:val="single" w:color="auto" w:sz="4" w:space="0"/>
              <w:left w:val="single" w:color="auto" w:sz="4" w:space="0"/>
              <w:bottom w:val="single" w:color="auto" w:sz="4" w:space="0"/>
              <w:right w:val="single" w:color="auto" w:sz="4" w:space="0"/>
            </w:tcBorders>
            <w:vAlign w:val="center"/>
          </w:tcPr>
          <w:p w14:paraId="1EB4FBD0">
            <w:pPr>
              <w:spacing w:line="240" w:lineRule="auto"/>
              <w:jc w:val="center"/>
              <w:rPr>
                <w:rFonts w:hint="eastAsia" w:ascii="宋体" w:hAnsi="宋体" w:eastAsia="宋体" w:cs="宋体"/>
                <w:color w:val="auto"/>
                <w:spacing w:val="6"/>
                <w:sz w:val="24"/>
                <w:szCs w:val="24"/>
                <w:lang w:val="en-US" w:eastAsia="zh-CN"/>
              </w:rPr>
            </w:pPr>
            <w:r>
              <w:rPr>
                <w:rFonts w:hint="eastAsia" w:ascii="宋体" w:hAnsi="宋体" w:eastAsia="宋体" w:cs="宋体"/>
                <w:color w:val="auto"/>
                <w:sz w:val="24"/>
                <w:szCs w:val="24"/>
                <w:lang w:val="en-US" w:eastAsia="zh-CN"/>
              </w:rPr>
              <w:t>售后服务方案</w:t>
            </w:r>
          </w:p>
        </w:tc>
        <w:tc>
          <w:tcPr>
            <w:tcW w:w="851" w:type="dxa"/>
            <w:tcBorders>
              <w:top w:val="single" w:color="auto" w:sz="4" w:space="0"/>
              <w:left w:val="single" w:color="auto" w:sz="4" w:space="0"/>
              <w:bottom w:val="single" w:color="auto" w:sz="4" w:space="0"/>
              <w:right w:val="single" w:color="auto" w:sz="4" w:space="0"/>
            </w:tcBorders>
            <w:vAlign w:val="center"/>
          </w:tcPr>
          <w:p w14:paraId="4B1BA44D">
            <w:pPr>
              <w:spacing w:line="240" w:lineRule="auto"/>
              <w:jc w:val="center"/>
              <w:rPr>
                <w:rFonts w:hint="default" w:ascii="宋体" w:hAnsi="宋体" w:eastAsia="宋体" w:cs="宋体"/>
                <w:color w:val="auto"/>
                <w:spacing w:val="6"/>
                <w:sz w:val="24"/>
                <w:szCs w:val="24"/>
                <w:lang w:val="en-US" w:eastAsia="zh-CN"/>
              </w:rPr>
            </w:pPr>
            <w:r>
              <w:rPr>
                <w:rFonts w:hint="eastAsia" w:ascii="宋体" w:hAnsi="宋体" w:eastAsia="宋体" w:cs="宋体"/>
                <w:color w:val="auto"/>
                <w:sz w:val="24"/>
                <w:szCs w:val="24"/>
                <w:lang w:val="en-US" w:eastAsia="zh-CN"/>
              </w:rPr>
              <w:t>5分</w:t>
            </w:r>
          </w:p>
        </w:tc>
        <w:tc>
          <w:tcPr>
            <w:tcW w:w="7201" w:type="dxa"/>
            <w:tcBorders>
              <w:top w:val="single" w:color="auto" w:sz="4" w:space="0"/>
              <w:left w:val="single" w:color="auto" w:sz="4" w:space="0"/>
              <w:bottom w:val="single" w:color="auto" w:sz="4" w:space="0"/>
              <w:right w:val="single" w:color="auto" w:sz="4" w:space="0"/>
            </w:tcBorders>
            <w:vAlign w:val="center"/>
          </w:tcPr>
          <w:p w14:paraId="68F0C871">
            <w:pPr>
              <w:spacing w:line="240" w:lineRule="auto"/>
              <w:rPr>
                <w:rFonts w:hint="eastAsia" w:ascii="宋体" w:hAnsi="宋体" w:eastAsia="宋体" w:cs="宋体"/>
                <w:color w:val="auto"/>
                <w:spacing w:val="-2"/>
                <w:sz w:val="24"/>
                <w:szCs w:val="24"/>
                <w:lang w:val="en-US" w:eastAsia="zh-CN"/>
              </w:rPr>
            </w:pPr>
            <w:r>
              <w:rPr>
                <w:rFonts w:hint="eastAsia" w:ascii="宋体" w:hAnsi="宋体" w:eastAsia="宋体" w:cs="宋体"/>
                <w:color w:val="auto"/>
                <w:spacing w:val="-2"/>
                <w:sz w:val="24"/>
                <w:szCs w:val="24"/>
                <w:lang w:val="zh-CN" w:eastAsia="zh-CN"/>
              </w:rPr>
              <w:t>根据</w:t>
            </w:r>
            <w:r>
              <w:rPr>
                <w:rFonts w:hint="eastAsia" w:ascii="宋体" w:hAnsi="宋体" w:eastAsia="宋体" w:cs="宋体"/>
                <w:color w:val="auto"/>
                <w:sz w:val="24"/>
                <w:szCs w:val="24"/>
                <w:lang w:val="en-US" w:eastAsia="zh-CN"/>
              </w:rPr>
              <w:t>投标人</w:t>
            </w:r>
            <w:r>
              <w:rPr>
                <w:rFonts w:hint="eastAsia" w:ascii="宋体" w:hAnsi="宋体" w:eastAsia="宋体" w:cs="宋体"/>
                <w:color w:val="auto"/>
                <w:spacing w:val="-2"/>
                <w:sz w:val="24"/>
                <w:szCs w:val="24"/>
                <w:lang w:val="zh-CN" w:eastAsia="zh-CN"/>
              </w:rPr>
              <w:t>售后服务方案进行评审，包括但不限于：</w:t>
            </w:r>
            <w:r>
              <w:rPr>
                <w:rFonts w:hint="eastAsia" w:ascii="宋体" w:hAnsi="宋体" w:eastAsia="宋体" w:cs="宋体"/>
                <w:color w:val="auto"/>
                <w:spacing w:val="-2"/>
                <w:sz w:val="24"/>
                <w:szCs w:val="24"/>
                <w:lang w:val="en-US" w:eastAsia="zh-CN"/>
              </w:rPr>
              <w:t>1.售后服务计划；2.售后服务措施；3.质保期内的检修计划；4.日常维护；5.出现质量问题时应急措施及效率。</w:t>
            </w:r>
          </w:p>
          <w:p w14:paraId="7ADDD1C7">
            <w:pPr>
              <w:spacing w:line="240" w:lineRule="auto"/>
              <w:rPr>
                <w:rFonts w:hint="eastAsia" w:ascii="宋体" w:hAnsi="宋体" w:eastAsia="宋体" w:cs="宋体"/>
                <w:color w:val="auto"/>
                <w:spacing w:val="-2"/>
                <w:sz w:val="24"/>
                <w:szCs w:val="24"/>
                <w:lang w:val="en-US" w:eastAsia="zh-CN"/>
              </w:rPr>
            </w:pPr>
            <w:r>
              <w:rPr>
                <w:rFonts w:hint="eastAsia" w:ascii="宋体" w:hAnsi="宋体" w:eastAsia="宋体" w:cs="宋体"/>
                <w:color w:val="auto"/>
                <w:spacing w:val="-2"/>
                <w:sz w:val="24"/>
                <w:szCs w:val="24"/>
                <w:lang w:val="en-US" w:eastAsia="zh-CN"/>
              </w:rPr>
              <w:t>满分5分，</w:t>
            </w:r>
            <w:r>
              <w:rPr>
                <w:rFonts w:hint="eastAsia" w:ascii="宋体" w:hAnsi="宋体" w:eastAsia="宋体" w:cs="宋体"/>
                <w:color w:val="auto"/>
                <w:sz w:val="24"/>
                <w:szCs w:val="24"/>
                <w:lang w:val="en-US" w:eastAsia="zh-CN"/>
              </w:rPr>
              <w:t>每缺少一项扣相应分值，内容存在明显错误则该小项不得分。</w:t>
            </w:r>
          </w:p>
          <w:p w14:paraId="719E68F4">
            <w:pPr>
              <w:spacing w:line="240" w:lineRule="auto"/>
              <w:rPr>
                <w:rFonts w:hint="eastAsia" w:ascii="宋体" w:hAnsi="宋体" w:eastAsia="宋体" w:cs="宋体"/>
                <w:color w:val="auto"/>
                <w:sz w:val="24"/>
                <w:szCs w:val="24"/>
                <w:lang w:eastAsia="zh-CN"/>
              </w:rPr>
            </w:pPr>
            <w:r>
              <w:rPr>
                <w:rFonts w:hint="default" w:ascii="宋体" w:hAnsi="宋体" w:eastAsia="宋体" w:cs="宋体"/>
                <w:color w:val="auto"/>
                <w:sz w:val="24"/>
                <w:szCs w:val="24"/>
                <w:lang w:val="en-US" w:eastAsia="zh-CN"/>
              </w:rPr>
              <w:t>注：本评审内容中“明显错误”是指：方案中引用的标准、规范错误或已废止；方案内容与招标文件明确要求的服务范围、地点、规模等实际情况明显不符；方案中存在逻辑矛盾、数据错误或无法实现的承诺；关键措施缺失导致方案无法指导实际工作等任意一种情形。每项扣分不超过该小项总分，扣完为止，未提供不得分。</w:t>
            </w:r>
          </w:p>
        </w:tc>
      </w:tr>
      <w:tr w14:paraId="77DDF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601" w:type="dxa"/>
            <w:vMerge w:val="continue"/>
            <w:tcBorders>
              <w:left w:val="single" w:color="auto" w:sz="4" w:space="0"/>
              <w:right w:val="single" w:color="auto" w:sz="4" w:space="0"/>
            </w:tcBorders>
            <w:vAlign w:val="center"/>
          </w:tcPr>
          <w:p w14:paraId="018D19DA">
            <w:pPr>
              <w:spacing w:line="240" w:lineRule="auto"/>
              <w:jc w:val="center"/>
              <w:rPr>
                <w:rFonts w:hint="eastAsia" w:ascii="宋体" w:hAnsi="宋体" w:eastAsia="宋体" w:cs="宋体"/>
                <w:color w:val="auto"/>
                <w:spacing w:val="6"/>
                <w:sz w:val="24"/>
                <w:szCs w:val="24"/>
                <w:lang w:eastAsia="zh-CN"/>
              </w:rPr>
            </w:pPr>
          </w:p>
        </w:tc>
        <w:tc>
          <w:tcPr>
            <w:tcW w:w="587" w:type="dxa"/>
            <w:tcBorders>
              <w:left w:val="single" w:color="auto" w:sz="4" w:space="0"/>
              <w:right w:val="single" w:color="auto" w:sz="4" w:space="0"/>
            </w:tcBorders>
            <w:vAlign w:val="center"/>
          </w:tcPr>
          <w:p w14:paraId="35AC9ECF">
            <w:pPr>
              <w:spacing w:line="240" w:lineRule="auto"/>
              <w:jc w:val="center"/>
              <w:rPr>
                <w:rFonts w:hint="eastAsia" w:ascii="宋体" w:hAnsi="宋体" w:eastAsia="宋体" w:cs="宋体"/>
                <w:color w:val="auto"/>
                <w:spacing w:val="6"/>
                <w:sz w:val="24"/>
                <w:szCs w:val="24"/>
                <w:lang w:eastAsia="zh-CN"/>
              </w:rPr>
            </w:pPr>
            <w:r>
              <w:rPr>
                <w:rFonts w:hint="eastAsia" w:ascii="宋体" w:hAnsi="宋体" w:eastAsia="宋体" w:cs="宋体"/>
                <w:color w:val="auto"/>
                <w:spacing w:val="6"/>
                <w:sz w:val="24"/>
                <w:szCs w:val="24"/>
                <w:lang w:val="en-US" w:eastAsia="zh-CN"/>
              </w:rPr>
              <w:t>9</w:t>
            </w:r>
          </w:p>
        </w:tc>
        <w:tc>
          <w:tcPr>
            <w:tcW w:w="850" w:type="dxa"/>
            <w:tcBorders>
              <w:top w:val="single" w:color="auto" w:sz="4" w:space="0"/>
              <w:left w:val="single" w:color="auto" w:sz="4" w:space="0"/>
              <w:bottom w:val="single" w:color="auto" w:sz="4" w:space="0"/>
              <w:right w:val="single" w:color="auto" w:sz="4" w:space="0"/>
            </w:tcBorders>
            <w:vAlign w:val="center"/>
          </w:tcPr>
          <w:p w14:paraId="75297816">
            <w:pPr>
              <w:spacing w:line="240" w:lineRule="auto"/>
              <w:jc w:val="center"/>
              <w:rPr>
                <w:rFonts w:hint="default" w:ascii="宋体" w:hAnsi="宋体" w:eastAsia="宋体" w:cs="宋体"/>
                <w:color w:val="auto"/>
                <w:spacing w:val="6"/>
                <w:sz w:val="24"/>
                <w:szCs w:val="24"/>
                <w:lang w:val="en-US" w:eastAsia="zh-CN"/>
              </w:rPr>
            </w:pPr>
            <w:r>
              <w:rPr>
                <w:rFonts w:hint="eastAsia" w:ascii="宋体" w:hAnsi="宋体" w:eastAsia="宋体" w:cs="宋体"/>
                <w:color w:val="auto"/>
                <w:sz w:val="24"/>
                <w:szCs w:val="24"/>
                <w:lang w:eastAsia="zh-CN"/>
              </w:rPr>
              <w:t>应急处理预案</w:t>
            </w:r>
          </w:p>
        </w:tc>
        <w:tc>
          <w:tcPr>
            <w:tcW w:w="851" w:type="dxa"/>
            <w:tcBorders>
              <w:top w:val="single" w:color="auto" w:sz="4" w:space="0"/>
              <w:left w:val="single" w:color="auto" w:sz="4" w:space="0"/>
              <w:bottom w:val="single" w:color="auto" w:sz="4" w:space="0"/>
              <w:right w:val="single" w:color="auto" w:sz="4" w:space="0"/>
            </w:tcBorders>
            <w:vAlign w:val="center"/>
          </w:tcPr>
          <w:p w14:paraId="52F0D116">
            <w:pPr>
              <w:spacing w:line="240" w:lineRule="auto"/>
              <w:jc w:val="center"/>
              <w:rPr>
                <w:rFonts w:hint="default" w:ascii="宋体" w:hAnsi="宋体" w:eastAsia="宋体" w:cs="宋体"/>
                <w:color w:val="auto"/>
                <w:spacing w:val="6"/>
                <w:sz w:val="24"/>
                <w:szCs w:val="24"/>
                <w:lang w:val="en-US" w:eastAsia="zh-CN"/>
              </w:rPr>
            </w:pP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分</w:t>
            </w:r>
          </w:p>
        </w:tc>
        <w:tc>
          <w:tcPr>
            <w:tcW w:w="7201" w:type="dxa"/>
            <w:tcBorders>
              <w:top w:val="single" w:color="auto" w:sz="4" w:space="0"/>
              <w:left w:val="single" w:color="auto" w:sz="4" w:space="0"/>
              <w:bottom w:val="single" w:color="auto" w:sz="4" w:space="0"/>
              <w:right w:val="single" w:color="auto" w:sz="4" w:space="0"/>
            </w:tcBorders>
            <w:vAlign w:val="center"/>
          </w:tcPr>
          <w:p w14:paraId="698840BC">
            <w:pPr>
              <w:spacing w:line="240" w:lineRule="auto"/>
              <w:rPr>
                <w:rFonts w:hint="default"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t>针对维保服务的设备提供的应急处理方案，内容包括但不限于①应急管理制度②故障响应流程③重大活动期间、节假日期间保障方案④保障人员变动风险的防范机制等；</w:t>
            </w:r>
          </w:p>
          <w:p w14:paraId="617E9CA4">
            <w:pPr>
              <w:spacing w:line="240" w:lineRule="auto"/>
              <w:rPr>
                <w:rFonts w:hint="default" w:ascii="宋体" w:hAnsi="宋体" w:eastAsia="宋体" w:cs="宋体"/>
                <w:color w:val="auto"/>
                <w:spacing w:val="-2"/>
                <w:sz w:val="24"/>
                <w:szCs w:val="24"/>
                <w:lang w:val="en-US" w:eastAsia="zh-CN"/>
              </w:rPr>
            </w:pPr>
            <w:r>
              <w:rPr>
                <w:rFonts w:hint="eastAsia" w:ascii="宋体" w:hAnsi="宋体" w:eastAsia="宋体" w:cs="宋体"/>
                <w:color w:val="auto"/>
                <w:spacing w:val="-2"/>
                <w:sz w:val="24"/>
                <w:szCs w:val="24"/>
                <w:lang w:val="en-US" w:eastAsia="zh-CN"/>
              </w:rPr>
              <w:t>满分4分，</w:t>
            </w:r>
            <w:r>
              <w:rPr>
                <w:rFonts w:hint="eastAsia" w:ascii="宋体" w:hAnsi="宋体" w:eastAsia="宋体" w:cs="宋体"/>
                <w:color w:val="auto"/>
                <w:sz w:val="24"/>
                <w:szCs w:val="24"/>
                <w:lang w:val="en-US" w:eastAsia="zh-CN"/>
              </w:rPr>
              <w:t>每缺少一项扣相应分值，内容存在明显错误则该小项不得分。</w:t>
            </w:r>
          </w:p>
          <w:p w14:paraId="6BEA09BB">
            <w:pPr>
              <w:spacing w:line="240" w:lineRule="auto"/>
              <w:rPr>
                <w:rFonts w:hint="eastAsia"/>
                <w:lang w:eastAsia="zh-CN"/>
              </w:rPr>
            </w:pPr>
            <w:r>
              <w:rPr>
                <w:rFonts w:hint="default" w:ascii="宋体" w:hAnsi="宋体" w:eastAsia="宋体" w:cs="宋体"/>
                <w:color w:val="auto"/>
                <w:sz w:val="24"/>
                <w:szCs w:val="24"/>
                <w:lang w:val="en-US" w:eastAsia="zh-CN"/>
              </w:rPr>
              <w:t>注：本评审内容中“明显错误”是指：方案中引用的标准、规范错误或已废止；方案内容与招标文件明确要求的服务范围、地点、规模等实际情况明显不符；方案中存在逻辑矛盾、数据错误或无法实现的承诺；关键措施缺失导致方案无法指导实际工作等任意一种情形。每项扣分不超过该小项总分，扣完为止，未提供不得分。</w:t>
            </w:r>
          </w:p>
        </w:tc>
      </w:tr>
      <w:tr w14:paraId="59D04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 w:hRule="atLeast"/>
          <w:jc w:val="center"/>
        </w:trPr>
        <w:tc>
          <w:tcPr>
            <w:tcW w:w="601" w:type="dxa"/>
            <w:vMerge w:val="continue"/>
            <w:tcBorders>
              <w:left w:val="single" w:color="auto" w:sz="4" w:space="0"/>
              <w:right w:val="single" w:color="auto" w:sz="4" w:space="0"/>
            </w:tcBorders>
            <w:vAlign w:val="center"/>
          </w:tcPr>
          <w:p w14:paraId="18A01DEF">
            <w:pPr>
              <w:spacing w:line="240" w:lineRule="auto"/>
              <w:jc w:val="center"/>
              <w:rPr>
                <w:rFonts w:hint="eastAsia" w:ascii="宋体" w:hAnsi="宋体" w:eastAsia="宋体" w:cs="宋体"/>
                <w:color w:val="auto"/>
                <w:spacing w:val="6"/>
                <w:sz w:val="24"/>
                <w:szCs w:val="24"/>
                <w:lang w:eastAsia="zh-CN"/>
              </w:rPr>
            </w:pPr>
          </w:p>
        </w:tc>
        <w:tc>
          <w:tcPr>
            <w:tcW w:w="587" w:type="dxa"/>
            <w:tcBorders>
              <w:left w:val="single" w:color="auto" w:sz="4" w:space="0"/>
              <w:right w:val="single" w:color="auto" w:sz="4" w:space="0"/>
            </w:tcBorders>
            <w:vAlign w:val="center"/>
          </w:tcPr>
          <w:p w14:paraId="39DB7184">
            <w:pPr>
              <w:spacing w:line="240" w:lineRule="auto"/>
              <w:jc w:val="center"/>
              <w:rPr>
                <w:rFonts w:hint="default" w:ascii="宋体" w:hAnsi="宋体" w:eastAsia="宋体" w:cs="宋体"/>
                <w:color w:val="auto"/>
                <w:spacing w:val="6"/>
                <w:sz w:val="24"/>
                <w:szCs w:val="24"/>
                <w:highlight w:val="none"/>
                <w:lang w:val="en-US" w:eastAsia="zh-CN"/>
              </w:rPr>
            </w:pPr>
            <w:r>
              <w:rPr>
                <w:rFonts w:hint="eastAsia" w:ascii="宋体" w:hAnsi="宋体" w:eastAsia="宋体" w:cs="宋体"/>
                <w:color w:val="auto"/>
                <w:spacing w:val="6"/>
                <w:sz w:val="24"/>
                <w:szCs w:val="24"/>
                <w:highlight w:val="none"/>
                <w:lang w:val="en-US" w:eastAsia="zh-CN"/>
              </w:rPr>
              <w:t>10</w:t>
            </w:r>
          </w:p>
        </w:tc>
        <w:tc>
          <w:tcPr>
            <w:tcW w:w="850" w:type="dxa"/>
            <w:tcBorders>
              <w:top w:val="single" w:color="auto" w:sz="4" w:space="0"/>
              <w:left w:val="single" w:color="auto" w:sz="4" w:space="0"/>
              <w:bottom w:val="single" w:color="auto" w:sz="4" w:space="0"/>
              <w:right w:val="single" w:color="auto" w:sz="4" w:space="0"/>
            </w:tcBorders>
            <w:vAlign w:val="center"/>
          </w:tcPr>
          <w:p w14:paraId="635C5BCD">
            <w:pPr>
              <w:spacing w:line="240" w:lineRule="auto"/>
              <w:ind w:hanging="3" w:firstLineChars="0"/>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响应承诺</w:t>
            </w:r>
          </w:p>
        </w:tc>
        <w:tc>
          <w:tcPr>
            <w:tcW w:w="851" w:type="dxa"/>
            <w:tcBorders>
              <w:top w:val="single" w:color="auto" w:sz="4" w:space="0"/>
              <w:left w:val="single" w:color="auto" w:sz="4" w:space="0"/>
              <w:bottom w:val="single" w:color="auto" w:sz="4" w:space="0"/>
              <w:right w:val="single" w:color="auto" w:sz="4" w:space="0"/>
            </w:tcBorders>
            <w:vAlign w:val="center"/>
          </w:tcPr>
          <w:p w14:paraId="531E7CB1">
            <w:pPr>
              <w:spacing w:line="240" w:lineRule="auto"/>
              <w:ind w:hanging="3" w:firstLineChars="0"/>
              <w:jc w:val="center"/>
              <w:rPr>
                <w:rFonts w:hint="default" w:ascii="宋体" w:hAnsi="宋体" w:eastAsia="宋体" w:cs="宋体"/>
                <w:color w:val="auto"/>
                <w:spacing w:val="8"/>
                <w:sz w:val="24"/>
                <w:szCs w:val="24"/>
                <w:highlight w:val="none"/>
                <w:lang w:val="en-US" w:eastAsia="zh-CN"/>
              </w:rPr>
            </w:pPr>
            <w:r>
              <w:rPr>
                <w:rFonts w:hint="eastAsia" w:ascii="宋体" w:hAnsi="宋体" w:eastAsia="宋体" w:cs="宋体"/>
                <w:color w:val="auto"/>
                <w:spacing w:val="8"/>
                <w:sz w:val="24"/>
                <w:szCs w:val="24"/>
                <w:highlight w:val="none"/>
                <w:lang w:val="en-US" w:eastAsia="zh-CN"/>
              </w:rPr>
              <w:t>4分</w:t>
            </w:r>
          </w:p>
        </w:tc>
        <w:tc>
          <w:tcPr>
            <w:tcW w:w="7201" w:type="dxa"/>
            <w:tcBorders>
              <w:top w:val="single" w:color="auto" w:sz="4" w:space="0"/>
              <w:left w:val="single" w:color="auto" w:sz="4" w:space="0"/>
              <w:bottom w:val="single" w:color="auto" w:sz="4" w:space="0"/>
              <w:right w:val="single" w:color="auto" w:sz="4" w:space="0"/>
            </w:tcBorders>
            <w:vAlign w:val="center"/>
          </w:tcPr>
          <w:p w14:paraId="746F873C">
            <w:pPr>
              <w:spacing w:after="0" w:line="240" w:lineRule="auto"/>
              <w:rPr>
                <w:rFonts w:hint="default" w:ascii="宋体" w:hAnsi="宋体" w:eastAsia="宋体" w:cs="宋体"/>
                <w:color w:val="auto"/>
                <w:spacing w:val="8"/>
                <w:sz w:val="24"/>
                <w:szCs w:val="24"/>
                <w:highlight w:val="none"/>
                <w:lang w:val="en-US" w:eastAsia="zh-CN"/>
              </w:rPr>
            </w:pPr>
            <w:r>
              <w:rPr>
                <w:rFonts w:hint="eastAsia" w:ascii="宋体" w:hAnsi="宋体" w:eastAsia="宋体" w:cs="宋体"/>
                <w:color w:val="auto"/>
                <w:sz w:val="24"/>
                <w:szCs w:val="24"/>
                <w:highlight w:val="none"/>
                <w:lang w:eastAsia="zh-CN"/>
              </w:rPr>
              <w:t>根据</w:t>
            </w:r>
            <w:r>
              <w:rPr>
                <w:rFonts w:hint="eastAsia" w:ascii="宋体" w:hAnsi="宋体" w:eastAsia="宋体" w:cs="宋体"/>
                <w:color w:val="auto"/>
                <w:sz w:val="24"/>
                <w:szCs w:val="24"/>
                <w:lang w:val="en-US" w:eastAsia="zh-CN"/>
              </w:rPr>
              <w:t>投标人</w:t>
            </w:r>
            <w:r>
              <w:rPr>
                <w:rFonts w:hint="eastAsia" w:ascii="宋体" w:hAnsi="宋体" w:eastAsia="宋体" w:cs="宋体"/>
                <w:color w:val="auto"/>
                <w:sz w:val="24"/>
                <w:szCs w:val="24"/>
                <w:highlight w:val="none"/>
                <w:lang w:val="en-US" w:eastAsia="zh-CN"/>
              </w:rPr>
              <w:t>响应承诺</w:t>
            </w:r>
            <w:r>
              <w:rPr>
                <w:rFonts w:hint="eastAsia" w:ascii="宋体" w:hAnsi="宋体" w:eastAsia="宋体" w:cs="宋体"/>
                <w:color w:val="auto"/>
                <w:sz w:val="24"/>
                <w:szCs w:val="24"/>
                <w:highlight w:val="none"/>
                <w:lang w:eastAsia="zh-CN"/>
              </w:rPr>
              <w:t>进行评审，包括但不限于：</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pacing w:val="8"/>
                <w:sz w:val="24"/>
                <w:szCs w:val="24"/>
                <w:highlight w:val="none"/>
                <w:lang w:val="en-US" w:eastAsia="zh-CN"/>
              </w:rPr>
              <w:t>人员响应承诺：接到故障电话后两个小时抵达现场解决问题；2.相关证明材料。</w:t>
            </w:r>
          </w:p>
          <w:p w14:paraId="707EC566">
            <w:pPr>
              <w:spacing w:after="0" w:line="240" w:lineRule="auto"/>
              <w:rPr>
                <w:rFonts w:hint="eastAsia" w:ascii="宋体" w:hAnsi="宋体" w:eastAsia="宋体" w:cs="宋体"/>
                <w:color w:val="auto"/>
                <w:spacing w:val="8"/>
                <w:sz w:val="24"/>
                <w:szCs w:val="24"/>
                <w:highlight w:val="none"/>
                <w:lang w:val="en-US" w:eastAsia="zh-CN"/>
              </w:rPr>
            </w:pPr>
            <w:r>
              <w:rPr>
                <w:rFonts w:hint="eastAsia" w:ascii="宋体" w:hAnsi="宋体" w:eastAsia="宋体" w:cs="宋体"/>
                <w:color w:val="auto"/>
                <w:spacing w:val="8"/>
                <w:sz w:val="24"/>
                <w:szCs w:val="24"/>
                <w:highlight w:val="none"/>
                <w:lang w:val="en-US" w:eastAsia="zh-CN"/>
              </w:rPr>
              <w:t>满分4分，</w:t>
            </w:r>
            <w:r>
              <w:rPr>
                <w:rFonts w:hint="eastAsia" w:ascii="宋体" w:hAnsi="宋体" w:eastAsia="宋体" w:cs="宋体"/>
                <w:color w:val="auto"/>
                <w:sz w:val="24"/>
                <w:szCs w:val="24"/>
                <w:lang w:val="en-US" w:eastAsia="zh-CN"/>
              </w:rPr>
              <w:t>每缺少一项扣相应分值，内容存在明显错误则该小项不得分。</w:t>
            </w:r>
          </w:p>
          <w:p w14:paraId="65348ED3">
            <w:pPr>
              <w:pStyle w:val="9"/>
              <w:spacing w:line="240" w:lineRule="auto"/>
              <w:rPr>
                <w:rFonts w:hint="default"/>
                <w:highlight w:val="none"/>
                <w:lang w:val="en-US" w:eastAsia="zh-CN"/>
              </w:rPr>
            </w:pPr>
            <w:r>
              <w:rPr>
                <w:rFonts w:hint="default" w:ascii="宋体" w:hAnsi="宋体" w:eastAsia="宋体" w:cs="宋体"/>
                <w:color w:val="auto"/>
                <w:sz w:val="24"/>
                <w:szCs w:val="24"/>
                <w:lang w:val="en-US" w:eastAsia="zh-CN"/>
              </w:rPr>
              <w:t>注：本评审内容中“明显错误”是指：方案中引用的标准、规范错误或已废止；方案内容与招标文件明确要求的服务范围、地点、规模等实际情况明显不符；方案中存在逻辑矛盾、数据错误或无法实现的承诺；关键措施缺失导致方案无法指导实际工作等任意一种情形。每项扣分不超过该小项总分，扣完为止，未提供不得分。</w:t>
            </w:r>
          </w:p>
        </w:tc>
      </w:tr>
    </w:tbl>
    <w:p w14:paraId="67A46472">
      <w:pPr>
        <w:spacing w:line="560" w:lineRule="exact"/>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br w:type="page"/>
      </w:r>
    </w:p>
    <w:p w14:paraId="28AE468D">
      <w:pPr>
        <w:spacing w:line="560" w:lineRule="exact"/>
        <w:jc w:val="center"/>
        <w:outlineLvl w:val="1"/>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报价部分评</w:t>
      </w:r>
      <w:r>
        <w:rPr>
          <w:rFonts w:hint="eastAsia" w:ascii="宋体" w:hAnsi="宋体" w:eastAsia="宋体" w:cs="宋体"/>
          <w:b/>
          <w:bCs/>
          <w:color w:val="auto"/>
          <w:sz w:val="24"/>
          <w:szCs w:val="24"/>
          <w:lang w:val="zh-CN" w:eastAsia="zh-CN"/>
        </w:rPr>
        <w:t>审</w:t>
      </w:r>
      <w:r>
        <w:rPr>
          <w:rFonts w:hint="eastAsia" w:ascii="宋体" w:hAnsi="宋体" w:eastAsia="宋体" w:cs="宋体"/>
          <w:b/>
          <w:bCs/>
          <w:color w:val="auto"/>
          <w:sz w:val="24"/>
          <w:szCs w:val="24"/>
          <w:lang w:eastAsia="zh-CN"/>
        </w:rPr>
        <w:t>标准（</w:t>
      </w:r>
      <w:r>
        <w:rPr>
          <w:rFonts w:hint="eastAsia" w:ascii="宋体" w:hAnsi="宋体" w:eastAsia="宋体" w:cs="宋体"/>
          <w:b/>
          <w:bCs/>
          <w:color w:val="auto"/>
          <w:sz w:val="24"/>
          <w:szCs w:val="24"/>
          <w:lang w:val="en-US" w:eastAsia="zh-CN"/>
        </w:rPr>
        <w:t>1</w:t>
      </w:r>
      <w:r>
        <w:rPr>
          <w:rFonts w:hint="eastAsia" w:ascii="宋体" w:hAnsi="宋体" w:eastAsia="宋体" w:cs="宋体"/>
          <w:b/>
          <w:bCs/>
          <w:color w:val="auto"/>
          <w:sz w:val="24"/>
          <w:szCs w:val="24"/>
          <w:lang w:eastAsia="zh-CN"/>
        </w:rPr>
        <w:t>0分）</w:t>
      </w:r>
    </w:p>
    <w:tbl>
      <w:tblPr>
        <w:tblStyle w:val="36"/>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5"/>
        <w:gridCol w:w="1429"/>
        <w:gridCol w:w="6518"/>
      </w:tblGrid>
      <w:tr w14:paraId="37ED6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575" w:type="dxa"/>
            <w:vAlign w:val="center"/>
          </w:tcPr>
          <w:p w14:paraId="40D56098">
            <w:pPr>
              <w:spacing w:line="560" w:lineRule="exact"/>
              <w:jc w:val="center"/>
              <w:rPr>
                <w:rFonts w:hint="eastAsia" w:ascii="宋体" w:hAnsi="宋体" w:eastAsia="宋体" w:cs="宋体"/>
                <w:b/>
                <w:bCs/>
                <w:color w:val="auto"/>
                <w:sz w:val="24"/>
                <w:szCs w:val="24"/>
                <w:lang w:val="zh-CN"/>
              </w:rPr>
            </w:pPr>
            <w:r>
              <w:rPr>
                <w:rFonts w:hint="eastAsia" w:ascii="宋体" w:hAnsi="宋体" w:eastAsia="宋体" w:cs="宋体"/>
                <w:b/>
                <w:bCs/>
                <w:color w:val="auto"/>
                <w:sz w:val="24"/>
                <w:szCs w:val="24"/>
                <w:lang w:val="zh-CN"/>
              </w:rPr>
              <w:t>序号</w:t>
            </w:r>
          </w:p>
        </w:tc>
        <w:tc>
          <w:tcPr>
            <w:tcW w:w="1429" w:type="dxa"/>
            <w:vAlign w:val="center"/>
          </w:tcPr>
          <w:p w14:paraId="54E78B19">
            <w:pPr>
              <w:spacing w:line="560" w:lineRule="exact"/>
              <w:jc w:val="center"/>
              <w:rPr>
                <w:rFonts w:hint="eastAsia" w:ascii="宋体" w:hAnsi="宋体" w:eastAsia="宋体" w:cs="宋体"/>
                <w:b/>
                <w:bCs/>
                <w:color w:val="auto"/>
                <w:sz w:val="24"/>
                <w:szCs w:val="24"/>
                <w:lang w:val="zh-CN"/>
              </w:rPr>
            </w:pPr>
            <w:r>
              <w:rPr>
                <w:rFonts w:hint="eastAsia" w:ascii="宋体" w:hAnsi="宋体" w:eastAsia="宋体" w:cs="宋体"/>
                <w:b/>
                <w:bCs/>
                <w:color w:val="auto"/>
                <w:sz w:val="24"/>
                <w:szCs w:val="24"/>
                <w:lang w:val="zh-CN"/>
              </w:rPr>
              <w:t>评标项目</w:t>
            </w:r>
          </w:p>
        </w:tc>
        <w:tc>
          <w:tcPr>
            <w:tcW w:w="6518" w:type="dxa"/>
            <w:vAlign w:val="center"/>
          </w:tcPr>
          <w:p w14:paraId="51D01CCA">
            <w:pPr>
              <w:spacing w:line="560" w:lineRule="exact"/>
              <w:jc w:val="center"/>
              <w:rPr>
                <w:rFonts w:hint="eastAsia" w:ascii="宋体" w:hAnsi="宋体" w:eastAsia="宋体" w:cs="宋体"/>
                <w:b/>
                <w:bCs/>
                <w:color w:val="auto"/>
                <w:sz w:val="24"/>
                <w:szCs w:val="24"/>
                <w:lang w:val="zh-CN"/>
              </w:rPr>
            </w:pPr>
            <w:r>
              <w:rPr>
                <w:rFonts w:hint="eastAsia" w:ascii="宋体" w:hAnsi="宋体" w:eastAsia="宋体" w:cs="宋体"/>
                <w:b/>
                <w:bCs/>
                <w:color w:val="auto"/>
                <w:sz w:val="24"/>
                <w:szCs w:val="24"/>
                <w:lang w:val="zh-CN"/>
              </w:rPr>
              <w:t>评分标准</w:t>
            </w:r>
          </w:p>
        </w:tc>
      </w:tr>
      <w:tr w14:paraId="7A75E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75" w:type="dxa"/>
            <w:vAlign w:val="center"/>
          </w:tcPr>
          <w:p w14:paraId="28D57411">
            <w:pPr>
              <w:spacing w:line="560" w:lineRule="exact"/>
              <w:jc w:val="center"/>
              <w:rPr>
                <w:rFonts w:hint="eastAsia" w:ascii="宋体" w:hAnsi="宋体" w:eastAsia="宋体" w:cs="宋体"/>
                <w:bCs/>
                <w:color w:val="auto"/>
                <w:sz w:val="24"/>
                <w:szCs w:val="24"/>
                <w:lang w:val="zh-CN"/>
              </w:rPr>
            </w:pPr>
            <w:r>
              <w:rPr>
                <w:rFonts w:hint="eastAsia" w:ascii="宋体" w:hAnsi="宋体" w:eastAsia="宋体" w:cs="宋体"/>
                <w:bCs/>
                <w:color w:val="auto"/>
                <w:sz w:val="24"/>
                <w:szCs w:val="24"/>
                <w:lang w:val="zh-CN"/>
              </w:rPr>
              <w:t>1</w:t>
            </w:r>
          </w:p>
        </w:tc>
        <w:tc>
          <w:tcPr>
            <w:tcW w:w="1429" w:type="dxa"/>
            <w:vAlign w:val="center"/>
          </w:tcPr>
          <w:p w14:paraId="1FD27064">
            <w:pPr>
              <w:spacing w:line="560" w:lineRule="exact"/>
              <w:jc w:val="center"/>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投标报价</w:t>
            </w:r>
          </w:p>
        </w:tc>
        <w:tc>
          <w:tcPr>
            <w:tcW w:w="6518" w:type="dxa"/>
            <w:vAlign w:val="center"/>
          </w:tcPr>
          <w:p w14:paraId="672E795A">
            <w:pPr>
              <w:spacing w:line="560" w:lineRule="exact"/>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zh-CN" w:eastAsia="zh-CN"/>
              </w:rPr>
              <w:t>满足</w:t>
            </w:r>
            <w:r>
              <w:rPr>
                <w:rFonts w:hint="eastAsia" w:ascii="宋体" w:hAnsi="宋体" w:eastAsia="宋体" w:cs="宋体"/>
                <w:color w:val="auto"/>
                <w:sz w:val="24"/>
                <w:szCs w:val="24"/>
                <w:lang w:eastAsia="zh-CN"/>
              </w:rPr>
              <w:t>招标</w:t>
            </w:r>
            <w:r>
              <w:rPr>
                <w:rFonts w:hint="eastAsia" w:ascii="宋体" w:hAnsi="宋体" w:eastAsia="宋体" w:cs="宋体"/>
                <w:color w:val="auto"/>
                <w:sz w:val="24"/>
                <w:szCs w:val="24"/>
                <w:lang w:val="zh-CN" w:eastAsia="zh-CN"/>
              </w:rPr>
              <w:t>文件要求且</w:t>
            </w:r>
            <w:r>
              <w:rPr>
                <w:rFonts w:hint="eastAsia" w:ascii="宋体" w:hAnsi="宋体" w:eastAsia="宋体" w:cs="宋体"/>
                <w:color w:val="auto"/>
                <w:sz w:val="24"/>
                <w:szCs w:val="24"/>
                <w:lang w:eastAsia="zh-CN"/>
              </w:rPr>
              <w:t>投标</w:t>
            </w:r>
            <w:r>
              <w:rPr>
                <w:rFonts w:hint="eastAsia" w:ascii="宋体" w:hAnsi="宋体" w:eastAsia="宋体" w:cs="宋体"/>
                <w:color w:val="auto"/>
                <w:sz w:val="24"/>
                <w:szCs w:val="24"/>
                <w:lang w:val="zh-CN" w:eastAsia="zh-CN"/>
              </w:rPr>
              <w:t>报价最低的为</w:t>
            </w:r>
            <w:r>
              <w:rPr>
                <w:rFonts w:hint="eastAsia" w:ascii="宋体" w:hAnsi="宋体" w:eastAsia="宋体" w:cs="宋体"/>
                <w:color w:val="auto"/>
                <w:sz w:val="24"/>
                <w:szCs w:val="24"/>
                <w:lang w:eastAsia="zh-CN"/>
              </w:rPr>
              <w:t>评标</w:t>
            </w:r>
            <w:r>
              <w:rPr>
                <w:rFonts w:hint="eastAsia" w:ascii="宋体" w:hAnsi="宋体" w:eastAsia="宋体" w:cs="宋体"/>
                <w:color w:val="auto"/>
                <w:sz w:val="24"/>
                <w:szCs w:val="24"/>
                <w:lang w:val="zh-CN" w:eastAsia="zh-CN"/>
              </w:rPr>
              <w:t>基准价，其价格分为满分，项目评标过程中，不得去掉</w:t>
            </w:r>
            <w:r>
              <w:rPr>
                <w:rFonts w:hint="eastAsia" w:ascii="宋体" w:hAnsi="宋体" w:eastAsia="宋体" w:cs="宋体"/>
                <w:color w:val="auto"/>
                <w:sz w:val="24"/>
                <w:szCs w:val="24"/>
                <w:lang w:eastAsia="zh-CN"/>
              </w:rPr>
              <w:t>投标</w:t>
            </w:r>
            <w:r>
              <w:rPr>
                <w:rFonts w:hint="eastAsia" w:ascii="宋体" w:hAnsi="宋体" w:eastAsia="宋体" w:cs="宋体"/>
                <w:color w:val="auto"/>
                <w:sz w:val="24"/>
                <w:szCs w:val="24"/>
                <w:lang w:val="zh-CN" w:eastAsia="zh-CN"/>
              </w:rPr>
              <w:t>报价中的最高报价和最低报价。</w:t>
            </w:r>
          </w:p>
          <w:p w14:paraId="7CF26767">
            <w:pPr>
              <w:spacing w:line="560" w:lineRule="exact"/>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zh-CN" w:eastAsia="zh-CN"/>
              </w:rPr>
              <w:t>投标报价得分=（</w:t>
            </w:r>
            <w:r>
              <w:rPr>
                <w:rFonts w:hint="eastAsia" w:ascii="宋体" w:hAnsi="宋体" w:eastAsia="宋体" w:cs="宋体"/>
                <w:color w:val="auto"/>
                <w:sz w:val="24"/>
                <w:szCs w:val="24"/>
                <w:lang w:eastAsia="zh-CN"/>
              </w:rPr>
              <w:t>评标</w:t>
            </w:r>
            <w:r>
              <w:rPr>
                <w:rFonts w:hint="eastAsia" w:ascii="宋体" w:hAnsi="宋体" w:eastAsia="宋体" w:cs="宋体"/>
                <w:color w:val="auto"/>
                <w:sz w:val="24"/>
                <w:szCs w:val="24"/>
                <w:lang w:val="zh-CN" w:eastAsia="zh-CN"/>
              </w:rPr>
              <w:t>基准价/</w:t>
            </w:r>
            <w:r>
              <w:rPr>
                <w:rFonts w:hint="eastAsia" w:ascii="宋体" w:hAnsi="宋体" w:eastAsia="宋体" w:cs="宋体"/>
                <w:color w:val="auto"/>
                <w:sz w:val="24"/>
                <w:szCs w:val="24"/>
                <w:lang w:val="en-US" w:eastAsia="zh-CN"/>
              </w:rPr>
              <w:t>投标报价）</w:t>
            </w:r>
            <w:r>
              <w:rPr>
                <w:rFonts w:hint="eastAsia" w:ascii="宋体" w:hAnsi="宋体" w:eastAsia="宋体" w:cs="宋体"/>
                <w:color w:val="auto"/>
                <w:sz w:val="24"/>
                <w:szCs w:val="24"/>
                <w:lang w:val="zh-CN" w:eastAsia="zh-CN"/>
              </w:rPr>
              <w:t>×</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0</w:t>
            </w:r>
          </w:p>
        </w:tc>
      </w:tr>
      <w:tr w14:paraId="42BAC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75" w:type="dxa"/>
            <w:vMerge w:val="restart"/>
            <w:vAlign w:val="center"/>
          </w:tcPr>
          <w:p w14:paraId="185EDFEB">
            <w:pPr>
              <w:spacing w:line="560" w:lineRule="exact"/>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政府采购政策说明</w:t>
            </w:r>
          </w:p>
        </w:tc>
        <w:tc>
          <w:tcPr>
            <w:tcW w:w="1429" w:type="dxa"/>
            <w:vMerge w:val="restart"/>
            <w:vAlign w:val="center"/>
          </w:tcPr>
          <w:p w14:paraId="0AC10886">
            <w:pPr>
              <w:spacing w:line="560" w:lineRule="exact"/>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中小企业</w:t>
            </w:r>
          </w:p>
        </w:tc>
        <w:tc>
          <w:tcPr>
            <w:tcW w:w="6518" w:type="dxa"/>
            <w:vAlign w:val="center"/>
          </w:tcPr>
          <w:p w14:paraId="2A70C177">
            <w:pPr>
              <w:spacing w:line="560" w:lineRule="exact"/>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zh-CN" w:eastAsia="zh-CN"/>
              </w:rPr>
              <w:t>根据工信部等部委发布的《关于印发中小企业划型标准规定的通知》（工信部联企业〔2011〕300号），按照本次</w:t>
            </w:r>
            <w:r>
              <w:rPr>
                <w:rFonts w:hint="eastAsia" w:ascii="宋体" w:hAnsi="宋体" w:eastAsia="宋体" w:cs="宋体"/>
                <w:color w:val="auto"/>
                <w:sz w:val="24"/>
                <w:szCs w:val="24"/>
                <w:lang w:eastAsia="zh-CN"/>
              </w:rPr>
              <w:t>政府采购</w:t>
            </w:r>
            <w:r>
              <w:rPr>
                <w:rFonts w:hint="eastAsia" w:ascii="宋体" w:hAnsi="宋体" w:eastAsia="宋体" w:cs="宋体"/>
                <w:color w:val="auto"/>
                <w:sz w:val="24"/>
                <w:szCs w:val="24"/>
                <w:lang w:val="zh-CN" w:eastAsia="zh-CN"/>
              </w:rPr>
              <w:t>标的所属行业的划型标准（</w:t>
            </w:r>
            <w:r>
              <w:rPr>
                <w:rFonts w:hint="eastAsia" w:ascii="宋体" w:hAnsi="宋体" w:eastAsia="宋体" w:cs="宋体"/>
                <w:color w:val="auto"/>
                <w:sz w:val="24"/>
                <w:szCs w:val="24"/>
                <w:lang w:eastAsia="zh-CN"/>
              </w:rPr>
              <w:t>招标文件载明的行业）</w:t>
            </w:r>
            <w:r>
              <w:rPr>
                <w:rFonts w:hint="eastAsia" w:ascii="宋体" w:hAnsi="宋体" w:eastAsia="宋体" w:cs="宋体"/>
                <w:color w:val="auto"/>
                <w:sz w:val="24"/>
                <w:szCs w:val="24"/>
                <w:lang w:val="zh-CN" w:eastAsia="zh-CN"/>
              </w:rPr>
              <w:t>，符合条件的中小企业须提供</w:t>
            </w:r>
            <w:r>
              <w:rPr>
                <w:rFonts w:hint="eastAsia" w:ascii="宋体" w:hAnsi="宋体" w:eastAsia="宋体" w:cs="宋体"/>
                <w:color w:val="auto"/>
                <w:sz w:val="24"/>
                <w:szCs w:val="24"/>
                <w:lang w:eastAsia="zh-CN"/>
              </w:rPr>
              <w:t>招标文件提供格式的</w:t>
            </w:r>
            <w:r>
              <w:rPr>
                <w:rFonts w:hint="eastAsia" w:ascii="宋体" w:hAnsi="宋体" w:eastAsia="宋体" w:cs="宋体"/>
                <w:color w:val="auto"/>
                <w:sz w:val="24"/>
                <w:szCs w:val="24"/>
                <w:lang w:val="zh-CN" w:eastAsia="zh-CN"/>
              </w:rPr>
              <w:t>《中小企业声明函》。投标人应当对其出具的《中小企业声明函》真实性负责，投标人出具的《中小企业声明函》内容不实的，属于提供虚假材料谋取中标，依照《中华人民共和国政府采购法》等国家有关规定追究相应责任。</w:t>
            </w:r>
          </w:p>
        </w:tc>
      </w:tr>
      <w:tr w14:paraId="2082C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575" w:type="dxa"/>
            <w:vMerge w:val="continue"/>
            <w:vAlign w:val="center"/>
          </w:tcPr>
          <w:p w14:paraId="11BDF107">
            <w:pPr>
              <w:spacing w:line="560" w:lineRule="exact"/>
              <w:rPr>
                <w:rFonts w:hint="eastAsia" w:ascii="宋体" w:hAnsi="宋体" w:eastAsia="宋体" w:cs="宋体"/>
                <w:color w:val="auto"/>
                <w:sz w:val="24"/>
                <w:szCs w:val="24"/>
                <w:lang w:val="zh-CN" w:eastAsia="zh-CN"/>
              </w:rPr>
            </w:pPr>
          </w:p>
        </w:tc>
        <w:tc>
          <w:tcPr>
            <w:tcW w:w="1429" w:type="dxa"/>
            <w:vMerge w:val="continue"/>
            <w:vAlign w:val="center"/>
          </w:tcPr>
          <w:p w14:paraId="3ED44B39">
            <w:pPr>
              <w:spacing w:line="560" w:lineRule="exact"/>
              <w:rPr>
                <w:rFonts w:hint="eastAsia" w:ascii="宋体" w:hAnsi="宋体" w:eastAsia="宋体" w:cs="宋体"/>
                <w:color w:val="auto"/>
                <w:sz w:val="24"/>
                <w:szCs w:val="24"/>
                <w:lang w:val="zh-CN" w:eastAsia="zh-CN"/>
              </w:rPr>
            </w:pPr>
          </w:p>
        </w:tc>
        <w:tc>
          <w:tcPr>
            <w:tcW w:w="6518" w:type="dxa"/>
            <w:vAlign w:val="center"/>
          </w:tcPr>
          <w:p w14:paraId="71568D97">
            <w:pPr>
              <w:spacing w:line="560" w:lineRule="exact"/>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zh-CN" w:eastAsia="zh-CN"/>
              </w:rPr>
              <w:t>根据《政府采购促进中小企业发展管理办法》（财库[2020]46号）、《关于进一步加大政府采购支持中小企业力度的通知》（财库〔2022〕19号）、《财政部 司法部关于政府采购支持监狱企业发展有关问题的通知》（财库〔2014〕68号）和《三部门联合发布关于促进残疾人就业政府采购政策的通知》（财库〔2017〕141号）的规定，</w:t>
            </w:r>
            <w:r>
              <w:rPr>
                <w:rFonts w:hint="eastAsia" w:ascii="宋体" w:hAnsi="宋体" w:eastAsia="宋体" w:cs="宋体"/>
                <w:color w:val="auto"/>
                <w:sz w:val="24"/>
                <w:szCs w:val="24"/>
                <w:lang w:eastAsia="zh-CN"/>
              </w:rPr>
              <w:t>对于预留份额的政府采购项目，不执行价格评审政策优惠</w:t>
            </w:r>
            <w:r>
              <w:rPr>
                <w:rFonts w:hint="eastAsia" w:ascii="宋体" w:hAnsi="宋体" w:eastAsia="宋体" w:cs="宋体"/>
                <w:color w:val="auto"/>
                <w:sz w:val="24"/>
                <w:szCs w:val="24"/>
                <w:lang w:val="zh-CN" w:eastAsia="zh-CN"/>
              </w:rPr>
              <w:t>。</w:t>
            </w:r>
          </w:p>
        </w:tc>
      </w:tr>
      <w:tr w14:paraId="4615E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575" w:type="dxa"/>
            <w:vMerge w:val="continue"/>
            <w:vAlign w:val="center"/>
          </w:tcPr>
          <w:p w14:paraId="54761FE8">
            <w:pPr>
              <w:spacing w:line="560" w:lineRule="exact"/>
              <w:rPr>
                <w:rFonts w:hint="eastAsia" w:ascii="宋体" w:hAnsi="宋体" w:eastAsia="宋体" w:cs="宋体"/>
                <w:color w:val="auto"/>
                <w:sz w:val="24"/>
                <w:szCs w:val="24"/>
                <w:lang w:val="zh-CN" w:eastAsia="zh-CN"/>
              </w:rPr>
            </w:pPr>
          </w:p>
        </w:tc>
        <w:tc>
          <w:tcPr>
            <w:tcW w:w="1429" w:type="dxa"/>
            <w:vAlign w:val="center"/>
          </w:tcPr>
          <w:p w14:paraId="52B2E1CB">
            <w:pPr>
              <w:spacing w:line="560" w:lineRule="exact"/>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监狱企业</w:t>
            </w:r>
          </w:p>
        </w:tc>
        <w:tc>
          <w:tcPr>
            <w:tcW w:w="6518" w:type="dxa"/>
            <w:vAlign w:val="center"/>
          </w:tcPr>
          <w:p w14:paraId="338D12C5">
            <w:pPr>
              <w:spacing w:line="560" w:lineRule="exact"/>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zh-CN" w:eastAsia="zh-CN"/>
              </w:rPr>
              <w:t>根据财库〔2014〕68号《财政部司法部关于政府采购支持监狱企业发展有关问题的通知》，能够提供由省级以上监狱管理局、戒毒管理局（含新疆生产建设兵团）出具的“属于监狱企业的证明文件”的监狱企业，视同小型、微型企业，享受预留份额、评审中价格扣除等政府采购促进中小企业发展的政府采购政策。</w:t>
            </w:r>
            <w:r>
              <w:rPr>
                <w:rFonts w:hint="eastAsia" w:ascii="宋体" w:hAnsi="宋体" w:eastAsia="宋体" w:cs="宋体"/>
                <w:color w:val="auto"/>
                <w:sz w:val="24"/>
                <w:szCs w:val="24"/>
                <w:lang w:eastAsia="zh-CN"/>
              </w:rPr>
              <w:t>对于预留份额的政府采购项目，不执行价格评审政策优惠。</w:t>
            </w:r>
          </w:p>
        </w:tc>
      </w:tr>
      <w:tr w14:paraId="1309F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575" w:type="dxa"/>
            <w:vMerge w:val="continue"/>
            <w:vAlign w:val="center"/>
          </w:tcPr>
          <w:p w14:paraId="51C7AB08">
            <w:pPr>
              <w:spacing w:line="560" w:lineRule="exact"/>
              <w:rPr>
                <w:rFonts w:hint="eastAsia" w:ascii="宋体" w:hAnsi="宋体" w:eastAsia="宋体" w:cs="宋体"/>
                <w:color w:val="auto"/>
                <w:sz w:val="24"/>
                <w:szCs w:val="24"/>
                <w:lang w:val="zh-CN" w:eastAsia="zh-CN"/>
              </w:rPr>
            </w:pPr>
          </w:p>
        </w:tc>
        <w:tc>
          <w:tcPr>
            <w:tcW w:w="1429" w:type="dxa"/>
            <w:vAlign w:val="center"/>
          </w:tcPr>
          <w:p w14:paraId="73F92453">
            <w:pPr>
              <w:spacing w:line="560" w:lineRule="exact"/>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福利企业</w:t>
            </w:r>
          </w:p>
        </w:tc>
        <w:tc>
          <w:tcPr>
            <w:tcW w:w="6518" w:type="dxa"/>
            <w:vAlign w:val="center"/>
          </w:tcPr>
          <w:p w14:paraId="37F37CDD">
            <w:pPr>
              <w:spacing w:line="560" w:lineRule="exact"/>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zh-CN" w:eastAsia="zh-CN"/>
              </w:rPr>
              <w:t>根据财库〔2017〕141号《财政部民政部中国残疾人联合会关于促进残疾人就业政府采购政策的通知》，符合享受政府采购支持政策的残疾人福利性单位条件且提供自拟格式的《残疾人福利性单位声明函》的残疾人福利性单位，视同中小企业。向残疾人福利性单位采购的金额，计入面向中小企业采购的统计数据。残疾人福利性单位属于小型、微型企业的，不重复享受政策。</w:t>
            </w:r>
          </w:p>
        </w:tc>
      </w:tr>
      <w:tr w14:paraId="7BDEF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575" w:type="dxa"/>
            <w:vMerge w:val="continue"/>
            <w:vAlign w:val="center"/>
          </w:tcPr>
          <w:p w14:paraId="00252A22">
            <w:pPr>
              <w:spacing w:line="560" w:lineRule="exact"/>
              <w:rPr>
                <w:rFonts w:hint="eastAsia" w:ascii="宋体" w:hAnsi="宋体" w:eastAsia="宋体" w:cs="宋体"/>
                <w:color w:val="auto"/>
                <w:sz w:val="24"/>
                <w:szCs w:val="24"/>
                <w:lang w:val="zh-CN" w:eastAsia="zh-CN"/>
              </w:rPr>
            </w:pPr>
          </w:p>
        </w:tc>
        <w:tc>
          <w:tcPr>
            <w:tcW w:w="1429" w:type="dxa"/>
            <w:vAlign w:val="center"/>
          </w:tcPr>
          <w:p w14:paraId="2CCDFEFE">
            <w:pPr>
              <w:spacing w:line="560" w:lineRule="exact"/>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特别说明</w:t>
            </w:r>
          </w:p>
        </w:tc>
        <w:tc>
          <w:tcPr>
            <w:tcW w:w="6518" w:type="dxa"/>
            <w:vAlign w:val="center"/>
          </w:tcPr>
          <w:p w14:paraId="75BC294B">
            <w:pPr>
              <w:spacing w:line="560" w:lineRule="exact"/>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zh-CN" w:eastAsia="zh-CN"/>
              </w:rPr>
              <w:t>（</w:t>
            </w:r>
            <w:r>
              <w:rPr>
                <w:rFonts w:hint="eastAsia" w:ascii="宋体" w:hAnsi="宋体" w:eastAsia="宋体" w:cs="宋体"/>
                <w:color w:val="auto"/>
                <w:sz w:val="24"/>
                <w:szCs w:val="24"/>
                <w:lang w:eastAsia="zh-CN"/>
              </w:rPr>
              <w:t>1</w:t>
            </w:r>
            <w:r>
              <w:rPr>
                <w:rFonts w:hint="eastAsia" w:ascii="宋体" w:hAnsi="宋体" w:eastAsia="宋体" w:cs="宋体"/>
                <w:color w:val="auto"/>
                <w:sz w:val="24"/>
                <w:szCs w:val="24"/>
                <w:lang w:val="zh-CN" w:eastAsia="zh-CN"/>
              </w:rPr>
              <w:t>）</w:t>
            </w:r>
            <w:r>
              <w:rPr>
                <w:rFonts w:hint="eastAsia" w:ascii="宋体" w:hAnsi="宋体" w:eastAsia="宋体" w:cs="宋体"/>
                <w:bCs/>
                <w:color w:val="auto"/>
                <w:sz w:val="24"/>
                <w:szCs w:val="24"/>
                <w:lang w:eastAsia="zh-CN"/>
              </w:rPr>
              <w:t>按照《政府采购促进中小企业发展管理办法》（财库〔2020〕46号，以下称《办法》）规定，在货物采购项目中，货物由中小企业制造（货物由中小企业生产且使用该中小企业商号或者注册商标）的，可享受中小企业扶持政策。如果一个采购项目或采购包含有多个采购标的的，则每个采购标的均应由中小企业制造。采购项目或者采购包中，大型企业提供的所有采购标的均为小微企业制造的，可享受价格评审优惠政策。</w:t>
            </w:r>
          </w:p>
          <w:p w14:paraId="4E89145C">
            <w:pPr>
              <w:spacing w:line="560" w:lineRule="exact"/>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eastAsia="zh-CN"/>
              </w:rPr>
              <w:t>（2）对于预留份额的政府采购项目，不执行价格评审政策优惠。</w:t>
            </w:r>
          </w:p>
        </w:tc>
      </w:tr>
    </w:tbl>
    <w:p w14:paraId="35099C98">
      <w:pPr>
        <w:spacing w:line="560" w:lineRule="exact"/>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zh-CN" w:eastAsia="zh-CN"/>
        </w:rPr>
        <w:t>4.5.1投标人总分=报价部分得分+技术、商务部分</w:t>
      </w:r>
      <w:r>
        <w:rPr>
          <w:rFonts w:hint="eastAsia" w:ascii="宋体" w:hAnsi="宋体" w:eastAsia="宋体" w:cs="宋体"/>
          <w:color w:val="auto"/>
          <w:sz w:val="24"/>
          <w:szCs w:val="24"/>
          <w:lang w:eastAsia="zh-CN"/>
        </w:rPr>
        <w:t>得分，结果保留两位小数。</w:t>
      </w:r>
    </w:p>
    <w:p w14:paraId="4CC943C4">
      <w:pPr>
        <w:spacing w:line="56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5. 终止招标</w:t>
      </w:r>
    </w:p>
    <w:p w14:paraId="60399A28">
      <w:pPr>
        <w:spacing w:line="56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采购人、采购代理机构在发布招标公告、资格预审公告或者发出投标邀请书后，除因重大变故采购任务取消情况外，不得擅自终止招标活动。</w:t>
      </w:r>
    </w:p>
    <w:p w14:paraId="1CDBD636">
      <w:pPr>
        <w:spacing w:line="56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终止招标的，采购人或者采购代理机构应当及时在原公告发布媒体上发布终止公告，以书面形式通知已经获取招标文件、资格预审文件或者被邀请的潜在投标人，并将项目实施情况和采购任务取消原因报告本级财政部门。已经收取招标文件费用或者投标保证金的，采购人或者采购代理机构应当在终止采购活动后5个工作日内，退还所收取的招标文件费用和所收取的投标保证金及其在银行产生的孳息。</w:t>
      </w:r>
    </w:p>
    <w:p w14:paraId="38B59BC0">
      <w:pPr>
        <w:spacing w:line="56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6. 定标</w:t>
      </w:r>
    </w:p>
    <w:p w14:paraId="2A24EF31">
      <w:pPr>
        <w:spacing w:line="56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6.1. 定标原则：本项目根据评标委员会推荐的中标候选人名单，按顺序确定中标人。</w:t>
      </w:r>
    </w:p>
    <w:p w14:paraId="65F8E77E">
      <w:pPr>
        <w:spacing w:line="56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6.2. 定标程序</w:t>
      </w:r>
    </w:p>
    <w:p w14:paraId="18D5AB8F">
      <w:pPr>
        <w:spacing w:line="56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6.2.1 评标委员会将评标情况写出书面报告，推荐中标候选人，并按照综合得分高低标明排列顺序。本项目采用综合评分法，评标结果按评标后得分由高到低顺序排列。得分相同的，按投标报价由低到高顺序排列。得分且投标报价相同的按照技术指标优劣顺序推荐。</w:t>
      </w:r>
    </w:p>
    <w:p w14:paraId="58235E2C">
      <w:pPr>
        <w:spacing w:line="56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6.2.2 采购代理机构在评标结束后两个工作日内将评标报告送至采购人。</w:t>
      </w:r>
    </w:p>
    <w:p w14:paraId="5FE093ED">
      <w:pPr>
        <w:spacing w:line="56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6.2.3 采购人应当自收到评标报告之日起5个工作日内在评标报告推荐的中标候选人中按顺序确定中标人。</w:t>
      </w:r>
    </w:p>
    <w:p w14:paraId="4597D20D">
      <w:pPr>
        <w:spacing w:line="56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6.2.4 根据采购人确定的中标人，采购人在招标公告发布的媒体上发布中标公告，同时向中标人发出中标通知书。</w:t>
      </w:r>
    </w:p>
    <w:p w14:paraId="6C62063A">
      <w:pPr>
        <w:spacing w:line="56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6.2.5 采购人不退回投标文件和其他投标资料。</w:t>
      </w:r>
    </w:p>
    <w:p w14:paraId="0795C02E">
      <w:pPr>
        <w:spacing w:line="56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7. 评标专家在政府采购活动中承担以下义务：</w:t>
      </w:r>
    </w:p>
    <w:p w14:paraId="16FA67C6">
      <w:pPr>
        <w:spacing w:line="560" w:lineRule="exact"/>
        <w:ind w:firstLine="480" w:firstLineChars="200"/>
        <w:textAlignment w:val="bottom"/>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7.1 遵纪守法，客观、公正、廉洁地履行职责。</w:t>
      </w:r>
    </w:p>
    <w:p w14:paraId="1F6BE036">
      <w:pPr>
        <w:spacing w:line="56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7.2 按照政府采购相关法律法规和招标文件的规定对投标人的资格条件和投标人提供的商务、价格、技术服务、业绩、对招标文件的响应程度以及投标文件规范性等方面进行评价，提供科学合理、公平公正的评标意见，参与起草评标报告，并予签字确认。</w:t>
      </w:r>
    </w:p>
    <w:p w14:paraId="088543D3">
      <w:pPr>
        <w:spacing w:line="560" w:lineRule="exact"/>
        <w:ind w:firstLine="480" w:firstLineChars="200"/>
        <w:textAlignment w:val="bottom"/>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7.3 保守秘密。不得透露招标项目情况，不得泄漏投标人的投标文件及知悉的商业秘密，不得向投标人透露评标情况。</w:t>
      </w:r>
    </w:p>
    <w:p w14:paraId="7B879EB6">
      <w:pPr>
        <w:spacing w:line="560" w:lineRule="exact"/>
        <w:ind w:firstLine="480" w:firstLineChars="200"/>
        <w:textAlignment w:val="bottom"/>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7.4 发现投标人在政府采购活动中有不正当竞争或恶意串通等违规行为，及时向政府采购评标工作的组织者或财政部门报告并加以制止。</w:t>
      </w:r>
    </w:p>
    <w:p w14:paraId="1CE09AA4">
      <w:pPr>
        <w:spacing w:line="560" w:lineRule="exact"/>
        <w:ind w:firstLine="480" w:firstLineChars="200"/>
        <w:textAlignment w:val="bottom"/>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发现采购人、采购代理机构及其工作人员在招标活动中有干预评标、发表倾向性和歧视性言论、受贿或者接受投标人的其他好处及其他违法违规行为，及时向财政部门报告。</w:t>
      </w:r>
    </w:p>
    <w:p w14:paraId="6F99360E">
      <w:pPr>
        <w:spacing w:line="560" w:lineRule="exact"/>
        <w:ind w:firstLine="480" w:firstLineChars="200"/>
        <w:textAlignment w:val="bottom"/>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7.5 配合采购人或者采购代理机构答复投标人质疑，配合投诉处理工作等事宜。</w:t>
      </w:r>
    </w:p>
    <w:p w14:paraId="63BBA4EE">
      <w:pPr>
        <w:spacing w:line="560" w:lineRule="exact"/>
        <w:ind w:firstLine="480" w:firstLineChars="200"/>
        <w:textAlignment w:val="bottom"/>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7.6 法律、法规和规章规定的其他义务。</w:t>
      </w:r>
    </w:p>
    <w:p w14:paraId="30B32364">
      <w:pPr>
        <w:spacing w:line="560" w:lineRule="exact"/>
        <w:ind w:firstLine="482" w:firstLineChars="200"/>
        <w:textAlignment w:val="bottom"/>
        <w:rPr>
          <w:rFonts w:hint="eastAsia" w:ascii="宋体" w:hAnsi="宋体" w:eastAsia="宋体" w:cs="宋体"/>
          <w:b/>
          <w:color w:val="auto"/>
          <w:sz w:val="24"/>
          <w:szCs w:val="24"/>
          <w:lang w:eastAsia="zh-CN"/>
        </w:rPr>
      </w:pPr>
      <w:r>
        <w:rPr>
          <w:rFonts w:hint="eastAsia" w:ascii="宋体" w:hAnsi="宋体" w:eastAsia="宋体" w:cs="宋体"/>
          <w:b/>
          <w:color w:val="auto"/>
          <w:sz w:val="24"/>
          <w:szCs w:val="24"/>
          <w:lang w:eastAsia="zh-CN"/>
        </w:rPr>
        <w:t>8</w:t>
      </w:r>
      <w:r>
        <w:rPr>
          <w:rFonts w:hint="eastAsia" w:ascii="宋体" w:hAnsi="宋体" w:eastAsia="宋体" w:cs="宋体"/>
          <w:color w:val="auto"/>
          <w:sz w:val="24"/>
          <w:szCs w:val="24"/>
          <w:lang w:eastAsia="zh-CN"/>
        </w:rPr>
        <w:t xml:space="preserve">. </w:t>
      </w:r>
      <w:r>
        <w:rPr>
          <w:rFonts w:hint="eastAsia" w:ascii="宋体" w:hAnsi="宋体" w:eastAsia="宋体" w:cs="宋体"/>
          <w:b/>
          <w:color w:val="auto"/>
          <w:sz w:val="24"/>
          <w:szCs w:val="24"/>
          <w:lang w:eastAsia="zh-CN"/>
        </w:rPr>
        <w:t>评标专家在招标活动中应当遵守以下工作纪律：</w:t>
      </w:r>
    </w:p>
    <w:p w14:paraId="63618081">
      <w:pPr>
        <w:spacing w:line="560" w:lineRule="exact"/>
        <w:ind w:firstLine="480" w:firstLineChars="200"/>
        <w:textAlignment w:val="bottom"/>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8.1 应邀按时参加评标活动。遇特殊情况不能出席或途中遇阻不能按时参加评标的，应及时告知财政部门或者采购人或者采购代理机构，不得私自转托他人。</w:t>
      </w:r>
    </w:p>
    <w:p w14:paraId="2E8BB227">
      <w:pPr>
        <w:spacing w:line="560" w:lineRule="exact"/>
        <w:ind w:firstLine="480" w:firstLineChars="200"/>
        <w:textAlignment w:val="bottom"/>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8.2 不得参加与自己有利害关系的招标项目的评标活动。对与自己有利害关系的评标项目，如受到邀请，应主动提出回避。财政部门、采购人或采购代理机构也可要求该评标专家回避。</w:t>
      </w:r>
    </w:p>
    <w:p w14:paraId="403E3B1D">
      <w:pPr>
        <w:spacing w:line="560" w:lineRule="exact"/>
        <w:ind w:firstLine="480" w:firstLineChars="200"/>
        <w:textAlignment w:val="bottom"/>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有利害关系主要是指三年内曾在参加该招标项目投标人中任职(包括一般工作）或担任顾问，配偶或直系亲属在参加该招标项目的投标人中任职或担任顾问，与参加该招标项目投标人发生过法律纠纷，以及其他可能影响公正评标的情况。</w:t>
      </w:r>
    </w:p>
    <w:p w14:paraId="2E6EA32D">
      <w:pPr>
        <w:spacing w:line="560" w:lineRule="exact"/>
        <w:ind w:firstLine="480" w:firstLineChars="200"/>
        <w:textAlignment w:val="bottom"/>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8.3 评标过程中关闭通讯设备，不得与外界联系。</w:t>
      </w:r>
    </w:p>
    <w:p w14:paraId="6576AE71">
      <w:pPr>
        <w:spacing w:line="560" w:lineRule="exact"/>
        <w:ind w:firstLine="480" w:firstLineChars="200"/>
        <w:textAlignment w:val="bottom"/>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8.4 评标过程中，不得发表影响评标公正的倾向性、歧视性言论；不得以任何明示或暗示的方式要求参加该招标项目的投标人以澄清、说明或补正为借口，表达与其原投标文件原意不同的新意见；不得以招标文件没有规定的方法和标准作为评标的依据；不得违反规定的评标格式评分和撰写评标意见；不得拒绝对自己的评标意见签字确认。</w:t>
      </w:r>
    </w:p>
    <w:p w14:paraId="150F0EA1">
      <w:pPr>
        <w:tabs>
          <w:tab w:val="left" w:pos="5400"/>
        </w:tabs>
        <w:spacing w:before="240" w:beforeLines="100" w:after="240" w:afterLines="100" w:line="480" w:lineRule="exact"/>
        <w:jc w:val="center"/>
        <w:rPr>
          <w:rFonts w:hint="eastAsia" w:ascii="宋体" w:hAnsi="宋体" w:eastAsia="宋体" w:cs="宋体"/>
          <w:b/>
          <w:bCs/>
          <w:color w:val="auto"/>
          <w:sz w:val="24"/>
          <w:szCs w:val="24"/>
          <w:lang w:eastAsia="zh-CN"/>
        </w:rPr>
      </w:pPr>
      <w:r>
        <w:rPr>
          <w:rFonts w:hint="eastAsia" w:ascii="宋体" w:hAnsi="宋体" w:eastAsia="宋体" w:cs="宋体"/>
          <w:b/>
          <w:color w:val="auto"/>
          <w:sz w:val="24"/>
          <w:szCs w:val="24"/>
          <w:lang w:eastAsia="zh-CN"/>
        </w:rPr>
        <w:br w:type="page"/>
      </w:r>
      <w:bookmarkEnd w:id="157"/>
    </w:p>
    <w:p w14:paraId="7DB0E757">
      <w:pPr>
        <w:pStyle w:val="2"/>
        <w:spacing w:line="560" w:lineRule="exact"/>
        <w:rPr>
          <w:rFonts w:hint="eastAsia" w:ascii="宋体" w:hAnsi="宋体" w:eastAsia="宋体" w:cs="宋体"/>
          <w:color w:val="auto"/>
          <w:sz w:val="24"/>
          <w:szCs w:val="24"/>
        </w:rPr>
      </w:pPr>
      <w:bookmarkStart w:id="159" w:name="_Toc5378"/>
      <w:bookmarkStart w:id="160" w:name="_Toc2856"/>
      <w:bookmarkStart w:id="161" w:name="_Toc3792"/>
      <w:r>
        <w:rPr>
          <w:rFonts w:hint="eastAsia" w:ascii="宋体" w:hAnsi="宋体" w:eastAsia="宋体" w:cs="宋体"/>
          <w:color w:val="auto"/>
          <w:sz w:val="24"/>
          <w:szCs w:val="24"/>
        </w:rPr>
        <w:t>第五章  拟签订的合同文本</w:t>
      </w:r>
      <w:bookmarkEnd w:id="159"/>
      <w:bookmarkEnd w:id="160"/>
      <w:bookmarkEnd w:id="161"/>
    </w:p>
    <w:p w14:paraId="3F617D58">
      <w:pPr>
        <w:widowControl/>
        <w:shd w:val="clear" w:color="auto" w:fill="FFFFFF"/>
        <w:spacing w:line="440" w:lineRule="exact"/>
        <w:ind w:firstLine="1205" w:firstLineChars="500"/>
        <w:jc w:val="both"/>
        <w:rPr>
          <w:rFonts w:hint="eastAsia" w:ascii="宋体" w:hAnsi="宋体" w:eastAsia="宋体" w:cs="宋体"/>
          <w:color w:val="auto"/>
          <w:sz w:val="24"/>
          <w:szCs w:val="24"/>
          <w:highlight w:val="none"/>
        </w:rPr>
      </w:pPr>
      <w:bookmarkStart w:id="162" w:name="_Toc17279"/>
      <w:bookmarkStart w:id="163" w:name="_Toc30479"/>
      <w:r>
        <w:rPr>
          <w:rFonts w:hint="eastAsia" w:ascii="宋体" w:hAnsi="宋体" w:eastAsia="宋体" w:cs="宋体"/>
          <w:b/>
          <w:bCs/>
          <w:color w:val="auto"/>
          <w:kern w:val="0"/>
          <w:sz w:val="24"/>
          <w:szCs w:val="24"/>
          <w:highlight w:val="none"/>
          <w:u w:val="single"/>
          <w:shd w:val="clear" w:color="auto" w:fill="FFFFFF"/>
          <w:lang w:bidi="ar"/>
        </w:rPr>
        <w:t>(此合同样本仅供参考,合同具体条款以双方最终签订的为准。)</w:t>
      </w:r>
    </w:p>
    <w:p w14:paraId="2C139AA9">
      <w:pPr>
        <w:pStyle w:val="17"/>
        <w:keepNext w:val="0"/>
        <w:keepLines w:val="0"/>
        <w:pageBreakBefore w:val="0"/>
        <w:wordWrap/>
        <w:overflowPunct/>
        <w:topLinePunct w:val="0"/>
        <w:bidi w:val="0"/>
        <w:spacing w:after="0" w:line="360" w:lineRule="auto"/>
        <w:ind w:firstLine="482" w:firstLineChars="200"/>
        <w:jc w:val="both"/>
        <w:rPr>
          <w:rFonts w:hint="eastAsia" w:ascii="宋体" w:hAnsi="宋体" w:eastAsia="宋体" w:cs="宋体"/>
          <w:b/>
          <w:color w:val="auto"/>
          <w:sz w:val="24"/>
          <w:szCs w:val="24"/>
          <w:highlight w:val="none"/>
          <w:lang w:eastAsia="zh-CN"/>
        </w:rPr>
      </w:pPr>
    </w:p>
    <w:p w14:paraId="77395F92">
      <w:pPr>
        <w:spacing w:line="360" w:lineRule="auto"/>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合同编号：</w:t>
      </w:r>
    </w:p>
    <w:p w14:paraId="232888AE">
      <w:pPr>
        <w:spacing w:line="360" w:lineRule="auto"/>
        <w:rPr>
          <w:rFonts w:hint="eastAsia" w:ascii="宋体" w:hAnsi="宋体" w:eastAsia="宋体" w:cs="宋体"/>
          <w:b/>
          <w:bCs/>
          <w:color w:val="auto"/>
          <w:sz w:val="24"/>
          <w:szCs w:val="24"/>
          <w:highlight w:val="none"/>
          <w:lang w:eastAsia="zh-CN"/>
        </w:rPr>
      </w:pPr>
    </w:p>
    <w:p w14:paraId="1BD01848">
      <w:pPr>
        <w:spacing w:line="360" w:lineRule="auto"/>
        <w:rPr>
          <w:rFonts w:hint="eastAsia" w:ascii="宋体" w:hAnsi="宋体" w:eastAsia="宋体" w:cs="宋体"/>
          <w:color w:val="auto"/>
          <w:sz w:val="24"/>
          <w:szCs w:val="24"/>
          <w:highlight w:val="none"/>
          <w:lang w:eastAsia="zh-CN"/>
        </w:rPr>
      </w:pPr>
    </w:p>
    <w:p w14:paraId="58B874A7">
      <w:pPr>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b/>
          <w:bCs/>
          <w:color w:val="auto"/>
          <w:sz w:val="24"/>
          <w:szCs w:val="24"/>
          <w:highlight w:val="none"/>
          <w:lang w:eastAsia="zh-CN"/>
        </w:rPr>
        <w:t>政府采购合同参考范本</w:t>
      </w:r>
    </w:p>
    <w:p w14:paraId="7001FD74">
      <w:pPr>
        <w:spacing w:line="360" w:lineRule="auto"/>
        <w:jc w:val="center"/>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eastAsia="zh-CN"/>
        </w:rPr>
        <w:t>（服务类）</w:t>
      </w:r>
    </w:p>
    <w:p w14:paraId="199DCB9C">
      <w:pPr>
        <w:spacing w:line="360" w:lineRule="auto"/>
        <w:rPr>
          <w:rFonts w:hint="eastAsia" w:ascii="宋体" w:hAnsi="宋体" w:eastAsia="宋体" w:cs="宋体"/>
          <w:bCs/>
          <w:color w:val="auto"/>
          <w:sz w:val="24"/>
          <w:szCs w:val="24"/>
          <w:highlight w:val="none"/>
          <w:lang w:eastAsia="zh-CN"/>
        </w:rPr>
      </w:pPr>
    </w:p>
    <w:p w14:paraId="2A2375A4">
      <w:pPr>
        <w:spacing w:line="360" w:lineRule="auto"/>
        <w:rPr>
          <w:rFonts w:hint="eastAsia" w:ascii="宋体" w:hAnsi="宋体" w:eastAsia="宋体" w:cs="宋体"/>
          <w:bCs/>
          <w:color w:val="auto"/>
          <w:sz w:val="24"/>
          <w:szCs w:val="24"/>
          <w:highlight w:val="none"/>
          <w:lang w:eastAsia="zh-CN"/>
        </w:rPr>
      </w:pPr>
    </w:p>
    <w:p w14:paraId="6D9B8D8C">
      <w:pPr>
        <w:spacing w:line="360" w:lineRule="auto"/>
        <w:rPr>
          <w:rFonts w:hint="eastAsia" w:ascii="宋体" w:hAnsi="宋体" w:eastAsia="宋体" w:cs="宋体"/>
          <w:bCs/>
          <w:color w:val="auto"/>
          <w:sz w:val="24"/>
          <w:szCs w:val="24"/>
          <w:highlight w:val="none"/>
          <w:lang w:eastAsia="zh-CN"/>
        </w:rPr>
      </w:pPr>
    </w:p>
    <w:p w14:paraId="330B52DE">
      <w:pPr>
        <w:spacing w:line="360" w:lineRule="auto"/>
        <w:jc w:val="center"/>
        <w:rPr>
          <w:rFonts w:hint="eastAsia" w:ascii="宋体" w:hAnsi="宋体" w:eastAsia="宋体" w:cs="宋体"/>
          <w:bCs/>
          <w:color w:val="auto"/>
          <w:sz w:val="24"/>
          <w:szCs w:val="24"/>
          <w:highlight w:val="none"/>
          <w:lang w:eastAsia="zh-CN"/>
        </w:rPr>
      </w:pPr>
      <w:bookmarkStart w:id="164" w:name="_Toc21441"/>
      <w:bookmarkStart w:id="165" w:name="_Toc27047"/>
      <w:bookmarkStart w:id="166" w:name="_Toc7744"/>
      <w:bookmarkStart w:id="167" w:name="_Toc24835"/>
      <w:bookmarkStart w:id="168" w:name="_Toc28080"/>
      <w:bookmarkStart w:id="169" w:name="_Toc1883"/>
      <w:bookmarkStart w:id="170" w:name="_Toc19601"/>
      <w:bookmarkStart w:id="171" w:name="_Toc9999_WPSOffice_Level1"/>
      <w:bookmarkStart w:id="172" w:name="_Toc6560_WPSOffice_Level1"/>
      <w:bookmarkStart w:id="173" w:name="_Toc29931"/>
      <w:bookmarkStart w:id="174" w:name="_Toc8287"/>
      <w:bookmarkStart w:id="175" w:name="_Toc11486"/>
      <w:bookmarkStart w:id="176" w:name="_Toc9584"/>
      <w:bookmarkStart w:id="177" w:name="_Toc32281_WPSOffice_Level1"/>
      <w:r>
        <w:rPr>
          <w:rFonts w:hint="eastAsia" w:ascii="宋体" w:hAnsi="宋体" w:eastAsia="宋体" w:cs="宋体"/>
          <w:bCs/>
          <w:color w:val="auto"/>
          <w:sz w:val="24"/>
          <w:szCs w:val="24"/>
          <w:highlight w:val="none"/>
          <w:lang w:eastAsia="zh-CN"/>
        </w:rPr>
        <w:t>第一部分  合同书</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 w14:paraId="5CFCE65E">
      <w:pPr>
        <w:spacing w:before="120" w:line="360" w:lineRule="auto"/>
        <w:rPr>
          <w:rFonts w:hint="eastAsia" w:ascii="宋体" w:hAnsi="宋体" w:eastAsia="宋体" w:cs="宋体"/>
          <w:bCs/>
          <w:color w:val="auto"/>
          <w:sz w:val="24"/>
          <w:szCs w:val="24"/>
          <w:highlight w:val="none"/>
          <w:lang w:eastAsia="zh-CN"/>
        </w:rPr>
      </w:pPr>
    </w:p>
    <w:p w14:paraId="22318BDD">
      <w:pPr>
        <w:spacing w:before="120" w:line="360" w:lineRule="auto"/>
        <w:ind w:left="960"/>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eastAsia="zh-CN"/>
        </w:rPr>
        <w:t>项目名称：</w:t>
      </w:r>
    </w:p>
    <w:p w14:paraId="4FFF3185">
      <w:pPr>
        <w:spacing w:line="360" w:lineRule="auto"/>
        <w:rPr>
          <w:rFonts w:hint="eastAsia" w:ascii="宋体" w:hAnsi="宋体" w:eastAsia="宋体" w:cs="宋体"/>
          <w:bCs/>
          <w:color w:val="auto"/>
          <w:sz w:val="24"/>
          <w:szCs w:val="24"/>
          <w:highlight w:val="none"/>
          <w:lang w:eastAsia="zh-CN"/>
        </w:rPr>
      </w:pPr>
    </w:p>
    <w:p w14:paraId="0DC57484">
      <w:pPr>
        <w:spacing w:before="120" w:line="360" w:lineRule="auto"/>
        <w:ind w:left="960"/>
        <w:rPr>
          <w:rFonts w:hint="eastAsia" w:ascii="宋体" w:hAnsi="宋体" w:eastAsia="宋体" w:cs="宋体"/>
          <w:bCs/>
          <w:color w:val="auto"/>
          <w:sz w:val="24"/>
          <w:szCs w:val="24"/>
          <w:highlight w:val="none"/>
          <w:u w:val="single"/>
          <w:lang w:eastAsia="zh-CN"/>
        </w:rPr>
      </w:pPr>
      <w:r>
        <w:rPr>
          <w:rFonts w:hint="eastAsia" w:ascii="宋体" w:hAnsi="宋体" w:eastAsia="宋体" w:cs="宋体"/>
          <w:bCs/>
          <w:color w:val="auto"/>
          <w:sz w:val="24"/>
          <w:szCs w:val="24"/>
          <w:highlight w:val="none"/>
          <w:lang w:eastAsia="zh-CN"/>
        </w:rPr>
        <w:t>甲方：</w:t>
      </w:r>
    </w:p>
    <w:p w14:paraId="04363DB5">
      <w:pPr>
        <w:spacing w:before="120" w:line="360" w:lineRule="auto"/>
        <w:rPr>
          <w:rFonts w:hint="eastAsia" w:ascii="宋体" w:hAnsi="宋体" w:eastAsia="宋体" w:cs="宋体"/>
          <w:bCs/>
          <w:color w:val="auto"/>
          <w:sz w:val="24"/>
          <w:szCs w:val="24"/>
          <w:highlight w:val="none"/>
          <w:lang w:eastAsia="zh-CN"/>
        </w:rPr>
      </w:pPr>
    </w:p>
    <w:p w14:paraId="5A437416">
      <w:pPr>
        <w:spacing w:before="120" w:line="360" w:lineRule="auto"/>
        <w:ind w:left="960"/>
        <w:rPr>
          <w:rFonts w:hint="eastAsia" w:ascii="宋体" w:hAnsi="宋体" w:eastAsia="宋体" w:cs="宋体"/>
          <w:bCs/>
          <w:color w:val="auto"/>
          <w:sz w:val="24"/>
          <w:szCs w:val="24"/>
          <w:highlight w:val="none"/>
          <w:u w:val="single"/>
          <w:lang w:eastAsia="zh-CN"/>
        </w:rPr>
      </w:pPr>
      <w:r>
        <w:rPr>
          <w:rFonts w:hint="eastAsia" w:ascii="宋体" w:hAnsi="宋体" w:eastAsia="宋体" w:cs="宋体"/>
          <w:bCs/>
          <w:color w:val="auto"/>
          <w:sz w:val="24"/>
          <w:szCs w:val="24"/>
          <w:highlight w:val="none"/>
          <w:lang w:eastAsia="zh-CN"/>
        </w:rPr>
        <w:t>乙方：</w:t>
      </w:r>
    </w:p>
    <w:p w14:paraId="38D2D3D1">
      <w:pPr>
        <w:spacing w:before="120" w:line="360" w:lineRule="auto"/>
        <w:rPr>
          <w:rFonts w:hint="eastAsia" w:ascii="宋体" w:hAnsi="宋体" w:eastAsia="宋体" w:cs="宋体"/>
          <w:bCs/>
          <w:color w:val="auto"/>
          <w:sz w:val="24"/>
          <w:szCs w:val="24"/>
          <w:highlight w:val="none"/>
          <w:lang w:eastAsia="zh-CN"/>
        </w:rPr>
      </w:pPr>
    </w:p>
    <w:p w14:paraId="383E560C">
      <w:pPr>
        <w:spacing w:before="120" w:line="360" w:lineRule="auto"/>
        <w:ind w:firstLine="960" w:firstLineChars="400"/>
        <w:rPr>
          <w:rFonts w:hint="eastAsia" w:ascii="宋体" w:hAnsi="宋体" w:eastAsia="宋体" w:cs="宋体"/>
          <w:bCs/>
          <w:color w:val="auto"/>
          <w:sz w:val="24"/>
          <w:szCs w:val="24"/>
          <w:highlight w:val="none"/>
          <w:u w:val="single"/>
          <w:lang w:eastAsia="zh-CN"/>
        </w:rPr>
      </w:pPr>
      <w:r>
        <w:rPr>
          <w:rFonts w:hint="eastAsia" w:ascii="宋体" w:hAnsi="宋体" w:eastAsia="宋体" w:cs="宋体"/>
          <w:bCs/>
          <w:color w:val="auto"/>
          <w:sz w:val="24"/>
          <w:szCs w:val="24"/>
          <w:highlight w:val="none"/>
          <w:lang w:eastAsia="zh-CN"/>
        </w:rPr>
        <w:t>签订地：</w:t>
      </w:r>
    </w:p>
    <w:p w14:paraId="22F8B665">
      <w:pPr>
        <w:spacing w:before="120" w:line="360" w:lineRule="auto"/>
        <w:rPr>
          <w:rFonts w:hint="eastAsia" w:ascii="宋体" w:hAnsi="宋体" w:eastAsia="宋体" w:cs="宋体"/>
          <w:bCs/>
          <w:color w:val="auto"/>
          <w:sz w:val="24"/>
          <w:szCs w:val="24"/>
          <w:highlight w:val="none"/>
          <w:lang w:eastAsia="zh-CN"/>
        </w:rPr>
      </w:pPr>
    </w:p>
    <w:p w14:paraId="6E086155">
      <w:pPr>
        <w:spacing w:before="120" w:line="360" w:lineRule="auto"/>
        <w:ind w:firstLine="960" w:firstLineChars="400"/>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eastAsia="zh-CN"/>
        </w:rPr>
        <w:t>签订日期：年 月 日</w:t>
      </w:r>
    </w:p>
    <w:p w14:paraId="09DA7F55">
      <w:pPr>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eastAsia="zh-CN"/>
        </w:rPr>
        <w:br w:type="page"/>
      </w:r>
    </w:p>
    <w:p w14:paraId="0E54FDD5">
      <w:pPr>
        <w:widowControl w:val="0"/>
        <w:adjustRightInd/>
        <w:snapToGrid/>
        <w:spacing w:line="360" w:lineRule="auto"/>
        <w:ind w:firstLine="480" w:firstLineChars="200"/>
        <w:textAlignment w:val="auto"/>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val="zh-CN" w:eastAsia="zh-CN"/>
        </w:rPr>
        <w:t>年</w:t>
      </w:r>
      <w:r>
        <w:rPr>
          <w:rFonts w:hint="eastAsia" w:ascii="宋体" w:hAnsi="宋体" w:eastAsia="宋体" w:cs="宋体"/>
          <w:bCs/>
          <w:color w:val="auto"/>
          <w:sz w:val="24"/>
          <w:szCs w:val="24"/>
          <w:highlight w:val="none"/>
          <w:lang w:eastAsia="zh-CN"/>
        </w:rPr>
        <w:t xml:space="preserve"> </w:t>
      </w:r>
      <w:r>
        <w:rPr>
          <w:rFonts w:hint="eastAsia" w:ascii="宋体" w:hAnsi="宋体" w:eastAsia="宋体" w:cs="宋体"/>
          <w:bCs/>
          <w:color w:val="auto"/>
          <w:sz w:val="24"/>
          <w:szCs w:val="24"/>
          <w:highlight w:val="none"/>
          <w:lang w:val="zh-CN" w:eastAsia="zh-CN"/>
        </w:rPr>
        <w:t>月</w:t>
      </w:r>
      <w:r>
        <w:rPr>
          <w:rFonts w:hint="eastAsia" w:ascii="宋体" w:hAnsi="宋体" w:eastAsia="宋体" w:cs="宋体"/>
          <w:bCs/>
          <w:color w:val="auto"/>
          <w:sz w:val="24"/>
          <w:szCs w:val="24"/>
          <w:highlight w:val="none"/>
          <w:lang w:eastAsia="zh-CN"/>
        </w:rPr>
        <w:t xml:space="preserve"> </w:t>
      </w:r>
      <w:r>
        <w:rPr>
          <w:rFonts w:hint="eastAsia" w:ascii="宋体" w:hAnsi="宋体" w:eastAsia="宋体" w:cs="宋体"/>
          <w:bCs/>
          <w:color w:val="auto"/>
          <w:sz w:val="24"/>
          <w:szCs w:val="24"/>
          <w:highlight w:val="none"/>
          <w:lang w:val="zh-CN" w:eastAsia="zh-CN"/>
        </w:rPr>
        <w:t>日</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u w:val="single"/>
          <w:lang w:eastAsia="zh-CN"/>
        </w:rPr>
        <w:t>（采购人名称）</w:t>
      </w:r>
      <w:r>
        <w:rPr>
          <w:rFonts w:hint="eastAsia" w:ascii="宋体" w:hAnsi="宋体" w:eastAsia="宋体" w:cs="宋体"/>
          <w:bCs/>
          <w:color w:val="auto"/>
          <w:sz w:val="24"/>
          <w:szCs w:val="24"/>
          <w:highlight w:val="none"/>
          <w:lang w:eastAsia="zh-CN"/>
        </w:rPr>
        <w:t>以</w:t>
      </w:r>
      <w:r>
        <w:rPr>
          <w:rFonts w:hint="eastAsia" w:ascii="宋体" w:hAnsi="宋体" w:eastAsia="宋体" w:cs="宋体"/>
          <w:bCs/>
          <w:color w:val="auto"/>
          <w:sz w:val="24"/>
          <w:szCs w:val="24"/>
          <w:highlight w:val="none"/>
          <w:u w:val="single"/>
          <w:lang w:eastAsia="zh-CN"/>
        </w:rPr>
        <w:t>（政府采购方式）</w:t>
      </w:r>
      <w:r>
        <w:rPr>
          <w:rFonts w:hint="eastAsia" w:ascii="宋体" w:hAnsi="宋体" w:eastAsia="宋体" w:cs="宋体"/>
          <w:bCs/>
          <w:color w:val="auto"/>
          <w:sz w:val="24"/>
          <w:szCs w:val="24"/>
          <w:highlight w:val="none"/>
          <w:lang w:eastAsia="zh-CN"/>
        </w:rPr>
        <w:t>对</w:t>
      </w:r>
      <w:r>
        <w:rPr>
          <w:rFonts w:hint="eastAsia" w:ascii="宋体" w:hAnsi="宋体" w:eastAsia="宋体" w:cs="宋体"/>
          <w:bCs/>
          <w:color w:val="auto"/>
          <w:sz w:val="24"/>
          <w:szCs w:val="24"/>
          <w:highlight w:val="none"/>
          <w:u w:val="single"/>
          <w:lang w:eastAsia="zh-CN"/>
        </w:rPr>
        <w:t>（同前页项目名称）</w:t>
      </w:r>
      <w:r>
        <w:rPr>
          <w:rFonts w:hint="eastAsia" w:ascii="宋体" w:hAnsi="宋体" w:eastAsia="宋体" w:cs="宋体"/>
          <w:bCs/>
          <w:color w:val="auto"/>
          <w:sz w:val="24"/>
          <w:szCs w:val="24"/>
          <w:highlight w:val="none"/>
          <w:lang w:eastAsia="zh-CN"/>
        </w:rPr>
        <w:t>项目进行了采购。经</w:t>
      </w:r>
      <w:r>
        <w:rPr>
          <w:rFonts w:hint="eastAsia" w:ascii="宋体" w:hAnsi="宋体" w:eastAsia="宋体" w:cs="宋体"/>
          <w:bCs/>
          <w:color w:val="auto"/>
          <w:sz w:val="24"/>
          <w:szCs w:val="24"/>
          <w:highlight w:val="none"/>
          <w:u w:val="single"/>
          <w:lang w:eastAsia="zh-CN"/>
        </w:rPr>
        <w:t>（相关评定主体名称）</w:t>
      </w:r>
      <w:r>
        <w:rPr>
          <w:rFonts w:hint="eastAsia" w:ascii="宋体" w:hAnsi="宋体" w:eastAsia="宋体" w:cs="宋体"/>
          <w:bCs/>
          <w:color w:val="auto"/>
          <w:sz w:val="24"/>
          <w:szCs w:val="24"/>
          <w:highlight w:val="none"/>
          <w:lang w:eastAsia="zh-CN"/>
        </w:rPr>
        <w:t>评定，</w:t>
      </w:r>
      <w:r>
        <w:rPr>
          <w:rFonts w:hint="eastAsia" w:ascii="宋体" w:hAnsi="宋体" w:eastAsia="宋体" w:cs="宋体"/>
          <w:bCs/>
          <w:color w:val="auto"/>
          <w:sz w:val="24"/>
          <w:szCs w:val="24"/>
          <w:highlight w:val="none"/>
          <w:u w:val="single"/>
          <w:lang w:eastAsia="zh-CN"/>
        </w:rPr>
        <w:t>（成交供应商名称）</w:t>
      </w:r>
      <w:r>
        <w:rPr>
          <w:rFonts w:hint="eastAsia" w:ascii="宋体" w:hAnsi="宋体" w:eastAsia="宋体" w:cs="宋体"/>
          <w:bCs/>
          <w:color w:val="auto"/>
          <w:sz w:val="24"/>
          <w:szCs w:val="24"/>
          <w:highlight w:val="none"/>
          <w:lang w:eastAsia="zh-CN"/>
        </w:rPr>
        <w:t>为该项目成交供应商。现于成交通知书发出之日起三十日内，按照采购文件确定的事项签订本合同。</w:t>
      </w:r>
    </w:p>
    <w:p w14:paraId="05B30F89">
      <w:pPr>
        <w:widowControl w:val="0"/>
        <w:adjustRightInd/>
        <w:snapToGrid/>
        <w:spacing w:line="360" w:lineRule="auto"/>
        <w:ind w:firstLine="480" w:firstLineChars="200"/>
        <w:textAlignment w:val="auto"/>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val="zh-CN" w:eastAsia="zh-CN"/>
        </w:rPr>
        <w:t>根据《中华人民共和国合同法》、《中华人民共和国政府采购法》等相关法律法规之规定，按照平等、自愿、公平和诚实信用的原则，经</w:t>
      </w:r>
      <w:r>
        <w:rPr>
          <w:rFonts w:hint="eastAsia" w:ascii="宋体" w:hAnsi="宋体" w:eastAsia="宋体" w:cs="宋体"/>
          <w:bCs/>
          <w:color w:val="auto"/>
          <w:sz w:val="24"/>
          <w:szCs w:val="24"/>
          <w:highlight w:val="none"/>
          <w:u w:val="single"/>
          <w:lang w:eastAsia="zh-CN"/>
        </w:rPr>
        <w:t>（采购人名称）</w:t>
      </w:r>
      <w:r>
        <w:rPr>
          <w:rFonts w:hint="eastAsia" w:ascii="宋体" w:hAnsi="宋体" w:eastAsia="宋体" w:cs="宋体"/>
          <w:bCs/>
          <w:color w:val="auto"/>
          <w:sz w:val="24"/>
          <w:szCs w:val="24"/>
          <w:highlight w:val="none"/>
          <w:lang w:val="zh-CN" w:eastAsia="zh-CN"/>
        </w:rPr>
        <w:t>(以下简称：甲方)和</w:t>
      </w:r>
      <w:r>
        <w:rPr>
          <w:rFonts w:hint="eastAsia" w:ascii="宋体" w:hAnsi="宋体" w:eastAsia="宋体" w:cs="宋体"/>
          <w:bCs/>
          <w:color w:val="auto"/>
          <w:sz w:val="24"/>
          <w:szCs w:val="24"/>
          <w:highlight w:val="none"/>
          <w:u w:val="single"/>
          <w:lang w:eastAsia="zh-CN"/>
        </w:rPr>
        <w:t>（成交供应商名称）</w:t>
      </w:r>
      <w:r>
        <w:rPr>
          <w:rFonts w:hint="eastAsia" w:ascii="宋体" w:hAnsi="宋体" w:eastAsia="宋体" w:cs="宋体"/>
          <w:bCs/>
          <w:color w:val="auto"/>
          <w:sz w:val="24"/>
          <w:szCs w:val="24"/>
          <w:highlight w:val="none"/>
          <w:lang w:val="zh-CN" w:eastAsia="zh-CN"/>
        </w:rPr>
        <w:t>(以下简称：乙方)协商一致，约定以下合同</w:t>
      </w:r>
      <w:r>
        <w:rPr>
          <w:rFonts w:hint="eastAsia" w:ascii="宋体" w:hAnsi="宋体" w:eastAsia="宋体" w:cs="宋体"/>
          <w:bCs/>
          <w:color w:val="auto"/>
          <w:sz w:val="24"/>
          <w:szCs w:val="24"/>
          <w:highlight w:val="none"/>
          <w:lang w:eastAsia="zh-CN"/>
        </w:rPr>
        <w:t>条款，以兹共同遵守、全面履行。</w:t>
      </w:r>
    </w:p>
    <w:p w14:paraId="7E0E8E89">
      <w:pPr>
        <w:spacing w:line="360" w:lineRule="auto"/>
        <w:ind w:firstLine="482" w:firstLineChars="200"/>
        <w:rPr>
          <w:rFonts w:hint="eastAsia" w:ascii="宋体" w:hAnsi="宋体" w:eastAsia="宋体" w:cs="宋体"/>
          <w:color w:val="auto"/>
          <w:sz w:val="24"/>
          <w:szCs w:val="24"/>
          <w:highlight w:val="none"/>
          <w:lang w:eastAsia="zh-CN"/>
        </w:rPr>
      </w:pPr>
      <w:r>
        <w:rPr>
          <w:rFonts w:hint="eastAsia" w:ascii="宋体" w:hAnsi="宋体" w:eastAsia="宋体" w:cs="宋体"/>
          <w:b/>
          <w:bCs/>
          <w:color w:val="auto"/>
          <w:sz w:val="24"/>
          <w:szCs w:val="24"/>
          <w:highlight w:val="none"/>
          <w:lang w:eastAsia="zh-CN"/>
        </w:rPr>
        <w:t>1.1合同组成部分</w:t>
      </w:r>
    </w:p>
    <w:p w14:paraId="4D8FAB02">
      <w:pPr>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4E9EE2D5">
      <w:pPr>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1.1.1本合同及其补充合同、变更协议；</w:t>
      </w:r>
    </w:p>
    <w:p w14:paraId="01494EEA">
      <w:pPr>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1.1.2中标通知书；</w:t>
      </w:r>
    </w:p>
    <w:p w14:paraId="564DE25A">
      <w:pPr>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1.1.3投标文件（含澄清或者说明文件）；</w:t>
      </w:r>
    </w:p>
    <w:p w14:paraId="0752B739">
      <w:pPr>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1.1.4招标文件（含澄清或者修改文件）；</w:t>
      </w:r>
    </w:p>
    <w:p w14:paraId="46285987">
      <w:pPr>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1.1.5其他相关采购文件。</w:t>
      </w:r>
    </w:p>
    <w:p w14:paraId="20801670">
      <w:pPr>
        <w:spacing w:line="360" w:lineRule="auto"/>
        <w:ind w:firstLine="482" w:firstLineChars="200"/>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1.2标的</w:t>
      </w:r>
    </w:p>
    <w:p w14:paraId="6FF7195D">
      <w:pPr>
        <w:widowControl w:val="0"/>
        <w:adjustRightInd/>
        <w:snapToGrid/>
        <w:spacing w:line="360" w:lineRule="auto"/>
        <w:ind w:firstLine="480" w:firstLineChars="200"/>
        <w:textAlignment w:val="auto"/>
        <w:rPr>
          <w:rFonts w:hint="eastAsia" w:ascii="宋体" w:hAnsi="宋体" w:eastAsia="宋体" w:cs="宋体"/>
          <w:bCs/>
          <w:color w:val="auto"/>
          <w:sz w:val="24"/>
          <w:szCs w:val="24"/>
          <w:highlight w:val="none"/>
          <w:u w:val="single"/>
          <w:lang w:eastAsia="zh-CN"/>
        </w:rPr>
      </w:pPr>
      <w:r>
        <w:rPr>
          <w:rFonts w:hint="eastAsia" w:ascii="宋体" w:hAnsi="宋体" w:eastAsia="宋体" w:cs="宋体"/>
          <w:bCs/>
          <w:color w:val="auto"/>
          <w:sz w:val="24"/>
          <w:szCs w:val="24"/>
          <w:highlight w:val="none"/>
          <w:lang w:eastAsia="zh-CN"/>
        </w:rPr>
        <w:t>1.2.1标的名称：；</w:t>
      </w:r>
    </w:p>
    <w:p w14:paraId="455EC0E1">
      <w:pPr>
        <w:widowControl w:val="0"/>
        <w:adjustRightInd/>
        <w:snapToGrid/>
        <w:spacing w:line="360" w:lineRule="auto"/>
        <w:ind w:firstLine="480" w:firstLineChars="200"/>
        <w:textAlignment w:val="auto"/>
        <w:rPr>
          <w:rFonts w:hint="eastAsia" w:ascii="宋体" w:hAnsi="宋体" w:eastAsia="宋体" w:cs="宋体"/>
          <w:bCs/>
          <w:color w:val="auto"/>
          <w:sz w:val="24"/>
          <w:szCs w:val="24"/>
          <w:highlight w:val="none"/>
          <w:u w:val="single"/>
          <w:lang w:eastAsia="zh-CN"/>
        </w:rPr>
      </w:pPr>
      <w:r>
        <w:rPr>
          <w:rFonts w:hint="eastAsia" w:ascii="宋体" w:hAnsi="宋体" w:eastAsia="宋体" w:cs="宋体"/>
          <w:bCs/>
          <w:color w:val="auto"/>
          <w:sz w:val="24"/>
          <w:szCs w:val="24"/>
          <w:highlight w:val="none"/>
          <w:lang w:eastAsia="zh-CN"/>
        </w:rPr>
        <w:t>1.2.2标的数量：；</w:t>
      </w:r>
    </w:p>
    <w:p w14:paraId="7AB8280E">
      <w:pPr>
        <w:widowControl w:val="0"/>
        <w:adjustRightInd/>
        <w:snapToGrid/>
        <w:spacing w:line="360" w:lineRule="auto"/>
        <w:ind w:firstLine="480" w:firstLineChars="200"/>
        <w:textAlignment w:val="auto"/>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eastAsia="zh-CN"/>
        </w:rPr>
        <w:t>1.2.3标的质量：</w:t>
      </w:r>
      <w:r>
        <w:rPr>
          <w:rFonts w:hint="eastAsia" w:ascii="宋体" w:hAnsi="宋体" w:eastAsia="宋体" w:cs="宋体"/>
          <w:bCs/>
          <w:color w:val="auto"/>
          <w:sz w:val="24"/>
          <w:szCs w:val="24"/>
          <w:highlight w:val="none"/>
          <w:u w:val="single"/>
          <w:lang w:eastAsia="zh-CN"/>
        </w:rPr>
        <w:t>　　　　　　　　　　</w:t>
      </w:r>
      <w:r>
        <w:rPr>
          <w:rFonts w:hint="eastAsia" w:ascii="宋体" w:hAnsi="宋体" w:eastAsia="宋体" w:cs="宋体"/>
          <w:bCs/>
          <w:color w:val="auto"/>
          <w:sz w:val="24"/>
          <w:szCs w:val="24"/>
          <w:highlight w:val="none"/>
          <w:lang w:eastAsia="zh-CN"/>
        </w:rPr>
        <w:t>。</w:t>
      </w:r>
    </w:p>
    <w:p w14:paraId="28076BA7">
      <w:pPr>
        <w:spacing w:line="360" w:lineRule="auto"/>
        <w:ind w:firstLine="482" w:firstLineChars="200"/>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1.3价款</w:t>
      </w:r>
    </w:p>
    <w:p w14:paraId="57067461">
      <w:pPr>
        <w:spacing w:line="360" w:lineRule="auto"/>
        <w:ind w:firstLine="480" w:firstLineChars="200"/>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eastAsia="zh-CN"/>
        </w:rPr>
        <w:t>本合同总价为：￥元（大写：元人民币）。</w:t>
      </w:r>
    </w:p>
    <w:p w14:paraId="3DFA2089">
      <w:pPr>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分项价格：</w:t>
      </w:r>
    </w:p>
    <w:tbl>
      <w:tblPr>
        <w:tblStyle w:val="36"/>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3"/>
        <w:gridCol w:w="4313"/>
        <w:gridCol w:w="3235"/>
      </w:tblGrid>
      <w:tr w14:paraId="170E9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23" w:type="dxa"/>
            <w:vAlign w:val="center"/>
          </w:tcPr>
          <w:p w14:paraId="11382153">
            <w:pPr>
              <w:spacing w:line="360" w:lineRule="auto"/>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序号</w:t>
            </w:r>
          </w:p>
        </w:tc>
        <w:tc>
          <w:tcPr>
            <w:tcW w:w="4313" w:type="dxa"/>
            <w:vAlign w:val="center"/>
          </w:tcPr>
          <w:p w14:paraId="3B636618">
            <w:pPr>
              <w:spacing w:line="360" w:lineRule="auto"/>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分项名称</w:t>
            </w:r>
          </w:p>
        </w:tc>
        <w:tc>
          <w:tcPr>
            <w:tcW w:w="3235" w:type="dxa"/>
            <w:vAlign w:val="center"/>
          </w:tcPr>
          <w:p w14:paraId="52333A09">
            <w:pPr>
              <w:spacing w:line="360" w:lineRule="auto"/>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分项价格</w:t>
            </w:r>
          </w:p>
        </w:tc>
      </w:tr>
      <w:tr w14:paraId="6C65F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23" w:type="dxa"/>
            <w:vAlign w:val="center"/>
          </w:tcPr>
          <w:p w14:paraId="400480D2">
            <w:pPr>
              <w:spacing w:line="360" w:lineRule="auto"/>
              <w:jc w:val="center"/>
              <w:rPr>
                <w:rFonts w:hint="eastAsia" w:ascii="宋体" w:hAnsi="宋体" w:eastAsia="宋体" w:cs="宋体"/>
                <w:color w:val="auto"/>
                <w:kern w:val="2"/>
                <w:sz w:val="24"/>
                <w:szCs w:val="24"/>
                <w:highlight w:val="none"/>
              </w:rPr>
            </w:pPr>
          </w:p>
        </w:tc>
        <w:tc>
          <w:tcPr>
            <w:tcW w:w="4313" w:type="dxa"/>
            <w:vAlign w:val="center"/>
          </w:tcPr>
          <w:p w14:paraId="5710EDCE">
            <w:pPr>
              <w:spacing w:line="360" w:lineRule="auto"/>
              <w:jc w:val="center"/>
              <w:rPr>
                <w:rFonts w:hint="eastAsia" w:ascii="宋体" w:hAnsi="宋体" w:eastAsia="宋体" w:cs="宋体"/>
                <w:color w:val="auto"/>
                <w:kern w:val="2"/>
                <w:sz w:val="24"/>
                <w:szCs w:val="24"/>
                <w:highlight w:val="none"/>
              </w:rPr>
            </w:pPr>
          </w:p>
        </w:tc>
        <w:tc>
          <w:tcPr>
            <w:tcW w:w="3235" w:type="dxa"/>
            <w:vAlign w:val="center"/>
          </w:tcPr>
          <w:p w14:paraId="5AD32ACF">
            <w:pPr>
              <w:spacing w:line="360" w:lineRule="auto"/>
              <w:jc w:val="center"/>
              <w:rPr>
                <w:rFonts w:hint="eastAsia" w:ascii="宋体" w:hAnsi="宋体" w:eastAsia="宋体" w:cs="宋体"/>
                <w:color w:val="auto"/>
                <w:kern w:val="2"/>
                <w:sz w:val="24"/>
                <w:szCs w:val="24"/>
                <w:highlight w:val="none"/>
              </w:rPr>
            </w:pPr>
          </w:p>
        </w:tc>
      </w:tr>
      <w:tr w14:paraId="74396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23" w:type="dxa"/>
            <w:vAlign w:val="center"/>
          </w:tcPr>
          <w:p w14:paraId="1F6C3D3C">
            <w:pPr>
              <w:spacing w:line="360" w:lineRule="auto"/>
              <w:jc w:val="center"/>
              <w:rPr>
                <w:rFonts w:hint="eastAsia" w:ascii="宋体" w:hAnsi="宋体" w:eastAsia="宋体" w:cs="宋体"/>
                <w:color w:val="auto"/>
                <w:kern w:val="2"/>
                <w:sz w:val="24"/>
                <w:szCs w:val="24"/>
                <w:highlight w:val="none"/>
              </w:rPr>
            </w:pPr>
          </w:p>
        </w:tc>
        <w:tc>
          <w:tcPr>
            <w:tcW w:w="4313" w:type="dxa"/>
            <w:vAlign w:val="center"/>
          </w:tcPr>
          <w:p w14:paraId="694E3D16">
            <w:pPr>
              <w:spacing w:line="360" w:lineRule="auto"/>
              <w:jc w:val="center"/>
              <w:rPr>
                <w:rFonts w:hint="eastAsia" w:ascii="宋体" w:hAnsi="宋体" w:eastAsia="宋体" w:cs="宋体"/>
                <w:color w:val="auto"/>
                <w:kern w:val="2"/>
                <w:sz w:val="24"/>
                <w:szCs w:val="24"/>
                <w:highlight w:val="none"/>
              </w:rPr>
            </w:pPr>
          </w:p>
        </w:tc>
        <w:tc>
          <w:tcPr>
            <w:tcW w:w="3235" w:type="dxa"/>
            <w:vAlign w:val="center"/>
          </w:tcPr>
          <w:p w14:paraId="6AAFC330">
            <w:pPr>
              <w:spacing w:line="360" w:lineRule="auto"/>
              <w:jc w:val="center"/>
              <w:rPr>
                <w:rFonts w:hint="eastAsia" w:ascii="宋体" w:hAnsi="宋体" w:eastAsia="宋体" w:cs="宋体"/>
                <w:color w:val="auto"/>
                <w:kern w:val="2"/>
                <w:sz w:val="24"/>
                <w:szCs w:val="24"/>
                <w:highlight w:val="none"/>
              </w:rPr>
            </w:pPr>
          </w:p>
        </w:tc>
      </w:tr>
      <w:tr w14:paraId="0C7F2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23" w:type="dxa"/>
            <w:vAlign w:val="center"/>
          </w:tcPr>
          <w:p w14:paraId="33843E2A">
            <w:pPr>
              <w:spacing w:line="360" w:lineRule="auto"/>
              <w:jc w:val="center"/>
              <w:rPr>
                <w:rFonts w:hint="eastAsia" w:ascii="宋体" w:hAnsi="宋体" w:eastAsia="宋体" w:cs="宋体"/>
                <w:color w:val="auto"/>
                <w:kern w:val="2"/>
                <w:sz w:val="24"/>
                <w:szCs w:val="24"/>
                <w:highlight w:val="none"/>
              </w:rPr>
            </w:pPr>
          </w:p>
        </w:tc>
        <w:tc>
          <w:tcPr>
            <w:tcW w:w="4313" w:type="dxa"/>
            <w:vAlign w:val="center"/>
          </w:tcPr>
          <w:p w14:paraId="314C049C">
            <w:pPr>
              <w:spacing w:line="360" w:lineRule="auto"/>
              <w:jc w:val="center"/>
              <w:rPr>
                <w:rFonts w:hint="eastAsia" w:ascii="宋体" w:hAnsi="宋体" w:eastAsia="宋体" w:cs="宋体"/>
                <w:color w:val="auto"/>
                <w:kern w:val="2"/>
                <w:sz w:val="24"/>
                <w:szCs w:val="24"/>
                <w:highlight w:val="none"/>
              </w:rPr>
            </w:pPr>
          </w:p>
        </w:tc>
        <w:tc>
          <w:tcPr>
            <w:tcW w:w="3235" w:type="dxa"/>
            <w:vAlign w:val="center"/>
          </w:tcPr>
          <w:p w14:paraId="53517BB4">
            <w:pPr>
              <w:spacing w:line="360" w:lineRule="auto"/>
              <w:jc w:val="center"/>
              <w:rPr>
                <w:rFonts w:hint="eastAsia" w:ascii="宋体" w:hAnsi="宋体" w:eastAsia="宋体" w:cs="宋体"/>
                <w:color w:val="auto"/>
                <w:kern w:val="2"/>
                <w:sz w:val="24"/>
                <w:szCs w:val="24"/>
                <w:highlight w:val="none"/>
              </w:rPr>
            </w:pPr>
          </w:p>
        </w:tc>
      </w:tr>
      <w:tr w14:paraId="0BD7A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23" w:type="dxa"/>
            <w:vAlign w:val="center"/>
          </w:tcPr>
          <w:p w14:paraId="0336C18D">
            <w:pPr>
              <w:spacing w:line="360" w:lineRule="auto"/>
              <w:jc w:val="center"/>
              <w:rPr>
                <w:rFonts w:hint="eastAsia" w:ascii="宋体" w:hAnsi="宋体" w:eastAsia="宋体" w:cs="宋体"/>
                <w:color w:val="auto"/>
                <w:kern w:val="2"/>
                <w:sz w:val="24"/>
                <w:szCs w:val="24"/>
                <w:highlight w:val="none"/>
              </w:rPr>
            </w:pPr>
          </w:p>
        </w:tc>
        <w:tc>
          <w:tcPr>
            <w:tcW w:w="4313" w:type="dxa"/>
            <w:vAlign w:val="center"/>
          </w:tcPr>
          <w:p w14:paraId="467D62AE">
            <w:pPr>
              <w:spacing w:line="360" w:lineRule="auto"/>
              <w:jc w:val="center"/>
              <w:rPr>
                <w:rFonts w:hint="eastAsia" w:ascii="宋体" w:hAnsi="宋体" w:eastAsia="宋体" w:cs="宋体"/>
                <w:color w:val="auto"/>
                <w:kern w:val="2"/>
                <w:sz w:val="24"/>
                <w:szCs w:val="24"/>
                <w:highlight w:val="none"/>
              </w:rPr>
            </w:pPr>
          </w:p>
        </w:tc>
        <w:tc>
          <w:tcPr>
            <w:tcW w:w="3235" w:type="dxa"/>
            <w:vAlign w:val="center"/>
          </w:tcPr>
          <w:p w14:paraId="1A06D1A3">
            <w:pPr>
              <w:spacing w:line="360" w:lineRule="auto"/>
              <w:jc w:val="center"/>
              <w:rPr>
                <w:rFonts w:hint="eastAsia" w:ascii="宋体" w:hAnsi="宋体" w:eastAsia="宋体" w:cs="宋体"/>
                <w:color w:val="auto"/>
                <w:kern w:val="2"/>
                <w:sz w:val="24"/>
                <w:szCs w:val="24"/>
                <w:highlight w:val="none"/>
              </w:rPr>
            </w:pPr>
          </w:p>
        </w:tc>
      </w:tr>
      <w:tr w14:paraId="0C60D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36" w:type="dxa"/>
            <w:gridSpan w:val="2"/>
            <w:vAlign w:val="center"/>
          </w:tcPr>
          <w:p w14:paraId="7573C14A">
            <w:pPr>
              <w:spacing w:line="360" w:lineRule="auto"/>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总价</w:t>
            </w:r>
          </w:p>
        </w:tc>
        <w:tc>
          <w:tcPr>
            <w:tcW w:w="3235" w:type="dxa"/>
            <w:vAlign w:val="center"/>
          </w:tcPr>
          <w:p w14:paraId="5E27EB75">
            <w:pPr>
              <w:spacing w:line="360" w:lineRule="auto"/>
              <w:jc w:val="center"/>
              <w:rPr>
                <w:rFonts w:hint="eastAsia" w:ascii="宋体" w:hAnsi="宋体" w:eastAsia="宋体" w:cs="宋体"/>
                <w:color w:val="auto"/>
                <w:kern w:val="2"/>
                <w:sz w:val="24"/>
                <w:szCs w:val="24"/>
                <w:highlight w:val="none"/>
              </w:rPr>
            </w:pPr>
          </w:p>
        </w:tc>
      </w:tr>
    </w:tbl>
    <w:p w14:paraId="08E97D9B">
      <w:pPr>
        <w:widowControl w:val="0"/>
        <w:adjustRightInd/>
        <w:snapToGrid/>
        <w:spacing w:line="360" w:lineRule="auto"/>
        <w:ind w:firstLine="480" w:firstLineChars="200"/>
        <w:textAlignment w:val="auto"/>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eastAsia="zh-CN"/>
        </w:rPr>
        <w:t>1.4付款方式和发票开具方式</w:t>
      </w:r>
    </w:p>
    <w:p w14:paraId="4765084E">
      <w:pPr>
        <w:widowControl w:val="0"/>
        <w:adjustRightInd/>
        <w:snapToGrid/>
        <w:spacing w:line="360" w:lineRule="auto"/>
        <w:ind w:firstLine="480" w:firstLineChars="200"/>
        <w:textAlignment w:val="auto"/>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eastAsia="zh-CN"/>
        </w:rPr>
        <w:t>1.4.1付款方式：；</w:t>
      </w:r>
    </w:p>
    <w:p w14:paraId="6401B408">
      <w:pPr>
        <w:widowControl w:val="0"/>
        <w:adjustRightInd/>
        <w:snapToGrid/>
        <w:spacing w:line="360" w:lineRule="auto"/>
        <w:ind w:firstLine="480" w:firstLineChars="200"/>
        <w:textAlignment w:val="auto"/>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eastAsia="zh-CN"/>
        </w:rPr>
        <w:t>1.4.2发票开具方式：。</w:t>
      </w:r>
    </w:p>
    <w:p w14:paraId="0449DF93">
      <w:pPr>
        <w:widowControl w:val="0"/>
        <w:adjustRightInd/>
        <w:snapToGrid/>
        <w:spacing w:line="360" w:lineRule="auto"/>
        <w:ind w:firstLine="480" w:firstLineChars="200"/>
        <w:textAlignment w:val="auto"/>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eastAsia="zh-CN"/>
        </w:rPr>
        <w:t>1.5货物交付期限、地点和方式</w:t>
      </w:r>
    </w:p>
    <w:p w14:paraId="7DC792BB">
      <w:pPr>
        <w:widowControl w:val="0"/>
        <w:adjustRightInd/>
        <w:snapToGrid/>
        <w:spacing w:line="360" w:lineRule="auto"/>
        <w:ind w:firstLine="480" w:firstLineChars="200"/>
        <w:textAlignment w:val="auto"/>
        <w:rPr>
          <w:rFonts w:hint="eastAsia" w:ascii="宋体" w:hAnsi="宋体" w:eastAsia="宋体" w:cs="宋体"/>
          <w:bCs/>
          <w:color w:val="auto"/>
          <w:sz w:val="24"/>
          <w:szCs w:val="24"/>
          <w:highlight w:val="none"/>
          <w:u w:val="single"/>
          <w:lang w:eastAsia="zh-CN"/>
        </w:rPr>
      </w:pPr>
      <w:r>
        <w:rPr>
          <w:rFonts w:hint="eastAsia" w:ascii="宋体" w:hAnsi="宋体" w:eastAsia="宋体" w:cs="宋体"/>
          <w:bCs/>
          <w:color w:val="auto"/>
          <w:sz w:val="24"/>
          <w:szCs w:val="24"/>
          <w:highlight w:val="none"/>
          <w:lang w:eastAsia="zh-CN"/>
        </w:rPr>
        <w:t>1.5.1履行期限：；</w:t>
      </w:r>
    </w:p>
    <w:p w14:paraId="2D7D1800">
      <w:pPr>
        <w:widowControl w:val="0"/>
        <w:adjustRightInd/>
        <w:snapToGrid/>
        <w:spacing w:line="360" w:lineRule="auto"/>
        <w:ind w:firstLine="480" w:firstLineChars="200"/>
        <w:textAlignment w:val="auto"/>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eastAsia="zh-CN"/>
        </w:rPr>
        <w:t>1.5.2履行地点：；</w:t>
      </w:r>
    </w:p>
    <w:p w14:paraId="1F8B7B64">
      <w:pPr>
        <w:widowControl w:val="0"/>
        <w:adjustRightInd/>
        <w:snapToGrid/>
        <w:spacing w:line="360" w:lineRule="auto"/>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1.5.3</w:t>
      </w:r>
      <w:r>
        <w:rPr>
          <w:rFonts w:hint="eastAsia" w:ascii="宋体" w:hAnsi="宋体" w:eastAsia="宋体" w:cs="宋体"/>
          <w:bCs/>
          <w:color w:val="auto"/>
          <w:sz w:val="24"/>
          <w:szCs w:val="24"/>
          <w:highlight w:val="none"/>
          <w:lang w:eastAsia="zh-CN"/>
        </w:rPr>
        <w:t>履行</w:t>
      </w:r>
      <w:r>
        <w:rPr>
          <w:rFonts w:hint="eastAsia" w:ascii="宋体" w:hAnsi="宋体" w:eastAsia="宋体" w:cs="宋体"/>
          <w:bCs/>
          <w:color w:val="auto"/>
          <w:sz w:val="24"/>
          <w:szCs w:val="24"/>
          <w:highlight w:val="none"/>
        </w:rPr>
        <w:t>方式：</w:t>
      </w:r>
      <w:r>
        <w:rPr>
          <w:rFonts w:hint="eastAsia" w:ascii="宋体" w:hAnsi="宋体" w:eastAsia="宋体" w:cs="宋体"/>
          <w:bCs/>
          <w:color w:val="auto"/>
          <w:sz w:val="24"/>
          <w:szCs w:val="24"/>
          <w:highlight w:val="none"/>
          <w:u w:val="single"/>
        </w:rPr>
        <w:t>　　　　　　　　　　</w:t>
      </w:r>
      <w:r>
        <w:rPr>
          <w:rFonts w:hint="eastAsia" w:ascii="宋体" w:hAnsi="宋体" w:eastAsia="宋体" w:cs="宋体"/>
          <w:bCs/>
          <w:color w:val="auto"/>
          <w:sz w:val="24"/>
          <w:szCs w:val="24"/>
          <w:highlight w:val="none"/>
        </w:rPr>
        <w:t>。</w:t>
      </w:r>
    </w:p>
    <w:p w14:paraId="3C8DCC7A">
      <w:pPr>
        <w:widowControl w:val="0"/>
        <w:adjustRightInd/>
        <w:snapToGrid/>
        <w:spacing w:line="360" w:lineRule="auto"/>
        <w:ind w:firstLine="480" w:firstLineChars="200"/>
        <w:textAlignment w:val="auto"/>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eastAsia="zh-CN"/>
        </w:rPr>
        <w:t>1.6违约责任</w:t>
      </w:r>
    </w:p>
    <w:p w14:paraId="75005E9F">
      <w:pPr>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1.6.1除不可抗力外，如果乙方没有按照本合同约定的期限、地点和方式履行，那么甲方可要求乙方支付违约金，违约金按每迟延履行一日的应提供而未提供服务价格的%计算，最高限额为本合同总价的%；迟延履行的违约金计算数额达到前述最高限额之日起，甲方有权在要求乙方支付违约金的同时，书面通知乙方解除本合同；</w:t>
      </w:r>
    </w:p>
    <w:p w14:paraId="1D11605F">
      <w:pPr>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1.6.2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14:paraId="05725BA0">
      <w:pPr>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1.6.3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来影响对方当事人在合同签订、履行过程中的行为）或者欺诈行为（即：以谎报事实或隐瞒真相的方法来影响对方当事人在合同签订、履行过程中的行为）的，对方当事人可以书面通知违约方解除本合同；</w:t>
      </w:r>
    </w:p>
    <w:p w14:paraId="32AC77F3">
      <w:pPr>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1.6.4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07044989">
      <w:pPr>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1.6.5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14966CA2">
      <w:pPr>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1.6.6如果出现政府采购监督管理部门在处理投诉事项期间，书面通知甲方暂停采购活动的情形，或者询问或质疑事项可能影响中标结果的，导致甲方中止履行合同的情形，均不视为甲方违约。</w:t>
      </w:r>
    </w:p>
    <w:p w14:paraId="4D4CBB05">
      <w:pPr>
        <w:spacing w:line="360" w:lineRule="auto"/>
        <w:ind w:firstLine="482" w:firstLineChars="200"/>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1.7合同争议的解决</w:t>
      </w:r>
    </w:p>
    <w:p w14:paraId="3394292F">
      <w:pPr>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本合同履行过程中发生的任何争议，双方当事人均可通过和解或者调解解决；不愿和解、调解或者和解、调解不成的，可以选择下列第种方式解决：</w:t>
      </w:r>
    </w:p>
    <w:p w14:paraId="74585835">
      <w:pPr>
        <w:spacing w:line="360" w:lineRule="auto"/>
        <w:ind w:firstLine="480" w:firstLineChars="200"/>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eastAsia="zh-CN"/>
        </w:rPr>
        <w:t>1.7.1将争议提交仲裁委员会依申请仲裁时其现行有效的仲裁规则裁决；</w:t>
      </w:r>
    </w:p>
    <w:p w14:paraId="6E868AF1">
      <w:pPr>
        <w:spacing w:line="360" w:lineRule="auto"/>
        <w:ind w:firstLine="480" w:firstLineChars="200"/>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eastAsia="zh-CN"/>
        </w:rPr>
        <w:t>1.7.2向</w:t>
      </w:r>
      <w:r>
        <w:rPr>
          <w:rFonts w:hint="eastAsia" w:ascii="宋体" w:hAnsi="宋体" w:eastAsia="宋体" w:cs="宋体"/>
          <w:bCs/>
          <w:color w:val="auto"/>
          <w:sz w:val="24"/>
          <w:szCs w:val="24"/>
          <w:highlight w:val="none"/>
          <w:u w:val="single"/>
          <w:lang w:eastAsia="zh-CN"/>
        </w:rPr>
        <w:t>（被告住所地、合同履行地、合同签订地、原告住所地、标的物所在地等与争议有实际联系的地点中选出的人民法院名称）</w:t>
      </w:r>
      <w:r>
        <w:rPr>
          <w:rFonts w:hint="eastAsia" w:ascii="宋体" w:hAnsi="宋体" w:eastAsia="宋体" w:cs="宋体"/>
          <w:bCs/>
          <w:color w:val="auto"/>
          <w:sz w:val="24"/>
          <w:szCs w:val="24"/>
          <w:highlight w:val="none"/>
          <w:lang w:eastAsia="zh-CN"/>
        </w:rPr>
        <w:t>人民法院起诉。</w:t>
      </w:r>
    </w:p>
    <w:p w14:paraId="7E700BF5">
      <w:pPr>
        <w:spacing w:line="360" w:lineRule="auto"/>
        <w:ind w:firstLine="482" w:firstLineChars="200"/>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1.8合同生效</w:t>
      </w:r>
    </w:p>
    <w:p w14:paraId="72CF12B8">
      <w:pPr>
        <w:spacing w:line="360" w:lineRule="auto"/>
        <w:ind w:firstLine="480" w:firstLineChars="200"/>
        <w:rPr>
          <w:rFonts w:hint="eastAsia" w:ascii="宋体" w:hAnsi="宋体" w:eastAsia="宋体" w:cs="宋体"/>
          <w:b/>
          <w:bCs/>
          <w:color w:val="auto"/>
          <w:sz w:val="24"/>
          <w:szCs w:val="24"/>
          <w:highlight w:val="none"/>
          <w:lang w:eastAsia="zh-CN"/>
        </w:rPr>
      </w:pPr>
      <w:r>
        <w:rPr>
          <w:rFonts w:hint="eastAsia" w:ascii="宋体" w:hAnsi="宋体" w:eastAsia="宋体" w:cs="宋体"/>
          <w:color w:val="auto"/>
          <w:sz w:val="24"/>
          <w:szCs w:val="24"/>
          <w:highlight w:val="none"/>
          <w:lang w:eastAsia="zh-CN"/>
        </w:rPr>
        <w:t>本合同自双方当事人盖章或者签字时生效。</w:t>
      </w:r>
    </w:p>
    <w:p w14:paraId="19267110">
      <w:pPr>
        <w:spacing w:line="360" w:lineRule="auto"/>
        <w:rPr>
          <w:rFonts w:hint="eastAsia" w:ascii="宋体" w:hAnsi="宋体" w:eastAsia="宋体" w:cs="宋体"/>
          <w:color w:val="auto"/>
          <w:sz w:val="24"/>
          <w:szCs w:val="24"/>
          <w:highlight w:val="none"/>
          <w:lang w:val="zh-CN" w:eastAsia="zh-CN"/>
        </w:rPr>
      </w:pPr>
    </w:p>
    <w:p w14:paraId="215AB4D4">
      <w:pPr>
        <w:spacing w:line="360" w:lineRule="auto"/>
        <w:rPr>
          <w:rFonts w:hint="eastAsia" w:ascii="宋体" w:hAnsi="宋体" w:eastAsia="宋体" w:cs="宋体"/>
          <w:bCs/>
          <w:color w:val="auto"/>
          <w:sz w:val="24"/>
          <w:szCs w:val="24"/>
          <w:highlight w:val="none"/>
          <w:lang w:val="zh-CN" w:eastAsia="zh-CN"/>
        </w:rPr>
      </w:pPr>
      <w:r>
        <w:rPr>
          <w:rFonts w:hint="eastAsia" w:ascii="宋体" w:hAnsi="宋体" w:eastAsia="宋体" w:cs="宋体"/>
          <w:bCs/>
          <w:color w:val="auto"/>
          <w:sz w:val="24"/>
          <w:szCs w:val="24"/>
          <w:highlight w:val="none"/>
          <w:lang w:val="zh-CN" w:eastAsia="zh-CN"/>
        </w:rPr>
        <w:t>甲方：</w:t>
      </w:r>
      <w:r>
        <w:rPr>
          <w:rFonts w:hint="eastAsia" w:ascii="宋体" w:hAnsi="宋体" w:eastAsia="宋体" w:cs="宋体"/>
          <w:bCs/>
          <w:color w:val="auto"/>
          <w:sz w:val="24"/>
          <w:szCs w:val="24"/>
          <w:highlight w:val="none"/>
          <w:lang w:val="en-US" w:eastAsia="zh-CN"/>
        </w:rPr>
        <w:t xml:space="preserve">                                </w:t>
      </w:r>
      <w:r>
        <w:rPr>
          <w:rFonts w:hint="eastAsia" w:ascii="宋体" w:hAnsi="宋体" w:eastAsia="宋体" w:cs="宋体"/>
          <w:bCs/>
          <w:color w:val="auto"/>
          <w:sz w:val="24"/>
          <w:szCs w:val="24"/>
          <w:highlight w:val="none"/>
          <w:lang w:val="zh-CN" w:eastAsia="zh-CN"/>
        </w:rPr>
        <w:t>乙方：</w:t>
      </w:r>
    </w:p>
    <w:p w14:paraId="5CBE947B">
      <w:pPr>
        <w:spacing w:line="360" w:lineRule="auto"/>
        <w:rPr>
          <w:rFonts w:hint="eastAsia" w:ascii="宋体" w:hAnsi="宋体" w:eastAsia="宋体" w:cs="宋体"/>
          <w:bCs/>
          <w:color w:val="auto"/>
          <w:sz w:val="24"/>
          <w:szCs w:val="24"/>
          <w:highlight w:val="none"/>
          <w:lang w:val="zh-CN" w:eastAsia="zh-CN"/>
        </w:rPr>
      </w:pPr>
      <w:r>
        <w:rPr>
          <w:rFonts w:hint="eastAsia" w:ascii="宋体" w:hAnsi="宋体" w:eastAsia="宋体" w:cs="宋体"/>
          <w:bCs/>
          <w:color w:val="auto"/>
          <w:sz w:val="24"/>
          <w:szCs w:val="24"/>
          <w:highlight w:val="none"/>
          <w:lang w:val="zh-CN" w:eastAsia="zh-CN"/>
        </w:rPr>
        <w:t>统一社会信用代码：</w:t>
      </w:r>
      <w:r>
        <w:rPr>
          <w:rFonts w:hint="eastAsia" w:ascii="宋体" w:hAnsi="宋体" w:eastAsia="宋体" w:cs="宋体"/>
          <w:bCs/>
          <w:color w:val="auto"/>
          <w:sz w:val="24"/>
          <w:szCs w:val="24"/>
          <w:highlight w:val="none"/>
          <w:lang w:val="en-US" w:eastAsia="zh-CN"/>
        </w:rPr>
        <w:t xml:space="preserve">                     </w:t>
      </w:r>
      <w:r>
        <w:rPr>
          <w:rFonts w:hint="eastAsia" w:ascii="宋体" w:hAnsi="宋体" w:eastAsia="宋体" w:cs="宋体"/>
          <w:bCs/>
          <w:color w:val="auto"/>
          <w:sz w:val="24"/>
          <w:szCs w:val="24"/>
          <w:highlight w:val="none"/>
          <w:lang w:val="zh-CN" w:eastAsia="zh-CN"/>
        </w:rPr>
        <w:t>统一社会信用代码或身份证号码：</w:t>
      </w:r>
    </w:p>
    <w:p w14:paraId="7F481F9B">
      <w:pPr>
        <w:spacing w:line="360" w:lineRule="auto"/>
        <w:rPr>
          <w:rFonts w:hint="eastAsia" w:ascii="宋体" w:hAnsi="宋体" w:eastAsia="宋体" w:cs="宋体"/>
          <w:bCs/>
          <w:color w:val="auto"/>
          <w:sz w:val="24"/>
          <w:szCs w:val="24"/>
          <w:highlight w:val="none"/>
          <w:lang w:val="zh-CN" w:eastAsia="zh-CN"/>
        </w:rPr>
      </w:pPr>
    </w:p>
    <w:p w14:paraId="0D045365">
      <w:pPr>
        <w:spacing w:line="360" w:lineRule="auto"/>
        <w:rPr>
          <w:rFonts w:hint="eastAsia" w:ascii="宋体" w:hAnsi="宋体" w:eastAsia="宋体" w:cs="宋体"/>
          <w:bCs/>
          <w:color w:val="auto"/>
          <w:sz w:val="24"/>
          <w:szCs w:val="24"/>
          <w:highlight w:val="none"/>
          <w:lang w:val="zh-CN" w:eastAsia="zh-CN"/>
        </w:rPr>
      </w:pPr>
      <w:r>
        <w:rPr>
          <w:rFonts w:hint="eastAsia" w:ascii="宋体" w:hAnsi="宋体" w:eastAsia="宋体" w:cs="宋体"/>
          <w:bCs/>
          <w:color w:val="auto"/>
          <w:sz w:val="24"/>
          <w:szCs w:val="24"/>
          <w:highlight w:val="none"/>
          <w:lang w:val="zh-CN" w:eastAsia="zh-CN"/>
        </w:rPr>
        <w:t>住所：</w:t>
      </w:r>
      <w:r>
        <w:rPr>
          <w:rFonts w:hint="eastAsia" w:ascii="宋体" w:hAnsi="宋体" w:eastAsia="宋体" w:cs="宋体"/>
          <w:bCs/>
          <w:color w:val="auto"/>
          <w:sz w:val="24"/>
          <w:szCs w:val="24"/>
          <w:highlight w:val="none"/>
          <w:lang w:val="en-US" w:eastAsia="zh-CN"/>
        </w:rPr>
        <w:t xml:space="preserve">                                 </w:t>
      </w:r>
      <w:r>
        <w:rPr>
          <w:rFonts w:hint="eastAsia" w:ascii="宋体" w:hAnsi="宋体" w:eastAsia="宋体" w:cs="宋体"/>
          <w:bCs/>
          <w:color w:val="auto"/>
          <w:sz w:val="24"/>
          <w:szCs w:val="24"/>
          <w:highlight w:val="none"/>
          <w:lang w:val="zh-CN" w:eastAsia="zh-CN"/>
        </w:rPr>
        <w:t>住所：</w:t>
      </w:r>
    </w:p>
    <w:p w14:paraId="1ECEE546">
      <w:pPr>
        <w:spacing w:line="360" w:lineRule="auto"/>
        <w:rPr>
          <w:rFonts w:hint="eastAsia" w:ascii="宋体" w:hAnsi="宋体" w:eastAsia="宋体" w:cs="宋体"/>
          <w:bCs/>
          <w:color w:val="auto"/>
          <w:sz w:val="24"/>
          <w:szCs w:val="24"/>
          <w:highlight w:val="none"/>
          <w:lang w:val="zh-CN" w:eastAsia="zh-CN"/>
        </w:rPr>
      </w:pPr>
      <w:r>
        <w:rPr>
          <w:rFonts w:hint="eastAsia" w:ascii="宋体" w:hAnsi="宋体" w:eastAsia="宋体" w:cs="宋体"/>
          <w:bCs/>
          <w:color w:val="auto"/>
          <w:sz w:val="24"/>
          <w:szCs w:val="24"/>
          <w:highlight w:val="none"/>
          <w:lang w:val="zh-CN" w:eastAsia="zh-CN"/>
        </w:rPr>
        <w:t>法定代表人</w:t>
      </w:r>
      <w:r>
        <w:rPr>
          <w:rFonts w:hint="eastAsia" w:ascii="宋体" w:hAnsi="宋体" w:eastAsia="宋体" w:cs="宋体"/>
          <w:bCs/>
          <w:color w:val="auto"/>
          <w:sz w:val="24"/>
          <w:szCs w:val="24"/>
          <w:highlight w:val="none"/>
          <w:lang w:val="en-US" w:eastAsia="zh-CN"/>
        </w:rPr>
        <w:t xml:space="preserve">                            </w:t>
      </w:r>
      <w:r>
        <w:rPr>
          <w:rFonts w:hint="eastAsia" w:ascii="宋体" w:hAnsi="宋体" w:eastAsia="宋体" w:cs="宋体"/>
          <w:bCs/>
          <w:color w:val="auto"/>
          <w:sz w:val="24"/>
          <w:szCs w:val="24"/>
          <w:highlight w:val="none"/>
          <w:lang w:val="zh-CN" w:eastAsia="zh-CN"/>
        </w:rPr>
        <w:t>法定代表人</w:t>
      </w:r>
    </w:p>
    <w:p w14:paraId="70DD97C5">
      <w:pPr>
        <w:spacing w:line="360" w:lineRule="auto"/>
        <w:rPr>
          <w:rFonts w:hint="eastAsia" w:ascii="宋体" w:hAnsi="宋体" w:eastAsia="宋体" w:cs="宋体"/>
          <w:bCs/>
          <w:color w:val="auto"/>
          <w:sz w:val="24"/>
          <w:szCs w:val="24"/>
          <w:highlight w:val="none"/>
          <w:lang w:val="zh-CN" w:eastAsia="zh-CN"/>
        </w:rPr>
      </w:pPr>
      <w:r>
        <w:rPr>
          <w:rFonts w:hint="eastAsia" w:ascii="宋体" w:hAnsi="宋体" w:eastAsia="宋体" w:cs="宋体"/>
          <w:bCs/>
          <w:color w:val="auto"/>
          <w:sz w:val="24"/>
          <w:szCs w:val="24"/>
          <w:highlight w:val="none"/>
          <w:lang w:val="zh-CN" w:eastAsia="zh-CN"/>
        </w:rPr>
        <w:t>授权代表（签字）：</w:t>
      </w:r>
      <w:r>
        <w:rPr>
          <w:rFonts w:hint="eastAsia" w:ascii="宋体" w:hAnsi="宋体" w:eastAsia="宋体" w:cs="宋体"/>
          <w:bCs/>
          <w:color w:val="auto"/>
          <w:sz w:val="24"/>
          <w:szCs w:val="24"/>
          <w:highlight w:val="none"/>
          <w:lang w:val="en-US" w:eastAsia="zh-CN"/>
        </w:rPr>
        <w:t xml:space="preserve">                    </w:t>
      </w:r>
      <w:r>
        <w:rPr>
          <w:rFonts w:hint="eastAsia" w:ascii="宋体" w:hAnsi="宋体" w:eastAsia="宋体" w:cs="宋体"/>
          <w:bCs/>
          <w:color w:val="auto"/>
          <w:sz w:val="24"/>
          <w:szCs w:val="24"/>
          <w:highlight w:val="none"/>
          <w:lang w:val="zh-CN" w:eastAsia="zh-CN"/>
        </w:rPr>
        <w:t>或授权代表（签字）:</w:t>
      </w:r>
    </w:p>
    <w:p w14:paraId="3C31E679">
      <w:pPr>
        <w:spacing w:line="360" w:lineRule="auto"/>
        <w:rPr>
          <w:rFonts w:hint="eastAsia" w:ascii="宋体" w:hAnsi="宋体" w:eastAsia="宋体" w:cs="宋体"/>
          <w:bCs/>
          <w:color w:val="auto"/>
          <w:sz w:val="24"/>
          <w:szCs w:val="24"/>
          <w:highlight w:val="none"/>
          <w:lang w:val="zh-CN" w:eastAsia="zh-CN"/>
        </w:rPr>
      </w:pPr>
      <w:r>
        <w:rPr>
          <w:rFonts w:hint="eastAsia" w:ascii="宋体" w:hAnsi="宋体" w:eastAsia="宋体" w:cs="宋体"/>
          <w:bCs/>
          <w:color w:val="auto"/>
          <w:sz w:val="24"/>
          <w:szCs w:val="24"/>
          <w:highlight w:val="none"/>
          <w:lang w:val="zh-CN" w:eastAsia="zh-CN"/>
        </w:rPr>
        <w:t>联系人：</w:t>
      </w:r>
      <w:r>
        <w:rPr>
          <w:rFonts w:hint="eastAsia" w:ascii="宋体" w:hAnsi="宋体" w:eastAsia="宋体" w:cs="宋体"/>
          <w:bCs/>
          <w:color w:val="auto"/>
          <w:sz w:val="24"/>
          <w:szCs w:val="24"/>
          <w:highlight w:val="none"/>
          <w:lang w:val="en-US" w:eastAsia="zh-CN"/>
        </w:rPr>
        <w:t xml:space="preserve">                              </w:t>
      </w:r>
      <w:r>
        <w:rPr>
          <w:rFonts w:hint="eastAsia" w:ascii="宋体" w:hAnsi="宋体" w:eastAsia="宋体" w:cs="宋体"/>
          <w:bCs/>
          <w:color w:val="auto"/>
          <w:sz w:val="24"/>
          <w:szCs w:val="24"/>
          <w:highlight w:val="none"/>
          <w:lang w:val="zh-CN" w:eastAsia="zh-CN"/>
        </w:rPr>
        <w:t>联系人：</w:t>
      </w:r>
    </w:p>
    <w:p w14:paraId="4DECD5DA">
      <w:pPr>
        <w:spacing w:line="360" w:lineRule="auto"/>
        <w:rPr>
          <w:rFonts w:hint="eastAsia" w:ascii="宋体" w:hAnsi="宋体" w:eastAsia="宋体" w:cs="宋体"/>
          <w:bCs/>
          <w:color w:val="auto"/>
          <w:sz w:val="24"/>
          <w:szCs w:val="24"/>
          <w:highlight w:val="none"/>
          <w:lang w:val="zh-CN" w:eastAsia="zh-CN"/>
        </w:rPr>
      </w:pPr>
      <w:r>
        <w:rPr>
          <w:rFonts w:hint="eastAsia" w:ascii="宋体" w:hAnsi="宋体" w:eastAsia="宋体" w:cs="宋体"/>
          <w:bCs/>
          <w:color w:val="auto"/>
          <w:sz w:val="24"/>
          <w:szCs w:val="24"/>
          <w:highlight w:val="none"/>
          <w:lang w:val="zh-CN" w:eastAsia="zh-CN"/>
        </w:rPr>
        <w:t>约定送达地址：</w:t>
      </w:r>
      <w:r>
        <w:rPr>
          <w:rFonts w:hint="eastAsia" w:ascii="宋体" w:hAnsi="宋体" w:eastAsia="宋体" w:cs="宋体"/>
          <w:bCs/>
          <w:color w:val="auto"/>
          <w:sz w:val="24"/>
          <w:szCs w:val="24"/>
          <w:highlight w:val="none"/>
          <w:lang w:val="en-US" w:eastAsia="zh-CN"/>
        </w:rPr>
        <w:t xml:space="preserve">                        </w:t>
      </w:r>
      <w:r>
        <w:rPr>
          <w:rFonts w:hint="eastAsia" w:ascii="宋体" w:hAnsi="宋体" w:eastAsia="宋体" w:cs="宋体"/>
          <w:bCs/>
          <w:color w:val="auto"/>
          <w:sz w:val="24"/>
          <w:szCs w:val="24"/>
          <w:highlight w:val="none"/>
          <w:lang w:val="zh-CN" w:eastAsia="zh-CN"/>
        </w:rPr>
        <w:t>约定送达地址：</w:t>
      </w:r>
    </w:p>
    <w:p w14:paraId="26B72393">
      <w:pPr>
        <w:spacing w:line="360" w:lineRule="auto"/>
        <w:rPr>
          <w:rFonts w:hint="eastAsia" w:ascii="宋体" w:hAnsi="宋体" w:eastAsia="宋体" w:cs="宋体"/>
          <w:bCs/>
          <w:color w:val="auto"/>
          <w:sz w:val="24"/>
          <w:szCs w:val="24"/>
          <w:highlight w:val="none"/>
          <w:lang w:val="zh-CN" w:eastAsia="zh-CN"/>
        </w:rPr>
      </w:pPr>
      <w:r>
        <w:rPr>
          <w:rFonts w:hint="eastAsia" w:ascii="宋体" w:hAnsi="宋体" w:eastAsia="宋体" w:cs="宋体"/>
          <w:bCs/>
          <w:color w:val="auto"/>
          <w:sz w:val="24"/>
          <w:szCs w:val="24"/>
          <w:highlight w:val="none"/>
          <w:lang w:val="zh-CN" w:eastAsia="zh-CN"/>
        </w:rPr>
        <w:t>邮政编码：</w:t>
      </w:r>
      <w:r>
        <w:rPr>
          <w:rFonts w:hint="eastAsia" w:ascii="宋体" w:hAnsi="宋体" w:eastAsia="宋体" w:cs="宋体"/>
          <w:bCs/>
          <w:color w:val="auto"/>
          <w:sz w:val="24"/>
          <w:szCs w:val="24"/>
          <w:highlight w:val="none"/>
          <w:lang w:val="en-US" w:eastAsia="zh-CN"/>
        </w:rPr>
        <w:t xml:space="preserve">                             </w:t>
      </w:r>
      <w:r>
        <w:rPr>
          <w:rFonts w:hint="eastAsia" w:ascii="宋体" w:hAnsi="宋体" w:eastAsia="宋体" w:cs="宋体"/>
          <w:bCs/>
          <w:color w:val="auto"/>
          <w:sz w:val="24"/>
          <w:szCs w:val="24"/>
          <w:highlight w:val="none"/>
          <w:lang w:val="zh-CN" w:eastAsia="zh-CN"/>
        </w:rPr>
        <w:t>邮政编码：</w:t>
      </w:r>
    </w:p>
    <w:p w14:paraId="49F8BAC5">
      <w:pPr>
        <w:spacing w:line="360" w:lineRule="auto"/>
        <w:rPr>
          <w:rFonts w:hint="eastAsia" w:ascii="宋体" w:hAnsi="宋体" w:eastAsia="宋体" w:cs="宋体"/>
          <w:bCs/>
          <w:color w:val="auto"/>
          <w:sz w:val="24"/>
          <w:szCs w:val="24"/>
          <w:highlight w:val="none"/>
          <w:lang w:val="zh-CN" w:eastAsia="zh-CN"/>
        </w:rPr>
      </w:pPr>
      <w:r>
        <w:rPr>
          <w:rFonts w:hint="eastAsia" w:ascii="宋体" w:hAnsi="宋体" w:eastAsia="宋体" w:cs="宋体"/>
          <w:bCs/>
          <w:color w:val="auto"/>
          <w:sz w:val="24"/>
          <w:szCs w:val="24"/>
          <w:highlight w:val="none"/>
          <w:lang w:val="zh-CN" w:eastAsia="zh-CN"/>
        </w:rPr>
        <w:t>电话:</w:t>
      </w:r>
      <w:r>
        <w:rPr>
          <w:rFonts w:hint="eastAsia" w:ascii="宋体" w:hAnsi="宋体" w:eastAsia="宋体" w:cs="宋体"/>
          <w:bCs/>
          <w:color w:val="auto"/>
          <w:sz w:val="24"/>
          <w:szCs w:val="24"/>
          <w:highlight w:val="none"/>
          <w:lang w:val="en-US" w:eastAsia="zh-CN"/>
        </w:rPr>
        <w:t xml:space="preserve">                                  </w:t>
      </w:r>
      <w:r>
        <w:rPr>
          <w:rFonts w:hint="eastAsia" w:ascii="宋体" w:hAnsi="宋体" w:eastAsia="宋体" w:cs="宋体"/>
          <w:bCs/>
          <w:color w:val="auto"/>
          <w:sz w:val="24"/>
          <w:szCs w:val="24"/>
          <w:highlight w:val="none"/>
          <w:lang w:val="zh-CN" w:eastAsia="zh-CN"/>
        </w:rPr>
        <w:t>电话:</w:t>
      </w:r>
    </w:p>
    <w:p w14:paraId="5AF69952">
      <w:pPr>
        <w:spacing w:line="360" w:lineRule="auto"/>
        <w:rPr>
          <w:rFonts w:hint="eastAsia" w:ascii="宋体" w:hAnsi="宋体" w:eastAsia="宋体" w:cs="宋体"/>
          <w:bCs/>
          <w:color w:val="auto"/>
          <w:sz w:val="24"/>
          <w:szCs w:val="24"/>
          <w:highlight w:val="none"/>
          <w:lang w:val="zh-CN" w:eastAsia="zh-CN"/>
        </w:rPr>
      </w:pPr>
      <w:r>
        <w:rPr>
          <w:rFonts w:hint="eastAsia" w:ascii="宋体" w:hAnsi="宋体" w:eastAsia="宋体" w:cs="宋体"/>
          <w:bCs/>
          <w:color w:val="auto"/>
          <w:sz w:val="24"/>
          <w:szCs w:val="24"/>
          <w:highlight w:val="none"/>
          <w:lang w:val="zh-CN" w:eastAsia="zh-CN"/>
        </w:rPr>
        <w:t>传真:</w:t>
      </w:r>
      <w:r>
        <w:rPr>
          <w:rFonts w:hint="eastAsia" w:ascii="宋体" w:hAnsi="宋体" w:eastAsia="宋体" w:cs="宋体"/>
          <w:bCs/>
          <w:color w:val="auto"/>
          <w:sz w:val="24"/>
          <w:szCs w:val="24"/>
          <w:highlight w:val="none"/>
          <w:lang w:val="en-US" w:eastAsia="zh-CN"/>
        </w:rPr>
        <w:t xml:space="preserve">                                  </w:t>
      </w:r>
      <w:r>
        <w:rPr>
          <w:rFonts w:hint="eastAsia" w:ascii="宋体" w:hAnsi="宋体" w:eastAsia="宋体" w:cs="宋体"/>
          <w:bCs/>
          <w:color w:val="auto"/>
          <w:sz w:val="24"/>
          <w:szCs w:val="24"/>
          <w:highlight w:val="none"/>
          <w:lang w:val="zh-CN" w:eastAsia="zh-CN"/>
        </w:rPr>
        <w:t>传真:</w:t>
      </w:r>
    </w:p>
    <w:p w14:paraId="7BE1614A">
      <w:pPr>
        <w:spacing w:line="360" w:lineRule="auto"/>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val="zh-CN" w:eastAsia="zh-CN"/>
        </w:rPr>
        <w:t>电子邮箱：</w:t>
      </w:r>
      <w:r>
        <w:rPr>
          <w:rFonts w:hint="eastAsia" w:ascii="宋体" w:hAnsi="宋体" w:eastAsia="宋体" w:cs="宋体"/>
          <w:bCs/>
          <w:color w:val="auto"/>
          <w:sz w:val="24"/>
          <w:szCs w:val="24"/>
          <w:highlight w:val="none"/>
          <w:lang w:val="en-US" w:eastAsia="zh-CN"/>
        </w:rPr>
        <w:t xml:space="preserve">                             </w:t>
      </w:r>
      <w:r>
        <w:rPr>
          <w:rFonts w:hint="eastAsia" w:ascii="宋体" w:hAnsi="宋体" w:eastAsia="宋体" w:cs="宋体"/>
          <w:bCs/>
          <w:color w:val="auto"/>
          <w:sz w:val="24"/>
          <w:szCs w:val="24"/>
          <w:highlight w:val="none"/>
          <w:lang w:val="zh-CN" w:eastAsia="zh-CN"/>
        </w:rPr>
        <w:t>电子邮箱：</w:t>
      </w:r>
    </w:p>
    <w:p w14:paraId="3F0F6B84">
      <w:pPr>
        <w:spacing w:line="360" w:lineRule="auto"/>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eastAsia="zh-CN"/>
        </w:rPr>
        <w:t>开户银行：</w:t>
      </w:r>
      <w:r>
        <w:rPr>
          <w:rFonts w:hint="eastAsia" w:ascii="宋体" w:hAnsi="宋体" w:eastAsia="宋体" w:cs="宋体"/>
          <w:bCs/>
          <w:color w:val="auto"/>
          <w:sz w:val="24"/>
          <w:szCs w:val="24"/>
          <w:highlight w:val="none"/>
          <w:lang w:val="en-US" w:eastAsia="zh-CN"/>
        </w:rPr>
        <w:t xml:space="preserve">                             </w:t>
      </w:r>
      <w:r>
        <w:rPr>
          <w:rFonts w:hint="eastAsia" w:ascii="宋体" w:hAnsi="宋体" w:eastAsia="宋体" w:cs="宋体"/>
          <w:bCs/>
          <w:color w:val="auto"/>
          <w:sz w:val="24"/>
          <w:szCs w:val="24"/>
          <w:highlight w:val="none"/>
          <w:lang w:eastAsia="zh-CN"/>
        </w:rPr>
        <w:t>开户银行：</w:t>
      </w:r>
    </w:p>
    <w:p w14:paraId="5C45EB36">
      <w:pPr>
        <w:spacing w:line="360" w:lineRule="auto"/>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eastAsia="zh-CN"/>
        </w:rPr>
        <w:t>开户名称：</w:t>
      </w:r>
      <w:r>
        <w:rPr>
          <w:rFonts w:hint="eastAsia" w:ascii="宋体" w:hAnsi="宋体" w:eastAsia="宋体" w:cs="宋体"/>
          <w:bCs/>
          <w:color w:val="auto"/>
          <w:sz w:val="24"/>
          <w:szCs w:val="24"/>
          <w:highlight w:val="none"/>
          <w:lang w:val="en-US" w:eastAsia="zh-CN"/>
        </w:rPr>
        <w:t xml:space="preserve">                             </w:t>
      </w:r>
      <w:r>
        <w:rPr>
          <w:rFonts w:hint="eastAsia" w:ascii="宋体" w:hAnsi="宋体" w:eastAsia="宋体" w:cs="宋体"/>
          <w:bCs/>
          <w:color w:val="auto"/>
          <w:sz w:val="24"/>
          <w:szCs w:val="24"/>
          <w:highlight w:val="none"/>
          <w:lang w:eastAsia="zh-CN"/>
        </w:rPr>
        <w:t>开户名称：</w:t>
      </w:r>
    </w:p>
    <w:p w14:paraId="1B2B875F">
      <w:pPr>
        <w:spacing w:line="360" w:lineRule="auto"/>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eastAsia="zh-CN"/>
        </w:rPr>
        <w:t>开户账号：</w:t>
      </w:r>
      <w:r>
        <w:rPr>
          <w:rFonts w:hint="eastAsia" w:ascii="宋体" w:hAnsi="宋体" w:eastAsia="宋体" w:cs="宋体"/>
          <w:bCs/>
          <w:color w:val="auto"/>
          <w:sz w:val="24"/>
          <w:szCs w:val="24"/>
          <w:highlight w:val="none"/>
          <w:lang w:val="en-US" w:eastAsia="zh-CN"/>
        </w:rPr>
        <w:t xml:space="preserve">                              </w:t>
      </w:r>
      <w:r>
        <w:rPr>
          <w:rFonts w:hint="eastAsia" w:ascii="宋体" w:hAnsi="宋体" w:eastAsia="宋体" w:cs="宋体"/>
          <w:bCs/>
          <w:color w:val="auto"/>
          <w:sz w:val="24"/>
          <w:szCs w:val="24"/>
          <w:highlight w:val="none"/>
          <w:lang w:eastAsia="zh-CN"/>
        </w:rPr>
        <w:t>开户账号：</w:t>
      </w:r>
    </w:p>
    <w:p w14:paraId="53206559">
      <w:pPr>
        <w:tabs>
          <w:tab w:val="left" w:pos="3075"/>
        </w:tabs>
        <w:adjustRightInd w:val="0"/>
        <w:snapToGrid w:val="0"/>
        <w:spacing w:line="420" w:lineRule="exact"/>
        <w:ind w:firstLine="455" w:firstLineChars="207"/>
        <w:rPr>
          <w:rFonts w:ascii="仿宋_GB2312" w:hAnsi="华文中宋" w:eastAsia="仿宋_GB2312"/>
          <w:bCs/>
          <w:color w:val="000000"/>
          <w:spacing w:val="-10"/>
          <w:sz w:val="24"/>
          <w:szCs w:val="24"/>
          <w:highlight w:val="none"/>
        </w:rPr>
      </w:pPr>
    </w:p>
    <w:p w14:paraId="4C14C30C">
      <w:pPr>
        <w:rPr>
          <w:rFonts w:ascii="宋体" w:hAnsi="宋体" w:cs="宋体"/>
          <w:color w:val="000000"/>
          <w:highlight w:val="none"/>
        </w:rPr>
      </w:pPr>
    </w:p>
    <w:p w14:paraId="1C36FC5D">
      <w:pPr>
        <w:jc w:val="both"/>
        <w:outlineLvl w:val="0"/>
        <w:rPr>
          <w:rFonts w:hint="eastAsia" w:ascii="宋体" w:hAnsi="宋体" w:eastAsia="宋体" w:cs="宋体"/>
          <w:color w:val="auto"/>
          <w:spacing w:val="-9"/>
          <w:sz w:val="24"/>
          <w:szCs w:val="24"/>
          <w:lang w:eastAsia="zh-CN"/>
        </w:rPr>
      </w:pPr>
      <w:r>
        <w:rPr>
          <w:rFonts w:hint="eastAsia" w:ascii="宋体" w:hAnsi="宋体" w:eastAsia="宋体" w:cs="宋体"/>
          <w:color w:val="auto"/>
          <w:sz w:val="24"/>
          <w:szCs w:val="24"/>
          <w:lang w:eastAsia="zh-CN"/>
        </w:rPr>
        <w:br w:type="page"/>
      </w:r>
      <w:bookmarkStart w:id="178" w:name="_Toc12965"/>
      <w:r>
        <w:rPr>
          <w:rFonts w:hint="eastAsia" w:ascii="宋体" w:hAnsi="宋体" w:eastAsia="宋体" w:cs="宋体"/>
          <w:color w:val="auto"/>
          <w:spacing w:val="-9"/>
          <w:sz w:val="24"/>
          <w:szCs w:val="24"/>
          <w:lang w:eastAsia="zh-CN"/>
        </w:rPr>
        <w:t>附件1：政府采购促进中小企业发展管理办法</w:t>
      </w:r>
      <w:bookmarkEnd w:id="162"/>
      <w:bookmarkEnd w:id="163"/>
      <w:bookmarkEnd w:id="178"/>
    </w:p>
    <w:p w14:paraId="047C4272">
      <w:pPr>
        <w:spacing w:line="560" w:lineRule="exact"/>
        <w:jc w:val="center"/>
        <w:rPr>
          <w:rFonts w:hint="eastAsia" w:ascii="宋体" w:hAnsi="宋体" w:eastAsia="宋体" w:cs="宋体"/>
          <w:b/>
          <w:bCs/>
          <w:color w:val="auto"/>
          <w:spacing w:val="-9"/>
          <w:sz w:val="24"/>
          <w:szCs w:val="24"/>
          <w:lang w:eastAsia="zh-CN"/>
        </w:rPr>
      </w:pPr>
      <w:r>
        <w:rPr>
          <w:rFonts w:hint="eastAsia" w:ascii="宋体" w:hAnsi="宋体" w:eastAsia="宋体" w:cs="宋体"/>
          <w:b/>
          <w:bCs/>
          <w:color w:val="auto"/>
          <w:spacing w:val="-9"/>
          <w:sz w:val="24"/>
          <w:szCs w:val="24"/>
          <w:lang w:eastAsia="zh-CN"/>
        </w:rPr>
        <w:t>政府采购促进中小企业发展管理办法</w:t>
      </w:r>
    </w:p>
    <w:p w14:paraId="2E0DCDE8">
      <w:pPr>
        <w:spacing w:line="560" w:lineRule="exact"/>
        <w:ind w:firstLine="700"/>
        <w:rPr>
          <w:rFonts w:hint="eastAsia" w:ascii="宋体" w:hAnsi="宋体" w:eastAsia="宋体" w:cs="宋体"/>
          <w:color w:val="auto"/>
          <w:spacing w:val="8"/>
          <w:sz w:val="24"/>
          <w:szCs w:val="24"/>
          <w:lang w:eastAsia="zh-CN"/>
        </w:rPr>
      </w:pPr>
      <w:r>
        <w:rPr>
          <w:rFonts w:hint="eastAsia" w:ascii="宋体" w:hAnsi="宋体" w:eastAsia="宋体" w:cs="宋体"/>
          <w:color w:val="auto"/>
          <w:spacing w:val="6"/>
          <w:sz w:val="24"/>
          <w:szCs w:val="24"/>
          <w:lang w:eastAsia="zh-CN"/>
        </w:rPr>
        <w:t>第一条  为了发挥政府采购的政策功能，</w:t>
      </w:r>
      <w:r>
        <w:rPr>
          <w:rFonts w:hint="eastAsia" w:ascii="宋体" w:hAnsi="宋体" w:eastAsia="宋体" w:cs="宋体"/>
          <w:color w:val="auto"/>
          <w:spacing w:val="5"/>
          <w:sz w:val="24"/>
          <w:szCs w:val="24"/>
          <w:lang w:eastAsia="zh-CN"/>
        </w:rPr>
        <w:t>促进中小企业</w:t>
      </w:r>
      <w:r>
        <w:rPr>
          <w:rFonts w:hint="eastAsia" w:ascii="宋体" w:hAnsi="宋体" w:eastAsia="宋体" w:cs="宋体"/>
          <w:color w:val="auto"/>
          <w:spacing w:val="-3"/>
          <w:sz w:val="24"/>
          <w:szCs w:val="24"/>
          <w:lang w:eastAsia="zh-CN"/>
        </w:rPr>
        <w:t>健康发展，根据《中华人民共和国政府采购法</w:t>
      </w:r>
      <w:r>
        <w:rPr>
          <w:rFonts w:hint="eastAsia" w:ascii="宋体" w:hAnsi="宋体" w:eastAsia="宋体" w:cs="宋体"/>
          <w:color w:val="auto"/>
          <w:spacing w:val="-4"/>
          <w:sz w:val="24"/>
          <w:szCs w:val="24"/>
          <w:lang w:eastAsia="zh-CN"/>
        </w:rPr>
        <w:t>》、《中华人民</w:t>
      </w:r>
      <w:r>
        <w:rPr>
          <w:rFonts w:hint="eastAsia" w:ascii="宋体" w:hAnsi="宋体" w:eastAsia="宋体" w:cs="宋体"/>
          <w:color w:val="auto"/>
          <w:spacing w:val="8"/>
          <w:sz w:val="24"/>
          <w:szCs w:val="24"/>
          <w:lang w:eastAsia="zh-CN"/>
        </w:rPr>
        <w:t>共和国中小企业促进法》等有关法律法规，制定本办法。</w:t>
      </w:r>
    </w:p>
    <w:p w14:paraId="62A1037D">
      <w:pPr>
        <w:spacing w:line="560" w:lineRule="exact"/>
        <w:ind w:firstLine="700"/>
        <w:rPr>
          <w:rFonts w:hint="eastAsia" w:ascii="宋体" w:hAnsi="宋体" w:eastAsia="宋体" w:cs="宋体"/>
          <w:color w:val="auto"/>
          <w:sz w:val="24"/>
          <w:szCs w:val="24"/>
          <w:lang w:eastAsia="zh-CN"/>
        </w:rPr>
      </w:pPr>
      <w:r>
        <w:rPr>
          <w:rFonts w:hint="eastAsia" w:ascii="宋体" w:hAnsi="宋体" w:eastAsia="宋体" w:cs="宋体"/>
          <w:color w:val="auto"/>
          <w:spacing w:val="5"/>
          <w:sz w:val="24"/>
          <w:szCs w:val="24"/>
          <w:lang w:eastAsia="zh-CN"/>
        </w:rPr>
        <w:t>第二条  本办法所称中小企业，是指在中华人民共和国</w:t>
      </w:r>
      <w:r>
        <w:rPr>
          <w:rFonts w:hint="eastAsia" w:ascii="宋体" w:hAnsi="宋体" w:eastAsia="宋体" w:cs="宋体"/>
          <w:color w:val="auto"/>
          <w:spacing w:val="8"/>
          <w:sz w:val="24"/>
          <w:szCs w:val="24"/>
          <w:lang w:eastAsia="zh-CN"/>
        </w:rPr>
        <w:t>境内依法设立，依据国务院批准的中小企业划分标准确定的中型企业、小型企业和微型企业，但与大企业的负责人为同一人，或者与大企业存在直接控股、管理关系的除外。</w:t>
      </w:r>
    </w:p>
    <w:p w14:paraId="560FB3D1">
      <w:pPr>
        <w:spacing w:line="560" w:lineRule="exact"/>
        <w:jc w:val="right"/>
        <w:rPr>
          <w:rFonts w:hint="eastAsia" w:ascii="宋体" w:hAnsi="宋体" w:eastAsia="宋体" w:cs="宋体"/>
          <w:color w:val="auto"/>
          <w:sz w:val="24"/>
          <w:szCs w:val="24"/>
          <w:lang w:eastAsia="zh-CN"/>
        </w:rPr>
      </w:pPr>
      <w:r>
        <w:rPr>
          <w:rFonts w:hint="eastAsia" w:ascii="宋体" w:hAnsi="宋体" w:eastAsia="宋体" w:cs="宋体"/>
          <w:color w:val="auto"/>
          <w:spacing w:val="8"/>
          <w:position w:val="15"/>
          <w:sz w:val="24"/>
          <w:szCs w:val="24"/>
          <w:lang w:eastAsia="zh-CN"/>
        </w:rPr>
        <w:t>符合中小企业划分标准的个体工商户，在政府采购活动</w:t>
      </w:r>
    </w:p>
    <w:p w14:paraId="337237DC">
      <w:pPr>
        <w:spacing w:line="560" w:lineRule="exact"/>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中视同中小企业。</w:t>
      </w:r>
    </w:p>
    <w:p w14:paraId="3FD5D215">
      <w:pPr>
        <w:spacing w:line="560" w:lineRule="exact"/>
        <w:ind w:firstLine="699"/>
        <w:rPr>
          <w:rFonts w:hint="eastAsia" w:ascii="宋体" w:hAnsi="宋体" w:eastAsia="宋体" w:cs="宋体"/>
          <w:color w:val="auto"/>
          <w:sz w:val="24"/>
          <w:szCs w:val="24"/>
          <w:lang w:eastAsia="zh-CN"/>
        </w:rPr>
      </w:pPr>
      <w:r>
        <w:rPr>
          <w:rFonts w:hint="eastAsia" w:ascii="宋体" w:hAnsi="宋体" w:eastAsia="宋体" w:cs="宋体"/>
          <w:color w:val="auto"/>
          <w:spacing w:val="19"/>
          <w:sz w:val="24"/>
          <w:szCs w:val="24"/>
          <w:lang w:eastAsia="zh-CN"/>
        </w:rPr>
        <w:t>第三条  采购人在政府采购活动中应当通过</w:t>
      </w:r>
      <w:r>
        <w:rPr>
          <w:rFonts w:hint="eastAsia" w:ascii="宋体" w:hAnsi="宋体" w:eastAsia="宋体" w:cs="宋体"/>
          <w:color w:val="auto"/>
          <w:spacing w:val="18"/>
          <w:sz w:val="24"/>
          <w:szCs w:val="24"/>
          <w:lang w:eastAsia="zh-CN"/>
        </w:rPr>
        <w:t>加强采购</w:t>
      </w:r>
      <w:r>
        <w:rPr>
          <w:rFonts w:hint="eastAsia" w:ascii="宋体" w:hAnsi="宋体" w:eastAsia="宋体" w:cs="宋体"/>
          <w:color w:val="auto"/>
          <w:spacing w:val="8"/>
          <w:sz w:val="24"/>
          <w:szCs w:val="24"/>
          <w:lang w:eastAsia="zh-CN"/>
        </w:rPr>
        <w:t>需求管理，落实预留采购份额、价格评审优惠、优先采购等措施，提高中小企业在政府采购中的份额，支持中小企业发</w:t>
      </w:r>
      <w:r>
        <w:rPr>
          <w:rFonts w:hint="eastAsia" w:ascii="宋体" w:hAnsi="宋体" w:eastAsia="宋体" w:cs="宋体"/>
          <w:color w:val="auto"/>
          <w:spacing w:val="-7"/>
          <w:sz w:val="24"/>
          <w:szCs w:val="24"/>
          <w:lang w:eastAsia="zh-CN"/>
        </w:rPr>
        <w:t>展。</w:t>
      </w:r>
    </w:p>
    <w:p w14:paraId="08E93D55">
      <w:pPr>
        <w:spacing w:line="560" w:lineRule="exact"/>
        <w:ind w:firstLine="694"/>
        <w:rPr>
          <w:rFonts w:hint="eastAsia" w:ascii="宋体" w:hAnsi="宋体" w:eastAsia="宋体" w:cs="宋体"/>
          <w:color w:val="auto"/>
          <w:sz w:val="24"/>
          <w:szCs w:val="24"/>
          <w:lang w:eastAsia="zh-CN"/>
        </w:rPr>
      </w:pPr>
      <w:r>
        <w:rPr>
          <w:rFonts w:hint="eastAsia" w:ascii="宋体" w:hAnsi="宋体" w:eastAsia="宋体" w:cs="宋体"/>
          <w:color w:val="auto"/>
          <w:spacing w:val="5"/>
          <w:sz w:val="24"/>
          <w:szCs w:val="24"/>
          <w:lang w:eastAsia="zh-CN"/>
        </w:rPr>
        <w:t>第四条  在政府采购活动中，供应商提供的货物、工程</w:t>
      </w:r>
      <w:r>
        <w:rPr>
          <w:rFonts w:hint="eastAsia" w:ascii="宋体" w:hAnsi="宋体" w:eastAsia="宋体" w:cs="宋体"/>
          <w:color w:val="auto"/>
          <w:spacing w:val="8"/>
          <w:sz w:val="24"/>
          <w:szCs w:val="24"/>
          <w:lang w:eastAsia="zh-CN"/>
        </w:rPr>
        <w:t>或者服务符合下列情形的，享受本办法规定的中小企业扶持</w:t>
      </w:r>
      <w:r>
        <w:rPr>
          <w:rFonts w:hint="eastAsia" w:ascii="宋体" w:hAnsi="宋体" w:eastAsia="宋体" w:cs="宋体"/>
          <w:color w:val="auto"/>
          <w:spacing w:val="-2"/>
          <w:sz w:val="24"/>
          <w:szCs w:val="24"/>
          <w:lang w:eastAsia="zh-CN"/>
        </w:rPr>
        <w:t>政策：</w:t>
      </w:r>
    </w:p>
    <w:p w14:paraId="76E2A737">
      <w:pPr>
        <w:spacing w:line="560" w:lineRule="exact"/>
        <w:ind w:firstLine="500" w:firstLineChars="200"/>
        <w:rPr>
          <w:rFonts w:hint="eastAsia" w:ascii="宋体" w:hAnsi="宋体" w:eastAsia="宋体" w:cs="宋体"/>
          <w:color w:val="auto"/>
          <w:spacing w:val="5"/>
          <w:sz w:val="24"/>
          <w:szCs w:val="24"/>
          <w:lang w:eastAsia="zh-CN"/>
        </w:rPr>
      </w:pPr>
      <w:r>
        <w:rPr>
          <w:rFonts w:hint="eastAsia" w:ascii="宋体" w:hAnsi="宋体" w:eastAsia="宋体" w:cs="宋体"/>
          <w:color w:val="auto"/>
          <w:spacing w:val="5"/>
          <w:sz w:val="24"/>
          <w:szCs w:val="24"/>
          <w:lang w:eastAsia="zh-CN"/>
        </w:rPr>
        <w:t>（一）在货物采购项目中，货物由中小企业制造，即货</w:t>
      </w:r>
    </w:p>
    <w:p w14:paraId="7035D1CD">
      <w:pPr>
        <w:spacing w:line="560" w:lineRule="exact"/>
        <w:rPr>
          <w:rFonts w:hint="eastAsia" w:ascii="宋体" w:hAnsi="宋体" w:eastAsia="宋体" w:cs="宋体"/>
          <w:color w:val="auto"/>
          <w:spacing w:val="5"/>
          <w:sz w:val="24"/>
          <w:szCs w:val="24"/>
          <w:lang w:eastAsia="zh-CN"/>
        </w:rPr>
      </w:pPr>
      <w:r>
        <w:rPr>
          <w:rFonts w:hint="eastAsia" w:ascii="宋体" w:hAnsi="宋体" w:eastAsia="宋体" w:cs="宋体"/>
          <w:color w:val="auto"/>
          <w:spacing w:val="5"/>
          <w:sz w:val="24"/>
          <w:szCs w:val="24"/>
          <w:lang w:eastAsia="zh-CN"/>
        </w:rPr>
        <w:t>物由中小企业生产且使用该中小企业商号或者注册商标；</w:t>
      </w:r>
    </w:p>
    <w:p w14:paraId="5BBEAA2B">
      <w:pPr>
        <w:spacing w:line="560" w:lineRule="exact"/>
        <w:ind w:firstLine="500" w:firstLineChars="200"/>
        <w:rPr>
          <w:rFonts w:hint="eastAsia" w:ascii="宋体" w:hAnsi="宋体" w:eastAsia="宋体" w:cs="宋体"/>
          <w:color w:val="auto"/>
          <w:spacing w:val="5"/>
          <w:sz w:val="24"/>
          <w:szCs w:val="24"/>
          <w:lang w:eastAsia="zh-CN"/>
        </w:rPr>
      </w:pPr>
      <w:r>
        <w:rPr>
          <w:rFonts w:hint="eastAsia" w:ascii="宋体" w:hAnsi="宋体" w:eastAsia="宋体" w:cs="宋体"/>
          <w:color w:val="auto"/>
          <w:spacing w:val="5"/>
          <w:sz w:val="24"/>
          <w:szCs w:val="24"/>
          <w:lang w:eastAsia="zh-CN"/>
        </w:rPr>
        <w:t>（二）在工程采购项目中，工程由中小企业承建，即工</w:t>
      </w:r>
    </w:p>
    <w:p w14:paraId="3C9327D6">
      <w:pPr>
        <w:spacing w:line="560" w:lineRule="exact"/>
        <w:rPr>
          <w:rFonts w:hint="eastAsia" w:ascii="宋体" w:hAnsi="宋体" w:eastAsia="宋体" w:cs="宋体"/>
          <w:color w:val="auto"/>
          <w:spacing w:val="5"/>
          <w:sz w:val="24"/>
          <w:szCs w:val="24"/>
          <w:lang w:eastAsia="zh-CN"/>
        </w:rPr>
      </w:pPr>
      <w:r>
        <w:rPr>
          <w:rFonts w:hint="eastAsia" w:ascii="宋体" w:hAnsi="宋体" w:eastAsia="宋体" w:cs="宋体"/>
          <w:color w:val="auto"/>
          <w:spacing w:val="5"/>
          <w:sz w:val="24"/>
          <w:szCs w:val="24"/>
          <w:lang w:eastAsia="zh-CN"/>
        </w:rPr>
        <w:t>程施工单位为中小企业；</w:t>
      </w:r>
    </w:p>
    <w:p w14:paraId="746C0C03">
      <w:pPr>
        <w:spacing w:line="560" w:lineRule="exact"/>
        <w:ind w:firstLine="694"/>
        <w:rPr>
          <w:rFonts w:hint="eastAsia" w:ascii="宋体" w:hAnsi="宋体" w:eastAsia="宋体" w:cs="宋体"/>
          <w:color w:val="auto"/>
          <w:spacing w:val="5"/>
          <w:sz w:val="24"/>
          <w:szCs w:val="24"/>
          <w:lang w:eastAsia="zh-CN"/>
        </w:rPr>
      </w:pPr>
      <w:r>
        <w:rPr>
          <w:rFonts w:hint="eastAsia" w:ascii="宋体" w:hAnsi="宋体" w:eastAsia="宋体" w:cs="宋体"/>
          <w:color w:val="auto"/>
          <w:spacing w:val="5"/>
          <w:sz w:val="24"/>
          <w:szCs w:val="24"/>
          <w:lang w:eastAsia="zh-CN"/>
        </w:rPr>
        <w:t>（三）在服务采购项目中，服务由中小企业承接，即提供服务的人员为中小企业依照《中华人民共和国劳动合同法》订立劳动合同的从业人员。</w:t>
      </w:r>
    </w:p>
    <w:p w14:paraId="7015D608">
      <w:pPr>
        <w:spacing w:line="560" w:lineRule="exact"/>
        <w:ind w:firstLine="694"/>
        <w:rPr>
          <w:rFonts w:hint="eastAsia" w:ascii="宋体" w:hAnsi="宋体" w:eastAsia="宋体" w:cs="宋体"/>
          <w:color w:val="auto"/>
          <w:spacing w:val="5"/>
          <w:sz w:val="24"/>
          <w:szCs w:val="24"/>
          <w:lang w:eastAsia="zh-CN"/>
        </w:rPr>
      </w:pPr>
      <w:r>
        <w:rPr>
          <w:rFonts w:hint="eastAsia" w:ascii="宋体" w:hAnsi="宋体" w:eastAsia="宋体" w:cs="宋体"/>
          <w:color w:val="auto"/>
          <w:spacing w:val="5"/>
          <w:sz w:val="24"/>
          <w:szCs w:val="24"/>
          <w:lang w:eastAsia="zh-CN"/>
        </w:rPr>
        <w:t>在货物采购项目中，供应商提供的货物既有中小企业制造货物，也有大型企业制造货物的，不享受本办法规定的中小企业扶持政策。</w:t>
      </w:r>
    </w:p>
    <w:p w14:paraId="10C0F65B">
      <w:pPr>
        <w:spacing w:line="560" w:lineRule="exact"/>
        <w:ind w:firstLine="694"/>
        <w:rPr>
          <w:rFonts w:hint="eastAsia" w:ascii="宋体" w:hAnsi="宋体" w:eastAsia="宋体" w:cs="宋体"/>
          <w:color w:val="auto"/>
          <w:sz w:val="24"/>
          <w:szCs w:val="24"/>
          <w:lang w:eastAsia="zh-CN"/>
        </w:rPr>
      </w:pPr>
      <w:r>
        <w:rPr>
          <w:rFonts w:hint="eastAsia" w:ascii="宋体" w:hAnsi="宋体" w:eastAsia="宋体" w:cs="宋体"/>
          <w:color w:val="auto"/>
          <w:spacing w:val="5"/>
          <w:sz w:val="24"/>
          <w:szCs w:val="24"/>
          <w:lang w:eastAsia="zh-CN"/>
        </w:rPr>
        <w:t>以联合体形式参加政府采购活动，联合体各方均为中小企业的，联合体视同中小企业。其中，联合体各方</w:t>
      </w:r>
      <w:r>
        <w:rPr>
          <w:rFonts w:hint="eastAsia" w:ascii="宋体" w:hAnsi="宋体" w:eastAsia="宋体" w:cs="宋体"/>
          <w:color w:val="auto"/>
          <w:spacing w:val="8"/>
          <w:sz w:val="24"/>
          <w:szCs w:val="24"/>
          <w:lang w:eastAsia="zh-CN"/>
        </w:rPr>
        <w:t>均为小微</w:t>
      </w:r>
      <w:r>
        <w:rPr>
          <w:rFonts w:hint="eastAsia" w:ascii="宋体" w:hAnsi="宋体" w:eastAsia="宋体" w:cs="宋体"/>
          <w:color w:val="auto"/>
          <w:spacing w:val="7"/>
          <w:sz w:val="24"/>
          <w:szCs w:val="24"/>
          <w:lang w:eastAsia="zh-CN"/>
        </w:rPr>
        <w:t>企业的，联合体视同小微企业。</w:t>
      </w:r>
    </w:p>
    <w:p w14:paraId="55B7C7DD">
      <w:pPr>
        <w:spacing w:line="560" w:lineRule="exact"/>
        <w:ind w:firstLine="699"/>
        <w:rPr>
          <w:rFonts w:hint="eastAsia" w:ascii="宋体" w:hAnsi="宋体" w:eastAsia="宋体" w:cs="宋体"/>
          <w:color w:val="auto"/>
          <w:sz w:val="24"/>
          <w:szCs w:val="24"/>
          <w:lang w:eastAsia="zh-CN"/>
        </w:rPr>
      </w:pPr>
      <w:r>
        <w:rPr>
          <w:rFonts w:hint="eastAsia" w:ascii="宋体" w:hAnsi="宋体" w:eastAsia="宋体" w:cs="宋体"/>
          <w:color w:val="auto"/>
          <w:spacing w:val="19"/>
          <w:sz w:val="24"/>
          <w:szCs w:val="24"/>
          <w:lang w:eastAsia="zh-CN"/>
        </w:rPr>
        <w:t>第五条  采购人在政府采购活动中应当合理</w:t>
      </w:r>
      <w:r>
        <w:rPr>
          <w:rFonts w:hint="eastAsia" w:ascii="宋体" w:hAnsi="宋体" w:eastAsia="宋体" w:cs="宋体"/>
          <w:color w:val="auto"/>
          <w:spacing w:val="18"/>
          <w:sz w:val="24"/>
          <w:szCs w:val="24"/>
          <w:lang w:eastAsia="zh-CN"/>
        </w:rPr>
        <w:t>确定采购</w:t>
      </w:r>
      <w:r>
        <w:rPr>
          <w:rFonts w:hint="eastAsia" w:ascii="宋体" w:hAnsi="宋体" w:eastAsia="宋体" w:cs="宋体"/>
          <w:color w:val="auto"/>
          <w:spacing w:val="8"/>
          <w:sz w:val="24"/>
          <w:szCs w:val="24"/>
          <w:lang w:eastAsia="zh-CN"/>
        </w:rPr>
        <w:t>项目的采购需求，不得以企业注册资本、资产总额、营业收入、从业人员、利润、纳税额等规模条件和财务指标作为供应商的资格要求或者评审因素，不得在企业股权结构、经营年限等方面对中小企业实行差别待遇或者歧视待遇。</w:t>
      </w:r>
    </w:p>
    <w:p w14:paraId="067B5C14">
      <w:pPr>
        <w:spacing w:line="560" w:lineRule="exact"/>
        <w:ind w:firstLine="698"/>
        <w:rPr>
          <w:rFonts w:hint="eastAsia" w:ascii="宋体" w:hAnsi="宋体" w:eastAsia="宋体" w:cs="宋体"/>
          <w:color w:val="auto"/>
          <w:sz w:val="24"/>
          <w:szCs w:val="24"/>
          <w:lang w:eastAsia="zh-CN"/>
        </w:rPr>
      </w:pPr>
      <w:r>
        <w:rPr>
          <w:rFonts w:hint="eastAsia" w:ascii="宋体" w:hAnsi="宋体" w:eastAsia="宋体" w:cs="宋体"/>
          <w:color w:val="auto"/>
          <w:spacing w:val="19"/>
          <w:sz w:val="24"/>
          <w:szCs w:val="24"/>
          <w:lang w:eastAsia="zh-CN"/>
        </w:rPr>
        <w:t>第六条  主管预算单位应当组织评估本部门</w:t>
      </w:r>
      <w:r>
        <w:rPr>
          <w:rFonts w:hint="eastAsia" w:ascii="宋体" w:hAnsi="宋体" w:eastAsia="宋体" w:cs="宋体"/>
          <w:color w:val="auto"/>
          <w:spacing w:val="18"/>
          <w:sz w:val="24"/>
          <w:szCs w:val="24"/>
          <w:lang w:eastAsia="zh-CN"/>
        </w:rPr>
        <w:t>及所属单</w:t>
      </w:r>
      <w:r>
        <w:rPr>
          <w:rFonts w:hint="eastAsia" w:ascii="宋体" w:hAnsi="宋体" w:eastAsia="宋体" w:cs="宋体"/>
          <w:color w:val="auto"/>
          <w:spacing w:val="8"/>
          <w:sz w:val="24"/>
          <w:szCs w:val="24"/>
          <w:lang w:eastAsia="zh-CN"/>
        </w:rPr>
        <w:t>位政府采购项目，统筹制定面向中小企业预留采购份额的具体方案，对适宜由中小企业提供的采购项目和采购包，预留采购份额专门面向中小企业采购，并在政府采购预算中单独</w:t>
      </w:r>
      <w:r>
        <w:rPr>
          <w:rFonts w:hint="eastAsia" w:ascii="宋体" w:hAnsi="宋体" w:eastAsia="宋体" w:cs="宋体"/>
          <w:color w:val="auto"/>
          <w:spacing w:val="-4"/>
          <w:sz w:val="24"/>
          <w:szCs w:val="24"/>
          <w:lang w:eastAsia="zh-CN"/>
        </w:rPr>
        <w:t>列示。</w:t>
      </w:r>
    </w:p>
    <w:p w14:paraId="4588293B">
      <w:pPr>
        <w:spacing w:line="560" w:lineRule="exact"/>
        <w:ind w:firstLine="556" w:firstLineChars="200"/>
        <w:rPr>
          <w:rFonts w:hint="eastAsia" w:ascii="宋体" w:hAnsi="宋体" w:eastAsia="宋体" w:cs="宋体"/>
          <w:color w:val="auto"/>
          <w:spacing w:val="19"/>
          <w:sz w:val="24"/>
          <w:szCs w:val="24"/>
          <w:lang w:eastAsia="zh-CN"/>
        </w:rPr>
      </w:pPr>
      <w:r>
        <w:rPr>
          <w:rFonts w:hint="eastAsia" w:ascii="宋体" w:hAnsi="宋体" w:eastAsia="宋体" w:cs="宋体"/>
          <w:color w:val="auto"/>
          <w:spacing w:val="19"/>
          <w:sz w:val="24"/>
          <w:szCs w:val="24"/>
          <w:lang w:eastAsia="zh-CN"/>
        </w:rPr>
        <w:t>符合下列情形之一的，可不专门面向中小企业预留采购份额：</w:t>
      </w:r>
    </w:p>
    <w:p w14:paraId="13A29E98">
      <w:pPr>
        <w:spacing w:line="560" w:lineRule="exact"/>
        <w:ind w:firstLine="556" w:firstLineChars="200"/>
        <w:rPr>
          <w:rFonts w:hint="eastAsia" w:ascii="宋体" w:hAnsi="宋体" w:eastAsia="宋体" w:cs="宋体"/>
          <w:color w:val="auto"/>
          <w:spacing w:val="19"/>
          <w:sz w:val="24"/>
          <w:szCs w:val="24"/>
          <w:lang w:eastAsia="zh-CN"/>
        </w:rPr>
      </w:pPr>
      <w:r>
        <w:rPr>
          <w:rFonts w:hint="eastAsia" w:ascii="宋体" w:hAnsi="宋体" w:eastAsia="宋体" w:cs="宋体"/>
          <w:color w:val="auto"/>
          <w:spacing w:val="19"/>
          <w:sz w:val="24"/>
          <w:szCs w:val="24"/>
          <w:lang w:eastAsia="zh-CN"/>
        </w:rPr>
        <w:t>（一）法律法规和国家有关政策明确规定优先或者应当面向事业单位、社会组织等非企业主体采购的；</w:t>
      </w:r>
    </w:p>
    <w:p w14:paraId="60AADEBF">
      <w:pPr>
        <w:spacing w:line="560" w:lineRule="exact"/>
        <w:ind w:firstLine="698"/>
        <w:rPr>
          <w:rFonts w:hint="eastAsia" w:ascii="宋体" w:hAnsi="宋体" w:eastAsia="宋体" w:cs="宋体"/>
          <w:color w:val="auto"/>
          <w:spacing w:val="8"/>
          <w:sz w:val="24"/>
          <w:szCs w:val="24"/>
          <w:lang w:eastAsia="zh-CN"/>
        </w:rPr>
      </w:pPr>
      <w:r>
        <w:rPr>
          <w:rFonts w:hint="eastAsia" w:ascii="宋体" w:hAnsi="宋体" w:eastAsia="宋体" w:cs="宋体"/>
          <w:color w:val="auto"/>
          <w:spacing w:val="8"/>
          <w:sz w:val="24"/>
          <w:szCs w:val="24"/>
          <w:lang w:eastAsia="zh-CN"/>
        </w:rPr>
        <w:t>（二）因确需使用不可替代的专利、专有技术，基础设施限制，或者提供特定公共服务等原因，只能从中小企业之外的供应商处采购的；</w:t>
      </w:r>
    </w:p>
    <w:p w14:paraId="163021B4">
      <w:pPr>
        <w:spacing w:line="560" w:lineRule="exact"/>
        <w:ind w:firstLine="698"/>
        <w:rPr>
          <w:rFonts w:hint="eastAsia" w:ascii="宋体" w:hAnsi="宋体" w:eastAsia="宋体" w:cs="宋体"/>
          <w:color w:val="auto"/>
          <w:spacing w:val="8"/>
          <w:sz w:val="24"/>
          <w:szCs w:val="24"/>
          <w:lang w:eastAsia="zh-CN"/>
        </w:rPr>
      </w:pPr>
      <w:r>
        <w:rPr>
          <w:rFonts w:hint="eastAsia" w:ascii="宋体" w:hAnsi="宋体" w:eastAsia="宋体" w:cs="宋体"/>
          <w:color w:val="auto"/>
          <w:spacing w:val="8"/>
          <w:sz w:val="24"/>
          <w:szCs w:val="24"/>
          <w:lang w:eastAsia="zh-CN"/>
        </w:rPr>
        <w:t>（三）按照本办法规定预留采购份额无法确保充分供应、充分竞争，或者存在可能影响政府采购目标实现的情形；</w:t>
      </w:r>
    </w:p>
    <w:p w14:paraId="4F89A179">
      <w:pPr>
        <w:spacing w:line="560" w:lineRule="exact"/>
        <w:ind w:firstLine="698"/>
        <w:rPr>
          <w:rFonts w:hint="eastAsia" w:ascii="宋体" w:hAnsi="宋体" w:eastAsia="宋体" w:cs="宋体"/>
          <w:color w:val="auto"/>
          <w:spacing w:val="8"/>
          <w:sz w:val="24"/>
          <w:szCs w:val="24"/>
          <w:lang w:eastAsia="zh-CN"/>
        </w:rPr>
      </w:pPr>
      <w:r>
        <w:rPr>
          <w:rFonts w:hint="eastAsia" w:ascii="宋体" w:hAnsi="宋体" w:eastAsia="宋体" w:cs="宋体"/>
          <w:color w:val="auto"/>
          <w:spacing w:val="8"/>
          <w:sz w:val="24"/>
          <w:szCs w:val="24"/>
          <w:lang w:eastAsia="zh-CN"/>
        </w:rPr>
        <w:t>（四）框架协议采购项目；</w:t>
      </w:r>
    </w:p>
    <w:p w14:paraId="6E0489CD">
      <w:pPr>
        <w:spacing w:line="560" w:lineRule="exact"/>
        <w:ind w:firstLine="698"/>
        <w:rPr>
          <w:rFonts w:hint="eastAsia" w:ascii="宋体" w:hAnsi="宋体" w:eastAsia="宋体" w:cs="宋体"/>
          <w:color w:val="auto"/>
          <w:spacing w:val="8"/>
          <w:sz w:val="24"/>
          <w:szCs w:val="24"/>
          <w:lang w:eastAsia="zh-CN"/>
        </w:rPr>
      </w:pPr>
      <w:r>
        <w:rPr>
          <w:rFonts w:hint="eastAsia" w:ascii="宋体" w:hAnsi="宋体" w:eastAsia="宋体" w:cs="宋体"/>
          <w:color w:val="auto"/>
          <w:spacing w:val="8"/>
          <w:sz w:val="24"/>
          <w:szCs w:val="24"/>
          <w:lang w:eastAsia="zh-CN"/>
        </w:rPr>
        <w:t>（五）省级以上人民政府财政部门规定的其他情形。</w:t>
      </w:r>
    </w:p>
    <w:p w14:paraId="3F277E6D">
      <w:pPr>
        <w:spacing w:line="560" w:lineRule="exact"/>
        <w:ind w:firstLine="698"/>
        <w:rPr>
          <w:rFonts w:hint="eastAsia" w:ascii="宋体" w:hAnsi="宋体" w:eastAsia="宋体" w:cs="宋体"/>
          <w:color w:val="auto"/>
          <w:spacing w:val="8"/>
          <w:sz w:val="24"/>
          <w:szCs w:val="24"/>
          <w:lang w:eastAsia="zh-CN"/>
        </w:rPr>
      </w:pPr>
      <w:r>
        <w:rPr>
          <w:rFonts w:hint="eastAsia" w:ascii="宋体" w:hAnsi="宋体" w:eastAsia="宋体" w:cs="宋体"/>
          <w:color w:val="auto"/>
          <w:spacing w:val="8"/>
          <w:sz w:val="24"/>
          <w:szCs w:val="24"/>
          <w:lang w:eastAsia="zh-CN"/>
        </w:rPr>
        <w:t>除上述情形外，其他均为适宜由中小企业提供的情形。</w:t>
      </w:r>
    </w:p>
    <w:p w14:paraId="6929E64D">
      <w:pPr>
        <w:spacing w:line="560" w:lineRule="exact"/>
        <w:ind w:firstLine="690"/>
        <w:rPr>
          <w:rFonts w:hint="eastAsia" w:ascii="宋体" w:hAnsi="宋体" w:eastAsia="宋体" w:cs="宋体"/>
          <w:color w:val="auto"/>
          <w:sz w:val="24"/>
          <w:szCs w:val="24"/>
          <w:lang w:eastAsia="zh-CN"/>
        </w:rPr>
      </w:pPr>
      <w:r>
        <w:rPr>
          <w:rFonts w:hint="eastAsia" w:ascii="宋体" w:hAnsi="宋体" w:eastAsia="宋体" w:cs="宋体"/>
          <w:color w:val="auto"/>
          <w:spacing w:val="7"/>
          <w:sz w:val="24"/>
          <w:szCs w:val="24"/>
          <w:lang w:eastAsia="zh-CN"/>
        </w:rPr>
        <w:t>第七条  采购限额标准以上，200</w:t>
      </w:r>
      <w:r>
        <w:rPr>
          <w:rFonts w:hint="eastAsia" w:ascii="宋体" w:hAnsi="宋体" w:eastAsia="宋体" w:cs="宋体"/>
          <w:color w:val="auto"/>
          <w:spacing w:val="-38"/>
          <w:sz w:val="24"/>
          <w:szCs w:val="24"/>
          <w:lang w:eastAsia="zh-CN"/>
        </w:rPr>
        <w:t xml:space="preserve"> </w:t>
      </w:r>
      <w:r>
        <w:rPr>
          <w:rFonts w:hint="eastAsia" w:ascii="宋体" w:hAnsi="宋体" w:eastAsia="宋体" w:cs="宋体"/>
          <w:color w:val="auto"/>
          <w:spacing w:val="7"/>
          <w:sz w:val="24"/>
          <w:szCs w:val="24"/>
          <w:lang w:eastAsia="zh-CN"/>
        </w:rPr>
        <w:t>万元以下的货物和服</w:t>
      </w:r>
      <w:r>
        <w:rPr>
          <w:rFonts w:hint="eastAsia" w:ascii="宋体" w:hAnsi="宋体" w:eastAsia="宋体" w:cs="宋体"/>
          <w:color w:val="auto"/>
          <w:spacing w:val="9"/>
          <w:sz w:val="24"/>
          <w:szCs w:val="24"/>
          <w:lang w:eastAsia="zh-CN"/>
        </w:rPr>
        <w:t>务采购项目、400</w:t>
      </w:r>
      <w:r>
        <w:rPr>
          <w:rFonts w:hint="eastAsia" w:ascii="宋体" w:hAnsi="宋体" w:eastAsia="宋体" w:cs="宋体"/>
          <w:color w:val="auto"/>
          <w:spacing w:val="-31"/>
          <w:sz w:val="24"/>
          <w:szCs w:val="24"/>
          <w:lang w:eastAsia="zh-CN"/>
        </w:rPr>
        <w:t xml:space="preserve"> </w:t>
      </w:r>
      <w:r>
        <w:rPr>
          <w:rFonts w:hint="eastAsia" w:ascii="宋体" w:hAnsi="宋体" w:eastAsia="宋体" w:cs="宋体"/>
          <w:color w:val="auto"/>
          <w:spacing w:val="9"/>
          <w:sz w:val="24"/>
          <w:szCs w:val="24"/>
          <w:lang w:eastAsia="zh-CN"/>
        </w:rPr>
        <w:t>万元以下的工程采购项目，适宜由中小企</w:t>
      </w:r>
      <w:r>
        <w:rPr>
          <w:rFonts w:hint="eastAsia" w:ascii="宋体" w:hAnsi="宋体" w:eastAsia="宋体" w:cs="宋体"/>
          <w:color w:val="auto"/>
          <w:spacing w:val="8"/>
          <w:sz w:val="24"/>
          <w:szCs w:val="24"/>
          <w:lang w:eastAsia="zh-CN"/>
        </w:rPr>
        <w:t>业提供的，采购人应当专门面向中小企业采购。</w:t>
      </w:r>
    </w:p>
    <w:p w14:paraId="0774F57D">
      <w:pPr>
        <w:spacing w:line="560" w:lineRule="exact"/>
        <w:ind w:firstLine="710"/>
        <w:rPr>
          <w:rFonts w:hint="eastAsia" w:ascii="宋体" w:hAnsi="宋体" w:eastAsia="宋体" w:cs="宋体"/>
          <w:color w:val="auto"/>
          <w:sz w:val="24"/>
          <w:szCs w:val="24"/>
          <w:lang w:eastAsia="zh-CN"/>
        </w:rPr>
      </w:pPr>
      <w:r>
        <w:rPr>
          <w:rFonts w:hint="eastAsia" w:ascii="宋体" w:hAnsi="宋体" w:eastAsia="宋体" w:cs="宋体"/>
          <w:color w:val="auto"/>
          <w:spacing w:val="15"/>
          <w:sz w:val="24"/>
          <w:szCs w:val="24"/>
          <w:lang w:eastAsia="zh-CN"/>
        </w:rPr>
        <w:t>第八条  超过</w:t>
      </w:r>
      <w:r>
        <w:rPr>
          <w:rFonts w:hint="eastAsia" w:ascii="宋体" w:hAnsi="宋体" w:eastAsia="宋体" w:cs="宋体"/>
          <w:color w:val="auto"/>
          <w:spacing w:val="-37"/>
          <w:sz w:val="24"/>
          <w:szCs w:val="24"/>
          <w:lang w:eastAsia="zh-CN"/>
        </w:rPr>
        <w:t xml:space="preserve"> </w:t>
      </w:r>
      <w:r>
        <w:rPr>
          <w:rFonts w:hint="eastAsia" w:ascii="宋体" w:hAnsi="宋体" w:eastAsia="宋体" w:cs="宋体"/>
          <w:color w:val="auto"/>
          <w:spacing w:val="15"/>
          <w:sz w:val="24"/>
          <w:szCs w:val="24"/>
          <w:lang w:eastAsia="zh-CN"/>
        </w:rPr>
        <w:t>200</w:t>
      </w:r>
      <w:r>
        <w:rPr>
          <w:rFonts w:hint="eastAsia" w:ascii="宋体" w:hAnsi="宋体" w:eastAsia="宋体" w:cs="宋体"/>
          <w:color w:val="auto"/>
          <w:spacing w:val="-41"/>
          <w:sz w:val="24"/>
          <w:szCs w:val="24"/>
          <w:lang w:eastAsia="zh-CN"/>
        </w:rPr>
        <w:t xml:space="preserve"> </w:t>
      </w:r>
      <w:r>
        <w:rPr>
          <w:rFonts w:hint="eastAsia" w:ascii="宋体" w:hAnsi="宋体" w:eastAsia="宋体" w:cs="宋体"/>
          <w:color w:val="auto"/>
          <w:spacing w:val="15"/>
          <w:sz w:val="24"/>
          <w:szCs w:val="24"/>
          <w:lang w:eastAsia="zh-CN"/>
        </w:rPr>
        <w:t>万元的货物和服务采购项目、超过</w:t>
      </w:r>
      <w:r>
        <w:rPr>
          <w:rFonts w:hint="eastAsia" w:ascii="宋体" w:hAnsi="宋体" w:eastAsia="宋体" w:cs="宋体"/>
          <w:color w:val="auto"/>
          <w:spacing w:val="10"/>
          <w:sz w:val="24"/>
          <w:szCs w:val="24"/>
          <w:lang w:eastAsia="zh-CN"/>
        </w:rPr>
        <w:t>400</w:t>
      </w:r>
      <w:r>
        <w:rPr>
          <w:rFonts w:hint="eastAsia" w:ascii="宋体" w:hAnsi="宋体" w:eastAsia="宋体" w:cs="宋体"/>
          <w:color w:val="auto"/>
          <w:spacing w:val="-38"/>
          <w:sz w:val="24"/>
          <w:szCs w:val="24"/>
          <w:lang w:eastAsia="zh-CN"/>
        </w:rPr>
        <w:t xml:space="preserve"> </w:t>
      </w:r>
      <w:r>
        <w:rPr>
          <w:rFonts w:hint="eastAsia" w:ascii="宋体" w:hAnsi="宋体" w:eastAsia="宋体" w:cs="宋体"/>
          <w:color w:val="auto"/>
          <w:spacing w:val="10"/>
          <w:sz w:val="24"/>
          <w:szCs w:val="24"/>
          <w:lang w:eastAsia="zh-CN"/>
        </w:rPr>
        <w:t>万元的工程采购项目中适宜由中小企业提供的，预留该</w:t>
      </w:r>
      <w:r>
        <w:rPr>
          <w:rFonts w:hint="eastAsia" w:ascii="宋体" w:hAnsi="宋体" w:eastAsia="宋体" w:cs="宋体"/>
          <w:color w:val="auto"/>
          <w:spacing w:val="11"/>
          <w:sz w:val="24"/>
          <w:szCs w:val="24"/>
          <w:lang w:eastAsia="zh-CN"/>
        </w:rPr>
        <w:t>部分采购项目预算总额的</w:t>
      </w:r>
      <w:r>
        <w:rPr>
          <w:rFonts w:hint="eastAsia" w:ascii="宋体" w:hAnsi="宋体" w:eastAsia="宋体" w:cs="宋体"/>
          <w:color w:val="auto"/>
          <w:spacing w:val="-55"/>
          <w:sz w:val="24"/>
          <w:szCs w:val="24"/>
          <w:lang w:eastAsia="zh-CN"/>
        </w:rPr>
        <w:t xml:space="preserve"> </w:t>
      </w:r>
      <w:r>
        <w:rPr>
          <w:rFonts w:hint="eastAsia" w:ascii="宋体" w:hAnsi="宋体" w:eastAsia="宋体" w:cs="宋体"/>
          <w:color w:val="auto"/>
          <w:spacing w:val="11"/>
          <w:sz w:val="24"/>
          <w:szCs w:val="24"/>
          <w:lang w:eastAsia="zh-CN"/>
        </w:rPr>
        <w:t>30%以上专门面向</w:t>
      </w:r>
      <w:r>
        <w:rPr>
          <w:rFonts w:hint="eastAsia" w:ascii="宋体" w:hAnsi="宋体" w:eastAsia="宋体" w:cs="宋体"/>
          <w:color w:val="auto"/>
          <w:spacing w:val="10"/>
          <w:sz w:val="24"/>
          <w:szCs w:val="24"/>
          <w:lang w:eastAsia="zh-CN"/>
        </w:rPr>
        <w:t>中小企业采购，</w:t>
      </w:r>
      <w:r>
        <w:rPr>
          <w:rFonts w:hint="eastAsia" w:ascii="宋体" w:hAnsi="宋体" w:eastAsia="宋体" w:cs="宋体"/>
          <w:color w:val="auto"/>
          <w:spacing w:val="11"/>
          <w:sz w:val="24"/>
          <w:szCs w:val="24"/>
          <w:lang w:eastAsia="zh-CN"/>
        </w:rPr>
        <w:t>其中预留给小微企业的比例不低于</w:t>
      </w:r>
      <w:r>
        <w:rPr>
          <w:rFonts w:hint="eastAsia" w:ascii="宋体" w:hAnsi="宋体" w:eastAsia="宋体" w:cs="宋体"/>
          <w:color w:val="auto"/>
          <w:spacing w:val="-59"/>
          <w:sz w:val="24"/>
          <w:szCs w:val="24"/>
          <w:lang w:eastAsia="zh-CN"/>
        </w:rPr>
        <w:t xml:space="preserve"> </w:t>
      </w:r>
      <w:r>
        <w:rPr>
          <w:rFonts w:hint="eastAsia" w:ascii="宋体" w:hAnsi="宋体" w:eastAsia="宋体" w:cs="宋体"/>
          <w:color w:val="auto"/>
          <w:spacing w:val="11"/>
          <w:sz w:val="24"/>
          <w:szCs w:val="24"/>
          <w:lang w:eastAsia="zh-CN"/>
        </w:rPr>
        <w:t>60%。预留份额通</w:t>
      </w:r>
      <w:r>
        <w:rPr>
          <w:rFonts w:hint="eastAsia" w:ascii="宋体" w:hAnsi="宋体" w:eastAsia="宋体" w:cs="宋体"/>
          <w:color w:val="auto"/>
          <w:spacing w:val="10"/>
          <w:sz w:val="24"/>
          <w:szCs w:val="24"/>
          <w:lang w:eastAsia="zh-CN"/>
        </w:rPr>
        <w:t>过下列</w:t>
      </w:r>
      <w:r>
        <w:rPr>
          <w:rFonts w:hint="eastAsia" w:ascii="宋体" w:hAnsi="宋体" w:eastAsia="宋体" w:cs="宋体"/>
          <w:color w:val="auto"/>
          <w:spacing w:val="3"/>
          <w:sz w:val="24"/>
          <w:szCs w:val="24"/>
          <w:lang w:eastAsia="zh-CN"/>
        </w:rPr>
        <w:t>措施进行：</w:t>
      </w:r>
    </w:p>
    <w:p w14:paraId="2CFA63E6">
      <w:pPr>
        <w:spacing w:line="560" w:lineRule="exact"/>
        <w:ind w:firstLine="520" w:firstLineChars="200"/>
        <w:rPr>
          <w:rFonts w:hint="eastAsia" w:ascii="宋体" w:hAnsi="宋体" w:eastAsia="宋体" w:cs="宋体"/>
          <w:color w:val="auto"/>
          <w:spacing w:val="10"/>
          <w:sz w:val="24"/>
          <w:szCs w:val="24"/>
          <w:lang w:eastAsia="zh-CN"/>
        </w:rPr>
      </w:pPr>
      <w:r>
        <w:rPr>
          <w:rFonts w:hint="eastAsia" w:ascii="宋体" w:hAnsi="宋体" w:eastAsia="宋体" w:cs="宋体"/>
          <w:color w:val="auto"/>
          <w:spacing w:val="10"/>
          <w:sz w:val="24"/>
          <w:szCs w:val="24"/>
          <w:lang w:eastAsia="zh-CN"/>
        </w:rPr>
        <w:t>（一）将采购项目整体或者设置采购包专门面向中小企业采购；</w:t>
      </w:r>
    </w:p>
    <w:p w14:paraId="1CD73DD5">
      <w:pPr>
        <w:spacing w:line="560" w:lineRule="exact"/>
        <w:ind w:firstLine="520" w:firstLineChars="200"/>
        <w:rPr>
          <w:rFonts w:hint="eastAsia" w:ascii="宋体" w:hAnsi="宋体" w:eastAsia="宋体" w:cs="宋体"/>
          <w:color w:val="auto"/>
          <w:spacing w:val="10"/>
          <w:sz w:val="24"/>
          <w:szCs w:val="24"/>
          <w:lang w:eastAsia="zh-CN"/>
        </w:rPr>
      </w:pPr>
      <w:r>
        <w:rPr>
          <w:rFonts w:hint="eastAsia" w:ascii="宋体" w:hAnsi="宋体" w:eastAsia="宋体" w:cs="宋体"/>
          <w:color w:val="auto"/>
          <w:spacing w:val="10"/>
          <w:sz w:val="24"/>
          <w:szCs w:val="24"/>
          <w:lang w:eastAsia="zh-CN"/>
        </w:rPr>
        <w:t>（二）要求供应商以联合体形式参加采购活动，且联合体中中小企业承担的部分达到一定比例；</w:t>
      </w:r>
    </w:p>
    <w:p w14:paraId="086BCE9A">
      <w:pPr>
        <w:spacing w:line="560" w:lineRule="exact"/>
        <w:ind w:firstLine="520" w:firstLineChars="200"/>
        <w:rPr>
          <w:rFonts w:hint="eastAsia" w:ascii="宋体" w:hAnsi="宋体" w:eastAsia="宋体" w:cs="宋体"/>
          <w:color w:val="auto"/>
          <w:spacing w:val="10"/>
          <w:sz w:val="24"/>
          <w:szCs w:val="24"/>
          <w:lang w:eastAsia="zh-CN"/>
        </w:rPr>
      </w:pPr>
      <w:r>
        <w:rPr>
          <w:rFonts w:hint="eastAsia" w:ascii="宋体" w:hAnsi="宋体" w:eastAsia="宋体" w:cs="宋体"/>
          <w:color w:val="auto"/>
          <w:spacing w:val="10"/>
          <w:sz w:val="24"/>
          <w:szCs w:val="24"/>
          <w:lang w:eastAsia="zh-CN"/>
        </w:rPr>
        <w:t>（三）要求获得采购合同的供应商将采购项目中的一定比例分包给一家或者多家中小企业。组成联合体或者接受分包合同的中小企业与联合体内其他企业、分包企业之间不得存在直接控股、管理关系。</w:t>
      </w:r>
    </w:p>
    <w:p w14:paraId="2AE1A298">
      <w:pPr>
        <w:spacing w:line="560" w:lineRule="exact"/>
        <w:ind w:firstLine="693"/>
        <w:rPr>
          <w:rFonts w:hint="eastAsia" w:ascii="宋体" w:hAnsi="宋体" w:eastAsia="宋体" w:cs="宋体"/>
          <w:color w:val="auto"/>
          <w:sz w:val="24"/>
          <w:szCs w:val="24"/>
          <w:lang w:eastAsia="zh-CN"/>
        </w:rPr>
      </w:pPr>
      <w:r>
        <w:rPr>
          <w:rFonts w:hint="eastAsia" w:ascii="宋体" w:hAnsi="宋体" w:eastAsia="宋体" w:cs="宋体"/>
          <w:color w:val="auto"/>
          <w:spacing w:val="19"/>
          <w:sz w:val="24"/>
          <w:szCs w:val="24"/>
          <w:lang w:eastAsia="zh-CN"/>
        </w:rPr>
        <w:t>第九条  对于经主管预算单位统筹后未预留</w:t>
      </w:r>
      <w:r>
        <w:rPr>
          <w:rFonts w:hint="eastAsia" w:ascii="宋体" w:hAnsi="宋体" w:eastAsia="宋体" w:cs="宋体"/>
          <w:color w:val="auto"/>
          <w:spacing w:val="18"/>
          <w:sz w:val="24"/>
          <w:szCs w:val="24"/>
          <w:lang w:eastAsia="zh-CN"/>
        </w:rPr>
        <w:t>份额专门</w:t>
      </w:r>
      <w:r>
        <w:rPr>
          <w:rFonts w:hint="eastAsia" w:ascii="宋体" w:hAnsi="宋体" w:eastAsia="宋体" w:cs="宋体"/>
          <w:color w:val="auto"/>
          <w:spacing w:val="8"/>
          <w:sz w:val="24"/>
          <w:szCs w:val="24"/>
          <w:lang w:eastAsia="zh-CN"/>
        </w:rPr>
        <w:t>面向中小企业采购的采购项目，以及预留份额项目中的非预留部分采购包，采购人、采购代理机构应当对符合本办法规</w:t>
      </w:r>
      <w:r>
        <w:rPr>
          <w:rFonts w:hint="eastAsia" w:ascii="宋体" w:hAnsi="宋体" w:eastAsia="宋体" w:cs="宋体"/>
          <w:color w:val="auto"/>
          <w:spacing w:val="5"/>
          <w:sz w:val="24"/>
          <w:szCs w:val="24"/>
          <w:lang w:eastAsia="zh-CN"/>
        </w:rPr>
        <w:t>定的小微企业报价给予</w:t>
      </w:r>
      <w:r>
        <w:rPr>
          <w:rFonts w:hint="eastAsia" w:ascii="宋体" w:hAnsi="宋体" w:eastAsia="宋体" w:cs="宋体"/>
          <w:color w:val="auto"/>
          <w:spacing w:val="-59"/>
          <w:sz w:val="24"/>
          <w:szCs w:val="24"/>
          <w:lang w:eastAsia="zh-CN"/>
        </w:rPr>
        <w:t xml:space="preserve"> </w:t>
      </w:r>
      <w:r>
        <w:rPr>
          <w:rFonts w:hint="eastAsia" w:ascii="宋体" w:hAnsi="宋体" w:eastAsia="宋体" w:cs="宋体"/>
          <w:color w:val="auto"/>
          <w:spacing w:val="5"/>
          <w:sz w:val="24"/>
          <w:szCs w:val="24"/>
          <w:lang w:eastAsia="zh-CN"/>
        </w:rPr>
        <w:t>6%—</w:t>
      </w:r>
      <w:r>
        <w:rPr>
          <w:rFonts w:hint="eastAsia" w:ascii="宋体" w:hAnsi="宋体" w:eastAsia="宋体" w:cs="宋体"/>
          <w:color w:val="auto"/>
          <w:spacing w:val="-121"/>
          <w:sz w:val="24"/>
          <w:szCs w:val="24"/>
          <w:lang w:eastAsia="zh-CN"/>
        </w:rPr>
        <w:t xml:space="preserve"> </w:t>
      </w:r>
      <w:r>
        <w:rPr>
          <w:rFonts w:hint="eastAsia" w:ascii="宋体" w:hAnsi="宋体" w:eastAsia="宋体" w:cs="宋体"/>
          <w:color w:val="auto"/>
          <w:spacing w:val="5"/>
          <w:sz w:val="24"/>
          <w:szCs w:val="24"/>
          <w:lang w:eastAsia="zh-CN"/>
        </w:rPr>
        <w:t>10%（工程项</w:t>
      </w:r>
      <w:r>
        <w:rPr>
          <w:rFonts w:hint="eastAsia" w:ascii="宋体" w:hAnsi="宋体" w:eastAsia="宋体" w:cs="宋体"/>
          <w:color w:val="auto"/>
          <w:spacing w:val="4"/>
          <w:sz w:val="24"/>
          <w:szCs w:val="24"/>
          <w:lang w:eastAsia="zh-CN"/>
        </w:rPr>
        <w:t>目为3%—5%）的扣</w:t>
      </w:r>
      <w:r>
        <w:rPr>
          <w:rFonts w:hint="eastAsia" w:ascii="宋体" w:hAnsi="宋体" w:eastAsia="宋体" w:cs="宋体"/>
          <w:color w:val="auto"/>
          <w:spacing w:val="8"/>
          <w:sz w:val="24"/>
          <w:szCs w:val="24"/>
          <w:lang w:eastAsia="zh-CN"/>
        </w:rPr>
        <w:t>除，用扣除后的价格参加评审。适用招标投标法的政府采购</w:t>
      </w:r>
      <w:r>
        <w:rPr>
          <w:rFonts w:hint="eastAsia" w:ascii="宋体" w:hAnsi="宋体" w:eastAsia="宋体" w:cs="宋体"/>
          <w:color w:val="auto"/>
          <w:spacing w:val="1"/>
          <w:sz w:val="24"/>
          <w:szCs w:val="24"/>
          <w:lang w:eastAsia="zh-CN"/>
        </w:rPr>
        <w:t xml:space="preserve"> </w:t>
      </w:r>
      <w:r>
        <w:rPr>
          <w:rFonts w:hint="eastAsia" w:ascii="宋体" w:hAnsi="宋体" w:eastAsia="宋体" w:cs="宋体"/>
          <w:color w:val="auto"/>
          <w:spacing w:val="8"/>
          <w:sz w:val="24"/>
          <w:szCs w:val="24"/>
          <w:lang w:eastAsia="zh-CN"/>
        </w:rPr>
        <w:t>工程建设项目，采用综合评估法但未采用低价优先法计算价格分的，评标时应当在采用原报价进行评分的基础上增加其</w:t>
      </w:r>
      <w:r>
        <w:rPr>
          <w:rFonts w:hint="eastAsia" w:ascii="宋体" w:hAnsi="宋体" w:eastAsia="宋体" w:cs="宋体"/>
          <w:color w:val="auto"/>
          <w:spacing w:val="5"/>
          <w:sz w:val="24"/>
          <w:szCs w:val="24"/>
          <w:lang w:eastAsia="zh-CN"/>
        </w:rPr>
        <w:t>价格得分的</w:t>
      </w:r>
      <w:r>
        <w:rPr>
          <w:rFonts w:hint="eastAsia" w:ascii="宋体" w:hAnsi="宋体" w:eastAsia="宋体" w:cs="宋体"/>
          <w:color w:val="auto"/>
          <w:spacing w:val="-44"/>
          <w:sz w:val="24"/>
          <w:szCs w:val="24"/>
          <w:lang w:eastAsia="zh-CN"/>
        </w:rPr>
        <w:t xml:space="preserve"> </w:t>
      </w:r>
      <w:r>
        <w:rPr>
          <w:rFonts w:hint="eastAsia" w:ascii="宋体" w:hAnsi="宋体" w:eastAsia="宋体" w:cs="宋体"/>
          <w:color w:val="auto"/>
          <w:spacing w:val="5"/>
          <w:sz w:val="24"/>
          <w:szCs w:val="24"/>
          <w:lang w:eastAsia="zh-CN"/>
        </w:rPr>
        <w:t>3%—5%作为其价格分。</w:t>
      </w:r>
    </w:p>
    <w:p w14:paraId="2D2760FC">
      <w:pPr>
        <w:spacing w:line="560" w:lineRule="exact"/>
        <w:ind w:firstLine="710"/>
        <w:rPr>
          <w:rFonts w:hint="eastAsia" w:ascii="宋体" w:hAnsi="宋体" w:eastAsia="宋体" w:cs="宋体"/>
          <w:color w:val="auto"/>
          <w:sz w:val="24"/>
          <w:szCs w:val="24"/>
          <w:lang w:eastAsia="zh-CN"/>
        </w:rPr>
      </w:pPr>
      <w:r>
        <w:rPr>
          <w:rFonts w:hint="eastAsia" w:ascii="宋体" w:hAnsi="宋体" w:eastAsia="宋体" w:cs="宋体"/>
          <w:color w:val="auto"/>
          <w:spacing w:val="19"/>
          <w:sz w:val="24"/>
          <w:szCs w:val="24"/>
          <w:lang w:eastAsia="zh-CN"/>
        </w:rPr>
        <w:t>接受大中型企业与小微企业组成联合体或者允许大中</w:t>
      </w:r>
      <w:r>
        <w:rPr>
          <w:rFonts w:hint="eastAsia" w:ascii="宋体" w:hAnsi="宋体" w:eastAsia="宋体" w:cs="宋体"/>
          <w:color w:val="auto"/>
          <w:spacing w:val="8"/>
          <w:sz w:val="24"/>
          <w:szCs w:val="24"/>
          <w:lang w:eastAsia="zh-CN"/>
        </w:rPr>
        <w:t>型企业向一家或者多家小微企业分包的采购项目，对于联合</w:t>
      </w:r>
      <w:r>
        <w:rPr>
          <w:rFonts w:hint="eastAsia" w:ascii="宋体" w:hAnsi="宋体" w:eastAsia="宋体" w:cs="宋体"/>
          <w:color w:val="auto"/>
          <w:spacing w:val="21"/>
          <w:sz w:val="24"/>
          <w:szCs w:val="24"/>
          <w:lang w:eastAsia="zh-CN"/>
        </w:rPr>
        <w:t>协议或者分包意向协议约定小微企业的合同份额占到合同</w:t>
      </w:r>
      <w:r>
        <w:rPr>
          <w:rFonts w:hint="eastAsia" w:ascii="宋体" w:hAnsi="宋体" w:eastAsia="宋体" w:cs="宋体"/>
          <w:color w:val="auto"/>
          <w:spacing w:val="10"/>
          <w:sz w:val="24"/>
          <w:szCs w:val="24"/>
          <w:lang w:eastAsia="zh-CN"/>
        </w:rPr>
        <w:t>总金额</w:t>
      </w:r>
      <w:r>
        <w:rPr>
          <w:rFonts w:hint="eastAsia" w:ascii="宋体" w:hAnsi="宋体" w:eastAsia="宋体" w:cs="宋体"/>
          <w:color w:val="auto"/>
          <w:spacing w:val="-45"/>
          <w:sz w:val="24"/>
          <w:szCs w:val="24"/>
          <w:lang w:eastAsia="zh-CN"/>
        </w:rPr>
        <w:t xml:space="preserve"> </w:t>
      </w:r>
      <w:r>
        <w:rPr>
          <w:rFonts w:hint="eastAsia" w:ascii="宋体" w:hAnsi="宋体" w:eastAsia="宋体" w:cs="宋体"/>
          <w:color w:val="auto"/>
          <w:spacing w:val="10"/>
          <w:sz w:val="24"/>
          <w:szCs w:val="24"/>
          <w:lang w:eastAsia="zh-CN"/>
        </w:rPr>
        <w:t>30%以上的，采购人、采购代理机构应当对联合体或</w:t>
      </w:r>
      <w:r>
        <w:rPr>
          <w:rFonts w:hint="eastAsia" w:ascii="宋体" w:hAnsi="宋体" w:eastAsia="宋体" w:cs="宋体"/>
          <w:color w:val="auto"/>
          <w:spacing w:val="5"/>
          <w:sz w:val="24"/>
          <w:szCs w:val="24"/>
          <w:lang w:eastAsia="zh-CN"/>
        </w:rPr>
        <w:t>者大中型企业的报价给予</w:t>
      </w:r>
      <w:r>
        <w:rPr>
          <w:rFonts w:hint="eastAsia" w:ascii="宋体" w:hAnsi="宋体" w:eastAsia="宋体" w:cs="宋体"/>
          <w:color w:val="auto"/>
          <w:spacing w:val="-44"/>
          <w:sz w:val="24"/>
          <w:szCs w:val="24"/>
          <w:lang w:eastAsia="zh-CN"/>
        </w:rPr>
        <w:t xml:space="preserve"> </w:t>
      </w:r>
      <w:r>
        <w:rPr>
          <w:rFonts w:hint="eastAsia" w:ascii="宋体" w:hAnsi="宋体" w:eastAsia="宋体" w:cs="宋体"/>
          <w:color w:val="auto"/>
          <w:spacing w:val="5"/>
          <w:sz w:val="24"/>
          <w:szCs w:val="24"/>
          <w:lang w:eastAsia="zh-CN"/>
        </w:rPr>
        <w:t>2%-3%（工程项目为</w:t>
      </w:r>
      <w:r>
        <w:rPr>
          <w:rFonts w:hint="eastAsia" w:ascii="宋体" w:hAnsi="宋体" w:eastAsia="宋体" w:cs="宋体"/>
          <w:color w:val="auto"/>
          <w:spacing w:val="-39"/>
          <w:sz w:val="24"/>
          <w:szCs w:val="24"/>
          <w:lang w:eastAsia="zh-CN"/>
        </w:rPr>
        <w:t xml:space="preserve"> </w:t>
      </w:r>
      <w:r>
        <w:rPr>
          <w:rFonts w:hint="eastAsia" w:ascii="宋体" w:hAnsi="宋体" w:eastAsia="宋体" w:cs="宋体"/>
          <w:color w:val="auto"/>
          <w:spacing w:val="5"/>
          <w:sz w:val="24"/>
          <w:szCs w:val="24"/>
          <w:lang w:eastAsia="zh-CN"/>
        </w:rPr>
        <w:t>1%—2%）的扣</w:t>
      </w:r>
      <w:r>
        <w:rPr>
          <w:rFonts w:hint="eastAsia" w:ascii="宋体" w:hAnsi="宋体" w:eastAsia="宋体" w:cs="宋体"/>
          <w:color w:val="auto"/>
          <w:spacing w:val="8"/>
          <w:sz w:val="24"/>
          <w:szCs w:val="24"/>
          <w:lang w:eastAsia="zh-CN"/>
        </w:rPr>
        <w:t>除，用扣除后的价格参加评审。适用招标投标法的政府采购工程建设项目，采用综合评估法但未采用低价优先法计算价格分的，评标时应当在采用原报价进行评分的基础上增加其</w:t>
      </w:r>
      <w:r>
        <w:rPr>
          <w:rFonts w:hint="eastAsia" w:ascii="宋体" w:hAnsi="宋体" w:eastAsia="宋体" w:cs="宋体"/>
          <w:color w:val="auto"/>
          <w:spacing w:val="4"/>
          <w:sz w:val="24"/>
          <w:szCs w:val="24"/>
          <w:lang w:eastAsia="zh-CN"/>
        </w:rPr>
        <w:t>价格得分的</w:t>
      </w:r>
      <w:r>
        <w:rPr>
          <w:rFonts w:hint="eastAsia" w:ascii="宋体" w:hAnsi="宋体" w:eastAsia="宋体" w:cs="宋体"/>
          <w:color w:val="auto"/>
          <w:spacing w:val="-38"/>
          <w:sz w:val="24"/>
          <w:szCs w:val="24"/>
          <w:lang w:eastAsia="zh-CN"/>
        </w:rPr>
        <w:t xml:space="preserve"> </w:t>
      </w:r>
      <w:r>
        <w:rPr>
          <w:rFonts w:hint="eastAsia" w:ascii="宋体" w:hAnsi="宋体" w:eastAsia="宋体" w:cs="宋体"/>
          <w:color w:val="auto"/>
          <w:spacing w:val="4"/>
          <w:sz w:val="24"/>
          <w:szCs w:val="24"/>
          <w:lang w:eastAsia="zh-CN"/>
        </w:rPr>
        <w:t>1%—2%作为其价格分。组成联合</w:t>
      </w:r>
      <w:r>
        <w:rPr>
          <w:rFonts w:hint="eastAsia" w:ascii="宋体" w:hAnsi="宋体" w:eastAsia="宋体" w:cs="宋体"/>
          <w:color w:val="auto"/>
          <w:spacing w:val="3"/>
          <w:sz w:val="24"/>
          <w:szCs w:val="24"/>
          <w:lang w:eastAsia="zh-CN"/>
        </w:rPr>
        <w:t>体或者接受分包</w:t>
      </w:r>
      <w:r>
        <w:rPr>
          <w:rFonts w:hint="eastAsia" w:ascii="宋体" w:hAnsi="宋体" w:eastAsia="宋体" w:cs="宋体"/>
          <w:color w:val="auto"/>
          <w:sz w:val="24"/>
          <w:szCs w:val="24"/>
          <w:lang w:eastAsia="zh-CN"/>
        </w:rPr>
        <w:t xml:space="preserve"> </w:t>
      </w:r>
      <w:r>
        <w:rPr>
          <w:rFonts w:hint="eastAsia" w:ascii="宋体" w:hAnsi="宋体" w:eastAsia="宋体" w:cs="宋体"/>
          <w:color w:val="auto"/>
          <w:spacing w:val="8"/>
          <w:sz w:val="24"/>
          <w:szCs w:val="24"/>
          <w:lang w:eastAsia="zh-CN"/>
        </w:rPr>
        <w:t>的小微企业与联合体内其他企业、分包企业之间存在直接控股、管理关系的，不享受价格扣除优惠政策。</w:t>
      </w:r>
    </w:p>
    <w:p w14:paraId="5AC06D20">
      <w:pPr>
        <w:spacing w:line="560" w:lineRule="exact"/>
        <w:ind w:firstLine="708"/>
        <w:rPr>
          <w:rFonts w:hint="eastAsia" w:ascii="宋体" w:hAnsi="宋体" w:eastAsia="宋体" w:cs="宋体"/>
          <w:color w:val="auto"/>
          <w:sz w:val="24"/>
          <w:szCs w:val="24"/>
          <w:lang w:eastAsia="zh-CN"/>
        </w:rPr>
      </w:pPr>
      <w:r>
        <w:rPr>
          <w:rFonts w:hint="eastAsia" w:ascii="宋体" w:hAnsi="宋体" w:eastAsia="宋体" w:cs="宋体"/>
          <w:color w:val="auto"/>
          <w:spacing w:val="19"/>
          <w:sz w:val="24"/>
          <w:szCs w:val="24"/>
          <w:lang w:eastAsia="zh-CN"/>
        </w:rPr>
        <w:t>价格扣除比例或者价格分加分比例对小型企业和微型</w:t>
      </w:r>
      <w:r>
        <w:rPr>
          <w:rFonts w:hint="eastAsia" w:ascii="宋体" w:hAnsi="宋体" w:eastAsia="宋体" w:cs="宋体"/>
          <w:color w:val="auto"/>
          <w:spacing w:val="8"/>
          <w:sz w:val="24"/>
          <w:szCs w:val="24"/>
          <w:lang w:eastAsia="zh-CN"/>
        </w:rPr>
        <w:t>企业同等对待，不作区分。具体采购项目的价格扣除比例或者价格分加分比例，由采购人根据采购标的相关行业平均利润率、市场竞争状况等，在本办法规定的幅度内确定。</w:t>
      </w:r>
    </w:p>
    <w:p w14:paraId="23274CB4">
      <w:pPr>
        <w:spacing w:line="560" w:lineRule="exact"/>
        <w:ind w:firstLine="693"/>
        <w:rPr>
          <w:rFonts w:hint="eastAsia" w:ascii="宋体" w:hAnsi="宋体" w:eastAsia="宋体" w:cs="宋体"/>
          <w:color w:val="auto"/>
          <w:sz w:val="24"/>
          <w:szCs w:val="24"/>
          <w:lang w:eastAsia="zh-CN"/>
        </w:rPr>
      </w:pPr>
      <w:r>
        <w:rPr>
          <w:rFonts w:hint="eastAsia" w:ascii="宋体" w:hAnsi="宋体" w:eastAsia="宋体" w:cs="宋体"/>
          <w:color w:val="auto"/>
          <w:spacing w:val="19"/>
          <w:sz w:val="24"/>
          <w:szCs w:val="24"/>
          <w:lang w:eastAsia="zh-CN"/>
        </w:rPr>
        <w:t>第十条  采购人应当严格按照本办法规定和</w:t>
      </w:r>
      <w:r>
        <w:rPr>
          <w:rFonts w:hint="eastAsia" w:ascii="宋体" w:hAnsi="宋体" w:eastAsia="宋体" w:cs="宋体"/>
          <w:color w:val="auto"/>
          <w:spacing w:val="18"/>
          <w:sz w:val="24"/>
          <w:szCs w:val="24"/>
          <w:lang w:eastAsia="zh-CN"/>
        </w:rPr>
        <w:t>主管预算</w:t>
      </w:r>
      <w:r>
        <w:rPr>
          <w:rFonts w:hint="eastAsia" w:ascii="宋体" w:hAnsi="宋体" w:eastAsia="宋体" w:cs="宋体"/>
          <w:color w:val="auto"/>
          <w:spacing w:val="8"/>
          <w:sz w:val="24"/>
          <w:szCs w:val="24"/>
          <w:lang w:eastAsia="zh-CN"/>
        </w:rPr>
        <w:t>单位制定的预留采购份额具体方案开展采购活动。预留份额的采购项目或者采购包，通过发布公告方式邀请供应商后，</w:t>
      </w:r>
      <w:r>
        <w:rPr>
          <w:rFonts w:hint="eastAsia" w:ascii="宋体" w:hAnsi="宋体" w:eastAsia="宋体" w:cs="宋体"/>
          <w:color w:val="auto"/>
          <w:spacing w:val="6"/>
          <w:sz w:val="24"/>
          <w:szCs w:val="24"/>
          <w:lang w:eastAsia="zh-CN"/>
        </w:rPr>
        <w:t>符合资格条件的中小企业数量不足</w:t>
      </w:r>
      <w:r>
        <w:rPr>
          <w:rFonts w:hint="eastAsia" w:ascii="宋体" w:hAnsi="宋体" w:eastAsia="宋体" w:cs="宋体"/>
          <w:color w:val="auto"/>
          <w:spacing w:val="-47"/>
          <w:sz w:val="24"/>
          <w:szCs w:val="24"/>
          <w:lang w:eastAsia="zh-CN"/>
        </w:rPr>
        <w:t xml:space="preserve"> </w:t>
      </w:r>
      <w:r>
        <w:rPr>
          <w:rFonts w:hint="eastAsia" w:ascii="宋体" w:hAnsi="宋体" w:eastAsia="宋体" w:cs="宋体"/>
          <w:color w:val="auto"/>
          <w:spacing w:val="6"/>
          <w:sz w:val="24"/>
          <w:szCs w:val="24"/>
          <w:lang w:eastAsia="zh-CN"/>
        </w:rPr>
        <w:t>3</w:t>
      </w:r>
      <w:r>
        <w:rPr>
          <w:rFonts w:hint="eastAsia" w:ascii="宋体" w:hAnsi="宋体" w:eastAsia="宋体" w:cs="宋体"/>
          <w:color w:val="auto"/>
          <w:spacing w:val="-49"/>
          <w:sz w:val="24"/>
          <w:szCs w:val="24"/>
          <w:lang w:eastAsia="zh-CN"/>
        </w:rPr>
        <w:t xml:space="preserve"> </w:t>
      </w:r>
      <w:r>
        <w:rPr>
          <w:rFonts w:hint="eastAsia" w:ascii="宋体" w:hAnsi="宋体" w:eastAsia="宋体" w:cs="宋体"/>
          <w:color w:val="auto"/>
          <w:spacing w:val="6"/>
          <w:sz w:val="24"/>
          <w:szCs w:val="24"/>
          <w:lang w:eastAsia="zh-CN"/>
        </w:rPr>
        <w:t>家的，应当中止采购活</w:t>
      </w:r>
      <w:r>
        <w:rPr>
          <w:rFonts w:hint="eastAsia" w:ascii="宋体" w:hAnsi="宋体" w:eastAsia="宋体" w:cs="宋体"/>
          <w:color w:val="auto"/>
          <w:spacing w:val="8"/>
          <w:sz w:val="24"/>
          <w:szCs w:val="24"/>
          <w:lang w:eastAsia="zh-CN"/>
        </w:rPr>
        <w:t>动，视同未预留份额的采购项目或者采购包，按照本办法第</w:t>
      </w:r>
      <w:r>
        <w:rPr>
          <w:rFonts w:hint="eastAsia" w:ascii="宋体" w:hAnsi="宋体" w:eastAsia="宋体" w:cs="宋体"/>
          <w:color w:val="auto"/>
          <w:spacing w:val="7"/>
          <w:sz w:val="24"/>
          <w:szCs w:val="24"/>
          <w:lang w:eastAsia="zh-CN"/>
        </w:rPr>
        <w:t>九条有关规定重新组织采购活动。</w:t>
      </w:r>
    </w:p>
    <w:p w14:paraId="35B65455">
      <w:pPr>
        <w:spacing w:line="560" w:lineRule="exact"/>
        <w:ind w:firstLine="699"/>
        <w:rPr>
          <w:rFonts w:hint="eastAsia" w:ascii="宋体" w:hAnsi="宋体" w:eastAsia="宋体" w:cs="宋体"/>
          <w:color w:val="auto"/>
          <w:spacing w:val="8"/>
          <w:sz w:val="24"/>
          <w:szCs w:val="24"/>
          <w:lang w:eastAsia="zh-CN"/>
        </w:rPr>
      </w:pPr>
      <w:r>
        <w:rPr>
          <w:rFonts w:hint="eastAsia" w:ascii="宋体" w:hAnsi="宋体" w:eastAsia="宋体" w:cs="宋体"/>
          <w:color w:val="auto"/>
          <w:spacing w:val="3"/>
          <w:sz w:val="24"/>
          <w:szCs w:val="24"/>
          <w:lang w:eastAsia="zh-CN"/>
        </w:rPr>
        <w:t>第十一条</w:t>
      </w:r>
      <w:r>
        <w:rPr>
          <w:rFonts w:hint="eastAsia" w:ascii="宋体" w:hAnsi="宋体" w:eastAsia="宋体" w:cs="宋体"/>
          <w:color w:val="auto"/>
          <w:spacing w:val="37"/>
          <w:sz w:val="24"/>
          <w:szCs w:val="24"/>
          <w:lang w:eastAsia="zh-CN"/>
        </w:rPr>
        <w:t xml:space="preserve">  </w:t>
      </w:r>
      <w:r>
        <w:rPr>
          <w:rFonts w:hint="eastAsia" w:ascii="宋体" w:hAnsi="宋体" w:eastAsia="宋体" w:cs="宋体"/>
          <w:color w:val="auto"/>
          <w:spacing w:val="3"/>
          <w:sz w:val="24"/>
          <w:szCs w:val="24"/>
          <w:lang w:eastAsia="zh-CN"/>
        </w:rPr>
        <w:t>中小企业参加政府采购活动，应当出具本办</w:t>
      </w:r>
      <w:r>
        <w:rPr>
          <w:rFonts w:hint="eastAsia" w:ascii="宋体" w:hAnsi="宋体" w:eastAsia="宋体" w:cs="宋体"/>
          <w:color w:val="auto"/>
          <w:spacing w:val="2"/>
          <w:sz w:val="24"/>
          <w:szCs w:val="24"/>
          <w:lang w:eastAsia="zh-CN"/>
        </w:rPr>
        <w:t>法规定的《中小企业声明函》（附</w:t>
      </w:r>
      <w:r>
        <w:rPr>
          <w:rFonts w:hint="eastAsia" w:ascii="宋体" w:hAnsi="宋体" w:eastAsia="宋体" w:cs="宋体"/>
          <w:color w:val="auto"/>
          <w:spacing w:val="-36"/>
          <w:sz w:val="24"/>
          <w:szCs w:val="24"/>
          <w:lang w:eastAsia="zh-CN"/>
        </w:rPr>
        <w:t xml:space="preserve"> </w:t>
      </w:r>
      <w:r>
        <w:rPr>
          <w:rFonts w:hint="eastAsia" w:ascii="宋体" w:hAnsi="宋体" w:eastAsia="宋体" w:cs="宋体"/>
          <w:color w:val="auto"/>
          <w:spacing w:val="2"/>
          <w:sz w:val="24"/>
          <w:szCs w:val="24"/>
          <w:lang w:eastAsia="zh-CN"/>
        </w:rPr>
        <w:t>1</w:t>
      </w:r>
      <w:r>
        <w:rPr>
          <w:rFonts w:hint="eastAsia" w:ascii="宋体" w:hAnsi="宋体" w:eastAsia="宋体" w:cs="宋体"/>
          <w:color w:val="auto"/>
          <w:spacing w:val="-50"/>
          <w:sz w:val="24"/>
          <w:szCs w:val="24"/>
          <w:lang w:eastAsia="zh-CN"/>
        </w:rPr>
        <w:t>），</w:t>
      </w:r>
      <w:r>
        <w:rPr>
          <w:rFonts w:hint="eastAsia" w:ascii="宋体" w:hAnsi="宋体" w:eastAsia="宋体" w:cs="宋体"/>
          <w:color w:val="auto"/>
          <w:spacing w:val="2"/>
          <w:sz w:val="24"/>
          <w:szCs w:val="24"/>
          <w:lang w:eastAsia="zh-CN"/>
        </w:rPr>
        <w:t>否则不得享受相关中</w:t>
      </w:r>
      <w:r>
        <w:rPr>
          <w:rFonts w:hint="eastAsia" w:ascii="宋体" w:hAnsi="宋体" w:eastAsia="宋体" w:cs="宋体"/>
          <w:color w:val="auto"/>
          <w:spacing w:val="8"/>
          <w:sz w:val="24"/>
          <w:szCs w:val="24"/>
          <w:lang w:eastAsia="zh-CN"/>
        </w:rPr>
        <w:t>小企业扶持政策。任何单位和个人不得要求供应商提供《中小企业声明函》之外的中小企业身份证明文件。</w:t>
      </w:r>
    </w:p>
    <w:p w14:paraId="2ECE0A89">
      <w:pPr>
        <w:spacing w:line="560" w:lineRule="exact"/>
        <w:ind w:firstLine="699"/>
        <w:rPr>
          <w:rFonts w:hint="eastAsia" w:ascii="宋体" w:hAnsi="宋体" w:eastAsia="宋体" w:cs="宋体"/>
          <w:color w:val="auto"/>
          <w:spacing w:val="2"/>
          <w:sz w:val="24"/>
          <w:szCs w:val="24"/>
          <w:lang w:eastAsia="zh-CN"/>
        </w:rPr>
      </w:pPr>
      <w:r>
        <w:rPr>
          <w:rFonts w:hint="eastAsia" w:ascii="宋体" w:hAnsi="宋体" w:eastAsia="宋体" w:cs="宋体"/>
          <w:color w:val="auto"/>
          <w:spacing w:val="3"/>
          <w:sz w:val="24"/>
          <w:szCs w:val="24"/>
          <w:lang w:eastAsia="zh-CN"/>
        </w:rPr>
        <w:t xml:space="preserve">第十二条  </w:t>
      </w:r>
      <w:r>
        <w:rPr>
          <w:rFonts w:hint="eastAsia" w:ascii="宋体" w:hAnsi="宋体" w:eastAsia="宋体" w:cs="宋体"/>
          <w:color w:val="auto"/>
          <w:spacing w:val="2"/>
          <w:sz w:val="24"/>
          <w:szCs w:val="24"/>
          <w:lang w:eastAsia="zh-CN"/>
        </w:rPr>
        <w:t>采购项目涉及中小企业采购的，采购文件应当明确以下内容：</w:t>
      </w:r>
    </w:p>
    <w:p w14:paraId="3176F274">
      <w:pPr>
        <w:spacing w:line="560" w:lineRule="exact"/>
        <w:ind w:firstLine="709"/>
        <w:rPr>
          <w:rFonts w:hint="eastAsia" w:ascii="宋体" w:hAnsi="宋体" w:eastAsia="宋体" w:cs="宋体"/>
          <w:color w:val="auto"/>
          <w:sz w:val="24"/>
          <w:szCs w:val="24"/>
          <w:lang w:eastAsia="zh-CN"/>
        </w:rPr>
      </w:pPr>
      <w:r>
        <w:rPr>
          <w:rFonts w:hint="eastAsia" w:ascii="宋体" w:hAnsi="宋体" w:eastAsia="宋体" w:cs="宋体"/>
          <w:color w:val="auto"/>
          <w:spacing w:val="5"/>
          <w:sz w:val="24"/>
          <w:szCs w:val="24"/>
          <w:lang w:eastAsia="zh-CN"/>
        </w:rPr>
        <w:t>（一）预留份额的采购项目或者采购包，明确该项目或</w:t>
      </w:r>
      <w:r>
        <w:rPr>
          <w:rFonts w:hint="eastAsia" w:ascii="宋体" w:hAnsi="宋体" w:eastAsia="宋体" w:cs="宋体"/>
          <w:color w:val="auto"/>
          <w:spacing w:val="11"/>
          <w:sz w:val="24"/>
          <w:szCs w:val="24"/>
          <w:lang w:eastAsia="zh-CN"/>
        </w:rPr>
        <w:t xml:space="preserve"> </w:t>
      </w:r>
      <w:r>
        <w:rPr>
          <w:rFonts w:hint="eastAsia" w:ascii="宋体" w:hAnsi="宋体" w:eastAsia="宋体" w:cs="宋体"/>
          <w:color w:val="auto"/>
          <w:spacing w:val="8"/>
          <w:sz w:val="24"/>
          <w:szCs w:val="24"/>
          <w:lang w:eastAsia="zh-CN"/>
        </w:rPr>
        <w:t>相关采购包专门面向中小企业采购，以及相关标的及预算金</w:t>
      </w:r>
      <w:r>
        <w:rPr>
          <w:rFonts w:hint="eastAsia" w:ascii="宋体" w:hAnsi="宋体" w:eastAsia="宋体" w:cs="宋体"/>
          <w:color w:val="auto"/>
          <w:spacing w:val="-6"/>
          <w:sz w:val="24"/>
          <w:szCs w:val="24"/>
          <w:lang w:eastAsia="zh-CN"/>
        </w:rPr>
        <w:t>额；</w:t>
      </w:r>
    </w:p>
    <w:p w14:paraId="3B4006F6">
      <w:pPr>
        <w:spacing w:line="560" w:lineRule="exact"/>
        <w:ind w:firstLine="709"/>
        <w:rPr>
          <w:rFonts w:hint="eastAsia" w:ascii="宋体" w:hAnsi="宋体" w:eastAsia="宋体" w:cs="宋体"/>
          <w:color w:val="auto"/>
          <w:spacing w:val="5"/>
          <w:sz w:val="24"/>
          <w:szCs w:val="24"/>
          <w:lang w:eastAsia="zh-CN"/>
        </w:rPr>
      </w:pPr>
      <w:r>
        <w:rPr>
          <w:rFonts w:hint="eastAsia" w:ascii="宋体" w:hAnsi="宋体" w:eastAsia="宋体" w:cs="宋体"/>
          <w:color w:val="auto"/>
          <w:spacing w:val="5"/>
          <w:sz w:val="24"/>
          <w:szCs w:val="24"/>
          <w:lang w:eastAsia="zh-CN"/>
        </w:rPr>
        <w:t>（二）要求以联合体形式参加或者合同分包的，明确联 合协议或者分包意向协议中中小企业合同金额应当达到的比例，并作为供应商资格条件；</w:t>
      </w:r>
    </w:p>
    <w:p w14:paraId="2257D566">
      <w:pPr>
        <w:spacing w:line="560" w:lineRule="exact"/>
        <w:ind w:firstLine="709"/>
        <w:rPr>
          <w:rFonts w:hint="eastAsia" w:ascii="宋体" w:hAnsi="宋体" w:eastAsia="宋体" w:cs="宋体"/>
          <w:color w:val="auto"/>
          <w:spacing w:val="5"/>
          <w:sz w:val="24"/>
          <w:szCs w:val="24"/>
          <w:lang w:eastAsia="zh-CN"/>
        </w:rPr>
      </w:pPr>
      <w:r>
        <w:rPr>
          <w:rFonts w:hint="eastAsia" w:ascii="宋体" w:hAnsi="宋体" w:eastAsia="宋体" w:cs="宋体"/>
          <w:color w:val="auto"/>
          <w:spacing w:val="5"/>
          <w:sz w:val="24"/>
          <w:szCs w:val="24"/>
          <w:lang w:eastAsia="zh-CN"/>
        </w:rPr>
        <w:t>（三）非预留份额的采购项目或者采购包，明确有关价格扣除比例或者价格分加分比例；</w:t>
      </w:r>
    </w:p>
    <w:p w14:paraId="1EA26F37">
      <w:pPr>
        <w:spacing w:line="560" w:lineRule="exact"/>
        <w:ind w:firstLine="709"/>
        <w:rPr>
          <w:rFonts w:hint="eastAsia" w:ascii="宋体" w:hAnsi="宋体" w:eastAsia="宋体" w:cs="宋体"/>
          <w:color w:val="auto"/>
          <w:spacing w:val="5"/>
          <w:sz w:val="24"/>
          <w:szCs w:val="24"/>
          <w:lang w:eastAsia="zh-CN"/>
        </w:rPr>
      </w:pPr>
      <w:r>
        <w:rPr>
          <w:rFonts w:hint="eastAsia" w:ascii="宋体" w:hAnsi="宋体" w:eastAsia="宋体" w:cs="宋体"/>
          <w:color w:val="auto"/>
          <w:spacing w:val="5"/>
          <w:sz w:val="24"/>
          <w:szCs w:val="24"/>
          <w:lang w:eastAsia="zh-CN"/>
        </w:rPr>
        <w:t>（四）规定依据本办法规定享受扶持政策获得政府采购合同的，小微企业不得将合同分包给大中型企业，中型企业不得将合同分包给大型企业；</w:t>
      </w:r>
    </w:p>
    <w:p w14:paraId="58915D8E">
      <w:pPr>
        <w:spacing w:line="560" w:lineRule="exact"/>
        <w:ind w:firstLine="709"/>
        <w:rPr>
          <w:rFonts w:hint="eastAsia" w:ascii="宋体" w:hAnsi="宋体" w:eastAsia="宋体" w:cs="宋体"/>
          <w:color w:val="auto"/>
          <w:spacing w:val="5"/>
          <w:sz w:val="24"/>
          <w:szCs w:val="24"/>
          <w:lang w:eastAsia="zh-CN"/>
        </w:rPr>
      </w:pPr>
      <w:r>
        <w:rPr>
          <w:rFonts w:hint="eastAsia" w:ascii="宋体" w:hAnsi="宋体" w:eastAsia="宋体" w:cs="宋体"/>
          <w:color w:val="auto"/>
          <w:spacing w:val="5"/>
          <w:sz w:val="24"/>
          <w:szCs w:val="24"/>
          <w:lang w:eastAsia="zh-CN"/>
        </w:rPr>
        <w:t>（五）采购人认为具备相关条件的，明确对中小企业在资金支付期限、预付款比例等方面的优惠措施；</w:t>
      </w:r>
    </w:p>
    <w:p w14:paraId="5BBF02DA">
      <w:pPr>
        <w:spacing w:line="560" w:lineRule="exact"/>
        <w:ind w:firstLine="709"/>
        <w:rPr>
          <w:rFonts w:hint="eastAsia" w:ascii="宋体" w:hAnsi="宋体" w:eastAsia="宋体" w:cs="宋体"/>
          <w:color w:val="auto"/>
          <w:spacing w:val="5"/>
          <w:sz w:val="24"/>
          <w:szCs w:val="24"/>
          <w:lang w:eastAsia="zh-CN"/>
        </w:rPr>
      </w:pPr>
      <w:r>
        <w:rPr>
          <w:rFonts w:hint="eastAsia" w:ascii="宋体" w:hAnsi="宋体" w:eastAsia="宋体" w:cs="宋体"/>
          <w:color w:val="auto"/>
          <w:spacing w:val="5"/>
          <w:sz w:val="24"/>
          <w:szCs w:val="24"/>
          <w:lang w:eastAsia="zh-CN"/>
        </w:rPr>
        <w:t>（六）明确采购标的对应的中小企业划分标准所属行业；</w:t>
      </w:r>
    </w:p>
    <w:p w14:paraId="49DD3F1C">
      <w:pPr>
        <w:spacing w:line="560" w:lineRule="exact"/>
        <w:ind w:firstLine="709"/>
        <w:rPr>
          <w:rFonts w:hint="eastAsia" w:ascii="宋体" w:hAnsi="宋体" w:eastAsia="宋体" w:cs="宋体"/>
          <w:color w:val="auto"/>
          <w:spacing w:val="5"/>
          <w:sz w:val="24"/>
          <w:szCs w:val="24"/>
          <w:lang w:eastAsia="zh-CN"/>
        </w:rPr>
      </w:pPr>
      <w:r>
        <w:rPr>
          <w:rFonts w:hint="eastAsia" w:ascii="宋体" w:hAnsi="宋体" w:eastAsia="宋体" w:cs="宋体"/>
          <w:color w:val="auto"/>
          <w:spacing w:val="5"/>
          <w:sz w:val="24"/>
          <w:szCs w:val="24"/>
          <w:lang w:eastAsia="zh-CN"/>
        </w:rPr>
        <w:t>（七）法律法规和省级以上人民政府财政部门规定的其他事项。</w:t>
      </w:r>
    </w:p>
    <w:p w14:paraId="47CAEDD0">
      <w:pPr>
        <w:spacing w:line="560" w:lineRule="exact"/>
        <w:ind w:firstLine="703"/>
        <w:rPr>
          <w:rFonts w:hint="eastAsia" w:ascii="宋体" w:hAnsi="宋体" w:eastAsia="宋体" w:cs="宋体"/>
          <w:color w:val="auto"/>
          <w:spacing w:val="8"/>
          <w:sz w:val="24"/>
          <w:szCs w:val="24"/>
          <w:lang w:eastAsia="zh-CN"/>
        </w:rPr>
      </w:pPr>
      <w:r>
        <w:rPr>
          <w:rFonts w:hint="eastAsia" w:ascii="宋体" w:hAnsi="宋体" w:eastAsia="宋体" w:cs="宋体"/>
          <w:color w:val="auto"/>
          <w:spacing w:val="3"/>
          <w:sz w:val="24"/>
          <w:szCs w:val="24"/>
          <w:lang w:eastAsia="zh-CN"/>
        </w:rPr>
        <w:t>第十三条</w:t>
      </w:r>
      <w:r>
        <w:rPr>
          <w:rFonts w:hint="eastAsia" w:ascii="宋体" w:hAnsi="宋体" w:eastAsia="宋体" w:cs="宋体"/>
          <w:color w:val="auto"/>
          <w:spacing w:val="36"/>
          <w:sz w:val="24"/>
          <w:szCs w:val="24"/>
          <w:lang w:eastAsia="zh-CN"/>
        </w:rPr>
        <w:t xml:space="preserve">  </w:t>
      </w:r>
      <w:r>
        <w:rPr>
          <w:rFonts w:hint="eastAsia" w:ascii="宋体" w:hAnsi="宋体" w:eastAsia="宋体" w:cs="宋体"/>
          <w:color w:val="auto"/>
          <w:spacing w:val="8"/>
          <w:sz w:val="24"/>
          <w:szCs w:val="24"/>
          <w:lang w:eastAsia="zh-CN"/>
        </w:rPr>
        <w:t>中标、成交供应商享受本办法规定的中小企业扶持政策的，采购人、采购代理机构应当随中标、成交结果公开中标、成交供应商的《中小企业声明函》。</w:t>
      </w:r>
    </w:p>
    <w:p w14:paraId="4F1219D5">
      <w:pPr>
        <w:spacing w:line="560" w:lineRule="exact"/>
        <w:ind w:firstLine="703"/>
        <w:rPr>
          <w:rFonts w:hint="eastAsia" w:ascii="宋体" w:hAnsi="宋体" w:eastAsia="宋体" w:cs="宋体"/>
          <w:color w:val="auto"/>
          <w:sz w:val="24"/>
          <w:szCs w:val="24"/>
          <w:lang w:eastAsia="zh-CN"/>
        </w:rPr>
      </w:pPr>
      <w:r>
        <w:rPr>
          <w:rFonts w:hint="eastAsia" w:ascii="宋体" w:hAnsi="宋体" w:eastAsia="宋体" w:cs="宋体"/>
          <w:color w:val="auto"/>
          <w:spacing w:val="8"/>
          <w:sz w:val="24"/>
          <w:szCs w:val="24"/>
          <w:lang w:eastAsia="zh-CN"/>
        </w:rPr>
        <w:t>适用招标投标法的政府采购工程建设项目，应当在公示中标候选人时公开中标候选</w:t>
      </w:r>
      <w:r>
        <w:rPr>
          <w:rFonts w:hint="eastAsia" w:ascii="宋体" w:hAnsi="宋体" w:eastAsia="宋体" w:cs="宋体"/>
          <w:color w:val="auto"/>
          <w:spacing w:val="2"/>
          <w:sz w:val="24"/>
          <w:szCs w:val="24"/>
          <w:lang w:eastAsia="zh-CN"/>
        </w:rPr>
        <w:t>人的《中小企业声明函》。</w:t>
      </w:r>
    </w:p>
    <w:p w14:paraId="0475CEFC">
      <w:pPr>
        <w:spacing w:line="560" w:lineRule="exact"/>
        <w:ind w:firstLine="693"/>
        <w:rPr>
          <w:rFonts w:hint="eastAsia" w:ascii="宋体" w:hAnsi="宋体" w:eastAsia="宋体" w:cs="宋体"/>
          <w:color w:val="auto"/>
          <w:sz w:val="24"/>
          <w:szCs w:val="24"/>
          <w:lang w:eastAsia="zh-CN"/>
        </w:rPr>
      </w:pPr>
      <w:r>
        <w:rPr>
          <w:rFonts w:hint="eastAsia" w:ascii="宋体" w:hAnsi="宋体" w:eastAsia="宋体" w:cs="宋体"/>
          <w:color w:val="auto"/>
          <w:spacing w:val="6"/>
          <w:sz w:val="24"/>
          <w:szCs w:val="24"/>
          <w:lang w:eastAsia="zh-CN"/>
        </w:rPr>
        <w:t>第十四条  对于通过预留采购项目、预留专门采购包、</w:t>
      </w:r>
      <w:r>
        <w:rPr>
          <w:rFonts w:hint="eastAsia" w:ascii="宋体" w:hAnsi="宋体" w:eastAsia="宋体" w:cs="宋体"/>
          <w:color w:val="auto"/>
          <w:spacing w:val="21"/>
          <w:sz w:val="24"/>
          <w:szCs w:val="24"/>
          <w:lang w:eastAsia="zh-CN"/>
        </w:rPr>
        <w:t>要求以联合体形式参加或者合同分包等措施签订的采购合</w:t>
      </w:r>
      <w:r>
        <w:rPr>
          <w:rFonts w:hint="eastAsia" w:ascii="宋体" w:hAnsi="宋体" w:eastAsia="宋体" w:cs="宋体"/>
          <w:color w:val="auto"/>
          <w:spacing w:val="8"/>
          <w:sz w:val="24"/>
          <w:szCs w:val="24"/>
          <w:lang w:eastAsia="zh-CN"/>
        </w:rPr>
        <w:t>同，应当明确标注本合同为中小企业预留合同。其中，要求以联合体形式参加采购活动或者合同分包的，应当将联合协议或者分包意向协议作为采购合同的组成部分。</w:t>
      </w:r>
    </w:p>
    <w:p w14:paraId="36923B6A">
      <w:pPr>
        <w:spacing w:line="560" w:lineRule="exact"/>
        <w:ind w:firstLine="698"/>
        <w:rPr>
          <w:rFonts w:hint="eastAsia" w:ascii="宋体" w:hAnsi="宋体" w:eastAsia="宋体" w:cs="宋体"/>
          <w:color w:val="auto"/>
          <w:sz w:val="24"/>
          <w:szCs w:val="24"/>
          <w:lang w:eastAsia="zh-CN"/>
        </w:rPr>
      </w:pPr>
      <w:r>
        <w:rPr>
          <w:rFonts w:hint="eastAsia" w:ascii="宋体" w:hAnsi="宋体" w:eastAsia="宋体" w:cs="宋体"/>
          <w:color w:val="auto"/>
          <w:spacing w:val="5"/>
          <w:sz w:val="24"/>
          <w:szCs w:val="24"/>
          <w:lang w:eastAsia="zh-CN"/>
        </w:rPr>
        <w:t>第十五条  鼓励各地区、各部门在采购活动中允许中小</w:t>
      </w:r>
      <w:r>
        <w:rPr>
          <w:rFonts w:hint="eastAsia" w:ascii="宋体" w:hAnsi="宋体" w:eastAsia="宋体" w:cs="宋体"/>
          <w:color w:val="auto"/>
          <w:spacing w:val="8"/>
          <w:sz w:val="24"/>
          <w:szCs w:val="24"/>
          <w:lang w:eastAsia="zh-CN"/>
        </w:rPr>
        <w:t>企业引入信用担保手段，为中小企业在投标（响应）保证、履约保证等方面提供专业化服务。鼓励中小企业依法合规通</w:t>
      </w:r>
      <w:r>
        <w:rPr>
          <w:rFonts w:hint="eastAsia" w:ascii="宋体" w:hAnsi="宋体" w:eastAsia="宋体" w:cs="宋体"/>
          <w:color w:val="auto"/>
          <w:spacing w:val="6"/>
          <w:sz w:val="24"/>
          <w:szCs w:val="24"/>
          <w:lang w:eastAsia="zh-CN"/>
        </w:rPr>
        <w:t>过政府采购合同融资。</w:t>
      </w:r>
    </w:p>
    <w:p w14:paraId="22FE2F3F">
      <w:pPr>
        <w:spacing w:line="560" w:lineRule="exact"/>
        <w:ind w:firstLine="698"/>
        <w:rPr>
          <w:rFonts w:hint="eastAsia" w:ascii="宋体" w:hAnsi="宋体" w:eastAsia="宋体" w:cs="宋体"/>
          <w:color w:val="auto"/>
          <w:sz w:val="24"/>
          <w:szCs w:val="24"/>
          <w:lang w:eastAsia="zh-CN"/>
        </w:rPr>
      </w:pPr>
      <w:r>
        <w:rPr>
          <w:rFonts w:hint="eastAsia" w:ascii="宋体" w:hAnsi="宋体" w:eastAsia="宋体" w:cs="宋体"/>
          <w:color w:val="auto"/>
          <w:spacing w:val="5"/>
          <w:sz w:val="24"/>
          <w:szCs w:val="24"/>
          <w:lang w:eastAsia="zh-CN"/>
        </w:rPr>
        <w:t>第十六条  政府采购监督检查、投诉处理及政府采购行</w:t>
      </w:r>
      <w:r>
        <w:rPr>
          <w:rFonts w:hint="eastAsia" w:ascii="宋体" w:hAnsi="宋体" w:eastAsia="宋体" w:cs="宋体"/>
          <w:color w:val="auto"/>
          <w:spacing w:val="17"/>
          <w:sz w:val="24"/>
          <w:szCs w:val="24"/>
          <w:lang w:eastAsia="zh-CN"/>
        </w:rPr>
        <w:t xml:space="preserve"> </w:t>
      </w:r>
      <w:r>
        <w:rPr>
          <w:rFonts w:hint="eastAsia" w:ascii="宋体" w:hAnsi="宋体" w:eastAsia="宋体" w:cs="宋体"/>
          <w:color w:val="auto"/>
          <w:spacing w:val="8"/>
          <w:sz w:val="24"/>
          <w:szCs w:val="24"/>
          <w:lang w:eastAsia="zh-CN"/>
        </w:rPr>
        <w:t>政处罚中对中小企业的认定，由货物制造商或者工程、服务</w:t>
      </w:r>
      <w:r>
        <w:rPr>
          <w:rFonts w:hint="eastAsia" w:ascii="宋体" w:hAnsi="宋体" w:eastAsia="宋体" w:cs="宋体"/>
          <w:color w:val="auto"/>
          <w:spacing w:val="21"/>
          <w:sz w:val="24"/>
          <w:szCs w:val="24"/>
          <w:lang w:eastAsia="zh-CN"/>
        </w:rPr>
        <w:t>供应商注册登记所在地的县级以上人民政府中小企业主管</w:t>
      </w:r>
      <w:r>
        <w:rPr>
          <w:rFonts w:hint="eastAsia" w:ascii="宋体" w:hAnsi="宋体" w:eastAsia="宋体" w:cs="宋体"/>
          <w:color w:val="auto"/>
          <w:spacing w:val="3"/>
          <w:sz w:val="24"/>
          <w:szCs w:val="24"/>
          <w:lang w:eastAsia="zh-CN"/>
        </w:rPr>
        <w:t>部门负责。</w:t>
      </w:r>
    </w:p>
    <w:p w14:paraId="0C674048">
      <w:pPr>
        <w:spacing w:line="560" w:lineRule="exact"/>
        <w:ind w:firstLine="750"/>
        <w:rPr>
          <w:rFonts w:hint="eastAsia" w:ascii="宋体" w:hAnsi="宋体" w:eastAsia="宋体" w:cs="宋体"/>
          <w:color w:val="auto"/>
          <w:spacing w:val="6"/>
          <w:sz w:val="24"/>
          <w:szCs w:val="24"/>
          <w:lang w:eastAsia="zh-CN"/>
        </w:rPr>
      </w:pPr>
      <w:r>
        <w:rPr>
          <w:rFonts w:hint="eastAsia" w:ascii="宋体" w:hAnsi="宋体" w:eastAsia="宋体" w:cs="宋体"/>
          <w:color w:val="auto"/>
          <w:spacing w:val="17"/>
          <w:sz w:val="24"/>
          <w:szCs w:val="24"/>
          <w:lang w:eastAsia="zh-CN"/>
        </w:rPr>
        <w:t>中小企业主管部门应当在收到财政部门或者有关招标</w:t>
      </w:r>
      <w:r>
        <w:rPr>
          <w:rFonts w:hint="eastAsia" w:ascii="宋体" w:hAnsi="宋体" w:eastAsia="宋体" w:cs="宋体"/>
          <w:color w:val="auto"/>
          <w:spacing w:val="11"/>
          <w:sz w:val="24"/>
          <w:szCs w:val="24"/>
          <w:lang w:eastAsia="zh-CN"/>
        </w:rPr>
        <w:t>投标行政监督部门关于协助开展中小企业认定函后10</w:t>
      </w:r>
      <w:r>
        <w:rPr>
          <w:rFonts w:hint="eastAsia" w:ascii="宋体" w:hAnsi="宋体" w:eastAsia="宋体" w:cs="宋体"/>
          <w:color w:val="auto"/>
          <w:spacing w:val="-48"/>
          <w:sz w:val="24"/>
          <w:szCs w:val="24"/>
          <w:lang w:eastAsia="zh-CN"/>
        </w:rPr>
        <w:t xml:space="preserve"> </w:t>
      </w:r>
      <w:r>
        <w:rPr>
          <w:rFonts w:hint="eastAsia" w:ascii="宋体" w:hAnsi="宋体" w:eastAsia="宋体" w:cs="宋体"/>
          <w:color w:val="auto"/>
          <w:spacing w:val="11"/>
          <w:sz w:val="24"/>
          <w:szCs w:val="24"/>
          <w:lang w:eastAsia="zh-CN"/>
        </w:rPr>
        <w:t>个工</w:t>
      </w:r>
      <w:r>
        <w:rPr>
          <w:rFonts w:hint="eastAsia" w:ascii="宋体" w:hAnsi="宋体" w:eastAsia="宋体" w:cs="宋体"/>
          <w:color w:val="auto"/>
          <w:spacing w:val="6"/>
          <w:sz w:val="24"/>
          <w:szCs w:val="24"/>
          <w:lang w:eastAsia="zh-CN"/>
        </w:rPr>
        <w:t>作日内做出书面答复。</w:t>
      </w:r>
    </w:p>
    <w:p w14:paraId="7019CD11">
      <w:pPr>
        <w:spacing w:line="560" w:lineRule="exact"/>
        <w:ind w:firstLine="750"/>
        <w:rPr>
          <w:rFonts w:hint="eastAsia" w:ascii="宋体" w:hAnsi="宋体" w:eastAsia="宋体" w:cs="宋体"/>
          <w:color w:val="auto"/>
          <w:spacing w:val="8"/>
          <w:sz w:val="24"/>
          <w:szCs w:val="24"/>
          <w:lang w:eastAsia="zh-CN"/>
        </w:rPr>
      </w:pPr>
      <w:r>
        <w:rPr>
          <w:rFonts w:hint="eastAsia" w:ascii="宋体" w:hAnsi="宋体" w:eastAsia="宋体" w:cs="宋体"/>
          <w:color w:val="auto"/>
          <w:spacing w:val="5"/>
          <w:sz w:val="24"/>
          <w:szCs w:val="24"/>
          <w:lang w:eastAsia="zh-CN"/>
        </w:rPr>
        <w:t xml:space="preserve">第十七条 </w:t>
      </w:r>
      <w:r>
        <w:rPr>
          <w:rFonts w:hint="eastAsia" w:ascii="宋体" w:hAnsi="宋体" w:eastAsia="宋体" w:cs="宋体"/>
          <w:color w:val="auto"/>
          <w:spacing w:val="17"/>
          <w:sz w:val="24"/>
          <w:szCs w:val="24"/>
          <w:lang w:eastAsia="zh-CN"/>
        </w:rPr>
        <w:t xml:space="preserve"> 各地区、各部门应当对涉及中小企业采购的预算项目实施全过</w:t>
      </w:r>
      <w:r>
        <w:rPr>
          <w:rFonts w:hint="eastAsia" w:ascii="宋体" w:hAnsi="宋体" w:eastAsia="宋体" w:cs="宋体"/>
          <w:color w:val="auto"/>
          <w:spacing w:val="8"/>
          <w:sz w:val="24"/>
          <w:szCs w:val="24"/>
          <w:lang w:eastAsia="zh-CN"/>
        </w:rPr>
        <w:t>程绩效管理，合理设置绩效目标和指标，落实扶持中小企业有关政策要求，定期开展绩效监控和评价，强化绩效评价结果应用。</w:t>
      </w:r>
    </w:p>
    <w:p w14:paraId="28DCE6E2">
      <w:pPr>
        <w:spacing w:line="560" w:lineRule="exact"/>
        <w:ind w:firstLine="512" w:firstLineChars="200"/>
        <w:rPr>
          <w:rFonts w:hint="eastAsia" w:ascii="宋体" w:hAnsi="宋体" w:eastAsia="宋体" w:cs="宋体"/>
          <w:color w:val="auto"/>
          <w:spacing w:val="8"/>
          <w:position w:val="18"/>
          <w:sz w:val="24"/>
          <w:szCs w:val="24"/>
          <w:lang w:eastAsia="zh-CN"/>
        </w:rPr>
      </w:pPr>
      <w:r>
        <w:rPr>
          <w:rFonts w:hint="eastAsia" w:ascii="宋体" w:hAnsi="宋体" w:eastAsia="宋体" w:cs="宋体"/>
          <w:color w:val="auto"/>
          <w:spacing w:val="8"/>
          <w:position w:val="18"/>
          <w:sz w:val="24"/>
          <w:szCs w:val="24"/>
          <w:lang w:eastAsia="zh-CN"/>
        </w:rPr>
        <w:t>第十八条  主管预算单位应当自 2022 年起向同级财政部门报告本部门上一年度面向中小企业预留份额和采购的具体情况，并在中国政府采购网公开预留项目执行情况(附2)。未达到本办法规定的预留份额比例的，应当作出说明。</w:t>
      </w:r>
    </w:p>
    <w:p w14:paraId="3D92408C">
      <w:pPr>
        <w:spacing w:line="560" w:lineRule="exact"/>
        <w:ind w:firstLine="556" w:firstLineChars="200"/>
        <w:rPr>
          <w:rFonts w:hint="eastAsia" w:ascii="宋体" w:hAnsi="宋体" w:eastAsia="宋体" w:cs="宋体"/>
          <w:color w:val="auto"/>
          <w:sz w:val="24"/>
          <w:szCs w:val="24"/>
          <w:lang w:eastAsia="zh-CN"/>
        </w:rPr>
      </w:pPr>
      <w:r>
        <w:rPr>
          <w:rFonts w:hint="eastAsia" w:ascii="宋体" w:hAnsi="宋体" w:eastAsia="宋体" w:cs="宋体"/>
          <w:color w:val="auto"/>
          <w:spacing w:val="19"/>
          <w:sz w:val="24"/>
          <w:szCs w:val="24"/>
          <w:lang w:eastAsia="zh-CN"/>
        </w:rPr>
        <w:t>第十九条  采购人未按本办法规定为中小企</w:t>
      </w:r>
      <w:r>
        <w:rPr>
          <w:rFonts w:hint="eastAsia" w:ascii="宋体" w:hAnsi="宋体" w:eastAsia="宋体" w:cs="宋体"/>
          <w:color w:val="auto"/>
          <w:spacing w:val="18"/>
          <w:sz w:val="24"/>
          <w:szCs w:val="24"/>
          <w:lang w:eastAsia="zh-CN"/>
        </w:rPr>
        <w:t>业预留采</w:t>
      </w:r>
      <w:r>
        <w:rPr>
          <w:rFonts w:hint="eastAsia" w:ascii="宋体" w:hAnsi="宋体" w:eastAsia="宋体" w:cs="宋体"/>
          <w:color w:val="auto"/>
          <w:spacing w:val="8"/>
          <w:sz w:val="24"/>
          <w:szCs w:val="24"/>
          <w:lang w:eastAsia="zh-CN"/>
        </w:rPr>
        <w:t>购份额，采购人、采购代理机构未按照本办法规定要求实施价格扣除或者价格分加分的，属于未按照规定执行政府采购政策，依照《中华人民共和国政府采购法》等国家有关规定</w:t>
      </w:r>
      <w:r>
        <w:rPr>
          <w:rFonts w:hint="eastAsia" w:ascii="宋体" w:hAnsi="宋体" w:eastAsia="宋体" w:cs="宋体"/>
          <w:color w:val="auto"/>
          <w:spacing w:val="5"/>
          <w:sz w:val="24"/>
          <w:szCs w:val="24"/>
          <w:lang w:eastAsia="zh-CN"/>
        </w:rPr>
        <w:t>追究法律责任。</w:t>
      </w:r>
    </w:p>
    <w:p w14:paraId="2EC30989">
      <w:pPr>
        <w:spacing w:line="560" w:lineRule="exact"/>
        <w:ind w:firstLine="693"/>
        <w:rPr>
          <w:rFonts w:hint="eastAsia" w:ascii="宋体" w:hAnsi="宋体" w:eastAsia="宋体" w:cs="宋体"/>
          <w:color w:val="auto"/>
          <w:sz w:val="24"/>
          <w:szCs w:val="24"/>
          <w:lang w:eastAsia="zh-CN"/>
        </w:rPr>
      </w:pPr>
      <w:r>
        <w:rPr>
          <w:rFonts w:hint="eastAsia" w:ascii="宋体" w:hAnsi="宋体" w:eastAsia="宋体" w:cs="宋体"/>
          <w:color w:val="auto"/>
          <w:spacing w:val="19"/>
          <w:sz w:val="24"/>
          <w:szCs w:val="24"/>
          <w:lang w:eastAsia="zh-CN"/>
        </w:rPr>
        <w:t>第二十条  供应商按照本办法规定提供声明</w:t>
      </w:r>
      <w:r>
        <w:rPr>
          <w:rFonts w:hint="eastAsia" w:ascii="宋体" w:hAnsi="宋体" w:eastAsia="宋体" w:cs="宋体"/>
          <w:color w:val="auto"/>
          <w:spacing w:val="18"/>
          <w:sz w:val="24"/>
          <w:szCs w:val="24"/>
          <w:lang w:eastAsia="zh-CN"/>
        </w:rPr>
        <w:t>函内容不</w:t>
      </w:r>
      <w:r>
        <w:rPr>
          <w:rFonts w:hint="eastAsia" w:ascii="宋体" w:hAnsi="宋体" w:eastAsia="宋体" w:cs="宋体"/>
          <w:color w:val="auto"/>
          <w:spacing w:val="8"/>
          <w:sz w:val="24"/>
          <w:szCs w:val="24"/>
          <w:lang w:eastAsia="zh-CN"/>
        </w:rPr>
        <w:t>实的，属于提供虚假材料谋取中标、成交，依照《中华人民共和国政府采购法》等国家有关规定追究相应责任。</w:t>
      </w:r>
    </w:p>
    <w:p w14:paraId="0B519BF9">
      <w:pPr>
        <w:spacing w:line="560" w:lineRule="exact"/>
        <w:ind w:firstLine="638"/>
        <w:rPr>
          <w:rFonts w:hint="eastAsia" w:ascii="宋体" w:hAnsi="宋体" w:eastAsia="宋体" w:cs="宋体"/>
          <w:color w:val="auto"/>
          <w:sz w:val="24"/>
          <w:szCs w:val="24"/>
          <w:lang w:eastAsia="zh-CN"/>
        </w:rPr>
      </w:pPr>
      <w:r>
        <w:rPr>
          <w:rFonts w:hint="eastAsia" w:ascii="宋体" w:hAnsi="宋体" w:eastAsia="宋体" w:cs="宋体"/>
          <w:color w:val="auto"/>
          <w:spacing w:val="6"/>
          <w:sz w:val="24"/>
          <w:szCs w:val="24"/>
          <w:lang w:eastAsia="zh-CN"/>
        </w:rPr>
        <w:t>适用招标投标法的政府采购工程建设项目，投标人按照本办法规定提供声明函内容不实的，属于弄虚作假骗取</w:t>
      </w:r>
      <w:r>
        <w:rPr>
          <w:rFonts w:hint="eastAsia" w:ascii="宋体" w:hAnsi="宋体" w:eastAsia="宋体" w:cs="宋体"/>
          <w:color w:val="auto"/>
          <w:spacing w:val="5"/>
          <w:sz w:val="24"/>
          <w:szCs w:val="24"/>
          <w:lang w:eastAsia="zh-CN"/>
        </w:rPr>
        <w:t>中标，</w:t>
      </w:r>
      <w:r>
        <w:rPr>
          <w:rFonts w:hint="eastAsia" w:ascii="宋体" w:hAnsi="宋体" w:eastAsia="宋体" w:cs="宋体"/>
          <w:color w:val="auto"/>
          <w:spacing w:val="8"/>
          <w:sz w:val="24"/>
          <w:szCs w:val="24"/>
          <w:lang w:eastAsia="zh-CN"/>
        </w:rPr>
        <w:t>依照《中华人民共和国招标投标法》等国家有关规定追究相</w:t>
      </w:r>
      <w:r>
        <w:rPr>
          <w:rFonts w:hint="eastAsia" w:ascii="宋体" w:hAnsi="宋体" w:eastAsia="宋体" w:cs="宋体"/>
          <w:color w:val="auto"/>
          <w:spacing w:val="2"/>
          <w:sz w:val="24"/>
          <w:szCs w:val="24"/>
          <w:lang w:eastAsia="zh-CN"/>
        </w:rPr>
        <w:t>应责任。</w:t>
      </w:r>
    </w:p>
    <w:p w14:paraId="54D952B5">
      <w:pPr>
        <w:spacing w:line="560" w:lineRule="exact"/>
        <w:ind w:firstLine="702"/>
        <w:rPr>
          <w:rFonts w:hint="eastAsia" w:ascii="宋体" w:hAnsi="宋体" w:eastAsia="宋体" w:cs="宋体"/>
          <w:color w:val="auto"/>
          <w:sz w:val="24"/>
          <w:szCs w:val="24"/>
          <w:lang w:eastAsia="zh-CN"/>
        </w:rPr>
      </w:pPr>
      <w:r>
        <w:rPr>
          <w:rFonts w:hint="eastAsia" w:ascii="宋体" w:hAnsi="宋体" w:eastAsia="宋体" w:cs="宋体"/>
          <w:color w:val="auto"/>
          <w:spacing w:val="5"/>
          <w:sz w:val="24"/>
          <w:szCs w:val="24"/>
          <w:lang w:eastAsia="zh-CN"/>
        </w:rPr>
        <w:t>第二十一条  财政部门、中小企业主管部门及其工作人</w:t>
      </w:r>
      <w:r>
        <w:rPr>
          <w:rFonts w:hint="eastAsia" w:ascii="宋体" w:hAnsi="宋体" w:eastAsia="宋体" w:cs="宋体"/>
          <w:color w:val="auto"/>
          <w:spacing w:val="8"/>
          <w:sz w:val="24"/>
          <w:szCs w:val="24"/>
          <w:lang w:eastAsia="zh-CN"/>
        </w:rPr>
        <w:t>员在履行职责中违反本办法规定及存在其他滥用职权、玩忽职守、徇私舞弊等违法违纪行为的，依照《</w:t>
      </w:r>
      <w:r>
        <w:fldChar w:fldCharType="begin"/>
      </w:r>
      <w:r>
        <w:instrText xml:space="preserve"> HYPERLINK "http://10.162.100.18:168/golaw?dbnm=gjfg&amp;flid=1116012014128049" </w:instrText>
      </w:r>
      <w:r>
        <w:fldChar w:fldCharType="separate"/>
      </w:r>
      <w:r>
        <w:rPr>
          <w:rFonts w:hint="eastAsia" w:ascii="宋体" w:hAnsi="宋体" w:eastAsia="宋体" w:cs="宋体"/>
          <w:color w:val="auto"/>
          <w:spacing w:val="8"/>
          <w:sz w:val="24"/>
          <w:szCs w:val="24"/>
          <w:lang w:eastAsia="zh-CN"/>
        </w:rPr>
        <w:t>中华人民共和国</w:t>
      </w:r>
      <w:r>
        <w:rPr>
          <w:rFonts w:hint="eastAsia" w:ascii="宋体" w:hAnsi="宋体" w:eastAsia="宋体" w:cs="宋体"/>
          <w:color w:val="auto"/>
          <w:spacing w:val="8"/>
          <w:sz w:val="24"/>
          <w:szCs w:val="24"/>
          <w:lang w:eastAsia="zh-CN"/>
        </w:rPr>
        <w:fldChar w:fldCharType="end"/>
      </w:r>
      <w:r>
        <w:rPr>
          <w:rFonts w:hint="eastAsia" w:ascii="宋体" w:hAnsi="宋体" w:eastAsia="宋体" w:cs="宋体"/>
          <w:color w:val="auto"/>
          <w:spacing w:val="-14"/>
          <w:sz w:val="24"/>
          <w:szCs w:val="24"/>
          <w:lang w:eastAsia="zh-CN"/>
        </w:rPr>
        <w:t>政府采购法》、《</w:t>
      </w:r>
      <w:r>
        <w:fldChar w:fldCharType="begin"/>
      </w:r>
      <w:r>
        <w:instrText xml:space="preserve"> HYPERLINK "http://10.162.100.18:168/golaw?dbnm=gjfg&amp;flid=111601200501" </w:instrText>
      </w:r>
      <w:r>
        <w:fldChar w:fldCharType="separate"/>
      </w:r>
      <w:r>
        <w:rPr>
          <w:rFonts w:hint="eastAsia" w:ascii="宋体" w:hAnsi="宋体" w:eastAsia="宋体" w:cs="宋体"/>
          <w:color w:val="auto"/>
          <w:spacing w:val="-14"/>
          <w:sz w:val="24"/>
          <w:szCs w:val="24"/>
          <w:lang w:eastAsia="zh-CN"/>
        </w:rPr>
        <w:t>中华人民共和国公务员法</w:t>
      </w:r>
      <w:r>
        <w:rPr>
          <w:rFonts w:hint="eastAsia" w:ascii="宋体" w:hAnsi="宋体" w:eastAsia="宋体" w:cs="宋体"/>
          <w:color w:val="auto"/>
          <w:spacing w:val="-14"/>
          <w:sz w:val="24"/>
          <w:szCs w:val="24"/>
          <w:lang w:eastAsia="zh-CN"/>
        </w:rPr>
        <w:fldChar w:fldCharType="end"/>
      </w:r>
      <w:r>
        <w:rPr>
          <w:rFonts w:hint="eastAsia" w:ascii="宋体" w:hAnsi="宋体" w:eastAsia="宋体" w:cs="宋体"/>
          <w:color w:val="auto"/>
          <w:spacing w:val="-14"/>
          <w:sz w:val="24"/>
          <w:szCs w:val="24"/>
          <w:lang w:eastAsia="zh-CN"/>
        </w:rPr>
        <w:t>》、《</w:t>
      </w:r>
      <w:r>
        <w:fldChar w:fldCharType="begin"/>
      </w:r>
      <w:r>
        <w:instrText xml:space="preserve"> HYPERLINK "http://10.162.100.18:168/golaw?dbnm=gjfg&amp;flid=1117032010100014" </w:instrText>
      </w:r>
      <w:r>
        <w:fldChar w:fldCharType="separate"/>
      </w:r>
      <w:r>
        <w:rPr>
          <w:rFonts w:hint="eastAsia" w:ascii="宋体" w:hAnsi="宋体" w:eastAsia="宋体" w:cs="宋体"/>
          <w:color w:val="auto"/>
          <w:spacing w:val="-14"/>
          <w:sz w:val="24"/>
          <w:szCs w:val="24"/>
          <w:lang w:eastAsia="zh-CN"/>
        </w:rPr>
        <w:t>中华人民共和</w:t>
      </w:r>
      <w:r>
        <w:rPr>
          <w:rFonts w:hint="eastAsia" w:ascii="宋体" w:hAnsi="宋体" w:eastAsia="宋体" w:cs="宋体"/>
          <w:color w:val="auto"/>
          <w:spacing w:val="-14"/>
          <w:sz w:val="24"/>
          <w:szCs w:val="24"/>
          <w:lang w:eastAsia="zh-CN"/>
        </w:rPr>
        <w:fldChar w:fldCharType="end"/>
      </w:r>
      <w:r>
        <w:rPr>
          <w:rFonts w:hint="eastAsia" w:ascii="宋体" w:hAnsi="宋体" w:eastAsia="宋体" w:cs="宋体"/>
          <w:color w:val="auto"/>
          <w:spacing w:val="-3"/>
          <w:sz w:val="24"/>
          <w:szCs w:val="24"/>
          <w:lang w:eastAsia="zh-CN"/>
        </w:rPr>
        <w:t>国监察法》、《</w:t>
      </w:r>
      <w:r>
        <w:fldChar w:fldCharType="begin"/>
      </w:r>
      <w:r>
        <w:instrText xml:space="preserve"> HYPERLINK "http://10.162.100.18:168/golaw?dbnm=gjfg&amp;flid=1129012015130679" </w:instrText>
      </w:r>
      <w:r>
        <w:fldChar w:fldCharType="separate"/>
      </w:r>
      <w:r>
        <w:rPr>
          <w:rFonts w:hint="eastAsia" w:ascii="宋体" w:hAnsi="宋体" w:eastAsia="宋体" w:cs="宋体"/>
          <w:color w:val="auto"/>
          <w:spacing w:val="-3"/>
          <w:sz w:val="24"/>
          <w:szCs w:val="24"/>
          <w:lang w:eastAsia="zh-CN"/>
        </w:rPr>
        <w:t>中华人民共和国政府采购法实施条例</w:t>
      </w:r>
      <w:r>
        <w:rPr>
          <w:rFonts w:hint="eastAsia" w:ascii="宋体" w:hAnsi="宋体" w:eastAsia="宋体" w:cs="宋体"/>
          <w:color w:val="auto"/>
          <w:spacing w:val="-3"/>
          <w:sz w:val="24"/>
          <w:szCs w:val="24"/>
          <w:lang w:eastAsia="zh-CN"/>
        </w:rPr>
        <w:fldChar w:fldCharType="end"/>
      </w:r>
      <w:r>
        <w:rPr>
          <w:rFonts w:hint="eastAsia" w:ascii="宋体" w:hAnsi="宋体" w:eastAsia="宋体" w:cs="宋体"/>
          <w:color w:val="auto"/>
          <w:spacing w:val="-3"/>
          <w:sz w:val="24"/>
          <w:szCs w:val="24"/>
          <w:lang w:eastAsia="zh-CN"/>
        </w:rPr>
        <w:t>》等</w:t>
      </w:r>
      <w:r>
        <w:rPr>
          <w:rFonts w:hint="eastAsia" w:ascii="宋体" w:hAnsi="宋体" w:eastAsia="宋体" w:cs="宋体"/>
          <w:color w:val="auto"/>
          <w:spacing w:val="-4"/>
          <w:sz w:val="24"/>
          <w:szCs w:val="24"/>
          <w:lang w:eastAsia="zh-CN"/>
        </w:rPr>
        <w:t>国家</w:t>
      </w:r>
      <w:r>
        <w:rPr>
          <w:rFonts w:hint="eastAsia" w:ascii="宋体" w:hAnsi="宋体" w:eastAsia="宋体" w:cs="宋体"/>
          <w:color w:val="auto"/>
          <w:spacing w:val="9"/>
          <w:sz w:val="24"/>
          <w:szCs w:val="24"/>
          <w:lang w:eastAsia="zh-CN"/>
        </w:rPr>
        <w:t>有关规定追究相应责任；涉嫌犯罪的，依法</w:t>
      </w:r>
      <w:r>
        <w:rPr>
          <w:rFonts w:hint="eastAsia" w:ascii="宋体" w:hAnsi="宋体" w:eastAsia="宋体" w:cs="宋体"/>
          <w:color w:val="auto"/>
          <w:spacing w:val="8"/>
          <w:sz w:val="24"/>
          <w:szCs w:val="24"/>
          <w:lang w:eastAsia="zh-CN"/>
        </w:rPr>
        <w:t>移送有关国家机</w:t>
      </w:r>
      <w:r>
        <w:rPr>
          <w:rFonts w:hint="eastAsia" w:ascii="宋体" w:hAnsi="宋体" w:eastAsia="宋体" w:cs="宋体"/>
          <w:color w:val="auto"/>
          <w:spacing w:val="-1"/>
          <w:sz w:val="24"/>
          <w:szCs w:val="24"/>
          <w:lang w:eastAsia="zh-CN"/>
        </w:rPr>
        <w:t>关处理。</w:t>
      </w:r>
    </w:p>
    <w:p w14:paraId="3046CCE3">
      <w:pPr>
        <w:spacing w:line="560" w:lineRule="exact"/>
        <w:ind w:firstLine="500" w:firstLineChars="200"/>
        <w:rPr>
          <w:rFonts w:hint="eastAsia" w:ascii="宋体" w:hAnsi="宋体" w:eastAsia="宋体" w:cs="宋体"/>
          <w:color w:val="auto"/>
          <w:sz w:val="24"/>
          <w:szCs w:val="24"/>
          <w:lang w:eastAsia="zh-CN"/>
        </w:rPr>
      </w:pPr>
      <w:r>
        <w:rPr>
          <w:rFonts w:hint="eastAsia" w:ascii="宋体" w:hAnsi="宋体" w:eastAsia="宋体" w:cs="宋体"/>
          <w:color w:val="auto"/>
          <w:spacing w:val="5"/>
          <w:sz w:val="24"/>
          <w:szCs w:val="24"/>
          <w:lang w:eastAsia="zh-CN"/>
        </w:rPr>
        <w:t>第二十二条</w:t>
      </w:r>
      <w:r>
        <w:rPr>
          <w:rFonts w:hint="eastAsia" w:ascii="宋体" w:hAnsi="宋体" w:eastAsia="宋体" w:cs="宋体"/>
          <w:b/>
          <w:bCs/>
          <w:color w:val="auto"/>
          <w:spacing w:val="8"/>
          <w:sz w:val="24"/>
          <w:szCs w:val="24"/>
          <w:lang w:eastAsia="zh-CN"/>
        </w:rPr>
        <w:t xml:space="preserve">  </w:t>
      </w:r>
      <w:r>
        <w:rPr>
          <w:rFonts w:hint="eastAsia" w:ascii="宋体" w:hAnsi="宋体" w:eastAsia="宋体" w:cs="宋体"/>
          <w:color w:val="auto"/>
          <w:spacing w:val="8"/>
          <w:sz w:val="24"/>
          <w:szCs w:val="24"/>
          <w:lang w:eastAsia="zh-CN"/>
        </w:rPr>
        <w:t>对外援助项目、国家相关资格或者资质管理制度另有规定的项目，不适用本办法。</w:t>
      </w:r>
    </w:p>
    <w:p w14:paraId="272EDFDB">
      <w:pPr>
        <w:spacing w:line="560" w:lineRule="exact"/>
        <w:rPr>
          <w:rFonts w:hint="eastAsia" w:ascii="宋体" w:hAnsi="宋体" w:eastAsia="宋体" w:cs="宋体"/>
          <w:color w:val="auto"/>
          <w:sz w:val="24"/>
          <w:szCs w:val="24"/>
          <w:lang w:eastAsia="zh-CN"/>
        </w:rPr>
        <w:sectPr>
          <w:headerReference r:id="rId7" w:type="default"/>
          <w:footerReference r:id="rId8" w:type="default"/>
          <w:pgSz w:w="11906" w:h="16839"/>
          <w:pgMar w:top="1429" w:right="1553" w:bottom="1378" w:left="1786" w:header="907" w:footer="1134" w:gutter="0"/>
          <w:cols w:space="720" w:num="1"/>
        </w:sectPr>
      </w:pPr>
    </w:p>
    <w:p w14:paraId="4C4EA1A9">
      <w:pPr>
        <w:spacing w:line="560" w:lineRule="exact"/>
        <w:ind w:firstLine="500" w:firstLineChars="200"/>
        <w:rPr>
          <w:rFonts w:hint="eastAsia" w:ascii="宋体" w:hAnsi="宋体" w:eastAsia="宋体" w:cs="宋体"/>
          <w:color w:val="auto"/>
          <w:spacing w:val="8"/>
          <w:sz w:val="24"/>
          <w:szCs w:val="24"/>
          <w:lang w:eastAsia="zh-CN"/>
        </w:rPr>
      </w:pPr>
      <w:r>
        <w:rPr>
          <w:rFonts w:hint="eastAsia" w:ascii="宋体" w:hAnsi="宋体" w:eastAsia="宋体" w:cs="宋体"/>
          <w:color w:val="auto"/>
          <w:spacing w:val="5"/>
          <w:sz w:val="24"/>
          <w:szCs w:val="24"/>
          <w:lang w:eastAsia="zh-CN"/>
        </w:rPr>
        <w:t>第二十三条</w:t>
      </w:r>
      <w:r>
        <w:rPr>
          <w:rFonts w:hint="eastAsia" w:ascii="宋体" w:hAnsi="宋体" w:eastAsia="宋体" w:cs="宋体"/>
          <w:color w:val="auto"/>
          <w:spacing w:val="8"/>
          <w:sz w:val="24"/>
          <w:szCs w:val="24"/>
          <w:lang w:eastAsia="zh-CN"/>
        </w:rPr>
        <w:t xml:space="preserve">  关于视同中小企业的其他主体的政府采</w:t>
      </w:r>
    </w:p>
    <w:p w14:paraId="7F9CA6B5">
      <w:pPr>
        <w:spacing w:line="560" w:lineRule="exact"/>
        <w:rPr>
          <w:rFonts w:hint="eastAsia" w:ascii="宋体" w:hAnsi="宋体" w:eastAsia="宋体" w:cs="宋体"/>
          <w:color w:val="auto"/>
          <w:spacing w:val="8"/>
          <w:sz w:val="24"/>
          <w:szCs w:val="24"/>
          <w:lang w:eastAsia="zh-CN"/>
        </w:rPr>
      </w:pPr>
      <w:r>
        <w:rPr>
          <w:rFonts w:hint="eastAsia" w:ascii="宋体" w:hAnsi="宋体" w:eastAsia="宋体" w:cs="宋体"/>
          <w:color w:val="auto"/>
          <w:spacing w:val="8"/>
          <w:sz w:val="24"/>
          <w:szCs w:val="24"/>
          <w:lang w:eastAsia="zh-CN"/>
        </w:rPr>
        <w:t>购扶持政策，由财政部会同有关部门另行规定。</w:t>
      </w:r>
    </w:p>
    <w:p w14:paraId="37B4778C">
      <w:pPr>
        <w:spacing w:line="560" w:lineRule="exact"/>
        <w:ind w:firstLine="500" w:firstLineChars="200"/>
        <w:rPr>
          <w:rFonts w:hint="eastAsia" w:ascii="宋体" w:hAnsi="宋体" w:eastAsia="宋体" w:cs="宋体"/>
          <w:color w:val="auto"/>
          <w:spacing w:val="8"/>
          <w:sz w:val="24"/>
          <w:szCs w:val="24"/>
          <w:lang w:eastAsia="zh-CN"/>
        </w:rPr>
      </w:pPr>
      <w:r>
        <w:rPr>
          <w:rFonts w:hint="eastAsia" w:ascii="宋体" w:hAnsi="宋体" w:eastAsia="宋体" w:cs="宋体"/>
          <w:color w:val="auto"/>
          <w:spacing w:val="5"/>
          <w:sz w:val="24"/>
          <w:szCs w:val="24"/>
          <w:lang w:eastAsia="zh-CN"/>
        </w:rPr>
        <w:t>第二十四条</w:t>
      </w:r>
      <w:r>
        <w:rPr>
          <w:rFonts w:hint="eastAsia" w:ascii="宋体" w:hAnsi="宋体" w:eastAsia="宋体" w:cs="宋体"/>
          <w:color w:val="auto"/>
          <w:spacing w:val="8"/>
          <w:sz w:val="24"/>
          <w:szCs w:val="24"/>
          <w:lang w:eastAsia="zh-CN"/>
        </w:rPr>
        <w:t xml:space="preserve">  省级财政部门可以会同中小企业主管部门根据本办法的规定制定具体实施办法。</w:t>
      </w:r>
    </w:p>
    <w:p w14:paraId="215B1133">
      <w:pPr>
        <w:spacing w:line="560" w:lineRule="exact"/>
        <w:ind w:firstLine="500" w:firstLineChars="200"/>
        <w:rPr>
          <w:rFonts w:hint="eastAsia" w:ascii="宋体" w:hAnsi="宋体" w:eastAsia="宋体" w:cs="宋体"/>
          <w:color w:val="auto"/>
          <w:spacing w:val="8"/>
          <w:sz w:val="24"/>
          <w:szCs w:val="24"/>
          <w:lang w:eastAsia="zh-CN"/>
        </w:rPr>
      </w:pPr>
      <w:r>
        <w:rPr>
          <w:rFonts w:hint="eastAsia" w:ascii="宋体" w:hAnsi="宋体" w:eastAsia="宋体" w:cs="宋体"/>
          <w:color w:val="auto"/>
          <w:spacing w:val="5"/>
          <w:sz w:val="24"/>
          <w:szCs w:val="24"/>
          <w:lang w:eastAsia="zh-CN"/>
        </w:rPr>
        <w:t>第二十五条</w:t>
      </w:r>
      <w:r>
        <w:rPr>
          <w:rFonts w:hint="eastAsia" w:ascii="宋体" w:hAnsi="宋体" w:eastAsia="宋体" w:cs="宋体"/>
          <w:color w:val="auto"/>
          <w:spacing w:val="8"/>
          <w:sz w:val="24"/>
          <w:szCs w:val="24"/>
          <w:lang w:eastAsia="zh-CN"/>
        </w:rPr>
        <w:t xml:space="preserve">  本办法自2021年1月1日起施行。《财政部工业和信息化部关于印发〈政府采购促进中小企业发展暂行办法〉的通知》（财库（2011﹞181号）同时废止。</w:t>
      </w:r>
    </w:p>
    <w:p w14:paraId="3DAF951D">
      <w:pPr>
        <w:spacing w:line="560" w:lineRule="exact"/>
        <w:rPr>
          <w:rFonts w:hint="eastAsia" w:ascii="宋体" w:hAnsi="宋体" w:eastAsia="宋体" w:cs="宋体"/>
          <w:color w:val="auto"/>
          <w:sz w:val="24"/>
          <w:szCs w:val="24"/>
          <w:lang w:eastAsia="zh-CN"/>
        </w:rPr>
      </w:pPr>
    </w:p>
    <w:p w14:paraId="13F84D3C">
      <w:pPr>
        <w:spacing w:line="560" w:lineRule="exact"/>
        <w:rPr>
          <w:rFonts w:hint="eastAsia" w:ascii="宋体" w:hAnsi="宋体" w:eastAsia="宋体" w:cs="宋体"/>
          <w:color w:val="auto"/>
          <w:sz w:val="24"/>
          <w:szCs w:val="24"/>
          <w:lang w:eastAsia="zh-CN"/>
        </w:rPr>
      </w:pPr>
    </w:p>
    <w:p w14:paraId="37B7A627">
      <w:pPr>
        <w:spacing w:line="560" w:lineRule="exact"/>
        <w:rPr>
          <w:rFonts w:hint="eastAsia" w:ascii="宋体" w:hAnsi="宋体" w:eastAsia="宋体" w:cs="宋体"/>
          <w:color w:val="auto"/>
          <w:sz w:val="24"/>
          <w:szCs w:val="24"/>
          <w:lang w:eastAsia="zh-CN"/>
        </w:rPr>
        <w:sectPr>
          <w:pgSz w:w="11906" w:h="16839"/>
          <w:pgMar w:top="1429" w:right="1553" w:bottom="1378" w:left="1786" w:header="907" w:footer="0" w:gutter="0"/>
          <w:cols w:space="720" w:num="1"/>
        </w:sectPr>
      </w:pPr>
    </w:p>
    <w:p w14:paraId="1B6DF838">
      <w:pPr>
        <w:spacing w:line="360" w:lineRule="auto"/>
        <w:outlineLvl w:val="0"/>
        <w:rPr>
          <w:rFonts w:hint="eastAsia" w:ascii="宋体" w:hAnsi="宋体" w:eastAsia="宋体" w:cs="宋体"/>
          <w:color w:val="auto"/>
          <w:spacing w:val="-9"/>
          <w:sz w:val="24"/>
          <w:szCs w:val="24"/>
          <w:lang w:eastAsia="zh-CN"/>
        </w:rPr>
      </w:pPr>
      <w:bookmarkStart w:id="179" w:name="_Toc30184"/>
      <w:bookmarkStart w:id="180" w:name="_Toc6728"/>
      <w:bookmarkStart w:id="181" w:name="_Toc25114"/>
      <w:r>
        <w:rPr>
          <w:rFonts w:hint="eastAsia" w:ascii="宋体" w:hAnsi="宋体" w:eastAsia="宋体" w:cs="宋体"/>
          <w:color w:val="auto"/>
          <w:spacing w:val="-9"/>
          <w:sz w:val="24"/>
          <w:szCs w:val="24"/>
          <w:lang w:eastAsia="zh-CN"/>
        </w:rPr>
        <w:t>附件2：关于进一步加大政府采购支持中小企业力度的通知</w:t>
      </w:r>
      <w:bookmarkEnd w:id="179"/>
      <w:bookmarkEnd w:id="180"/>
      <w:bookmarkEnd w:id="181"/>
    </w:p>
    <w:p w14:paraId="64D82BD9">
      <w:pPr>
        <w:shd w:val="clear" w:color="auto" w:fill="FFFFFF"/>
        <w:spacing w:beforeAutospacing="1" w:afterAutospacing="1" w:line="360" w:lineRule="auto"/>
        <w:jc w:val="center"/>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shd w:val="clear" w:color="auto" w:fill="FFFFFF"/>
          <w:lang w:eastAsia="zh-CN"/>
        </w:rPr>
        <w:t>关于进一步加大政府采购支持中小企业力度的通知</w:t>
      </w:r>
    </w:p>
    <w:p w14:paraId="541703D0">
      <w:pPr>
        <w:shd w:val="clear" w:color="auto" w:fill="FFFFFF"/>
        <w:spacing w:line="360" w:lineRule="auto"/>
        <w:jc w:val="center"/>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shd w:val="clear" w:color="auto" w:fill="FFFFFF"/>
          <w:lang w:eastAsia="zh-CN"/>
        </w:rPr>
        <w:t>财库〔2022〕19号</w:t>
      </w:r>
    </w:p>
    <w:p w14:paraId="11FA368E">
      <w:pPr>
        <w:pStyle w:val="34"/>
        <w:spacing w:before="0" w:beforeAutospacing="0" w:after="210" w:afterAutospacing="0" w:line="360" w:lineRule="auto"/>
        <w:jc w:val="both"/>
        <w:rPr>
          <w:rFonts w:hint="eastAsia" w:eastAsia="宋体" w:cs="宋体"/>
          <w:color w:val="auto"/>
          <w:sz w:val="24"/>
          <w:szCs w:val="24"/>
          <w:lang w:eastAsia="zh-CN"/>
        </w:rPr>
      </w:pPr>
      <w:r>
        <w:rPr>
          <w:rFonts w:hint="eastAsia" w:eastAsia="宋体" w:cs="宋体"/>
          <w:color w:val="auto"/>
          <w:sz w:val="24"/>
          <w:szCs w:val="24"/>
          <w:shd w:val="clear" w:color="auto" w:fill="FFFFFF"/>
          <w:lang w:eastAsia="zh-CN"/>
        </w:rPr>
        <w:t>各中央预算单位，各省、自治区、直辖市、计划单列市财政厅（局），新疆生产建设兵团财政局：</w:t>
      </w:r>
    </w:p>
    <w:p w14:paraId="470B9FF4">
      <w:pPr>
        <w:pStyle w:val="34"/>
        <w:spacing w:before="0" w:beforeAutospacing="0" w:after="210" w:afterAutospacing="0" w:line="360" w:lineRule="auto"/>
        <w:jc w:val="both"/>
        <w:rPr>
          <w:rFonts w:hint="eastAsia" w:eastAsia="宋体" w:cs="宋体"/>
          <w:color w:val="auto"/>
          <w:sz w:val="24"/>
          <w:szCs w:val="24"/>
          <w:lang w:eastAsia="zh-CN"/>
        </w:rPr>
      </w:pPr>
      <w:r>
        <w:rPr>
          <w:rFonts w:hint="eastAsia" w:eastAsia="宋体" w:cs="宋体"/>
          <w:color w:val="auto"/>
          <w:sz w:val="24"/>
          <w:szCs w:val="24"/>
          <w:shd w:val="clear" w:color="auto" w:fill="FFFFFF"/>
          <w:lang w:eastAsia="zh-CN"/>
        </w:rPr>
        <w:t>　　为贯彻落实《国务院关于印发扎实稳住经济一揽子政策措施的通知》（国发〔2022〕12号）有关要求，做好财政政策支持中小企业纾困解难工作，助力经济平稳健康发展，现就加大政府采购支持中小企业力度有关事项通知如下：</w:t>
      </w:r>
    </w:p>
    <w:p w14:paraId="24044097">
      <w:pPr>
        <w:pStyle w:val="34"/>
        <w:spacing w:before="0" w:beforeAutospacing="0" w:after="210" w:afterAutospacing="0" w:line="360" w:lineRule="auto"/>
        <w:jc w:val="both"/>
        <w:rPr>
          <w:rFonts w:hint="eastAsia" w:eastAsia="宋体" w:cs="宋体"/>
          <w:color w:val="auto"/>
          <w:sz w:val="24"/>
          <w:szCs w:val="24"/>
          <w:lang w:eastAsia="zh-CN"/>
        </w:rPr>
      </w:pPr>
      <w:r>
        <w:rPr>
          <w:rFonts w:hint="eastAsia" w:eastAsia="宋体" w:cs="宋体"/>
          <w:color w:val="auto"/>
          <w:sz w:val="24"/>
          <w:szCs w:val="24"/>
          <w:shd w:val="clear" w:color="auto" w:fill="FFFFFF"/>
          <w:lang w:eastAsia="zh-CN"/>
        </w:rPr>
        <w:t>　　</w:t>
      </w:r>
      <w:r>
        <w:rPr>
          <w:rFonts w:hint="eastAsia" w:eastAsia="宋体" w:cs="宋体"/>
          <w:b/>
          <w:bCs/>
          <w:color w:val="auto"/>
          <w:sz w:val="24"/>
          <w:szCs w:val="24"/>
          <w:shd w:val="clear" w:color="auto" w:fill="FFFFFF"/>
          <w:lang w:eastAsia="zh-CN"/>
        </w:rPr>
        <w:t>一、严格落实支持中小企业政府采购政策。</w:t>
      </w:r>
      <w:r>
        <w:rPr>
          <w:rFonts w:hint="eastAsia" w:eastAsia="宋体" w:cs="宋体"/>
          <w:color w:val="auto"/>
          <w:sz w:val="24"/>
          <w:szCs w:val="24"/>
          <w:shd w:val="clear" w:color="auto" w:fill="FFFFFF"/>
          <w:lang w:eastAsia="zh-CN"/>
        </w:rPr>
        <w:t>各地区、各部门要按照国务院的统一部署，认真落实《政府采购促进中小企业发展管理办法》（财库〔2020〕46号）的规定，规范资格条件设置，降低中小企业参与门槛，灵活采取项目整体预留、合理预留采购包、要求大企业与中小企业组成联合体、要求大企业向中小企业分包等形式，确保中小企业合同份额。要通过提高预付款比例、引入信用担保、支持中小企业开展合同融资、免费提供电子采购文件等方式，为中小企业参与采购活动提供便利。要严格按规定及时支付采购资金，不得收取没有法律法规依据的保证金，有效减轻中小企业资金压力。</w:t>
      </w:r>
    </w:p>
    <w:p w14:paraId="522E9860">
      <w:pPr>
        <w:pStyle w:val="34"/>
        <w:spacing w:before="0" w:beforeAutospacing="0" w:after="210" w:afterAutospacing="0" w:line="360" w:lineRule="auto"/>
        <w:jc w:val="both"/>
        <w:rPr>
          <w:rFonts w:hint="eastAsia" w:eastAsia="宋体" w:cs="宋体"/>
          <w:color w:val="auto"/>
          <w:sz w:val="24"/>
          <w:szCs w:val="24"/>
          <w:lang w:eastAsia="zh-CN"/>
        </w:rPr>
      </w:pPr>
      <w:r>
        <w:rPr>
          <w:rFonts w:hint="eastAsia" w:eastAsia="宋体" w:cs="宋体"/>
          <w:color w:val="auto"/>
          <w:sz w:val="24"/>
          <w:szCs w:val="24"/>
          <w:shd w:val="clear" w:color="auto" w:fill="FFFFFF"/>
          <w:lang w:eastAsia="zh-CN"/>
        </w:rPr>
        <w:t>　　</w:t>
      </w:r>
      <w:r>
        <w:rPr>
          <w:rFonts w:hint="eastAsia" w:eastAsia="宋体" w:cs="宋体"/>
          <w:b/>
          <w:bCs/>
          <w:color w:val="auto"/>
          <w:sz w:val="24"/>
          <w:szCs w:val="24"/>
          <w:shd w:val="clear" w:color="auto" w:fill="FFFFFF"/>
          <w:lang w:eastAsia="zh-CN"/>
        </w:rPr>
        <w:t>二、调整对小微企业的价格评审优惠幅度。</w:t>
      </w:r>
      <w:r>
        <w:rPr>
          <w:rFonts w:hint="eastAsia" w:eastAsia="宋体" w:cs="宋体"/>
          <w:color w:val="auto"/>
          <w:sz w:val="24"/>
          <w:szCs w:val="24"/>
          <w:shd w:val="clear" w:color="auto" w:fill="FFFFFF"/>
          <w:lang w:eastAsia="zh-CN"/>
        </w:rPr>
        <w:t>货物服务采购项目给予小微企业的价格扣除优惠，由财库〔2020〕46号文件规定的6%—10%提高至10%—20%。大中型企业与小微企业组成联合体或者大中型企业向小微企业分包的，评审优惠幅度由2%—3%提高至4%—6%。政府采购工程的价格评审优惠按照财库〔2020〕46号文件的规定执行。自本通知执行之日起发布采购公告或者发出采购邀请的货物服务采购项目，按照本通知规定的评审优惠幅度执行。</w:t>
      </w:r>
    </w:p>
    <w:p w14:paraId="60988B91">
      <w:pPr>
        <w:pStyle w:val="34"/>
        <w:spacing w:before="0" w:beforeAutospacing="0" w:after="210" w:afterAutospacing="0" w:line="360" w:lineRule="auto"/>
        <w:jc w:val="both"/>
        <w:rPr>
          <w:rFonts w:hint="eastAsia" w:eastAsia="宋体" w:cs="宋体"/>
          <w:color w:val="auto"/>
          <w:sz w:val="24"/>
          <w:szCs w:val="24"/>
          <w:lang w:eastAsia="zh-CN"/>
        </w:rPr>
      </w:pPr>
      <w:r>
        <w:rPr>
          <w:rFonts w:hint="eastAsia" w:eastAsia="宋体" w:cs="宋体"/>
          <w:color w:val="auto"/>
          <w:sz w:val="24"/>
          <w:szCs w:val="24"/>
          <w:shd w:val="clear" w:color="auto" w:fill="FFFFFF"/>
          <w:lang w:eastAsia="zh-CN"/>
        </w:rPr>
        <w:t>　　</w:t>
      </w:r>
      <w:r>
        <w:rPr>
          <w:rFonts w:hint="eastAsia" w:eastAsia="宋体" w:cs="宋体"/>
          <w:b/>
          <w:bCs/>
          <w:color w:val="auto"/>
          <w:sz w:val="24"/>
          <w:szCs w:val="24"/>
          <w:shd w:val="clear" w:color="auto" w:fill="FFFFFF"/>
          <w:lang w:eastAsia="zh-CN"/>
        </w:rPr>
        <w:t>三、提高政府采购工程面向中小企业预留份额。</w:t>
      </w:r>
      <w:r>
        <w:rPr>
          <w:rFonts w:hint="eastAsia" w:eastAsia="宋体" w:cs="宋体"/>
          <w:color w:val="auto"/>
          <w:sz w:val="24"/>
          <w:szCs w:val="24"/>
          <w:shd w:val="clear" w:color="auto" w:fill="FFFFFF"/>
          <w:lang w:eastAsia="zh-CN"/>
        </w:rPr>
        <w:t>400万元以下的工程采购项目适宜由中小企业提供的，采购人应当专门面向中小企业采购。超过400万元的工程采购项目中适宜由中小企业提供的，在坚持公开公正、公平竞争原则和统一质量标准的前提下，2022年下半年面向中小企业的预留份额由30%以上阶段性提高至40%以上。发展改革委会同相关工程招投标行政监督部门完善工程招投标领域落实政府采购支持中小企业政策相关措施。省级财政部门要积极协调发展改革、工业和信息化、住房和城乡建设、交通、水利、商务、铁路、民航等部门调整完善工程招投标领域有关标准文本、评标制度等规定和做法，并于2022年6月30日前将落实情况汇总报财政部。</w:t>
      </w:r>
    </w:p>
    <w:p w14:paraId="572F1AB5">
      <w:pPr>
        <w:pStyle w:val="34"/>
        <w:spacing w:before="0" w:beforeAutospacing="0" w:after="210" w:afterAutospacing="0" w:line="360" w:lineRule="auto"/>
        <w:jc w:val="both"/>
        <w:rPr>
          <w:rFonts w:hint="eastAsia" w:eastAsia="宋体" w:cs="宋体"/>
          <w:color w:val="auto"/>
          <w:sz w:val="24"/>
          <w:szCs w:val="24"/>
          <w:lang w:eastAsia="zh-CN"/>
        </w:rPr>
      </w:pPr>
      <w:r>
        <w:rPr>
          <w:rFonts w:hint="eastAsia" w:eastAsia="宋体" w:cs="宋体"/>
          <w:color w:val="auto"/>
          <w:sz w:val="24"/>
          <w:szCs w:val="24"/>
          <w:shd w:val="clear" w:color="auto" w:fill="FFFFFF"/>
          <w:lang w:eastAsia="zh-CN"/>
        </w:rPr>
        <w:t>　　</w:t>
      </w:r>
      <w:r>
        <w:rPr>
          <w:rFonts w:hint="eastAsia" w:eastAsia="宋体" w:cs="宋体"/>
          <w:b/>
          <w:bCs/>
          <w:color w:val="auto"/>
          <w:sz w:val="24"/>
          <w:szCs w:val="24"/>
          <w:shd w:val="clear" w:color="auto" w:fill="FFFFFF"/>
          <w:lang w:eastAsia="zh-CN"/>
        </w:rPr>
        <w:t>四、认真做好组织实施。</w:t>
      </w:r>
      <w:r>
        <w:rPr>
          <w:rFonts w:hint="eastAsia" w:eastAsia="宋体" w:cs="宋体"/>
          <w:color w:val="auto"/>
          <w:sz w:val="24"/>
          <w:szCs w:val="24"/>
          <w:shd w:val="clear" w:color="auto" w:fill="FFFFFF"/>
          <w:lang w:eastAsia="zh-CN"/>
        </w:rPr>
        <w:t>各地区、各部门应当加强组织领导，明确工作责任，细化执行要求，强化监督检查，确保国务院部署落实到位，对通知执行中出现的问题要及时向财政部报告。</w:t>
      </w:r>
    </w:p>
    <w:p w14:paraId="45207436">
      <w:pPr>
        <w:pStyle w:val="34"/>
        <w:spacing w:before="0" w:beforeAutospacing="0" w:after="210" w:afterAutospacing="0" w:line="360" w:lineRule="auto"/>
        <w:jc w:val="both"/>
        <w:rPr>
          <w:rFonts w:hint="eastAsia" w:eastAsia="宋体" w:cs="宋体"/>
          <w:color w:val="auto"/>
          <w:sz w:val="24"/>
          <w:szCs w:val="24"/>
          <w:lang w:eastAsia="zh-CN"/>
        </w:rPr>
      </w:pPr>
      <w:r>
        <w:rPr>
          <w:rFonts w:hint="eastAsia" w:eastAsia="宋体" w:cs="宋体"/>
          <w:color w:val="auto"/>
          <w:sz w:val="24"/>
          <w:szCs w:val="24"/>
          <w:shd w:val="clear" w:color="auto" w:fill="FFFFFF"/>
          <w:lang w:eastAsia="zh-CN"/>
        </w:rPr>
        <w:t>　　本通知自2022年7月1日起执行。</w:t>
      </w:r>
    </w:p>
    <w:p w14:paraId="09170906">
      <w:pPr>
        <w:pStyle w:val="34"/>
        <w:spacing w:before="0" w:beforeAutospacing="0" w:after="210" w:afterAutospacing="0" w:line="360" w:lineRule="auto"/>
        <w:jc w:val="right"/>
        <w:rPr>
          <w:rFonts w:hint="eastAsia" w:eastAsia="宋体" w:cs="宋体"/>
          <w:color w:val="auto"/>
          <w:sz w:val="24"/>
          <w:szCs w:val="24"/>
          <w:lang w:eastAsia="zh-CN"/>
        </w:rPr>
      </w:pPr>
      <w:r>
        <w:rPr>
          <w:rFonts w:hint="eastAsia" w:eastAsia="宋体" w:cs="宋体"/>
          <w:color w:val="auto"/>
          <w:sz w:val="24"/>
          <w:szCs w:val="24"/>
          <w:shd w:val="clear" w:color="auto" w:fill="FFFFFF"/>
          <w:lang w:eastAsia="zh-CN"/>
        </w:rPr>
        <w:t>　　财 政 部</w:t>
      </w:r>
    </w:p>
    <w:p w14:paraId="53C1D0A5">
      <w:pPr>
        <w:pStyle w:val="34"/>
        <w:spacing w:before="0" w:beforeAutospacing="0" w:after="210" w:afterAutospacing="0" w:line="360" w:lineRule="auto"/>
        <w:jc w:val="right"/>
        <w:rPr>
          <w:rFonts w:hint="eastAsia" w:eastAsia="宋体" w:cs="宋体"/>
          <w:color w:val="auto"/>
          <w:sz w:val="24"/>
          <w:szCs w:val="24"/>
          <w:shd w:val="clear" w:color="auto" w:fill="FFFFFF"/>
          <w:lang w:eastAsia="zh-CN"/>
        </w:rPr>
      </w:pPr>
      <w:r>
        <w:rPr>
          <w:rFonts w:hint="eastAsia" w:eastAsia="宋体" w:cs="宋体"/>
          <w:color w:val="auto"/>
          <w:sz w:val="24"/>
          <w:szCs w:val="24"/>
          <w:shd w:val="clear" w:color="auto" w:fill="FFFFFF"/>
          <w:lang w:eastAsia="zh-CN"/>
        </w:rPr>
        <w:t>　　2022年5月30日</w:t>
      </w:r>
    </w:p>
    <w:p w14:paraId="4D6E1CE3">
      <w:pPr>
        <w:spacing w:line="360" w:lineRule="auto"/>
        <w:rPr>
          <w:rFonts w:hint="eastAsia" w:ascii="宋体" w:hAnsi="宋体" w:eastAsia="宋体" w:cs="宋体"/>
          <w:color w:val="auto"/>
          <w:sz w:val="24"/>
          <w:szCs w:val="24"/>
          <w:shd w:val="clear" w:color="auto" w:fill="FFFFFF"/>
          <w:lang w:eastAsia="zh-CN"/>
        </w:rPr>
      </w:pPr>
      <w:r>
        <w:rPr>
          <w:rFonts w:hint="eastAsia" w:ascii="宋体" w:hAnsi="宋体" w:eastAsia="宋体" w:cs="宋体"/>
          <w:color w:val="auto"/>
          <w:sz w:val="24"/>
          <w:szCs w:val="24"/>
          <w:shd w:val="clear" w:color="auto" w:fill="FFFFFF"/>
          <w:lang w:eastAsia="zh-CN"/>
        </w:rPr>
        <w:br w:type="page"/>
      </w:r>
    </w:p>
    <w:p w14:paraId="14570D3B">
      <w:pPr>
        <w:spacing w:line="360" w:lineRule="auto"/>
        <w:outlineLvl w:val="0"/>
        <w:rPr>
          <w:rFonts w:hint="eastAsia" w:ascii="宋体" w:hAnsi="宋体" w:eastAsia="宋体" w:cs="宋体"/>
          <w:color w:val="auto"/>
          <w:spacing w:val="-9"/>
          <w:sz w:val="24"/>
          <w:szCs w:val="24"/>
          <w:lang w:eastAsia="zh-CN"/>
        </w:rPr>
      </w:pPr>
      <w:bookmarkStart w:id="182" w:name="_Toc21105"/>
      <w:bookmarkStart w:id="183" w:name="_Toc11667"/>
      <w:bookmarkStart w:id="184" w:name="_Toc21087"/>
      <w:r>
        <w:rPr>
          <w:rFonts w:hint="eastAsia" w:ascii="宋体" w:hAnsi="宋体" w:eastAsia="宋体" w:cs="宋体"/>
          <w:color w:val="auto"/>
          <w:spacing w:val="-9"/>
          <w:sz w:val="24"/>
          <w:szCs w:val="24"/>
          <w:lang w:eastAsia="zh-CN"/>
        </w:rPr>
        <w:t>附件3：关于印发中小企业划型标准规定的通知</w:t>
      </w:r>
      <w:bookmarkEnd w:id="182"/>
      <w:bookmarkEnd w:id="183"/>
      <w:bookmarkEnd w:id="184"/>
    </w:p>
    <w:p w14:paraId="6AA33EF6">
      <w:pPr>
        <w:shd w:val="clear" w:color="auto" w:fill="FFFFFF"/>
        <w:spacing w:beforeAutospacing="1" w:afterAutospacing="1" w:line="360" w:lineRule="auto"/>
        <w:jc w:val="center"/>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shd w:val="clear" w:color="auto" w:fill="FFFFFF"/>
          <w:lang w:eastAsia="zh-CN"/>
        </w:rPr>
        <w:t>关于印发中小企业划型标准规定的通知</w:t>
      </w:r>
    </w:p>
    <w:p w14:paraId="13B35BDB">
      <w:pPr>
        <w:spacing w:line="36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shd w:val="clear" w:color="auto" w:fill="FFFFFF"/>
          <w:lang w:eastAsia="zh-CN"/>
        </w:rPr>
        <w:t>工信部联企业〔2011〕300号</w:t>
      </w:r>
    </w:p>
    <w:p w14:paraId="62D79708">
      <w:pPr>
        <w:pStyle w:val="34"/>
        <w:spacing w:before="0" w:beforeAutospacing="0" w:after="0" w:afterAutospacing="0" w:line="360" w:lineRule="auto"/>
        <w:rPr>
          <w:rFonts w:hint="eastAsia" w:eastAsia="宋体" w:cs="宋体"/>
          <w:color w:val="auto"/>
          <w:sz w:val="24"/>
          <w:szCs w:val="24"/>
          <w:shd w:val="clear" w:color="auto" w:fill="FFFFFF"/>
          <w:lang w:eastAsia="zh-CN"/>
        </w:rPr>
      </w:pPr>
      <w:r>
        <w:rPr>
          <w:rFonts w:hint="eastAsia" w:eastAsia="宋体" w:cs="宋体"/>
          <w:color w:val="auto"/>
          <w:sz w:val="24"/>
          <w:szCs w:val="24"/>
          <w:shd w:val="clear" w:color="auto" w:fill="FFFFFF"/>
          <w:lang w:eastAsia="zh-CN"/>
        </w:rPr>
        <w:t>各省、自治区、直辖市人民政府，国务院各部委、各直属机构及有关单位：</w:t>
      </w:r>
    </w:p>
    <w:p w14:paraId="03C9E9C6">
      <w:pPr>
        <w:pStyle w:val="34"/>
        <w:spacing w:before="0" w:beforeAutospacing="0" w:after="0" w:afterAutospacing="0" w:line="360" w:lineRule="auto"/>
        <w:rPr>
          <w:rFonts w:hint="eastAsia" w:eastAsia="宋体" w:cs="宋体"/>
          <w:color w:val="auto"/>
          <w:sz w:val="24"/>
          <w:szCs w:val="24"/>
          <w:lang w:eastAsia="zh-CN"/>
        </w:rPr>
      </w:pPr>
      <w:r>
        <w:rPr>
          <w:rFonts w:hint="eastAsia" w:eastAsia="宋体" w:cs="宋体"/>
          <w:color w:val="auto"/>
          <w:sz w:val="24"/>
          <w:szCs w:val="24"/>
          <w:shd w:val="clear" w:color="auto" w:fill="FFFFFF"/>
          <w:lang w:eastAsia="zh-CN"/>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7419F890">
      <w:pPr>
        <w:pStyle w:val="34"/>
        <w:spacing w:before="0" w:beforeAutospacing="0" w:after="0" w:afterAutospacing="0" w:line="360" w:lineRule="auto"/>
        <w:jc w:val="right"/>
        <w:rPr>
          <w:rFonts w:hint="eastAsia" w:eastAsia="宋体" w:cs="宋体"/>
          <w:color w:val="auto"/>
          <w:sz w:val="24"/>
          <w:szCs w:val="24"/>
          <w:shd w:val="clear" w:color="auto" w:fill="FFFFFF"/>
          <w:lang w:eastAsia="zh-CN"/>
        </w:rPr>
      </w:pPr>
      <w:r>
        <w:rPr>
          <w:rFonts w:hint="eastAsia" w:eastAsia="宋体" w:cs="宋体"/>
          <w:color w:val="auto"/>
          <w:sz w:val="24"/>
          <w:szCs w:val="24"/>
          <w:shd w:val="clear" w:color="auto" w:fill="FFFFFF"/>
          <w:lang w:eastAsia="zh-CN"/>
        </w:rPr>
        <w:t>工业和信息化部</w:t>
      </w:r>
    </w:p>
    <w:p w14:paraId="2361AFE3">
      <w:pPr>
        <w:pStyle w:val="34"/>
        <w:spacing w:before="0" w:beforeAutospacing="0" w:after="0" w:afterAutospacing="0" w:line="360" w:lineRule="auto"/>
        <w:jc w:val="right"/>
        <w:rPr>
          <w:rFonts w:hint="eastAsia" w:eastAsia="宋体" w:cs="宋体"/>
          <w:color w:val="auto"/>
          <w:sz w:val="24"/>
          <w:szCs w:val="24"/>
          <w:shd w:val="clear" w:color="auto" w:fill="FFFFFF"/>
          <w:lang w:eastAsia="zh-CN"/>
        </w:rPr>
      </w:pPr>
      <w:r>
        <w:rPr>
          <w:rFonts w:hint="eastAsia" w:eastAsia="宋体" w:cs="宋体"/>
          <w:color w:val="auto"/>
          <w:sz w:val="24"/>
          <w:szCs w:val="24"/>
          <w:shd w:val="clear" w:color="auto" w:fill="FFFFFF"/>
          <w:lang w:eastAsia="zh-CN"/>
        </w:rPr>
        <w:t>国家统计局</w:t>
      </w:r>
    </w:p>
    <w:p w14:paraId="75A56FCD">
      <w:pPr>
        <w:pStyle w:val="34"/>
        <w:spacing w:before="0" w:beforeAutospacing="0" w:after="0" w:afterAutospacing="0" w:line="360" w:lineRule="auto"/>
        <w:jc w:val="right"/>
        <w:rPr>
          <w:rFonts w:hint="eastAsia" w:eastAsia="宋体" w:cs="宋体"/>
          <w:color w:val="auto"/>
          <w:sz w:val="24"/>
          <w:szCs w:val="24"/>
          <w:shd w:val="clear" w:color="auto" w:fill="FFFFFF"/>
          <w:lang w:eastAsia="zh-CN"/>
        </w:rPr>
      </w:pPr>
      <w:r>
        <w:rPr>
          <w:rFonts w:hint="eastAsia" w:eastAsia="宋体" w:cs="宋体"/>
          <w:color w:val="auto"/>
          <w:sz w:val="24"/>
          <w:szCs w:val="24"/>
          <w:shd w:val="clear" w:color="auto" w:fill="FFFFFF"/>
          <w:lang w:eastAsia="zh-CN"/>
        </w:rPr>
        <w:t>国家发展和改革委员会</w:t>
      </w:r>
    </w:p>
    <w:p w14:paraId="66BF1198">
      <w:pPr>
        <w:pStyle w:val="34"/>
        <w:spacing w:before="0" w:beforeAutospacing="0" w:after="0" w:afterAutospacing="0" w:line="360" w:lineRule="auto"/>
        <w:jc w:val="right"/>
        <w:rPr>
          <w:rFonts w:hint="eastAsia" w:eastAsia="宋体" w:cs="宋体"/>
          <w:color w:val="auto"/>
          <w:sz w:val="24"/>
          <w:szCs w:val="24"/>
          <w:shd w:val="clear" w:color="auto" w:fill="FFFFFF"/>
          <w:lang w:eastAsia="zh-CN"/>
        </w:rPr>
      </w:pPr>
      <w:r>
        <w:rPr>
          <w:rFonts w:hint="eastAsia" w:eastAsia="宋体" w:cs="宋体"/>
          <w:color w:val="auto"/>
          <w:sz w:val="24"/>
          <w:szCs w:val="24"/>
          <w:shd w:val="clear" w:color="auto" w:fill="FFFFFF"/>
          <w:lang w:eastAsia="zh-CN"/>
        </w:rPr>
        <w:t>财政部</w:t>
      </w:r>
    </w:p>
    <w:p w14:paraId="4B12D374">
      <w:pPr>
        <w:pStyle w:val="34"/>
        <w:spacing w:before="0" w:beforeAutospacing="0" w:after="0" w:afterAutospacing="0" w:line="360" w:lineRule="auto"/>
        <w:jc w:val="right"/>
        <w:rPr>
          <w:rFonts w:hint="eastAsia" w:eastAsia="宋体" w:cs="宋体"/>
          <w:color w:val="auto"/>
          <w:sz w:val="24"/>
          <w:szCs w:val="24"/>
          <w:lang w:eastAsia="zh-CN"/>
        </w:rPr>
      </w:pPr>
      <w:r>
        <w:rPr>
          <w:rFonts w:hint="eastAsia" w:eastAsia="宋体" w:cs="宋体"/>
          <w:color w:val="auto"/>
          <w:sz w:val="24"/>
          <w:szCs w:val="24"/>
          <w:shd w:val="clear" w:color="auto" w:fill="FFFFFF"/>
          <w:lang w:eastAsia="zh-CN"/>
        </w:rPr>
        <w:t>二○一一年六月十八日</w:t>
      </w:r>
    </w:p>
    <w:p w14:paraId="2C46DDD0">
      <w:pPr>
        <w:pStyle w:val="34"/>
        <w:spacing w:before="0" w:beforeAutospacing="0" w:after="0" w:afterAutospacing="0" w:line="360" w:lineRule="auto"/>
        <w:jc w:val="center"/>
        <w:rPr>
          <w:rFonts w:hint="eastAsia" w:eastAsia="宋体" w:cs="宋体"/>
          <w:color w:val="auto"/>
          <w:sz w:val="24"/>
          <w:szCs w:val="24"/>
          <w:lang w:eastAsia="zh-CN"/>
        </w:rPr>
      </w:pPr>
      <w:r>
        <w:rPr>
          <w:rStyle w:val="39"/>
          <w:rFonts w:hint="eastAsia" w:eastAsia="宋体" w:cs="宋体"/>
          <w:color w:val="auto"/>
          <w:sz w:val="24"/>
          <w:szCs w:val="24"/>
          <w:shd w:val="clear" w:color="auto" w:fill="FFFFFF"/>
          <w:lang w:eastAsia="zh-CN"/>
        </w:rPr>
        <w:t>中小企业划型标准规定</w:t>
      </w:r>
    </w:p>
    <w:p w14:paraId="35B831C8">
      <w:pPr>
        <w:pStyle w:val="34"/>
        <w:spacing w:before="0" w:beforeAutospacing="0" w:after="0" w:afterAutospacing="0" w:line="360" w:lineRule="auto"/>
        <w:rPr>
          <w:rFonts w:hint="eastAsia" w:eastAsia="宋体" w:cs="宋体"/>
          <w:color w:val="auto"/>
          <w:sz w:val="24"/>
          <w:szCs w:val="24"/>
          <w:shd w:val="clear" w:color="auto" w:fill="FFFFFF"/>
          <w:lang w:eastAsia="zh-CN"/>
        </w:rPr>
      </w:pPr>
      <w:r>
        <w:rPr>
          <w:rFonts w:hint="eastAsia" w:eastAsia="宋体" w:cs="宋体"/>
          <w:color w:val="auto"/>
          <w:sz w:val="24"/>
          <w:szCs w:val="24"/>
          <w:shd w:val="clear" w:color="auto" w:fill="FFFFFF"/>
          <w:lang w:eastAsia="zh-CN"/>
        </w:rPr>
        <w:t>　　一、根据《中华人民共和国中小企业促进法》和《国务院关于进一步促进中小企业发展的若干意见》(国发〔2009〕36号)，制定本规定。</w:t>
      </w:r>
    </w:p>
    <w:p w14:paraId="765A887D">
      <w:pPr>
        <w:pStyle w:val="34"/>
        <w:spacing w:before="0" w:beforeAutospacing="0" w:after="0" w:afterAutospacing="0" w:line="360" w:lineRule="auto"/>
        <w:rPr>
          <w:rFonts w:hint="eastAsia" w:eastAsia="宋体" w:cs="宋体"/>
          <w:color w:val="auto"/>
          <w:sz w:val="24"/>
          <w:szCs w:val="24"/>
          <w:shd w:val="clear" w:color="auto" w:fill="FFFFFF"/>
          <w:lang w:eastAsia="zh-CN"/>
        </w:rPr>
      </w:pPr>
      <w:r>
        <w:rPr>
          <w:rFonts w:hint="eastAsia" w:eastAsia="宋体" w:cs="宋体"/>
          <w:color w:val="auto"/>
          <w:sz w:val="24"/>
          <w:szCs w:val="24"/>
          <w:shd w:val="clear" w:color="auto" w:fill="FFFFFF"/>
          <w:lang w:eastAsia="zh-CN"/>
        </w:rPr>
        <w:t>　　二、中小企业划分为中型、小型、微型三种类型，具体标准根据企业从业人员、营业收入、资产总额等指标，结合行业特点制定。</w:t>
      </w:r>
    </w:p>
    <w:p w14:paraId="0A332484">
      <w:pPr>
        <w:pStyle w:val="34"/>
        <w:spacing w:before="0" w:beforeAutospacing="0" w:after="0" w:afterAutospacing="0" w:line="360" w:lineRule="auto"/>
        <w:rPr>
          <w:rFonts w:hint="eastAsia" w:eastAsia="宋体" w:cs="宋体"/>
          <w:color w:val="auto"/>
          <w:sz w:val="24"/>
          <w:szCs w:val="24"/>
          <w:shd w:val="clear" w:color="auto" w:fill="FFFFFF"/>
          <w:lang w:eastAsia="zh-CN"/>
        </w:rPr>
      </w:pPr>
      <w:r>
        <w:rPr>
          <w:rFonts w:hint="eastAsia" w:eastAsia="宋体" w:cs="宋体"/>
          <w:color w:val="auto"/>
          <w:sz w:val="24"/>
          <w:szCs w:val="24"/>
          <w:shd w:val="clear" w:color="auto" w:fill="FFFFFF"/>
          <w:lang w:eastAsia="zh-CN"/>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670C8E3A">
      <w:pPr>
        <w:pStyle w:val="34"/>
        <w:spacing w:before="0" w:beforeAutospacing="0" w:after="0" w:afterAutospacing="0" w:line="360" w:lineRule="auto"/>
        <w:rPr>
          <w:rFonts w:hint="eastAsia" w:eastAsia="宋体" w:cs="宋体"/>
          <w:color w:val="auto"/>
          <w:sz w:val="24"/>
          <w:szCs w:val="24"/>
          <w:shd w:val="clear" w:color="auto" w:fill="FFFFFF"/>
          <w:lang w:eastAsia="zh-CN"/>
        </w:rPr>
      </w:pPr>
      <w:r>
        <w:rPr>
          <w:rFonts w:hint="eastAsia" w:eastAsia="宋体" w:cs="宋体"/>
          <w:color w:val="auto"/>
          <w:sz w:val="24"/>
          <w:szCs w:val="24"/>
          <w:shd w:val="clear" w:color="auto" w:fill="FFFFFF"/>
          <w:lang w:eastAsia="zh-CN"/>
        </w:rPr>
        <w:t>　　四、各行业划型标准为：</w:t>
      </w:r>
    </w:p>
    <w:p w14:paraId="67B942B3">
      <w:pPr>
        <w:pStyle w:val="34"/>
        <w:spacing w:before="0" w:beforeAutospacing="0" w:after="0" w:afterAutospacing="0" w:line="360" w:lineRule="auto"/>
        <w:rPr>
          <w:rFonts w:hint="eastAsia" w:eastAsia="宋体" w:cs="宋体"/>
          <w:color w:val="auto"/>
          <w:sz w:val="24"/>
          <w:szCs w:val="24"/>
          <w:shd w:val="clear" w:color="auto" w:fill="FFFFFF"/>
          <w:lang w:eastAsia="zh-CN"/>
        </w:rPr>
      </w:pPr>
      <w:r>
        <w:rPr>
          <w:rFonts w:hint="eastAsia" w:eastAsia="宋体" w:cs="宋体"/>
          <w:color w:val="auto"/>
          <w:sz w:val="24"/>
          <w:szCs w:val="24"/>
          <w:shd w:val="clear" w:color="auto" w:fill="FFFFFF"/>
          <w:lang w:eastAsia="zh-CN"/>
        </w:rPr>
        <w:t>　　（一）农、林、牧、渔业。营业收入20000万元以下的为中小微型企业。其中，营业收入500万元及以上的为中型企业，营业收入50万元及以上的为小型企业，营业收入50万元以下的为微型企业。</w:t>
      </w:r>
    </w:p>
    <w:p w14:paraId="4940C1FD">
      <w:pPr>
        <w:pStyle w:val="34"/>
        <w:spacing w:before="0" w:beforeAutospacing="0" w:after="0" w:afterAutospacing="0" w:line="360" w:lineRule="auto"/>
        <w:rPr>
          <w:rFonts w:hint="eastAsia" w:eastAsia="宋体" w:cs="宋体"/>
          <w:color w:val="auto"/>
          <w:sz w:val="24"/>
          <w:szCs w:val="24"/>
          <w:shd w:val="clear" w:color="auto" w:fill="FFFFFF"/>
          <w:lang w:eastAsia="zh-CN"/>
        </w:rPr>
      </w:pPr>
      <w:r>
        <w:rPr>
          <w:rFonts w:hint="eastAsia" w:eastAsia="宋体" w:cs="宋体"/>
          <w:color w:val="auto"/>
          <w:sz w:val="24"/>
          <w:szCs w:val="24"/>
          <w:shd w:val="clear" w:color="auto" w:fill="FFFFFF"/>
          <w:lang w:eastAsia="zh-CN"/>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45EF581">
      <w:pPr>
        <w:pStyle w:val="34"/>
        <w:spacing w:before="0" w:beforeAutospacing="0" w:after="0" w:afterAutospacing="0" w:line="360" w:lineRule="auto"/>
        <w:rPr>
          <w:rFonts w:hint="eastAsia" w:eastAsia="宋体" w:cs="宋体"/>
          <w:color w:val="auto"/>
          <w:sz w:val="24"/>
          <w:szCs w:val="24"/>
          <w:shd w:val="clear" w:color="auto" w:fill="FFFFFF"/>
          <w:lang w:eastAsia="zh-CN"/>
        </w:rPr>
      </w:pPr>
      <w:r>
        <w:rPr>
          <w:rFonts w:hint="eastAsia" w:eastAsia="宋体" w:cs="宋体"/>
          <w:color w:val="auto"/>
          <w:sz w:val="24"/>
          <w:szCs w:val="24"/>
          <w:shd w:val="clear" w:color="auto" w:fill="FFFFFF"/>
          <w:lang w:eastAsia="zh-CN"/>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9FD3399">
      <w:pPr>
        <w:pStyle w:val="34"/>
        <w:spacing w:before="0" w:beforeAutospacing="0" w:after="0" w:afterAutospacing="0" w:line="360" w:lineRule="auto"/>
        <w:rPr>
          <w:rFonts w:hint="eastAsia" w:eastAsia="宋体" w:cs="宋体"/>
          <w:color w:val="auto"/>
          <w:sz w:val="24"/>
          <w:szCs w:val="24"/>
          <w:shd w:val="clear" w:color="auto" w:fill="FFFFFF"/>
          <w:lang w:eastAsia="zh-CN"/>
        </w:rPr>
      </w:pPr>
      <w:r>
        <w:rPr>
          <w:rFonts w:hint="eastAsia" w:eastAsia="宋体" w:cs="宋体"/>
          <w:color w:val="auto"/>
          <w:sz w:val="24"/>
          <w:szCs w:val="24"/>
          <w:shd w:val="clear" w:color="auto" w:fill="FFFFFF"/>
          <w:lang w:eastAsia="zh-CN"/>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61B15756">
      <w:pPr>
        <w:pStyle w:val="34"/>
        <w:spacing w:before="0" w:beforeAutospacing="0" w:after="0" w:afterAutospacing="0" w:line="360" w:lineRule="auto"/>
        <w:rPr>
          <w:rFonts w:hint="eastAsia" w:eastAsia="宋体" w:cs="宋体"/>
          <w:color w:val="auto"/>
          <w:sz w:val="24"/>
          <w:szCs w:val="24"/>
          <w:shd w:val="clear" w:color="auto" w:fill="FFFFFF"/>
          <w:lang w:eastAsia="zh-CN"/>
        </w:rPr>
      </w:pPr>
      <w:r>
        <w:rPr>
          <w:rFonts w:hint="eastAsia" w:eastAsia="宋体" w:cs="宋体"/>
          <w:color w:val="auto"/>
          <w:sz w:val="24"/>
          <w:szCs w:val="24"/>
          <w:shd w:val="clear" w:color="auto" w:fill="FFFFFF"/>
          <w:lang w:eastAsia="zh-CN"/>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6B706784">
      <w:pPr>
        <w:pStyle w:val="34"/>
        <w:spacing w:before="0" w:beforeAutospacing="0" w:after="0" w:afterAutospacing="0" w:line="360" w:lineRule="auto"/>
        <w:rPr>
          <w:rFonts w:hint="eastAsia" w:eastAsia="宋体" w:cs="宋体"/>
          <w:color w:val="auto"/>
          <w:sz w:val="24"/>
          <w:szCs w:val="24"/>
          <w:shd w:val="clear" w:color="auto" w:fill="FFFFFF"/>
          <w:lang w:eastAsia="zh-CN"/>
        </w:rPr>
      </w:pPr>
      <w:r>
        <w:rPr>
          <w:rFonts w:hint="eastAsia" w:eastAsia="宋体" w:cs="宋体"/>
          <w:color w:val="auto"/>
          <w:sz w:val="24"/>
          <w:szCs w:val="24"/>
          <w:shd w:val="clear" w:color="auto" w:fill="FFFFFF"/>
          <w:lang w:eastAsia="zh-CN"/>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524014A9">
      <w:pPr>
        <w:pStyle w:val="34"/>
        <w:spacing w:before="0" w:beforeAutospacing="0" w:after="0" w:afterAutospacing="0" w:line="360" w:lineRule="auto"/>
        <w:rPr>
          <w:rFonts w:hint="eastAsia" w:eastAsia="宋体" w:cs="宋体"/>
          <w:color w:val="auto"/>
          <w:sz w:val="24"/>
          <w:szCs w:val="24"/>
          <w:shd w:val="clear" w:color="auto" w:fill="FFFFFF"/>
          <w:lang w:eastAsia="zh-CN"/>
        </w:rPr>
      </w:pPr>
      <w:r>
        <w:rPr>
          <w:rFonts w:hint="eastAsia" w:eastAsia="宋体" w:cs="宋体"/>
          <w:color w:val="auto"/>
          <w:sz w:val="24"/>
          <w:szCs w:val="24"/>
          <w:shd w:val="clear" w:color="auto" w:fill="FFFFFF"/>
          <w:lang w:eastAsia="zh-CN"/>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7F656BD6">
      <w:pPr>
        <w:pStyle w:val="34"/>
        <w:spacing w:before="0" w:beforeAutospacing="0" w:after="0" w:afterAutospacing="0" w:line="360" w:lineRule="auto"/>
        <w:rPr>
          <w:rFonts w:hint="eastAsia" w:eastAsia="宋体" w:cs="宋体"/>
          <w:color w:val="auto"/>
          <w:sz w:val="24"/>
          <w:szCs w:val="24"/>
          <w:shd w:val="clear" w:color="auto" w:fill="FFFFFF"/>
          <w:lang w:eastAsia="zh-CN"/>
        </w:rPr>
      </w:pPr>
      <w:r>
        <w:rPr>
          <w:rFonts w:hint="eastAsia" w:eastAsia="宋体" w:cs="宋体"/>
          <w:color w:val="auto"/>
          <w:sz w:val="24"/>
          <w:szCs w:val="24"/>
          <w:shd w:val="clear" w:color="auto" w:fill="FFFFFF"/>
          <w:lang w:eastAsia="zh-CN"/>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70E6E5C7">
      <w:pPr>
        <w:pStyle w:val="34"/>
        <w:spacing w:before="0" w:beforeAutospacing="0" w:after="0" w:afterAutospacing="0" w:line="360" w:lineRule="auto"/>
        <w:rPr>
          <w:rFonts w:hint="eastAsia" w:eastAsia="宋体" w:cs="宋体"/>
          <w:color w:val="auto"/>
          <w:sz w:val="24"/>
          <w:szCs w:val="24"/>
          <w:shd w:val="clear" w:color="auto" w:fill="FFFFFF"/>
          <w:lang w:eastAsia="zh-CN"/>
        </w:rPr>
      </w:pPr>
      <w:r>
        <w:rPr>
          <w:rFonts w:hint="eastAsia" w:eastAsia="宋体" w:cs="宋体"/>
          <w:color w:val="auto"/>
          <w:sz w:val="24"/>
          <w:szCs w:val="24"/>
          <w:shd w:val="clear" w:color="auto" w:fill="FFFFFF"/>
          <w:lang w:eastAsia="zh-CN"/>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509F901">
      <w:pPr>
        <w:pStyle w:val="34"/>
        <w:spacing w:before="0" w:beforeAutospacing="0" w:after="0" w:afterAutospacing="0" w:line="360" w:lineRule="auto"/>
        <w:rPr>
          <w:rFonts w:hint="eastAsia" w:eastAsia="宋体" w:cs="宋体"/>
          <w:color w:val="auto"/>
          <w:sz w:val="24"/>
          <w:szCs w:val="24"/>
          <w:shd w:val="clear" w:color="auto" w:fill="FFFFFF"/>
          <w:lang w:eastAsia="zh-CN"/>
        </w:rPr>
      </w:pPr>
      <w:r>
        <w:rPr>
          <w:rFonts w:hint="eastAsia" w:eastAsia="宋体" w:cs="宋体"/>
          <w:color w:val="auto"/>
          <w:sz w:val="24"/>
          <w:szCs w:val="24"/>
          <w:shd w:val="clear" w:color="auto" w:fill="FFFFFF"/>
          <w:lang w:eastAsia="zh-CN"/>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4AA282FD">
      <w:pPr>
        <w:pStyle w:val="34"/>
        <w:spacing w:before="0" w:beforeAutospacing="0" w:after="0" w:afterAutospacing="0" w:line="360" w:lineRule="auto"/>
        <w:rPr>
          <w:rFonts w:hint="eastAsia" w:eastAsia="宋体" w:cs="宋体"/>
          <w:color w:val="auto"/>
          <w:sz w:val="24"/>
          <w:szCs w:val="24"/>
          <w:shd w:val="clear" w:color="auto" w:fill="FFFFFF"/>
          <w:lang w:eastAsia="zh-CN"/>
        </w:rPr>
      </w:pPr>
      <w:r>
        <w:rPr>
          <w:rFonts w:hint="eastAsia" w:eastAsia="宋体" w:cs="宋体"/>
          <w:color w:val="auto"/>
          <w:sz w:val="24"/>
          <w:szCs w:val="24"/>
          <w:shd w:val="clear" w:color="auto" w:fill="FFFFFF"/>
          <w:lang w:eastAsia="zh-CN"/>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578805C4">
      <w:pPr>
        <w:pStyle w:val="34"/>
        <w:spacing w:before="0" w:beforeAutospacing="0" w:after="0" w:afterAutospacing="0" w:line="360" w:lineRule="auto"/>
        <w:rPr>
          <w:rFonts w:hint="eastAsia" w:eastAsia="宋体" w:cs="宋体"/>
          <w:color w:val="auto"/>
          <w:sz w:val="24"/>
          <w:szCs w:val="24"/>
          <w:shd w:val="clear" w:color="auto" w:fill="FFFFFF"/>
          <w:lang w:eastAsia="zh-CN"/>
        </w:rPr>
      </w:pPr>
      <w:r>
        <w:rPr>
          <w:rFonts w:hint="eastAsia" w:eastAsia="宋体" w:cs="宋体"/>
          <w:color w:val="auto"/>
          <w:sz w:val="24"/>
          <w:szCs w:val="24"/>
          <w:shd w:val="clear" w:color="auto" w:fill="FFFFFF"/>
          <w:lang w:eastAsia="zh-CN"/>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18521296">
      <w:pPr>
        <w:pStyle w:val="34"/>
        <w:spacing w:before="0" w:beforeAutospacing="0" w:after="0" w:afterAutospacing="0" w:line="360" w:lineRule="auto"/>
        <w:rPr>
          <w:rFonts w:hint="eastAsia" w:eastAsia="宋体" w:cs="宋体"/>
          <w:color w:val="auto"/>
          <w:sz w:val="24"/>
          <w:szCs w:val="24"/>
          <w:shd w:val="clear" w:color="auto" w:fill="FFFFFF"/>
          <w:lang w:eastAsia="zh-CN"/>
        </w:rPr>
      </w:pPr>
      <w:r>
        <w:rPr>
          <w:rFonts w:hint="eastAsia" w:eastAsia="宋体" w:cs="宋体"/>
          <w:color w:val="auto"/>
          <w:sz w:val="24"/>
          <w:szCs w:val="24"/>
          <w:shd w:val="clear" w:color="auto" w:fill="FFFFFF"/>
          <w:lang w:eastAsia="zh-CN"/>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1F9FCAED">
      <w:pPr>
        <w:pStyle w:val="34"/>
        <w:spacing w:before="0" w:beforeAutospacing="0" w:after="0" w:afterAutospacing="0" w:line="360" w:lineRule="auto"/>
        <w:rPr>
          <w:rFonts w:hint="eastAsia" w:eastAsia="宋体" w:cs="宋体"/>
          <w:color w:val="auto"/>
          <w:sz w:val="24"/>
          <w:szCs w:val="24"/>
          <w:shd w:val="clear" w:color="auto" w:fill="FFFFFF"/>
          <w:lang w:eastAsia="zh-CN"/>
        </w:rPr>
      </w:pPr>
      <w:r>
        <w:rPr>
          <w:rFonts w:hint="eastAsia" w:eastAsia="宋体" w:cs="宋体"/>
          <w:color w:val="auto"/>
          <w:sz w:val="24"/>
          <w:szCs w:val="24"/>
          <w:shd w:val="clear" w:color="auto" w:fill="FFFFFF"/>
          <w:lang w:eastAsia="zh-CN"/>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5038B60C">
      <w:pPr>
        <w:pStyle w:val="34"/>
        <w:spacing w:before="0" w:beforeAutospacing="0" w:after="0" w:afterAutospacing="0" w:line="360" w:lineRule="auto"/>
        <w:rPr>
          <w:rFonts w:hint="eastAsia" w:eastAsia="宋体" w:cs="宋体"/>
          <w:color w:val="auto"/>
          <w:sz w:val="24"/>
          <w:szCs w:val="24"/>
          <w:shd w:val="clear" w:color="auto" w:fill="FFFFFF"/>
          <w:lang w:eastAsia="zh-CN"/>
        </w:rPr>
      </w:pPr>
      <w:r>
        <w:rPr>
          <w:rFonts w:hint="eastAsia" w:eastAsia="宋体" w:cs="宋体"/>
          <w:color w:val="auto"/>
          <w:sz w:val="24"/>
          <w:szCs w:val="24"/>
          <w:shd w:val="clear" w:color="auto" w:fill="FFFFFF"/>
          <w:lang w:eastAsia="zh-CN"/>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2AACBCEF">
      <w:pPr>
        <w:pStyle w:val="34"/>
        <w:spacing w:before="0" w:beforeAutospacing="0" w:after="0" w:afterAutospacing="0" w:line="360" w:lineRule="auto"/>
        <w:rPr>
          <w:rFonts w:hint="eastAsia" w:eastAsia="宋体" w:cs="宋体"/>
          <w:color w:val="auto"/>
          <w:sz w:val="24"/>
          <w:szCs w:val="24"/>
          <w:shd w:val="clear" w:color="auto" w:fill="FFFFFF"/>
          <w:lang w:eastAsia="zh-CN"/>
        </w:rPr>
      </w:pPr>
      <w:r>
        <w:rPr>
          <w:rFonts w:hint="eastAsia" w:eastAsia="宋体" w:cs="宋体"/>
          <w:color w:val="auto"/>
          <w:sz w:val="24"/>
          <w:szCs w:val="24"/>
          <w:shd w:val="clear" w:color="auto" w:fill="FFFFFF"/>
          <w:lang w:eastAsia="zh-CN"/>
        </w:rPr>
        <w:t>　　（十六）其他未列明行业。从业人员300人以下的为中小微型企业。其中，从业人员100人及以上的为中型企业；从业人员10人及以上的为小型企业；从业人员10人以下的为微型企业。</w:t>
      </w:r>
    </w:p>
    <w:p w14:paraId="3FD8D6BE">
      <w:pPr>
        <w:pStyle w:val="34"/>
        <w:spacing w:before="0" w:beforeAutospacing="0" w:after="0" w:afterAutospacing="0" w:line="360" w:lineRule="auto"/>
        <w:rPr>
          <w:rFonts w:hint="eastAsia" w:eastAsia="宋体" w:cs="宋体"/>
          <w:color w:val="auto"/>
          <w:sz w:val="24"/>
          <w:szCs w:val="24"/>
          <w:shd w:val="clear" w:color="auto" w:fill="FFFFFF"/>
          <w:lang w:eastAsia="zh-CN"/>
        </w:rPr>
      </w:pPr>
      <w:r>
        <w:rPr>
          <w:rFonts w:hint="eastAsia" w:eastAsia="宋体" w:cs="宋体"/>
          <w:color w:val="auto"/>
          <w:sz w:val="24"/>
          <w:szCs w:val="24"/>
          <w:shd w:val="clear" w:color="auto" w:fill="FFFFFF"/>
          <w:lang w:eastAsia="zh-CN"/>
        </w:rPr>
        <w:t>　　五、企业类型的划分以统计部门的统计数据为依据。</w:t>
      </w:r>
    </w:p>
    <w:p w14:paraId="7CB32085">
      <w:pPr>
        <w:pStyle w:val="34"/>
        <w:spacing w:before="0" w:beforeAutospacing="0" w:after="0" w:afterAutospacing="0" w:line="360" w:lineRule="auto"/>
        <w:rPr>
          <w:rFonts w:hint="eastAsia" w:eastAsia="宋体" w:cs="宋体"/>
          <w:color w:val="auto"/>
          <w:sz w:val="24"/>
          <w:szCs w:val="24"/>
          <w:shd w:val="clear" w:color="auto" w:fill="FFFFFF"/>
          <w:lang w:eastAsia="zh-CN"/>
        </w:rPr>
      </w:pPr>
      <w:r>
        <w:rPr>
          <w:rFonts w:hint="eastAsia" w:eastAsia="宋体" w:cs="宋体"/>
          <w:color w:val="auto"/>
          <w:sz w:val="24"/>
          <w:szCs w:val="24"/>
          <w:shd w:val="clear" w:color="auto" w:fill="FFFFFF"/>
          <w:lang w:eastAsia="zh-CN"/>
        </w:rPr>
        <w:t>　　六、本规定适用于在中华人民共和国境内依法设立的各类所有制和各种组织形式的企业。个体工商户和本规定以外的行业，参照本规定进行划型。</w:t>
      </w:r>
    </w:p>
    <w:p w14:paraId="7EF384ED">
      <w:pPr>
        <w:pStyle w:val="34"/>
        <w:spacing w:before="0" w:beforeAutospacing="0" w:after="0" w:afterAutospacing="0" w:line="360" w:lineRule="auto"/>
        <w:rPr>
          <w:rFonts w:hint="eastAsia" w:eastAsia="宋体" w:cs="宋体"/>
          <w:color w:val="auto"/>
          <w:sz w:val="24"/>
          <w:szCs w:val="24"/>
          <w:shd w:val="clear" w:color="auto" w:fill="FFFFFF"/>
          <w:lang w:eastAsia="zh-CN"/>
        </w:rPr>
      </w:pPr>
      <w:r>
        <w:rPr>
          <w:rFonts w:hint="eastAsia" w:eastAsia="宋体" w:cs="宋体"/>
          <w:color w:val="auto"/>
          <w:sz w:val="24"/>
          <w:szCs w:val="24"/>
          <w:shd w:val="clear" w:color="auto" w:fill="FFFFFF"/>
          <w:lang w:eastAsia="zh-CN"/>
        </w:rPr>
        <w:t>　　七、本规定的中型企业标准上限即为大型企业标准的下限，国家统计部门据此制定大中小微型企业的统计分类。国务院有关部门据此进行相关数据分析，不得制定与本规定不一致的企业划型标准。</w:t>
      </w:r>
    </w:p>
    <w:p w14:paraId="5F3F669E">
      <w:pPr>
        <w:pStyle w:val="34"/>
        <w:spacing w:before="0" w:beforeAutospacing="0" w:after="0" w:afterAutospacing="0" w:line="360" w:lineRule="auto"/>
        <w:rPr>
          <w:rFonts w:hint="eastAsia" w:eastAsia="宋体" w:cs="宋体"/>
          <w:color w:val="auto"/>
          <w:sz w:val="24"/>
          <w:szCs w:val="24"/>
          <w:shd w:val="clear" w:color="auto" w:fill="FFFFFF"/>
          <w:lang w:eastAsia="zh-CN"/>
        </w:rPr>
      </w:pPr>
      <w:r>
        <w:rPr>
          <w:rFonts w:hint="eastAsia" w:eastAsia="宋体" w:cs="宋体"/>
          <w:color w:val="auto"/>
          <w:sz w:val="24"/>
          <w:szCs w:val="24"/>
          <w:shd w:val="clear" w:color="auto" w:fill="FFFFFF"/>
          <w:lang w:eastAsia="zh-CN"/>
        </w:rPr>
        <w:t>　　八、本规定由工业和信息化部、国家统计局会同有关部门根据《国民经济行业分类》修订情况和企业发展变化情况适时修订。</w:t>
      </w:r>
    </w:p>
    <w:p w14:paraId="1E50923E">
      <w:pPr>
        <w:pStyle w:val="34"/>
        <w:spacing w:before="0" w:beforeAutospacing="0" w:after="0" w:afterAutospacing="0" w:line="360" w:lineRule="auto"/>
        <w:rPr>
          <w:rFonts w:hint="eastAsia" w:eastAsia="宋体" w:cs="宋体"/>
          <w:color w:val="auto"/>
          <w:sz w:val="24"/>
          <w:szCs w:val="24"/>
          <w:shd w:val="clear" w:color="auto" w:fill="FFFFFF"/>
          <w:lang w:eastAsia="zh-CN"/>
        </w:rPr>
      </w:pPr>
      <w:r>
        <w:rPr>
          <w:rFonts w:hint="eastAsia" w:eastAsia="宋体" w:cs="宋体"/>
          <w:color w:val="auto"/>
          <w:sz w:val="24"/>
          <w:szCs w:val="24"/>
          <w:shd w:val="clear" w:color="auto" w:fill="FFFFFF"/>
          <w:lang w:eastAsia="zh-CN"/>
        </w:rPr>
        <w:t>　　九、本规定由工业和信息化部、国家统计局会同有关部门负责解释。</w:t>
      </w:r>
    </w:p>
    <w:p w14:paraId="14071C02">
      <w:pPr>
        <w:pStyle w:val="34"/>
        <w:spacing w:before="0" w:beforeAutospacing="0" w:after="0" w:afterAutospacing="0" w:line="360" w:lineRule="auto"/>
        <w:rPr>
          <w:rFonts w:hint="eastAsia" w:eastAsia="宋体" w:cs="宋体"/>
          <w:color w:val="auto"/>
          <w:sz w:val="24"/>
          <w:szCs w:val="24"/>
          <w:lang w:eastAsia="zh-CN"/>
        </w:rPr>
      </w:pPr>
      <w:r>
        <w:rPr>
          <w:rFonts w:hint="eastAsia" w:eastAsia="宋体" w:cs="宋体"/>
          <w:color w:val="auto"/>
          <w:sz w:val="24"/>
          <w:szCs w:val="24"/>
          <w:shd w:val="clear" w:color="auto" w:fill="FFFFFF"/>
          <w:lang w:eastAsia="zh-CN"/>
        </w:rPr>
        <w:t>　　十、本规定自发布之日起执行，原国家经贸委、原国家计委、财政部和国家统计局2003年颁布的《中小企业标准暂行规定》同时废止。</w:t>
      </w:r>
    </w:p>
    <w:p w14:paraId="6FCA3724">
      <w:pPr>
        <w:spacing w:line="360" w:lineRule="auto"/>
        <w:rPr>
          <w:rFonts w:hint="eastAsia" w:ascii="宋体" w:hAnsi="宋体" w:eastAsia="宋体" w:cs="宋体"/>
          <w:color w:val="auto"/>
          <w:sz w:val="24"/>
          <w:szCs w:val="24"/>
          <w:lang w:eastAsia="zh-CN"/>
        </w:rPr>
      </w:pPr>
    </w:p>
    <w:sectPr>
      <w:pgSz w:w="11906" w:h="16839"/>
      <w:pgMar w:top="1429" w:right="1553" w:bottom="1378" w:left="1786" w:header="907" w:footer="994"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9FCDBD2-D063-41FF-ABA2-F341A9B1D361}"/>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EC27C9F5-D5F6-44FC-80E0-63B2B7B62186}"/>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Adobe 仿宋 Std R">
    <w:altName w:val="仿宋"/>
    <w:panose1 w:val="00000000000000000000"/>
    <w:charset w:val="86"/>
    <w:family w:val="auto"/>
    <w:pitch w:val="default"/>
    <w:sig w:usb0="00000000" w:usb1="00000000" w:usb2="00000016" w:usb3="00000000" w:csb0="00060007" w:csb1="00000000"/>
  </w:font>
  <w:font w:name="Verdana">
    <w:panose1 w:val="020B0604030504040204"/>
    <w:charset w:val="00"/>
    <w:family w:val="swiss"/>
    <w:pitch w:val="default"/>
    <w:sig w:usb0="A00006FF" w:usb1="4000205B" w:usb2="00000010" w:usb3="00000000" w:csb0="2000019F" w:csb1="00000000"/>
  </w:font>
  <w:font w:name="仿宋_GB2312">
    <w:panose1 w:val="02010609030101010101"/>
    <w:charset w:val="86"/>
    <w:family w:val="auto"/>
    <w:pitch w:val="default"/>
    <w:sig w:usb0="00000001" w:usb1="080E0000" w:usb2="00000000" w:usb3="00000000" w:csb0="00040000" w:csb1="00000000"/>
    <w:embedRegular r:id="rId3" w:fontKey="{3DDB027D-891C-493D-A7BA-770C3D21013E}"/>
  </w:font>
  <w:font w:name="华文楷体">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embedRegular r:id="rId4" w:fontKey="{716BEAB1-06C7-471D-9BEB-F077EDDA79DF}"/>
  </w:font>
  <w:font w:name="Microsoft YaHei UI">
    <w:panose1 w:val="020B0503020204020204"/>
    <w:charset w:val="86"/>
    <w:family w:val="auto"/>
    <w:pitch w:val="default"/>
    <w:sig w:usb0="80000287" w:usb1="2ACF3C50" w:usb2="00000016" w:usb3="00000000" w:csb0="0004001F" w:csb1="00000000"/>
    <w:embedRegular r:id="rId5" w:fontKey="{E9507EEC-7180-4317-A03C-6AC9750D4799}"/>
  </w:font>
  <w:font w:name="Cambria Math">
    <w:panose1 w:val="02040503050406030204"/>
    <w:charset w:val="00"/>
    <w:family w:val="auto"/>
    <w:pitch w:val="default"/>
    <w:sig w:usb0="E00006FF" w:usb1="420024FF" w:usb2="02000000" w:usb3="00000000" w:csb0="2000019F" w:csb1="00000000"/>
    <w:embedRegular r:id="rId6" w:fontKey="{AF6D6307-5065-4418-A708-C1CF753C5DD2}"/>
  </w:font>
  <w:font w:name="MingLiU_HKSCS">
    <w:altName w:val="PMingLiU-ExtB"/>
    <w:panose1 w:val="02020500000000000000"/>
    <w:charset w:val="88"/>
    <w:family w:val="roman"/>
    <w:pitch w:val="default"/>
    <w:sig w:usb0="00000000" w:usb1="00000000" w:usb2="00000016" w:usb3="00000000" w:csb0="00100001" w:csb1="00000000"/>
    <w:embedRegular r:id="rId7" w:fontKey="{BE29841B-C310-41A6-8583-CFD1C6C809C7}"/>
  </w:font>
  <w:font w:name="PMingLiU-ExtB">
    <w:panose1 w:val="02020500000000000000"/>
    <w:charset w:val="88"/>
    <w:family w:val="auto"/>
    <w:pitch w:val="default"/>
    <w:sig w:usb0="8000002F" w:usb1="02000008" w:usb2="00000000" w:usb3="00000000" w:csb0="00100001" w:csb1="00000000"/>
  </w:font>
  <w:font w:name="方正小标宋_GBK">
    <w:altName w:val="微软雅黑"/>
    <w:panose1 w:val="02000000000000000000"/>
    <w:charset w:val="86"/>
    <w:family w:val="auto"/>
    <w:pitch w:val="default"/>
    <w:sig w:usb0="00000000" w:usb1="00000000" w:usb2="00082016" w:usb3="00000000" w:csb0="00040001" w:csb1="00000000"/>
    <w:embedRegular r:id="rId8" w:fontKey="{CAE94679-D8DD-407E-943B-DAB30E9748B5}"/>
  </w:font>
  <w:font w:name="等线">
    <w:panose1 w:val="02010600030101010101"/>
    <w:charset w:val="86"/>
    <w:family w:val="auto"/>
    <w:pitch w:val="default"/>
    <w:sig w:usb0="A00002BF" w:usb1="38CF7CFA" w:usb2="00000016" w:usb3="00000000" w:csb0="0004000F" w:csb1="00000000"/>
    <w:embedRegular r:id="rId9" w:fontKey="{9330A550-1FD5-42CF-A672-FF206AD442DD}"/>
  </w:font>
  <w:font w:name="华文中宋">
    <w:panose1 w:val="02010600040101010101"/>
    <w:charset w:val="86"/>
    <w:family w:val="auto"/>
    <w:pitch w:val="default"/>
    <w:sig w:usb0="00000287" w:usb1="080F0000" w:usb2="00000000" w:usb3="00000000" w:csb0="0004009F" w:csb1="DFD70000"/>
    <w:embedRegular r:id="rId10" w:fontKey="{F22AD3E8-F667-4831-8656-E197DAF22709}"/>
  </w:font>
  <w:font w:name="WPSEMBED2">
    <w:panose1 w:val="02010609030101010101"/>
    <w:charset w:val="86"/>
    <w:family w:val="auto"/>
    <w:pitch w:val="default"/>
    <w:sig w:usb0="00000001" w:usb1="080E0000" w:usb2="00000000" w:usb3="00000000" w:csb0="0004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28A317">
    <w:pPr>
      <w:pStyle w:val="22"/>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9"/>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14:paraId="4A091392">
                          <w:pPr>
                            <w:pStyle w:val="22"/>
                          </w:pPr>
                          <w:r>
                            <w:fldChar w:fldCharType="begin"/>
                          </w:r>
                          <w:r>
                            <w:instrText xml:space="preserve"> PAGE  \* MERGEFORMAT </w:instrText>
                          </w:r>
                          <w:r>
                            <w:fldChar w:fldCharType="separate"/>
                          </w:r>
                          <w:r>
                            <w:t>1</w:t>
                          </w:r>
                          <w:r>
                            <w:fldChar w:fldCharType="end"/>
                          </w:r>
                        </w:p>
                      </w:txbxContent>
                    </wps:txbx>
                    <wps:bodyPr wrap="none" lIns="0" tIns="0" rIns="0" bIns="0" upright="1">
                      <a:spAutoFit/>
                    </wps:bodyPr>
                  </wps:wsp>
                </a:graphicData>
              </a:graphic>
            </wp:anchor>
          </w:drawing>
        </mc:Choice>
        <mc:Fallback>
          <w:pict>
            <v:rect id="文本框 19" o:spid="_x0000_s1026" o:spt="1"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l1uVLQAAAABQEAAA8AAAAAAAAAAQAgAAAAIgAAAGRycy9kb3ducmV2LnhtbFBL&#10;AQIUABQAAAAIAIdO4kCUmZQXxQEAAJADAAAOAAAAAAAAAAEAIAAAAB8BAABkcnMvZTJvRG9jLnht&#10;bFBLBQYAAAAABgAGAFkBAABWBQAAAAA=&#10;">
              <v:fill on="f" focussize="0,0"/>
              <v:stroke on="f"/>
              <v:imagedata o:title=""/>
              <o:lock v:ext="edit" aspectratio="f"/>
              <v:textbox inset="0mm,0mm,0mm,0mm" style="mso-fit-shape-to-text:t;">
                <w:txbxContent>
                  <w:p w14:paraId="4A091392">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0691B7">
    <w:pPr>
      <w:pStyle w:val="22"/>
      <w:tabs>
        <w:tab w:val="center" w:pos="4153"/>
        <w:tab w:val="right" w:pos="8306"/>
        <w:tab w:val="clear" w:pos="4140"/>
        <w:tab w:val="clear" w:pos="8300"/>
      </w:tabs>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2"/>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14:paraId="212CF3CA">
                          <w:pPr>
                            <w:pStyle w:val="22"/>
                            <w:tabs>
                              <w:tab w:val="center" w:pos="4153"/>
                              <w:tab w:val="right" w:pos="8306"/>
                              <w:tab w:val="clear" w:pos="4140"/>
                              <w:tab w:val="clear" w:pos="8300"/>
                            </w:tabs>
                          </w:pPr>
                          <w:r>
                            <w:fldChar w:fldCharType="begin"/>
                          </w:r>
                          <w:r>
                            <w:instrText xml:space="preserve"> PAGE  \* MERGEFORMAT </w:instrText>
                          </w:r>
                          <w:r>
                            <w:fldChar w:fldCharType="separate"/>
                          </w:r>
                          <w:r>
                            <w:t>10</w:t>
                          </w:r>
                          <w:r>
                            <w:fldChar w:fldCharType="end"/>
                          </w:r>
                        </w:p>
                      </w:txbxContent>
                    </wps:txbx>
                    <wps:bodyPr wrap="none" lIns="0" tIns="0" rIns="0" bIns="0" upright="1">
                      <a:spAutoFit/>
                    </wps:bodyPr>
                  </wps:wsp>
                </a:graphicData>
              </a:graphic>
            </wp:anchor>
          </w:drawing>
        </mc:Choice>
        <mc:Fallback>
          <w:pict>
            <v:rect id="文本框 12" o:spid="_x0000_s1026" o:spt="1"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XW5UtAAAAAFAQAADwAAAAAAAAABACAAAAAiAAAAZHJzL2Rvd25yZXYueG1sUEsB&#10;AhQAFAAAAAgAh07iQMVSFFPEAQAAkQMAAA4AAAAAAAAAAQAgAAAAHwEAAGRycy9lMm9Eb2MueG1s&#10;UEsFBgAAAAAGAAYAWQEAAFUFAAAAAA==&#10;">
              <v:fill on="f" focussize="0,0"/>
              <v:stroke on="f"/>
              <v:imagedata o:title=""/>
              <o:lock v:ext="edit" aspectratio="f"/>
              <v:textbox inset="0mm,0mm,0mm,0mm" style="mso-fit-shape-to-text:t;">
                <w:txbxContent>
                  <w:p w14:paraId="212CF3CA">
                    <w:pPr>
                      <w:pStyle w:val="22"/>
                      <w:tabs>
                        <w:tab w:val="center" w:pos="4153"/>
                        <w:tab w:val="right" w:pos="8306"/>
                        <w:tab w:val="clear" w:pos="4140"/>
                        <w:tab w:val="clear" w:pos="8300"/>
                      </w:tabs>
                    </w:pPr>
                    <w:r>
                      <w:fldChar w:fldCharType="begin"/>
                    </w:r>
                    <w:r>
                      <w:instrText xml:space="preserve"> PAGE  \* MERGEFORMAT </w:instrText>
                    </w:r>
                    <w:r>
                      <w:fldChar w:fldCharType="separate"/>
                    </w:r>
                    <w:r>
                      <w:t>10</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709E3B">
    <w:pPr>
      <w:pStyle w:val="22"/>
      <w:tabs>
        <w:tab w:val="center" w:pos="4153"/>
        <w:tab w:val="right" w:pos="8306"/>
        <w:tab w:val="clear" w:pos="4140"/>
        <w:tab w:val="clear" w:pos="8300"/>
      </w:tabs>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E6E3890">
                          <w:pPr>
                            <w:pStyle w:val="22"/>
                            <w:tabs>
                              <w:tab w:val="center" w:pos="4153"/>
                              <w:tab w:val="right" w:pos="8306"/>
                              <w:tab w:val="clear" w:pos="4140"/>
                              <w:tab w:val="clear" w:pos="8300"/>
                            </w:tabs>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GDM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vsRgzMQIAAGUEAAAOAAAAAAAAAAEAIAAAAB8BAABkcnMvZTJvRG9jLnhtbFBLBQYA&#10;AAAABgAGAFkBAADCBQAAAAA=&#10;">
              <v:fill on="f" focussize="0,0"/>
              <v:stroke on="f" weight="0.5pt"/>
              <v:imagedata o:title=""/>
              <o:lock v:ext="edit" aspectratio="f"/>
              <v:textbox inset="0mm,0mm,0mm,0mm" style="mso-fit-shape-to-text:t;">
                <w:txbxContent>
                  <w:p w14:paraId="0E6E3890">
                    <w:pPr>
                      <w:pStyle w:val="22"/>
                      <w:tabs>
                        <w:tab w:val="center" w:pos="4153"/>
                        <w:tab w:val="right" w:pos="8306"/>
                        <w:tab w:val="clear" w:pos="4140"/>
                        <w:tab w:val="clear" w:pos="8300"/>
                      </w:tabs>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11831D">
    <w:pPr>
      <w:spacing w:line="171" w:lineRule="auto"/>
      <w:ind w:left="4559"/>
      <w:rPr>
        <w:rFonts w:hint="eastAsia" w:ascii="宋体" w:hAnsi="宋体" w:eastAsia="宋体" w:cs="宋体"/>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矩形 3"/>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14:paraId="66484A31">
                          <w:pPr>
                            <w:pStyle w:val="22"/>
                            <w:tabs>
                              <w:tab w:val="center" w:pos="4153"/>
                              <w:tab w:val="right" w:pos="8306"/>
                              <w:tab w:val="clear" w:pos="4140"/>
                              <w:tab w:val="clear" w:pos="8300"/>
                            </w:tabs>
                          </w:pPr>
                          <w:r>
                            <w:fldChar w:fldCharType="begin"/>
                          </w:r>
                          <w:r>
                            <w:instrText xml:space="preserve"> PAGE  \* MERGEFORMAT </w:instrText>
                          </w:r>
                          <w:r>
                            <w:fldChar w:fldCharType="separate"/>
                          </w:r>
                          <w:r>
                            <w:t>2</w:t>
                          </w:r>
                          <w:r>
                            <w:fldChar w:fldCharType="end"/>
                          </w:r>
                        </w:p>
                      </w:txbxContent>
                    </wps:txbx>
                    <wps:bodyPr wrap="none" lIns="0" tIns="0" rIns="0" bIns="0" upright="1">
                      <a:spAutoFit/>
                    </wps:bodyPr>
                  </wps:wsp>
                </a:graphicData>
              </a:graphic>
            </wp:anchor>
          </w:drawing>
        </mc:Choice>
        <mc:Fallback>
          <w:pict>
            <v:rect id="矩形 3" o:spid="_x0000_s1026" o:spt="1"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5dblS0AAAAAUBAAAPAAAAAAAAAAEAIAAAACIAAABkcnMvZG93bnJldi54bWxQSwECFAAU&#10;AAAACACHTuJApg9n6sABAACNAwAADgAAAAAAAAABACAAAAAfAQAAZHJzL2Uyb0RvYy54bWxQSwUG&#10;AAAAAAYABgBZAQAAUQUAAAAA&#10;">
              <v:fill on="f" focussize="0,0"/>
              <v:stroke on="f"/>
              <v:imagedata o:title=""/>
              <o:lock v:ext="edit" aspectratio="f"/>
              <v:textbox inset="0mm,0mm,0mm,0mm" style="mso-fit-shape-to-text:t;">
                <w:txbxContent>
                  <w:p w14:paraId="66484A31">
                    <w:pPr>
                      <w:pStyle w:val="22"/>
                      <w:tabs>
                        <w:tab w:val="center" w:pos="4153"/>
                        <w:tab w:val="right" w:pos="8306"/>
                        <w:tab w:val="clear" w:pos="4140"/>
                        <w:tab w:val="clear" w:pos="8300"/>
                      </w:tabs>
                    </w:pPr>
                    <w:r>
                      <w:fldChar w:fldCharType="begin"/>
                    </w:r>
                    <w:r>
                      <w:instrText xml:space="preserve"> PAGE  \* MERGEFORMAT </w:instrText>
                    </w:r>
                    <w:r>
                      <w:fldChar w:fldCharType="separate"/>
                    </w:r>
                    <w:r>
                      <w:t>2</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96594F">
    <w:pPr>
      <w:pStyle w:val="24"/>
      <w:jc w:val="right"/>
      <w:rPr>
        <w:lang w:eastAsia="zh-CN"/>
      </w:rPr>
    </w:pPr>
    <w:r>
      <w:rPr>
        <w:sz w:val="21"/>
      </w:rPr>
      <w:drawing>
        <wp:anchor distT="0" distB="0" distL="114300" distR="114300" simplePos="0" relativeHeight="251661312" behindDoc="0" locked="0" layoutInCell="1" allowOverlap="1">
          <wp:simplePos x="0" y="0"/>
          <wp:positionH relativeFrom="column">
            <wp:posOffset>95250</wp:posOffset>
          </wp:positionH>
          <wp:positionV relativeFrom="paragraph">
            <wp:posOffset>-91440</wp:posOffset>
          </wp:positionV>
          <wp:extent cx="405130" cy="360045"/>
          <wp:effectExtent l="0" t="0" r="13970" b="1905"/>
          <wp:wrapSquare wrapText="bothSides"/>
          <wp:docPr id="101453166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531662" name="图片 5"/>
                  <pic:cNvPicPr>
                    <a:picLocks noChangeAspect="1"/>
                  </pic:cNvPicPr>
                </pic:nvPicPr>
                <pic:blipFill>
                  <a:blip r:embed="rId1">
                    <a:lum/>
                  </a:blip>
                  <a:stretch>
                    <a:fillRect/>
                  </a:stretch>
                </pic:blipFill>
                <pic:spPr>
                  <a:xfrm>
                    <a:off x="0" y="0"/>
                    <a:ext cx="405130" cy="360045"/>
                  </a:xfrm>
                  <a:prstGeom prst="rect">
                    <a:avLst/>
                  </a:prstGeom>
                  <a:noFill/>
                  <a:ln>
                    <a:noFill/>
                  </a:ln>
                </pic:spPr>
              </pic:pic>
            </a:graphicData>
          </a:graphic>
        </wp:anchor>
      </w:drawing>
    </w:r>
    <w:r>
      <w:rPr>
        <w:rFonts w:hint="eastAsia"/>
        <w:sz w:val="21"/>
        <w:lang w:eastAsia="zh-CN"/>
      </w:rPr>
      <w:t>新疆金正建设工程管理有限公司</w:t>
    </w:r>
  </w:p>
  <w:p w14:paraId="2CECE82B">
    <w:pPr>
      <w:pStyle w:val="24"/>
      <w:pBdr>
        <w:bottom w:val="single" w:color="auto" w:sz="4" w:space="1"/>
      </w:pBdr>
      <w:rPr>
        <w:lang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47654">
    <w:pPr>
      <w:pStyle w:val="2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919F25"/>
    <w:multiLevelType w:val="singleLevel"/>
    <w:tmpl w:val="89919F25"/>
    <w:lvl w:ilvl="0" w:tentative="0">
      <w:start w:val="1"/>
      <w:numFmt w:val="decimal"/>
      <w:suff w:val="nothing"/>
      <w:lvlText w:val="%1、"/>
      <w:lvlJc w:val="left"/>
    </w:lvl>
  </w:abstractNum>
  <w:abstractNum w:abstractNumId="1">
    <w:nsid w:val="B1EB2EDE"/>
    <w:multiLevelType w:val="singleLevel"/>
    <w:tmpl w:val="B1EB2EDE"/>
    <w:lvl w:ilvl="0" w:tentative="0">
      <w:start w:val="2"/>
      <w:numFmt w:val="chineseCounting"/>
      <w:suff w:val="nothing"/>
      <w:lvlText w:val="%1、"/>
      <w:lvlJc w:val="left"/>
      <w:rPr>
        <w:rFonts w:hint="eastAsia"/>
      </w:rPr>
    </w:lvl>
  </w:abstractNum>
  <w:abstractNum w:abstractNumId="2">
    <w:nsid w:val="DC06B76B"/>
    <w:multiLevelType w:val="singleLevel"/>
    <w:tmpl w:val="DC06B76B"/>
    <w:lvl w:ilvl="0" w:tentative="0">
      <w:start w:val="1"/>
      <w:numFmt w:val="decimal"/>
      <w:suff w:val="nothing"/>
      <w:lvlText w:val="（%1）"/>
      <w:lvlJc w:val="left"/>
    </w:lvl>
  </w:abstractNum>
  <w:abstractNum w:abstractNumId="3">
    <w:nsid w:val="0000000C"/>
    <w:multiLevelType w:val="multilevel"/>
    <w:tmpl w:val="0000000C"/>
    <w:lvl w:ilvl="0" w:tentative="0">
      <w:start w:val="1"/>
      <w:numFmt w:val="decimal"/>
      <w:lvlText w:val="%1、"/>
      <w:lvlJc w:val="left"/>
      <w:pPr>
        <w:tabs>
          <w:tab w:val="left" w:pos="740"/>
        </w:tabs>
        <w:ind w:left="1081" w:hanging="1081"/>
      </w:pPr>
      <w:rPr>
        <w:rFonts w:hint="default"/>
      </w:rPr>
    </w:lvl>
    <w:lvl w:ilvl="1" w:tentative="0">
      <w:start w:val="1"/>
      <w:numFmt w:val="decimal"/>
      <w:pStyle w:val="95"/>
      <w:lvlText w:val="%2、"/>
      <w:lvlJc w:val="left"/>
      <w:pPr>
        <w:tabs>
          <w:tab w:val="left" w:pos="1160"/>
        </w:tabs>
        <w:ind w:left="1501" w:hanging="1081"/>
      </w:pPr>
      <w:rPr>
        <w:rFonts w:hint="default" w:ascii="Arial" w:hAnsi="Arial" w:cs="Arial"/>
        <w:b/>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01F2550E"/>
    <w:multiLevelType w:val="singleLevel"/>
    <w:tmpl w:val="01F2550E"/>
    <w:lvl w:ilvl="0" w:tentative="0">
      <w:start w:val="1"/>
      <w:numFmt w:val="decimal"/>
      <w:suff w:val="nothing"/>
      <w:lvlText w:val="（%1）"/>
      <w:lvlJc w:val="left"/>
    </w:lvl>
  </w:abstractNum>
  <w:abstractNum w:abstractNumId="5">
    <w:nsid w:val="2A26EEE9"/>
    <w:multiLevelType w:val="singleLevel"/>
    <w:tmpl w:val="2A26EEE9"/>
    <w:lvl w:ilvl="0" w:tentative="0">
      <w:start w:val="1"/>
      <w:numFmt w:val="decimal"/>
      <w:suff w:val="nothing"/>
      <w:lvlText w:val="%1、"/>
      <w:lvlJc w:val="left"/>
    </w:lvl>
  </w:abstractNum>
  <w:abstractNum w:abstractNumId="6">
    <w:nsid w:val="682A92D2"/>
    <w:multiLevelType w:val="singleLevel"/>
    <w:tmpl w:val="682A92D2"/>
    <w:lvl w:ilvl="0" w:tentative="0">
      <w:start w:val="1"/>
      <w:numFmt w:val="decimal"/>
      <w:pStyle w:val="18"/>
      <w:lvlText w:val="%1."/>
      <w:lvlJc w:val="left"/>
      <w:pPr>
        <w:tabs>
          <w:tab w:val="left" w:pos="2040"/>
        </w:tabs>
        <w:ind w:left="2040" w:hanging="360"/>
      </w:pPr>
    </w:lvl>
  </w:abstractNum>
  <w:abstractNum w:abstractNumId="7">
    <w:nsid w:val="7AA165CB"/>
    <w:multiLevelType w:val="singleLevel"/>
    <w:tmpl w:val="7AA165CB"/>
    <w:lvl w:ilvl="0" w:tentative="0">
      <w:start w:val="1"/>
      <w:numFmt w:val="decimal"/>
      <w:suff w:val="space"/>
      <w:lvlText w:val="%1."/>
      <w:lvlJc w:val="left"/>
    </w:lvl>
  </w:abstractNum>
  <w:num w:numId="1">
    <w:abstractNumId w:val="6"/>
  </w:num>
  <w:num w:numId="2">
    <w:abstractNumId w:val="3"/>
  </w:num>
  <w:num w:numId="3">
    <w:abstractNumId w:val="2"/>
  </w:num>
  <w:num w:numId="4">
    <w:abstractNumId w:val="4"/>
  </w:num>
  <w:num w:numId="5">
    <w:abstractNumId w:val="0"/>
  </w:num>
  <w:num w:numId="6">
    <w:abstractNumId w:val="5"/>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efaultTabStop w:val="420"/>
  <w:displayHorizontalDrawingGridEvery w:val="1"/>
  <w:displayVerticalDrawingGridEvery w:val="1"/>
  <w:noPunctuationKerning w:val="1"/>
  <w:characterSpacingControl w:val="doNotCompress"/>
  <w:hdrShapeDefaults>
    <o:shapelayout v:ext="edit">
      <o:idmap v:ext="edit" data="3"/>
    </o:shapelayout>
  </w:hdrShapeDefaults>
  <w:compat>
    <w:spaceForUL/>
    <w:doNotLeaveBackslashAlone/>
    <w:ulTrailSpace/>
    <w:doNotExpandShiftReturn/>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6B82"/>
    <w:rsid w:val="001838B7"/>
    <w:rsid w:val="001A14FA"/>
    <w:rsid w:val="00242CF5"/>
    <w:rsid w:val="002C1D27"/>
    <w:rsid w:val="002F7FBB"/>
    <w:rsid w:val="00312148"/>
    <w:rsid w:val="003B1119"/>
    <w:rsid w:val="003B768E"/>
    <w:rsid w:val="004432BA"/>
    <w:rsid w:val="0044747A"/>
    <w:rsid w:val="006B2064"/>
    <w:rsid w:val="006C2330"/>
    <w:rsid w:val="006E45B9"/>
    <w:rsid w:val="006F348A"/>
    <w:rsid w:val="00730C33"/>
    <w:rsid w:val="00777A7E"/>
    <w:rsid w:val="007900E7"/>
    <w:rsid w:val="00800436"/>
    <w:rsid w:val="008D5A2B"/>
    <w:rsid w:val="00903A8D"/>
    <w:rsid w:val="009B0034"/>
    <w:rsid w:val="009E76F6"/>
    <w:rsid w:val="00B05646"/>
    <w:rsid w:val="00C44B2C"/>
    <w:rsid w:val="00C57F97"/>
    <w:rsid w:val="00D86B82"/>
    <w:rsid w:val="00DB319D"/>
    <w:rsid w:val="00DB33D6"/>
    <w:rsid w:val="00DE7F51"/>
    <w:rsid w:val="00E033CA"/>
    <w:rsid w:val="00E32D47"/>
    <w:rsid w:val="00E41BCA"/>
    <w:rsid w:val="00ED1EC9"/>
    <w:rsid w:val="00EE2C13"/>
    <w:rsid w:val="00EE5710"/>
    <w:rsid w:val="00EF555A"/>
    <w:rsid w:val="00F46433"/>
    <w:rsid w:val="00FE485E"/>
    <w:rsid w:val="022C0730"/>
    <w:rsid w:val="033C4AE1"/>
    <w:rsid w:val="03806D9C"/>
    <w:rsid w:val="042E1877"/>
    <w:rsid w:val="06DA4BFF"/>
    <w:rsid w:val="079B3BBA"/>
    <w:rsid w:val="09697C41"/>
    <w:rsid w:val="09A11A04"/>
    <w:rsid w:val="0A56459C"/>
    <w:rsid w:val="0A766000"/>
    <w:rsid w:val="0A817C4C"/>
    <w:rsid w:val="0ABA3719"/>
    <w:rsid w:val="0AF46D16"/>
    <w:rsid w:val="0C943AA2"/>
    <w:rsid w:val="0CA470DC"/>
    <w:rsid w:val="0CBF4F97"/>
    <w:rsid w:val="0D8E04F1"/>
    <w:rsid w:val="0DCE1532"/>
    <w:rsid w:val="0E031902"/>
    <w:rsid w:val="0E9B7FA1"/>
    <w:rsid w:val="0EC028E8"/>
    <w:rsid w:val="0EE65B3E"/>
    <w:rsid w:val="0EF174F2"/>
    <w:rsid w:val="0F136006"/>
    <w:rsid w:val="0F494A67"/>
    <w:rsid w:val="0F956327"/>
    <w:rsid w:val="0F9718DF"/>
    <w:rsid w:val="1056677F"/>
    <w:rsid w:val="10A2675E"/>
    <w:rsid w:val="10B352EB"/>
    <w:rsid w:val="10C87F96"/>
    <w:rsid w:val="10E62EAA"/>
    <w:rsid w:val="11052878"/>
    <w:rsid w:val="117368F4"/>
    <w:rsid w:val="12580CBB"/>
    <w:rsid w:val="135676CC"/>
    <w:rsid w:val="13573133"/>
    <w:rsid w:val="14780883"/>
    <w:rsid w:val="14E21E98"/>
    <w:rsid w:val="14F22D30"/>
    <w:rsid w:val="155E69FB"/>
    <w:rsid w:val="161539CC"/>
    <w:rsid w:val="16716F40"/>
    <w:rsid w:val="16C8160F"/>
    <w:rsid w:val="16EE2A35"/>
    <w:rsid w:val="171C6B6E"/>
    <w:rsid w:val="172F711F"/>
    <w:rsid w:val="17367C2F"/>
    <w:rsid w:val="17E6572A"/>
    <w:rsid w:val="18EC1753"/>
    <w:rsid w:val="19481E9C"/>
    <w:rsid w:val="1A6C1BBA"/>
    <w:rsid w:val="1A8269ED"/>
    <w:rsid w:val="1A9C0BE5"/>
    <w:rsid w:val="1B530454"/>
    <w:rsid w:val="1BBE4697"/>
    <w:rsid w:val="1E537319"/>
    <w:rsid w:val="1E7D6144"/>
    <w:rsid w:val="1EBB46DB"/>
    <w:rsid w:val="1F617814"/>
    <w:rsid w:val="2015528C"/>
    <w:rsid w:val="206574AC"/>
    <w:rsid w:val="21840170"/>
    <w:rsid w:val="21D84D33"/>
    <w:rsid w:val="23251F96"/>
    <w:rsid w:val="236668BE"/>
    <w:rsid w:val="244871F4"/>
    <w:rsid w:val="248D2A4C"/>
    <w:rsid w:val="24F10D15"/>
    <w:rsid w:val="265757DF"/>
    <w:rsid w:val="26D417B4"/>
    <w:rsid w:val="27114127"/>
    <w:rsid w:val="275251D0"/>
    <w:rsid w:val="28237D5C"/>
    <w:rsid w:val="28514D40"/>
    <w:rsid w:val="288D53BF"/>
    <w:rsid w:val="2AF8735D"/>
    <w:rsid w:val="2B12230A"/>
    <w:rsid w:val="2BBE65D0"/>
    <w:rsid w:val="2C47664F"/>
    <w:rsid w:val="2CBA4A07"/>
    <w:rsid w:val="2E052244"/>
    <w:rsid w:val="2E282D48"/>
    <w:rsid w:val="2E461C94"/>
    <w:rsid w:val="2E8E05D3"/>
    <w:rsid w:val="2EBA0CEE"/>
    <w:rsid w:val="2FB63264"/>
    <w:rsid w:val="30CE282F"/>
    <w:rsid w:val="30D979C9"/>
    <w:rsid w:val="318873D1"/>
    <w:rsid w:val="31D16A7B"/>
    <w:rsid w:val="31D23BDE"/>
    <w:rsid w:val="31DC4C33"/>
    <w:rsid w:val="32CC4FB1"/>
    <w:rsid w:val="33C3738B"/>
    <w:rsid w:val="349F0531"/>
    <w:rsid w:val="352960C1"/>
    <w:rsid w:val="35591534"/>
    <w:rsid w:val="35E268E3"/>
    <w:rsid w:val="363032A3"/>
    <w:rsid w:val="36C7044C"/>
    <w:rsid w:val="370F5BBB"/>
    <w:rsid w:val="37344974"/>
    <w:rsid w:val="390414E4"/>
    <w:rsid w:val="39876FB9"/>
    <w:rsid w:val="39C365DE"/>
    <w:rsid w:val="39C5070E"/>
    <w:rsid w:val="39D77BF9"/>
    <w:rsid w:val="3A39340F"/>
    <w:rsid w:val="3A6D130B"/>
    <w:rsid w:val="3A7163DF"/>
    <w:rsid w:val="3B84690C"/>
    <w:rsid w:val="3C7A4305"/>
    <w:rsid w:val="3D4C5378"/>
    <w:rsid w:val="3D793FF8"/>
    <w:rsid w:val="3E484375"/>
    <w:rsid w:val="3EB1788B"/>
    <w:rsid w:val="3F2E44BF"/>
    <w:rsid w:val="40E57E4D"/>
    <w:rsid w:val="40EC45B3"/>
    <w:rsid w:val="422C0992"/>
    <w:rsid w:val="436723E0"/>
    <w:rsid w:val="44986723"/>
    <w:rsid w:val="44A973E3"/>
    <w:rsid w:val="44E139C6"/>
    <w:rsid w:val="45231231"/>
    <w:rsid w:val="4609564A"/>
    <w:rsid w:val="461F7CF2"/>
    <w:rsid w:val="47511D2E"/>
    <w:rsid w:val="47E7188F"/>
    <w:rsid w:val="48322741"/>
    <w:rsid w:val="490C6E6F"/>
    <w:rsid w:val="4A3B1E3A"/>
    <w:rsid w:val="4B173A8B"/>
    <w:rsid w:val="4B866465"/>
    <w:rsid w:val="4B9E3DEF"/>
    <w:rsid w:val="4BF278C2"/>
    <w:rsid w:val="4C1B0BC7"/>
    <w:rsid w:val="4C7D2C3B"/>
    <w:rsid w:val="4CFB09F8"/>
    <w:rsid w:val="4D1A2C2C"/>
    <w:rsid w:val="4DF23BA9"/>
    <w:rsid w:val="4E7A241E"/>
    <w:rsid w:val="4FE258E6"/>
    <w:rsid w:val="50A10F5A"/>
    <w:rsid w:val="50A70C7B"/>
    <w:rsid w:val="50DA79B7"/>
    <w:rsid w:val="51114346"/>
    <w:rsid w:val="52470D8A"/>
    <w:rsid w:val="52B943A9"/>
    <w:rsid w:val="5486504B"/>
    <w:rsid w:val="5543118E"/>
    <w:rsid w:val="56245C54"/>
    <w:rsid w:val="56635ECC"/>
    <w:rsid w:val="566E7EBE"/>
    <w:rsid w:val="56AE0348"/>
    <w:rsid w:val="56F260C8"/>
    <w:rsid w:val="570B1E41"/>
    <w:rsid w:val="585137CE"/>
    <w:rsid w:val="586B7701"/>
    <w:rsid w:val="59BA59D7"/>
    <w:rsid w:val="59F91B3E"/>
    <w:rsid w:val="5A3115B5"/>
    <w:rsid w:val="5A3A5DEB"/>
    <w:rsid w:val="5A745D75"/>
    <w:rsid w:val="5A7D5E1E"/>
    <w:rsid w:val="5AC16DDD"/>
    <w:rsid w:val="5BB36E20"/>
    <w:rsid w:val="5BEC1C38"/>
    <w:rsid w:val="5C764E81"/>
    <w:rsid w:val="5CEB059C"/>
    <w:rsid w:val="5D0D6309"/>
    <w:rsid w:val="5D355860"/>
    <w:rsid w:val="5D8339C6"/>
    <w:rsid w:val="5D977C4D"/>
    <w:rsid w:val="5E0E3C9B"/>
    <w:rsid w:val="5E1611EE"/>
    <w:rsid w:val="5E985271"/>
    <w:rsid w:val="5EC96260"/>
    <w:rsid w:val="5EDD68C7"/>
    <w:rsid w:val="5EDF3CD6"/>
    <w:rsid w:val="5FE2291B"/>
    <w:rsid w:val="600405B2"/>
    <w:rsid w:val="60745CAD"/>
    <w:rsid w:val="608A1D2F"/>
    <w:rsid w:val="60DD09F9"/>
    <w:rsid w:val="61734BA9"/>
    <w:rsid w:val="61970898"/>
    <w:rsid w:val="61C25EF3"/>
    <w:rsid w:val="620677CB"/>
    <w:rsid w:val="626F2BE1"/>
    <w:rsid w:val="62EA31DF"/>
    <w:rsid w:val="62F3224A"/>
    <w:rsid w:val="639F3A33"/>
    <w:rsid w:val="63A53E53"/>
    <w:rsid w:val="641A1849"/>
    <w:rsid w:val="64591E34"/>
    <w:rsid w:val="64D70FAB"/>
    <w:rsid w:val="65D06126"/>
    <w:rsid w:val="65F033B1"/>
    <w:rsid w:val="6606704B"/>
    <w:rsid w:val="662B15AE"/>
    <w:rsid w:val="66E03E29"/>
    <w:rsid w:val="67AC2BC3"/>
    <w:rsid w:val="687F677F"/>
    <w:rsid w:val="68E65C61"/>
    <w:rsid w:val="690900DD"/>
    <w:rsid w:val="69192B7D"/>
    <w:rsid w:val="69733998"/>
    <w:rsid w:val="69BC559F"/>
    <w:rsid w:val="69D32689"/>
    <w:rsid w:val="69D87D83"/>
    <w:rsid w:val="6A694D9B"/>
    <w:rsid w:val="6BAC75D4"/>
    <w:rsid w:val="6C762039"/>
    <w:rsid w:val="6D8B4BB1"/>
    <w:rsid w:val="6EAB5982"/>
    <w:rsid w:val="6F096ACE"/>
    <w:rsid w:val="6F287975"/>
    <w:rsid w:val="6F327E52"/>
    <w:rsid w:val="6FF375E1"/>
    <w:rsid w:val="70893AA1"/>
    <w:rsid w:val="70C97301"/>
    <w:rsid w:val="7285473C"/>
    <w:rsid w:val="72B62B48"/>
    <w:rsid w:val="72BC7172"/>
    <w:rsid w:val="72C9287B"/>
    <w:rsid w:val="73AB0F34"/>
    <w:rsid w:val="73FE09B4"/>
    <w:rsid w:val="7443282E"/>
    <w:rsid w:val="74507025"/>
    <w:rsid w:val="74620891"/>
    <w:rsid w:val="74CB5835"/>
    <w:rsid w:val="74CE23CA"/>
    <w:rsid w:val="7551440A"/>
    <w:rsid w:val="764327B9"/>
    <w:rsid w:val="77812872"/>
    <w:rsid w:val="77E616E5"/>
    <w:rsid w:val="77F2017E"/>
    <w:rsid w:val="780A196C"/>
    <w:rsid w:val="78B6564F"/>
    <w:rsid w:val="78D73621"/>
    <w:rsid w:val="795972A5"/>
    <w:rsid w:val="799D6DC8"/>
    <w:rsid w:val="79C2318F"/>
    <w:rsid w:val="7B3D346C"/>
    <w:rsid w:val="7BB73BB8"/>
    <w:rsid w:val="7C847C5A"/>
    <w:rsid w:val="7C976E5F"/>
    <w:rsid w:val="7CAF0C65"/>
    <w:rsid w:val="7DC557F4"/>
    <w:rsid w:val="7EA03CCE"/>
    <w:rsid w:val="7EB85585"/>
    <w:rsid w:val="7EDC35D5"/>
    <w:rsid w:val="7F2923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qFormat="1"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qFormat="1" w:unhideWhenUsed="0" w:uiPriority="0" w:semiHidden="0" w:name="toc 5"/>
    <w:lsdException w:qFormat="1" w:uiPriority="39"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iPriority="99"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qFormat="1" w:uiPriority="99"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paragraph" w:styleId="2">
    <w:name w:val="heading 1"/>
    <w:basedOn w:val="1"/>
    <w:next w:val="1"/>
    <w:link w:val="106"/>
    <w:qFormat/>
    <w:uiPriority w:val="0"/>
    <w:pPr>
      <w:keepNext/>
      <w:keepLines/>
      <w:widowControl w:val="0"/>
      <w:jc w:val="center"/>
      <w:outlineLvl w:val="0"/>
    </w:pPr>
    <w:rPr>
      <w:rFonts w:ascii="仿宋" w:hAnsi="仿宋" w:eastAsia="仿宋" w:cs="仿宋"/>
      <w:b/>
      <w:bCs/>
      <w:kern w:val="44"/>
      <w:sz w:val="32"/>
      <w:szCs w:val="44"/>
      <w:lang w:eastAsia="zh-CN"/>
    </w:rPr>
  </w:style>
  <w:style w:type="paragraph" w:styleId="3">
    <w:name w:val="heading 2"/>
    <w:basedOn w:val="1"/>
    <w:next w:val="1"/>
    <w:link w:val="107"/>
    <w:qFormat/>
    <w:uiPriority w:val="0"/>
    <w:pPr>
      <w:keepNext/>
      <w:keepLines/>
      <w:spacing w:before="260" w:after="260" w:line="416" w:lineRule="auto"/>
      <w:outlineLvl w:val="1"/>
    </w:pPr>
    <w:rPr>
      <w:rFonts w:eastAsia="黑体" w:cs="Times New Roman"/>
      <w:b/>
      <w:bCs/>
      <w:sz w:val="32"/>
      <w:szCs w:val="32"/>
    </w:rPr>
  </w:style>
  <w:style w:type="paragraph" w:styleId="4">
    <w:name w:val="heading 3"/>
    <w:basedOn w:val="5"/>
    <w:next w:val="5"/>
    <w:qFormat/>
    <w:uiPriority w:val="0"/>
    <w:pPr>
      <w:spacing w:before="150" w:after="150" w:line="360" w:lineRule="atLeast"/>
      <w:jc w:val="center"/>
      <w:outlineLvl w:val="2"/>
    </w:pPr>
    <w:rPr>
      <w:rFonts w:ascii="宋体" w:hAnsi="宋体" w:eastAsia="宋体" w:cs="宋体"/>
      <w:b/>
      <w:bCs/>
      <w:sz w:val="27"/>
      <w:szCs w:val="27"/>
      <w:lang w:eastAsia="zh-CN"/>
    </w:rPr>
  </w:style>
  <w:style w:type="character" w:default="1" w:styleId="38">
    <w:name w:val="Default Paragraph Font"/>
    <w:semiHidden/>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styleId="5">
    <w:name w:val="table of authorities"/>
    <w:basedOn w:val="1"/>
    <w:next w:val="1"/>
    <w:qFormat/>
    <w:uiPriority w:val="0"/>
    <w:pPr>
      <w:widowControl/>
      <w:kinsoku w:val="0"/>
      <w:autoSpaceDE w:val="0"/>
      <w:autoSpaceDN w:val="0"/>
      <w:adjustRightInd w:val="0"/>
      <w:snapToGrid w:val="0"/>
      <w:ind w:left="200" w:leftChars="200"/>
      <w:jc w:val="left"/>
      <w:textAlignment w:val="baseline"/>
    </w:pPr>
    <w:rPr>
      <w:rFonts w:ascii="Arial" w:hAnsi="Arial" w:eastAsia="Arial" w:cs="Arial"/>
      <w:snapToGrid w:val="0"/>
      <w:color w:val="000000"/>
      <w:kern w:val="0"/>
      <w:szCs w:val="21"/>
      <w:lang w:eastAsia="en-US"/>
    </w:rPr>
  </w:style>
  <w:style w:type="paragraph" w:styleId="6">
    <w:name w:val="Normal Indent"/>
    <w:basedOn w:val="1"/>
    <w:next w:val="1"/>
    <w:qFormat/>
    <w:uiPriority w:val="0"/>
    <w:pPr>
      <w:widowControl w:val="0"/>
      <w:ind w:firstLine="420" w:firstLineChars="200"/>
      <w:jc w:val="both"/>
    </w:pPr>
    <w:rPr>
      <w:rFonts w:ascii="Times New Roman" w:hAnsi="Times New Roman" w:eastAsia="宋体" w:cs="Times New Roman"/>
      <w:kern w:val="2"/>
      <w:szCs w:val="24"/>
      <w:lang w:eastAsia="zh-CN"/>
    </w:rPr>
  </w:style>
  <w:style w:type="paragraph" w:styleId="7">
    <w:name w:val="caption"/>
    <w:basedOn w:val="1"/>
    <w:next w:val="1"/>
    <w:qFormat/>
    <w:uiPriority w:val="0"/>
    <w:rPr>
      <w:rFonts w:eastAsia="黑体"/>
      <w:sz w:val="20"/>
      <w:szCs w:val="20"/>
    </w:rPr>
  </w:style>
  <w:style w:type="paragraph" w:styleId="8">
    <w:name w:val="index 5"/>
    <w:basedOn w:val="1"/>
    <w:next w:val="1"/>
    <w:qFormat/>
    <w:uiPriority w:val="0"/>
    <w:pPr>
      <w:widowControl w:val="0"/>
      <w:ind w:left="1680"/>
      <w:jc w:val="both"/>
    </w:pPr>
    <w:rPr>
      <w:rFonts w:ascii="Calibri" w:hAnsi="Calibri" w:eastAsia="宋体" w:cs="Times New Roman"/>
      <w:kern w:val="2"/>
      <w:szCs w:val="24"/>
      <w:lang w:eastAsia="zh-CN"/>
    </w:rPr>
  </w:style>
  <w:style w:type="paragraph" w:styleId="9">
    <w:name w:val="toa heading"/>
    <w:basedOn w:val="1"/>
    <w:next w:val="1"/>
    <w:qFormat/>
    <w:uiPriority w:val="0"/>
    <w:pPr>
      <w:widowControl w:val="0"/>
      <w:spacing w:before="120"/>
      <w:jc w:val="both"/>
    </w:pPr>
    <w:rPr>
      <w:rFonts w:eastAsia="宋体"/>
      <w:kern w:val="2"/>
      <w:sz w:val="24"/>
      <w:szCs w:val="24"/>
      <w:lang w:eastAsia="zh-CN"/>
    </w:rPr>
  </w:style>
  <w:style w:type="paragraph" w:styleId="10">
    <w:name w:val="annotation text"/>
    <w:basedOn w:val="1"/>
    <w:qFormat/>
    <w:uiPriority w:val="0"/>
    <w:rPr>
      <w:rFonts w:ascii="Times New Roman" w:hAnsi="Times New Roman" w:eastAsia="宋体" w:cs="Times New Roman"/>
    </w:rPr>
  </w:style>
  <w:style w:type="paragraph" w:styleId="11">
    <w:name w:val="Body Text"/>
    <w:basedOn w:val="1"/>
    <w:next w:val="1"/>
    <w:qFormat/>
    <w:uiPriority w:val="0"/>
    <w:rPr>
      <w:rFonts w:ascii="宋体" w:hAnsi="宋体" w:eastAsia="宋体" w:cs="宋体"/>
      <w:sz w:val="24"/>
      <w:szCs w:val="24"/>
    </w:rPr>
  </w:style>
  <w:style w:type="paragraph" w:styleId="12">
    <w:name w:val="Body Text Indent"/>
    <w:basedOn w:val="1"/>
    <w:next w:val="13"/>
    <w:qFormat/>
    <w:uiPriority w:val="0"/>
    <w:pPr>
      <w:widowControl w:val="0"/>
      <w:ind w:firstLine="620"/>
      <w:jc w:val="both"/>
    </w:pPr>
    <w:rPr>
      <w:rFonts w:ascii="Times New Roman" w:hAnsi="Times New Roman" w:eastAsia="楷体_GB2312" w:cs="Times New Roman"/>
      <w:sz w:val="30"/>
      <w:szCs w:val="20"/>
      <w:lang w:eastAsia="zh-CN"/>
    </w:rPr>
  </w:style>
  <w:style w:type="paragraph" w:styleId="13">
    <w:name w:val="Body Text First Indent 2"/>
    <w:basedOn w:val="12"/>
    <w:next w:val="14"/>
    <w:qFormat/>
    <w:uiPriority w:val="0"/>
    <w:pPr>
      <w:ind w:firstLine="420"/>
    </w:pPr>
    <w:rPr>
      <w:rFonts w:eastAsia="宋体"/>
    </w:rPr>
  </w:style>
  <w:style w:type="paragraph" w:styleId="14">
    <w:name w:val="Body Text First Indent"/>
    <w:basedOn w:val="11"/>
    <w:next w:val="15"/>
    <w:qFormat/>
    <w:uiPriority w:val="0"/>
    <w:pPr>
      <w:widowControl w:val="0"/>
      <w:spacing w:line="360" w:lineRule="auto"/>
      <w:ind w:firstLine="420" w:firstLineChars="200"/>
    </w:pPr>
    <w:rPr>
      <w:rFonts w:ascii="Arial" w:hAnsi="Arial" w:eastAsia="黑体" w:cs="Arial"/>
      <w:szCs w:val="21"/>
      <w:lang w:eastAsia="zh-CN"/>
    </w:rPr>
  </w:style>
  <w:style w:type="paragraph" w:styleId="15">
    <w:name w:val="toc 6"/>
    <w:basedOn w:val="1"/>
    <w:next w:val="1"/>
    <w:unhideWhenUsed/>
    <w:qFormat/>
    <w:uiPriority w:val="39"/>
    <w:pPr>
      <w:widowControl w:val="0"/>
      <w:ind w:left="2100" w:leftChars="1000"/>
      <w:jc w:val="both"/>
    </w:pPr>
    <w:rPr>
      <w:rFonts w:ascii="Calibri" w:hAnsi="Calibri" w:eastAsia="宋体" w:cs="Times New Roman"/>
      <w:kern w:val="2"/>
      <w:sz w:val="21"/>
      <w:szCs w:val="22"/>
      <w:lang w:val="en-US" w:eastAsia="zh-CN" w:bidi="ar-SA"/>
    </w:rPr>
  </w:style>
  <w:style w:type="paragraph" w:styleId="16">
    <w:name w:val="List 2"/>
    <w:basedOn w:val="1"/>
    <w:next w:val="17"/>
    <w:qFormat/>
    <w:uiPriority w:val="0"/>
    <w:pPr>
      <w:spacing w:beforeLines="50" w:afterLines="50" w:line="360" w:lineRule="auto"/>
      <w:ind w:left="100" w:leftChars="200" w:hanging="200" w:hangingChars="200"/>
    </w:pPr>
    <w:rPr>
      <w:sz w:val="24"/>
    </w:rPr>
  </w:style>
  <w:style w:type="paragraph" w:styleId="17">
    <w:name w:val="Plain Text"/>
    <w:basedOn w:val="1"/>
    <w:next w:val="18"/>
    <w:qFormat/>
    <w:uiPriority w:val="0"/>
    <w:pPr>
      <w:widowControl w:val="0"/>
      <w:jc w:val="both"/>
    </w:pPr>
    <w:rPr>
      <w:rFonts w:ascii="宋体" w:hAnsi="Courier New" w:eastAsia="宋体" w:cs="宋体"/>
      <w:sz w:val="20"/>
      <w:szCs w:val="20"/>
      <w:lang w:eastAsia="zh-CN"/>
    </w:rPr>
  </w:style>
  <w:style w:type="paragraph" w:styleId="18">
    <w:name w:val="List Number 5"/>
    <w:basedOn w:val="1"/>
    <w:qFormat/>
    <w:uiPriority w:val="0"/>
    <w:pPr>
      <w:numPr>
        <w:ilvl w:val="0"/>
        <w:numId w:val="1"/>
      </w:numPr>
    </w:pPr>
  </w:style>
  <w:style w:type="paragraph" w:styleId="19">
    <w:name w:val="toc 5"/>
    <w:basedOn w:val="1"/>
    <w:next w:val="1"/>
    <w:qFormat/>
    <w:uiPriority w:val="0"/>
    <w:pPr>
      <w:ind w:left="840"/>
    </w:pPr>
    <w:rPr>
      <w:rFonts w:ascii="Calibri" w:hAnsi="Calibri"/>
      <w:sz w:val="18"/>
      <w:szCs w:val="18"/>
    </w:rPr>
  </w:style>
  <w:style w:type="paragraph" w:styleId="20">
    <w:name w:val="toc 3"/>
    <w:basedOn w:val="1"/>
    <w:next w:val="1"/>
    <w:qFormat/>
    <w:uiPriority w:val="0"/>
    <w:pPr>
      <w:ind w:left="840" w:leftChars="400"/>
    </w:pPr>
  </w:style>
  <w:style w:type="paragraph" w:styleId="21">
    <w:name w:val="Body Text Indent 2"/>
    <w:basedOn w:val="1"/>
    <w:qFormat/>
    <w:uiPriority w:val="0"/>
    <w:pPr>
      <w:spacing w:after="120" w:line="480" w:lineRule="auto"/>
      <w:ind w:left="420" w:leftChars="200"/>
    </w:pPr>
    <w:rPr>
      <w:rFonts w:ascii="Times New Roman" w:hAnsi="Times New Roman" w:eastAsia="宋体" w:cs="Times New Roman"/>
    </w:rPr>
  </w:style>
  <w:style w:type="paragraph" w:styleId="22">
    <w:name w:val="footer"/>
    <w:basedOn w:val="1"/>
    <w:qFormat/>
    <w:uiPriority w:val="0"/>
    <w:pPr>
      <w:widowControl w:val="0"/>
      <w:tabs>
        <w:tab w:val="center" w:pos="4140"/>
        <w:tab w:val="right" w:pos="8300"/>
      </w:tabs>
    </w:pPr>
    <w:rPr>
      <w:rFonts w:ascii="Times New Roman" w:hAnsi="Times New Roman" w:eastAsia="宋体" w:cs="Times New Roman"/>
      <w:sz w:val="18"/>
      <w:szCs w:val="18"/>
      <w:lang w:eastAsia="zh-CN"/>
    </w:rPr>
  </w:style>
  <w:style w:type="paragraph" w:styleId="23">
    <w:name w:val="envelope return"/>
    <w:basedOn w:val="1"/>
    <w:qFormat/>
    <w:uiPriority w:val="0"/>
    <w:rPr>
      <w:rFonts w:eastAsia="宋体"/>
    </w:rPr>
  </w:style>
  <w:style w:type="paragraph" w:styleId="2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pPr>
    <w:rPr>
      <w:sz w:val="18"/>
    </w:rPr>
  </w:style>
  <w:style w:type="paragraph" w:styleId="25">
    <w:name w:val="toc 1"/>
    <w:basedOn w:val="1"/>
    <w:next w:val="1"/>
    <w:qFormat/>
    <w:uiPriority w:val="0"/>
  </w:style>
  <w:style w:type="paragraph" w:styleId="26">
    <w:name w:val="index heading"/>
    <w:basedOn w:val="1"/>
    <w:next w:val="27"/>
    <w:qFormat/>
    <w:uiPriority w:val="0"/>
    <w:pPr>
      <w:spacing w:line="312" w:lineRule="atLeast"/>
    </w:pPr>
    <w:rPr>
      <w:rFonts w:eastAsia="仿宋"/>
      <w:b/>
      <w:bCs/>
      <w:sz w:val="32"/>
      <w:szCs w:val="20"/>
    </w:rPr>
  </w:style>
  <w:style w:type="paragraph" w:styleId="27">
    <w:name w:val="index 1"/>
    <w:basedOn w:val="1"/>
    <w:next w:val="1"/>
    <w:qFormat/>
    <w:uiPriority w:val="0"/>
    <w:rPr>
      <w:rFonts w:ascii="Times New Roman" w:hAnsi="Times New Roman" w:eastAsia="宋体" w:cs="Times New Roman"/>
    </w:rPr>
  </w:style>
  <w:style w:type="paragraph" w:styleId="28">
    <w:name w:val="footnote text"/>
    <w:basedOn w:val="1"/>
    <w:unhideWhenUsed/>
    <w:qFormat/>
    <w:uiPriority w:val="99"/>
    <w:rPr>
      <w:sz w:val="18"/>
      <w:szCs w:val="18"/>
    </w:rPr>
  </w:style>
  <w:style w:type="paragraph" w:styleId="29">
    <w:name w:val="List 5"/>
    <w:basedOn w:val="1"/>
    <w:qFormat/>
    <w:uiPriority w:val="0"/>
    <w:pPr>
      <w:ind w:left="2100" w:hanging="420"/>
    </w:pPr>
    <w:rPr>
      <w:rFonts w:ascii="Times New Roman" w:hAnsi="Times New Roman" w:eastAsia="楷体_GB2312" w:cs="Times New Roman"/>
      <w:sz w:val="32"/>
      <w:szCs w:val="20"/>
    </w:rPr>
  </w:style>
  <w:style w:type="paragraph" w:styleId="30">
    <w:name w:val="Body Text Indent 3"/>
    <w:basedOn w:val="1"/>
    <w:qFormat/>
    <w:uiPriority w:val="0"/>
    <w:pPr>
      <w:spacing w:after="120"/>
      <w:ind w:left="420" w:leftChars="200"/>
    </w:pPr>
    <w:rPr>
      <w:rFonts w:ascii="Times New Roman" w:hAnsi="Times New Roman"/>
      <w:spacing w:val="20"/>
      <w:sz w:val="16"/>
      <w:szCs w:val="16"/>
    </w:rPr>
  </w:style>
  <w:style w:type="paragraph" w:styleId="31">
    <w:name w:val="index 7"/>
    <w:basedOn w:val="1"/>
    <w:next w:val="1"/>
    <w:qFormat/>
    <w:uiPriority w:val="0"/>
    <w:pPr>
      <w:adjustRightInd/>
      <w:ind w:left="1200" w:leftChars="1200"/>
    </w:pPr>
    <w:rPr>
      <w:color w:val="auto"/>
      <w:kern w:val="2"/>
      <w:szCs w:val="24"/>
    </w:rPr>
  </w:style>
  <w:style w:type="paragraph" w:styleId="32">
    <w:name w:val="toc 2"/>
    <w:basedOn w:val="1"/>
    <w:next w:val="1"/>
    <w:qFormat/>
    <w:uiPriority w:val="0"/>
    <w:pPr>
      <w:ind w:left="420" w:leftChars="200"/>
    </w:pPr>
  </w:style>
  <w:style w:type="paragraph" w:styleId="33">
    <w:name w:val="Body Text 2"/>
    <w:basedOn w:val="1"/>
    <w:qFormat/>
    <w:uiPriority w:val="0"/>
    <w:pPr>
      <w:jc w:val="center"/>
    </w:pPr>
    <w:rPr>
      <w:rFonts w:ascii="黑体" w:eastAsia="黑体"/>
      <w:b/>
      <w:bCs/>
      <w:sz w:val="84"/>
    </w:rPr>
  </w:style>
  <w:style w:type="paragraph" w:styleId="34">
    <w:name w:val="Normal (Web)"/>
    <w:basedOn w:val="1"/>
    <w:qFormat/>
    <w:uiPriority w:val="0"/>
    <w:pPr>
      <w:spacing w:before="100" w:beforeAutospacing="1" w:after="100" w:afterAutospacing="1"/>
    </w:pPr>
    <w:rPr>
      <w:rFonts w:ascii="宋体" w:hAnsi="宋体"/>
      <w:sz w:val="18"/>
      <w:szCs w:val="18"/>
    </w:rPr>
  </w:style>
  <w:style w:type="paragraph" w:styleId="35">
    <w:name w:val="Title"/>
    <w:basedOn w:val="1"/>
    <w:next w:val="1"/>
    <w:qFormat/>
    <w:uiPriority w:val="10"/>
    <w:pPr>
      <w:spacing w:before="240" w:after="60"/>
      <w:jc w:val="center"/>
      <w:outlineLvl w:val="0"/>
    </w:pPr>
    <w:rPr>
      <w:rFonts w:ascii="Cambria" w:hAnsi="Cambria"/>
      <w:b/>
      <w:bCs/>
      <w:sz w:val="32"/>
      <w:szCs w:val="32"/>
    </w:rPr>
  </w:style>
  <w:style w:type="table" w:styleId="37">
    <w:name w:val="Table Grid"/>
    <w:basedOn w:val="3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9">
    <w:name w:val="Strong"/>
    <w:basedOn w:val="38"/>
    <w:qFormat/>
    <w:uiPriority w:val="22"/>
    <w:rPr>
      <w:b/>
      <w:bCs/>
    </w:rPr>
  </w:style>
  <w:style w:type="character" w:styleId="40">
    <w:name w:val="Hyperlink"/>
    <w:basedOn w:val="38"/>
    <w:qFormat/>
    <w:uiPriority w:val="0"/>
    <w:rPr>
      <w:color w:val="0000FF"/>
      <w:u w:val="single"/>
    </w:rPr>
  </w:style>
  <w:style w:type="character" w:styleId="41">
    <w:name w:val="annotation reference"/>
    <w:qFormat/>
    <w:uiPriority w:val="0"/>
    <w:rPr>
      <w:rFonts w:ascii="Times New Roman" w:hAnsi="Times New Roman" w:eastAsia="宋体"/>
      <w:sz w:val="21"/>
      <w:szCs w:val="21"/>
    </w:rPr>
  </w:style>
  <w:style w:type="character" w:styleId="42">
    <w:name w:val="footnote reference"/>
    <w:basedOn w:val="38"/>
    <w:unhideWhenUsed/>
    <w:qFormat/>
    <w:uiPriority w:val="99"/>
    <w:rPr>
      <w:vertAlign w:val="superscript"/>
    </w:rPr>
  </w:style>
  <w:style w:type="paragraph" w:customStyle="1" w:styleId="43">
    <w:name w:val="Default"/>
    <w:basedOn w:val="35"/>
    <w:next w:val="44"/>
    <w:qFormat/>
    <w:uiPriority w:val="99"/>
    <w:rPr>
      <w:rFonts w:ascii="宋体" w:hAnsi="Times New Roman" w:cs="宋体"/>
      <w:sz w:val="24"/>
      <w:szCs w:val="24"/>
    </w:rPr>
  </w:style>
  <w:style w:type="paragraph" w:customStyle="1" w:styleId="44">
    <w:name w:val="大标题"/>
    <w:basedOn w:val="1"/>
    <w:next w:val="13"/>
    <w:qFormat/>
    <w:uiPriority w:val="0"/>
    <w:pPr>
      <w:jc w:val="center"/>
    </w:pPr>
    <w:rPr>
      <w:b/>
      <w:sz w:val="28"/>
    </w:rPr>
  </w:style>
  <w:style w:type="paragraph" w:customStyle="1" w:styleId="45">
    <w:name w:val="正文（首行缩进2字符）"/>
    <w:basedOn w:val="1"/>
    <w:next w:val="1"/>
    <w:qFormat/>
    <w:uiPriority w:val="0"/>
    <w:pPr>
      <w:ind w:firstLine="420" w:firstLineChars="200"/>
    </w:pPr>
    <w:rPr>
      <w:kern w:val="2"/>
    </w:rPr>
  </w:style>
  <w:style w:type="paragraph" w:customStyle="1" w:styleId="46">
    <w:name w:val="Table Text"/>
    <w:basedOn w:val="1"/>
    <w:semiHidden/>
    <w:qFormat/>
    <w:uiPriority w:val="0"/>
    <w:rPr>
      <w:rFonts w:ascii="宋体" w:hAnsi="宋体" w:eastAsia="宋体" w:cs="宋体"/>
      <w:sz w:val="24"/>
      <w:szCs w:val="24"/>
    </w:rPr>
  </w:style>
  <w:style w:type="paragraph" w:customStyle="1" w:styleId="47">
    <w:name w:val="正文_2_0"/>
    <w:basedOn w:val="48"/>
    <w:next w:val="73"/>
    <w:qFormat/>
    <w:uiPriority w:val="0"/>
    <w:rPr>
      <w:szCs w:val="22"/>
    </w:rPr>
  </w:style>
  <w:style w:type="paragraph" w:customStyle="1" w:styleId="48">
    <w:name w:val="正文_2_1"/>
    <w:basedOn w:val="49"/>
    <w:next w:val="70"/>
    <w:qFormat/>
    <w:uiPriority w:val="0"/>
    <w:rPr>
      <w:szCs w:val="24"/>
    </w:rPr>
  </w:style>
  <w:style w:type="paragraph" w:customStyle="1" w:styleId="49">
    <w:name w:val="正文_3_0"/>
    <w:basedOn w:val="50"/>
    <w:next w:val="53"/>
    <w:qFormat/>
    <w:uiPriority w:val="0"/>
  </w:style>
  <w:style w:type="paragraph" w:customStyle="1" w:styleId="50">
    <w:name w:val="Normal_0_0"/>
    <w:next w:val="51"/>
    <w:qFormat/>
    <w:uiPriority w:val="0"/>
    <w:pPr>
      <w:widowControl w:val="0"/>
      <w:jc w:val="both"/>
    </w:pPr>
    <w:rPr>
      <w:rFonts w:ascii="Calibri" w:hAnsi="Calibri" w:eastAsia="宋体" w:cs="Times New Roman"/>
      <w:kern w:val="2"/>
      <w:sz w:val="21"/>
      <w:szCs w:val="22"/>
      <w:lang w:val="en-US" w:eastAsia="zh-CN" w:bidi="ar-SA"/>
    </w:rPr>
  </w:style>
  <w:style w:type="paragraph" w:customStyle="1" w:styleId="51">
    <w:name w:val="Body Text_0"/>
    <w:basedOn w:val="52"/>
    <w:qFormat/>
    <w:uiPriority w:val="0"/>
    <w:pPr>
      <w:spacing w:after="120"/>
    </w:pPr>
  </w:style>
  <w:style w:type="paragraph" w:customStyle="1" w:styleId="52">
    <w:name w:val="Normal_1"/>
    <w:next w:val="51"/>
    <w:qFormat/>
    <w:uiPriority w:val="0"/>
    <w:pPr>
      <w:widowControl w:val="0"/>
      <w:jc w:val="both"/>
    </w:pPr>
    <w:rPr>
      <w:rFonts w:ascii="Calibri" w:hAnsi="Calibri" w:eastAsia="宋体" w:cs="Times New Roman"/>
      <w:kern w:val="2"/>
      <w:sz w:val="21"/>
      <w:szCs w:val="22"/>
      <w:lang w:val="en-US" w:eastAsia="zh-CN" w:bidi="ar-SA"/>
    </w:rPr>
  </w:style>
  <w:style w:type="paragraph" w:customStyle="1" w:styleId="53">
    <w:name w:val="正文缩进_0_0_1"/>
    <w:basedOn w:val="54"/>
    <w:unhideWhenUsed/>
    <w:qFormat/>
    <w:uiPriority w:val="0"/>
    <w:pPr>
      <w:ind w:firstLine="420" w:firstLineChars="200"/>
    </w:pPr>
  </w:style>
  <w:style w:type="paragraph" w:customStyle="1" w:styleId="54">
    <w:name w:val="正文_0_1_1"/>
    <w:basedOn w:val="55"/>
    <w:next w:val="67"/>
    <w:qFormat/>
    <w:uiPriority w:val="0"/>
    <w:rPr>
      <w:rFonts w:eastAsia="Calibri"/>
    </w:rPr>
  </w:style>
  <w:style w:type="paragraph" w:customStyle="1" w:styleId="55">
    <w:name w:val="正文_3_1"/>
    <w:basedOn w:val="56"/>
    <w:next w:val="59"/>
    <w:qFormat/>
    <w:uiPriority w:val="0"/>
    <w:rPr>
      <w:rFonts w:ascii="Calibri" w:hAnsi="Calibri"/>
      <w:sz w:val="21"/>
      <w:szCs w:val="22"/>
    </w:rPr>
  </w:style>
  <w:style w:type="paragraph" w:customStyle="1" w:styleId="56">
    <w:name w:val="Normal_0_1"/>
    <w:basedOn w:val="57"/>
    <w:qFormat/>
    <w:uiPriority w:val="0"/>
    <w:rPr>
      <w:rFonts w:ascii="黑体" w:hAnsi="黑体" w:eastAsia="黑体"/>
      <w:b/>
      <w:sz w:val="32"/>
      <w:szCs w:val="24"/>
    </w:rPr>
  </w:style>
  <w:style w:type="paragraph" w:customStyle="1" w:styleId="57">
    <w:name w:val="Normal_2"/>
    <w:next w:val="58"/>
    <w:qFormat/>
    <w:uiPriority w:val="0"/>
    <w:pPr>
      <w:widowControl w:val="0"/>
      <w:jc w:val="both"/>
    </w:pPr>
    <w:rPr>
      <w:rFonts w:ascii="Calibri" w:hAnsi="Calibri" w:eastAsia="宋体" w:cs="Times New Roman"/>
      <w:kern w:val="2"/>
      <w:sz w:val="21"/>
      <w:szCs w:val="22"/>
      <w:lang w:val="en-US" w:eastAsia="zh-CN" w:bidi="ar-SA"/>
    </w:rPr>
  </w:style>
  <w:style w:type="paragraph" w:customStyle="1" w:styleId="58">
    <w:name w:val="Body Text_1"/>
    <w:basedOn w:val="57"/>
    <w:qFormat/>
    <w:uiPriority w:val="0"/>
    <w:pPr>
      <w:spacing w:after="120"/>
    </w:pPr>
  </w:style>
  <w:style w:type="paragraph" w:customStyle="1" w:styleId="59">
    <w:name w:val="正文缩进_0_0_0"/>
    <w:basedOn w:val="60"/>
    <w:unhideWhenUsed/>
    <w:qFormat/>
    <w:uiPriority w:val="0"/>
    <w:pPr>
      <w:ind w:firstLine="420" w:firstLineChars="200"/>
    </w:pPr>
  </w:style>
  <w:style w:type="paragraph" w:customStyle="1" w:styleId="60">
    <w:name w:val="正文_0_1_0"/>
    <w:basedOn w:val="61"/>
    <w:next w:val="62"/>
    <w:qFormat/>
    <w:uiPriority w:val="0"/>
    <w:rPr>
      <w:rFonts w:eastAsia="Calibri"/>
    </w:rPr>
  </w:style>
  <w:style w:type="paragraph" w:customStyle="1" w:styleId="61">
    <w:name w:val="正文_1_1"/>
    <w:next w:val="62"/>
    <w:qFormat/>
    <w:uiPriority w:val="0"/>
    <w:pPr>
      <w:widowControl w:val="0"/>
      <w:jc w:val="both"/>
    </w:pPr>
    <w:rPr>
      <w:rFonts w:ascii="Calibri" w:hAnsi="Calibri" w:eastAsia="宋体" w:cs="Times New Roman"/>
      <w:kern w:val="2"/>
      <w:sz w:val="21"/>
      <w:szCs w:val="22"/>
      <w:lang w:val="en-US" w:eastAsia="zh-CN" w:bidi="ar-SA"/>
    </w:rPr>
  </w:style>
  <w:style w:type="paragraph" w:customStyle="1" w:styleId="62">
    <w:name w:val="脚注文本_0"/>
    <w:basedOn w:val="63"/>
    <w:next w:val="65"/>
    <w:unhideWhenUsed/>
    <w:qFormat/>
    <w:uiPriority w:val="99"/>
    <w:pPr>
      <w:snapToGrid w:val="0"/>
      <w:jc w:val="left"/>
    </w:pPr>
    <w:rPr>
      <w:rFonts w:ascii="Calibri" w:hAnsi="Calibri" w:eastAsia="Calibri"/>
      <w:sz w:val="18"/>
    </w:rPr>
  </w:style>
  <w:style w:type="paragraph" w:customStyle="1" w:styleId="63">
    <w:name w:val="正文_0_2"/>
    <w:next w:val="6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4">
    <w:name w:val="页脚_0_0"/>
    <w:basedOn w:val="63"/>
    <w:unhideWhenUsed/>
    <w:qFormat/>
    <w:uiPriority w:val="99"/>
    <w:pPr>
      <w:tabs>
        <w:tab w:val="center" w:pos="4153"/>
        <w:tab w:val="right" w:pos="8306"/>
      </w:tabs>
      <w:snapToGrid w:val="0"/>
      <w:jc w:val="left"/>
    </w:pPr>
    <w:rPr>
      <w:sz w:val="18"/>
      <w:szCs w:val="18"/>
    </w:rPr>
  </w:style>
  <w:style w:type="paragraph" w:customStyle="1" w:styleId="65">
    <w:name w:val="正文_2"/>
    <w:next w:val="6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6">
    <w:name w:val="正文文本_0"/>
    <w:basedOn w:val="47"/>
    <w:qFormat/>
    <w:uiPriority w:val="0"/>
  </w:style>
  <w:style w:type="paragraph" w:customStyle="1" w:styleId="67">
    <w:name w:val="脚注文本1"/>
    <w:basedOn w:val="68"/>
    <w:next w:val="69"/>
    <w:unhideWhenUsed/>
    <w:qFormat/>
    <w:uiPriority w:val="0"/>
    <w:pPr>
      <w:snapToGrid w:val="0"/>
      <w:jc w:val="left"/>
    </w:pPr>
    <w:rPr>
      <w:kern w:val="0"/>
      <w:sz w:val="18"/>
      <w:szCs w:val="18"/>
    </w:rPr>
  </w:style>
  <w:style w:type="paragraph" w:customStyle="1" w:styleId="68">
    <w:name w:val="正文_1_0"/>
    <w:next w:val="67"/>
    <w:qFormat/>
    <w:uiPriority w:val="0"/>
    <w:pPr>
      <w:widowControl w:val="0"/>
      <w:jc w:val="both"/>
    </w:pPr>
    <w:rPr>
      <w:rFonts w:ascii="Calibri" w:hAnsi="Calibri" w:eastAsia="宋体" w:cs="Times New Roman"/>
      <w:kern w:val="2"/>
      <w:sz w:val="21"/>
      <w:szCs w:val="24"/>
      <w:lang w:val="en-US" w:eastAsia="zh-CN" w:bidi="ar-SA"/>
    </w:rPr>
  </w:style>
  <w:style w:type="paragraph" w:customStyle="1" w:styleId="69">
    <w:name w:val="索引 51"/>
    <w:basedOn w:val="68"/>
    <w:next w:val="68"/>
    <w:unhideWhenUsed/>
    <w:qFormat/>
    <w:uiPriority w:val="99"/>
    <w:pPr>
      <w:ind w:left="1680"/>
    </w:pPr>
  </w:style>
  <w:style w:type="paragraph" w:customStyle="1" w:styleId="70">
    <w:name w:val="No Spacing_0"/>
    <w:basedOn w:val="71"/>
    <w:qFormat/>
    <w:uiPriority w:val="1"/>
  </w:style>
  <w:style w:type="paragraph" w:customStyle="1" w:styleId="71">
    <w:name w:val="正文_5"/>
    <w:basedOn w:val="65"/>
    <w:next w:val="72"/>
    <w:qFormat/>
    <w:uiPriority w:val="0"/>
    <w:rPr>
      <w:rFonts w:ascii="Calibri" w:hAnsi="Calibri"/>
      <w:szCs w:val="22"/>
    </w:rPr>
  </w:style>
  <w:style w:type="paragraph" w:customStyle="1" w:styleId="72">
    <w:name w:val="段_0"/>
    <w:next w:val="71"/>
    <w:qFormat/>
    <w:uiPriority w:val="0"/>
    <w:pPr>
      <w:autoSpaceDE w:val="0"/>
      <w:autoSpaceDN w:val="0"/>
      <w:adjustRightInd w:val="0"/>
      <w:snapToGrid w:val="0"/>
      <w:spacing w:line="360" w:lineRule="auto"/>
      <w:ind w:firstLine="200" w:firstLineChars="200"/>
      <w:jc w:val="both"/>
    </w:pPr>
    <w:rPr>
      <w:rFonts w:ascii="宋体" w:hAnsi="Calibri" w:eastAsia="Calibri" w:cs="Times New Roman"/>
      <w:sz w:val="24"/>
      <w:szCs w:val="22"/>
      <w:lang w:val="en-US" w:eastAsia="zh-CN" w:bidi="ar-SA"/>
    </w:rPr>
  </w:style>
  <w:style w:type="paragraph" w:customStyle="1" w:styleId="73">
    <w:name w:val="正文1_0"/>
    <w:basedOn w:val="74"/>
    <w:qFormat/>
    <w:uiPriority w:val="0"/>
    <w:pPr>
      <w:widowControl/>
      <w:spacing w:before="120" w:after="120"/>
      <w:ind w:firstLine="200" w:firstLineChars="200"/>
      <w:jc w:val="left"/>
    </w:pPr>
    <w:rPr>
      <w:rFonts w:ascii="Times New Roman" w:hAnsi="Times New Roman" w:eastAsia="Adobe 仿宋 Std R"/>
    </w:rPr>
  </w:style>
  <w:style w:type="paragraph" w:customStyle="1" w:styleId="74">
    <w:name w:val="正文_3"/>
    <w:basedOn w:val="75"/>
    <w:next w:val="77"/>
    <w:qFormat/>
    <w:uiPriority w:val="0"/>
  </w:style>
  <w:style w:type="paragraph" w:customStyle="1" w:styleId="75">
    <w:name w:val="Normal_0"/>
    <w:basedOn w:val="76"/>
    <w:next w:val="13"/>
    <w:qFormat/>
    <w:uiPriority w:val="0"/>
    <w:rPr>
      <w:rFonts w:ascii="Calibri" w:hAnsi="Calibri"/>
      <w:sz w:val="21"/>
    </w:rPr>
  </w:style>
  <w:style w:type="paragraph" w:customStyle="1" w:styleId="76">
    <w:name w:val="正文1"/>
    <w:next w:val="13"/>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77">
    <w:name w:val="正文缩进_0_0"/>
    <w:basedOn w:val="78"/>
    <w:unhideWhenUsed/>
    <w:qFormat/>
    <w:uiPriority w:val="0"/>
    <w:pPr>
      <w:ind w:firstLine="420" w:firstLineChars="200"/>
    </w:pPr>
  </w:style>
  <w:style w:type="paragraph" w:customStyle="1" w:styleId="78">
    <w:name w:val="正文_2_0_0"/>
    <w:basedOn w:val="79"/>
    <w:next w:val="83"/>
    <w:qFormat/>
    <w:uiPriority w:val="0"/>
    <w:rPr>
      <w:rFonts w:cs="Calibri"/>
      <w:szCs w:val="21"/>
    </w:rPr>
  </w:style>
  <w:style w:type="paragraph" w:customStyle="1" w:styleId="79">
    <w:name w:val="正文_3_0_0"/>
    <w:basedOn w:val="80"/>
    <w:next w:val="81"/>
    <w:qFormat/>
    <w:uiPriority w:val="0"/>
    <w:rPr>
      <w:rFonts w:ascii="Calibri" w:hAnsi="Calibri"/>
    </w:rPr>
  </w:style>
  <w:style w:type="paragraph" w:customStyle="1" w:styleId="80">
    <w:name w:val="Normal_0_0_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81">
    <w:name w:val="正文文本_1_0_0"/>
    <w:basedOn w:val="82"/>
    <w:qFormat/>
    <w:uiPriority w:val="0"/>
    <w:pPr>
      <w:spacing w:after="120"/>
    </w:pPr>
  </w:style>
  <w:style w:type="paragraph" w:customStyle="1" w:styleId="82">
    <w:name w:val="正文_2_0_0_0_0"/>
    <w:next w:val="8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3">
    <w:name w:val="正文首行缩进 2_4"/>
    <w:basedOn w:val="84"/>
    <w:unhideWhenUsed/>
    <w:qFormat/>
    <w:uiPriority w:val="99"/>
    <w:pPr>
      <w:ind w:firstLine="420" w:firstLineChars="200"/>
    </w:pPr>
  </w:style>
  <w:style w:type="paragraph" w:customStyle="1" w:styleId="84">
    <w:name w:val="正文文本缩进_5"/>
    <w:basedOn w:val="85"/>
    <w:qFormat/>
    <w:uiPriority w:val="0"/>
    <w:pPr>
      <w:spacing w:line="500" w:lineRule="exact"/>
      <w:ind w:left="1588" w:leftChars="832" w:firstLine="433" w:firstLineChars="196"/>
    </w:pPr>
    <w:rPr>
      <w:kern w:val="0"/>
      <w:sz w:val="24"/>
    </w:rPr>
  </w:style>
  <w:style w:type="paragraph" w:customStyle="1" w:styleId="85">
    <w:name w:val="正文_2_0_0_0"/>
    <w:next w:val="83"/>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6">
    <w:name w:val="正文2"/>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87">
    <w:name w:val="Default Text"/>
    <w:qFormat/>
    <w:uiPriority w:val="0"/>
    <w:pPr>
      <w:widowControl w:val="0"/>
      <w:autoSpaceDE w:val="0"/>
      <w:autoSpaceDN w:val="0"/>
      <w:adjustRightInd w:val="0"/>
    </w:pPr>
    <w:rPr>
      <w:rFonts w:ascii="Times New Roman" w:hAnsi="Times New Roman" w:eastAsia="宋体" w:cs="Times New Roman"/>
      <w:color w:val="000000"/>
      <w:sz w:val="24"/>
      <w:lang w:val="en-US" w:eastAsia="zh-CN" w:bidi="ar-SA"/>
    </w:rPr>
  </w:style>
  <w:style w:type="paragraph" w:customStyle="1" w:styleId="88">
    <w:name w:val="UserStyle_5"/>
    <w:basedOn w:val="1"/>
    <w:link w:val="105"/>
    <w:qFormat/>
    <w:uiPriority w:val="0"/>
    <w:pPr>
      <w:spacing w:after="160" w:line="240" w:lineRule="exact"/>
    </w:pPr>
  </w:style>
  <w:style w:type="paragraph" w:customStyle="1" w:styleId="89">
    <w:name w:val="UserStyle_20"/>
    <w:basedOn w:val="1"/>
    <w:qFormat/>
    <w:uiPriority w:val="0"/>
    <w:pPr>
      <w:spacing w:after="160" w:line="240" w:lineRule="exact"/>
    </w:pPr>
    <w:rPr>
      <w:rFonts w:ascii="Verdana" w:hAnsi="Verdana" w:eastAsia="仿宋_GB2312"/>
      <w:sz w:val="24"/>
      <w:szCs w:val="20"/>
    </w:rPr>
  </w:style>
  <w:style w:type="paragraph" w:customStyle="1" w:styleId="90">
    <w:name w:val="无间隔1"/>
    <w:next w:val="1"/>
    <w:qFormat/>
    <w:uiPriority w:val="1"/>
    <w:pPr>
      <w:widowControl w:val="0"/>
    </w:pPr>
    <w:rPr>
      <w:rFonts w:ascii="Calibri" w:hAnsi="Calibri" w:eastAsia="仿宋_GB2312" w:cs="Times New Roman"/>
      <w:kern w:val="2"/>
      <w:sz w:val="28"/>
      <w:szCs w:val="21"/>
      <w:lang w:val="en-US" w:eastAsia="zh-CN" w:bidi="ar-SA"/>
    </w:rPr>
  </w:style>
  <w:style w:type="paragraph" w:customStyle="1" w:styleId="91">
    <w:name w:val="正文缩进1"/>
    <w:basedOn w:val="1"/>
    <w:qFormat/>
    <w:uiPriority w:val="0"/>
    <w:pPr>
      <w:ind w:firstLine="420" w:firstLineChars="200"/>
    </w:pPr>
  </w:style>
  <w:style w:type="paragraph" w:customStyle="1" w:styleId="92">
    <w:name w:val="4正文"/>
    <w:basedOn w:val="1"/>
    <w:qFormat/>
    <w:uiPriority w:val="0"/>
    <w:pPr>
      <w:spacing w:line="360" w:lineRule="auto"/>
      <w:ind w:firstLine="480" w:firstLineChars="200"/>
    </w:pPr>
    <w:rPr>
      <w:rFonts w:eastAsia="仿宋"/>
      <w:sz w:val="24"/>
    </w:rPr>
  </w:style>
  <w:style w:type="paragraph" w:customStyle="1" w:styleId="93">
    <w:name w:val="UserStyle_0"/>
    <w:basedOn w:val="1"/>
    <w:qFormat/>
    <w:uiPriority w:val="0"/>
    <w:rPr>
      <w:rFonts w:ascii="Courier New" w:hAnsi="Courier New" w:eastAsia="宋体" w:cs="Times New Roman"/>
      <w:sz w:val="20"/>
    </w:rPr>
  </w:style>
  <w:style w:type="paragraph" w:customStyle="1" w:styleId="94">
    <w:name w:val="图"/>
    <w:basedOn w:val="1"/>
    <w:qFormat/>
    <w:uiPriority w:val="0"/>
    <w:pPr>
      <w:keepNext/>
      <w:spacing w:before="60" w:after="60" w:line="300" w:lineRule="auto"/>
      <w:jc w:val="center"/>
      <w:textAlignment w:val="center"/>
    </w:pPr>
    <w:rPr>
      <w:rFonts w:ascii="Times New Roman" w:hAnsi="Times New Roman" w:eastAsia="宋体" w:cs="Times New Roman"/>
      <w:spacing w:val="20"/>
      <w:sz w:val="24"/>
      <w:szCs w:val="20"/>
    </w:rPr>
  </w:style>
  <w:style w:type="paragraph" w:customStyle="1" w:styleId="95">
    <w:name w:val="题注5"/>
    <w:basedOn w:val="1"/>
    <w:next w:val="7"/>
    <w:qFormat/>
    <w:uiPriority w:val="0"/>
    <w:pPr>
      <w:numPr>
        <w:ilvl w:val="1"/>
        <w:numId w:val="2"/>
      </w:numPr>
      <w:tabs>
        <w:tab w:val="left" w:pos="0"/>
        <w:tab w:val="left" w:pos="720"/>
        <w:tab w:val="left" w:pos="740"/>
      </w:tabs>
      <w:spacing w:line="360" w:lineRule="auto"/>
      <w:ind w:left="720" w:hanging="720"/>
    </w:pPr>
    <w:rPr>
      <w:rFonts w:ascii="Times New Roman" w:hAnsi="Times New Roman" w:eastAsia="宋体" w:cs="Times New Roman"/>
      <w:b/>
      <w:sz w:val="28"/>
      <w:szCs w:val="28"/>
    </w:rPr>
  </w:style>
  <w:style w:type="paragraph" w:customStyle="1" w:styleId="96">
    <w:name w:val="WPS Plain"/>
    <w:basedOn w:val="1"/>
    <w:qFormat/>
    <w:uiPriority w:val="0"/>
    <w:pPr>
      <w:adjustRightInd/>
      <w:textAlignment w:val="auto"/>
    </w:pPr>
    <w:rPr>
      <w:rFonts w:ascii="Times New Roman" w:hAnsi="Times New Roman" w:eastAsia="宋体" w:cs="Times New Roman"/>
      <w:sz w:val="24"/>
      <w:szCs w:val="24"/>
    </w:rPr>
  </w:style>
  <w:style w:type="paragraph" w:customStyle="1" w:styleId="97">
    <w:name w:val="c"/>
    <w:qFormat/>
    <w:uiPriority w:val="0"/>
    <w:pPr>
      <w:widowControl w:val="0"/>
      <w:autoSpaceDE w:val="0"/>
      <w:autoSpaceDN w:val="0"/>
      <w:adjustRightInd w:val="0"/>
      <w:jc w:val="both"/>
    </w:pPr>
    <w:rPr>
      <w:rFonts w:ascii="Arial" w:hAnsi="Arial" w:eastAsia="宋体" w:cs="黑体"/>
      <w:sz w:val="24"/>
      <w:szCs w:val="24"/>
      <w:lang w:val="en-US" w:eastAsia="zh-CN" w:bidi="ar-SA"/>
    </w:rPr>
  </w:style>
  <w:style w:type="paragraph" w:customStyle="1" w:styleId="98">
    <w:name w:val="正文_1"/>
    <w:qFormat/>
    <w:uiPriority w:val="0"/>
    <w:pPr>
      <w:widowControl w:val="0"/>
      <w:jc w:val="both"/>
    </w:pPr>
    <w:rPr>
      <w:rFonts w:ascii="Calibri" w:hAnsi="Calibri" w:eastAsia="宋体" w:cs="Times New Roman"/>
      <w:kern w:val="2"/>
      <w:sz w:val="21"/>
      <w:szCs w:val="24"/>
      <w:lang w:val="en-US" w:eastAsia="zh-CN" w:bidi="ar-SA"/>
    </w:rPr>
  </w:style>
  <w:style w:type="paragraph" w:customStyle="1" w:styleId="99">
    <w:name w:val="首行缩进:  0.85 厘米"/>
    <w:basedOn w:val="1"/>
    <w:qFormat/>
    <w:uiPriority w:val="0"/>
    <w:pPr>
      <w:spacing w:after="100" w:line="360" w:lineRule="auto"/>
      <w:ind w:firstLine="482"/>
    </w:pPr>
    <w:rPr>
      <w:sz w:val="24"/>
    </w:rPr>
  </w:style>
  <w:style w:type="paragraph" w:customStyle="1" w:styleId="100">
    <w:name w:val="普通(网站)4"/>
    <w:basedOn w:val="1"/>
    <w:qFormat/>
    <w:uiPriority w:val="0"/>
    <w:rPr>
      <w:sz w:val="24"/>
    </w:rPr>
  </w:style>
  <w:style w:type="paragraph" w:customStyle="1" w:styleId="101">
    <w:name w:val="Body text|1"/>
    <w:basedOn w:val="1"/>
    <w:qFormat/>
    <w:uiPriority w:val="0"/>
    <w:pPr>
      <w:spacing w:line="290" w:lineRule="auto"/>
      <w:ind w:firstLine="400"/>
    </w:pPr>
    <w:rPr>
      <w:rFonts w:ascii="宋体" w:hAnsi="宋体" w:cs="宋体"/>
      <w:sz w:val="22"/>
      <w:szCs w:val="22"/>
      <w:lang w:val="zh-CN" w:bidi="zh-CN"/>
    </w:rPr>
  </w:style>
  <w:style w:type="paragraph" w:customStyle="1" w:styleId="102">
    <w:name w:val="Normal Indent1"/>
    <w:next w:val="1"/>
    <w:qFormat/>
    <w:uiPriority w:val="0"/>
    <w:pPr>
      <w:spacing w:afterLines="50" w:line="360" w:lineRule="auto"/>
      <w:ind w:firstLine="420" w:firstLineChars="200"/>
    </w:pPr>
    <w:rPr>
      <w:rFonts w:ascii="Times New Roman" w:hAnsi="Times New Roman" w:eastAsia="宋体" w:cs="Times New Roman"/>
      <w:lang w:val="en-US" w:eastAsia="zh-CN" w:bidi="ar-SA"/>
    </w:rPr>
  </w:style>
  <w:style w:type="paragraph" w:customStyle="1" w:styleId="103">
    <w:name w:val="ParaAttribute5"/>
    <w:qFormat/>
    <w:uiPriority w:val="0"/>
    <w:pPr>
      <w:widowControl w:val="0"/>
      <w:wordWrap w:val="0"/>
      <w:spacing w:line="5040" w:lineRule="exact"/>
    </w:pPr>
    <w:rPr>
      <w:rFonts w:ascii="Times New Roman" w:hAnsi="Times New Roman" w:eastAsia="宋体" w:cs="Times New Roman"/>
      <w:lang w:val="en-US" w:eastAsia="zh-CN" w:bidi="ar-SA"/>
    </w:rPr>
  </w:style>
  <w:style w:type="character" w:customStyle="1" w:styleId="104">
    <w:name w:val="UserStyle_3"/>
    <w:qFormat/>
    <w:uiPriority w:val="0"/>
    <w:rPr>
      <w:rFonts w:ascii="宋体" w:hAnsi="宋体" w:eastAsia="宋体" w:cs="Times New Roman"/>
      <w:b/>
      <w:sz w:val="32"/>
      <w:szCs w:val="32"/>
    </w:rPr>
  </w:style>
  <w:style w:type="character" w:customStyle="1" w:styleId="105">
    <w:name w:val="NormalCharacter"/>
    <w:link w:val="88"/>
    <w:qFormat/>
    <w:uiPriority w:val="0"/>
    <w:rPr>
      <w:rFonts w:ascii="Verdana" w:hAnsi="Verdana" w:eastAsia="仿宋_GB2312"/>
      <w:kern w:val="0"/>
      <w:sz w:val="24"/>
      <w:szCs w:val="20"/>
      <w:lang w:eastAsia="en-US"/>
    </w:rPr>
  </w:style>
  <w:style w:type="character" w:customStyle="1" w:styleId="106">
    <w:name w:val="标题 1 字符"/>
    <w:link w:val="2"/>
    <w:qFormat/>
    <w:uiPriority w:val="0"/>
    <w:rPr>
      <w:rFonts w:ascii="仿宋" w:hAnsi="仿宋" w:eastAsia="仿宋" w:cs="仿宋"/>
      <w:b/>
      <w:bCs/>
      <w:kern w:val="44"/>
      <w:sz w:val="32"/>
      <w:szCs w:val="44"/>
      <w:lang w:val="en-US" w:eastAsia="zh-CN" w:bidi="ar-SA"/>
    </w:rPr>
  </w:style>
  <w:style w:type="character" w:customStyle="1" w:styleId="107">
    <w:name w:val="标题 2 字符"/>
    <w:link w:val="3"/>
    <w:qFormat/>
    <w:uiPriority w:val="0"/>
    <w:rPr>
      <w:rFonts w:ascii="Arial" w:hAnsi="Arial" w:eastAsia="黑体" w:cs="Times New Roman"/>
      <w:b/>
      <w:bCs/>
      <w:sz w:val="32"/>
      <w:szCs w:val="32"/>
    </w:rPr>
  </w:style>
  <w:style w:type="character" w:customStyle="1" w:styleId="108">
    <w:name w:val="font81"/>
    <w:basedOn w:val="38"/>
    <w:qFormat/>
    <w:uiPriority w:val="0"/>
    <w:rPr>
      <w:rFonts w:ascii="黑体" w:hAnsi="宋体" w:eastAsia="黑体" w:cs="黑体"/>
      <w:b/>
      <w:bCs/>
      <w:color w:val="000000"/>
      <w:sz w:val="20"/>
      <w:szCs w:val="20"/>
      <w:u w:val="none"/>
    </w:rPr>
  </w:style>
  <w:style w:type="character" w:customStyle="1" w:styleId="109">
    <w:name w:val="font91"/>
    <w:basedOn w:val="38"/>
    <w:qFormat/>
    <w:uiPriority w:val="0"/>
    <w:rPr>
      <w:rFonts w:ascii="黑体" w:hAnsi="宋体" w:eastAsia="黑体" w:cs="黑体"/>
      <w:color w:val="000000"/>
      <w:sz w:val="10"/>
      <w:szCs w:val="10"/>
      <w:u w:val="none"/>
    </w:rPr>
  </w:style>
  <w:style w:type="character" w:customStyle="1" w:styleId="110">
    <w:name w:val="font101"/>
    <w:basedOn w:val="38"/>
    <w:qFormat/>
    <w:uiPriority w:val="0"/>
    <w:rPr>
      <w:rFonts w:ascii="宋体" w:hAnsi="宋体" w:eastAsia="宋体" w:cs="宋体"/>
      <w:color w:val="000000"/>
      <w:sz w:val="14"/>
      <w:szCs w:val="14"/>
      <w:u w:val="none"/>
    </w:rPr>
  </w:style>
  <w:style w:type="character" w:customStyle="1" w:styleId="111">
    <w:name w:val="font112"/>
    <w:basedOn w:val="38"/>
    <w:qFormat/>
    <w:uiPriority w:val="0"/>
    <w:rPr>
      <w:rFonts w:ascii="宋体" w:hAnsi="宋体" w:eastAsia="宋体" w:cs="宋体"/>
      <w:color w:val="000000"/>
      <w:sz w:val="8"/>
      <w:szCs w:val="8"/>
      <w:u w:val="none"/>
    </w:rPr>
  </w:style>
  <w:style w:type="character" w:customStyle="1" w:styleId="112">
    <w:name w:val="font121"/>
    <w:basedOn w:val="38"/>
    <w:qFormat/>
    <w:uiPriority w:val="0"/>
    <w:rPr>
      <w:rFonts w:ascii="宋体" w:hAnsi="宋体" w:eastAsia="宋体" w:cs="宋体"/>
      <w:color w:val="000000"/>
      <w:sz w:val="8"/>
      <w:szCs w:val="8"/>
      <w:u w:val="single"/>
    </w:rPr>
  </w:style>
  <w:style w:type="character" w:customStyle="1" w:styleId="113">
    <w:name w:val="font131"/>
    <w:basedOn w:val="38"/>
    <w:qFormat/>
    <w:uiPriority w:val="0"/>
    <w:rPr>
      <w:rFonts w:ascii="宋体" w:hAnsi="宋体" w:eastAsia="宋体" w:cs="宋体"/>
      <w:color w:val="000000"/>
      <w:sz w:val="14"/>
      <w:szCs w:val="14"/>
      <w:u w:val="single"/>
    </w:rPr>
  </w:style>
  <w:style w:type="character" w:customStyle="1" w:styleId="114">
    <w:name w:val="font141"/>
    <w:basedOn w:val="38"/>
    <w:qFormat/>
    <w:uiPriority w:val="0"/>
    <w:rPr>
      <w:rFonts w:ascii="宋体" w:hAnsi="宋体" w:eastAsia="宋体" w:cs="宋体"/>
      <w:color w:val="000000"/>
      <w:sz w:val="12"/>
      <w:szCs w:val="12"/>
      <w:u w:val="none"/>
    </w:rPr>
  </w:style>
  <w:style w:type="character" w:customStyle="1" w:styleId="115">
    <w:name w:val="font51"/>
    <w:basedOn w:val="38"/>
    <w:qFormat/>
    <w:uiPriority w:val="0"/>
    <w:rPr>
      <w:rFonts w:ascii="宋体" w:hAnsi="宋体" w:eastAsia="宋体" w:cs="宋体"/>
      <w:color w:val="505060"/>
      <w:sz w:val="12"/>
      <w:szCs w:val="12"/>
      <w:u w:val="none"/>
    </w:rPr>
  </w:style>
  <w:style w:type="character" w:customStyle="1" w:styleId="116">
    <w:name w:val="font61"/>
    <w:basedOn w:val="38"/>
    <w:qFormat/>
    <w:uiPriority w:val="0"/>
    <w:rPr>
      <w:rFonts w:ascii="宋体" w:hAnsi="宋体" w:eastAsia="宋体" w:cs="宋体"/>
      <w:color w:val="605060"/>
      <w:sz w:val="12"/>
      <w:szCs w:val="12"/>
      <w:u w:val="none"/>
    </w:rPr>
  </w:style>
  <w:style w:type="character" w:customStyle="1" w:styleId="117">
    <w:name w:val="font71"/>
    <w:basedOn w:val="38"/>
    <w:qFormat/>
    <w:uiPriority w:val="0"/>
    <w:rPr>
      <w:rFonts w:ascii="宋体" w:hAnsi="宋体" w:eastAsia="宋体" w:cs="宋体"/>
      <w:color w:val="505050"/>
      <w:sz w:val="12"/>
      <w:szCs w:val="12"/>
      <w:u w:val="none"/>
    </w:rPr>
  </w:style>
  <w:style w:type="table" w:customStyle="1" w:styleId="118">
    <w:name w:val="Table Normal"/>
    <w:unhideWhenUsed/>
    <w:qFormat/>
    <w:uiPriority w:val="0"/>
    <w:tblPr>
      <w:tblCellMar>
        <w:top w:w="0" w:type="dxa"/>
        <w:left w:w="0" w:type="dxa"/>
        <w:bottom w:w="0" w:type="dxa"/>
        <w:right w:w="0" w:type="dxa"/>
      </w:tblCellMar>
    </w:tblPr>
  </w:style>
  <w:style w:type="paragraph" w:customStyle="1" w:styleId="119">
    <w:name w:val="首行缩进"/>
    <w:basedOn w:val="1"/>
    <w:qFormat/>
    <w:uiPriority w:val="0"/>
    <w:pPr>
      <w:ind w:firstLine="480" w:firstLineChars="200"/>
    </w:pPr>
    <w:rPr>
      <w:lang w:val="zh-CN"/>
    </w:rPr>
  </w:style>
  <w:style w:type="character" w:customStyle="1" w:styleId="120">
    <w:name w:val="font41"/>
    <w:basedOn w:val="38"/>
    <w:qFormat/>
    <w:uiPriority w:val="0"/>
    <w:rPr>
      <w:rFonts w:hint="eastAsia" w:ascii="宋体" w:hAnsi="宋体" w:eastAsia="宋体" w:cs="宋体"/>
      <w:color w:val="000000"/>
      <w:sz w:val="28"/>
      <w:szCs w:val="28"/>
      <w:u w:val="none"/>
    </w:rPr>
  </w:style>
  <w:style w:type="character" w:customStyle="1" w:styleId="121">
    <w:name w:val="font11"/>
    <w:basedOn w:val="38"/>
    <w:qFormat/>
    <w:uiPriority w:val="0"/>
    <w:rPr>
      <w:rFonts w:hint="eastAsia" w:ascii="宋体" w:hAnsi="宋体" w:eastAsia="宋体" w:cs="宋体"/>
      <w:color w:val="000000"/>
      <w:sz w:val="24"/>
      <w:szCs w:val="24"/>
      <w:u w:val="none"/>
    </w:rPr>
  </w:style>
  <w:style w:type="paragraph" w:customStyle="1" w:styleId="122">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123">
    <w:name w:val="列出段落1"/>
    <w:basedOn w:val="1"/>
    <w:qFormat/>
    <w:uiPriority w:val="34"/>
    <w:pPr>
      <w:ind w:firstLine="420" w:firstLineChars="200"/>
    </w:pPr>
    <w:rPr>
      <w:rFonts w:ascii="Times New Roman" w:hAnsi="Times New Roman"/>
      <w:szCs w:val="21"/>
    </w:rPr>
  </w:style>
  <w:style w:type="character" w:customStyle="1" w:styleId="124">
    <w:name w:val="font122"/>
    <w:basedOn w:val="38"/>
    <w:qFormat/>
    <w:uiPriority w:val="0"/>
    <w:rPr>
      <w:rFonts w:hint="eastAsia" w:ascii="宋体" w:hAnsi="宋体" w:eastAsia="宋体" w:cs="宋体"/>
      <w:b/>
      <w:bCs/>
      <w:color w:val="FF0000"/>
      <w:sz w:val="20"/>
      <w:szCs w:val="20"/>
      <w:u w:val="none"/>
    </w:rPr>
  </w:style>
  <w:style w:type="character" w:customStyle="1" w:styleId="125">
    <w:name w:val="font151"/>
    <w:basedOn w:val="38"/>
    <w:qFormat/>
    <w:uiPriority w:val="0"/>
    <w:rPr>
      <w:rFonts w:ascii="Calibri" w:hAnsi="Calibri" w:cs="Calibri"/>
      <w:color w:val="000000"/>
      <w:sz w:val="20"/>
      <w:szCs w:val="20"/>
      <w:u w:val="none"/>
    </w:rPr>
  </w:style>
  <w:style w:type="character" w:customStyle="1" w:styleId="126">
    <w:name w:val="font161"/>
    <w:basedOn w:val="38"/>
    <w:qFormat/>
    <w:uiPriority w:val="0"/>
    <w:rPr>
      <w:rFonts w:ascii="微软雅黑" w:hAnsi="微软雅黑" w:eastAsia="微软雅黑" w:cs="微软雅黑"/>
      <w:color w:val="000000"/>
      <w:sz w:val="20"/>
      <w:szCs w:val="20"/>
      <w:u w:val="none"/>
    </w:rPr>
  </w:style>
  <w:style w:type="character" w:customStyle="1" w:styleId="127">
    <w:name w:val="font171"/>
    <w:basedOn w:val="38"/>
    <w:qFormat/>
    <w:uiPriority w:val="0"/>
    <w:rPr>
      <w:rFonts w:ascii="Microsoft YaHei UI" w:hAnsi="Microsoft YaHei UI" w:eastAsia="Microsoft YaHei UI" w:cs="Microsoft YaHei UI"/>
      <w:color w:val="000000"/>
      <w:sz w:val="20"/>
      <w:szCs w:val="20"/>
      <w:u w:val="none"/>
    </w:rPr>
  </w:style>
  <w:style w:type="character" w:customStyle="1" w:styleId="128">
    <w:name w:val="font181"/>
    <w:basedOn w:val="38"/>
    <w:qFormat/>
    <w:uiPriority w:val="0"/>
    <w:rPr>
      <w:rFonts w:hint="default" w:ascii="Calibri" w:hAnsi="Calibri" w:cs="Calibri"/>
      <w:color w:val="000000"/>
      <w:sz w:val="20"/>
      <w:szCs w:val="20"/>
      <w:u w:val="none"/>
    </w:rPr>
  </w:style>
  <w:style w:type="character" w:customStyle="1" w:styleId="129">
    <w:name w:val="font191"/>
    <w:basedOn w:val="38"/>
    <w:qFormat/>
    <w:uiPriority w:val="0"/>
    <w:rPr>
      <w:rFonts w:ascii="Cambria Math" w:hAnsi="Cambria Math" w:eastAsia="Cambria Math" w:cs="Cambria Math"/>
      <w:color w:val="000000"/>
      <w:sz w:val="20"/>
      <w:szCs w:val="20"/>
      <w:u w:val="none"/>
    </w:rPr>
  </w:style>
  <w:style w:type="character" w:customStyle="1" w:styleId="130">
    <w:name w:val="font201"/>
    <w:basedOn w:val="38"/>
    <w:qFormat/>
    <w:uiPriority w:val="0"/>
    <w:rPr>
      <w:rFonts w:hint="eastAsia" w:ascii="宋体" w:hAnsi="宋体" w:eastAsia="宋体" w:cs="宋体"/>
      <w:color w:val="000000"/>
      <w:sz w:val="20"/>
      <w:szCs w:val="20"/>
      <w:u w:val="none"/>
    </w:rPr>
  </w:style>
  <w:style w:type="character" w:customStyle="1" w:styleId="131">
    <w:name w:val="font21"/>
    <w:basedOn w:val="38"/>
    <w:qFormat/>
    <w:uiPriority w:val="0"/>
    <w:rPr>
      <w:rFonts w:hint="eastAsia" w:ascii="宋体" w:hAnsi="宋体" w:eastAsia="宋体" w:cs="宋体"/>
      <w:b/>
      <w:bCs/>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130</Pages>
  <Words>17273</Words>
  <Characters>18469</Characters>
  <Lines>1501</Lines>
  <Paragraphs>1282</Paragraphs>
  <TotalTime>26</TotalTime>
  <ScaleCrop>false</ScaleCrop>
  <LinksUpToDate>false</LinksUpToDate>
  <CharactersWithSpaces>20144</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2025-02-25T01:28:00Z</dcterms:created>
  <dc:creator>user</dc:creator>
  <cp:lastModifiedBy>Ting</cp:lastModifiedBy>
  <dcterms:modified xsi:type="dcterms:W3CDTF">2026-06-02T10:37:14Z</dcterms:modified>
  <dc:title>乌鲁木齐市市政工程建设处2015年度建设项目</dc:title>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2025-03-09T17:05:00Z</vt:filetime>
  </property>
  <property fmtid="{D5CDD505-2E9C-101B-9397-08002B2CF9AE}" pid="4" name="KSOTemplateDocerSaveRecord">
    <vt:lpwstr>eyJoZGlkIjoiNWM4NzQ2MTFlN2YzMzc0MTYwODBhYTg4ZmJmMWVmNDEiLCJ1c2VySWQiOiI1NjMzNzIyOTUifQ==</vt:lpwstr>
  </property>
  <property fmtid="{D5CDD505-2E9C-101B-9397-08002B2CF9AE}" pid="5" name="KSOProductBuildVer">
    <vt:lpwstr>2052-12.1.0.26895</vt:lpwstr>
  </property>
  <property fmtid="{D5CDD505-2E9C-101B-9397-08002B2CF9AE}" pid="6" name="ICV">
    <vt:lpwstr>44427A0C51DB4BC7BB32512936BFF560_13</vt:lpwstr>
  </property>
</Properties>
</file>