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5C787854">
      <w:pPr>
        <w:jc w:val="center"/>
        <w:rPr>
          <w:rFonts w:hint="eastAsia" w:ascii="黑体" w:hAnsi="黑体" w:eastAsia="黑体"/>
          <w:color w:val="auto"/>
          <w:spacing w:val="5760"/>
          <w:w w:val="100"/>
          <w:kern w:val="0"/>
          <w:sz w:val="36"/>
          <w:szCs w:val="36"/>
          <w:highlight w:val="none"/>
          <w:fitText w:val="6120" w:id="-1002138880"/>
          <w:lang w:val="en-US" w:eastAsia="zh-CN"/>
        </w:rPr>
      </w:pPr>
    </w:p>
    <w:p w14:paraId="3A6C10AE">
      <w:pPr>
        <w:jc w:val="center"/>
        <w:rPr>
          <w:rFonts w:hint="eastAsia" w:ascii="宋体" w:hAnsi="宋体" w:eastAsia="宋体" w:cs="宋体"/>
          <w:b/>
          <w:bCs/>
          <w:color w:val="auto"/>
          <w:sz w:val="60"/>
          <w:szCs w:val="60"/>
          <w:highlight w:val="none"/>
        </w:rPr>
      </w:pP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1930400</wp:posOffset>
            </wp:positionH>
            <wp:positionV relativeFrom="paragraph">
              <wp:posOffset>8890</wp:posOffset>
            </wp:positionV>
            <wp:extent cx="1350010" cy="1701165"/>
            <wp:effectExtent l="0" t="0" r="6350" b="571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1350010" cy="1701165"/>
                    </a:xfrm>
                    <a:prstGeom prst="rect">
                      <a:avLst/>
                    </a:prstGeom>
                    <a:noFill/>
                    <a:ln w="12700">
                      <a:noFill/>
                    </a:ln>
                  </pic:spPr>
                </pic:pic>
              </a:graphicData>
            </a:graphic>
          </wp:anchor>
        </w:drawing>
      </w:r>
    </w:p>
    <w:p w14:paraId="4B71B61F">
      <w:pPr>
        <w:jc w:val="center"/>
        <w:rPr>
          <w:rFonts w:hint="eastAsia" w:ascii="宋体" w:hAnsi="宋体" w:eastAsia="宋体" w:cs="宋体"/>
          <w:b/>
          <w:bCs/>
          <w:color w:val="auto"/>
          <w:sz w:val="60"/>
          <w:szCs w:val="60"/>
          <w:highlight w:val="none"/>
        </w:rPr>
      </w:pPr>
    </w:p>
    <w:p w14:paraId="5A87E0D4">
      <w:pPr>
        <w:jc w:val="both"/>
        <w:rPr>
          <w:rFonts w:hint="eastAsia" w:ascii="宋体" w:hAnsi="宋体" w:eastAsia="宋体" w:cs="宋体"/>
          <w:b/>
          <w:bCs/>
          <w:color w:val="auto"/>
          <w:sz w:val="60"/>
          <w:szCs w:val="60"/>
          <w:highlight w:val="none"/>
        </w:rPr>
      </w:pPr>
    </w:p>
    <w:p w14:paraId="1B00BC94">
      <w:pPr>
        <w:jc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sz w:val="60"/>
          <w:szCs w:val="60"/>
          <w:highlight w:val="none"/>
        </w:rPr>
        <w:t>竞争性</w:t>
      </w:r>
      <w:r>
        <w:rPr>
          <w:rFonts w:hint="eastAsia" w:cs="宋体"/>
          <w:b/>
          <w:bCs/>
          <w:color w:val="auto"/>
          <w:sz w:val="60"/>
          <w:szCs w:val="60"/>
          <w:highlight w:val="none"/>
          <w:lang w:val="en-US" w:eastAsia="zh-CN"/>
        </w:rPr>
        <w:t>谈判</w:t>
      </w:r>
      <w:r>
        <w:rPr>
          <w:rFonts w:hint="eastAsia" w:ascii="宋体" w:hAnsi="宋体" w:eastAsia="宋体" w:cs="宋体"/>
          <w:b/>
          <w:bCs/>
          <w:color w:val="auto"/>
          <w:sz w:val="60"/>
          <w:szCs w:val="60"/>
          <w:highlight w:val="none"/>
        </w:rPr>
        <w:t>文件</w:t>
      </w:r>
    </w:p>
    <w:p w14:paraId="08B3A613">
      <w:pPr>
        <w:jc w:val="center"/>
        <w:rPr>
          <w:rFonts w:hint="eastAsia" w:ascii="宋体" w:hAnsi="宋体" w:eastAsia="宋体" w:cs="宋体"/>
          <w:b/>
          <w:bCs/>
          <w:color w:val="auto"/>
          <w:sz w:val="60"/>
          <w:szCs w:val="60"/>
          <w:highlight w:val="none"/>
        </w:rPr>
      </w:pPr>
    </w:p>
    <w:p w14:paraId="450CD3A6">
      <w:pPr>
        <w:jc w:val="center"/>
        <w:rPr>
          <w:rFonts w:ascii="黑体" w:hAnsi="黑体" w:eastAsia="黑体"/>
          <w:color w:val="auto"/>
          <w:sz w:val="72"/>
          <w:szCs w:val="72"/>
          <w:highlight w:val="none"/>
        </w:rPr>
      </w:pPr>
    </w:p>
    <w:p w14:paraId="7A2B588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TC269H0HB</w:t>
      </w:r>
      <w:r>
        <w:rPr>
          <w:rFonts w:hint="eastAsia" w:ascii="宋体" w:hAnsi="宋体" w:eastAsia="宋体" w:cs="宋体"/>
          <w:color w:val="auto"/>
          <w:sz w:val="36"/>
          <w:szCs w:val="36"/>
          <w:highlight w:val="none"/>
          <w:u w:val="single"/>
        </w:rPr>
        <w:t xml:space="preserve"> </w:t>
      </w:r>
    </w:p>
    <w:p w14:paraId="4ED656F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eastAsia="zh-CN"/>
        </w:rPr>
        <w:t>新疆医科大学第一附属医院陶瓷膜过滤膜采购项目</w:t>
      </w:r>
      <w:r>
        <w:rPr>
          <w:rFonts w:hint="eastAsia" w:ascii="宋体" w:hAnsi="宋体" w:eastAsia="宋体" w:cs="宋体"/>
          <w:color w:val="auto"/>
          <w:sz w:val="36"/>
          <w:szCs w:val="36"/>
          <w:highlight w:val="none"/>
          <w:u w:val="single"/>
        </w:rPr>
        <w:t xml:space="preserve"> </w:t>
      </w:r>
    </w:p>
    <w:p w14:paraId="728E52F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新疆医科大学第一附属医院 </w:t>
      </w:r>
    </w:p>
    <w:p w14:paraId="4B180FD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u w:val="single"/>
        </w:rPr>
        <w:t xml:space="preserve"> 中招国际招标有限公司 </w:t>
      </w:r>
    </w:p>
    <w:p w14:paraId="2C93F193">
      <w:pPr>
        <w:rPr>
          <w:rFonts w:ascii="黑体" w:hAnsi="黑体" w:eastAsia="黑体"/>
          <w:color w:val="auto"/>
          <w:highlight w:val="none"/>
        </w:rPr>
      </w:pPr>
    </w:p>
    <w:p w14:paraId="02F7A154">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p>
    <w:p w14:paraId="27E04485">
      <w:pPr>
        <w:rPr>
          <w:rFonts w:ascii="黑体" w:hAnsi="黑体" w:eastAsia="黑体"/>
          <w:color w:val="auto"/>
          <w:sz w:val="32"/>
          <w:szCs w:val="32"/>
          <w:highlight w:val="none"/>
        </w:rPr>
      </w:pPr>
    </w:p>
    <w:p w14:paraId="07CC1862">
      <w:pPr>
        <w:jc w:val="center"/>
        <w:rPr>
          <w:rFonts w:hint="eastAsia" w:ascii="黑体" w:hAnsi="黑体" w:eastAsia="黑体"/>
          <w:color w:val="auto"/>
          <w:sz w:val="48"/>
          <w:szCs w:val="48"/>
          <w:highlight w:val="none"/>
        </w:rPr>
      </w:pPr>
    </w:p>
    <w:p w14:paraId="1F37BEF8">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55100918">
      <w:pPr>
        <w:jc w:val="center"/>
        <w:rPr>
          <w:rFonts w:hint="eastAsia" w:ascii="宋体" w:hAnsi="宋体" w:eastAsia="宋体" w:cs="宋体"/>
          <w:b/>
          <w:bCs/>
          <w:color w:val="auto"/>
          <w:sz w:val="36"/>
          <w:szCs w:val="36"/>
          <w:highlight w:val="none"/>
        </w:rPr>
      </w:pPr>
    </w:p>
    <w:p w14:paraId="61C88D21">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rPr>
        <w:t>竞争性</w:t>
      </w:r>
      <w:r>
        <w:rPr>
          <w:rFonts w:hint="eastAsia"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_Toc23362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576A3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_Toc23798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项目概况：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_Toc23798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8B32A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_Toc13827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_Toc13827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7885E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二、申请人的</w:t>
      </w:r>
      <w:r>
        <w:rPr>
          <w:rFonts w:hint="eastAsia" w:ascii="宋体" w:hAnsi="宋体" w:eastAsia="宋体" w:cs="宋体"/>
          <w:bCs/>
          <w:color w:val="auto"/>
          <w:kern w:val="2"/>
          <w:sz w:val="24"/>
          <w:szCs w:val="24"/>
          <w:highlight w:val="none"/>
          <w:lang w:val="hr-HR" w:eastAsia="zh-CN" w:bidi="ar-SA"/>
        </w:rPr>
        <w:t>资格要求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_Toc21076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56A77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三、</w:t>
      </w:r>
      <w:r>
        <w:rPr>
          <w:rFonts w:hint="eastAsia" w:ascii="宋体" w:hAnsi="宋体" w:eastAsia="宋体" w:cs="宋体"/>
          <w:bCs/>
          <w:color w:val="auto"/>
          <w:kern w:val="2"/>
          <w:sz w:val="24"/>
          <w:szCs w:val="24"/>
          <w:highlight w:val="none"/>
          <w:lang w:val="hr-HR" w:eastAsia="zh-CN" w:bidi="ar-SA"/>
        </w:rPr>
        <w:t>获取</w:t>
      </w:r>
      <w:r>
        <w:rPr>
          <w:rFonts w:hint="eastAsia" w:ascii="宋体" w:hAnsi="宋体" w:eastAsia="宋体" w:cs="宋体"/>
          <w:bCs/>
          <w:color w:val="auto"/>
          <w:kern w:val="2"/>
          <w:sz w:val="24"/>
          <w:szCs w:val="24"/>
          <w:highlight w:val="none"/>
          <w:lang w:val="en-US" w:eastAsia="zh-CN" w:bidi="ar-SA"/>
        </w:rPr>
        <w:t>采购</w:t>
      </w:r>
      <w:r>
        <w:rPr>
          <w:rFonts w:hint="eastAsia" w:ascii="宋体" w:hAnsi="宋体" w:eastAsia="宋体" w:cs="宋体"/>
          <w:bCs/>
          <w:color w:val="auto"/>
          <w:kern w:val="2"/>
          <w:sz w:val="24"/>
          <w:szCs w:val="24"/>
          <w:highlight w:val="none"/>
          <w:lang w:val="hr-HR" w:eastAsia="zh-CN" w:bidi="ar-SA"/>
        </w:rPr>
        <w:t>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_Toc293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CFD0B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spacing w:val="-6"/>
          <w:kern w:val="2"/>
          <w:sz w:val="24"/>
          <w:szCs w:val="24"/>
          <w:highlight w:val="none"/>
          <w:lang w:val="hr-HR" w:eastAsia="zh-CN" w:bidi="ar-SA"/>
        </w:rPr>
        <w:t>响应文件提交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_Toc15058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7B2EF0">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五、开启</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_Toc1822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5EE92B">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六、</w:t>
      </w:r>
      <w:r>
        <w:rPr>
          <w:rFonts w:hint="eastAsia" w:ascii="宋体" w:hAnsi="宋体" w:eastAsia="宋体" w:cs="宋体"/>
          <w:bCs/>
          <w:color w:val="auto"/>
          <w:kern w:val="2"/>
          <w:sz w:val="24"/>
          <w:szCs w:val="24"/>
          <w:highlight w:val="none"/>
          <w:lang w:val="hr-HR" w:eastAsia="zh-CN" w:bidi="ar-SA"/>
        </w:rPr>
        <w:t>公告期限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_Toc4915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A515A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_Toc17723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八、</w:t>
      </w:r>
      <w:r>
        <w:rPr>
          <w:rFonts w:hint="eastAsia" w:ascii="宋体" w:hAnsi="宋体" w:eastAsia="宋体" w:cs="宋体"/>
          <w:bCs/>
          <w:color w:val="auto"/>
          <w:kern w:val="2"/>
          <w:sz w:val="24"/>
          <w:szCs w:val="24"/>
          <w:highlight w:val="none"/>
          <w:lang w:val="hr-HR" w:eastAsia="zh-CN" w:bidi="ar-SA"/>
        </w:rPr>
        <w:t>凡对本次采购提出询问，请按以下方式联系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_Toc17723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826E7A5">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_Toc28863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_Toc28863 \h </w:instrText>
      </w:r>
      <w:r>
        <w:rPr>
          <w:color w:val="auto"/>
          <w:sz w:val="24"/>
          <w:szCs w:val="24"/>
          <w:highlight w:val="none"/>
        </w:rPr>
        <w:fldChar w:fldCharType="separate"/>
      </w:r>
      <w:r>
        <w:rPr>
          <w:color w:val="auto"/>
          <w:sz w:val="24"/>
          <w:szCs w:val="24"/>
          <w:highlight w:val="none"/>
        </w:rPr>
        <w:t>- 5 -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52BE7D">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_Toc7178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一、供应商须知前附表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_Toc7178 \h </w:instrText>
      </w:r>
      <w:r>
        <w:rPr>
          <w:color w:val="auto"/>
          <w:sz w:val="24"/>
          <w:szCs w:val="24"/>
          <w:highlight w:val="none"/>
        </w:rPr>
        <w:fldChar w:fldCharType="separate"/>
      </w:r>
      <w:r>
        <w:rPr>
          <w:color w:val="auto"/>
          <w:sz w:val="24"/>
          <w:szCs w:val="24"/>
          <w:highlight w:val="none"/>
        </w:rPr>
        <w:t>- 5 -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B1211B">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_Toc30862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_Toc30862 \h </w:instrText>
      </w:r>
      <w:r>
        <w:rPr>
          <w:color w:val="auto"/>
          <w:sz w:val="24"/>
          <w:szCs w:val="24"/>
          <w:highlight w:val="none"/>
        </w:rPr>
        <w:fldChar w:fldCharType="separate"/>
      </w:r>
      <w:r>
        <w:rPr>
          <w:color w:val="auto"/>
          <w:sz w:val="24"/>
          <w:szCs w:val="24"/>
          <w:highlight w:val="none"/>
        </w:rPr>
        <w:t>- 10 -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B8928A">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_Toc20486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项目采购需求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_Toc20486 \h </w:instrText>
      </w:r>
      <w:r>
        <w:rPr>
          <w:color w:val="auto"/>
          <w:sz w:val="24"/>
          <w:szCs w:val="24"/>
          <w:highlight w:val="none"/>
        </w:rPr>
        <w:fldChar w:fldCharType="separate"/>
      </w:r>
      <w:r>
        <w:rPr>
          <w:color w:val="auto"/>
          <w:sz w:val="24"/>
          <w:szCs w:val="24"/>
          <w:highlight w:val="none"/>
        </w:rPr>
        <w:t>- 37 -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39A622">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评审方法及标准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_Toc10757 \h </w:instrText>
      </w:r>
      <w:r>
        <w:rPr>
          <w:color w:val="auto"/>
          <w:sz w:val="24"/>
          <w:szCs w:val="24"/>
          <w:highlight w:val="none"/>
        </w:rPr>
        <w:fldChar w:fldCharType="separate"/>
      </w:r>
      <w:r>
        <w:rPr>
          <w:color w:val="auto"/>
          <w:sz w:val="24"/>
          <w:szCs w:val="24"/>
          <w:highlight w:val="none"/>
        </w:rPr>
        <w:t>- 40 -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A764AA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_Toc17539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eastAsia="zh-CN"/>
        </w:rPr>
        <w:t>评审方法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_Toc17539 \h </w:instrText>
      </w:r>
      <w:r>
        <w:rPr>
          <w:color w:val="auto"/>
          <w:sz w:val="24"/>
          <w:szCs w:val="24"/>
          <w:highlight w:val="none"/>
        </w:rPr>
        <w:fldChar w:fldCharType="separate"/>
      </w:r>
      <w:r>
        <w:rPr>
          <w:color w:val="auto"/>
          <w:sz w:val="24"/>
          <w:szCs w:val="24"/>
          <w:highlight w:val="none"/>
        </w:rPr>
        <w:t>- 40 -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9506C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_Toc24199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评审程序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_Toc24199 \h </w:instrText>
      </w:r>
      <w:r>
        <w:rPr>
          <w:color w:val="auto"/>
          <w:sz w:val="24"/>
          <w:szCs w:val="24"/>
          <w:highlight w:val="none"/>
        </w:rPr>
        <w:fldChar w:fldCharType="separate"/>
      </w:r>
      <w:r>
        <w:rPr>
          <w:color w:val="auto"/>
          <w:sz w:val="24"/>
          <w:szCs w:val="24"/>
          <w:highlight w:val="none"/>
        </w:rPr>
        <w:t>- 40 -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99A32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_Toc27446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eastAsia="zh-CN"/>
        </w:rPr>
        <w:t>评审</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_Toc27446 \h </w:instrText>
      </w:r>
      <w:r>
        <w:rPr>
          <w:color w:val="auto"/>
          <w:sz w:val="24"/>
          <w:szCs w:val="24"/>
          <w:highlight w:val="none"/>
        </w:rPr>
        <w:fldChar w:fldCharType="separate"/>
      </w:r>
      <w:r>
        <w:rPr>
          <w:color w:val="auto"/>
          <w:sz w:val="24"/>
          <w:szCs w:val="24"/>
          <w:highlight w:val="none"/>
        </w:rPr>
        <w:t>- 47 -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6B5BE30">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_Toc12134 \h </w:instrText>
      </w:r>
      <w:r>
        <w:rPr>
          <w:color w:val="auto"/>
          <w:sz w:val="24"/>
          <w:szCs w:val="24"/>
          <w:highlight w:val="none"/>
        </w:rPr>
        <w:fldChar w:fldCharType="separate"/>
      </w:r>
      <w:r>
        <w:rPr>
          <w:color w:val="auto"/>
          <w:sz w:val="24"/>
          <w:szCs w:val="24"/>
          <w:highlight w:val="none"/>
        </w:rPr>
        <w:t>- 47 -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808D24">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_Toc29904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第五章 </w:t>
      </w:r>
      <w:r>
        <w:rPr>
          <w:rFonts w:hint="eastAsia" w:ascii="宋体" w:hAnsi="宋体" w:eastAsia="宋体" w:cs="宋体"/>
          <w:bCs/>
          <w:color w:val="auto"/>
          <w:kern w:val="44"/>
          <w:sz w:val="24"/>
          <w:szCs w:val="24"/>
          <w:highlight w:val="none"/>
          <w:lang w:val="zh-CN" w:eastAsia="zh-CN" w:bidi="ar-SA"/>
        </w:rPr>
        <w:t>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_Toc29904 \h </w:instrText>
      </w:r>
      <w:r>
        <w:rPr>
          <w:color w:val="auto"/>
          <w:sz w:val="24"/>
          <w:szCs w:val="24"/>
          <w:highlight w:val="none"/>
        </w:rPr>
        <w:fldChar w:fldCharType="separate"/>
      </w:r>
      <w:r>
        <w:rPr>
          <w:color w:val="auto"/>
          <w:sz w:val="24"/>
          <w:szCs w:val="24"/>
          <w:highlight w:val="none"/>
        </w:rPr>
        <w:t>- 53 -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514B36">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_Toc26172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第六章 </w:t>
      </w:r>
      <w:r>
        <w:rPr>
          <w:rFonts w:hint="eastAsia" w:ascii="宋体" w:hAnsi="宋体" w:eastAsia="宋体" w:cs="宋体"/>
          <w:color w:val="auto"/>
          <w:sz w:val="24"/>
          <w:szCs w:val="24"/>
          <w:highlight w:val="none"/>
        </w:rPr>
        <w:t>响应文件的格式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_Toc26172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67DE46">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_Toc5152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响应</w:t>
      </w:r>
      <w:r>
        <w:rPr>
          <w:rFonts w:hint="eastAsia"/>
          <w:color w:val="auto"/>
          <w:sz w:val="24"/>
          <w:szCs w:val="24"/>
          <w:highlight w:val="none"/>
        </w:rPr>
        <w:t>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_Toc7318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1E793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_Toc15682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_Toc15682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4DD33B">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_Toc7114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联合体协议书</w:t>
      </w:r>
      <w:r>
        <w:rPr>
          <w:rFonts w:hint="eastAsia" w:ascii="宋体" w:hAnsi="宋体" w:eastAsia="宋体" w:cstheme="minorBidi"/>
          <w:bCs w:val="0"/>
          <w:color w:val="auto"/>
          <w:kern w:val="2"/>
          <w:sz w:val="24"/>
          <w:szCs w:val="24"/>
          <w:highlight w:val="none"/>
          <w:lang w:val="zh-CN" w:eastAsia="zh-CN" w:bidi="ar-SA"/>
        </w:rPr>
        <w:t>【如适用】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_Toc7114 \h </w:instrText>
      </w:r>
      <w:r>
        <w:rPr>
          <w:color w:val="auto"/>
          <w:sz w:val="24"/>
          <w:szCs w:val="24"/>
          <w:highlight w:val="none"/>
        </w:rPr>
        <w:fldChar w:fldCharType="separate"/>
      </w:r>
      <w:r>
        <w:rPr>
          <w:color w:val="auto"/>
          <w:sz w:val="24"/>
          <w:szCs w:val="24"/>
          <w:highlight w:val="none"/>
        </w:rPr>
        <w:t>- 82 -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9A8F3C">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_Toc12924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_Toc12924 \h </w:instrText>
      </w:r>
      <w:r>
        <w:rPr>
          <w:color w:val="auto"/>
          <w:sz w:val="24"/>
          <w:szCs w:val="24"/>
          <w:highlight w:val="none"/>
        </w:rPr>
        <w:fldChar w:fldCharType="separate"/>
      </w:r>
      <w:r>
        <w:rPr>
          <w:color w:val="auto"/>
          <w:sz w:val="24"/>
          <w:szCs w:val="24"/>
          <w:highlight w:val="none"/>
        </w:rPr>
        <w:t>- 82 -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D8593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_Toc15286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分包意向协议书</w:t>
      </w:r>
      <w:r>
        <w:rPr>
          <w:rFonts w:hint="eastAsia" w:ascii="宋体" w:hAnsi="宋体" w:eastAsia="宋体" w:cstheme="minorBidi"/>
          <w:bCs w:val="0"/>
          <w:color w:val="auto"/>
          <w:kern w:val="2"/>
          <w:sz w:val="24"/>
          <w:szCs w:val="24"/>
          <w:highlight w:val="none"/>
          <w:lang w:val="zh-CN" w:eastAsia="zh-CN" w:bidi="ar-SA"/>
        </w:rPr>
        <w:t>【如适用】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_Toc15286 \h </w:instrText>
      </w:r>
      <w:r>
        <w:rPr>
          <w:color w:val="auto"/>
          <w:sz w:val="24"/>
          <w:szCs w:val="24"/>
          <w:highlight w:val="none"/>
        </w:rPr>
        <w:fldChar w:fldCharType="separate"/>
      </w:r>
      <w:r>
        <w:rPr>
          <w:color w:val="auto"/>
          <w:sz w:val="24"/>
          <w:szCs w:val="24"/>
          <w:highlight w:val="none"/>
        </w:rPr>
        <w:t>- 84 -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AA58E1">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_Toc7973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_Toc7973 \h </w:instrText>
      </w:r>
      <w:r>
        <w:rPr>
          <w:color w:val="auto"/>
          <w:sz w:val="24"/>
          <w:szCs w:val="24"/>
          <w:highlight w:val="none"/>
        </w:rPr>
        <w:fldChar w:fldCharType="separate"/>
      </w:r>
      <w:r>
        <w:rPr>
          <w:color w:val="auto"/>
          <w:sz w:val="24"/>
          <w:szCs w:val="24"/>
          <w:highlight w:val="none"/>
        </w:rPr>
        <w:t>- 84 -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B35D82">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_Toc18930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en-US" w:eastAsia="zh-CN" w:bidi="ar-SA"/>
        </w:rPr>
        <w:t>、落实政府采购政策相关证明文件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_Toc18930 \h </w:instrText>
      </w:r>
      <w:r>
        <w:rPr>
          <w:color w:val="auto"/>
          <w:sz w:val="24"/>
          <w:szCs w:val="24"/>
          <w:highlight w:val="none"/>
        </w:rPr>
        <w:fldChar w:fldCharType="separate"/>
      </w:r>
      <w:r>
        <w:rPr>
          <w:color w:val="auto"/>
          <w:sz w:val="24"/>
          <w:szCs w:val="24"/>
          <w:highlight w:val="none"/>
        </w:rPr>
        <w:t>- 86 -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52EC9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_Toc3073 \h </w:instrText>
      </w:r>
      <w:r>
        <w:rPr>
          <w:color w:val="auto"/>
          <w:sz w:val="24"/>
          <w:szCs w:val="24"/>
          <w:highlight w:val="none"/>
        </w:rPr>
        <w:fldChar w:fldCharType="separate"/>
      </w:r>
      <w:r>
        <w:rPr>
          <w:color w:val="auto"/>
          <w:sz w:val="24"/>
          <w:szCs w:val="24"/>
          <w:highlight w:val="none"/>
        </w:rPr>
        <w:t>- 99 -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428CA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_Toc9438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_Toc9438 \h </w:instrText>
      </w:r>
      <w:r>
        <w:rPr>
          <w:color w:val="auto"/>
          <w:sz w:val="24"/>
          <w:szCs w:val="24"/>
          <w:highlight w:val="none"/>
        </w:rPr>
        <w:fldChar w:fldCharType="separate"/>
      </w:r>
      <w:r>
        <w:rPr>
          <w:color w:val="auto"/>
          <w:sz w:val="24"/>
          <w:szCs w:val="24"/>
          <w:highlight w:val="none"/>
        </w:rPr>
        <w:t>- 101 -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335EE9">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_Toc2518 </w:instrText>
      </w:r>
      <w:r>
        <w:rPr>
          <w:rFonts w:hint="eastAsia" w:ascii="宋体" w:hAnsi="宋体" w:eastAsia="宋体" w:cs="宋体"/>
          <w:color w:val="auto"/>
          <w:sz w:val="24"/>
          <w:szCs w:val="24"/>
          <w:highlight w:val="none"/>
        </w:rPr>
        <w:fldChar w:fldCharType="separate"/>
      </w:r>
      <w:r>
        <w:rPr>
          <w:rFonts w:hint="eastAsia" w:ascii="黑体" w:hAnsi="黑体" w:eastAsia="黑体" w:cs="黑体"/>
          <w:color w:val="auto"/>
          <w:sz w:val="24"/>
          <w:szCs w:val="24"/>
          <w:highlight w:val="none"/>
          <w:lang w:val="en-US" w:eastAsia="zh-CN"/>
        </w:rPr>
        <w:t>响应</w:t>
      </w:r>
      <w:r>
        <w:rPr>
          <w:rFonts w:hint="eastAsia" w:ascii="黑体" w:hAnsi="黑体" w:eastAsia="黑体" w:cs="黑体"/>
          <w:color w:val="auto"/>
          <w:sz w:val="24"/>
          <w:szCs w:val="24"/>
          <w:highlight w:val="none"/>
        </w:rPr>
        <w:t>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_Toc9782 </w:instrText>
      </w:r>
      <w:r>
        <w:rPr>
          <w:rFonts w:hint="eastAsia" w:ascii="宋体" w:hAnsi="宋体" w:eastAsia="宋体" w:cs="宋体"/>
          <w:color w:val="auto"/>
          <w:sz w:val="24"/>
          <w:szCs w:val="24"/>
          <w:highlight w:val="none"/>
        </w:rPr>
        <w:fldChar w:fldCharType="separate"/>
      </w:r>
      <w:r>
        <w:rPr>
          <w:rFonts w:hint="eastAsia" w:ascii="黑体" w:hAnsi="黑体" w:eastAsia="黑体" w:cs="黑体"/>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_Toc9782 \h </w:instrText>
      </w:r>
      <w:r>
        <w:rPr>
          <w:color w:val="auto"/>
          <w:sz w:val="24"/>
          <w:szCs w:val="24"/>
          <w:highlight w:val="none"/>
        </w:rPr>
        <w:fldChar w:fldCharType="separate"/>
      </w:r>
      <w:r>
        <w:rPr>
          <w:color w:val="auto"/>
          <w:sz w:val="24"/>
          <w:szCs w:val="24"/>
          <w:highlight w:val="none"/>
        </w:rPr>
        <w:t>- 102 -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EC9D3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_Toc8562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一、报价一览表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_Toc8562 \h </w:instrText>
      </w:r>
      <w:r>
        <w:rPr>
          <w:color w:val="auto"/>
          <w:sz w:val="24"/>
          <w:szCs w:val="24"/>
          <w:highlight w:val="none"/>
        </w:rPr>
        <w:fldChar w:fldCharType="separate"/>
      </w:r>
      <w:r>
        <w:rPr>
          <w:color w:val="auto"/>
          <w:sz w:val="24"/>
          <w:szCs w:val="24"/>
          <w:highlight w:val="none"/>
        </w:rPr>
        <w:t>- 103 -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34DF1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_Toc26650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_Toc26650 \h </w:instrText>
      </w:r>
      <w:r>
        <w:rPr>
          <w:color w:val="auto"/>
          <w:sz w:val="24"/>
          <w:szCs w:val="24"/>
          <w:highlight w:val="none"/>
        </w:rPr>
        <w:fldChar w:fldCharType="separate"/>
      </w:r>
      <w:r>
        <w:rPr>
          <w:color w:val="auto"/>
          <w:sz w:val="24"/>
          <w:szCs w:val="24"/>
          <w:highlight w:val="none"/>
        </w:rPr>
        <w:t>- 105 -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25B00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cstheme="majorBidi"/>
          <w:bCs/>
          <w:color w:val="auto"/>
          <w:kern w:val="2"/>
          <w:sz w:val="24"/>
          <w:szCs w:val="24"/>
          <w:highlight w:val="none"/>
          <w:lang w:val="en-US" w:eastAsia="zh-CN" w:bidi="ar-SA"/>
        </w:rPr>
        <w:fldChar w:fldCharType="begin"/>
      </w:r>
      <w:r>
        <w:rPr>
          <w:rFonts w:hint="eastAsia" w:cstheme="majorBidi"/>
          <w:bCs/>
          <w:color w:val="auto"/>
          <w:kern w:val="2"/>
          <w:sz w:val="24"/>
          <w:szCs w:val="24"/>
          <w:highlight w:val="none"/>
          <w:lang w:val="en-US" w:eastAsia="zh-CN" w:bidi="ar-SA"/>
        </w:rPr>
        <w:instrText xml:space="preserve"> HYPERLINK \l _Toc11961 </w:instrText>
      </w:r>
      <w:r>
        <w:rPr>
          <w:rFonts w:hint="eastAsia" w:cstheme="majorBidi"/>
          <w:bCs/>
          <w:color w:val="auto"/>
          <w:kern w:val="2"/>
          <w:sz w:val="24"/>
          <w:szCs w:val="24"/>
          <w:highlight w:val="none"/>
          <w:lang w:val="en-US" w:eastAsia="zh-CN" w:bidi="ar-SA"/>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cstheme="majorBidi"/>
          <w:bCs/>
          <w:color w:val="auto"/>
          <w:kern w:val="2"/>
          <w:sz w:val="24"/>
          <w:szCs w:val="24"/>
          <w:highlight w:val="none"/>
          <w:lang w:val="en-US" w:eastAsia="zh-CN" w:bidi="ar-SA"/>
        </w:rPr>
        <w:fldChar w:fldCharType="end"/>
      </w:r>
      <w:r>
        <w:rPr>
          <w:rFonts w:hint="eastAsia" w:cstheme="majorBidi"/>
          <w:bCs/>
          <w:color w:val="auto"/>
          <w:kern w:val="2"/>
          <w:sz w:val="24"/>
          <w:szCs w:val="24"/>
          <w:highlight w:val="none"/>
          <w:lang w:val="en-US" w:eastAsia="zh-CN" w:bidi="ar-SA"/>
        </w:rPr>
        <w:fldChar w:fldCharType="begin"/>
      </w:r>
      <w:r>
        <w:rPr>
          <w:rFonts w:hint="eastAsia" w:cstheme="majorBidi"/>
          <w:bCs/>
          <w:color w:val="auto"/>
          <w:kern w:val="2"/>
          <w:sz w:val="24"/>
          <w:szCs w:val="24"/>
          <w:highlight w:val="none"/>
          <w:lang w:val="en-US" w:eastAsia="zh-CN" w:bidi="ar-SA"/>
        </w:rPr>
        <w:instrText xml:space="preserve"> HYPERLINK \l _Toc3 </w:instrText>
      </w:r>
      <w:r>
        <w:rPr>
          <w:rFonts w:hint="eastAsia" w:cstheme="majorBidi"/>
          <w:bCs/>
          <w:color w:val="auto"/>
          <w:kern w:val="2"/>
          <w:sz w:val="24"/>
          <w:szCs w:val="24"/>
          <w:highlight w:val="none"/>
          <w:lang w:val="en-US" w:eastAsia="zh-CN" w:bidi="ar-SA"/>
        </w:rPr>
        <w:fldChar w:fldCharType="separate"/>
      </w:r>
      <w:r>
        <w:rPr>
          <w:rFonts w:hint="eastAsia" w:cstheme="majorBidi"/>
          <w:bCs/>
          <w:color w:val="auto"/>
          <w:kern w:val="2"/>
          <w:sz w:val="24"/>
          <w:szCs w:val="24"/>
          <w:highlight w:val="none"/>
          <w:lang w:val="en-US" w:eastAsia="zh-CN" w:bidi="ar-SA"/>
        </w:rPr>
        <w:t>证明文件</w:t>
      </w:r>
      <w:r>
        <w:rPr>
          <w:rFonts w:hint="eastAsia" w:cstheme="majorBidi"/>
          <w:bCs/>
          <w:color w:val="auto"/>
          <w:kern w:val="2"/>
          <w:sz w:val="24"/>
          <w:szCs w:val="24"/>
          <w:highlight w:val="none"/>
          <w:lang w:val="en-US" w:eastAsia="zh-CN" w:bidi="ar-SA"/>
        </w:rPr>
        <w:tab/>
      </w:r>
      <w:r>
        <w:rPr>
          <w:rFonts w:hint="eastAsia" w:cstheme="majorBidi"/>
          <w:bCs/>
          <w:color w:val="auto"/>
          <w:kern w:val="2"/>
          <w:sz w:val="24"/>
          <w:szCs w:val="24"/>
          <w:highlight w:val="none"/>
          <w:lang w:val="en-US" w:eastAsia="zh-CN" w:bidi="ar-SA"/>
        </w:rPr>
        <w:fldChar w:fldCharType="begin"/>
      </w:r>
      <w:r>
        <w:rPr>
          <w:rFonts w:hint="eastAsia" w:cstheme="majorBidi"/>
          <w:bCs/>
          <w:color w:val="auto"/>
          <w:kern w:val="2"/>
          <w:sz w:val="24"/>
          <w:szCs w:val="24"/>
          <w:highlight w:val="none"/>
          <w:lang w:val="en-US" w:eastAsia="zh-CN" w:bidi="ar-SA"/>
        </w:rPr>
        <w:instrText xml:space="preserve"> PAGEREF _Toc3 \h </w:instrText>
      </w:r>
      <w:r>
        <w:rPr>
          <w:rFonts w:hint="eastAsia" w:cstheme="majorBidi"/>
          <w:bCs/>
          <w:color w:val="auto"/>
          <w:kern w:val="2"/>
          <w:sz w:val="24"/>
          <w:szCs w:val="24"/>
          <w:highlight w:val="none"/>
          <w:lang w:val="en-US" w:eastAsia="zh-CN" w:bidi="ar-SA"/>
        </w:rPr>
        <w:fldChar w:fldCharType="separate"/>
      </w:r>
      <w:r>
        <w:rPr>
          <w:rFonts w:hint="eastAsia" w:cstheme="majorBidi"/>
          <w:bCs/>
          <w:color w:val="auto"/>
          <w:kern w:val="2"/>
          <w:sz w:val="24"/>
          <w:szCs w:val="24"/>
          <w:highlight w:val="none"/>
          <w:lang w:val="en-US" w:eastAsia="zh-CN" w:bidi="ar-SA"/>
        </w:rPr>
        <w:t>- 107 -</w:t>
      </w:r>
      <w:r>
        <w:rPr>
          <w:rFonts w:hint="eastAsia" w:cstheme="majorBidi"/>
          <w:bCs/>
          <w:color w:val="auto"/>
          <w:kern w:val="2"/>
          <w:sz w:val="24"/>
          <w:szCs w:val="24"/>
          <w:highlight w:val="none"/>
          <w:lang w:val="en-US" w:eastAsia="zh-CN" w:bidi="ar-SA"/>
        </w:rPr>
        <w:fldChar w:fldCharType="end"/>
      </w:r>
      <w:r>
        <w:rPr>
          <w:rFonts w:hint="eastAsia" w:cstheme="majorBidi"/>
          <w:bCs/>
          <w:color w:val="auto"/>
          <w:kern w:val="2"/>
          <w:sz w:val="24"/>
          <w:szCs w:val="24"/>
          <w:highlight w:val="none"/>
          <w:lang w:val="en-US" w:eastAsia="zh-CN" w:bidi="ar-SA"/>
        </w:rPr>
        <w:fldChar w:fldCharType="end"/>
      </w:r>
    </w:p>
    <w:p w14:paraId="0F982CF7">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_Toc32227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响应</w:t>
      </w:r>
      <w:r>
        <w:rPr>
          <w:rFonts w:hint="eastAsia"/>
          <w:color w:val="auto"/>
          <w:sz w:val="24"/>
          <w:szCs w:val="24"/>
          <w:highlight w:val="none"/>
        </w:rPr>
        <w:t>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_Toc19324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_Toc19324 \h </w:instrText>
      </w:r>
      <w:r>
        <w:rPr>
          <w:color w:val="auto"/>
          <w:sz w:val="24"/>
          <w:szCs w:val="24"/>
          <w:highlight w:val="none"/>
        </w:rPr>
        <w:fldChar w:fldCharType="separate"/>
      </w:r>
      <w:r>
        <w:rPr>
          <w:color w:val="auto"/>
          <w:sz w:val="24"/>
          <w:szCs w:val="24"/>
          <w:highlight w:val="none"/>
        </w:rPr>
        <w:t>- 109 -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CB1D3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_Toc30642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w:t>
      </w:r>
      <w:r>
        <w:rPr>
          <w:rFonts w:hint="eastAsia" w:cstheme="majorBidi"/>
          <w:bCs/>
          <w:color w:val="auto"/>
          <w:kern w:val="2"/>
          <w:sz w:val="24"/>
          <w:szCs w:val="24"/>
          <w:highlight w:val="none"/>
          <w:lang w:val="en-US" w:eastAsia="zh-CN" w:bidi="ar-SA"/>
        </w:rPr>
        <w:t>响应</w:t>
      </w:r>
      <w:r>
        <w:rPr>
          <w:rFonts w:hint="eastAsia" w:eastAsia="宋体" w:asciiTheme="majorHAnsi" w:hAnsiTheme="majorHAnsi" w:cstheme="majorBidi"/>
          <w:bCs/>
          <w:color w:val="auto"/>
          <w:kern w:val="2"/>
          <w:sz w:val="24"/>
          <w:szCs w:val="24"/>
          <w:highlight w:val="none"/>
          <w:lang w:val="en-US" w:eastAsia="zh-CN" w:bidi="ar-SA"/>
        </w:rPr>
        <w:t>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_Toc30642 \h </w:instrText>
      </w:r>
      <w:r>
        <w:rPr>
          <w:color w:val="auto"/>
          <w:sz w:val="24"/>
          <w:szCs w:val="24"/>
          <w:highlight w:val="none"/>
        </w:rPr>
        <w:fldChar w:fldCharType="separate"/>
      </w:r>
      <w:r>
        <w:rPr>
          <w:color w:val="auto"/>
          <w:sz w:val="24"/>
          <w:szCs w:val="24"/>
          <w:highlight w:val="none"/>
        </w:rPr>
        <w:t>- 110 -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93EE5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_Toc13314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_Toc13314 \h </w:instrText>
      </w:r>
      <w:r>
        <w:rPr>
          <w:color w:val="auto"/>
          <w:sz w:val="24"/>
          <w:szCs w:val="24"/>
          <w:highlight w:val="none"/>
        </w:rPr>
        <w:fldChar w:fldCharType="separate"/>
      </w:r>
      <w:r>
        <w:rPr>
          <w:color w:val="auto"/>
          <w:sz w:val="24"/>
          <w:szCs w:val="24"/>
          <w:highlight w:val="none"/>
        </w:rPr>
        <w:t>- 112 -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21339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_Toc31851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_Toc31851 \h </w:instrText>
      </w:r>
      <w:r>
        <w:rPr>
          <w:color w:val="auto"/>
          <w:sz w:val="24"/>
          <w:szCs w:val="24"/>
          <w:highlight w:val="none"/>
        </w:rPr>
        <w:fldChar w:fldCharType="separate"/>
      </w:r>
      <w:r>
        <w:rPr>
          <w:color w:val="auto"/>
          <w:sz w:val="24"/>
          <w:szCs w:val="24"/>
          <w:highlight w:val="none"/>
        </w:rPr>
        <w:t>- 113 -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68BF29">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_Toc10900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政府采购供应商廉洁自律承诺书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_Toc10900 \h </w:instrText>
      </w:r>
      <w:r>
        <w:rPr>
          <w:color w:val="auto"/>
          <w:sz w:val="24"/>
          <w:szCs w:val="24"/>
          <w:highlight w:val="none"/>
        </w:rPr>
        <w:fldChar w:fldCharType="separate"/>
      </w:r>
      <w:r>
        <w:rPr>
          <w:color w:val="auto"/>
          <w:sz w:val="24"/>
          <w:szCs w:val="24"/>
          <w:highlight w:val="none"/>
        </w:rPr>
        <w:t>- 114 -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F11FA7">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_Toc19356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五、实质性响应一览表</w:t>
      </w:r>
      <w:r>
        <w:rPr>
          <w:rFonts w:hint="eastAsia" w:eastAsia="宋体" w:asciiTheme="majorHAnsi" w:hAnsiTheme="majorHAnsi" w:cstheme="majorBidi"/>
          <w:bCs/>
          <w:color w:val="auto"/>
          <w:kern w:val="2"/>
          <w:sz w:val="24"/>
          <w:szCs w:val="24"/>
          <w:highlight w:val="none"/>
          <w:lang w:val="zh-CN" w:eastAsia="zh-CN" w:bidi="ar-SA"/>
        </w:rPr>
        <w:t>【</w:t>
      </w:r>
      <w:r>
        <w:rPr>
          <w:rFonts w:hint="eastAsia" w:eastAsia="宋体" w:asciiTheme="majorHAnsi" w:hAnsiTheme="majorHAnsi" w:cstheme="majorBidi"/>
          <w:bCs/>
          <w:color w:val="auto"/>
          <w:kern w:val="2"/>
          <w:sz w:val="24"/>
          <w:szCs w:val="24"/>
          <w:highlight w:val="none"/>
          <w:lang w:val="en-US" w:eastAsia="zh-CN" w:bidi="ar-SA"/>
        </w:rPr>
        <w:t>本表须与第四章的一致】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_Toc19356 \h </w:instrText>
      </w:r>
      <w:r>
        <w:rPr>
          <w:color w:val="auto"/>
          <w:sz w:val="24"/>
          <w:szCs w:val="24"/>
          <w:highlight w:val="none"/>
        </w:rPr>
        <w:fldChar w:fldCharType="separate"/>
      </w:r>
      <w:r>
        <w:rPr>
          <w:color w:val="auto"/>
          <w:sz w:val="24"/>
          <w:szCs w:val="24"/>
          <w:highlight w:val="none"/>
        </w:rPr>
        <w:t>- 115 -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6304A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_Toc24814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_Toc24814 \h </w:instrText>
      </w:r>
      <w:r>
        <w:rPr>
          <w:color w:val="auto"/>
          <w:sz w:val="24"/>
          <w:szCs w:val="24"/>
          <w:highlight w:val="none"/>
        </w:rPr>
        <w:fldChar w:fldCharType="separate"/>
      </w:r>
      <w:r>
        <w:rPr>
          <w:color w:val="auto"/>
          <w:sz w:val="24"/>
          <w:szCs w:val="24"/>
          <w:highlight w:val="none"/>
        </w:rPr>
        <w:t>- 116 -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5BF01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_Toc1770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_Toc1770 \h </w:instrText>
      </w:r>
      <w:r>
        <w:rPr>
          <w:color w:val="auto"/>
          <w:sz w:val="24"/>
          <w:szCs w:val="24"/>
          <w:highlight w:val="none"/>
        </w:rPr>
        <w:fldChar w:fldCharType="separate"/>
      </w:r>
      <w:r>
        <w:rPr>
          <w:color w:val="auto"/>
          <w:sz w:val="24"/>
          <w:szCs w:val="24"/>
          <w:highlight w:val="none"/>
        </w:rPr>
        <w:t>- 117 -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FAF00D">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_Toc13711 \h </w:instrText>
      </w:r>
      <w:r>
        <w:rPr>
          <w:color w:val="auto"/>
          <w:sz w:val="24"/>
          <w:szCs w:val="24"/>
          <w:highlight w:val="none"/>
        </w:rPr>
        <w:fldChar w:fldCharType="separate"/>
      </w:r>
      <w:r>
        <w:rPr>
          <w:color w:val="auto"/>
          <w:sz w:val="24"/>
          <w:szCs w:val="24"/>
          <w:highlight w:val="none"/>
        </w:rPr>
        <w:t>- 118 -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1D80D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_Toc4226 \h </w:instrText>
      </w:r>
      <w:r>
        <w:rPr>
          <w:color w:val="auto"/>
          <w:sz w:val="24"/>
          <w:szCs w:val="24"/>
          <w:highlight w:val="none"/>
        </w:rPr>
        <w:fldChar w:fldCharType="separate"/>
      </w:r>
      <w:r>
        <w:rPr>
          <w:color w:val="auto"/>
          <w:sz w:val="24"/>
          <w:szCs w:val="24"/>
          <w:highlight w:val="none"/>
        </w:rPr>
        <w:t>- 119 -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72208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_Toc12534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_Toc12534 \h </w:instrText>
      </w:r>
      <w:r>
        <w:rPr>
          <w:color w:val="auto"/>
          <w:sz w:val="24"/>
          <w:szCs w:val="24"/>
          <w:highlight w:val="none"/>
        </w:rPr>
        <w:fldChar w:fldCharType="separate"/>
      </w:r>
      <w:r>
        <w:rPr>
          <w:color w:val="auto"/>
          <w:sz w:val="24"/>
          <w:szCs w:val="24"/>
          <w:highlight w:val="none"/>
        </w:rPr>
        <w:t>- 120 -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1DD8AE">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_Toc18914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_Toc18914 \h </w:instrText>
      </w:r>
      <w:r>
        <w:rPr>
          <w:color w:val="auto"/>
          <w:sz w:val="24"/>
          <w:szCs w:val="24"/>
          <w:highlight w:val="none"/>
        </w:rPr>
        <w:fldChar w:fldCharType="separate"/>
      </w:r>
      <w:r>
        <w:rPr>
          <w:color w:val="auto"/>
          <w:sz w:val="24"/>
          <w:szCs w:val="24"/>
          <w:highlight w:val="none"/>
        </w:rPr>
        <w:t>- 121 -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0D7D4">
      <w:pPr>
        <w:spacing w:line="360" w:lineRule="auto"/>
        <w:rPr>
          <w:rFonts w:ascii="黑体" w:hAnsi="黑体" w:eastAsia="黑体"/>
          <w:color w:val="auto"/>
          <w:sz w:val="32"/>
          <w:szCs w:val="32"/>
          <w:highlight w:val="none"/>
        </w:rPr>
      </w:pPr>
      <w:r>
        <w:rPr>
          <w:rFonts w:hint="eastAsia" w:ascii="宋体" w:hAnsi="宋体" w:eastAsia="宋体" w:cs="宋体"/>
          <w:color w:val="auto"/>
          <w:szCs w:val="24"/>
          <w:highlight w:val="none"/>
        </w:rPr>
        <w:fldChar w:fldCharType="end"/>
      </w:r>
    </w:p>
    <w:p w14:paraId="4A5FF537">
      <w:pPr>
        <w:jc w:val="center"/>
        <w:rPr>
          <w:rFonts w:ascii="黑体" w:hAnsi="黑体" w:eastAsia="黑体"/>
          <w:color w:val="auto"/>
          <w:sz w:val="32"/>
          <w:szCs w:val="32"/>
          <w:highlight w:val="none"/>
        </w:rPr>
        <w:sectPr>
          <w:headerReference r:id="rId5" w:type="default"/>
          <w:pgSz w:w="11906" w:h="16838"/>
          <w:pgMar w:top="1440" w:right="1800" w:bottom="1440" w:left="1800" w:header="851" w:footer="992" w:gutter="0"/>
          <w:pgNumType w:fmt="numberInDash"/>
          <w:cols w:space="425" w:num="1"/>
          <w:docGrid w:type="lines" w:linePitch="312" w:charSpace="0"/>
        </w:sectPr>
      </w:pPr>
    </w:p>
    <w:p w14:paraId="0DDCC6E5">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color w:val="auto"/>
          <w:highlight w:val="none"/>
        </w:rPr>
      </w:pPr>
      <w:bookmarkStart w:id="0" w:name="_Toc27583"/>
      <w:bookmarkStart w:id="1" w:name="_Toc23362"/>
      <w:r>
        <w:rPr>
          <w:rFonts w:hint="eastAsia" w:ascii="宋体" w:hAnsi="宋体" w:eastAsia="宋体" w:cs="宋体"/>
          <w:b/>
          <w:bCs/>
          <w:color w:val="auto"/>
          <w:kern w:val="44"/>
          <w:sz w:val="36"/>
          <w:szCs w:val="36"/>
          <w:highlight w:val="none"/>
          <w:lang w:val="en-US" w:eastAsia="zh-CN" w:bidi="ar-SA"/>
        </w:rPr>
        <w:t xml:space="preserve">第一章 </w:t>
      </w:r>
      <w:r>
        <w:rPr>
          <w:rFonts w:hint="eastAsia" w:ascii="宋体" w:hAnsi="宋体" w:eastAsia="宋体" w:cs="宋体"/>
          <w:color w:val="auto"/>
          <w:sz w:val="36"/>
          <w:szCs w:val="36"/>
          <w:highlight w:val="none"/>
        </w:rPr>
        <w:t>竞争性</w:t>
      </w:r>
      <w:r>
        <w:rPr>
          <w:rFonts w:hint="eastAsia" w:eastAsia="宋体" w:cs="宋体"/>
          <w:color w:val="auto"/>
          <w:sz w:val="36"/>
          <w:szCs w:val="36"/>
          <w:highlight w:val="none"/>
          <w:lang w:val="en-US" w:eastAsia="zh-CN"/>
        </w:rPr>
        <w:t>谈判</w:t>
      </w:r>
      <w:r>
        <w:rPr>
          <w:rFonts w:hint="eastAsia" w:ascii="宋体" w:hAnsi="宋体" w:eastAsia="宋体" w:cs="宋体"/>
          <w:color w:val="auto"/>
          <w:sz w:val="36"/>
          <w:szCs w:val="36"/>
          <w:highlight w:val="none"/>
          <w:lang w:val="en-US" w:eastAsia="zh-CN"/>
        </w:rPr>
        <w:t>公告</w:t>
      </w:r>
      <w:bookmarkEnd w:id="0"/>
      <w:bookmarkEnd w:id="1"/>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770E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2" w:name="_Toc19242"/>
            <w:bookmarkStart w:id="3" w:name="_Toc10432"/>
            <w:bookmarkStart w:id="4" w:name="_Toc23798"/>
            <w:bookmarkStart w:id="5" w:name="_Toc155185860"/>
            <w:bookmarkStart w:id="6" w:name="_Toc44583628"/>
            <w:bookmarkStart w:id="7" w:name="_Toc28359089"/>
            <w:bookmarkStart w:id="8" w:name="_Toc28359012"/>
            <w:bookmarkStart w:id="9" w:name="_Toc163492812"/>
            <w:bookmarkStart w:id="10" w:name="_Toc35393629"/>
            <w:bookmarkStart w:id="11" w:name="_Toc35393798"/>
            <w:bookmarkStart w:id="12" w:name="_Toc109900248"/>
            <w:bookmarkStart w:id="13" w:name="_Toc109899410"/>
            <w:bookmarkStart w:id="14" w:name="_Toc109899829"/>
            <w:bookmarkStart w:id="15" w:name="_Toc140132745"/>
            <w:r>
              <w:rPr>
                <w:rFonts w:hint="eastAsia"/>
                <w:color w:val="auto"/>
                <w:sz w:val="24"/>
                <w:szCs w:val="24"/>
                <w:highlight w:val="none"/>
                <w:lang w:val="en-US" w:eastAsia="zh-CN"/>
              </w:rPr>
              <w:t>项目概况：</w:t>
            </w:r>
            <w:bookmarkEnd w:id="2"/>
            <w:bookmarkEnd w:id="3"/>
            <w:bookmarkEnd w:id="4"/>
          </w:p>
          <w:p w14:paraId="6E3F83A4">
            <w:pPr>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新疆医科大学第一附属医院陶瓷膜过滤膜采购项目</w:t>
            </w:r>
            <w:r>
              <w:rPr>
                <w:rFonts w:hint="eastAsia" w:cstheme="minorBidi"/>
                <w:iCs/>
                <w:color w:val="auto"/>
                <w:kern w:val="2"/>
                <w:sz w:val="24"/>
                <w:szCs w:val="24"/>
                <w:highlight w:val="none"/>
                <w:u w:val="single"/>
                <w:shd w:val="clear" w:color="auto" w:fill="FFFFFF" w:themeFill="background1"/>
                <w:lang w:val="en-US" w:eastAsia="zh-CN" w:bidi="ar-SA"/>
              </w:rPr>
              <w:t xml:space="preserve"> </w:t>
            </w:r>
            <w:r>
              <w:rPr>
                <w:rFonts w:hint="default" w:ascii="宋体" w:hAnsi="宋体" w:eastAsia="宋体" w:cstheme="minorBidi"/>
                <w:i w:val="0"/>
                <w:iCs w:val="0"/>
                <w:color w:val="auto"/>
                <w:kern w:val="2"/>
                <w:sz w:val="24"/>
                <w:szCs w:val="22"/>
                <w:highlight w:val="none"/>
                <w:u w:val="none"/>
                <w:lang w:val="en-US" w:eastAsia="zh-CN" w:bidi="ar-SA"/>
              </w:rPr>
              <w:t>的潜在供应商</w:t>
            </w:r>
            <w:r>
              <w:rPr>
                <w:rFonts w:hint="eastAsia" w:cstheme="minorBidi"/>
                <w:i w:val="0"/>
                <w:iCs w:val="0"/>
                <w:color w:val="auto"/>
                <w:kern w:val="2"/>
                <w:sz w:val="24"/>
                <w:szCs w:val="22"/>
                <w:highlight w:val="none"/>
                <w:u w:val="none"/>
                <w:lang w:val="en-US" w:eastAsia="zh-CN" w:bidi="ar-SA"/>
              </w:rPr>
              <w:t>应</w:t>
            </w:r>
            <w:r>
              <w:rPr>
                <w:rFonts w:hint="default" w:ascii="宋体" w:hAnsi="宋体" w:eastAsia="宋体" w:cstheme="minorBidi"/>
                <w:i w:val="0"/>
                <w:iCs w:val="0"/>
                <w:color w:val="auto"/>
                <w:kern w:val="2"/>
                <w:sz w:val="24"/>
                <w:szCs w:val="22"/>
                <w:highlight w:val="none"/>
                <w:u w:val="none"/>
                <w:lang w:val="en-US" w:eastAsia="zh-CN" w:bidi="ar-SA"/>
              </w:rPr>
              <w:t>在政采云平台线上（网址：https://www.zcygov.cn/）获取采购文件，并于</w:t>
            </w:r>
            <w:r>
              <w:rPr>
                <w:rFonts w:hint="default" w:ascii="宋体" w:hAnsi="宋体" w:eastAsia="宋体" w:cstheme="minorBidi"/>
                <w:i w:val="0"/>
                <w:iCs w:val="0"/>
                <w:color w:val="auto"/>
                <w:kern w:val="2"/>
                <w:sz w:val="24"/>
                <w:szCs w:val="22"/>
                <w:highlight w:val="none"/>
                <w:u w:val="single"/>
                <w:lang w:val="en-US" w:eastAsia="zh-CN" w:bidi="ar-SA"/>
              </w:rPr>
              <w:t xml:space="preserve"> </w:t>
            </w:r>
            <w:r>
              <w:rPr>
                <w:rFonts w:hint="eastAsia" w:cstheme="minorBidi"/>
                <w:i w:val="0"/>
                <w:iCs w:val="0"/>
                <w:color w:val="auto"/>
                <w:kern w:val="2"/>
                <w:sz w:val="24"/>
                <w:szCs w:val="22"/>
                <w:highlight w:val="none"/>
                <w:u w:val="single"/>
                <w:lang w:val="en-US" w:eastAsia="zh-CN" w:bidi="ar-SA"/>
              </w:rPr>
              <w:t>2026</w:t>
            </w:r>
            <w:r>
              <w:rPr>
                <w:rFonts w:hint="default" w:ascii="宋体" w:hAnsi="宋体" w:eastAsia="宋体" w:cstheme="minorBidi"/>
                <w:i w:val="0"/>
                <w:iCs w:val="0"/>
                <w:color w:val="auto"/>
                <w:kern w:val="2"/>
                <w:sz w:val="24"/>
                <w:szCs w:val="22"/>
                <w:highlight w:val="none"/>
                <w:u w:val="single"/>
                <w:lang w:val="en-US" w:eastAsia="zh-CN" w:bidi="ar-SA"/>
              </w:rPr>
              <w:t xml:space="preserve">年  </w:t>
            </w:r>
            <w:r>
              <w:rPr>
                <w:rFonts w:hint="eastAsia" w:cstheme="minorBidi"/>
                <w:i w:val="0"/>
                <w:iCs w:val="0"/>
                <w:color w:val="auto"/>
                <w:kern w:val="2"/>
                <w:sz w:val="24"/>
                <w:szCs w:val="22"/>
                <w:highlight w:val="none"/>
                <w:u w:val="single"/>
                <w:lang w:val="en-US" w:eastAsia="zh-CN" w:bidi="ar-SA"/>
              </w:rPr>
              <w:t>6</w:t>
            </w:r>
            <w:r>
              <w:rPr>
                <w:rFonts w:hint="default" w:ascii="宋体" w:hAnsi="宋体" w:eastAsia="宋体" w:cstheme="minorBidi"/>
                <w:i w:val="0"/>
                <w:iCs w:val="0"/>
                <w:color w:val="auto"/>
                <w:kern w:val="2"/>
                <w:sz w:val="24"/>
                <w:szCs w:val="22"/>
                <w:highlight w:val="none"/>
                <w:u w:val="single"/>
                <w:lang w:val="en-US" w:eastAsia="zh-CN" w:bidi="ar-SA"/>
              </w:rPr>
              <w:t>月</w:t>
            </w:r>
            <w:r>
              <w:rPr>
                <w:rFonts w:hint="eastAsia" w:cstheme="minorBidi"/>
                <w:i w:val="0"/>
                <w:iCs w:val="0"/>
                <w:color w:val="auto"/>
                <w:kern w:val="2"/>
                <w:sz w:val="24"/>
                <w:szCs w:val="22"/>
                <w:highlight w:val="none"/>
                <w:u w:val="single"/>
                <w:lang w:val="en-US" w:eastAsia="zh-CN" w:bidi="ar-SA"/>
              </w:rPr>
              <w:t>11</w:t>
            </w:r>
            <w:r>
              <w:rPr>
                <w:rFonts w:hint="default" w:ascii="宋体" w:hAnsi="宋体" w:eastAsia="宋体" w:cstheme="minorBidi"/>
                <w:i w:val="0"/>
                <w:iCs w:val="0"/>
                <w:color w:val="auto"/>
                <w:kern w:val="2"/>
                <w:sz w:val="24"/>
                <w:szCs w:val="22"/>
                <w:highlight w:val="none"/>
                <w:u w:val="single"/>
                <w:lang w:val="en-US" w:eastAsia="zh-CN" w:bidi="ar-SA"/>
              </w:rPr>
              <w:t>日</w:t>
            </w:r>
            <w:r>
              <w:rPr>
                <w:rFonts w:hint="eastAsia" w:cstheme="minorBidi"/>
                <w:i w:val="0"/>
                <w:iCs w:val="0"/>
                <w:color w:val="auto"/>
                <w:kern w:val="2"/>
                <w:sz w:val="24"/>
                <w:szCs w:val="22"/>
                <w:highlight w:val="none"/>
                <w:u w:val="single"/>
                <w:lang w:val="en-US" w:eastAsia="zh-CN" w:bidi="ar-SA"/>
              </w:rPr>
              <w:t>10时30</w:t>
            </w:r>
            <w:r>
              <w:rPr>
                <w:rFonts w:hint="default" w:ascii="宋体" w:hAnsi="宋体" w:eastAsia="宋体" w:cstheme="minorBidi"/>
                <w:i w:val="0"/>
                <w:iCs w:val="0"/>
                <w:color w:val="auto"/>
                <w:kern w:val="2"/>
                <w:sz w:val="24"/>
                <w:szCs w:val="22"/>
                <w:highlight w:val="none"/>
                <w:u w:val="single"/>
                <w:lang w:val="en-US" w:eastAsia="zh-CN" w:bidi="ar-SA"/>
              </w:rPr>
              <w:t>分</w:t>
            </w:r>
            <w:r>
              <w:rPr>
                <w:rFonts w:hint="default" w:ascii="宋体" w:hAnsi="宋体" w:eastAsia="宋体" w:cstheme="minorBidi"/>
                <w:i w:val="0"/>
                <w:iCs w:val="0"/>
                <w:color w:val="auto"/>
                <w:kern w:val="2"/>
                <w:sz w:val="24"/>
                <w:szCs w:val="22"/>
                <w:highlight w:val="none"/>
                <w:u w:val="none"/>
                <w:lang w:val="en-US" w:eastAsia="zh-CN" w:bidi="ar-SA"/>
              </w:rPr>
              <w:t>（北京时间）前提交响应文件。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color w:val="auto"/>
          <w:sz w:val="24"/>
          <w:szCs w:val="24"/>
          <w:highlight w:val="none"/>
          <w:lang w:val="hr-HR"/>
        </w:rPr>
      </w:pPr>
      <w:bookmarkStart w:id="16" w:name="_Toc13827"/>
      <w:bookmarkStart w:id="17" w:name="_Toc7440"/>
      <w:bookmarkStart w:id="18" w:name="_Toc12894"/>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5E3A1EB6">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rPr>
        <w:t>1.项目编号</w:t>
      </w:r>
      <w:r>
        <w:rPr>
          <w:rFonts w:hint="eastAsia" w:ascii="宋体" w:hAnsi="宋体" w:eastAsia="宋体" w:cs="宋体"/>
          <w:color w:val="auto"/>
          <w:sz w:val="24"/>
          <w:szCs w:val="24"/>
          <w:highlight w:val="none"/>
          <w:lang w:val="hr-HR" w:eastAsia="zh-CN"/>
        </w:rPr>
        <w:t>/包号</w:t>
      </w:r>
      <w:r>
        <w:rPr>
          <w:rFonts w:hint="eastAsia" w:ascii="宋体" w:hAnsi="宋体" w:eastAsia="宋体" w:cs="宋体"/>
          <w:color w:val="auto"/>
          <w:sz w:val="24"/>
          <w:szCs w:val="24"/>
          <w:highlight w:val="none"/>
          <w:lang w:val="hr-HR"/>
        </w:rPr>
        <w:t>：</w:t>
      </w:r>
      <w:r>
        <w:rPr>
          <w:rFonts w:hint="eastAsia" w:cs="宋体"/>
          <w:i w:val="0"/>
          <w:iCs w:val="0"/>
          <w:color w:val="auto"/>
          <w:kern w:val="2"/>
          <w:sz w:val="24"/>
          <w:szCs w:val="24"/>
          <w:highlight w:val="none"/>
          <w:u w:val="single"/>
          <w:lang w:val="en-US" w:eastAsia="zh-CN" w:bidi="ar-SA"/>
        </w:rPr>
        <w:t>TC269H0HB</w:t>
      </w:r>
    </w:p>
    <w:p w14:paraId="544AA4B7">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cs="宋体"/>
          <w:color w:val="auto"/>
          <w:sz w:val="24"/>
          <w:szCs w:val="24"/>
          <w:highlight w:val="none"/>
          <w:u w:val="single"/>
          <w:lang w:eastAsia="zh-CN"/>
        </w:rPr>
        <w:t>新疆医科大学第一附属医院陶瓷膜过滤膜采购项目</w:t>
      </w:r>
    </w:p>
    <w:p w14:paraId="3CE35A7E">
      <w:pPr>
        <w:pStyle w:val="3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p>
    <w:p w14:paraId="78A90596">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69000元</w:t>
      </w:r>
      <w:r>
        <w:rPr>
          <w:rFonts w:hint="eastAsia" w:ascii="宋体" w:hAnsi="宋体" w:eastAsia="宋体" w:cs="宋体"/>
          <w:color w:val="auto"/>
          <w:sz w:val="24"/>
          <w:szCs w:val="24"/>
          <w:highlight w:val="none"/>
          <w:u w:val="single"/>
        </w:rPr>
        <w:t xml:space="preserve"> </w:t>
      </w:r>
    </w:p>
    <w:p w14:paraId="7851BE2C">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lang w:val="hr-HR"/>
        </w:rPr>
        <w:t xml:space="preserve"> </w:t>
      </w:r>
      <w:r>
        <w:rPr>
          <w:rFonts w:hint="eastAsia" w:cs="宋体"/>
          <w:color w:val="auto"/>
          <w:sz w:val="24"/>
          <w:szCs w:val="24"/>
          <w:highlight w:val="none"/>
          <w:u w:val="single"/>
          <w:lang w:val="en-US" w:eastAsia="zh-CN"/>
        </w:rPr>
        <w:t>6900</w:t>
      </w:r>
      <w:r>
        <w:rPr>
          <w:rFonts w:hint="eastAsia" w:ascii="宋体" w:hAnsi="宋体" w:eastAsia="宋体" w:cs="宋体"/>
          <w:color w:val="auto"/>
          <w:sz w:val="24"/>
          <w:szCs w:val="24"/>
          <w:highlight w:val="none"/>
          <w:u w:val="single"/>
          <w:lang w:val="hr-HR"/>
        </w:rPr>
        <w:t xml:space="preserve">0元  </w:t>
      </w:r>
    </w:p>
    <w:p w14:paraId="601A9C8F">
      <w:pPr>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ascii="宋体" w:hAnsi="宋体" w:eastAsia="宋体" w:cs="宋体"/>
          <w:i w:val="0"/>
          <w:iCs w:val="0"/>
          <w:color w:val="auto"/>
          <w:kern w:val="2"/>
          <w:sz w:val="24"/>
          <w:szCs w:val="24"/>
          <w:highlight w:val="none"/>
          <w:u w:val="single"/>
          <w:lang w:val="en-US" w:eastAsia="zh-CN" w:bidi="ar-SA"/>
        </w:rPr>
        <w:t>采购</w:t>
      </w:r>
      <w:r>
        <w:rPr>
          <w:rFonts w:hint="eastAsia" w:cs="宋体"/>
          <w:i w:val="0"/>
          <w:iCs w:val="0"/>
          <w:color w:val="auto"/>
          <w:kern w:val="2"/>
          <w:sz w:val="24"/>
          <w:szCs w:val="24"/>
          <w:highlight w:val="none"/>
          <w:u w:val="single"/>
          <w:lang w:val="en-US" w:eastAsia="zh-CN" w:bidi="ar-SA"/>
        </w:rPr>
        <w:t>陶瓷膜过滤膜</w:t>
      </w:r>
      <w:r>
        <w:rPr>
          <w:rFonts w:hint="eastAsia" w:ascii="宋体" w:hAnsi="宋体" w:eastAsia="宋体" w:cs="宋体"/>
          <w:i w:val="0"/>
          <w:iCs w:val="0"/>
          <w:color w:val="auto"/>
          <w:kern w:val="2"/>
          <w:sz w:val="24"/>
          <w:szCs w:val="24"/>
          <w:highlight w:val="none"/>
          <w:u w:val="single"/>
          <w:lang w:val="en-US" w:eastAsia="zh-CN" w:bidi="ar-SA"/>
        </w:rPr>
        <w:t>1套，技术参数清单详见采购需求</w:t>
      </w:r>
    </w:p>
    <w:p w14:paraId="56FBF6DA">
      <w:pPr>
        <w:pStyle w:val="34"/>
        <w:keepNext w:val="0"/>
        <w:keepLines w:val="0"/>
        <w:pageBreakBefore w:val="0"/>
        <w:widowControl w:val="0"/>
        <w:kinsoku/>
        <w:wordWrap w:val="0"/>
        <w:overflowPunct/>
        <w:topLinePunct w:val="0"/>
        <w:autoSpaceDE/>
        <w:autoSpaceDN/>
        <w:bidi w:val="0"/>
        <w:adjustRightInd/>
        <w:snapToGrid/>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u w:val="single"/>
        </w:rPr>
        <w:t xml:space="preserve">  详见</w:t>
      </w:r>
      <w:r>
        <w:rPr>
          <w:rFonts w:hint="eastAsia" w:cs="宋体"/>
          <w:color w:val="auto"/>
          <w:sz w:val="24"/>
          <w:szCs w:val="24"/>
          <w:highlight w:val="none"/>
          <w:u w:val="single"/>
          <w:lang w:val="en-US" w:eastAsia="zh-CN"/>
        </w:rPr>
        <w:t>采购</w:t>
      </w:r>
      <w:r>
        <w:rPr>
          <w:rFonts w:hint="eastAsia" w:ascii="宋体" w:hAnsi="宋体" w:eastAsia="宋体" w:cs="宋体"/>
          <w:color w:val="auto"/>
          <w:sz w:val="24"/>
          <w:szCs w:val="24"/>
          <w:highlight w:val="none"/>
          <w:u w:val="single"/>
        </w:rPr>
        <w:t xml:space="preserve">文件 </w:t>
      </w:r>
      <w:r>
        <w:rPr>
          <w:rFonts w:hint="eastAsia" w:ascii="宋体" w:hAnsi="宋体" w:eastAsia="宋体" w:cs="宋体"/>
          <w:color w:val="auto"/>
          <w:sz w:val="24"/>
          <w:szCs w:val="24"/>
          <w:highlight w:val="none"/>
          <w:u w:val="single"/>
          <w:lang w:val="hr-HR"/>
        </w:rPr>
        <w:t xml:space="preserve"> </w:t>
      </w:r>
    </w:p>
    <w:p w14:paraId="4B098642">
      <w:pPr>
        <w:pStyle w:val="34"/>
        <w:rPr>
          <w:rFonts w:hint="eastAsia" w:ascii="宋体" w:hAnsi="宋体" w:eastAsia="宋体" w:cs="宋体"/>
          <w:color w:val="auto"/>
          <w:sz w:val="24"/>
          <w:szCs w:val="24"/>
          <w:highlight w:val="none"/>
          <w:lang w:val="en-US" w:eastAsia="zh-CN"/>
        </w:rPr>
      </w:pPr>
      <w:bookmarkStart w:id="19" w:name="_Toc28359013"/>
      <w:bookmarkStart w:id="20" w:name="_Toc35393799"/>
      <w:bookmarkStart w:id="21" w:name="_Toc35393630"/>
      <w:bookmarkStart w:id="22" w:name="_Toc28359090"/>
      <w:bookmarkStart w:id="23" w:name="_Toc44583629"/>
      <w:r>
        <w:rPr>
          <w:rFonts w:hint="eastAsia" w:ascii="宋体" w:hAnsi="宋体" w:eastAsia="宋体" w:cs="宋体"/>
          <w:color w:val="auto"/>
          <w:sz w:val="24"/>
          <w:szCs w:val="24"/>
          <w:highlight w:val="none"/>
          <w:lang w:val="en-US" w:eastAsia="zh-CN"/>
        </w:rPr>
        <w:t>8.</w:t>
      </w:r>
      <w:bookmarkStart w:id="24" w:name="_Hlk162011358"/>
      <w:r>
        <w:rPr>
          <w:rFonts w:hint="eastAsia" w:ascii="宋体" w:hAnsi="宋体" w:eastAsia="宋体" w:cs="宋体"/>
          <w:color w:val="auto"/>
          <w:sz w:val="24"/>
          <w:szCs w:val="24"/>
          <w:highlight w:val="none"/>
          <w:lang w:val="en-US" w:eastAsia="zh-CN"/>
        </w:rPr>
        <w:t>本项目是否接受联合体：□是</w:t>
      </w:r>
      <w:bookmarkEnd w:id="24"/>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5" w:name="_Toc155185861"/>
      <w:bookmarkStart w:id="26" w:name="_Toc109899830"/>
      <w:bookmarkStart w:id="27" w:name="_Toc109899411"/>
      <w:bookmarkStart w:id="28" w:name="_Toc18424"/>
      <w:bookmarkStart w:id="29" w:name="_Toc163492813"/>
      <w:bookmarkStart w:id="30" w:name="_Toc140132746"/>
      <w:bookmarkStart w:id="31" w:name="_Toc21076"/>
      <w:bookmarkStart w:id="32" w:name="_Toc5661"/>
      <w:bookmarkStart w:id="33" w:name="_Toc109900249"/>
      <w:r>
        <w:rPr>
          <w:rFonts w:hint="eastAsia" w:ascii="宋体" w:hAnsi="宋体" w:eastAsia="宋体" w:cs="宋体"/>
          <w:b/>
          <w:bCs/>
          <w:color w:val="auto"/>
          <w:kern w:val="2"/>
          <w:sz w:val="24"/>
          <w:szCs w:val="24"/>
          <w:highlight w:val="none"/>
          <w:lang w:val="en-US" w:eastAsia="zh-CN" w:bidi="ar-SA"/>
        </w:rPr>
        <w:t>二、申请人的</w:t>
      </w:r>
      <w:r>
        <w:rPr>
          <w:rFonts w:hint="eastAsia" w:ascii="宋体" w:hAnsi="宋体" w:eastAsia="宋体" w:cs="宋体"/>
          <w:b/>
          <w:bCs/>
          <w:color w:val="auto"/>
          <w:kern w:val="2"/>
          <w:sz w:val="24"/>
          <w:szCs w:val="24"/>
          <w:highlight w:val="none"/>
          <w:lang w:val="hr-HR" w:eastAsia="zh-CN" w:bidi="ar-SA"/>
        </w:rPr>
        <w:t>资格要求</w:t>
      </w:r>
      <w:bookmarkEnd w:id="19"/>
      <w:bookmarkEnd w:id="20"/>
      <w:bookmarkEnd w:id="21"/>
      <w:bookmarkEnd w:id="22"/>
      <w:bookmarkEnd w:id="23"/>
      <w:bookmarkEnd w:id="25"/>
      <w:bookmarkEnd w:id="26"/>
      <w:bookmarkEnd w:id="27"/>
      <w:bookmarkEnd w:id="28"/>
      <w:bookmarkEnd w:id="29"/>
      <w:bookmarkEnd w:id="30"/>
      <w:bookmarkEnd w:id="31"/>
      <w:bookmarkEnd w:id="32"/>
      <w:bookmarkEnd w:id="33"/>
    </w:p>
    <w:p w14:paraId="5384018C">
      <w:pPr>
        <w:ind w:firstLine="480" w:firstLineChars="200"/>
        <w:rPr>
          <w:rFonts w:hint="eastAsia" w:ascii="宋体" w:hAnsi="宋体" w:eastAsia="宋体" w:cs="宋体"/>
          <w:strike/>
          <w:dstrike w:val="0"/>
          <w:color w:val="auto"/>
          <w:sz w:val="24"/>
          <w:szCs w:val="24"/>
          <w:highlight w:val="none"/>
          <w:lang w:val="en-US" w:eastAsia="zh-CN"/>
        </w:rPr>
      </w:pPr>
      <w:bookmarkStart w:id="34" w:name="_Toc35393800"/>
      <w:bookmarkStart w:id="35" w:name="_Toc35393631"/>
      <w:bookmarkStart w:id="36" w:name="_Toc44583630"/>
      <w:bookmarkStart w:id="37" w:name="_Toc28359091"/>
      <w:bookmarkStart w:id="38" w:name="_Toc28359014"/>
      <w:r>
        <w:rPr>
          <w:rFonts w:hint="eastAsia" w:ascii="宋体" w:hAnsi="宋体" w:eastAsia="宋体" w:cs="宋体"/>
          <w:color w:val="auto"/>
          <w:sz w:val="24"/>
          <w:szCs w:val="24"/>
          <w:highlight w:val="none"/>
          <w:lang w:val="en-US" w:eastAsia="zh-CN"/>
        </w:rPr>
        <w:t>1. 满足《中华人民共和国政府采购法》第二十二条规定；</w:t>
      </w:r>
    </w:p>
    <w:p w14:paraId="07998FA8">
      <w:pPr>
        <w:ind w:firstLine="480" w:firstLineChars="200"/>
        <w:rPr>
          <w:rFonts w:hint="eastAsia" w:ascii="宋体" w:hAnsi="宋体" w:eastAsia="宋体" w:cs="宋体"/>
          <w:color w:val="auto"/>
          <w:sz w:val="24"/>
          <w:szCs w:val="24"/>
          <w:highlight w:val="none"/>
          <w:u w:val="none"/>
          <w:lang w:val="en-US" w:eastAsia="zh-CN"/>
        </w:rPr>
      </w:pPr>
      <w:bookmarkStart w:id="39" w:name="_Hlk89807755"/>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.落实政府采购政策需满足的资格要求：本项目专门面向中小企业采购，供应商须按照采购文件要求提供《中小企业声明函》</w:t>
      </w:r>
      <w:r>
        <w:rPr>
          <w:rFonts w:hint="eastAsia" w:ascii="宋体" w:hAnsi="宋体" w:eastAsia="宋体" w:cs="宋体"/>
          <w:color w:val="auto"/>
          <w:sz w:val="24"/>
          <w:szCs w:val="24"/>
          <w:highlight w:val="none"/>
          <w:u w:val="none"/>
          <w:lang w:val="en-US" w:eastAsia="zh-CN"/>
        </w:rPr>
        <w:t>。</w:t>
      </w:r>
    </w:p>
    <w:p w14:paraId="263D7A53">
      <w:pPr>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3.本项目的特定资格要求：</w:t>
      </w:r>
    </w:p>
    <w:p w14:paraId="10AA83E0">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cs="宋体"/>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lang w:val="en-US" w:eastAsia="zh-CN"/>
        </w:rPr>
        <w:t>1）属于医疗器械管理的产品需根据《医疗器械监督管理条例》（国务院令第650号）有关内容办理医疗器械产品注册或备案。</w:t>
      </w:r>
    </w:p>
    <w:p w14:paraId="7684BE0D">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（2）法定代表人或单位负责人为同一人或者存在直接控股、管理关系的不同投标人，不得参加同一合同项下的政府采购活动。</w:t>
      </w:r>
    </w:p>
    <w:p w14:paraId="0F2FB056">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（3）除单一来源采购项目外，为采购项目提供整体设计、规范编制或者项目管理、监理、检测等服务的投标人，不得再参加该采购项目的其他采购活动。</w:t>
      </w:r>
    </w:p>
    <w:p w14:paraId="6B3ECAEB">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（4）投标人的信用行为：在资格审查阶段经查询，未被列入“失信被执行人”、“重大税收违法失信主体”、“政府采购严重违法失信行为记录名单”其中之一。如有以上不良信用记录之一的，其投标无效。</w:t>
      </w:r>
    </w:p>
    <w:bookmarkEnd w:id="39"/>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0" w:name="_Toc140132747"/>
      <w:bookmarkStart w:id="41" w:name="_Toc109899412"/>
      <w:bookmarkStart w:id="42" w:name="_Toc155185862"/>
      <w:bookmarkStart w:id="43" w:name="_Toc293"/>
      <w:bookmarkStart w:id="44" w:name="_Toc109900250"/>
      <w:bookmarkStart w:id="45" w:name="_Toc24875"/>
      <w:bookmarkStart w:id="46" w:name="_Toc17020"/>
      <w:bookmarkStart w:id="47" w:name="_Toc163492814"/>
      <w:bookmarkStart w:id="48" w:name="_Toc109899831"/>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w:t>
      </w:r>
      <w:r>
        <w:rPr>
          <w:rFonts w:hint="eastAsia" w:ascii="宋体" w:hAnsi="宋体" w:eastAsia="宋体" w:cs="宋体"/>
          <w:b/>
          <w:bCs/>
          <w:color w:val="auto"/>
          <w:kern w:val="2"/>
          <w:sz w:val="24"/>
          <w:szCs w:val="24"/>
          <w:highlight w:val="none"/>
          <w:lang w:val="en-US" w:eastAsia="zh-CN" w:bidi="ar-SA"/>
        </w:rPr>
        <w:t>采购</w:t>
      </w:r>
      <w:r>
        <w:rPr>
          <w:rFonts w:hint="eastAsia" w:ascii="宋体" w:hAnsi="宋体" w:eastAsia="宋体" w:cs="宋体"/>
          <w:b/>
          <w:bCs/>
          <w:color w:val="auto"/>
          <w:kern w:val="2"/>
          <w:sz w:val="24"/>
          <w:szCs w:val="24"/>
          <w:highlight w:val="none"/>
          <w:lang w:val="hr-HR" w:eastAsia="zh-CN" w:bidi="ar-SA"/>
        </w:rPr>
        <w:t>文件</w:t>
      </w:r>
      <w:bookmarkEnd w:id="34"/>
      <w:bookmarkEnd w:id="35"/>
      <w:bookmarkEnd w:id="36"/>
      <w:bookmarkEnd w:id="37"/>
      <w:bookmarkEnd w:id="38"/>
      <w:bookmarkEnd w:id="40"/>
      <w:bookmarkEnd w:id="41"/>
      <w:bookmarkEnd w:id="42"/>
      <w:bookmarkEnd w:id="43"/>
      <w:bookmarkEnd w:id="44"/>
      <w:bookmarkEnd w:id="45"/>
      <w:bookmarkEnd w:id="46"/>
      <w:bookmarkEnd w:id="47"/>
      <w:bookmarkEnd w:id="48"/>
      <w:r>
        <w:rPr>
          <w:rFonts w:hint="eastAsia" w:ascii="宋体" w:hAnsi="宋体" w:eastAsia="宋体" w:cs="宋体"/>
          <w:b/>
          <w:bCs/>
          <w:color w:val="auto"/>
          <w:kern w:val="2"/>
          <w:sz w:val="24"/>
          <w:szCs w:val="24"/>
          <w:highlight w:val="none"/>
          <w:lang w:val="hr-HR" w:eastAsia="zh-CN" w:bidi="ar-SA"/>
        </w:rPr>
        <w:t xml:space="preserve"> </w:t>
      </w:r>
    </w:p>
    <w:p w14:paraId="7F0135DE">
      <w:pPr>
        <w:spacing w:line="360" w:lineRule="auto"/>
        <w:ind w:firstLine="540"/>
        <w:rPr>
          <w:rFonts w:hint="eastAsia" w:ascii="宋体" w:hAnsi="宋体" w:eastAsia="宋体" w:cs="宋体"/>
          <w:i w:val="0"/>
          <w:iCs w:val="0"/>
          <w:color w:val="auto"/>
          <w:sz w:val="24"/>
          <w:szCs w:val="24"/>
          <w:highlight w:val="none"/>
          <w:lang w:val="hr-HR" w:eastAsia="zh-CN"/>
        </w:rPr>
      </w:pPr>
      <w:bookmarkStart w:id="49" w:name="_Hlk130457234"/>
      <w:bookmarkStart w:id="50" w:name="_Toc28359092"/>
      <w:bookmarkStart w:id="51" w:name="_Toc35393801"/>
      <w:bookmarkStart w:id="52" w:name="_Toc28359015"/>
      <w:bookmarkStart w:id="53" w:name="_Hlk130457261"/>
      <w:bookmarkStart w:id="54" w:name="_Hlk130457327"/>
      <w:bookmarkStart w:id="55" w:name="_Toc35393632"/>
      <w:r>
        <w:rPr>
          <w:rFonts w:hint="eastAsia" w:ascii="宋体" w:hAnsi="宋体" w:eastAsia="宋体" w:cs="宋体"/>
          <w:i w:val="0"/>
          <w:iCs w:val="0"/>
          <w:color w:val="auto"/>
          <w:sz w:val="24"/>
          <w:szCs w:val="24"/>
          <w:highlight w:val="none"/>
          <w:lang w:val="hr-HR"/>
        </w:rPr>
        <w:t>1.时间：</w:t>
      </w:r>
      <w:r>
        <w:rPr>
          <w:rFonts w:hint="eastAsia" w:ascii="宋体" w:hAnsi="宋体" w:eastAsia="宋体" w:cs="宋体"/>
          <w:i w:val="0"/>
          <w:iCs w:val="0"/>
          <w:color w:val="auto"/>
          <w:sz w:val="24"/>
          <w:szCs w:val="24"/>
          <w:highlight w:val="none"/>
          <w:u w:val="single"/>
        </w:rPr>
        <w:t>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6</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4</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至</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6</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9</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，每天上午00:00至14:00，下午14:00至23:59（北京时间，法定节假日除外）</w:t>
      </w:r>
      <w:r>
        <w:rPr>
          <w:rFonts w:hint="eastAsia" w:ascii="宋体" w:hAnsi="宋体" w:eastAsia="宋体" w:cs="宋体"/>
          <w:i w:val="0"/>
          <w:iCs w:val="0"/>
          <w:color w:val="auto"/>
          <w:sz w:val="24"/>
          <w:szCs w:val="24"/>
          <w:highlight w:val="none"/>
          <w:lang w:eastAsia="zh-CN"/>
        </w:rPr>
        <w:t>。</w:t>
      </w:r>
    </w:p>
    <w:bookmarkEnd w:id="49"/>
    <w:p w14:paraId="34FD69CE">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56" w:name="_Hlk89807779"/>
      <w:r>
        <w:rPr>
          <w:rFonts w:hint="eastAsia" w:ascii="宋体" w:hAnsi="宋体" w:eastAsia="宋体" w:cs="宋体"/>
          <w:color w:val="auto"/>
          <w:sz w:val="24"/>
          <w:szCs w:val="24"/>
          <w:highlight w:val="none"/>
          <w:lang w:val="hr-HR"/>
        </w:rPr>
        <w:t>政采云平台线上（网址：https://www.zcygov.cn/）</w:t>
      </w:r>
      <w:r>
        <w:rPr>
          <w:rFonts w:hint="eastAsia" w:ascii="宋体" w:hAnsi="宋体" w:eastAsia="宋体" w:cs="宋体"/>
          <w:color w:val="auto"/>
          <w:sz w:val="24"/>
          <w:szCs w:val="24"/>
          <w:highlight w:val="none"/>
        </w:rPr>
        <w:t>。</w:t>
      </w:r>
      <w:bookmarkEnd w:id="56"/>
    </w:p>
    <w:p w14:paraId="42A40251">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供应商登录政采云平台</w:t>
      </w:r>
      <w:r>
        <w:rPr>
          <w:rFonts w:hint="eastAsia" w:ascii="宋体" w:hAnsi="宋体" w:eastAsia="宋体" w:cs="宋体"/>
          <w:color w:val="auto"/>
          <w:sz w:val="24"/>
          <w:szCs w:val="24"/>
          <w:highlight w:val="none"/>
          <w:lang w:val="hr-HR"/>
        </w:rPr>
        <w:t>https</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hr-HR"/>
        </w:rPr>
        <w:t>//www.zcygov.cn/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hr-HR"/>
        </w:rPr>
        <w:t xml:space="preserve"> </w:t>
      </w:r>
    </w:p>
    <w:p w14:paraId="6565D40F">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售价：</w:t>
      </w:r>
      <w:r>
        <w:rPr>
          <w:rFonts w:hint="eastAsia" w:ascii="宋体" w:hAnsi="宋体" w:eastAsia="宋体" w:cs="宋体"/>
          <w:color w:val="auto"/>
          <w:sz w:val="24"/>
          <w:szCs w:val="24"/>
          <w:highlight w:val="none"/>
          <w:lang w:val="en-US" w:eastAsia="zh-CN"/>
        </w:rPr>
        <w:t>0元。</w:t>
      </w:r>
    </w:p>
    <w:bookmarkEnd w:id="50"/>
    <w:bookmarkEnd w:id="51"/>
    <w:bookmarkEnd w:id="52"/>
    <w:bookmarkEnd w:id="53"/>
    <w:bookmarkEnd w:id="54"/>
    <w:bookmarkEnd w:id="55"/>
    <w:p w14:paraId="66DADC54">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7" w:name="_Toc155185863"/>
      <w:bookmarkStart w:id="58" w:name="_Toc109899832"/>
      <w:bookmarkStart w:id="59" w:name="_Toc109900251"/>
      <w:bookmarkStart w:id="60" w:name="_Toc109899413"/>
      <w:bookmarkStart w:id="61" w:name="_Toc140132748"/>
      <w:bookmarkStart w:id="62" w:name="_Toc163492815"/>
      <w:bookmarkStart w:id="63" w:name="_Toc26860"/>
      <w:bookmarkStart w:id="64" w:name="_Toc15058"/>
      <w:bookmarkStart w:id="65" w:name="_Toc5645"/>
      <w:r>
        <w:rPr>
          <w:rFonts w:hint="eastAsia" w:ascii="宋体" w:hAnsi="宋体" w:eastAsia="宋体" w:cs="宋体"/>
          <w:b/>
          <w:bCs/>
          <w:color w:val="auto"/>
          <w:kern w:val="2"/>
          <w:sz w:val="24"/>
          <w:szCs w:val="24"/>
          <w:highlight w:val="none"/>
          <w:lang w:val="en-US" w:eastAsia="zh-CN" w:bidi="ar-SA"/>
        </w:rPr>
        <w:t>四、</w:t>
      </w:r>
      <w:bookmarkEnd w:id="57"/>
      <w:bookmarkEnd w:id="58"/>
      <w:bookmarkEnd w:id="59"/>
      <w:bookmarkEnd w:id="60"/>
      <w:bookmarkEnd w:id="61"/>
      <w:bookmarkEnd w:id="62"/>
      <w:r>
        <w:rPr>
          <w:rFonts w:hint="eastAsia" w:ascii="宋体" w:hAnsi="宋体" w:eastAsia="宋体" w:cs="宋体"/>
          <w:b/>
          <w:bCs/>
          <w:color w:val="auto"/>
          <w:spacing w:val="-6"/>
          <w:kern w:val="2"/>
          <w:sz w:val="24"/>
          <w:szCs w:val="24"/>
          <w:highlight w:val="none"/>
          <w:lang w:val="hr-HR" w:eastAsia="zh-CN" w:bidi="ar-SA"/>
        </w:rPr>
        <w:t>响应文件提交</w:t>
      </w:r>
      <w:bookmarkEnd w:id="63"/>
      <w:bookmarkEnd w:id="64"/>
      <w:bookmarkEnd w:id="65"/>
    </w:p>
    <w:p w14:paraId="2D110B47">
      <w:pPr>
        <w:pStyle w:val="34"/>
        <w:rPr>
          <w:rFonts w:hint="eastAsia" w:ascii="宋体" w:hAnsi="宋体" w:eastAsia="宋体" w:cs="宋体"/>
          <w:color w:val="auto"/>
          <w:sz w:val="24"/>
          <w:szCs w:val="24"/>
          <w:highlight w:val="none"/>
        </w:rPr>
      </w:pPr>
      <w:bookmarkStart w:id="66" w:name="_Hlk130457395"/>
      <w:bookmarkStart w:id="67" w:name="_Toc28359017"/>
      <w:bookmarkStart w:id="68" w:name="_Toc28359094"/>
      <w:bookmarkStart w:id="69" w:name="_Toc35393803"/>
      <w:bookmarkStart w:id="70" w:name="_Toc44583633"/>
      <w:bookmarkStart w:id="71" w:name="_Toc35393634"/>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w:t>
      </w:r>
    </w:p>
    <w:p w14:paraId="63FC81BC">
      <w:pPr>
        <w:pStyle w:val="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rPr>
        <w:t>政采云平台</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rPr>
        <w:t>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选择项目分包文件递交页面进行递交（上传）。</w:t>
      </w:r>
    </w:p>
    <w:bookmarkEnd w:id="66"/>
    <w:p w14:paraId="6BAC9797">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72" w:name="_Toc19249"/>
      <w:bookmarkStart w:id="73" w:name="_Toc7125"/>
      <w:bookmarkStart w:id="74" w:name="_Toc1822"/>
      <w:bookmarkStart w:id="75" w:name="_Toc155185864"/>
      <w:bookmarkStart w:id="76" w:name="_Toc109900252"/>
      <w:bookmarkStart w:id="77" w:name="_Toc109899833"/>
      <w:bookmarkStart w:id="78" w:name="_Toc163492816"/>
      <w:bookmarkStart w:id="79" w:name="_Toc140132749"/>
      <w:bookmarkStart w:id="80" w:name="_Toc109899414"/>
      <w:r>
        <w:rPr>
          <w:rFonts w:hint="eastAsia" w:ascii="宋体" w:hAnsi="宋体" w:eastAsia="宋体" w:cs="宋体"/>
          <w:b/>
          <w:bCs/>
          <w:color w:val="auto"/>
          <w:kern w:val="2"/>
          <w:sz w:val="24"/>
          <w:szCs w:val="24"/>
          <w:highlight w:val="none"/>
          <w:lang w:val="en-US" w:eastAsia="zh-CN" w:bidi="ar-SA"/>
        </w:rPr>
        <w:t>五、开启</w:t>
      </w:r>
      <w:bookmarkEnd w:id="72"/>
      <w:bookmarkEnd w:id="73"/>
      <w:bookmarkEnd w:id="74"/>
    </w:p>
    <w:p w14:paraId="508C6E16">
      <w:pPr>
        <w:pStyle w:val="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w:t>
      </w:r>
    </w:p>
    <w:p w14:paraId="71EF07E7">
      <w:pPr>
        <w:pStyle w:val="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供应商登录政采云平台https</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en-US"/>
        </w:rPr>
        <w:t>//www.zcygov.cn/，进入“项目采购-开评标管理-右边选择对应项目点击“进入项目”进入开标大厅</w:t>
      </w:r>
      <w:r>
        <w:rPr>
          <w:rFonts w:hint="eastAsia" w:ascii="宋体" w:hAnsi="宋体" w:eastAsia="宋体" w:cs="宋体"/>
          <w:color w:val="auto"/>
          <w:sz w:val="24"/>
          <w:szCs w:val="24"/>
          <w:highlight w:val="none"/>
        </w:rPr>
        <w:t>。</w:t>
      </w:r>
    </w:p>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1" w:name="_Toc6105"/>
      <w:bookmarkStart w:id="82" w:name="_Toc11928"/>
      <w:bookmarkStart w:id="83" w:name="_Toc4915"/>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公告期限</w:t>
      </w:r>
      <w:bookmarkEnd w:id="67"/>
      <w:bookmarkEnd w:id="68"/>
      <w:bookmarkEnd w:id="69"/>
      <w:bookmarkEnd w:id="70"/>
      <w:bookmarkEnd w:id="71"/>
      <w:bookmarkEnd w:id="75"/>
      <w:bookmarkEnd w:id="76"/>
      <w:bookmarkEnd w:id="77"/>
      <w:bookmarkEnd w:id="78"/>
      <w:bookmarkEnd w:id="79"/>
      <w:bookmarkEnd w:id="80"/>
      <w:bookmarkEnd w:id="81"/>
      <w:bookmarkEnd w:id="82"/>
      <w:bookmarkEnd w:id="83"/>
    </w:p>
    <w:p w14:paraId="187C1FE3">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bookmarkStart w:id="84" w:name="_Toc35393804"/>
      <w:bookmarkStart w:id="85" w:name="_Toc44583634"/>
      <w:bookmarkStart w:id="86" w:name="_Toc109900253"/>
      <w:bookmarkStart w:id="87" w:name="_Toc155185865"/>
      <w:bookmarkStart w:id="88" w:name="_Toc35393635"/>
      <w:bookmarkStart w:id="89" w:name="_Toc140132750"/>
      <w:bookmarkStart w:id="90" w:name="_Toc109899415"/>
      <w:bookmarkStart w:id="91" w:name="_Toc109899834"/>
      <w:bookmarkStart w:id="92" w:name="_Toc163492817"/>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val="0"/>
          <w:bCs w:val="0"/>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hr-HR" w:eastAsia="zh-CN" w:bidi="ar-SA"/>
        </w:rPr>
        <w:t>七、其他补充事宜</w:t>
      </w:r>
      <w:bookmarkEnd w:id="84"/>
      <w:bookmarkEnd w:id="85"/>
      <w:bookmarkEnd w:id="86"/>
      <w:bookmarkEnd w:id="87"/>
      <w:bookmarkEnd w:id="88"/>
      <w:bookmarkEnd w:id="89"/>
      <w:bookmarkEnd w:id="90"/>
      <w:bookmarkEnd w:id="91"/>
      <w:bookmarkEnd w:id="92"/>
    </w:p>
    <w:p w14:paraId="5FE33768">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1、本项目实行网上投标，采用电子投标文件。</w:t>
      </w:r>
    </w:p>
    <w:p w14:paraId="121B9D2A">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D10B9B6">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3、供应商将政采云电子交易客户端下载、安装完成后，可通过账号密码或CA登录客户端进行投标文件的制作。在使用政采云投标客户端时，建议使用WIN7及以上操作系统。</w:t>
      </w:r>
    </w:p>
    <w:p w14:paraId="5BD8E2D5">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 xml:space="preserve">4、其他事项：①如需咨询，可联系新疆CA服务热线 0991-2819290；②投标人须注意事项：1)本项目实行电子招投标，投标人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采购代理机构不予异常处理，视为供应商自动弃标。  </w:t>
      </w:r>
    </w:p>
    <w:p w14:paraId="5FBD1DD6">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特别提示：</w:t>
      </w:r>
    </w:p>
    <w:p w14:paraId="1E7829CB">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1、采购限额标准以上，200万元以下的货物和服务采购项目、400万元以下的工程采购项目，适宜由中小企业提供的，采购人应当专门面向中小企业采购。</w:t>
      </w:r>
    </w:p>
    <w:p w14:paraId="64CB3D8F">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2、超过200万元的货物和服务采购项目，预留该部分采购项目预算总额的30%以上专门面向中小企业采购，其中预留给小微企业的比例不低于60%。</w:t>
      </w:r>
    </w:p>
    <w:p w14:paraId="54D6B3C7">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3、超过400万元的工程采购项目中适宜由中小企业提供的，预留该部分采购项目预算总额的40%以上专门面向中小企业采购，其中预留给小微企业的比例不低于60%。</w:t>
      </w:r>
    </w:p>
    <w:p w14:paraId="26C0CA51">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B02550E">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92B7884">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color w:val="auto"/>
          <w:sz w:val="24"/>
          <w:szCs w:val="24"/>
          <w:highlight w:val="none"/>
          <w:lang w:val="hr-HR" w:eastAsia="zh-CN"/>
        </w:rPr>
      </w:pPr>
      <w:bookmarkStart w:id="93" w:name="_Toc3905"/>
      <w:bookmarkStart w:id="94" w:name="_Toc17723"/>
      <w:bookmarkStart w:id="95" w:name="_Toc16732"/>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hr-HR" w:eastAsia="zh-CN" w:bidi="ar-SA"/>
        </w:rPr>
        <w:t>凡对本次采购提出询问，请按以下方式联系</w:t>
      </w:r>
      <w:bookmarkEnd w:id="93"/>
      <w:bookmarkEnd w:id="94"/>
      <w:bookmarkEnd w:id="95"/>
    </w:p>
    <w:p w14:paraId="7D729986">
      <w:pPr>
        <w:ind w:left="0" w:leftChars="0" w:firstLine="480" w:firstLineChars="200"/>
        <w:rPr>
          <w:rFonts w:hint="eastAsia"/>
          <w:color w:val="auto"/>
          <w:highlight w:val="none"/>
        </w:rPr>
      </w:pPr>
      <w:r>
        <w:rPr>
          <w:rFonts w:hint="eastAsia"/>
          <w:color w:val="auto"/>
          <w:highlight w:val="none"/>
        </w:rPr>
        <w:t>1.采购人信息</w:t>
      </w:r>
    </w:p>
    <w:p w14:paraId="585FE8B5">
      <w:pPr>
        <w:ind w:left="0" w:leftChars="0" w:firstLine="480" w:firstLineChars="200"/>
        <w:rPr>
          <w:rFonts w:hint="eastAsia"/>
          <w:color w:val="auto"/>
          <w:highlight w:val="none"/>
        </w:rPr>
      </w:pPr>
      <w:r>
        <w:rPr>
          <w:rFonts w:hint="eastAsia"/>
          <w:color w:val="auto"/>
          <w:highlight w:val="none"/>
        </w:rPr>
        <w:t>名 称：新疆医科大学第一附属医院</w:t>
      </w:r>
    </w:p>
    <w:p w14:paraId="209D8B0C">
      <w:pPr>
        <w:ind w:left="0" w:leftChars="0" w:firstLine="480" w:firstLineChars="200"/>
        <w:rPr>
          <w:rFonts w:hint="eastAsia"/>
          <w:color w:val="auto"/>
          <w:highlight w:val="none"/>
        </w:rPr>
      </w:pPr>
      <w:r>
        <w:rPr>
          <w:rFonts w:hint="eastAsia"/>
          <w:color w:val="auto"/>
          <w:highlight w:val="none"/>
        </w:rPr>
        <w:t>地 址：乌鲁木齐市新医路393号</w:t>
      </w:r>
    </w:p>
    <w:p w14:paraId="143A5F01">
      <w:pPr>
        <w:ind w:left="0" w:leftChars="0" w:firstLine="480" w:firstLineChars="200"/>
        <w:rPr>
          <w:rFonts w:hint="eastAsia"/>
          <w:color w:val="auto"/>
          <w:highlight w:val="none"/>
        </w:rPr>
      </w:pPr>
      <w:r>
        <w:rPr>
          <w:rFonts w:hint="eastAsia"/>
          <w:color w:val="auto"/>
          <w:highlight w:val="none"/>
        </w:rPr>
        <w:t>联系方式：0991-4362391</w:t>
      </w:r>
    </w:p>
    <w:p w14:paraId="1C6B8A42">
      <w:pPr>
        <w:ind w:left="0" w:leftChars="0" w:firstLine="480" w:firstLineChars="200"/>
        <w:rPr>
          <w:rFonts w:hint="eastAsia"/>
          <w:color w:val="auto"/>
          <w:highlight w:val="none"/>
        </w:rPr>
      </w:pPr>
      <w:r>
        <w:rPr>
          <w:rFonts w:hint="eastAsia"/>
          <w:color w:val="auto"/>
          <w:highlight w:val="none"/>
        </w:rPr>
        <w:t>2.采购代理机构信息</w:t>
      </w:r>
    </w:p>
    <w:p w14:paraId="6175D701">
      <w:pPr>
        <w:ind w:left="0" w:leftChars="0" w:firstLine="480" w:firstLineChars="200"/>
        <w:rPr>
          <w:rFonts w:hint="eastAsia"/>
          <w:color w:val="auto"/>
          <w:highlight w:val="none"/>
        </w:rPr>
      </w:pPr>
      <w:r>
        <w:rPr>
          <w:rFonts w:hint="eastAsia"/>
          <w:color w:val="auto"/>
          <w:highlight w:val="none"/>
        </w:rPr>
        <w:t>名 称：中招国际招标有限公司</w:t>
      </w:r>
    </w:p>
    <w:p w14:paraId="0F86B2BD">
      <w:pPr>
        <w:ind w:left="0" w:leftChars="0" w:firstLine="480" w:firstLineChars="200"/>
        <w:rPr>
          <w:rFonts w:hint="eastAsia"/>
          <w:color w:val="auto"/>
          <w:highlight w:val="none"/>
        </w:rPr>
      </w:pPr>
      <w:r>
        <w:rPr>
          <w:rFonts w:hint="eastAsia"/>
          <w:color w:val="auto"/>
          <w:highlight w:val="none"/>
        </w:rPr>
        <w:t>地 址：新疆乌鲁木齐市486号南湖明珠二期十四栋商业写字楼8楼</w:t>
      </w:r>
    </w:p>
    <w:p w14:paraId="69D4004D">
      <w:pPr>
        <w:ind w:left="0" w:leftChars="0" w:firstLine="480" w:firstLineChars="200"/>
        <w:rPr>
          <w:rFonts w:hint="eastAsia"/>
          <w:color w:val="auto"/>
          <w:highlight w:val="none"/>
        </w:rPr>
      </w:pPr>
      <w:r>
        <w:rPr>
          <w:rFonts w:hint="eastAsia"/>
          <w:color w:val="auto"/>
          <w:highlight w:val="none"/>
        </w:rPr>
        <w:t xml:space="preserve">联系方式：18099259977、17716905655  </w:t>
      </w:r>
    </w:p>
    <w:p w14:paraId="2D3CBF69">
      <w:pPr>
        <w:ind w:left="0" w:leftChars="0" w:firstLine="480" w:firstLineChars="200"/>
        <w:rPr>
          <w:rFonts w:hint="eastAsia"/>
          <w:color w:val="auto"/>
          <w:highlight w:val="none"/>
        </w:rPr>
      </w:pPr>
      <w:r>
        <w:rPr>
          <w:rFonts w:hint="eastAsia"/>
          <w:color w:val="auto"/>
          <w:highlight w:val="none"/>
        </w:rPr>
        <w:t>3.项目联系方式</w:t>
      </w:r>
    </w:p>
    <w:p w14:paraId="2E1F2A97">
      <w:pPr>
        <w:ind w:left="0" w:leftChars="0" w:firstLine="480" w:firstLineChars="200"/>
        <w:rPr>
          <w:rFonts w:hint="eastAsia"/>
          <w:color w:val="auto"/>
          <w:highlight w:val="none"/>
        </w:rPr>
      </w:pPr>
      <w:r>
        <w:rPr>
          <w:rFonts w:hint="eastAsia"/>
          <w:color w:val="auto"/>
          <w:highlight w:val="none"/>
        </w:rPr>
        <w:t>项目联系人：徐中凤、罗燕、</w:t>
      </w:r>
      <w:r>
        <w:rPr>
          <w:rFonts w:hint="eastAsia"/>
          <w:color w:val="auto"/>
          <w:highlight w:val="none"/>
          <w:lang w:eastAsia="zh-CN"/>
        </w:rPr>
        <w:t>张辉</w:t>
      </w:r>
      <w:r>
        <w:rPr>
          <w:rFonts w:hint="eastAsia"/>
          <w:color w:val="auto"/>
          <w:highlight w:val="none"/>
        </w:rPr>
        <w:t>、程建军、陈海云</w:t>
      </w:r>
    </w:p>
    <w:p w14:paraId="04A7DE06">
      <w:pPr>
        <w:ind w:left="0" w:leftChars="0" w:firstLine="480" w:firstLineChars="200"/>
        <w:rPr>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eastAsia"/>
          <w:color w:val="auto"/>
          <w:highlight w:val="none"/>
        </w:rPr>
        <w:t>电 话：18099259977、17716905655</w:t>
      </w:r>
    </w:p>
    <w:p w14:paraId="1E2C9AB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96" w:name="_Toc28863"/>
      <w:bookmarkStart w:id="97" w:name="_Toc16855"/>
      <w:r>
        <w:rPr>
          <w:rFonts w:hint="eastAsia" w:ascii="宋体" w:hAnsi="宋体" w:eastAsia="宋体" w:cs="宋体"/>
          <w:b/>
          <w:bCs/>
          <w:color w:val="auto"/>
          <w:kern w:val="44"/>
          <w:sz w:val="36"/>
          <w:szCs w:val="36"/>
          <w:highlight w:val="none"/>
          <w:lang w:val="en-US" w:eastAsia="zh-CN" w:bidi="ar-SA"/>
        </w:rPr>
        <w:t>第二章 供应商须知</w:t>
      </w:r>
      <w:bookmarkEnd w:id="96"/>
      <w:bookmarkEnd w:id="97"/>
    </w:p>
    <w:p w14:paraId="224924B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8" w:name="_Toc1792"/>
      <w:bookmarkStart w:id="99" w:name="_Toc7178"/>
      <w:r>
        <w:rPr>
          <w:rFonts w:hint="eastAsia" w:eastAsia="宋体" w:asciiTheme="majorHAnsi" w:hAnsiTheme="majorHAnsi" w:cstheme="majorBidi"/>
          <w:b/>
          <w:bCs/>
          <w:color w:val="auto"/>
          <w:kern w:val="2"/>
          <w:sz w:val="28"/>
          <w:szCs w:val="28"/>
          <w:highlight w:val="none"/>
          <w:lang w:val="en-US" w:eastAsia="zh-CN" w:bidi="ar-SA"/>
        </w:rPr>
        <w:t>一、供应商须知前附表</w:t>
      </w:r>
      <w:bookmarkEnd w:id="98"/>
      <w:bookmarkEnd w:id="99"/>
    </w:p>
    <w:p w14:paraId="016068EF">
      <w:pPr>
        <w:pStyle w:val="34"/>
        <w:ind w:firstLine="480"/>
        <w:rPr>
          <w:color w:val="auto"/>
          <w:highlight w:val="none"/>
        </w:rPr>
      </w:pPr>
      <w:r>
        <w:rPr>
          <w:rFonts w:hint="eastAsia"/>
          <w:color w:val="auto"/>
          <w:highlight w:val="none"/>
          <w:lang w:val="en-US" w:eastAsia="zh-CN"/>
        </w:rPr>
        <w:t>谈判</w:t>
      </w:r>
      <w:r>
        <w:rPr>
          <w:rFonts w:hint="eastAsia"/>
          <w:color w:val="auto"/>
          <w:highlight w:val="none"/>
        </w:rPr>
        <w:t>供应商应仔细阅读本</w:t>
      </w:r>
      <w:r>
        <w:rPr>
          <w:rFonts w:hint="eastAsia"/>
          <w:color w:val="auto"/>
          <w:highlight w:val="none"/>
          <w:lang w:val="en-US" w:eastAsia="zh-CN"/>
        </w:rPr>
        <w:t>谈判</w:t>
      </w:r>
      <w:r>
        <w:rPr>
          <w:rFonts w:hint="eastAsia"/>
          <w:color w:val="auto"/>
          <w:highlight w:val="none"/>
        </w:rPr>
        <w:t>文件的第二章“供应商须知”，下面所列资料是对“供应商须知”的具体补充和说明。如有矛盾，应以本表为准。</w:t>
      </w:r>
      <w:r>
        <w:rPr>
          <w:rFonts w:hint="eastAsia"/>
          <w:color w:val="auto"/>
          <w:highlight w:val="none"/>
          <w:lang w:val="en-US" w:eastAsia="zh-CN"/>
        </w:rPr>
        <w:t>标记“</w:t>
      </w:r>
      <w:r>
        <w:rPr>
          <w:rFonts w:hint="eastAsia" w:ascii="宋体" w:hAnsi="宋体" w:eastAsia="宋体"/>
          <w:color w:val="auto"/>
          <w:highlight w:val="none"/>
          <w:lang w:val="en-US" w:eastAsia="zh-CN"/>
        </w:rPr>
        <w:t>☑”的选项意为适用于本项目，标记“</w:t>
      </w:r>
      <w:r>
        <w:rPr>
          <w:rFonts w:hint="eastAsia" w:cs="宋体"/>
          <w:color w:val="auto"/>
          <w:sz w:val="24"/>
          <w:szCs w:val="24"/>
          <w:highlight w:val="none"/>
        </w:rPr>
        <w:sym w:font="Wingdings" w:char="00A8"/>
      </w:r>
      <w:r>
        <w:rPr>
          <w:rFonts w:hint="eastAsia" w:ascii="宋体" w:hAnsi="宋体" w:eastAsia="宋体"/>
          <w:color w:val="auto"/>
          <w:highlight w:val="none"/>
          <w:lang w:val="en-US" w:eastAsia="zh-CN"/>
        </w:rPr>
        <w:t>”的选项意为不适用于本项目。</w:t>
      </w:r>
    </w:p>
    <w:tbl>
      <w:tblPr>
        <w:tblStyle w:val="28"/>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6700"/>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2"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5"/>
              <w:jc w:val="center"/>
              <w:rPr>
                <w:rFonts w:hint="eastAsia" w:ascii="宋体" w:hAnsi="宋体" w:eastAsia="宋体" w:cs="宋体"/>
                <w:b/>
                <w:bCs/>
                <w:color w:val="auto"/>
                <w:sz w:val="24"/>
                <w:szCs w:val="24"/>
                <w:highlight w:val="none"/>
              </w:rPr>
            </w:pPr>
            <w:bookmarkStart w:id="100" w:name="_Hlk161703381"/>
            <w:r>
              <w:rPr>
                <w:rFonts w:hint="eastAsia" w:ascii="宋体" w:hAnsi="宋体" w:eastAsia="宋体" w:cs="宋体"/>
                <w:b/>
                <w:bCs/>
                <w:color w:val="auto"/>
                <w:sz w:val="24"/>
                <w:szCs w:val="24"/>
                <w:highlight w:val="none"/>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21" w:type="dxa"/>
            <w:tcBorders>
              <w:top w:val="single" w:color="auto" w:sz="2" w:space="0"/>
              <w:left w:val="single" w:color="auto" w:sz="2" w:space="0"/>
              <w:bottom w:val="single" w:color="auto" w:sz="2" w:space="0"/>
              <w:right w:val="single" w:color="auto" w:sz="2" w:space="0"/>
            </w:tcBorders>
            <w:vAlign w:val="center"/>
          </w:tcPr>
          <w:p w14:paraId="551BCB83">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tcBorders>
              <w:top w:val="single" w:color="auto" w:sz="2" w:space="0"/>
              <w:left w:val="single" w:color="auto" w:sz="2" w:space="0"/>
              <w:bottom w:val="single" w:color="auto" w:sz="2" w:space="0"/>
              <w:right w:val="single" w:color="auto" w:sz="2" w:space="0"/>
            </w:tcBorders>
            <w:vAlign w:val="center"/>
          </w:tcPr>
          <w:p w14:paraId="0A60E333">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 xml:space="preserve">本项目不适用。 </w:t>
            </w:r>
          </w:p>
          <w:p w14:paraId="603E08B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 xml:space="preserve">本项目为单一产品采购项目。 </w:t>
            </w:r>
          </w:p>
          <w:p w14:paraId="61FC74A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本项目为非单一产品采购项目，其中核心产品为：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1D8B4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48EF93E">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721" w:type="dxa"/>
            <w:tcBorders>
              <w:top w:val="single" w:color="auto" w:sz="2" w:space="0"/>
              <w:left w:val="single" w:color="auto" w:sz="2" w:space="0"/>
              <w:bottom w:val="single" w:color="auto" w:sz="2" w:space="0"/>
              <w:right w:val="single" w:color="auto" w:sz="2" w:space="0"/>
            </w:tcBorders>
            <w:vAlign w:val="center"/>
          </w:tcPr>
          <w:p w14:paraId="684D5D8B">
            <w:pPr>
              <w:keepNext w:val="0"/>
              <w:keepLines w:val="0"/>
              <w:widowControl/>
              <w:suppressLineNumbers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科研仪器设备</w:t>
            </w:r>
          </w:p>
        </w:tc>
        <w:tc>
          <w:tcPr>
            <w:tcW w:w="6700" w:type="dxa"/>
            <w:tcBorders>
              <w:top w:val="single" w:color="auto" w:sz="2" w:space="0"/>
              <w:left w:val="single" w:color="auto" w:sz="2" w:space="0"/>
              <w:bottom w:val="single" w:color="auto" w:sz="2" w:space="0"/>
              <w:right w:val="single" w:color="auto" w:sz="2" w:space="0"/>
            </w:tcBorders>
            <w:vAlign w:val="center"/>
          </w:tcPr>
          <w:p w14:paraId="19FDECD0">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341E7760">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2C80CB22">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AEE4073">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71CF8DC6">
            <w:pPr>
              <w:pStyle w:val="45"/>
              <w:rPr>
                <w:rFonts w:hint="eastAsia" w:ascii="宋体" w:hAnsi="宋体" w:eastAsia="宋体" w:cs="宋体"/>
                <w:color w:val="auto"/>
                <w:sz w:val="24"/>
                <w:szCs w:val="24"/>
                <w:highlight w:val="none"/>
              </w:rPr>
            </w:pPr>
            <w:bookmarkStart w:id="101" w:name="_Hlk143529175"/>
            <w:r>
              <w:rPr>
                <w:rFonts w:hint="eastAsia" w:ascii="宋体" w:hAnsi="宋体" w:eastAsia="宋体" w:cs="宋体"/>
                <w:color w:val="auto"/>
                <w:sz w:val="24"/>
                <w:szCs w:val="24"/>
                <w:highlight w:val="none"/>
              </w:rPr>
              <w:t>现场考察</w:t>
            </w:r>
            <w:bookmarkEnd w:id="101"/>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5E2B3EE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不组织，供应商自行前往</w:t>
            </w:r>
            <w:r>
              <w:rPr>
                <w:rFonts w:hint="eastAsia" w:ascii="宋体" w:hAnsi="宋体" w:eastAsia="宋体" w:cs="宋体"/>
                <w:color w:val="auto"/>
                <w:sz w:val="24"/>
                <w:szCs w:val="24"/>
                <w:highlight w:val="none"/>
                <w:lang w:eastAsia="zh-CN"/>
              </w:rPr>
              <w:t>。</w:t>
            </w:r>
          </w:p>
          <w:p w14:paraId="2238EF6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47A7004">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20FC15">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B852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3AA490D3">
            <w:pPr>
              <w:pStyle w:val="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06B687FF">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答疑会</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2311FEB9">
            <w:pPr>
              <w:pStyle w:val="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0460CD8F">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485F5E8">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1C6642">
            <w:pPr>
              <w:pStyle w:val="45"/>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4A7BE25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6700" w:type="dxa"/>
            <w:tcBorders>
              <w:top w:val="single" w:color="auto" w:sz="2" w:space="0"/>
              <w:left w:val="single" w:color="auto" w:sz="2" w:space="0"/>
              <w:bottom w:val="single" w:color="auto" w:sz="2" w:space="0"/>
              <w:right w:val="single" w:color="auto" w:sz="2" w:space="0"/>
            </w:tcBorders>
            <w:vAlign w:val="center"/>
          </w:tcPr>
          <w:p w14:paraId="6E50E7D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1.方式：</w:t>
            </w:r>
            <w:r>
              <w:rPr>
                <w:rFonts w:hint="eastAsia" w:ascii="宋体" w:hAnsi="宋体" w:eastAsia="宋体" w:cs="宋体"/>
                <w:color w:val="auto"/>
                <w:sz w:val="24"/>
                <w:szCs w:val="24"/>
                <w:highlight w:val="none"/>
                <w:u w:val="single"/>
              </w:rPr>
              <w:t>在供应商客户端中按照格式填写询问函，并在生成询问函后加盖电子印章提交；其他询问方式：电话咨询。</w:t>
            </w:r>
          </w:p>
          <w:p w14:paraId="3653C81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2.时间要求：</w:t>
            </w:r>
            <w:r>
              <w:rPr>
                <w:rFonts w:hint="eastAsia" w:ascii="宋体" w:hAnsi="宋体" w:eastAsia="宋体" w:cs="宋体"/>
                <w:color w:val="auto"/>
                <w:sz w:val="24"/>
                <w:szCs w:val="24"/>
                <w:highlight w:val="none"/>
                <w:u w:val="single"/>
              </w:rPr>
              <w:t>每天上午10:00 至13:30，下午15:30至19:00（北京时间，法定节假日除外）</w:t>
            </w:r>
            <w:r>
              <w:rPr>
                <w:rFonts w:hint="eastAsia" w:ascii="宋体" w:hAnsi="宋体" w:eastAsia="宋体" w:cs="宋体"/>
                <w:color w:val="auto"/>
                <w:sz w:val="24"/>
                <w:szCs w:val="24"/>
                <w:highlight w:val="none"/>
              </w:rPr>
              <w:t xml:space="preserve"> 。</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56E4A3E9">
            <w:pPr>
              <w:pStyle w:val="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响应文件有效期</w:t>
            </w:r>
          </w:p>
        </w:tc>
        <w:tc>
          <w:tcPr>
            <w:tcW w:w="6700" w:type="dxa"/>
            <w:tcBorders>
              <w:top w:val="single" w:color="auto" w:sz="2" w:space="0"/>
              <w:left w:val="single" w:color="auto" w:sz="2" w:space="0"/>
              <w:bottom w:val="single" w:color="auto" w:sz="2" w:space="0"/>
              <w:right w:val="single" w:color="auto" w:sz="2" w:space="0"/>
            </w:tcBorders>
            <w:vAlign w:val="center"/>
          </w:tcPr>
          <w:p w14:paraId="7A8404D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响应文件递交截止日期后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21" w:type="dxa"/>
            <w:tcBorders>
              <w:top w:val="single" w:color="auto" w:sz="2" w:space="0"/>
              <w:left w:val="single" w:color="auto" w:sz="2" w:space="0"/>
              <w:bottom w:val="single" w:color="auto" w:sz="2" w:space="0"/>
              <w:right w:val="single" w:color="auto" w:sz="2" w:space="0"/>
            </w:tcBorders>
            <w:vAlign w:val="center"/>
          </w:tcPr>
          <w:p w14:paraId="60D2F551">
            <w:pPr>
              <w:pStyle w:val="45"/>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w:t>
            </w:r>
          </w:p>
        </w:tc>
        <w:tc>
          <w:tcPr>
            <w:tcW w:w="6700" w:type="dxa"/>
            <w:tcBorders>
              <w:top w:val="single" w:color="auto" w:sz="2" w:space="0"/>
              <w:left w:val="single" w:color="auto" w:sz="2" w:space="0"/>
              <w:bottom w:val="single" w:color="auto" w:sz="2" w:space="0"/>
              <w:right w:val="single" w:color="auto" w:sz="2" w:space="0"/>
            </w:tcBorders>
            <w:vAlign w:val="center"/>
          </w:tcPr>
          <w:p w14:paraId="6A5BD78D">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1F705AC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033BC8E">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p>
          <w:p w14:paraId="31FDD906">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1" w:firstLineChars="1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定额收取：</w:t>
            </w:r>
            <w:r>
              <w:rPr>
                <w:rFonts w:hint="eastAsia" w:ascii="宋体" w:hAnsi="宋体" w:eastAsia="宋体" w:cs="宋体"/>
                <w:b/>
                <w:bCs/>
                <w:color w:val="auto"/>
                <w:sz w:val="24"/>
                <w:szCs w:val="24"/>
                <w:highlight w:val="none"/>
                <w:u w:val="single"/>
              </w:rPr>
              <w:t>人民币</w:t>
            </w:r>
            <w:r>
              <w:rPr>
                <w:rFonts w:hint="eastAsia" w:ascii="宋体" w:hAnsi="宋体" w:cs="宋体"/>
                <w:b/>
                <w:bCs/>
                <w:color w:val="auto"/>
                <w:sz w:val="24"/>
                <w:szCs w:val="24"/>
                <w:highlight w:val="none"/>
                <w:u w:val="single"/>
                <w:lang w:val="en-US" w:eastAsia="zh-CN"/>
              </w:rPr>
              <w:t>1000</w:t>
            </w:r>
            <w:r>
              <w:rPr>
                <w:rFonts w:hint="eastAsia" w:ascii="宋体" w:hAnsi="宋体" w:eastAsia="宋体" w:cs="宋体"/>
                <w:b/>
                <w:bCs/>
                <w:color w:val="auto"/>
                <w:sz w:val="24"/>
                <w:szCs w:val="24"/>
                <w:highlight w:val="none"/>
                <w:u w:val="single"/>
              </w:rPr>
              <w:t>元</w:t>
            </w:r>
            <w:r>
              <w:rPr>
                <w:rFonts w:hint="eastAsia" w:ascii="宋体" w:hAnsi="宋体" w:eastAsia="宋体" w:cs="宋体"/>
                <w:b/>
                <w:bCs/>
                <w:color w:val="auto"/>
                <w:sz w:val="24"/>
                <w:szCs w:val="24"/>
                <w:highlight w:val="none"/>
                <w:lang w:eastAsia="zh-CN"/>
              </w:rPr>
              <w:t>。</w:t>
            </w:r>
          </w:p>
          <w:p w14:paraId="73F09281">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4077D0C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供应商可自主选择以支票、汇票、本票、电汇、转账、网银、保函等非现金形式缴纳或提交保证金。</w:t>
            </w:r>
          </w:p>
          <w:p w14:paraId="5854E07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3.收取单位：中招国际招标有限公司新疆分公司                            </w:t>
            </w:r>
          </w:p>
          <w:p w14:paraId="13A4AD83">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4.收取账号：3002012819100057504</w:t>
            </w:r>
          </w:p>
          <w:p w14:paraId="044550F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5.开户银行：中国工商银行股份有限公司乌鲁木齐南湖北路支行</w:t>
            </w:r>
          </w:p>
          <w:p w14:paraId="1ECAF4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6.行号：102881001281</w:t>
            </w:r>
          </w:p>
          <w:p w14:paraId="1F174A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退还时间：中标结果发布后5个工作日内。                </w:t>
            </w:r>
          </w:p>
          <w:p w14:paraId="0C79EF6C">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7CEAD366">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51E0176B">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以担保函、保证保险形式缴纳保证金的，受益人和收取单位须为采购人。</w:t>
            </w:r>
          </w:p>
          <w:p w14:paraId="71C33EF5">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以保证金形式缴纳投标保证金的时请在汇款时注明“</w:t>
            </w:r>
            <w:r>
              <w:rPr>
                <w:rFonts w:hint="eastAsia" w:ascii="宋体" w:hAnsi="宋体" w:cs="宋体"/>
                <w:b/>
                <w:bCs/>
                <w:color w:val="auto"/>
                <w:sz w:val="24"/>
                <w:szCs w:val="24"/>
                <w:highlight w:val="none"/>
                <w:lang w:eastAsia="zh-CN"/>
              </w:rPr>
              <w:t>TC269H0HB</w:t>
            </w:r>
            <w:r>
              <w:rPr>
                <w:rFonts w:hint="eastAsia" w:ascii="宋体" w:hAnsi="宋体" w:eastAsia="宋体" w:cs="宋体"/>
                <w:b/>
                <w:bCs/>
                <w:color w:val="auto"/>
                <w:sz w:val="24"/>
                <w:szCs w:val="24"/>
                <w:highlight w:val="none"/>
              </w:rPr>
              <w:t>保证金”，对因未注明项目简称及汇款事由而造成保证金不能及时到账的，后果由供应商自负。</w:t>
            </w:r>
          </w:p>
        </w:tc>
      </w:tr>
      <w:tr w14:paraId="7111A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444" w:hRule="atLeast"/>
        </w:trPr>
        <w:tc>
          <w:tcPr>
            <w:tcW w:w="970" w:type="dxa"/>
            <w:tcBorders>
              <w:top w:val="single" w:color="auto" w:sz="2" w:space="0"/>
              <w:left w:val="single" w:color="auto" w:sz="2" w:space="0"/>
              <w:bottom w:val="single" w:color="auto" w:sz="2" w:space="0"/>
              <w:right w:val="single" w:color="auto" w:sz="2" w:space="0"/>
            </w:tcBorders>
            <w:vAlign w:val="center"/>
          </w:tcPr>
          <w:p w14:paraId="61BD2EB4">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5DF0914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tcBorders>
              <w:top w:val="single" w:color="auto" w:sz="2" w:space="0"/>
              <w:left w:val="single" w:color="auto" w:sz="2" w:space="0"/>
              <w:bottom w:val="single" w:color="auto" w:sz="2" w:space="0"/>
              <w:right w:val="single" w:color="auto" w:sz="2" w:space="0"/>
            </w:tcBorders>
            <w:vAlign w:val="center"/>
          </w:tcPr>
          <w:p w14:paraId="1A755E2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样品递交： </w:t>
            </w:r>
          </w:p>
          <w:p w14:paraId="2DA6B3DD">
            <w:pPr>
              <w:pStyle w:val="45"/>
              <w:ind w:firstLine="240" w:firstLineChars="1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CF1D977">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057180A3">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1.样品制作的标准和要求：_________； </w:t>
            </w:r>
          </w:p>
          <w:p w14:paraId="23BD1F4B">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1C722A75">
            <w:pPr>
              <w:pStyle w:val="4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12E9C11">
            <w:pPr>
              <w:pStyle w:val="4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140A7E83">
            <w:pPr>
              <w:pStyle w:val="45"/>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3.样品递交要求：</w:t>
            </w:r>
          </w:p>
          <w:p w14:paraId="163503B2">
            <w:pPr>
              <w:pStyle w:val="4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405BE77E">
            <w:pPr>
              <w:pStyle w:val="4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66E8902D">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1DDB2E5">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5.中标人样品保管、封存及退还：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985B4A7">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6.其他要求（如有）：</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853"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4ABD3E0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tcBorders>
              <w:top w:val="single" w:color="auto" w:sz="2" w:space="0"/>
              <w:left w:val="single" w:color="auto" w:sz="2" w:space="0"/>
              <w:bottom w:val="single" w:color="auto" w:sz="2" w:space="0"/>
              <w:right w:val="single" w:color="auto" w:sz="2" w:space="0"/>
            </w:tcBorders>
            <w:vAlign w:val="center"/>
          </w:tcPr>
          <w:p w14:paraId="2F12798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不进行</w:t>
            </w:r>
          </w:p>
          <w:p w14:paraId="3E1D547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78D358FD">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4FF9BE53">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727E4770">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9"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747E8F8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解密响应文件的时限</w:t>
            </w:r>
          </w:p>
        </w:tc>
        <w:tc>
          <w:tcPr>
            <w:tcW w:w="6700" w:type="dxa"/>
            <w:tcBorders>
              <w:top w:val="single" w:color="auto" w:sz="2" w:space="0"/>
              <w:left w:val="single" w:color="auto" w:sz="2" w:space="0"/>
              <w:bottom w:val="single" w:color="auto" w:sz="2" w:space="0"/>
              <w:right w:val="single" w:color="auto" w:sz="2" w:space="0"/>
            </w:tcBorders>
            <w:vAlign w:val="center"/>
          </w:tcPr>
          <w:p w14:paraId="023E6148">
            <w:pPr>
              <w:pStyle w:val="4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不见面开标默认解密时长：</w:t>
            </w:r>
            <w:r>
              <w:rPr>
                <w:rFonts w:hint="eastAsia" w:ascii="宋体" w:hAnsi="宋体" w:eastAsia="宋体" w:cs="宋体"/>
                <w:b/>
                <w:bCs/>
                <w:color w:val="auto"/>
                <w:sz w:val="24"/>
                <w:szCs w:val="24"/>
                <w:highlight w:val="none"/>
                <w:u w:val="single"/>
              </w:rPr>
              <w:t xml:space="preserve"> </w:t>
            </w:r>
            <w:r>
              <w:rPr>
                <w:rFonts w:hint="eastAsia"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分钟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p w14:paraId="608EF5D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color w:val="auto"/>
                <w:sz w:val="24"/>
                <w:szCs w:val="24"/>
                <w:highlight w:val="none"/>
                <w:lang w:eastAsia="zh-CN"/>
              </w:rPr>
              <w:t>，响应无效。</w:t>
            </w:r>
          </w:p>
        </w:tc>
      </w:tr>
      <w:tr w14:paraId="55046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5CEBC2C">
            <w:pPr>
              <w:pStyle w:val="45"/>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29.1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79CB7E8C">
            <w:pPr>
              <w:pStyle w:val="45"/>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谈判轮次及谈判顺序</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2BBE5A5D">
            <w:pPr>
              <w:pStyle w:val="45"/>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谈判轮次：</w:t>
            </w:r>
          </w:p>
          <w:p w14:paraId="74F5ED1C">
            <w:pPr>
              <w:pStyle w:val="45"/>
              <w:ind w:firstLine="240" w:firstLineChars="10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2 </w:t>
            </w:r>
            <w:r>
              <w:rPr>
                <w:rFonts w:hint="eastAsia" w:cs="宋体"/>
                <w:color w:val="auto"/>
                <w:sz w:val="24"/>
                <w:szCs w:val="24"/>
                <w:highlight w:val="none"/>
                <w:lang w:val="en-US" w:eastAsia="zh-CN"/>
              </w:rPr>
              <w:t>轮谈判。</w:t>
            </w:r>
          </w:p>
          <w:p w14:paraId="204972B3">
            <w:pPr>
              <w:pStyle w:val="45"/>
              <w:ind w:firstLine="240" w:firstLineChars="100"/>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5231539D">
            <w:pPr>
              <w:pStyle w:val="45"/>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color w:val="auto"/>
                <w:kern w:val="2"/>
                <w:sz w:val="24"/>
                <w:szCs w:val="24"/>
                <w:highlight w:val="none"/>
                <w:u w:val="none"/>
                <w:lang w:val="en-US" w:eastAsia="zh-CN" w:bidi="ar-SA"/>
              </w:rPr>
            </w:pPr>
            <w:r>
              <w:rPr>
                <w:rFonts w:hint="eastAsia" w:cs="宋体"/>
                <w:color w:val="auto"/>
                <w:sz w:val="24"/>
                <w:szCs w:val="24"/>
                <w:highlight w:val="none"/>
                <w:lang w:val="en-US" w:eastAsia="zh-CN"/>
              </w:rPr>
              <w:t>谈判顺序：</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29.2</w:t>
            </w:r>
          </w:p>
        </w:tc>
        <w:tc>
          <w:tcPr>
            <w:tcW w:w="1721" w:type="dxa"/>
            <w:tcBorders>
              <w:top w:val="single" w:color="auto" w:sz="2" w:space="0"/>
              <w:left w:val="single" w:color="auto" w:sz="2" w:space="0"/>
              <w:bottom w:val="single" w:color="auto" w:sz="2" w:space="0"/>
              <w:right w:val="single" w:color="auto" w:sz="2" w:space="0"/>
            </w:tcBorders>
            <w:vAlign w:val="center"/>
          </w:tcPr>
          <w:p w14:paraId="3B1D8DC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推荐成交候选供应商</w:t>
            </w:r>
          </w:p>
        </w:tc>
        <w:tc>
          <w:tcPr>
            <w:tcW w:w="6700" w:type="dxa"/>
            <w:tcBorders>
              <w:top w:val="single" w:color="auto" w:sz="2" w:space="0"/>
              <w:left w:val="single" w:color="auto" w:sz="2" w:space="0"/>
              <w:bottom w:val="single" w:color="auto" w:sz="2" w:space="0"/>
              <w:right w:val="single" w:color="auto" w:sz="2" w:space="0"/>
            </w:tcBorders>
            <w:vAlign w:val="center"/>
          </w:tcPr>
          <w:p w14:paraId="67201373">
            <w:pPr>
              <w:pStyle w:val="45"/>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推荐</w:t>
            </w:r>
            <w:r>
              <w:rPr>
                <w:rFonts w:hint="eastAsia" w:ascii="宋体" w:hAnsi="宋体" w:eastAsia="宋体" w:cs="宋体"/>
                <w:color w:val="auto"/>
                <w:sz w:val="24"/>
                <w:szCs w:val="24"/>
                <w:highlight w:val="none"/>
                <w:lang w:val="en-US" w:eastAsia="zh-CN"/>
              </w:rPr>
              <w:t>数量</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家</w:t>
            </w:r>
            <w:r>
              <w:rPr>
                <w:rFonts w:hint="eastAsia" w:cs="宋体"/>
                <w:color w:val="auto"/>
                <w:sz w:val="24"/>
                <w:szCs w:val="24"/>
                <w:highlight w:val="none"/>
                <w:u w:val="none"/>
                <w:lang w:val="en-US" w:eastAsia="zh-CN"/>
              </w:rPr>
              <w:t>。</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60"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7F76907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确定成交供应商</w:t>
            </w:r>
          </w:p>
        </w:tc>
        <w:tc>
          <w:tcPr>
            <w:tcW w:w="6700" w:type="dxa"/>
            <w:tcBorders>
              <w:top w:val="single" w:color="auto" w:sz="2" w:space="0"/>
              <w:left w:val="single" w:color="auto" w:sz="2" w:space="0"/>
              <w:bottom w:val="single" w:color="auto" w:sz="2" w:space="0"/>
              <w:right w:val="single" w:color="auto" w:sz="2" w:space="0"/>
            </w:tcBorders>
            <w:vAlign w:val="center"/>
          </w:tcPr>
          <w:p w14:paraId="77284D4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收到评审报告后5个工作日内，按评审报告中推荐的成交候选人排序确定成交供应商。</w:t>
            </w:r>
          </w:p>
          <w:p w14:paraId="20F6D23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小组直接确定成交供应商。</w:t>
            </w:r>
          </w:p>
          <w:p w14:paraId="7CD921DD">
            <w:pPr>
              <w:pStyle w:val="45"/>
              <w:rPr>
                <w:rFonts w:hint="default"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成交候选人并列的，按照以下方式确定成交供应商：</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AB44AED">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tcBorders>
              <w:top w:val="single" w:color="auto" w:sz="2" w:space="0"/>
              <w:left w:val="single" w:color="auto" w:sz="2" w:space="0"/>
              <w:bottom w:val="single" w:color="auto" w:sz="2" w:space="0"/>
              <w:right w:val="single" w:color="auto" w:sz="2" w:space="0"/>
            </w:tcBorders>
            <w:vAlign w:val="center"/>
          </w:tcPr>
          <w:p w14:paraId="790E0B4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31157547">
            <w:pPr>
              <w:pStyle w:val="45"/>
              <w:ind w:firstLine="240" w:firstLineChars="1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B5A19AA">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9B6D208">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w:t>
            </w:r>
            <w:r>
              <w:rPr>
                <w:rFonts w:hint="eastAsia" w:ascii="宋体" w:hAnsi="宋体" w:eastAsia="宋体" w:cs="宋体"/>
                <w:color w:val="auto"/>
                <w:sz w:val="24"/>
                <w:szCs w:val="24"/>
                <w:highlight w:val="none"/>
                <w:u w:val="single"/>
              </w:rPr>
              <w:t>人民币           元</w:t>
            </w:r>
          </w:p>
          <w:p w14:paraId="52DC4B48">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63ACCF21">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供应商可自主选择以支票、汇票、本票、电汇、转账、网银、保函等非现金形式缴纳或提交保证金。</w:t>
            </w:r>
          </w:p>
          <w:p w14:paraId="412117C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                            </w:t>
            </w:r>
          </w:p>
          <w:p w14:paraId="2664878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color w:val="auto"/>
                <w:sz w:val="24"/>
                <w:szCs w:val="24"/>
                <w:highlight w:val="none"/>
              </w:rPr>
              <w:t xml:space="preserve">              </w:t>
            </w:r>
          </w:p>
          <w:p w14:paraId="70C3B21D">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退还时间：              </w:t>
            </w:r>
          </w:p>
          <w:p w14:paraId="22C7C956">
            <w:pPr>
              <w:pStyle w:val="45"/>
              <w:rPr>
                <w:rFonts w:hint="eastAsia" w:ascii="宋体" w:hAnsi="宋体" w:eastAsia="宋体" w:cs="宋体"/>
                <w:b/>
                <w:bCs/>
                <w:color w:val="auto"/>
                <w:sz w:val="24"/>
                <w:szCs w:val="24"/>
                <w:highlight w:val="none"/>
              </w:rPr>
            </w:pPr>
          </w:p>
          <w:p w14:paraId="151176AB">
            <w:pPr>
              <w:pStyle w:val="4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64BE45E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8DC084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34.5</w:t>
            </w:r>
          </w:p>
        </w:tc>
        <w:tc>
          <w:tcPr>
            <w:tcW w:w="1721" w:type="dxa"/>
            <w:tcBorders>
              <w:top w:val="single" w:color="auto" w:sz="2" w:space="0"/>
              <w:left w:val="single" w:color="auto" w:sz="2" w:space="0"/>
              <w:bottom w:val="single" w:color="auto" w:sz="2" w:space="0"/>
              <w:right w:val="single" w:color="auto" w:sz="2" w:space="0"/>
            </w:tcBorders>
            <w:vAlign w:val="center"/>
          </w:tcPr>
          <w:p w14:paraId="04D9510B">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合同分包</w:t>
            </w:r>
          </w:p>
        </w:tc>
        <w:tc>
          <w:tcPr>
            <w:tcW w:w="6700" w:type="dxa"/>
            <w:tcBorders>
              <w:top w:val="single" w:color="auto" w:sz="2" w:space="0"/>
              <w:left w:val="single" w:color="auto" w:sz="2" w:space="0"/>
              <w:bottom w:val="single" w:color="auto" w:sz="2" w:space="0"/>
              <w:right w:val="single" w:color="auto" w:sz="2" w:space="0"/>
            </w:tcBorders>
            <w:vAlign w:val="center"/>
          </w:tcPr>
          <w:p w14:paraId="4344EC45">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45"/>
              <w:ind w:firstLine="240" w:firstLineChars="1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45"/>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71BE067E">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3628979B">
            <w:pPr>
              <w:pStyle w:val="45"/>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3.其他要求：</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66EBB004">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质疑</w:t>
            </w:r>
          </w:p>
        </w:tc>
        <w:tc>
          <w:tcPr>
            <w:tcW w:w="6700" w:type="dxa"/>
            <w:tcBorders>
              <w:top w:val="single" w:color="auto" w:sz="2" w:space="0"/>
              <w:left w:val="single" w:color="auto" w:sz="2" w:space="0"/>
              <w:bottom w:val="single" w:color="auto" w:sz="2" w:space="0"/>
              <w:right w:val="single" w:color="auto" w:sz="2" w:space="0"/>
            </w:tcBorders>
            <w:vAlign w:val="center"/>
          </w:tcPr>
          <w:p w14:paraId="5C8DCEE3">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递交方式：</w:t>
            </w:r>
            <w:r>
              <w:rPr>
                <w:rFonts w:hint="eastAsia" w:ascii="宋体" w:hAnsi="宋体" w:eastAsia="宋体" w:cs="宋体"/>
                <w:color w:val="auto"/>
                <w:kern w:val="2"/>
                <w:sz w:val="24"/>
                <w:szCs w:val="24"/>
                <w:highlight w:val="none"/>
                <w:u w:val="single"/>
                <w:lang w:val="zh-CN" w:eastAsia="zh-CN" w:bidi="ar-SA"/>
              </w:rPr>
              <w:t xml:space="preserve">纸质版盖章质疑函原件递交至采购代理公司 </w:t>
            </w:r>
            <w:r>
              <w:rPr>
                <w:rFonts w:hint="eastAsia" w:ascii="宋体" w:hAnsi="宋体" w:eastAsia="宋体" w:cs="宋体"/>
                <w:color w:val="auto"/>
                <w:kern w:val="2"/>
                <w:sz w:val="24"/>
                <w:szCs w:val="24"/>
                <w:highlight w:val="none"/>
                <w:lang w:val="zh-CN" w:eastAsia="zh-CN" w:bidi="ar-SA"/>
              </w:rPr>
              <w:t xml:space="preserve">             </w:t>
            </w:r>
          </w:p>
          <w:p w14:paraId="43B844CC">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w:t>
            </w:r>
            <w:r>
              <w:rPr>
                <w:rFonts w:hint="eastAsia" w:ascii="宋体" w:hAnsi="宋体" w:eastAsia="宋体" w:cs="宋体"/>
                <w:color w:val="auto"/>
                <w:kern w:val="2"/>
                <w:sz w:val="24"/>
                <w:szCs w:val="24"/>
                <w:highlight w:val="none"/>
                <w:u w:val="single"/>
                <w:lang w:val="zh-CN" w:eastAsia="zh-CN" w:bidi="ar-SA"/>
              </w:rPr>
              <w:t>中招国际招标有限公司新疆分公司</w:t>
            </w:r>
            <w:r>
              <w:rPr>
                <w:rFonts w:hint="eastAsia" w:ascii="宋体" w:hAnsi="宋体" w:eastAsia="宋体" w:cs="宋体"/>
                <w:color w:val="auto"/>
                <w:kern w:val="2"/>
                <w:sz w:val="24"/>
                <w:szCs w:val="24"/>
                <w:highlight w:val="none"/>
                <w:lang w:val="zh-CN" w:eastAsia="zh-CN" w:bidi="ar-SA"/>
              </w:rPr>
              <w:t xml:space="preserve">              </w:t>
            </w:r>
          </w:p>
          <w:p w14:paraId="138F3152">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w:t>
            </w:r>
            <w:r>
              <w:rPr>
                <w:rFonts w:hint="eastAsia" w:ascii="宋体" w:hAnsi="宋体" w:eastAsia="宋体" w:cs="宋体"/>
                <w:color w:val="auto"/>
                <w:kern w:val="2"/>
                <w:sz w:val="24"/>
                <w:szCs w:val="24"/>
                <w:highlight w:val="none"/>
                <w:u w:val="single"/>
                <w:lang w:val="zh-CN" w:eastAsia="zh-CN" w:bidi="ar-SA"/>
              </w:rPr>
              <w:t xml:space="preserve">：18099259977,17716905655 </w:t>
            </w:r>
            <w:r>
              <w:rPr>
                <w:rFonts w:hint="eastAsia" w:ascii="宋体" w:hAnsi="宋体" w:eastAsia="宋体" w:cs="宋体"/>
                <w:color w:val="auto"/>
                <w:kern w:val="2"/>
                <w:sz w:val="24"/>
                <w:szCs w:val="24"/>
                <w:highlight w:val="none"/>
                <w:lang w:val="zh-CN" w:eastAsia="zh-CN" w:bidi="ar-SA"/>
              </w:rPr>
              <w:t xml:space="preserve">              </w:t>
            </w:r>
          </w:p>
          <w:p w14:paraId="180411E4">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通讯地址：</w:t>
            </w:r>
            <w:r>
              <w:rPr>
                <w:rFonts w:hint="eastAsia" w:ascii="宋体" w:hAnsi="宋体" w:eastAsia="宋体" w:cs="宋体"/>
                <w:color w:val="auto"/>
                <w:kern w:val="2"/>
                <w:sz w:val="24"/>
                <w:szCs w:val="24"/>
                <w:highlight w:val="none"/>
                <w:u w:val="single"/>
                <w:lang w:val="zh-CN" w:eastAsia="zh-CN" w:bidi="ar-SA"/>
              </w:rPr>
              <w:t xml:space="preserve">新疆乌鲁木齐市486号南湖明珠二期十四栋商业写字楼8楼 </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65"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20FF72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采购代理服务费收取方式和标准</w:t>
            </w:r>
          </w:p>
        </w:tc>
        <w:tc>
          <w:tcPr>
            <w:tcW w:w="6700" w:type="dxa"/>
            <w:tcBorders>
              <w:top w:val="single" w:color="auto" w:sz="2" w:space="0"/>
              <w:left w:val="single" w:color="auto" w:sz="2" w:space="0"/>
              <w:bottom w:val="single" w:color="auto" w:sz="2" w:space="0"/>
              <w:right w:val="single" w:color="auto" w:sz="2" w:space="0"/>
            </w:tcBorders>
            <w:vAlign w:val="center"/>
          </w:tcPr>
          <w:p w14:paraId="5048158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 xml:space="preserve">人支付 </w:t>
            </w:r>
          </w:p>
          <w:p w14:paraId="27D03C2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参照</w:t>
            </w:r>
            <w:r>
              <w:rPr>
                <w:rFonts w:hint="eastAsia" w:ascii="宋体" w:hAnsi="宋体" w:eastAsia="宋体" w:cs="宋体"/>
                <w:color w:val="auto"/>
                <w:sz w:val="24"/>
                <w:szCs w:val="24"/>
                <w:highlight w:val="none"/>
                <w:u w:val="single"/>
              </w:rPr>
              <w:t xml:space="preserve">发改价格[2011]534号及计价格[2002]1980号文件计算的招标代理服务收费标准下浮40%计取。 </w:t>
            </w:r>
          </w:p>
          <w:p w14:paraId="1DA8D9D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Cs w:val="28"/>
                <w:highlight w:val="none"/>
                <w:u w:val="single"/>
                <w:lang w:val="en-US" w:eastAsia="zh-CN"/>
              </w:rPr>
              <w:t>成交人</w:t>
            </w:r>
            <w:r>
              <w:rPr>
                <w:rFonts w:hint="eastAsia" w:ascii="宋体" w:hAnsi="宋体" w:eastAsia="宋体" w:cs="宋体"/>
                <w:color w:val="auto"/>
                <w:szCs w:val="28"/>
                <w:highlight w:val="none"/>
                <w:u w:val="single"/>
              </w:rPr>
              <w:t>应按本</w:t>
            </w:r>
            <w:r>
              <w:rPr>
                <w:rFonts w:hint="eastAsia" w:ascii="宋体" w:hAnsi="宋体" w:eastAsia="宋体" w:cs="宋体"/>
                <w:color w:val="auto"/>
                <w:szCs w:val="28"/>
                <w:highlight w:val="none"/>
                <w:u w:val="single"/>
                <w:lang w:val="en-US" w:eastAsia="zh-CN"/>
              </w:rPr>
              <w:t>采购</w:t>
            </w:r>
            <w:r>
              <w:rPr>
                <w:rFonts w:hint="eastAsia" w:ascii="宋体" w:hAnsi="宋体" w:eastAsia="宋体" w:cs="宋体"/>
                <w:color w:val="auto"/>
                <w:szCs w:val="28"/>
                <w:highlight w:val="none"/>
                <w:u w:val="single"/>
              </w:rPr>
              <w:t>文件的规定，在《成交通知书》核发时至核发后3天内，向采购代理机构支付服务费</w:t>
            </w:r>
            <w:r>
              <w:rPr>
                <w:rFonts w:hint="eastAsia" w:ascii="宋体" w:hAnsi="宋体" w:eastAsia="宋体" w:cs="宋体"/>
                <w:color w:val="auto"/>
                <w:sz w:val="24"/>
                <w:szCs w:val="24"/>
                <w:highlight w:val="none"/>
                <w:u w:val="single"/>
              </w:rPr>
              <w:t xml:space="preserve"> </w:t>
            </w:r>
          </w:p>
          <w:p w14:paraId="4990F299">
            <w:pPr>
              <w:pStyle w:val="4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电汇，由</w:t>
            </w:r>
            <w:r>
              <w:rPr>
                <w:rFonts w:hint="eastAsia" w:ascii="宋体" w:hAnsi="宋体" w:eastAsia="宋体" w:cs="宋体"/>
                <w:color w:val="auto"/>
                <w:szCs w:val="28"/>
                <w:highlight w:val="none"/>
                <w:u w:val="single"/>
                <w:lang w:val="en-US" w:eastAsia="zh-CN"/>
              </w:rPr>
              <w:t>成交人</w:t>
            </w:r>
            <w:r>
              <w:rPr>
                <w:rFonts w:hint="eastAsia" w:ascii="宋体" w:hAnsi="宋体" w:eastAsia="宋体" w:cs="宋体"/>
                <w:color w:val="auto"/>
                <w:sz w:val="24"/>
                <w:szCs w:val="24"/>
                <w:highlight w:val="none"/>
                <w:u w:val="single"/>
              </w:rPr>
              <w:t>一次性支付</w:t>
            </w:r>
          </w:p>
          <w:p w14:paraId="0C201517">
            <w:pPr>
              <w:pStyle w:val="45"/>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5.收取单位：中招国际招标有限公司新疆分公司</w:t>
            </w:r>
          </w:p>
          <w:p w14:paraId="4BE5E443">
            <w:pPr>
              <w:pStyle w:val="45"/>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 xml:space="preserve">6.收取账号：3002 0128 1910 0057 504  </w:t>
            </w:r>
          </w:p>
          <w:p w14:paraId="2A4FC947">
            <w:pPr>
              <w:pStyle w:val="45"/>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开户银行：</w:t>
            </w:r>
            <w:r>
              <w:rPr>
                <w:rFonts w:hint="eastAsia" w:cs="宋体"/>
                <w:color w:val="auto"/>
                <w:sz w:val="24"/>
                <w:szCs w:val="24"/>
                <w:highlight w:val="none"/>
                <w:u w:val="single"/>
                <w:lang w:val="en-US" w:eastAsia="zh-CN"/>
              </w:rPr>
              <w:t>中国工商银行股份有限公司南湖北路支行</w:t>
            </w:r>
          </w:p>
        </w:tc>
      </w:tr>
      <w:tr w14:paraId="01ADA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C62DB7D">
            <w:pPr>
              <w:pStyle w:val="45"/>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246287AB">
            <w:pPr>
              <w:pStyle w:val="45"/>
              <w:jc w:val="center"/>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支持本国产品政策</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064293A1">
            <w:pPr>
              <w:pStyle w:val="58"/>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4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1785FF1B">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tcBorders>
              <w:top w:val="single" w:color="auto" w:sz="2" w:space="0"/>
              <w:left w:val="single" w:color="auto" w:sz="2" w:space="0"/>
              <w:bottom w:val="single" w:color="auto" w:sz="2" w:space="0"/>
              <w:right w:val="single" w:color="auto" w:sz="2" w:space="0"/>
            </w:tcBorders>
            <w:vAlign w:val="center"/>
          </w:tcPr>
          <w:p w14:paraId="3B4D5E1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77F5BFD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623E81D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Fonts w:hint="eastAsia" w:ascii="宋体" w:hAnsi="宋体" w:eastAsia="宋体" w:cs="宋体"/>
                <w:b w:val="0"/>
                <w:bCs/>
                <w:i w:val="0"/>
                <w:iCs/>
                <w:color w:val="auto"/>
                <w:kern w:val="0"/>
                <w:sz w:val="24"/>
                <w:szCs w:val="24"/>
                <w:highlight w:val="none"/>
                <w:lang w:val="en-US" w:eastAsia="zh-CN" w:bidi="ar-SA"/>
              </w:rPr>
              <w:t>（非专门面向中小企业采购项目适用）</w:t>
            </w:r>
          </w:p>
        </w:tc>
        <w:tc>
          <w:tcPr>
            <w:tcW w:w="6700" w:type="dxa"/>
            <w:tcBorders>
              <w:top w:val="single" w:color="auto" w:sz="2" w:space="0"/>
              <w:left w:val="single" w:color="auto" w:sz="2" w:space="0"/>
              <w:bottom w:val="single" w:color="auto" w:sz="2" w:space="0"/>
              <w:right w:val="single" w:color="auto" w:sz="2" w:space="0"/>
            </w:tcBorders>
            <w:vAlign w:val="center"/>
          </w:tcPr>
          <w:p w14:paraId="494A9BAF">
            <w:pPr>
              <w:pStyle w:val="58"/>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EC73829">
            <w:pPr>
              <w:pStyle w:val="58"/>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98559E5">
            <w:pPr>
              <w:pStyle w:val="58"/>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6AB8547">
            <w:pPr>
              <w:pStyle w:val="58"/>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083F702C">
            <w:pPr>
              <w:pStyle w:val="58"/>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42.9</w:t>
            </w:r>
          </w:p>
        </w:tc>
        <w:tc>
          <w:tcPr>
            <w:tcW w:w="1721" w:type="dxa"/>
            <w:tcBorders>
              <w:top w:val="single" w:color="auto" w:sz="2" w:space="0"/>
              <w:left w:val="single" w:color="auto" w:sz="2" w:space="0"/>
              <w:bottom w:val="single" w:color="auto" w:sz="2" w:space="0"/>
              <w:right w:val="single" w:color="auto" w:sz="2" w:space="0"/>
            </w:tcBorders>
            <w:vAlign w:val="center"/>
          </w:tcPr>
          <w:p w14:paraId="46C03D6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p w14:paraId="10DBCCB6">
            <w:pPr>
              <w:pStyle w:val="45"/>
              <w:rPr>
                <w:rFonts w:hint="eastAsia" w:ascii="宋体" w:hAnsi="宋体" w:eastAsia="宋体" w:cs="宋体"/>
                <w:color w:val="auto"/>
                <w:sz w:val="24"/>
                <w:szCs w:val="24"/>
                <w:highlight w:val="none"/>
              </w:rPr>
            </w:pPr>
            <w:r>
              <w:rPr>
                <w:rFonts w:hint="eastAsia" w:ascii="宋体" w:hAnsi="宋体" w:eastAsia="宋体" w:cs="宋体"/>
                <w:b w:val="0"/>
                <w:bCs/>
                <w:i w:val="0"/>
                <w:iCs/>
                <w:color w:val="auto"/>
                <w:kern w:val="0"/>
                <w:sz w:val="24"/>
                <w:szCs w:val="24"/>
                <w:highlight w:val="none"/>
                <w:lang w:val="en-US" w:eastAsia="zh-CN" w:bidi="ar-SA"/>
              </w:rPr>
              <w:t>（参照后附《工信部联企业〔2011〕300号》文件规定）</w:t>
            </w:r>
          </w:p>
        </w:tc>
        <w:tc>
          <w:tcPr>
            <w:tcW w:w="6700"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29"/>
              <w:tblW w:w="6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4045"/>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74" w:type="dxa"/>
                  <w:vAlign w:val="center"/>
                </w:tcPr>
                <w:p w14:paraId="0AD36816">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4045" w:type="dxa"/>
                  <w:vAlign w:val="center"/>
                </w:tcPr>
                <w:p w14:paraId="2C78D772">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74" w:type="dxa"/>
                  <w:vAlign w:val="center"/>
                </w:tcPr>
                <w:p w14:paraId="7B94C3FE">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陶瓷膜过滤膜</w:t>
                  </w:r>
                </w:p>
              </w:tc>
              <w:tc>
                <w:tcPr>
                  <w:tcW w:w="4045" w:type="dxa"/>
                  <w:vAlign w:val="center"/>
                </w:tcPr>
                <w:p w14:paraId="33535D95">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4176FC14">
            <w:pPr>
              <w:pStyle w:val="45"/>
              <w:rPr>
                <w:rFonts w:hint="eastAsia" w:ascii="宋体" w:hAnsi="宋体" w:eastAsia="宋体" w:cs="宋体"/>
                <w:color w:val="auto"/>
                <w:sz w:val="24"/>
                <w:szCs w:val="24"/>
                <w:highlight w:val="none"/>
              </w:rPr>
            </w:pPr>
          </w:p>
        </w:tc>
      </w:tr>
      <w:tr w14:paraId="05BF2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vAlign w:val="center"/>
          </w:tcPr>
          <w:p w14:paraId="369A7B1B">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43.5</w:t>
            </w:r>
          </w:p>
        </w:tc>
        <w:tc>
          <w:tcPr>
            <w:tcW w:w="1721" w:type="dxa"/>
            <w:tcBorders>
              <w:top w:val="single" w:color="auto" w:sz="2" w:space="0"/>
              <w:left w:val="single" w:color="auto" w:sz="2" w:space="0"/>
              <w:bottom w:val="single" w:color="auto" w:sz="2" w:space="0"/>
              <w:right w:val="single" w:color="auto" w:sz="2" w:space="0"/>
            </w:tcBorders>
            <w:vAlign w:val="center"/>
          </w:tcPr>
          <w:p w14:paraId="7250B4B7">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优先采购创新节能环保产品</w:t>
            </w:r>
          </w:p>
        </w:tc>
        <w:tc>
          <w:tcPr>
            <w:tcW w:w="6700" w:type="dxa"/>
            <w:tcBorders>
              <w:top w:val="single" w:color="auto" w:sz="2" w:space="0"/>
              <w:left w:val="single" w:color="auto" w:sz="2" w:space="0"/>
              <w:bottom w:val="single" w:color="auto" w:sz="2" w:space="0"/>
              <w:right w:val="single" w:color="auto" w:sz="2" w:space="0"/>
            </w:tcBorders>
            <w:vAlign w:val="center"/>
          </w:tcPr>
          <w:p w14:paraId="09930298">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47B7475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21C72458">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合同融资政策</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6591D21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073C66E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渠道和方式：详见新疆政府采购网。</w:t>
            </w:r>
          </w:p>
          <w:p w14:paraId="4FBEC518">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r>
              <w:rPr>
                <w:rFonts w:hint="eastAsia" w:ascii="宋体" w:hAnsi="宋体" w:eastAsia="宋体" w:cs="宋体"/>
                <w:color w:val="auto"/>
                <w:sz w:val="24"/>
                <w:szCs w:val="24"/>
                <w:highlight w:val="none"/>
              </w:rPr>
              <w:t>。</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42" w:hRule="atLeast"/>
        </w:trPr>
        <w:tc>
          <w:tcPr>
            <w:tcW w:w="970" w:type="dxa"/>
            <w:tcBorders>
              <w:top w:val="single" w:color="auto" w:sz="2" w:space="0"/>
              <w:left w:val="single" w:color="auto" w:sz="2" w:space="0"/>
              <w:bottom w:val="single" w:color="auto" w:sz="2" w:space="0"/>
              <w:right w:val="single" w:color="auto" w:sz="4" w:space="0"/>
            </w:tcBorders>
            <w:vAlign w:val="center"/>
          </w:tcPr>
          <w:p w14:paraId="342D37A4">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4" w:space="0"/>
            </w:tcBorders>
            <w:vAlign w:val="center"/>
          </w:tcPr>
          <w:p w14:paraId="57A459C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top w:val="single" w:color="auto" w:sz="2" w:space="0"/>
              <w:left w:val="single" w:color="auto" w:sz="4" w:space="0"/>
              <w:bottom w:val="single" w:color="auto" w:sz="2" w:space="0"/>
              <w:right w:val="single" w:color="auto" w:sz="2" w:space="0"/>
            </w:tcBorders>
            <w:vAlign w:val="center"/>
          </w:tcPr>
          <w:p w14:paraId="3B3CBF5F">
            <w:pPr>
              <w:pStyle w:val="63"/>
              <w:spacing w:line="240" w:lineRule="auto"/>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注意事项：</w:t>
            </w:r>
          </w:p>
          <w:p w14:paraId="21C73E3C">
            <w:pPr>
              <w:pStyle w:val="63"/>
              <w:numPr>
                <w:ilvl w:val="0"/>
                <w:numId w:val="1"/>
              </w:numPr>
              <w:spacing w:line="240" w:lineRule="auto"/>
              <w:jc w:val="both"/>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电子标书加盖印章的两种方式:一种为电子章；另一种为纸质版盖章后扫描，两种方式的任意一种在评审时均予认可。</w:t>
            </w:r>
          </w:p>
          <w:p w14:paraId="237F6800">
            <w:pPr>
              <w:pStyle w:val="45"/>
              <w:numPr>
                <w:ilvl w:val="0"/>
                <w:numId w:val="1"/>
              </w:numPr>
              <w:spacing w:line="240" w:lineRule="auto"/>
              <w:ind w:left="0" w:leftChars="0" w:firstLine="0" w:firstLineChars="0"/>
              <w:rPr>
                <w:rFonts w:hint="eastAsia" w:ascii="宋体" w:hAnsi="宋体" w:cs="宋体"/>
                <w:b/>
                <w:bCs/>
                <w:color w:val="auto"/>
                <w:kern w:val="2"/>
                <w:sz w:val="24"/>
                <w:szCs w:val="24"/>
                <w:highlight w:val="none"/>
              </w:rPr>
            </w:pPr>
            <w:r>
              <w:rPr>
                <w:rFonts w:hint="eastAsia" w:ascii="宋体" w:hAnsi="宋体" w:cs="宋体"/>
                <w:b/>
                <w:bCs/>
                <w:color w:val="auto"/>
                <w:kern w:val="2"/>
                <w:sz w:val="24"/>
                <w:szCs w:val="24"/>
                <w:highlight w:val="none"/>
              </w:rPr>
              <w:t>供应商在上传电子响应文件时，需在“商务技术响应文件”中按响应文件格式要求上传完整的响应文件（从封面开始至最后一页）。</w:t>
            </w:r>
          </w:p>
          <w:p w14:paraId="10E38F5D">
            <w:pPr>
              <w:pStyle w:val="45"/>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3、数量调整：投标总价的±10%；</w:t>
            </w:r>
          </w:p>
          <w:p w14:paraId="60136571">
            <w:pPr>
              <w:pStyle w:val="45"/>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4、</w:t>
            </w:r>
            <w:r>
              <w:rPr>
                <w:rFonts w:hint="eastAsia" w:cs="宋体"/>
                <w:b/>
                <w:bCs/>
                <w:color w:val="auto"/>
                <w:kern w:val="2"/>
                <w:sz w:val="24"/>
                <w:szCs w:val="24"/>
                <w:highlight w:val="yellow"/>
                <w:lang w:val="en-US" w:eastAsia="zh-CN"/>
              </w:rPr>
              <w:t>保修服务期：自验收合格之日起计保修期，提供整机（包含附件，如稳压电源、脚踏、推车等）原厂保修服务≥3年，承担保修期内设备任何故障产生的费用</w:t>
            </w:r>
            <w:r>
              <w:rPr>
                <w:rFonts w:hint="eastAsia" w:cs="宋体"/>
                <w:b/>
                <w:bCs/>
                <w:color w:val="auto"/>
                <w:kern w:val="2"/>
                <w:sz w:val="24"/>
                <w:szCs w:val="24"/>
                <w:highlight w:val="none"/>
                <w:lang w:val="en-US" w:eastAsia="zh-CN"/>
              </w:rPr>
              <w:t>。</w:t>
            </w:r>
          </w:p>
          <w:p w14:paraId="22EEAC7B">
            <w:pPr>
              <w:pStyle w:val="45"/>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5、质量保函：1）中标供应商须出具具有担保资质的公司出具的书面质量保函；2）须保证标的物质量符合合同约定的技术标准和质量要求；3）在约定的售后服务期（保修服务期）内未按要求提供相应技术支持时，不予退还质量保函。具体内容详见合同内质量保函描述。具体以实际签订合同为准，响应采购人要求。</w:t>
            </w:r>
          </w:p>
          <w:p w14:paraId="3ABD7B6F">
            <w:pPr>
              <w:pStyle w:val="45"/>
              <w:widowControl w:val="0"/>
              <w:numPr>
                <w:ilvl w:val="0"/>
                <w:numId w:val="0"/>
              </w:numPr>
              <w:spacing w:line="240" w:lineRule="auto"/>
              <w:rPr>
                <w:rFonts w:hint="default" w:cs="宋体"/>
                <w:b/>
                <w:bCs/>
                <w:color w:val="auto"/>
                <w:kern w:val="2"/>
                <w:sz w:val="24"/>
                <w:szCs w:val="24"/>
                <w:highlight w:val="yellow"/>
                <w:lang w:val="en-US" w:eastAsia="zh-CN"/>
              </w:rPr>
            </w:pPr>
            <w:r>
              <w:rPr>
                <w:rFonts w:hint="eastAsia" w:cs="宋体"/>
                <w:b/>
                <w:bCs/>
                <w:color w:val="auto"/>
                <w:kern w:val="2"/>
                <w:sz w:val="24"/>
                <w:szCs w:val="24"/>
                <w:highlight w:val="yellow"/>
                <w:lang w:val="en-US" w:eastAsia="zh-CN"/>
              </w:rPr>
              <w:t>6、所投产品须为当年生产出厂产品。</w:t>
            </w:r>
          </w:p>
          <w:p w14:paraId="5B42CF4D">
            <w:pPr>
              <w:pStyle w:val="45"/>
              <w:rPr>
                <w:rFonts w:hint="eastAsia" w:ascii="宋体" w:hAnsi="宋体" w:eastAsia="宋体" w:cs="宋体"/>
                <w:color w:val="auto"/>
                <w:sz w:val="24"/>
                <w:szCs w:val="24"/>
                <w:highlight w:val="none"/>
              </w:rPr>
            </w:pPr>
            <w:r>
              <w:rPr>
                <w:rFonts w:hint="eastAsia" w:cs="宋体"/>
                <w:b/>
                <w:bCs/>
                <w:color w:val="auto"/>
                <w:kern w:val="2"/>
                <w:sz w:val="24"/>
                <w:szCs w:val="24"/>
                <w:highlight w:val="none"/>
                <w:lang w:val="en-US" w:eastAsia="zh-CN"/>
              </w:rPr>
              <w:t>7、本标针对每种货物只接受一个报价，不接受备选方案，但不拒绝优惠声明，优惠声明需在《开标一览表》备注中填写。</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45AC7FA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文件另有规定外，竞争性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 xml:space="preserve">文件中出现的类似于“近三年”或“前三年”、“近五年”或“前五年”均指递交响应文件时间以前三年或前五年，以此类推。如：递交响应文件时间为 </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日至 </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7269E5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文件所称的“以上”、“以下”、“内”、“以内”，包括本数；所称的“不足”，不包括本数。</w:t>
            </w:r>
          </w:p>
        </w:tc>
      </w:tr>
      <w:bookmarkEnd w:id="100"/>
    </w:tbl>
    <w:p w14:paraId="131AFDDB">
      <w:pPr>
        <w:rPr>
          <w:color w:val="auto"/>
          <w:highlight w:val="none"/>
        </w:rPr>
      </w:pPr>
    </w:p>
    <w:p w14:paraId="3C80B303">
      <w:pPr>
        <w:rPr>
          <w:rFonts w:hint="eastAsia" w:eastAsia="宋体" w:asciiTheme="majorHAnsi" w:hAnsiTheme="majorHAnsi" w:cstheme="majorBidi"/>
          <w:b/>
          <w:bCs/>
          <w:color w:val="auto"/>
          <w:kern w:val="2"/>
          <w:sz w:val="28"/>
          <w:szCs w:val="28"/>
          <w:highlight w:val="none"/>
          <w:lang w:val="en-US" w:eastAsia="zh-CN" w:bidi="ar-SA"/>
        </w:rPr>
      </w:pPr>
      <w:bookmarkStart w:id="102" w:name="_Toc20713"/>
      <w:r>
        <w:rPr>
          <w:rFonts w:hint="eastAsia" w:eastAsia="宋体" w:asciiTheme="majorHAnsi" w:hAnsiTheme="majorHAnsi" w:cstheme="majorBidi"/>
          <w:b/>
          <w:bCs/>
          <w:color w:val="auto"/>
          <w:kern w:val="2"/>
          <w:sz w:val="28"/>
          <w:szCs w:val="28"/>
          <w:highlight w:val="none"/>
          <w:lang w:val="en-US" w:eastAsia="zh-CN" w:bidi="ar-SA"/>
        </w:rPr>
        <w:br w:type="page"/>
      </w:r>
    </w:p>
    <w:p w14:paraId="1CF0D4F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3" w:name="_Toc30862"/>
      <w:r>
        <w:rPr>
          <w:rFonts w:hint="eastAsia" w:eastAsia="宋体" w:asciiTheme="majorHAnsi" w:hAnsiTheme="majorHAnsi" w:cstheme="majorBidi"/>
          <w:b/>
          <w:bCs/>
          <w:color w:val="auto"/>
          <w:kern w:val="2"/>
          <w:sz w:val="28"/>
          <w:szCs w:val="28"/>
          <w:highlight w:val="none"/>
          <w:lang w:val="en-US" w:eastAsia="zh-CN" w:bidi="ar-SA"/>
        </w:rPr>
        <w:t>二、供应商须知</w:t>
      </w:r>
      <w:bookmarkEnd w:id="102"/>
      <w:bookmarkEnd w:id="103"/>
    </w:p>
    <w:p w14:paraId="04978FC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04" w:name="_Toc46771638"/>
      <w:bookmarkStart w:id="105" w:name="_Toc109899951"/>
      <w:bookmarkStart w:id="106" w:name="_Toc109897433"/>
      <w:bookmarkStart w:id="107" w:name="_Toc8053"/>
      <w:bookmarkStart w:id="108" w:name="_Toc109899532"/>
      <w:bookmarkStart w:id="109" w:name="_Toc109900370"/>
      <w:bookmarkStart w:id="110" w:name="_Toc163493611"/>
      <w:bookmarkStart w:id="111" w:name="_Toc470172694"/>
      <w:r>
        <w:rPr>
          <w:rFonts w:hint="eastAsia" w:ascii="宋体" w:hAnsi="宋体" w:eastAsia="宋体" w:cs="宋体"/>
          <w:b/>
          <w:bCs/>
          <w:color w:val="auto"/>
          <w:kern w:val="2"/>
          <w:sz w:val="24"/>
          <w:szCs w:val="24"/>
          <w:highlight w:val="none"/>
          <w:lang w:val="en-US" w:eastAsia="zh-CN" w:bidi="ar-SA"/>
        </w:rPr>
        <w:t>（一）总则</w:t>
      </w:r>
      <w:bookmarkEnd w:id="104"/>
      <w:bookmarkEnd w:id="105"/>
      <w:bookmarkEnd w:id="106"/>
      <w:bookmarkEnd w:id="107"/>
      <w:bookmarkEnd w:id="108"/>
      <w:bookmarkEnd w:id="109"/>
      <w:bookmarkEnd w:id="110"/>
    </w:p>
    <w:p w14:paraId="18977FA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2" w:name="_Toc48846108"/>
      <w:bookmarkStart w:id="113" w:name="_Toc52962726"/>
      <w:bookmarkStart w:id="114" w:name="_Toc27243"/>
      <w:bookmarkStart w:id="115" w:name="_Toc48688788"/>
      <w:bookmarkStart w:id="116" w:name="_Toc52960552"/>
      <w:bookmarkStart w:id="117" w:name="_Toc109899952"/>
      <w:bookmarkStart w:id="118" w:name="_Toc109900371"/>
      <w:bookmarkStart w:id="119" w:name="_Toc109899533"/>
      <w:bookmarkStart w:id="120" w:name="_Toc109897434"/>
      <w:bookmarkStart w:id="121" w:name="_Toc46772240"/>
      <w:bookmarkStart w:id="122" w:name="_Toc46771639"/>
      <w:bookmarkStart w:id="123" w:name="_Toc51674210"/>
      <w:bookmarkStart w:id="124" w:name="_Toc470172664"/>
      <w:r>
        <w:rPr>
          <w:rFonts w:hint="eastAsia" w:ascii="宋体" w:hAnsi="宋体" w:eastAsia="宋体" w:cs="宋体"/>
          <w:b/>
          <w:bCs/>
          <w:color w:val="auto"/>
          <w:kern w:val="2"/>
          <w:sz w:val="24"/>
          <w:szCs w:val="24"/>
          <w:highlight w:val="none"/>
          <w:lang w:val="en-US" w:eastAsia="zh-CN" w:bidi="ar-SA"/>
        </w:rPr>
        <w:t>1.适用范围</w:t>
      </w:r>
      <w:bookmarkEnd w:id="112"/>
      <w:bookmarkEnd w:id="113"/>
      <w:bookmarkEnd w:id="114"/>
      <w:bookmarkEnd w:id="115"/>
      <w:bookmarkEnd w:id="116"/>
      <w:bookmarkEnd w:id="117"/>
      <w:bookmarkEnd w:id="118"/>
      <w:bookmarkEnd w:id="119"/>
      <w:bookmarkEnd w:id="120"/>
      <w:bookmarkEnd w:id="121"/>
      <w:bookmarkEnd w:id="122"/>
      <w:bookmarkEnd w:id="123"/>
      <w:bookmarkEnd w:id="124"/>
    </w:p>
    <w:p w14:paraId="3FAC17DD">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1.1本竞争性</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文件（也称</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文件或采购文件）仅适用于本次竞争性</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5" w:name="_Toc163492824"/>
      <w:r>
        <w:rPr>
          <w:rFonts w:hint="eastAsia" w:ascii="宋体" w:hAnsi="宋体" w:eastAsia="宋体" w:cs="宋体"/>
          <w:b/>
          <w:bCs/>
          <w:color w:val="auto"/>
          <w:kern w:val="2"/>
          <w:sz w:val="24"/>
          <w:szCs w:val="24"/>
          <w:highlight w:val="none"/>
          <w:lang w:val="en-US" w:eastAsia="zh-CN" w:bidi="ar-SA"/>
        </w:rPr>
        <w:t>2.基本定义</w:t>
      </w:r>
      <w:bookmarkEnd w:id="125"/>
    </w:p>
    <w:p w14:paraId="768D70C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2.5核心产品见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w:t>
      </w:r>
    </w:p>
    <w:p w14:paraId="6557BF3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2.6是否属于</w:t>
      </w:r>
      <w:r>
        <w:rPr>
          <w:rFonts w:hint="eastAsia" w:ascii="宋体" w:hAnsi="宋体" w:eastAsia="宋体" w:cs="宋体"/>
          <w:color w:val="auto"/>
          <w:kern w:val="0"/>
          <w:sz w:val="24"/>
          <w:szCs w:val="24"/>
          <w:highlight w:val="none"/>
          <w:lang w:val="en-US" w:eastAsia="zh-CN" w:bidi="ar"/>
        </w:rPr>
        <w:t>科研仪器设备采购</w:t>
      </w:r>
      <w:r>
        <w:rPr>
          <w:rFonts w:hint="eastAsia" w:ascii="宋体" w:hAnsi="宋体" w:eastAsia="宋体" w:cs="宋体"/>
          <w:color w:val="auto"/>
          <w:sz w:val="24"/>
          <w:szCs w:val="24"/>
          <w:highlight w:val="none"/>
          <w:lang w:val="en-US" w:eastAsia="zh-CN"/>
        </w:rPr>
        <w:t>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w:t>
      </w:r>
    </w:p>
    <w:p w14:paraId="65E6A6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2.7供应商（也称“申请人”）：指向采购人提供货物、工程或者服务的法人、其他组织或者自然人。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须满足以下条件：</w:t>
      </w:r>
    </w:p>
    <w:p w14:paraId="211E91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具备《中华人民共和国政府采购法》第二十二条规定的</w:t>
      </w:r>
      <w:r>
        <w:rPr>
          <w:rFonts w:hint="eastAsia" w:ascii="宋体" w:hAnsi="宋体" w:eastAsia="宋体" w:cs="宋体"/>
          <w:color w:val="auto"/>
          <w:sz w:val="24"/>
          <w:szCs w:val="24"/>
          <w:highlight w:val="none"/>
          <w:lang w:val="en-US" w:eastAsia="zh-CN"/>
        </w:rPr>
        <w:t>条件</w:t>
      </w:r>
      <w:r>
        <w:rPr>
          <w:rFonts w:hint="eastAsia" w:ascii="宋体" w:hAnsi="宋体" w:eastAsia="宋体" w:cs="宋体"/>
          <w:color w:val="auto"/>
          <w:sz w:val="24"/>
          <w:szCs w:val="24"/>
          <w:highlight w:val="none"/>
        </w:rPr>
        <w:t>，遵守本项目采购人本级和上级财政部门政府采购的有关规定。</w:t>
      </w:r>
    </w:p>
    <w:p w14:paraId="323DC0B9">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公告中发布</w:t>
      </w:r>
      <w:r>
        <w:rPr>
          <w:rFonts w:hint="eastAsia" w:ascii="宋体" w:hAnsi="宋体" w:eastAsia="宋体" w:cs="宋体"/>
          <w:color w:val="auto"/>
          <w:sz w:val="24"/>
          <w:szCs w:val="24"/>
          <w:highlight w:val="none"/>
        </w:rPr>
        <w:t>的方式</w:t>
      </w:r>
      <w:r>
        <w:rPr>
          <w:rFonts w:hint="eastAsia" w:ascii="宋体" w:hAnsi="宋体" w:eastAsia="宋体" w:cs="宋体"/>
          <w:color w:val="auto"/>
          <w:sz w:val="24"/>
          <w:szCs w:val="24"/>
          <w:highlight w:val="none"/>
          <w:lang w:eastAsia="zh-CN"/>
        </w:rPr>
        <w:t>依法</w:t>
      </w:r>
      <w:r>
        <w:rPr>
          <w:rFonts w:hint="eastAsia" w:ascii="宋体" w:hAnsi="宋体" w:eastAsia="宋体" w:cs="宋体"/>
          <w:color w:val="auto"/>
          <w:sz w:val="24"/>
          <w:szCs w:val="24"/>
          <w:highlight w:val="none"/>
        </w:rPr>
        <w:t>获得了本项目的</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p>
    <w:p w14:paraId="07B83632">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2.7.3符合本</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文件规定并参加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的供应商。</w:t>
      </w:r>
    </w:p>
    <w:p w14:paraId="3098B7A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iCs/>
          <w:color w:val="auto"/>
          <w:sz w:val="24"/>
          <w:szCs w:val="24"/>
          <w:highlight w:val="none"/>
          <w:shd w:val="clear" w:color="auto" w:fill="FFFFFF" w:themeFill="background1"/>
        </w:rPr>
        <w:t>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文件规定的供应商</w:t>
      </w:r>
      <w:r>
        <w:rPr>
          <w:rFonts w:hint="eastAsia" w:ascii="宋体" w:hAnsi="宋体" w:eastAsia="宋体" w:cs="宋体"/>
          <w:color w:val="auto"/>
          <w:sz w:val="24"/>
          <w:szCs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6" w:name="_Toc52960555"/>
      <w:bookmarkStart w:id="127" w:name="_Toc51674213"/>
      <w:bookmarkStart w:id="128" w:name="_Toc109900374"/>
      <w:bookmarkStart w:id="129" w:name="_Toc109897437"/>
      <w:bookmarkStart w:id="130" w:name="_Toc470172667"/>
      <w:bookmarkStart w:id="131" w:name="_Toc48688791"/>
      <w:bookmarkStart w:id="132" w:name="_Toc9974"/>
      <w:bookmarkStart w:id="133" w:name="_Toc46771642"/>
      <w:bookmarkStart w:id="134" w:name="_Toc52962729"/>
      <w:bookmarkStart w:id="135" w:name="_Toc109899536"/>
      <w:bookmarkStart w:id="136" w:name="_Toc109899955"/>
      <w:bookmarkStart w:id="137" w:name="_Toc46772243"/>
      <w:bookmarkStart w:id="138" w:name="_Toc48846111"/>
      <w:r>
        <w:rPr>
          <w:rFonts w:hint="eastAsia" w:ascii="宋体" w:hAnsi="宋体" w:eastAsia="宋体" w:cs="宋体"/>
          <w:b/>
          <w:bCs/>
          <w:color w:val="auto"/>
          <w:kern w:val="2"/>
          <w:sz w:val="24"/>
          <w:szCs w:val="24"/>
          <w:highlight w:val="none"/>
          <w:lang w:val="en-US" w:eastAsia="zh-CN" w:bidi="ar-SA"/>
        </w:rPr>
        <w:t>3.资金来源</w:t>
      </w:r>
    </w:p>
    <w:p w14:paraId="7E10FE0B">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4.供应商资格要求</w:t>
      </w:r>
    </w:p>
    <w:p w14:paraId="522AD9C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资格要求：见“</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p>
    <w:p w14:paraId="3B57853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lang w:val="zh-CN" w:eastAsia="zh-CN"/>
        </w:rPr>
        <w:t>”规定接受联合体</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的，还应遵守以下规定：</w:t>
      </w:r>
    </w:p>
    <w:p w14:paraId="512308F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7EFB49B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w:t>
      </w:r>
      <w:r>
        <w:rPr>
          <w:rFonts w:hint="eastAsia" w:ascii="宋体" w:hAnsi="宋体" w:eastAsia="宋体" w:cs="宋体"/>
          <w:iCs/>
          <w:color w:val="auto"/>
          <w:kern w:val="2"/>
          <w:sz w:val="24"/>
          <w:szCs w:val="24"/>
          <w:highlight w:val="none"/>
          <w:shd w:val="clear" w:color="auto" w:fill="FFFFFF" w:themeFill="background1"/>
          <w:lang w:val="en-US" w:eastAsia="zh-CN" w:bidi="ar-SA"/>
        </w:rPr>
        <w:t>响应</w:t>
      </w:r>
      <w:r>
        <w:rPr>
          <w:rFonts w:hint="eastAsia" w:ascii="宋体" w:hAnsi="宋体" w:eastAsia="宋体" w:cs="宋体"/>
          <w:iCs/>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Cs/>
          <w:color w:val="auto"/>
          <w:kern w:val="2"/>
          <w:sz w:val="24"/>
          <w:szCs w:val="24"/>
          <w:highlight w:val="none"/>
          <w:shd w:val="clear" w:color="auto" w:fill="FFFFFF" w:themeFill="background1"/>
          <w:lang w:val="en-US" w:eastAsia="zh-CN" w:bidi="ar-SA"/>
        </w:rPr>
        <w:t>响应</w:t>
      </w:r>
      <w:r>
        <w:rPr>
          <w:rFonts w:hint="eastAsia" w:ascii="宋体" w:hAnsi="宋体" w:eastAsia="宋体" w:cs="宋体"/>
          <w:iCs/>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w:t>
      </w:r>
      <w:r>
        <w:rPr>
          <w:rFonts w:hint="eastAsia" w:ascii="宋体" w:hAnsi="宋体" w:eastAsia="宋体" w:cs="宋体"/>
          <w:iCs/>
          <w:color w:val="auto"/>
          <w:kern w:val="2"/>
          <w:sz w:val="24"/>
          <w:szCs w:val="24"/>
          <w:highlight w:val="none"/>
          <w:shd w:val="clear" w:color="auto" w:fill="FFFFFF" w:themeFill="background1"/>
          <w:lang w:val="en-US" w:eastAsia="zh-CN" w:bidi="ar-SA"/>
        </w:rPr>
        <w:t>成交的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的全部相关规定。</w:t>
      </w:r>
    </w:p>
    <w:p w14:paraId="1C0E489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Cs/>
          <w:color w:val="auto"/>
          <w:kern w:val="2"/>
          <w:sz w:val="24"/>
          <w:szCs w:val="24"/>
          <w:highlight w:val="none"/>
          <w:shd w:val="clear" w:color="auto" w:fill="FFFFFF" w:themeFill="background1"/>
          <w:lang w:val="en-US" w:eastAsia="zh-CN" w:bidi="ar-SA"/>
        </w:rPr>
        <w:t>第一章 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公告</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5.费用</w:t>
      </w:r>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ascii="宋体" w:hAnsi="宋体" w:eastAsia="宋体" w:cs="宋体"/>
          <w:b/>
          <w:bCs/>
          <w:color w:val="auto"/>
          <w:kern w:val="2"/>
          <w:sz w:val="24"/>
          <w:szCs w:val="24"/>
          <w:highlight w:val="none"/>
          <w:lang w:val="en-US" w:eastAsia="zh-CN" w:bidi="ar-SA"/>
        </w:rPr>
        <w:t>承担</w:t>
      </w:r>
    </w:p>
    <w:p w14:paraId="3C6741ED">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5.1</w:t>
      </w:r>
      <w:r>
        <w:rPr>
          <w:rFonts w:hint="eastAsia" w:ascii="宋体" w:hAnsi="宋体" w:eastAsia="宋体" w:cs="宋体"/>
          <w:snapToGrid w:val="0"/>
          <w:color w:val="auto"/>
          <w:sz w:val="24"/>
          <w:szCs w:val="24"/>
          <w:highlight w:val="none"/>
          <w:lang w:val="zh-CN" w:eastAsia="zh-CN"/>
        </w:rPr>
        <w:t>不论</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的结果如何，</w:t>
      </w:r>
      <w:r>
        <w:rPr>
          <w:rFonts w:hint="eastAsia" w:ascii="宋体" w:hAnsi="宋体" w:eastAsia="宋体" w:cs="宋体"/>
          <w:snapToGrid w:val="0"/>
          <w:color w:val="auto"/>
          <w:sz w:val="24"/>
          <w:szCs w:val="24"/>
          <w:highlight w:val="none"/>
          <w:lang w:val="en-US" w:eastAsia="zh-CN"/>
        </w:rPr>
        <w:t>供应商</w:t>
      </w:r>
      <w:r>
        <w:rPr>
          <w:rFonts w:hint="eastAsia" w:ascii="宋体" w:hAnsi="宋体" w:eastAsia="宋体" w:cs="宋体"/>
          <w:snapToGrid w:val="0"/>
          <w:color w:val="auto"/>
          <w:sz w:val="24"/>
          <w:szCs w:val="24"/>
          <w:highlight w:val="none"/>
          <w:lang w:val="zh-CN" w:eastAsia="zh-CN"/>
        </w:rPr>
        <w:t>应承担所有与准备和参加</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9" w:name="_Toc140132761"/>
      <w:bookmarkStart w:id="140" w:name="_Toc161600293"/>
      <w:r>
        <w:rPr>
          <w:rFonts w:hint="eastAsia" w:ascii="宋体" w:hAnsi="宋体" w:eastAsia="宋体" w:cs="宋体"/>
          <w:b/>
          <w:bCs/>
          <w:color w:val="auto"/>
          <w:kern w:val="2"/>
          <w:sz w:val="24"/>
          <w:szCs w:val="24"/>
          <w:highlight w:val="none"/>
          <w:lang w:val="en-US" w:eastAsia="zh-CN" w:bidi="ar-SA"/>
        </w:rPr>
        <w:t>6.保密</w:t>
      </w:r>
      <w:bookmarkEnd w:id="139"/>
      <w:bookmarkEnd w:id="140"/>
    </w:p>
    <w:p w14:paraId="1361C439">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活动的各方应对竞争</w:t>
      </w:r>
      <w:r>
        <w:rPr>
          <w:rFonts w:hint="eastAsia" w:ascii="宋体" w:hAnsi="宋体" w:eastAsia="宋体" w:cs="宋体"/>
          <w:color w:val="auto"/>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文件和响应文件中的商业和技术等秘密保密，否则应承担相应的法律责任。</w:t>
      </w:r>
    </w:p>
    <w:p w14:paraId="0F89755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2 供应商</w:t>
      </w:r>
      <w:r>
        <w:rPr>
          <w:rFonts w:hint="eastAsia" w:ascii="宋体" w:hAnsi="宋体" w:eastAsia="宋体" w:cs="宋体"/>
          <w:color w:val="auto"/>
          <w:kern w:val="2"/>
          <w:sz w:val="24"/>
          <w:szCs w:val="24"/>
          <w:highlight w:val="none"/>
        </w:rPr>
        <w:t>自领取竞争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文件之日起，须承担本竞争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项目保密义务，不得将因本次竞争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获得的信息向第三人外传。由采购人向</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结束后，应采购人要求，</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应归还所有从采购人处获得的保密资料。</w:t>
      </w:r>
    </w:p>
    <w:p w14:paraId="67E49FD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提供的所有资料向有关政府部门或竞争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的有关人员披露。</w:t>
      </w:r>
    </w:p>
    <w:p w14:paraId="232A1AD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r>
        <w:rPr>
          <w:rFonts w:hint="eastAsia" w:ascii="宋体" w:hAnsi="宋体" w:eastAsia="宋体" w:cs="宋体"/>
          <w:color w:val="auto"/>
          <w:sz w:val="24"/>
          <w:szCs w:val="24"/>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1" w:name="_Toc140132762"/>
      <w:bookmarkStart w:id="142" w:name="_Toc161600294"/>
      <w:r>
        <w:rPr>
          <w:rFonts w:hint="eastAsia" w:ascii="宋体" w:hAnsi="宋体" w:eastAsia="宋体" w:cs="宋体"/>
          <w:b/>
          <w:bCs/>
          <w:color w:val="auto"/>
          <w:kern w:val="2"/>
          <w:sz w:val="24"/>
          <w:szCs w:val="24"/>
          <w:highlight w:val="none"/>
          <w:lang w:val="en-US" w:eastAsia="zh-CN" w:bidi="ar-SA"/>
        </w:rPr>
        <w:t>7.语言文字</w:t>
      </w:r>
      <w:bookmarkEnd w:id="141"/>
      <w:bookmarkEnd w:id="142"/>
    </w:p>
    <w:p w14:paraId="3121AAFC">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7.1竞争</w:t>
      </w:r>
      <w:r>
        <w:rPr>
          <w:rFonts w:hint="eastAsia" w:ascii="宋体" w:hAnsi="宋体" w:eastAsia="宋体" w:cs="宋体"/>
          <w:color w:val="auto"/>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文件及响应</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3" w:name="_Toc161600295"/>
      <w:bookmarkStart w:id="144" w:name="_Toc140132763"/>
      <w:r>
        <w:rPr>
          <w:rFonts w:hint="eastAsia" w:ascii="宋体" w:hAnsi="宋体" w:eastAsia="宋体" w:cs="宋体"/>
          <w:b/>
          <w:bCs/>
          <w:color w:val="auto"/>
          <w:kern w:val="2"/>
          <w:sz w:val="24"/>
          <w:szCs w:val="24"/>
          <w:highlight w:val="none"/>
          <w:lang w:val="en-US" w:eastAsia="zh-CN" w:bidi="ar-SA"/>
        </w:rPr>
        <w:t>8.计量单位</w:t>
      </w:r>
      <w:bookmarkEnd w:id="143"/>
      <w:bookmarkEnd w:id="144"/>
    </w:p>
    <w:p w14:paraId="0DC441D4">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5" w:name="_Toc140132764"/>
      <w:bookmarkStart w:id="146" w:name="_Toc161600296"/>
      <w:r>
        <w:rPr>
          <w:rFonts w:hint="eastAsia" w:ascii="宋体" w:hAnsi="宋体" w:eastAsia="宋体" w:cs="宋体"/>
          <w:b/>
          <w:bCs/>
          <w:color w:val="auto"/>
          <w:kern w:val="2"/>
          <w:sz w:val="24"/>
          <w:szCs w:val="24"/>
          <w:highlight w:val="none"/>
          <w:lang w:val="en-US" w:eastAsia="zh-CN" w:bidi="ar-SA"/>
        </w:rPr>
        <w:t>9.现场考察和答疑会</w:t>
      </w:r>
      <w:bookmarkEnd w:id="145"/>
      <w:bookmarkEnd w:id="146"/>
    </w:p>
    <w:p w14:paraId="70E7733A">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147" w:name="_Hlk143529198"/>
      <w:r>
        <w:rPr>
          <w:rFonts w:hint="eastAsia" w:ascii="宋体" w:hAnsi="宋体" w:eastAsia="宋体" w:cs="宋体"/>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供应商现场考察发生的费用自理。</w:t>
      </w:r>
    </w:p>
    <w:p w14:paraId="417B1E0B">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在现场考察中，因供应商自身原因发生的人员伤亡和财产损失，由供应商自行负责。</w:t>
      </w:r>
    </w:p>
    <w:p w14:paraId="2BF7B5CD">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由于未参加现场考察或未参加答疑会而导致对项目实际情况不了解，影响响应文件编制、</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报价准确性、综合因素响应不全面等问题的，由供应商自行承担不利评审后果。</w:t>
      </w:r>
    </w:p>
    <w:bookmarkEnd w:id="147"/>
    <w:p w14:paraId="020D8BF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8" w:name="_Toc161600298"/>
      <w:bookmarkStart w:id="149" w:name="_Toc155185858"/>
      <w:r>
        <w:rPr>
          <w:rFonts w:hint="eastAsia" w:ascii="宋体" w:hAnsi="宋体" w:eastAsia="宋体" w:cs="宋体"/>
          <w:b/>
          <w:bCs/>
          <w:color w:val="auto"/>
          <w:kern w:val="2"/>
          <w:sz w:val="24"/>
          <w:szCs w:val="24"/>
          <w:highlight w:val="none"/>
          <w:lang w:val="en-US" w:eastAsia="zh-CN" w:bidi="ar-SA"/>
        </w:rPr>
        <w:t>10.电子标说明</w:t>
      </w:r>
      <w:bookmarkEnd w:id="148"/>
      <w:bookmarkEnd w:id="149"/>
    </w:p>
    <w:p w14:paraId="111A1565">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 本次采购采用电子交易方式，电子交易平台为</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政府采购电子交易云平台（网址：https://www.zcygov.cn/）。供应商参与本项目电子交易活动前，</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或</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失败等后果由供应商自行承担。供应商登录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政府采购网“供应商注册”—“新疆政府采购供应商入驻登记”—“立即登记”进行自助注册绑定。</w:t>
      </w:r>
    </w:p>
    <w:p w14:paraId="18ECC26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供应商将</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政府采购电子交易云平台电子交易客户端下载、安装完成后，可通过账号密码或CA登录客户端进行响应文件制作。在使用政采云投标客户端时，建议使用WIN7及以上操作系统。供应商登录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政府采购网“下载专区”—“电子招投标客户端下载”下载相关客户端，如有问题可拨打政采云客户服务热线95763进行咨询。</w:t>
      </w:r>
    </w:p>
    <w:p w14:paraId="1E16A3EF">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53B28965">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 供应商在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前须提前配置好电脑及浏览器，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时请使用制作加密电子响应文件的CA锁进行解密及报价确认。本项目响应文件解密时间详“供应商须知前附表”，如因自身原因导致无法正常解密，后果由供应商自行承担。</w:t>
      </w:r>
    </w:p>
    <w:p w14:paraId="469768F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10.5 如遇“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政府采购电子交易云平台（网址：https://www.zcygov.cn/）”电子交易规则调整，以最新要求为准。</w:t>
      </w:r>
    </w:p>
    <w:p w14:paraId="08AA0ABB">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电子交易系统咨询：供应商应当充分考虑到电子响应可能会发生的各种问题和风险，特别是响应文件签署、提交等问题，可按照“第一章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公告”的联系方式咨询相关人员。</w:t>
      </w:r>
    </w:p>
    <w:p w14:paraId="39CA1037">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方式，潜在供应商的名单将在递交响应文件截止时间后才会解密。因此，采购人或采购代理机构无法通过传统的传真或邮件方式，将竞争性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文件的澄清或修改内容逐一通知到每位已获取竞争性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0" w:name="_Toc109897438"/>
      <w:bookmarkStart w:id="151" w:name="_Toc163493612"/>
      <w:bookmarkStart w:id="152" w:name="_Toc109899537"/>
      <w:bookmarkStart w:id="153" w:name="_Toc109900375"/>
      <w:bookmarkStart w:id="154" w:name="_Toc1455"/>
      <w:bookmarkStart w:id="155" w:name="_Toc470172668"/>
      <w:bookmarkStart w:id="156" w:name="_Toc46771643"/>
      <w:bookmarkStart w:id="157" w:name="_Toc109899956"/>
      <w:r>
        <w:rPr>
          <w:rFonts w:hint="eastAsia" w:ascii="宋体" w:hAnsi="宋体" w:eastAsia="宋体" w:cs="宋体"/>
          <w:b/>
          <w:bCs/>
          <w:color w:val="auto"/>
          <w:kern w:val="2"/>
          <w:sz w:val="24"/>
          <w:szCs w:val="24"/>
          <w:highlight w:val="none"/>
          <w:lang w:val="en-US" w:eastAsia="zh-CN" w:bidi="ar-SA"/>
        </w:rPr>
        <w:t>（二）谈判文件</w:t>
      </w:r>
      <w:bookmarkEnd w:id="150"/>
      <w:bookmarkEnd w:id="151"/>
      <w:bookmarkEnd w:id="152"/>
      <w:bookmarkEnd w:id="153"/>
      <w:bookmarkEnd w:id="154"/>
      <w:bookmarkEnd w:id="155"/>
      <w:bookmarkEnd w:id="156"/>
      <w:bookmarkEnd w:id="157"/>
    </w:p>
    <w:p w14:paraId="02C7475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8" w:name="_Toc109897439"/>
      <w:bookmarkStart w:id="159" w:name="_Toc46771644"/>
      <w:bookmarkStart w:id="160" w:name="_Toc4547"/>
      <w:bookmarkStart w:id="161" w:name="_Toc52960557"/>
      <w:bookmarkStart w:id="162" w:name="_Toc48846113"/>
      <w:bookmarkStart w:id="163" w:name="_Toc109900376"/>
      <w:bookmarkStart w:id="164" w:name="_Toc51674215"/>
      <w:bookmarkStart w:id="165" w:name="_Toc52962731"/>
      <w:bookmarkStart w:id="166" w:name="_Toc46772245"/>
      <w:bookmarkStart w:id="167" w:name="_Toc109899957"/>
      <w:bookmarkStart w:id="168" w:name="_Toc48688793"/>
      <w:bookmarkStart w:id="169" w:name="_Toc109899538"/>
      <w:bookmarkStart w:id="170" w:name="_Toc470172669"/>
      <w:r>
        <w:rPr>
          <w:rFonts w:hint="eastAsia" w:ascii="宋体" w:hAnsi="宋体" w:eastAsia="宋体" w:cs="宋体"/>
          <w:b/>
          <w:bCs/>
          <w:color w:val="auto"/>
          <w:kern w:val="2"/>
          <w:sz w:val="24"/>
          <w:szCs w:val="24"/>
          <w:highlight w:val="none"/>
          <w:lang w:val="en-US" w:eastAsia="zh-CN" w:bidi="ar-SA"/>
        </w:rPr>
        <w:t>11.谈判文件的构成</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54909DE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lang w:eastAsia="zh-CN"/>
        </w:rPr>
      </w:pPr>
      <w:bookmarkStart w:id="171" w:name="_Toc51674216"/>
      <w:bookmarkStart w:id="172" w:name="_Toc46771645"/>
      <w:bookmarkStart w:id="173" w:name="_Toc48846114"/>
      <w:bookmarkStart w:id="174" w:name="_Toc46772246"/>
      <w:bookmarkStart w:id="175" w:name="_Toc52962732"/>
      <w:bookmarkStart w:id="176" w:name="_Toc109899958"/>
      <w:bookmarkStart w:id="177" w:name="_Toc109900377"/>
      <w:bookmarkStart w:id="178" w:name="_Toc109897440"/>
      <w:bookmarkStart w:id="179" w:name="_Toc48688794"/>
      <w:bookmarkStart w:id="180" w:name="_Toc478415174"/>
      <w:bookmarkStart w:id="181" w:name="_Toc109899539"/>
      <w:bookmarkStart w:id="182" w:name="_Toc52960558"/>
      <w:r>
        <w:rPr>
          <w:rFonts w:hint="eastAsia" w:ascii="宋体" w:hAnsi="宋体" w:eastAsia="宋体" w:cs="宋体"/>
          <w:color w:val="auto"/>
          <w:sz w:val="24"/>
          <w:szCs w:val="24"/>
          <w:highlight w:val="none"/>
        </w:rPr>
        <w:t>第一章 竞争性</w:t>
      </w:r>
      <w:r>
        <w:rPr>
          <w:rFonts w:hint="eastAsia" w:ascii="宋体" w:hAnsi="宋体" w:eastAsia="宋体" w:cs="宋体"/>
          <w:color w:val="auto"/>
          <w:sz w:val="24"/>
          <w:szCs w:val="24"/>
          <w:highlight w:val="none"/>
          <w:lang w:val="en-US" w:eastAsia="zh-CN"/>
        </w:rPr>
        <w:t>谈判公告</w:t>
      </w:r>
    </w:p>
    <w:p w14:paraId="7147E8B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61D89D7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w:t>
      </w:r>
    </w:p>
    <w:p w14:paraId="6D7BF4E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7AC85E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合同草案</w:t>
      </w:r>
    </w:p>
    <w:p w14:paraId="5706B4C2">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12.谈判文件的澄清或修改</w:t>
      </w:r>
      <w:bookmarkEnd w:id="171"/>
      <w:bookmarkEnd w:id="172"/>
      <w:bookmarkEnd w:id="173"/>
      <w:bookmarkEnd w:id="174"/>
      <w:bookmarkEnd w:id="175"/>
      <w:bookmarkEnd w:id="176"/>
      <w:bookmarkEnd w:id="177"/>
      <w:bookmarkEnd w:id="178"/>
      <w:bookmarkEnd w:id="179"/>
      <w:bookmarkEnd w:id="180"/>
      <w:bookmarkEnd w:id="181"/>
      <w:bookmarkEnd w:id="182"/>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3418D08E">
      <w:pPr>
        <w:keepNext w:val="0"/>
        <w:keepLines w:val="0"/>
        <w:pageBreakBefore w:val="0"/>
        <w:widowControl w:val="0"/>
        <w:kinsoku/>
        <w:overflowPunct/>
        <w:topLinePunct w:val="0"/>
        <w:autoSpaceDE/>
        <w:autoSpaceDN/>
        <w:bidi w:val="0"/>
        <w:adjustRightInd/>
        <w:ind w:firstLine="480" w:firstLineChars="200"/>
        <w:textAlignment w:val="auto"/>
        <w:rPr>
          <w:rFonts w:hint="eastAsia" w:cs="仿宋_GB2312"/>
          <w:color w:val="auto"/>
          <w:sz w:val="24"/>
          <w:szCs w:val="24"/>
          <w:highlight w:val="none"/>
          <w:lang w:val="en-US" w:eastAsia="zh-CN"/>
        </w:rPr>
      </w:pPr>
      <w:r>
        <w:rPr>
          <w:rFonts w:hint="eastAsia" w:cs="仿宋_GB2312"/>
          <w:color w:val="auto"/>
          <w:sz w:val="24"/>
          <w:szCs w:val="24"/>
          <w:highlight w:val="none"/>
          <w:lang w:val="en-US" w:eastAsia="zh-CN"/>
        </w:rPr>
        <w:t xml:space="preserve">12.3 </w:t>
      </w:r>
      <w:r>
        <w:rPr>
          <w:rFonts w:hint="eastAsia" w:cs="仿宋_GB2312"/>
          <w:color w:val="auto"/>
          <w:sz w:val="24"/>
          <w:szCs w:val="24"/>
          <w:highlight w:val="none"/>
          <w:lang w:val="zh-CN" w:eastAsia="zh-CN"/>
        </w:rPr>
        <w:t>对</w:t>
      </w:r>
      <w:r>
        <w:rPr>
          <w:rFonts w:hint="eastAsia" w:cs="仿宋_GB2312"/>
          <w:color w:val="auto"/>
          <w:sz w:val="24"/>
          <w:szCs w:val="24"/>
          <w:highlight w:val="none"/>
          <w:lang w:val="en-US" w:eastAsia="zh-CN"/>
        </w:rPr>
        <w:t>竞争性谈判</w:t>
      </w:r>
      <w:r>
        <w:rPr>
          <w:rFonts w:hint="eastAsia" w:cs="仿宋_GB2312"/>
          <w:color w:val="auto"/>
          <w:sz w:val="24"/>
          <w:szCs w:val="24"/>
          <w:highlight w:val="none"/>
          <w:lang w:val="zh-CN" w:eastAsia="zh-CN"/>
        </w:rPr>
        <w:t>文件澄清或者修改的内容可能影响响应文件编制的，采购人、采购代理机构或者</w:t>
      </w:r>
      <w:r>
        <w:rPr>
          <w:rFonts w:hint="eastAsia" w:cs="仿宋_GB2312"/>
          <w:color w:val="auto"/>
          <w:sz w:val="24"/>
          <w:szCs w:val="24"/>
          <w:highlight w:val="none"/>
          <w:lang w:val="en-US" w:eastAsia="zh-CN"/>
        </w:rPr>
        <w:t>谈判</w:t>
      </w:r>
      <w:r>
        <w:rPr>
          <w:rFonts w:hint="eastAsia" w:cs="仿宋_GB2312"/>
          <w:color w:val="auto"/>
          <w:sz w:val="24"/>
          <w:szCs w:val="24"/>
          <w:highlight w:val="none"/>
          <w:lang w:val="zh-CN" w:eastAsia="zh-CN"/>
        </w:rPr>
        <w:t>小组应当在提交首次响应文件截止之日</w:t>
      </w:r>
      <w:r>
        <w:rPr>
          <w:rFonts w:hint="eastAsia" w:cs="仿宋_GB2312"/>
          <w:color w:val="auto"/>
          <w:sz w:val="24"/>
          <w:szCs w:val="24"/>
          <w:highlight w:val="none"/>
          <w:lang w:val="en-US" w:eastAsia="zh-CN"/>
        </w:rPr>
        <w:t>3个工作</w:t>
      </w:r>
      <w:r>
        <w:rPr>
          <w:rFonts w:hint="eastAsia" w:cs="仿宋_GB2312"/>
          <w:color w:val="auto"/>
          <w:sz w:val="24"/>
          <w:szCs w:val="24"/>
          <w:highlight w:val="none"/>
          <w:lang w:val="zh-CN" w:eastAsia="zh-CN"/>
        </w:rPr>
        <w:t>日前，以书面形式通知所有接收</w:t>
      </w:r>
      <w:r>
        <w:rPr>
          <w:rFonts w:hint="eastAsia" w:cs="仿宋_GB2312"/>
          <w:color w:val="auto"/>
          <w:sz w:val="24"/>
          <w:szCs w:val="24"/>
          <w:highlight w:val="none"/>
          <w:lang w:val="en-US" w:eastAsia="zh-CN"/>
        </w:rPr>
        <w:t>竞争性谈判</w:t>
      </w:r>
      <w:r>
        <w:rPr>
          <w:rFonts w:hint="eastAsia" w:cs="仿宋_GB2312"/>
          <w:color w:val="auto"/>
          <w:sz w:val="24"/>
          <w:szCs w:val="24"/>
          <w:highlight w:val="none"/>
          <w:lang w:val="zh-CN" w:eastAsia="zh-CN"/>
        </w:rPr>
        <w:t>文件的供应商，不足</w:t>
      </w:r>
      <w:r>
        <w:rPr>
          <w:rFonts w:hint="eastAsia" w:cs="仿宋_GB2312"/>
          <w:color w:val="auto"/>
          <w:sz w:val="24"/>
          <w:szCs w:val="24"/>
          <w:highlight w:val="none"/>
          <w:lang w:val="en-US" w:eastAsia="zh-CN"/>
        </w:rPr>
        <w:t>3个工作</w:t>
      </w:r>
      <w:r>
        <w:rPr>
          <w:rFonts w:hint="eastAsia" w:cs="仿宋_GB2312"/>
          <w:color w:val="auto"/>
          <w:sz w:val="24"/>
          <w:szCs w:val="24"/>
          <w:highlight w:val="none"/>
          <w:lang w:val="zh-CN" w:eastAsia="zh-CN"/>
        </w:rPr>
        <w:t>日的，应当顺延提交首次响应文件</w:t>
      </w:r>
      <w:r>
        <w:rPr>
          <w:rFonts w:hint="eastAsia" w:cs="仿宋_GB2312"/>
          <w:color w:val="auto"/>
          <w:sz w:val="24"/>
          <w:szCs w:val="24"/>
          <w:highlight w:val="none"/>
          <w:lang w:val="en-US" w:eastAsia="zh-CN"/>
        </w:rPr>
        <w:t>的</w:t>
      </w:r>
      <w:r>
        <w:rPr>
          <w:rFonts w:hint="eastAsia" w:cs="仿宋_GB2312"/>
          <w:color w:val="auto"/>
          <w:sz w:val="24"/>
          <w:szCs w:val="24"/>
          <w:highlight w:val="none"/>
          <w:lang w:val="zh-CN" w:eastAsia="zh-CN"/>
        </w:rPr>
        <w:t>截止时间</w:t>
      </w:r>
      <w:r>
        <w:rPr>
          <w:rFonts w:hint="eastAsia" w:cs="仿宋_GB2312"/>
          <w:color w:val="auto"/>
          <w:sz w:val="24"/>
          <w:szCs w:val="24"/>
          <w:highlight w:val="none"/>
          <w:lang w:val="en-US" w:eastAsia="zh-CN"/>
        </w:rPr>
        <w:t>。</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谈判</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571CE51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cs="仿宋_GB2312"/>
          <w:color w:val="auto"/>
          <w:sz w:val="24"/>
          <w:szCs w:val="24"/>
          <w:highlight w:val="none"/>
          <w:lang w:val="en-US" w:eastAsia="zh-CN"/>
        </w:rPr>
        <w:t>谈判</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3" w:name="_Toc163493613"/>
      <w:bookmarkStart w:id="184" w:name="_Toc109899541"/>
      <w:bookmarkStart w:id="185" w:name="_Toc109899960"/>
      <w:bookmarkStart w:id="186" w:name="_Toc46771647"/>
      <w:bookmarkStart w:id="187" w:name="_Toc6486"/>
      <w:bookmarkStart w:id="188" w:name="_Toc470172672"/>
      <w:bookmarkStart w:id="189" w:name="_Toc109897442"/>
      <w:bookmarkStart w:id="190" w:name="_Toc109900379"/>
      <w:r>
        <w:rPr>
          <w:rFonts w:hint="eastAsia" w:ascii="宋体" w:hAnsi="宋体" w:eastAsia="宋体" w:cs="宋体"/>
          <w:b/>
          <w:bCs/>
          <w:color w:val="auto"/>
          <w:kern w:val="2"/>
          <w:sz w:val="24"/>
          <w:szCs w:val="24"/>
          <w:highlight w:val="none"/>
          <w:lang w:val="en-US" w:eastAsia="zh-CN" w:bidi="ar-SA"/>
        </w:rPr>
        <w:t>（三）响应文件</w:t>
      </w:r>
      <w:bookmarkEnd w:id="183"/>
      <w:bookmarkEnd w:id="184"/>
      <w:bookmarkEnd w:id="185"/>
      <w:bookmarkEnd w:id="186"/>
      <w:bookmarkEnd w:id="187"/>
      <w:bookmarkEnd w:id="188"/>
      <w:bookmarkEnd w:id="189"/>
      <w:bookmarkEnd w:id="190"/>
    </w:p>
    <w:p w14:paraId="3A231C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1" w:name="_Toc109897444"/>
      <w:bookmarkStart w:id="192" w:name="_Toc32272"/>
      <w:bookmarkStart w:id="193" w:name="_Toc52960562"/>
      <w:bookmarkStart w:id="194" w:name="_Toc46772250"/>
      <w:bookmarkStart w:id="195" w:name="_Toc46771649"/>
      <w:bookmarkStart w:id="196" w:name="_Toc52962736"/>
      <w:bookmarkStart w:id="197" w:name="_Toc109900381"/>
      <w:bookmarkStart w:id="198" w:name="_Toc48846118"/>
      <w:bookmarkStart w:id="199" w:name="_Toc109899543"/>
      <w:bookmarkStart w:id="200" w:name="_Toc51674220"/>
      <w:bookmarkStart w:id="201" w:name="_Toc48688798"/>
      <w:bookmarkStart w:id="202" w:name="_Toc470172674"/>
      <w:bookmarkStart w:id="203" w:name="_Toc109899962"/>
      <w:r>
        <w:rPr>
          <w:rFonts w:hint="eastAsia" w:ascii="宋体" w:hAnsi="宋体" w:eastAsia="宋体" w:cs="宋体"/>
          <w:b/>
          <w:bCs/>
          <w:color w:val="auto"/>
          <w:kern w:val="2"/>
          <w:sz w:val="24"/>
          <w:szCs w:val="24"/>
          <w:highlight w:val="none"/>
          <w:lang w:val="en-US" w:eastAsia="zh-CN" w:bidi="ar-SA"/>
        </w:rPr>
        <w:t>13.响应文件的</w:t>
      </w:r>
      <w:bookmarkEnd w:id="191"/>
      <w:bookmarkEnd w:id="192"/>
      <w:bookmarkEnd w:id="193"/>
      <w:bookmarkEnd w:id="194"/>
      <w:bookmarkEnd w:id="195"/>
      <w:bookmarkEnd w:id="196"/>
      <w:bookmarkEnd w:id="197"/>
      <w:bookmarkEnd w:id="198"/>
      <w:bookmarkEnd w:id="199"/>
      <w:bookmarkEnd w:id="200"/>
      <w:bookmarkEnd w:id="201"/>
      <w:bookmarkEnd w:id="202"/>
      <w:bookmarkEnd w:id="203"/>
      <w:r>
        <w:rPr>
          <w:rFonts w:hint="eastAsia" w:ascii="宋体" w:hAnsi="宋体" w:eastAsia="宋体" w:cs="宋体"/>
          <w:b/>
          <w:bCs/>
          <w:color w:val="auto"/>
          <w:kern w:val="2"/>
          <w:sz w:val="24"/>
          <w:szCs w:val="24"/>
          <w:highlight w:val="none"/>
          <w:lang w:val="en-US" w:eastAsia="zh-CN" w:bidi="ar-SA"/>
        </w:rPr>
        <w:t>组成</w:t>
      </w:r>
    </w:p>
    <w:p w14:paraId="174A0A3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应完整地按竞争性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文件提供的</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文件格式及要求编写</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第六章 响应</w:t>
      </w:r>
      <w:r>
        <w:rPr>
          <w:rFonts w:hint="eastAsia" w:ascii="宋体" w:hAnsi="宋体" w:eastAsia="宋体" w:cs="宋体"/>
          <w:color w:val="auto"/>
          <w:kern w:val="2"/>
          <w:sz w:val="24"/>
          <w:szCs w:val="24"/>
          <w:highlight w:val="none"/>
        </w:rPr>
        <w:t>文件</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13.2供应商</w:t>
      </w:r>
      <w:r>
        <w:rPr>
          <w:rFonts w:hint="eastAsia" w:ascii="宋体" w:hAnsi="宋体" w:eastAsia="宋体" w:cs="宋体"/>
          <w:color w:val="auto"/>
          <w:kern w:val="2"/>
          <w:sz w:val="24"/>
          <w:szCs w:val="24"/>
          <w:highlight w:val="none"/>
        </w:rPr>
        <w:t>应提交竞争性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文件要求的证明文件，证明其</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内容符合竞争性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204" w:name="_Hlk11703583"/>
      <w:r>
        <w:rPr>
          <w:rFonts w:hint="eastAsia" w:ascii="宋体" w:hAnsi="宋体" w:eastAsia="宋体" w:cs="宋体"/>
          <w:color w:val="auto"/>
          <w:kern w:val="2"/>
          <w:sz w:val="24"/>
          <w:szCs w:val="24"/>
          <w:highlight w:val="none"/>
          <w:lang w:val="en-US" w:eastAsia="zh-CN"/>
        </w:rPr>
        <w:t>等。</w:t>
      </w:r>
    </w:p>
    <w:bookmarkEnd w:id="204"/>
    <w:p w14:paraId="781BBA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lang w:val="en-US" w:eastAsia="zh-CN"/>
        </w:rPr>
        <w:t>文件</w:t>
      </w:r>
      <w:r>
        <w:rPr>
          <w:rFonts w:hint="eastAsia" w:ascii="宋体" w:hAnsi="宋体" w:eastAsia="宋体" w:cs="宋体"/>
          <w:color w:val="auto"/>
          <w:kern w:val="2"/>
          <w:sz w:val="24"/>
          <w:szCs w:val="24"/>
          <w:highlight w:val="none"/>
        </w:rPr>
        <w:t>另有规定或说明，</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对同一项目</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时，不得同时提供备选</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5" w:name="_Toc109897446"/>
      <w:bookmarkStart w:id="206" w:name="_Toc51674222"/>
      <w:bookmarkStart w:id="207" w:name="_Toc52960564"/>
      <w:bookmarkStart w:id="208" w:name="_Toc109899964"/>
      <w:bookmarkStart w:id="209" w:name="_Toc470172676"/>
      <w:bookmarkStart w:id="210" w:name="_Toc46771651"/>
      <w:bookmarkStart w:id="211" w:name="_Toc24544"/>
      <w:bookmarkStart w:id="212" w:name="_Toc48846120"/>
      <w:bookmarkStart w:id="213" w:name="_Toc46772252"/>
      <w:bookmarkStart w:id="214" w:name="_Toc109899545"/>
      <w:bookmarkStart w:id="215" w:name="_Toc48688800"/>
      <w:bookmarkStart w:id="216" w:name="_Toc52962738"/>
      <w:bookmarkStart w:id="217" w:name="_Toc109900383"/>
      <w:bookmarkStart w:id="218" w:name="_Toc52960563"/>
      <w:bookmarkStart w:id="219" w:name="_Toc48846119"/>
      <w:bookmarkStart w:id="220" w:name="_Toc46772251"/>
      <w:bookmarkStart w:id="221" w:name="_Toc109899963"/>
      <w:bookmarkStart w:id="222" w:name="_Toc109897445"/>
      <w:bookmarkStart w:id="223" w:name="_Toc25217"/>
      <w:bookmarkStart w:id="224" w:name="_Toc470172675"/>
      <w:bookmarkStart w:id="225" w:name="_Toc48688799"/>
      <w:bookmarkStart w:id="226" w:name="_Toc52962737"/>
      <w:bookmarkStart w:id="227" w:name="_Toc109900382"/>
      <w:bookmarkStart w:id="228" w:name="_Toc46771650"/>
      <w:bookmarkStart w:id="229" w:name="_Toc109899544"/>
      <w:bookmarkStart w:id="230" w:name="_Toc51674221"/>
      <w:r>
        <w:rPr>
          <w:rFonts w:hint="eastAsia" w:ascii="宋体" w:hAnsi="宋体" w:eastAsia="宋体" w:cs="宋体"/>
          <w:b/>
          <w:bCs/>
          <w:color w:val="auto"/>
          <w:kern w:val="2"/>
          <w:sz w:val="24"/>
          <w:szCs w:val="24"/>
          <w:highlight w:val="none"/>
          <w:lang w:val="en-US" w:eastAsia="zh-CN" w:bidi="ar-SA"/>
        </w:rPr>
        <w:t>14.谈判报价</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0640D6E7">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.1</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供应商的报价均应以人民币报价。</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报价包括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供应商在首次提交的响应文件中的报价、</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过程中的报价和最后报价，</w:t>
      </w:r>
      <w:r>
        <w:rPr>
          <w:rFonts w:hint="eastAsia" w:ascii="宋体" w:hAnsi="宋体" w:eastAsia="宋体" w:cs="宋体"/>
          <w:snapToGrid w:val="0"/>
          <w:color w:val="auto"/>
          <w:sz w:val="24"/>
          <w:szCs w:val="24"/>
          <w:highlight w:val="none"/>
          <w:lang w:val="en-US" w:eastAsia="zh-CN"/>
        </w:rPr>
        <w:t>且均</w:t>
      </w:r>
      <w:r>
        <w:rPr>
          <w:rFonts w:hint="eastAsia" w:ascii="宋体" w:hAnsi="宋体" w:eastAsia="宋体" w:cs="宋体"/>
          <w:color w:val="auto"/>
          <w:sz w:val="24"/>
          <w:szCs w:val="24"/>
          <w:highlight w:val="none"/>
        </w:rPr>
        <w:t>不得超过</w:t>
      </w:r>
      <w:bookmarkStart w:id="231" w:name="_Hlk161703672"/>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”中规定</w:t>
      </w:r>
      <w:bookmarkEnd w:id="231"/>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最高限价或者预算金额</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否则其响应文件将被视为</w:t>
      </w:r>
      <w:r>
        <w:rPr>
          <w:rFonts w:hint="eastAsia" w:ascii="宋体" w:hAnsi="宋体" w:eastAsia="宋体" w:cs="宋体"/>
          <w:b/>
          <w:bCs/>
          <w:snapToGrid w:val="0"/>
          <w:color w:val="auto"/>
          <w:sz w:val="24"/>
          <w:szCs w:val="24"/>
          <w:highlight w:val="none"/>
          <w:lang w:val="zh-CN"/>
        </w:rPr>
        <w:t>无效文件</w:t>
      </w:r>
      <w:r>
        <w:rPr>
          <w:rFonts w:hint="eastAsia" w:ascii="宋体" w:hAnsi="宋体" w:eastAsia="宋体" w:cs="宋体"/>
          <w:snapToGrid w:val="0"/>
          <w:color w:val="auto"/>
          <w:sz w:val="24"/>
          <w:szCs w:val="24"/>
          <w:highlight w:val="none"/>
          <w:lang w:val="zh-CN"/>
        </w:rPr>
        <w:t>。</w:t>
      </w:r>
    </w:p>
    <w:p w14:paraId="300639DC">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.2供应商应按照本</w:t>
      </w:r>
      <w:r>
        <w:rPr>
          <w:rFonts w:hint="eastAsia" w:ascii="宋体" w:hAnsi="宋体" w:eastAsia="宋体" w:cs="宋体"/>
          <w:snapToGrid w:val="0"/>
          <w:color w:val="auto"/>
          <w:sz w:val="24"/>
          <w:szCs w:val="24"/>
          <w:highlight w:val="none"/>
          <w:lang w:val="zh-CN" w:eastAsia="zh-CN"/>
        </w:rPr>
        <w:t>谈判</w:t>
      </w:r>
      <w:r>
        <w:rPr>
          <w:rFonts w:hint="eastAsia" w:ascii="宋体" w:hAnsi="宋体" w:eastAsia="宋体" w:cs="宋体"/>
          <w:snapToGrid w:val="0"/>
          <w:color w:val="auto"/>
          <w:sz w:val="24"/>
          <w:szCs w:val="24"/>
          <w:highlight w:val="none"/>
          <w:lang w:val="zh-CN"/>
        </w:rPr>
        <w:t>文件</w:t>
      </w:r>
      <w:r>
        <w:rPr>
          <w:rFonts w:hint="eastAsia" w:cs="宋体"/>
          <w:snapToGrid w:val="0"/>
          <w:color w:val="auto"/>
          <w:sz w:val="24"/>
          <w:szCs w:val="24"/>
          <w:highlight w:val="none"/>
          <w:lang w:val="en-US" w:eastAsia="zh-CN"/>
        </w:rPr>
        <w:t>所载明</w:t>
      </w:r>
      <w:r>
        <w:rPr>
          <w:rFonts w:hint="eastAsia" w:ascii="宋体" w:hAnsi="宋体" w:eastAsia="宋体" w:cs="宋体"/>
          <w:snapToGrid w:val="0"/>
          <w:color w:val="auto"/>
          <w:sz w:val="24"/>
          <w:szCs w:val="24"/>
          <w:highlight w:val="none"/>
          <w:lang w:val="zh-CN"/>
        </w:rPr>
        <w:t>的采购需求及合同条款进行报价，并按</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文件确定的格式报</w:t>
      </w:r>
      <w:r>
        <w:rPr>
          <w:rFonts w:hint="eastAsia" w:cs="宋体"/>
          <w:snapToGrid w:val="0"/>
          <w:color w:val="auto"/>
          <w:sz w:val="24"/>
          <w:szCs w:val="24"/>
          <w:highlight w:val="none"/>
          <w:lang w:val="en-US" w:eastAsia="zh-CN"/>
        </w:rPr>
        <w:t>价</w:t>
      </w:r>
      <w:r>
        <w:rPr>
          <w:rFonts w:hint="eastAsia" w:ascii="宋体" w:hAnsi="宋体" w:eastAsia="宋体" w:cs="宋体"/>
          <w:snapToGrid w:val="0"/>
          <w:color w:val="auto"/>
          <w:sz w:val="24"/>
          <w:szCs w:val="24"/>
          <w:highlight w:val="none"/>
          <w:lang w:val="zh-CN"/>
        </w:rPr>
        <w:t>。</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color w:val="auto"/>
          <w:kern w:val="2"/>
          <w:sz w:val="24"/>
          <w:szCs w:val="24"/>
          <w:highlight w:val="none"/>
        </w:rPr>
        <w:t>只要投报了一个确定数额的总价，无论分项价格是否全部填报了相应的金额或免费字样，</w:t>
      </w:r>
      <w:r>
        <w:rPr>
          <w:rFonts w:hint="eastAsia" w:cs="宋体"/>
          <w:color w:val="auto"/>
          <w:kern w:val="2"/>
          <w:sz w:val="24"/>
          <w:szCs w:val="24"/>
          <w:highlight w:val="none"/>
          <w:lang w:val="en-US" w:eastAsia="zh-CN"/>
        </w:rPr>
        <w:t>该</w:t>
      </w:r>
      <w:r>
        <w:rPr>
          <w:rFonts w:hint="eastAsia" w:ascii="宋体" w:hAnsi="宋体" w:eastAsia="宋体" w:cs="宋体"/>
          <w:color w:val="auto"/>
          <w:kern w:val="2"/>
          <w:sz w:val="24"/>
          <w:szCs w:val="24"/>
          <w:highlight w:val="none"/>
        </w:rPr>
        <w:t>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w:t>
      </w: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rPr>
        <w:t>自行承担。</w:t>
      </w:r>
    </w:p>
    <w:p w14:paraId="009FDB1D">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lang w:val="en-US" w:eastAsia="zh-CN"/>
        </w:rPr>
        <w:t xml:space="preserve">的报价应包括但不限于下列内容： </w:t>
      </w:r>
    </w:p>
    <w:p w14:paraId="058AFCD3">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谈判货物及标准附件、备品备件、专用工具等的出厂价（包括已在中国国内的进口货物完税后的仓库交货价、展室交货价或货架交货价）和运至最终</w:t>
      </w:r>
      <w:r>
        <w:rPr>
          <w:rFonts w:hint="eastAsia" w:ascii="宋体" w:hAnsi="宋体" w:eastAsia="宋体" w:cs="宋体"/>
          <w:color w:val="auto"/>
          <w:kern w:val="2"/>
          <w:sz w:val="24"/>
          <w:szCs w:val="24"/>
          <w:highlight w:val="none"/>
          <w:lang w:val="en-US" w:eastAsia="zh-CN"/>
        </w:rPr>
        <w:t xml:space="preserve">目的地的运输费和保险费，安装调试、检验、技术服务、培训、质量保证、售后服务、税费等； </w:t>
      </w:r>
    </w:p>
    <w:p w14:paraId="2ACD190C">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rPr>
        <w:t>14.2.2 按照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lang w:val="en-US" w:eastAsia="zh-CN"/>
        </w:rPr>
        <w:t>文件要求完成本项目的全部相关费用。</w:t>
      </w:r>
    </w:p>
    <w:p w14:paraId="11C9B78F">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.3</w:t>
      </w:r>
      <w:r>
        <w:rPr>
          <w:rFonts w:hint="eastAsia" w:ascii="宋体" w:hAnsi="宋体" w:eastAsia="宋体" w:cs="宋体"/>
          <w:snapToGrid w:val="0"/>
          <w:color w:val="auto"/>
          <w:sz w:val="24"/>
          <w:szCs w:val="24"/>
          <w:highlight w:val="none"/>
          <w:lang w:val="en-US" w:eastAsia="zh-CN"/>
        </w:rPr>
        <w:t>供应商</w:t>
      </w:r>
      <w:r>
        <w:rPr>
          <w:rFonts w:hint="eastAsia" w:ascii="宋体" w:hAnsi="宋体" w:eastAsia="宋体" w:cs="宋体"/>
          <w:snapToGrid w:val="0"/>
          <w:color w:val="auto"/>
          <w:sz w:val="24"/>
          <w:szCs w:val="24"/>
          <w:highlight w:val="none"/>
          <w:lang w:val="zh-CN"/>
        </w:rPr>
        <w:t>须严格按照报价明细表规定的内容填写货物单价以及其他事项。供应商应根据本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文件的规定和要求、市场价格水平及其走势、</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供应商的管理水平、</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供应商的方案和由这些因素决定的</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供应商之于本项目的成本水平等提出自己的报价。报价应合理，并包含完成本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w:t>
      </w:r>
      <w:r>
        <w:rPr>
          <w:rFonts w:hint="eastAsia" w:ascii="宋体" w:hAnsi="宋体" w:eastAsia="宋体" w:cs="宋体"/>
          <w:snapToGrid w:val="0"/>
          <w:color w:val="auto"/>
          <w:sz w:val="24"/>
          <w:szCs w:val="24"/>
          <w:highlight w:val="none"/>
          <w:lang w:val="en-US" w:eastAsia="zh-CN"/>
        </w:rPr>
        <w:t>项目</w:t>
      </w:r>
      <w:r>
        <w:rPr>
          <w:rFonts w:hint="eastAsia" w:ascii="宋体" w:hAnsi="宋体" w:eastAsia="宋体" w:cs="宋体"/>
          <w:snapToGrid w:val="0"/>
          <w:color w:val="auto"/>
          <w:sz w:val="24"/>
          <w:szCs w:val="24"/>
          <w:highlight w:val="none"/>
          <w:lang w:val="zh-CN"/>
        </w:rPr>
        <w:t>采购需求全部内容的所有费用，所有根据本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文件或其它原因应由</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供应商支付的税款和其他应交纳的费用都应包括在报价中。</w:t>
      </w:r>
    </w:p>
    <w:p w14:paraId="3DB7F190">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.4供应商在响应文件中注明免费的项目将视为包含在报价中。</w:t>
      </w:r>
    </w:p>
    <w:p w14:paraId="2D8474D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5 </w:t>
      </w:r>
      <w:r>
        <w:rPr>
          <w:rFonts w:hint="eastAsia" w:ascii="宋体" w:hAnsi="宋体" w:eastAsia="宋体" w:cs="宋体"/>
          <w:color w:val="auto"/>
          <w:kern w:val="2"/>
          <w:sz w:val="24"/>
          <w:szCs w:val="24"/>
          <w:highlight w:val="none"/>
          <w:lang w:val="zh-CN" w:eastAsia="zh-CN"/>
        </w:rPr>
        <w:t>供应商</w:t>
      </w:r>
      <w:r>
        <w:rPr>
          <w:rFonts w:hint="eastAsia" w:ascii="宋体" w:hAnsi="宋体" w:eastAsia="宋体" w:cs="宋体"/>
          <w:color w:val="auto"/>
          <w:kern w:val="2"/>
          <w:sz w:val="24"/>
          <w:szCs w:val="24"/>
          <w:highlight w:val="none"/>
          <w:lang w:val="en-US" w:eastAsia="zh-CN"/>
        </w:rPr>
        <w:t>对</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报价若有说明应在</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文件中显著处注明。</w:t>
      </w:r>
    </w:p>
    <w:p w14:paraId="1719007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所报价格在合同实施期间不因市场变化因素而变动。</w:t>
      </w:r>
    </w:p>
    <w:p w14:paraId="749D37C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6 </w:t>
      </w:r>
      <w:r>
        <w:rPr>
          <w:rFonts w:hint="eastAsia" w:ascii="宋体" w:hAnsi="宋体" w:eastAsia="宋体" w:cs="宋体"/>
          <w:color w:val="auto"/>
          <w:kern w:val="2"/>
          <w:sz w:val="24"/>
          <w:szCs w:val="24"/>
          <w:highlight w:val="none"/>
        </w:rPr>
        <w:t>对于有配件、耗材、选件、备件和特殊工具的货物，还应填报</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货物配件、耗材、选件表和备件及特殊工具清单，注明品牌、型号、产地、功能、单价、批量折扣等内容，该表格格式由</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自行设计。</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按照上述要求分类报价，其目的是便于评</w:t>
      </w:r>
      <w:r>
        <w:rPr>
          <w:rFonts w:hint="eastAsia" w:ascii="宋体" w:hAnsi="宋体" w:eastAsia="宋体" w:cs="宋体"/>
          <w:color w:val="auto"/>
          <w:kern w:val="2"/>
          <w:sz w:val="24"/>
          <w:szCs w:val="24"/>
          <w:highlight w:val="none"/>
          <w:lang w:val="en-US" w:eastAsia="zh-CN"/>
        </w:rPr>
        <w:t>审</w:t>
      </w:r>
      <w:r>
        <w:rPr>
          <w:rFonts w:hint="eastAsia" w:ascii="宋体" w:hAnsi="宋体" w:eastAsia="宋体" w:cs="宋体"/>
          <w:color w:val="auto"/>
          <w:kern w:val="2"/>
          <w:sz w:val="24"/>
          <w:szCs w:val="24"/>
          <w:highlight w:val="none"/>
        </w:rPr>
        <w:t>，但在任何情况下并不限制采购人以其他条款签订合同的权利。</w:t>
      </w:r>
    </w:p>
    <w:p w14:paraId="2AA144BC">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rPr>
        <w:t>14.</w:t>
      </w:r>
      <w:r>
        <w:rPr>
          <w:rFonts w:hint="eastAsia" w:cs="宋体"/>
          <w:color w:val="auto"/>
          <w:kern w:val="2"/>
          <w:sz w:val="24"/>
          <w:szCs w:val="24"/>
          <w:highlight w:val="none"/>
          <w:lang w:val="en-US" w:eastAsia="zh-CN"/>
        </w:rPr>
        <w:t>7</w:t>
      </w:r>
      <w:r>
        <w:rPr>
          <w:rFonts w:hint="eastAsia" w:ascii="宋体" w:hAnsi="宋体" w:eastAsia="宋体" w:cs="宋体"/>
          <w:color w:val="auto"/>
          <w:kern w:val="0"/>
          <w:sz w:val="24"/>
          <w:szCs w:val="24"/>
          <w:highlight w:val="none"/>
          <w:lang w:val="en-US" w:eastAsia="zh-CN" w:bidi="ar"/>
        </w:rPr>
        <w:t>采购人不得向供应商索要或者接受其给予的赠品、回扣或者与采购无关的其他商品、服务。</w:t>
      </w:r>
    </w:p>
    <w:p w14:paraId="4E58D7F7">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供应商不能提供任何有选择性或可调整的报价（</w:t>
      </w:r>
      <w:r>
        <w:rPr>
          <w:rFonts w:hint="eastAsia" w:cs="宋体"/>
          <w:color w:val="auto"/>
          <w:sz w:val="24"/>
          <w:szCs w:val="24"/>
          <w:highlight w:val="none"/>
          <w:lang w:val="en-US" w:eastAsia="zh-CN"/>
        </w:rPr>
        <w:t>谈判</w:t>
      </w:r>
      <w:r>
        <w:rPr>
          <w:rFonts w:hint="eastAsia" w:ascii="宋体" w:hAnsi="宋体" w:eastAsia="宋体" w:cs="宋体"/>
          <w:color w:val="auto"/>
          <w:kern w:val="0"/>
          <w:sz w:val="24"/>
          <w:szCs w:val="24"/>
          <w:highlight w:val="none"/>
          <w:lang w:val="en-US" w:eastAsia="zh-CN" w:bidi="ar"/>
        </w:rPr>
        <w:t>文件另有规定的除外），否则其</w:t>
      </w:r>
      <w:r>
        <w:rPr>
          <w:rFonts w:hint="eastAsia" w:ascii="宋体" w:hAnsi="宋体" w:eastAsia="宋体" w:cs="宋体"/>
          <w:b/>
          <w:bCs/>
          <w:color w:val="auto"/>
          <w:kern w:val="0"/>
          <w:sz w:val="24"/>
          <w:szCs w:val="24"/>
          <w:highlight w:val="none"/>
          <w:lang w:val="en-US" w:eastAsia="zh-CN" w:bidi="ar"/>
        </w:rPr>
        <w:t>响应无效</w:t>
      </w:r>
      <w:r>
        <w:rPr>
          <w:rFonts w:hint="eastAsia" w:ascii="宋体" w:hAnsi="宋体" w:eastAsia="宋体" w:cs="宋体"/>
          <w:color w:val="auto"/>
          <w:kern w:val="0"/>
          <w:sz w:val="24"/>
          <w:szCs w:val="24"/>
          <w:highlight w:val="none"/>
          <w:lang w:val="en-US" w:eastAsia="zh-CN" w:bidi="ar"/>
        </w:rPr>
        <w:t>。</w:t>
      </w:r>
    </w:p>
    <w:p w14:paraId="0CD8AEF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2" w:name="_Toc5668"/>
      <w:bookmarkStart w:id="233" w:name="_Toc48846126"/>
      <w:bookmarkStart w:id="234" w:name="_Toc109900388"/>
      <w:bookmarkStart w:id="235" w:name="_Toc109899550"/>
      <w:bookmarkStart w:id="236" w:name="_Toc470172682"/>
      <w:bookmarkStart w:id="237" w:name="_Toc52962744"/>
      <w:bookmarkStart w:id="238" w:name="_Toc48688806"/>
      <w:bookmarkStart w:id="239" w:name="_Toc46771657"/>
      <w:bookmarkStart w:id="240" w:name="_Toc52960570"/>
      <w:bookmarkStart w:id="241" w:name="_Toc51674228"/>
      <w:bookmarkStart w:id="242" w:name="_Toc109899969"/>
      <w:bookmarkStart w:id="243" w:name="_Toc46772258"/>
      <w:bookmarkStart w:id="244" w:name="_Toc109897451"/>
      <w:bookmarkStart w:id="245" w:name="_Toc51674224"/>
      <w:bookmarkStart w:id="246" w:name="_Toc46771653"/>
      <w:bookmarkStart w:id="247" w:name="_Toc470172678"/>
      <w:bookmarkStart w:id="248" w:name="_Toc109897448"/>
      <w:bookmarkStart w:id="249" w:name="_Toc48688802"/>
      <w:bookmarkStart w:id="250" w:name="_Toc109900385"/>
      <w:bookmarkStart w:id="251" w:name="_Toc46772254"/>
      <w:bookmarkStart w:id="252" w:name="_Toc109899547"/>
      <w:bookmarkStart w:id="253" w:name="_Toc48846122"/>
      <w:bookmarkStart w:id="254" w:name="_Toc52960566"/>
      <w:bookmarkStart w:id="255" w:name="_Toc109899966"/>
      <w:bookmarkStart w:id="256" w:name="_Toc52962740"/>
      <w:bookmarkStart w:id="257" w:name="_Toc3324"/>
      <w:r>
        <w:rPr>
          <w:rFonts w:hint="eastAsia" w:ascii="宋体" w:hAnsi="宋体" w:eastAsia="宋体" w:cs="宋体"/>
          <w:b/>
          <w:bCs/>
          <w:color w:val="auto"/>
          <w:kern w:val="2"/>
          <w:sz w:val="24"/>
          <w:szCs w:val="24"/>
          <w:highlight w:val="none"/>
          <w:lang w:val="en-US" w:eastAsia="zh-CN" w:bidi="ar-SA"/>
        </w:rPr>
        <w:t>15.响应文件有效期</w:t>
      </w:r>
      <w:bookmarkEnd w:id="232"/>
      <w:bookmarkEnd w:id="233"/>
      <w:bookmarkEnd w:id="234"/>
      <w:bookmarkEnd w:id="235"/>
      <w:bookmarkEnd w:id="236"/>
      <w:bookmarkEnd w:id="237"/>
      <w:bookmarkEnd w:id="238"/>
      <w:bookmarkEnd w:id="239"/>
      <w:bookmarkEnd w:id="240"/>
      <w:bookmarkEnd w:id="241"/>
      <w:bookmarkEnd w:id="242"/>
      <w:bookmarkEnd w:id="243"/>
      <w:bookmarkEnd w:id="244"/>
    </w:p>
    <w:p w14:paraId="6C3E470C">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供应商提交的</w:t>
      </w:r>
      <w:r>
        <w:rPr>
          <w:rFonts w:hint="eastAsia" w:ascii="宋体" w:hAnsi="宋体" w:eastAsia="宋体" w:cs="宋体"/>
          <w:snapToGrid w:val="0"/>
          <w:color w:val="auto"/>
          <w:sz w:val="24"/>
          <w:szCs w:val="24"/>
          <w:highlight w:val="none"/>
          <w:lang w:val="zh-CN"/>
        </w:rPr>
        <w:t>响应文件有效期见“供应商须知前附表”，</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供应商承诺的响应文件</w:t>
      </w:r>
      <w:r>
        <w:rPr>
          <w:rFonts w:hint="eastAsia" w:ascii="宋体" w:hAnsi="宋体" w:eastAsia="宋体" w:cs="宋体"/>
          <w:snapToGrid w:val="0"/>
          <w:color w:val="auto"/>
          <w:sz w:val="24"/>
          <w:szCs w:val="24"/>
          <w:highlight w:val="none"/>
          <w:lang w:val="zh-CN" w:eastAsia="zh-CN"/>
        </w:rPr>
        <w:t>有效期少于</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响应</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15.2 响应文件有效期从递交响应文件的截止之日起算。响应文件中承诺的有效期应当不少于竞争性</w:t>
      </w:r>
      <w:r>
        <w:rPr>
          <w:rFonts w:hint="eastAsia" w:cs="宋体"/>
          <w:color w:val="auto"/>
          <w:sz w:val="24"/>
          <w:szCs w:val="24"/>
          <w:highlight w:val="none"/>
          <w:lang w:val="en-US" w:eastAsia="zh-CN"/>
        </w:rPr>
        <w:t>谈判</w:t>
      </w:r>
      <w:r>
        <w:rPr>
          <w:rFonts w:hint="eastAsia" w:ascii="宋体" w:hAnsi="宋体" w:eastAsia="宋体" w:cs="宋体"/>
          <w:snapToGrid w:val="0"/>
          <w:color w:val="auto"/>
          <w:kern w:val="2"/>
          <w:sz w:val="24"/>
          <w:szCs w:val="24"/>
          <w:highlight w:val="none"/>
          <w:lang w:val="en-US" w:eastAsia="zh-CN" w:bidi="ar-SA"/>
        </w:rPr>
        <w:t>文件中载明的响应文件有效期。响应文件有效期内供应商撤销响应文件的，采购人或者采购代理机构可以不退还</w:t>
      </w:r>
      <w:r>
        <w:rPr>
          <w:rFonts w:hint="eastAsia" w:cs="宋体"/>
          <w:color w:val="auto"/>
          <w:sz w:val="24"/>
          <w:szCs w:val="24"/>
          <w:highlight w:val="none"/>
          <w:lang w:val="en-US" w:eastAsia="zh-CN"/>
        </w:rPr>
        <w:t>谈判</w:t>
      </w:r>
      <w:r>
        <w:rPr>
          <w:rFonts w:hint="eastAsia" w:ascii="宋体" w:hAnsi="宋体" w:eastAsia="宋体" w:cs="宋体"/>
          <w:snapToGrid w:val="0"/>
          <w:color w:val="auto"/>
          <w:kern w:val="2"/>
          <w:sz w:val="24"/>
          <w:szCs w:val="24"/>
          <w:highlight w:val="none"/>
          <w:lang w:val="en-US" w:eastAsia="zh-CN" w:bidi="ar-SA"/>
        </w:rPr>
        <w:t>保证金。</w:t>
      </w:r>
    </w:p>
    <w:p w14:paraId="414B33F5">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kern w:val="2"/>
          <w:sz w:val="24"/>
          <w:szCs w:val="24"/>
          <w:highlight w:val="none"/>
          <w:lang w:val="zh-CN" w:eastAsia="zh-CN" w:bidi="ar-SA"/>
        </w:rPr>
        <w:t>1</w:t>
      </w:r>
      <w:r>
        <w:rPr>
          <w:rFonts w:hint="eastAsia" w:ascii="宋体" w:hAnsi="宋体" w:eastAsia="宋体" w:cs="宋体"/>
          <w:snapToGrid w:val="0"/>
          <w:color w:val="auto"/>
          <w:kern w:val="2"/>
          <w:sz w:val="24"/>
          <w:szCs w:val="24"/>
          <w:highlight w:val="none"/>
          <w:lang w:val="en-US" w:eastAsia="zh-CN" w:bidi="ar-SA"/>
        </w:rPr>
        <w:t>5</w:t>
      </w:r>
      <w:r>
        <w:rPr>
          <w:rFonts w:hint="eastAsia" w:ascii="宋体" w:hAnsi="宋体" w:eastAsia="宋体" w:cs="宋体"/>
          <w:snapToGrid w:val="0"/>
          <w:color w:val="auto"/>
          <w:kern w:val="2"/>
          <w:sz w:val="24"/>
          <w:szCs w:val="24"/>
          <w:highlight w:val="none"/>
          <w:lang w:val="zh-CN" w:eastAsia="zh-CN" w:bidi="ar-SA"/>
        </w:rPr>
        <w:t>.</w:t>
      </w:r>
      <w:r>
        <w:rPr>
          <w:rFonts w:hint="eastAsia" w:ascii="宋体" w:hAnsi="宋体" w:eastAsia="宋体" w:cs="宋体"/>
          <w:snapToGrid w:val="0"/>
          <w:color w:val="auto"/>
          <w:kern w:val="2"/>
          <w:sz w:val="24"/>
          <w:szCs w:val="24"/>
          <w:highlight w:val="none"/>
          <w:lang w:val="en-US" w:eastAsia="zh-CN" w:bidi="ar-SA"/>
        </w:rPr>
        <w:t>3</w:t>
      </w:r>
      <w:r>
        <w:rPr>
          <w:rFonts w:hint="eastAsia" w:ascii="宋体" w:hAnsi="宋体" w:eastAsia="宋体" w:cs="宋体"/>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snapToGrid w:val="0"/>
          <w:color w:val="auto"/>
          <w:sz w:val="24"/>
          <w:szCs w:val="24"/>
          <w:highlight w:val="none"/>
          <w:lang w:val="zh-CN"/>
        </w:rPr>
        <w:t>可要求供应商延长响应文件有效期。需要延长响应文件有效期时，采购代理机构或采购人将以书面形式通知所有</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供应商同意延长的，</w:t>
      </w:r>
      <w:r>
        <w:rPr>
          <w:rFonts w:hint="eastAsia" w:ascii="宋体" w:hAnsi="宋体" w:eastAsia="宋体" w:cs="宋体"/>
          <w:snapToGrid w:val="0"/>
          <w:color w:val="auto"/>
          <w:sz w:val="24"/>
          <w:szCs w:val="24"/>
          <w:highlight w:val="none"/>
          <w:lang w:val="en-US" w:eastAsia="zh-CN"/>
        </w:rPr>
        <w:t>其</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保证金的有效期也相应延长</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保证金可予以退还</w:t>
      </w:r>
      <w:r>
        <w:rPr>
          <w:rFonts w:hint="eastAsia" w:ascii="宋体" w:hAnsi="宋体" w:eastAsia="宋体" w:cs="宋体"/>
          <w:snapToGrid w:val="0"/>
          <w:color w:val="auto"/>
          <w:sz w:val="24"/>
          <w:szCs w:val="24"/>
          <w:highlight w:val="none"/>
          <w:lang w:val="zh-CN"/>
        </w:rPr>
        <w:t>。</w:t>
      </w:r>
    </w:p>
    <w:bookmarkEnd w:id="245"/>
    <w:bookmarkEnd w:id="246"/>
    <w:bookmarkEnd w:id="247"/>
    <w:bookmarkEnd w:id="248"/>
    <w:bookmarkEnd w:id="249"/>
    <w:bookmarkEnd w:id="250"/>
    <w:bookmarkEnd w:id="251"/>
    <w:bookmarkEnd w:id="252"/>
    <w:bookmarkEnd w:id="253"/>
    <w:bookmarkEnd w:id="254"/>
    <w:bookmarkEnd w:id="255"/>
    <w:bookmarkEnd w:id="256"/>
    <w:bookmarkEnd w:id="257"/>
    <w:p w14:paraId="26D695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16.响应文件的编制</w:t>
      </w:r>
      <w:bookmarkEnd w:id="218"/>
      <w:bookmarkEnd w:id="219"/>
      <w:bookmarkEnd w:id="220"/>
      <w:bookmarkEnd w:id="221"/>
      <w:bookmarkEnd w:id="222"/>
      <w:bookmarkEnd w:id="223"/>
      <w:bookmarkEnd w:id="224"/>
      <w:bookmarkEnd w:id="225"/>
      <w:bookmarkEnd w:id="226"/>
      <w:bookmarkEnd w:id="227"/>
      <w:bookmarkEnd w:id="228"/>
      <w:bookmarkEnd w:id="229"/>
      <w:bookmarkEnd w:id="230"/>
    </w:p>
    <w:p w14:paraId="710ABAB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6FD5FFC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须按照</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文件的要求对要求加盖印章的部分逐一进行签章。</w:t>
      </w:r>
    </w:p>
    <w:p w14:paraId="4BB9824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3供应商</w:t>
      </w:r>
      <w:r>
        <w:rPr>
          <w:rFonts w:hint="eastAsia" w:ascii="宋体" w:hAnsi="宋体" w:eastAsia="宋体" w:cs="宋体"/>
          <w:color w:val="auto"/>
          <w:sz w:val="24"/>
          <w:szCs w:val="24"/>
          <w:highlight w:val="none"/>
        </w:rPr>
        <w:t>应详细阅读</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文件须对</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文件中的内容作出实质性和完整的响应，如果</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文件填报的内容不详，或没有提供</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文件中所要求的全部资料及数据，</w:t>
      </w:r>
      <w:r>
        <w:rPr>
          <w:rFonts w:hint="eastAsia" w:ascii="宋体" w:hAnsi="宋体" w:eastAsia="宋体" w:cs="宋体"/>
          <w:b w:val="0"/>
          <w:bCs w:val="0"/>
          <w:color w:val="auto"/>
          <w:sz w:val="24"/>
          <w:szCs w:val="24"/>
          <w:highlight w:val="none"/>
        </w:rPr>
        <w:t>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2D3AC26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4响应</w:t>
      </w:r>
      <w:r>
        <w:rPr>
          <w:rFonts w:hint="eastAsia" w:ascii="宋体" w:hAnsi="宋体" w:eastAsia="宋体" w:cs="宋体"/>
          <w:color w:val="auto"/>
          <w:sz w:val="24"/>
          <w:szCs w:val="24"/>
          <w:highlight w:val="none"/>
        </w:rPr>
        <w:t>文件须严格按照</w:t>
      </w:r>
      <w:r>
        <w:rPr>
          <w:rFonts w:hint="eastAsia" w:ascii="宋体" w:hAnsi="宋体" w:eastAsia="宋体" w:cs="宋体"/>
          <w:color w:val="auto"/>
          <w:sz w:val="24"/>
          <w:szCs w:val="24"/>
          <w:highlight w:val="none"/>
          <w:lang w:val="en-US" w:eastAsia="zh-CN"/>
        </w:rPr>
        <w:t>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文件第</w:t>
      </w:r>
      <w:r>
        <w:rPr>
          <w:rFonts w:hint="eastAsia" w:ascii="宋体" w:hAnsi="宋体" w:eastAsia="宋体" w:cs="宋体"/>
          <w:color w:val="auto"/>
          <w:sz w:val="24"/>
          <w:szCs w:val="24"/>
          <w:highlight w:val="none"/>
          <w:lang w:val="en-US" w:eastAsia="zh-CN"/>
        </w:rPr>
        <w:t>六章</w:t>
      </w:r>
      <w:r>
        <w:rPr>
          <w:rFonts w:hint="eastAsia" w:ascii="宋体" w:hAnsi="宋体" w:eastAsia="宋体" w:cs="宋体"/>
          <w:color w:val="auto"/>
          <w:sz w:val="24"/>
          <w:szCs w:val="24"/>
          <w:highlight w:val="none"/>
        </w:rPr>
        <w:t>规定的格式提交，并按规定的统一格式逐项填写，不准有空项；无相应内容可填</w:t>
      </w:r>
      <w:r>
        <w:rPr>
          <w:rFonts w:hint="eastAsia" w:ascii="宋体" w:hAnsi="宋体" w:eastAsia="宋体" w:cs="宋体"/>
          <w:color w:val="auto"/>
          <w:sz w:val="24"/>
          <w:szCs w:val="24"/>
          <w:highlight w:val="none"/>
          <w:lang w:eastAsia="zh-CN"/>
        </w:rPr>
        <w:t>写的部分</w:t>
      </w:r>
      <w:r>
        <w:rPr>
          <w:rFonts w:hint="eastAsia" w:ascii="宋体" w:hAnsi="宋体" w:eastAsia="宋体" w:cs="宋体"/>
          <w:color w:val="auto"/>
          <w:sz w:val="24"/>
          <w:szCs w:val="24"/>
          <w:highlight w:val="none"/>
        </w:rPr>
        <w:t>，应填写“无”、“未测试”、“没有相应指标”等明确的文字回答。由于编排混乱导致</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文件被误读或查找不到，其责任由</w:t>
      </w:r>
      <w:r>
        <w:rPr>
          <w:rFonts w:hint="eastAsia" w:ascii="宋体" w:hAnsi="宋体" w:eastAsia="宋体" w:cs="宋体"/>
          <w:color w:val="auto"/>
          <w:sz w:val="24"/>
          <w:szCs w:val="24"/>
          <w:highlight w:val="none"/>
          <w:lang w:val="en-US" w:eastAsia="zh-CN"/>
        </w:rPr>
        <w:t>供应商自行</w:t>
      </w:r>
      <w:r>
        <w:rPr>
          <w:rFonts w:hint="eastAsia" w:ascii="宋体" w:hAnsi="宋体" w:eastAsia="宋体" w:cs="宋体"/>
          <w:color w:val="auto"/>
          <w:sz w:val="24"/>
          <w:szCs w:val="24"/>
          <w:highlight w:val="none"/>
        </w:rPr>
        <w:t>承担。</w:t>
      </w:r>
    </w:p>
    <w:p w14:paraId="0AB47C8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5供应商</w:t>
      </w:r>
      <w:r>
        <w:rPr>
          <w:rFonts w:hint="eastAsia" w:ascii="宋体" w:hAnsi="宋体" w:eastAsia="宋体" w:cs="宋体"/>
          <w:color w:val="auto"/>
          <w:sz w:val="24"/>
          <w:szCs w:val="24"/>
          <w:highlight w:val="none"/>
        </w:rPr>
        <w:t>须注意：为合理节约政府采购评审成本，提倡诚实信用的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行为，特别要求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应本着诚信精神，在本次</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文件的偏离表中，均以审慎的态度明确、清楚地披露各项偏离。若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没有在偏离表中明确、清楚地披露的事项，包括可能属于被</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在偏离表中遗漏披露的事项，一旦在评审中被发现存在偏离或被认定为属于偏离，则评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委员会有权视具体情形评审时予以处理，</w:t>
      </w:r>
      <w:r>
        <w:rPr>
          <w:rFonts w:hint="eastAsia" w:ascii="宋体" w:hAnsi="宋体" w:eastAsia="宋体" w:cs="宋体"/>
          <w:b/>
          <w:bCs/>
          <w:color w:val="auto"/>
          <w:sz w:val="24"/>
          <w:szCs w:val="24"/>
          <w:highlight w:val="none"/>
        </w:rPr>
        <w:t>将可能导致</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54FCBEF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6供应商</w:t>
      </w:r>
      <w:r>
        <w:rPr>
          <w:rFonts w:hint="eastAsia" w:ascii="宋体" w:hAnsi="宋体" w:eastAsia="宋体" w:cs="宋体"/>
          <w:color w:val="auto"/>
          <w:sz w:val="24"/>
          <w:szCs w:val="24"/>
          <w:highlight w:val="none"/>
        </w:rPr>
        <w:t>必须保证</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文件所提供的全部资料</w:t>
      </w:r>
      <w:r>
        <w:rPr>
          <w:rFonts w:hint="eastAsia" w:ascii="宋体" w:hAnsi="宋体" w:eastAsia="宋体" w:cs="宋体"/>
          <w:color w:val="auto"/>
          <w:sz w:val="24"/>
          <w:szCs w:val="24"/>
          <w:highlight w:val="none"/>
          <w:lang w:eastAsia="zh-CN"/>
        </w:rPr>
        <w:t>合法、</w:t>
      </w:r>
      <w:r>
        <w:rPr>
          <w:rFonts w:hint="eastAsia" w:ascii="宋体" w:hAnsi="宋体" w:eastAsia="宋体" w:cs="宋体"/>
          <w:color w:val="auto"/>
          <w:sz w:val="24"/>
          <w:szCs w:val="24"/>
          <w:highlight w:val="none"/>
        </w:rPr>
        <w:t>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委员会对其中任何资料进一步审查的要求。</w:t>
      </w:r>
    </w:p>
    <w:p w14:paraId="7064EC3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color w:val="auto"/>
          <w:sz w:val="24"/>
          <w:szCs w:val="24"/>
          <w:highlight w:val="none"/>
        </w:rPr>
        <w:t>处理。</w:t>
      </w:r>
    </w:p>
    <w:p w14:paraId="4071B61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16.8电子响应文件的编制</w:t>
      </w:r>
    </w:p>
    <w:p w14:paraId="4A87E24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16.8.1电子响应文件需按竞争性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文件要求进行制作编制。响应文件制作时，不同内容按标签提示制作导入，按照竞争性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16.8.2电子</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文件及响应文件具有法律效力，与其他形式的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文件及响应文件在内容和格式上等同，若响应文件与竞争性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文件要求不一致，其内容影响成交结果时，责任由供应商自行承担。供应商递交的电子响应文件因供应商自身原因而导致无法导入电子辅助评标系统，该响应文件被视为无效响应文件，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b/>
          <w:bCs/>
          <w:color w:val="auto"/>
          <w:sz w:val="24"/>
          <w:szCs w:val="24"/>
          <w:highlight w:val="none"/>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8" w:name="_Toc109899971"/>
      <w:bookmarkStart w:id="259" w:name="_Toc109899552"/>
      <w:bookmarkStart w:id="260" w:name="_Toc109900390"/>
      <w:bookmarkStart w:id="261" w:name="_Toc109897453"/>
      <w:bookmarkStart w:id="262" w:name="_Toc46771659"/>
      <w:bookmarkStart w:id="263" w:name="_Toc470172684"/>
      <w:bookmarkStart w:id="264" w:name="_Toc6033"/>
      <w:bookmarkStart w:id="265" w:name="_Toc163493614"/>
      <w:r>
        <w:rPr>
          <w:rFonts w:hint="eastAsia" w:ascii="宋体" w:hAnsi="宋体" w:eastAsia="宋体" w:cs="宋体"/>
          <w:b/>
          <w:bCs/>
          <w:color w:val="auto"/>
          <w:kern w:val="2"/>
          <w:sz w:val="24"/>
          <w:szCs w:val="24"/>
          <w:highlight w:val="none"/>
          <w:lang w:val="en-US" w:eastAsia="zh-CN" w:bidi="ar-SA"/>
        </w:rPr>
        <w:t>（四）响应文件的</w:t>
      </w:r>
      <w:bookmarkEnd w:id="258"/>
      <w:bookmarkEnd w:id="259"/>
      <w:bookmarkEnd w:id="260"/>
      <w:bookmarkEnd w:id="261"/>
      <w:bookmarkEnd w:id="262"/>
      <w:bookmarkEnd w:id="263"/>
      <w:r>
        <w:rPr>
          <w:rFonts w:hint="eastAsia" w:ascii="宋体" w:hAnsi="宋体" w:eastAsia="宋体" w:cs="宋体"/>
          <w:b/>
          <w:bCs/>
          <w:color w:val="auto"/>
          <w:kern w:val="2"/>
          <w:sz w:val="24"/>
          <w:szCs w:val="24"/>
          <w:highlight w:val="none"/>
          <w:lang w:val="en-US" w:eastAsia="zh-CN" w:bidi="ar-SA"/>
        </w:rPr>
        <w:t>递交</w:t>
      </w:r>
      <w:bookmarkEnd w:id="264"/>
      <w:bookmarkEnd w:id="265"/>
    </w:p>
    <w:p w14:paraId="0181012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6" w:name="_Toc109897552"/>
      <w:bookmarkStart w:id="267" w:name="_Toc109900070"/>
      <w:bookmarkStart w:id="268" w:name="_Toc109899651"/>
      <w:bookmarkStart w:id="269" w:name="_Toc109900489"/>
      <w:bookmarkStart w:id="270" w:name="_Toc155095707"/>
      <w:bookmarkStart w:id="271" w:name="_Toc156490296"/>
      <w:bookmarkStart w:id="272" w:name="_Toc109897553"/>
      <w:bookmarkStart w:id="273" w:name="_Toc109899652"/>
      <w:bookmarkStart w:id="274" w:name="_Toc109900071"/>
      <w:bookmarkStart w:id="275" w:name="_Toc109900490"/>
      <w:bookmarkStart w:id="276" w:name="_Toc156490297"/>
      <w:bookmarkStart w:id="277" w:name="_Toc155095708"/>
      <w:r>
        <w:rPr>
          <w:rFonts w:hint="eastAsia" w:ascii="宋体" w:hAnsi="宋体" w:eastAsia="宋体" w:cs="宋体"/>
          <w:b/>
          <w:bCs/>
          <w:color w:val="auto"/>
          <w:kern w:val="2"/>
          <w:sz w:val="24"/>
          <w:szCs w:val="24"/>
          <w:highlight w:val="none"/>
          <w:lang w:val="en-US" w:eastAsia="zh-CN" w:bidi="ar-SA"/>
        </w:rPr>
        <w:t>17.谈判保证金</w:t>
      </w:r>
    </w:p>
    <w:p w14:paraId="4DEF946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17.1供应商应按照竞争性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文件“供应商须知前附表”规定的金额及要求交纳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保证金。供应商自愿超额缴纳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保证金的，响应文件不做无效处理。</w:t>
      </w:r>
    </w:p>
    <w:p w14:paraId="77BF162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b/>
          <w:bCs/>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保证金可采用的形式：政府采购法律法规接受的支票、汇票、本票、网上银行支付或者金融机构、担保机构出具的保函等非现金形式。未按</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响应无效。</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保证金有效期同响应文件有效期。</w:t>
      </w:r>
    </w:p>
    <w:p w14:paraId="0C3CACC6">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17.3</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保证金到账（保函提交）截止时间同响应文件递交截止时间。以支票、汇票、本票、网上银行支付等形式提交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保证金的，应在响应文件递交截止时间前到账；以金融机构、担保机构出具的保函等形式提交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保证金的，应在响应文件递交截止时间前将</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保证金支付件扫描后作为响应文件的组成部分与响应文件一起上传。由于到账时间晚于响应文件递交截止时间，或者票据错误、印鉴不清等原因导致不能到账的</w:t>
      </w:r>
      <w:r>
        <w:rPr>
          <w:rFonts w:hint="eastAsia" w:ascii="宋体" w:hAnsi="宋体" w:eastAsia="宋体" w:cs="宋体"/>
          <w:b w:val="0"/>
          <w:bCs w:val="0"/>
          <w:iCs/>
          <w:color w:val="auto"/>
          <w:kern w:val="2"/>
          <w:sz w:val="24"/>
          <w:szCs w:val="24"/>
          <w:highlight w:val="none"/>
          <w:shd w:val="clear" w:color="auto" w:fill="FFFFFF" w:themeFill="background1"/>
          <w:lang w:val="en-US" w:eastAsia="zh-CN" w:bidi="ar-SA"/>
        </w:rPr>
        <w:t>，</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其响应无效。</w:t>
      </w:r>
    </w:p>
    <w:p w14:paraId="4AA52D7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17.4 供应商为联合体的，可以由联合体中的一方或者多方共同交纳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保证金，其交纳的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保证金对联合体各方均具有约束力。</w:t>
      </w:r>
    </w:p>
    <w:p w14:paraId="1E93F92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17.5采购人或者采购代理机构应当在采购活动结束后及时退还供应商的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保证金，采用银行保函、担保机构担保函等形式递交的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保证金，经供应商同意后采购人、采购代理机构可以不再退还，但因供应商自身原因导致无法及时退还的除外。未成交供应商的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保证金应当自成交通知书发出之日起 5 个工作日内退还，成交供应商的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保证金应当自采购合同签订之日起 5 个工作日内退还。 </w:t>
      </w:r>
    </w:p>
    <w:p w14:paraId="48C6EAF6">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17.6 供应商在响应文件递交截止时间前撤回已提交的响应文件的，自收到供应商书面撤回通知之日起 5 个工作日内，退还已收取的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保证金，但因供应商自身原因导致无法及时退还的除外。 </w:t>
      </w:r>
    </w:p>
    <w:p w14:paraId="6C0BF0B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的项目已经收取</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保证金的，自终止采购活动后5个工作日内退还已收取的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保证金及其在银行产生的孳息。</w:t>
      </w:r>
    </w:p>
    <w:p w14:paraId="59CC77A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17.8有下列情形之一的，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保证金不予退还,</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55B83B7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0A09910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17.8.2供应商在响应文件中提供虚假材料的； </w:t>
      </w:r>
    </w:p>
    <w:p w14:paraId="4188981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17.8.3除因不可抗力或</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文件认可的情形以外，成交供应商不与采购人签订合同的； </w:t>
      </w:r>
    </w:p>
    <w:p w14:paraId="19A2B85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40CCB19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17.8.5</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文件规定的其他情形。</w:t>
      </w:r>
    </w:p>
    <w:p w14:paraId="2A9B7E6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17.9如开启时供应商对本单位</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保证金缴纳情况有疑义，供应商应在开启结束前向采购人提交书面申请核实保证金缴纳情况。由银行或保险公司核实后出具书面材料予以答复。</w:t>
      </w:r>
    </w:p>
    <w:p w14:paraId="7018BCE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1F3A8C5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直达链接（电子保函）：</w:t>
      </w:r>
    </w:p>
    <w:p w14:paraId="15E30E9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金融服务支撑热线：95763     </w:t>
      </w:r>
    </w:p>
    <w:p w14:paraId="784B78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18.响应文件的</w:t>
      </w:r>
      <w:bookmarkEnd w:id="266"/>
      <w:bookmarkEnd w:id="267"/>
      <w:bookmarkEnd w:id="268"/>
      <w:bookmarkEnd w:id="269"/>
      <w:r>
        <w:rPr>
          <w:rFonts w:hint="eastAsia" w:ascii="宋体" w:hAnsi="宋体" w:eastAsia="宋体" w:cs="宋体"/>
          <w:b/>
          <w:bCs/>
          <w:color w:val="auto"/>
          <w:kern w:val="2"/>
          <w:sz w:val="24"/>
          <w:szCs w:val="24"/>
          <w:highlight w:val="none"/>
          <w:lang w:val="en-US" w:eastAsia="zh-CN" w:bidi="ar-SA"/>
        </w:rPr>
        <w:t>加密</w:t>
      </w:r>
      <w:bookmarkEnd w:id="270"/>
      <w:bookmarkEnd w:id="271"/>
    </w:p>
    <w:p w14:paraId="105C769D">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中对响应文件进行加密。</w:t>
      </w:r>
    </w:p>
    <w:p w14:paraId="0AE412D5">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中对加密的响应文件进行解密验证，以防止响应文件加密异常，在开启时无法解密。</w:t>
      </w:r>
    </w:p>
    <w:p w14:paraId="79A877BA">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政府采购网（http://ccgp-bingtuan.gov.cn/）的”政采云登录入口”登录后，将加密电子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认为有必要提交的其他资料请于</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文件，采购代理机构有权予以拒绝，并退回</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p>
    <w:p w14:paraId="54A49319">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方式，无需提供电子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19.响应文件的</w:t>
      </w:r>
      <w:bookmarkEnd w:id="272"/>
      <w:bookmarkEnd w:id="273"/>
      <w:bookmarkEnd w:id="274"/>
      <w:bookmarkEnd w:id="275"/>
      <w:r>
        <w:rPr>
          <w:rFonts w:hint="eastAsia" w:ascii="宋体" w:hAnsi="宋体" w:eastAsia="宋体" w:cs="宋体"/>
          <w:b/>
          <w:bCs/>
          <w:color w:val="auto"/>
          <w:kern w:val="2"/>
          <w:sz w:val="24"/>
          <w:szCs w:val="24"/>
          <w:highlight w:val="none"/>
          <w:lang w:val="en-US" w:eastAsia="zh-CN" w:bidi="ar-SA"/>
        </w:rPr>
        <w:t>递交</w:t>
      </w:r>
      <w:bookmarkEnd w:id="276"/>
      <w:bookmarkEnd w:id="277"/>
      <w:r>
        <w:rPr>
          <w:rFonts w:hint="eastAsia" w:ascii="宋体" w:hAnsi="宋体" w:eastAsia="宋体" w:cs="宋体"/>
          <w:b/>
          <w:bCs/>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供应商应在“</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供应商递交（上传）响应文件的地点见“</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p>
    <w:p w14:paraId="74B3F1A5">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8" w:name="_Toc155095709"/>
      <w:bookmarkStart w:id="279" w:name="_Toc156490298"/>
      <w:r>
        <w:rPr>
          <w:rFonts w:hint="eastAsia" w:ascii="宋体" w:hAnsi="宋体" w:eastAsia="宋体" w:cs="宋体"/>
          <w:b/>
          <w:bCs/>
          <w:color w:val="auto"/>
          <w:kern w:val="2"/>
          <w:sz w:val="24"/>
          <w:szCs w:val="24"/>
          <w:highlight w:val="none"/>
          <w:lang w:val="en-US" w:eastAsia="zh-CN" w:bidi="ar-SA"/>
        </w:rPr>
        <w:t>20.拒收</w:t>
      </w:r>
      <w:bookmarkEnd w:id="278"/>
      <w:bookmarkEnd w:id="279"/>
    </w:p>
    <w:p w14:paraId="6764A5C0">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20.1超过递交响应文件的截止时间或者不按照本章要求加密的响应文件，交易系统应当拒收。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0" w:name="_Toc109900073"/>
      <w:bookmarkStart w:id="281" w:name="_Toc109900492"/>
      <w:bookmarkStart w:id="282" w:name="_Toc155095710"/>
      <w:bookmarkStart w:id="283" w:name="_Toc109899654"/>
      <w:bookmarkStart w:id="284" w:name="_Toc156490299"/>
      <w:bookmarkStart w:id="285" w:name="_Toc109897555"/>
      <w:r>
        <w:rPr>
          <w:rFonts w:hint="eastAsia" w:ascii="宋体" w:hAnsi="宋体" w:eastAsia="宋体" w:cs="宋体"/>
          <w:b/>
          <w:bCs/>
          <w:color w:val="auto"/>
          <w:kern w:val="2"/>
          <w:sz w:val="24"/>
          <w:szCs w:val="24"/>
          <w:highlight w:val="none"/>
          <w:lang w:val="en-US" w:eastAsia="zh-CN" w:bidi="ar-SA"/>
        </w:rPr>
        <w:t>21.响应文件的修改与撤回</w:t>
      </w:r>
      <w:bookmarkEnd w:id="280"/>
      <w:bookmarkEnd w:id="281"/>
      <w:bookmarkEnd w:id="282"/>
      <w:bookmarkEnd w:id="283"/>
      <w:bookmarkEnd w:id="284"/>
      <w:bookmarkEnd w:id="285"/>
    </w:p>
    <w:p w14:paraId="059E1BF2">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zh-CN" w:eastAsia="zh-CN"/>
        </w:rPr>
        <w:t>1</w:t>
      </w:r>
      <w:r>
        <w:rPr>
          <w:rFonts w:hint="eastAsia" w:ascii="宋体" w:hAnsi="宋体" w:eastAsia="宋体" w:cs="宋体"/>
          <w:snapToGrid w:val="0"/>
          <w:color w:val="auto"/>
          <w:sz w:val="24"/>
          <w:szCs w:val="24"/>
          <w:highlight w:val="none"/>
          <w:lang w:val="zh-CN"/>
        </w:rPr>
        <w:t>.1</w:t>
      </w:r>
      <w:bookmarkStart w:id="286" w:name="_Hlk143532466"/>
      <w:r>
        <w:rPr>
          <w:rFonts w:hint="eastAsia" w:ascii="宋体" w:hAnsi="宋体" w:eastAsia="宋体" w:cs="宋体"/>
          <w:snapToGrid w:val="0"/>
          <w:color w:val="auto"/>
          <w:sz w:val="24"/>
          <w:szCs w:val="24"/>
          <w:highlight w:val="none"/>
          <w:lang w:val="zh-CN" w:eastAsia="zh-CN"/>
        </w:rPr>
        <w:t>供应商</w:t>
      </w:r>
      <w:r>
        <w:rPr>
          <w:rFonts w:hint="eastAsia" w:ascii="宋体" w:hAnsi="宋体" w:eastAsia="宋体" w:cs="宋体"/>
          <w:snapToGrid w:val="0"/>
          <w:color w:val="auto"/>
          <w:sz w:val="24"/>
          <w:szCs w:val="24"/>
          <w:highlight w:val="none"/>
          <w:lang w:val="zh-CN"/>
        </w:rPr>
        <w:t>在</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规定的</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递交截止时间之前，可在</w:t>
      </w:r>
      <w:r>
        <w:rPr>
          <w:rFonts w:hint="eastAsia" w:cs="宋体"/>
          <w:snapToGrid w:val="0"/>
          <w:color w:val="auto"/>
          <w:sz w:val="24"/>
          <w:szCs w:val="24"/>
          <w:highlight w:val="none"/>
          <w:lang w:val="en-US" w:eastAsia="zh-CN"/>
        </w:rPr>
        <w:t>新疆</w:t>
      </w:r>
      <w:r>
        <w:rPr>
          <w:rFonts w:hint="eastAsia" w:ascii="宋体" w:hAnsi="宋体" w:eastAsia="宋体" w:cs="宋体"/>
          <w:snapToGrid w:val="0"/>
          <w:color w:val="auto"/>
          <w:sz w:val="24"/>
          <w:szCs w:val="24"/>
          <w:highlight w:val="none"/>
          <w:lang w:val="zh-CN"/>
        </w:rPr>
        <w:t>政府采购电子交易云平台上随时撤回已上传的电子</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，将修改好的电子</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在</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递交截止时间前重新上传到</w:t>
      </w:r>
      <w:r>
        <w:rPr>
          <w:rFonts w:hint="eastAsia" w:cs="宋体"/>
          <w:snapToGrid w:val="0"/>
          <w:color w:val="auto"/>
          <w:sz w:val="24"/>
          <w:szCs w:val="24"/>
          <w:highlight w:val="none"/>
          <w:lang w:val="en-US" w:eastAsia="zh-CN"/>
        </w:rPr>
        <w:t>新疆</w:t>
      </w:r>
      <w:r>
        <w:rPr>
          <w:rFonts w:hint="eastAsia" w:ascii="宋体" w:hAnsi="宋体" w:eastAsia="宋体" w:cs="宋体"/>
          <w:snapToGrid w:val="0"/>
          <w:color w:val="auto"/>
          <w:sz w:val="24"/>
          <w:szCs w:val="24"/>
          <w:highlight w:val="none"/>
          <w:lang w:val="zh-CN"/>
        </w:rPr>
        <w:t>政府采购电子交易云平台的</w:t>
      </w:r>
      <w:r>
        <w:rPr>
          <w:rFonts w:hint="eastAsia" w:ascii="宋体" w:hAnsi="宋体" w:eastAsia="宋体" w:cs="宋体"/>
          <w:snapToGrid w:val="0"/>
          <w:color w:val="auto"/>
          <w:sz w:val="24"/>
          <w:szCs w:val="24"/>
          <w:highlight w:val="none"/>
          <w:lang w:val="zh-CN" w:eastAsia="zh-CN"/>
        </w:rPr>
        <w:t>指</w:t>
      </w:r>
      <w:r>
        <w:rPr>
          <w:rFonts w:hint="eastAsia" w:ascii="宋体" w:hAnsi="宋体" w:eastAsia="宋体" w:cs="宋体"/>
          <w:snapToGrid w:val="0"/>
          <w:color w:val="auto"/>
          <w:sz w:val="24"/>
          <w:szCs w:val="24"/>
          <w:highlight w:val="none"/>
          <w:lang w:val="zh-CN"/>
        </w:rPr>
        <w:t>定位置。</w:t>
      </w:r>
    </w:p>
    <w:bookmarkEnd w:id="286"/>
    <w:p w14:paraId="4F9C167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7" w:name="_Toc155185973"/>
      <w:bookmarkStart w:id="288" w:name="_Toc155185874"/>
      <w:bookmarkStart w:id="289" w:name="_Toc158888664"/>
      <w:r>
        <w:rPr>
          <w:rFonts w:hint="eastAsia" w:ascii="宋体" w:hAnsi="宋体" w:eastAsia="宋体" w:cs="宋体"/>
          <w:b/>
          <w:bCs/>
          <w:color w:val="auto"/>
          <w:kern w:val="2"/>
          <w:sz w:val="24"/>
          <w:szCs w:val="24"/>
          <w:highlight w:val="none"/>
          <w:lang w:val="en-US" w:eastAsia="zh-CN" w:bidi="ar-SA"/>
        </w:rPr>
        <w:t>22.实物样品</w:t>
      </w:r>
      <w:bookmarkEnd w:id="287"/>
      <w:bookmarkEnd w:id="288"/>
      <w:bookmarkEnd w:id="289"/>
    </w:p>
    <w:p w14:paraId="3015EA9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22.1“供应商须知前附表”要求提供样品的，样品的具体要求及评审详见“第三章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采购需求”和“第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3F84A5">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22.2样品退还：未成交的供应商应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自行联系采购人取回递交样品；成交供应商的样品由采购人进行保管、封存，并作为履约验收的参考（竞争性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文件另有规定的从其规定）。</w:t>
      </w:r>
    </w:p>
    <w:p w14:paraId="56366B4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0" w:name="_Toc158888665"/>
      <w:bookmarkStart w:id="291" w:name="_Toc155185974"/>
      <w:bookmarkStart w:id="292" w:name="_Toc155185875"/>
      <w:r>
        <w:rPr>
          <w:rFonts w:hint="eastAsia" w:ascii="宋体" w:hAnsi="宋体" w:eastAsia="宋体" w:cs="宋体"/>
          <w:b/>
          <w:bCs/>
          <w:color w:val="auto"/>
          <w:kern w:val="2"/>
          <w:sz w:val="24"/>
          <w:szCs w:val="24"/>
          <w:highlight w:val="none"/>
          <w:lang w:val="en-US" w:eastAsia="zh-CN" w:bidi="ar-SA"/>
        </w:rPr>
        <w:t>23.项目演示</w:t>
      </w:r>
      <w:bookmarkEnd w:id="290"/>
      <w:bookmarkEnd w:id="291"/>
      <w:bookmarkEnd w:id="292"/>
    </w:p>
    <w:p w14:paraId="3C48391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23.1要求供应商进行演示的，演示要求详见“供应商须知前附表”。</w:t>
      </w:r>
    </w:p>
    <w:p w14:paraId="22102C81">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23.2演示的评审详见“第三章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采购需求”和“第四章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6B46A24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3" w:name="_Toc163493615"/>
      <w:bookmarkStart w:id="294" w:name="_Toc3263"/>
      <w:bookmarkStart w:id="295" w:name="_Toc109897458"/>
      <w:bookmarkStart w:id="296" w:name="_Toc109900395"/>
      <w:bookmarkStart w:id="297" w:name="_Toc109899976"/>
      <w:bookmarkStart w:id="298" w:name="_Toc109899557"/>
      <w:bookmarkStart w:id="299" w:name="_Toc46771664"/>
      <w:bookmarkStart w:id="300" w:name="_Toc470172689"/>
      <w:r>
        <w:rPr>
          <w:rFonts w:hint="eastAsia" w:ascii="宋体" w:hAnsi="宋体" w:eastAsia="宋体" w:cs="宋体"/>
          <w:b/>
          <w:bCs/>
          <w:color w:val="auto"/>
          <w:kern w:val="2"/>
          <w:sz w:val="24"/>
          <w:szCs w:val="24"/>
          <w:highlight w:val="none"/>
          <w:lang w:val="en-US" w:eastAsia="zh-CN" w:bidi="ar-SA"/>
        </w:rPr>
        <w:t>（五）</w:t>
      </w:r>
      <w:bookmarkEnd w:id="293"/>
      <w:r>
        <w:rPr>
          <w:rFonts w:hint="eastAsia" w:ascii="宋体" w:hAnsi="宋体" w:eastAsia="宋体" w:cs="宋体"/>
          <w:b/>
          <w:bCs/>
          <w:color w:val="auto"/>
          <w:kern w:val="2"/>
          <w:sz w:val="24"/>
          <w:szCs w:val="24"/>
          <w:highlight w:val="none"/>
          <w:lang w:val="en-US" w:eastAsia="zh-CN" w:bidi="ar-SA"/>
        </w:rPr>
        <w:t>响应文件开启</w:t>
      </w:r>
      <w:bookmarkEnd w:id="294"/>
    </w:p>
    <w:p w14:paraId="750D72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1" w:name="_Hlk161704700"/>
      <w:r>
        <w:rPr>
          <w:rFonts w:hint="eastAsia" w:ascii="宋体" w:hAnsi="宋体" w:eastAsia="宋体" w:cs="宋体"/>
          <w:b/>
          <w:bCs/>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bCs/>
          <w:color w:val="auto"/>
          <w:sz w:val="24"/>
          <w:szCs w:val="24"/>
          <w:highlight w:val="none"/>
        </w:rPr>
      </w:pPr>
      <w:bookmarkStart w:id="302" w:name="_Toc140132781"/>
      <w:r>
        <w:rPr>
          <w:rFonts w:hint="eastAsia" w:ascii="宋体" w:hAnsi="宋体" w:eastAsia="宋体" w:cs="宋体"/>
          <w:color w:val="auto"/>
          <w:sz w:val="24"/>
          <w:szCs w:val="24"/>
          <w:highlight w:val="none"/>
        </w:rPr>
        <w:t>24.1供应商应按照“</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”中的要求参与开启。</w:t>
      </w:r>
      <w:bookmarkEnd w:id="302"/>
    </w:p>
    <w:p w14:paraId="44C062A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3" w:name="_Toc161600316"/>
      <w:bookmarkStart w:id="304" w:name="_Toc140132782"/>
      <w:r>
        <w:rPr>
          <w:rFonts w:hint="eastAsia" w:ascii="宋体" w:hAnsi="宋体" w:eastAsia="宋体" w:cs="宋体"/>
          <w:b/>
          <w:bCs/>
          <w:color w:val="auto"/>
          <w:kern w:val="2"/>
          <w:sz w:val="24"/>
          <w:szCs w:val="24"/>
          <w:highlight w:val="none"/>
          <w:lang w:val="en-US" w:eastAsia="zh-CN" w:bidi="ar-SA"/>
        </w:rPr>
        <w:t>25.开启时间和地点</w:t>
      </w:r>
      <w:bookmarkEnd w:id="303"/>
      <w:bookmarkEnd w:id="304"/>
    </w:p>
    <w:p w14:paraId="19FC62D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25.1开启时间和地点</w:t>
      </w:r>
    </w:p>
    <w:p w14:paraId="74263C6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进入交易系统</w:t>
      </w:r>
      <w:r>
        <w:rPr>
          <w:rFonts w:hint="eastAsia" w:ascii="宋体" w:hAnsi="宋体" w:eastAsia="宋体" w:cs="宋体"/>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规</w:t>
      </w:r>
      <w:r>
        <w:rPr>
          <w:rFonts w:hint="eastAsia" w:ascii="宋体" w:hAnsi="宋体" w:eastAsia="宋体" w:cs="宋体"/>
          <w:color w:val="auto"/>
          <w:sz w:val="24"/>
          <w:szCs w:val="24"/>
          <w:highlight w:val="none"/>
          <w:lang w:val="zh-CN"/>
        </w:rPr>
        <w:t>定的</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lang w:val="zh-CN"/>
        </w:rPr>
        <w:t>响应文件截止时间、开启时间及地点，采购代理机构通过</w:t>
      </w:r>
      <w:r>
        <w:rPr>
          <w:rFonts w:hint="eastAsia" w:cs="宋体"/>
          <w:color w:val="auto"/>
          <w:sz w:val="24"/>
          <w:szCs w:val="24"/>
          <w:highlight w:val="none"/>
          <w:lang w:val="zh-CN" w:eastAsia="zh-CN"/>
        </w:rPr>
        <w:t>新疆</w:t>
      </w:r>
      <w:r>
        <w:rPr>
          <w:rFonts w:hint="eastAsia" w:ascii="宋体" w:hAnsi="宋体" w:eastAsia="宋体" w:cs="宋体"/>
          <w:color w:val="auto"/>
          <w:sz w:val="24"/>
          <w:szCs w:val="24"/>
          <w:highlight w:val="none"/>
          <w:lang w:val="zh-CN" w:eastAsia="zh-CN"/>
        </w:rPr>
        <w:t>政府采购电子交易云平台</w:t>
      </w:r>
      <w:r>
        <w:rPr>
          <w:rFonts w:hint="eastAsia" w:ascii="宋体" w:hAnsi="宋体" w:eastAsia="宋体" w:cs="宋体"/>
          <w:color w:val="auto"/>
          <w:kern w:val="2"/>
          <w:sz w:val="24"/>
          <w:szCs w:val="24"/>
          <w:highlight w:val="none"/>
        </w:rPr>
        <w:t>的“政采云远程开标大厅”</w:t>
      </w:r>
      <w:r>
        <w:rPr>
          <w:rFonts w:hint="eastAsia" w:ascii="宋体" w:hAnsi="宋体" w:eastAsia="宋体" w:cs="宋体"/>
          <w:color w:val="auto"/>
          <w:sz w:val="24"/>
          <w:szCs w:val="24"/>
          <w:highlight w:val="none"/>
          <w:lang w:val="zh-CN"/>
        </w:rPr>
        <w:t>组织响应文件开启工作。</w:t>
      </w:r>
    </w:p>
    <w:p w14:paraId="66534CB4">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25.2响应文件开启：</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25.3规定的时间内，非因</w:t>
      </w:r>
      <w:r>
        <w:rPr>
          <w:rFonts w:hint="eastAsia" w:cs="宋体"/>
          <w:color w:val="auto"/>
          <w:sz w:val="24"/>
          <w:szCs w:val="24"/>
          <w:highlight w:val="none"/>
          <w:lang w:val="zh-CN" w:eastAsia="zh-CN"/>
        </w:rPr>
        <w:t>新疆</w:t>
      </w:r>
      <w:r>
        <w:rPr>
          <w:rFonts w:hint="eastAsia" w:ascii="宋体" w:hAnsi="宋体" w:eastAsia="宋体" w:cs="宋体"/>
          <w:color w:val="auto"/>
          <w:sz w:val="24"/>
          <w:szCs w:val="24"/>
          <w:highlight w:val="none"/>
          <w:lang w:val="zh-CN" w:eastAsia="zh-CN"/>
        </w:rPr>
        <w:t>政府采购电子交易云平台</w:t>
      </w:r>
      <w:r>
        <w:rPr>
          <w:rFonts w:hint="eastAsia" w:ascii="宋体" w:hAnsi="宋体" w:eastAsia="宋体" w:cs="宋体"/>
          <w:color w:val="auto"/>
          <w:sz w:val="24"/>
          <w:szCs w:val="24"/>
          <w:highlight w:val="none"/>
        </w:rPr>
        <w:t>原因造成响应文件未解密的，视为供应商撤回响应文件。</w:t>
      </w:r>
      <w:r>
        <w:rPr>
          <w:rFonts w:hint="eastAsia" w:ascii="宋体" w:hAnsi="宋体" w:eastAsia="宋体" w:cs="宋体"/>
          <w:color w:val="auto"/>
          <w:sz w:val="24"/>
          <w:szCs w:val="24"/>
          <w:highlight w:val="none"/>
          <w:lang w:val="en-US" w:eastAsia="zh-CN"/>
        </w:rPr>
        <w:t>供应商不足3家的，不予解密；</w:t>
      </w:r>
      <w:r>
        <w:rPr>
          <w:rFonts w:hint="eastAsia" w:ascii="宋体" w:hAnsi="宋体" w:eastAsia="宋体" w:cs="宋体"/>
          <w:color w:val="auto"/>
          <w:sz w:val="24"/>
          <w:szCs w:val="24"/>
          <w:highlight w:val="none"/>
        </w:rPr>
        <w:t>停止解密后，已解密开启的响应文件不足3家的，应当终止采购活动。公开招标的货物和服务项目，招标过程中提交投标文件或者经评审实质性响应招标文件要求的供应商只有2家时，经本级财政部门批准后采用竞争性谈判方式采购的可以为2家</w:t>
      </w:r>
      <w:r>
        <w:rPr>
          <w:rFonts w:hint="eastAsia" w:cs="宋体"/>
          <w:color w:val="auto"/>
          <w:sz w:val="24"/>
          <w:szCs w:val="24"/>
          <w:highlight w:val="none"/>
          <w:lang w:eastAsia="zh-CN"/>
        </w:rPr>
        <w:t>。</w:t>
      </w:r>
    </w:p>
    <w:p w14:paraId="46075363">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会议中提出询问或者回避申请。采购人、采购代理机构对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授权代表提出的询问或者回避申请应当及时处理。</w:t>
      </w:r>
    </w:p>
    <w:p w14:paraId="0486AA5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lang w:val="en-US" w:eastAsia="zh-CN"/>
        </w:rPr>
        <w:t>5供应商</w:t>
      </w:r>
      <w:r>
        <w:rPr>
          <w:rFonts w:hint="eastAsia" w:ascii="宋体" w:hAnsi="宋体" w:eastAsia="宋体" w:cs="宋体"/>
          <w:color w:val="auto"/>
          <w:sz w:val="24"/>
          <w:szCs w:val="24"/>
          <w:highlight w:val="none"/>
        </w:rPr>
        <w:t>未参加开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的，视同认可开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结果。</w:t>
      </w:r>
    </w:p>
    <w:bookmarkEnd w:id="295"/>
    <w:bookmarkEnd w:id="296"/>
    <w:bookmarkEnd w:id="297"/>
    <w:bookmarkEnd w:id="298"/>
    <w:bookmarkEnd w:id="299"/>
    <w:bookmarkEnd w:id="300"/>
    <w:bookmarkEnd w:id="301"/>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5" w:name="_Toc163492854"/>
      <w:bookmarkStart w:id="306" w:name="_Toc140132785"/>
      <w:bookmarkStart w:id="307" w:name="_Toc19270"/>
      <w:bookmarkStart w:id="308" w:name="_Toc155185877"/>
      <w:r>
        <w:rPr>
          <w:rFonts w:hint="eastAsia" w:ascii="宋体" w:hAnsi="宋体" w:eastAsia="宋体" w:cs="宋体"/>
          <w:b/>
          <w:bCs/>
          <w:color w:val="auto"/>
          <w:kern w:val="2"/>
          <w:sz w:val="24"/>
          <w:szCs w:val="24"/>
          <w:highlight w:val="none"/>
          <w:lang w:val="en-US" w:eastAsia="zh-CN" w:bidi="ar-SA"/>
        </w:rPr>
        <w:t>（六）资格审查</w:t>
      </w:r>
      <w:bookmarkEnd w:id="305"/>
      <w:bookmarkEnd w:id="306"/>
      <w:bookmarkEnd w:id="307"/>
      <w:bookmarkEnd w:id="30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9" w:name="_Toc163492855"/>
      <w:r>
        <w:rPr>
          <w:rFonts w:hint="eastAsia" w:ascii="宋体" w:hAnsi="宋体" w:eastAsia="宋体" w:cs="宋体"/>
          <w:b/>
          <w:bCs/>
          <w:color w:val="auto"/>
          <w:kern w:val="2"/>
          <w:sz w:val="24"/>
          <w:szCs w:val="24"/>
          <w:highlight w:val="none"/>
          <w:lang w:val="en-US" w:eastAsia="zh-CN" w:bidi="ar-SA"/>
        </w:rPr>
        <w:t>26.资格审查及审查主体</w:t>
      </w:r>
      <w:bookmarkEnd w:id="309"/>
    </w:p>
    <w:p w14:paraId="3F6E8AD4">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10"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w:t>
      </w:r>
      <w:r>
        <w:rPr>
          <w:rFonts w:hint="eastAsia" w:ascii="宋体" w:hAnsi="宋体" w:eastAsia="宋体" w:cs="宋体"/>
          <w:color w:val="auto"/>
          <w:sz w:val="24"/>
          <w:szCs w:val="24"/>
          <w:highlight w:val="none"/>
        </w:rPr>
        <w:t>依据法律法规和本</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文件的规定，依法对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资格进行审查，以确定</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是否具备</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资格。</w:t>
      </w:r>
      <w:bookmarkEnd w:id="310"/>
    </w:p>
    <w:p w14:paraId="6F7626D3">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11"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val="zh-CN"/>
        </w:rPr>
        <w:t>评审</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snapToGrid w:val="0"/>
          <w:color w:val="auto"/>
          <w:sz w:val="24"/>
          <w:szCs w:val="24"/>
          <w:highlight w:val="none"/>
          <w:lang w:val="zh-CN"/>
        </w:rPr>
        <w:t>法及标准</w:t>
      </w:r>
      <w:r>
        <w:rPr>
          <w:rFonts w:hint="eastAsia" w:ascii="宋体" w:hAnsi="宋体" w:eastAsia="宋体" w:cs="宋体"/>
          <w:color w:val="auto"/>
          <w:sz w:val="24"/>
          <w:szCs w:val="24"/>
          <w:highlight w:val="none"/>
        </w:rPr>
        <w:t>”的规定进行。</w:t>
      </w:r>
      <w:bookmarkEnd w:id="311"/>
    </w:p>
    <w:p w14:paraId="44D43B82">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12"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312"/>
    </w:p>
    <w:p w14:paraId="272F167A">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26.4</w:t>
      </w:r>
      <w:r>
        <w:rPr>
          <w:rFonts w:hint="eastAsia" w:ascii="宋体" w:hAnsi="宋体" w:eastAsia="宋体" w:cs="宋体"/>
          <w:color w:val="auto"/>
          <w:sz w:val="24"/>
          <w:szCs w:val="24"/>
          <w:highlight w:val="none"/>
        </w:rPr>
        <w:t>资格审查合格</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不足3家的，不得评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3" w:name="_Toc140132789"/>
      <w:bookmarkStart w:id="314" w:name="_Toc155185878"/>
      <w:bookmarkStart w:id="315" w:name="_Toc163492856"/>
      <w:bookmarkStart w:id="316" w:name="_Toc11374"/>
      <w:r>
        <w:rPr>
          <w:rFonts w:hint="eastAsia" w:ascii="宋体" w:hAnsi="宋体" w:eastAsia="宋体" w:cs="宋体"/>
          <w:b/>
          <w:bCs/>
          <w:color w:val="auto"/>
          <w:kern w:val="2"/>
          <w:sz w:val="24"/>
          <w:szCs w:val="24"/>
          <w:highlight w:val="none"/>
          <w:lang w:val="en-US" w:eastAsia="zh-CN" w:bidi="ar-SA"/>
        </w:rPr>
        <w:t>（七）项目评</w:t>
      </w:r>
      <w:bookmarkEnd w:id="313"/>
      <w:bookmarkEnd w:id="314"/>
      <w:bookmarkEnd w:id="315"/>
      <w:r>
        <w:rPr>
          <w:rFonts w:hint="eastAsia" w:ascii="宋体" w:hAnsi="宋体" w:eastAsia="宋体" w:cs="宋体"/>
          <w:b/>
          <w:bCs/>
          <w:color w:val="auto"/>
          <w:kern w:val="2"/>
          <w:sz w:val="24"/>
          <w:szCs w:val="24"/>
          <w:highlight w:val="none"/>
          <w:lang w:val="en-US" w:eastAsia="zh-CN" w:bidi="ar-SA"/>
        </w:rPr>
        <w:t>审</w:t>
      </w:r>
      <w:bookmarkEnd w:id="316"/>
    </w:p>
    <w:p w14:paraId="4C04D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en-US" w:eastAsia="zh-CN"/>
        </w:rPr>
        <w:t>7</w:t>
      </w: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评审方法：谈判小组与符合资格条件的供应商就采购货物、工程和服务事宜进行谈判，供应商按照谈判文件的要求提交响应文件和最后报价，采购人从谈判小组提出的成交候选人中确定成交供应商。</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en-US" w:eastAsia="zh-CN"/>
        </w:rPr>
        <w:t>本</w:t>
      </w:r>
      <w:r>
        <w:rPr>
          <w:rFonts w:hint="eastAsia" w:ascii="宋体" w:hAnsi="宋体" w:eastAsia="宋体" w:cs="宋体"/>
          <w:snapToGrid w:val="0"/>
          <w:color w:val="auto"/>
          <w:sz w:val="24"/>
          <w:szCs w:val="24"/>
          <w:highlight w:val="none"/>
          <w:lang w:val="zh-CN"/>
        </w:rPr>
        <w:t>项目评审方法、程序及标准详见“第</w:t>
      </w:r>
      <w:r>
        <w:rPr>
          <w:rFonts w:hint="eastAsia" w:ascii="宋体" w:hAnsi="宋体" w:eastAsia="宋体" w:cs="宋体"/>
          <w:snapToGrid w:val="0"/>
          <w:color w:val="auto"/>
          <w:sz w:val="24"/>
          <w:szCs w:val="24"/>
          <w:highlight w:val="none"/>
          <w:lang w:val="en-US" w:eastAsia="zh-CN"/>
        </w:rPr>
        <w:t>四</w:t>
      </w:r>
      <w:r>
        <w:rPr>
          <w:rFonts w:hint="eastAsia" w:ascii="宋体" w:hAnsi="宋体" w:eastAsia="宋体" w:cs="宋体"/>
          <w:snapToGrid w:val="0"/>
          <w:color w:val="auto"/>
          <w:sz w:val="24"/>
          <w:szCs w:val="24"/>
          <w:highlight w:val="none"/>
          <w:lang w:val="zh-CN"/>
        </w:rPr>
        <w:t>章 评审</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en-US" w:eastAsia="zh-CN"/>
        </w:rPr>
        <w:t>7</w:t>
      </w:r>
      <w:r>
        <w:rPr>
          <w:rFonts w:hint="eastAsia" w:ascii="宋体" w:hAnsi="宋体" w:eastAsia="宋体" w:cs="宋体"/>
          <w:snapToGrid w:val="0"/>
          <w:color w:val="auto"/>
          <w:sz w:val="24"/>
          <w:szCs w:val="24"/>
          <w:highlight w:val="none"/>
          <w:lang w:val="zh-CN"/>
        </w:rPr>
        <w:t>.2</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准备：供应商应当按照“</w:t>
      </w:r>
      <w:r>
        <w:rPr>
          <w:rFonts w:hint="eastAsia" w:ascii="宋体" w:hAnsi="宋体" w:eastAsia="宋体" w:cs="宋体"/>
          <w:snapToGrid w:val="0"/>
          <w:color w:val="auto"/>
          <w:sz w:val="24"/>
          <w:szCs w:val="24"/>
          <w:highlight w:val="none"/>
          <w:lang w:val="zh-CN" w:eastAsia="zh-CN"/>
        </w:rPr>
        <w:t>第</w:t>
      </w:r>
      <w:r>
        <w:rPr>
          <w:rFonts w:hint="eastAsia" w:ascii="宋体" w:hAnsi="宋体" w:eastAsia="宋体" w:cs="宋体"/>
          <w:snapToGrid w:val="0"/>
          <w:color w:val="auto"/>
          <w:sz w:val="24"/>
          <w:szCs w:val="24"/>
          <w:highlight w:val="none"/>
          <w:lang w:val="en-US" w:eastAsia="zh-CN"/>
        </w:rPr>
        <w:t>二</w:t>
      </w:r>
      <w:r>
        <w:rPr>
          <w:rFonts w:hint="eastAsia" w:ascii="宋体" w:hAnsi="宋体" w:eastAsia="宋体" w:cs="宋体"/>
          <w:snapToGrid w:val="0"/>
          <w:color w:val="auto"/>
          <w:sz w:val="24"/>
          <w:szCs w:val="24"/>
          <w:highlight w:val="none"/>
          <w:lang w:val="zh-CN" w:eastAsia="zh-CN"/>
        </w:rPr>
        <w:t xml:space="preserve">章 </w:t>
      </w:r>
      <w:r>
        <w:rPr>
          <w:rFonts w:hint="eastAsia" w:ascii="宋体" w:hAnsi="宋体" w:eastAsia="宋体" w:cs="宋体"/>
          <w:snapToGrid w:val="0"/>
          <w:color w:val="auto"/>
          <w:sz w:val="24"/>
          <w:szCs w:val="24"/>
          <w:highlight w:val="none"/>
          <w:lang w:val="en-US" w:eastAsia="zh-CN"/>
        </w:rPr>
        <w:t>供应商须知</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的</w:t>
      </w:r>
      <w:r>
        <w:rPr>
          <w:rFonts w:hint="eastAsia" w:ascii="宋体" w:hAnsi="宋体" w:eastAsia="宋体" w:cs="宋体"/>
          <w:snapToGrid w:val="0"/>
          <w:color w:val="auto"/>
          <w:sz w:val="24"/>
          <w:szCs w:val="24"/>
          <w:highlight w:val="none"/>
          <w:lang w:val="zh-CN"/>
        </w:rPr>
        <w:t>要求提前准备好</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所需的设备，确保设备稳定可靠、互联网畅通。</w:t>
      </w:r>
      <w:r>
        <w:rPr>
          <w:rFonts w:hint="eastAsia" w:ascii="宋体" w:hAnsi="宋体" w:eastAsia="宋体" w:cs="宋体"/>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进入交易系统“</w:t>
      </w:r>
      <w:r>
        <w:rPr>
          <w:rFonts w:hint="eastAsia" w:ascii="宋体" w:hAnsi="宋体" w:eastAsia="宋体" w:cs="宋体"/>
          <w:snapToGrid w:val="0"/>
          <w:color w:val="auto"/>
          <w:sz w:val="24"/>
          <w:szCs w:val="24"/>
          <w:highlight w:val="none"/>
          <w:lang w:val="en-US" w:eastAsia="zh-CN"/>
        </w:rPr>
        <w:t>开</w:t>
      </w:r>
      <w:r>
        <w:rPr>
          <w:rFonts w:hint="eastAsia" w:ascii="宋体" w:hAnsi="宋体" w:eastAsia="宋体" w:cs="宋体"/>
          <w:snapToGrid w:val="0"/>
          <w:color w:val="auto"/>
          <w:sz w:val="24"/>
          <w:szCs w:val="24"/>
          <w:highlight w:val="none"/>
          <w:lang w:val="zh-CN"/>
        </w:rPr>
        <w:t>标大厅”，准时参加在线</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7" w:name="_Toc163492857"/>
      <w:bookmarkStart w:id="318" w:name="_Toc140132790"/>
      <w:r>
        <w:rPr>
          <w:rFonts w:hint="eastAsia" w:ascii="宋体" w:hAnsi="宋体" w:eastAsia="宋体" w:cs="宋体"/>
          <w:b/>
          <w:bCs/>
          <w:color w:val="auto"/>
          <w:kern w:val="2"/>
          <w:sz w:val="24"/>
          <w:szCs w:val="24"/>
          <w:highlight w:val="none"/>
          <w:lang w:val="en-US" w:eastAsia="zh-CN" w:bidi="ar-SA"/>
        </w:rPr>
        <w:t>28.</w:t>
      </w:r>
      <w:bookmarkEnd w:id="317"/>
      <w:bookmarkEnd w:id="318"/>
      <w:r>
        <w:rPr>
          <w:rFonts w:hint="eastAsia" w:ascii="宋体" w:hAnsi="宋体" w:eastAsia="宋体" w:cs="宋体"/>
          <w:b/>
          <w:bCs/>
          <w:color w:val="auto"/>
          <w:kern w:val="2"/>
          <w:sz w:val="24"/>
          <w:szCs w:val="24"/>
          <w:highlight w:val="none"/>
          <w:lang w:val="en-US" w:eastAsia="zh-CN" w:bidi="ar-SA"/>
        </w:rPr>
        <w:t>谈判小组</w:t>
      </w:r>
    </w:p>
    <w:p w14:paraId="6C1089B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小组由采购人代表和评审专家共3人以上单数组成，其中评审专家人数不得少于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小组成员总数的2/3。采购人代表不得以评审专家身份参加本部门或本单位采购项目的评审。采购代理机构人员不得参加本机构代理的采购项目的评审。</w:t>
      </w:r>
    </w:p>
    <w:p w14:paraId="301CAD8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小组成员有下列情形之一的，应当回避：</w:t>
      </w:r>
    </w:p>
    <w:p w14:paraId="0656ACE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w:t>
      </w:r>
      <w:r>
        <w:rPr>
          <w:rFonts w:hint="eastAsia" w:ascii="宋体" w:hAnsi="宋体" w:eastAsia="宋体" w:cs="宋体"/>
          <w:color w:val="auto"/>
          <w:sz w:val="24"/>
          <w:szCs w:val="24"/>
          <w:highlight w:val="none"/>
          <w:lang w:val="en-US" w:eastAsia="zh-CN"/>
        </w:rPr>
        <w:t>谈判供应商</w:t>
      </w:r>
      <w:r>
        <w:rPr>
          <w:rFonts w:hint="eastAsia" w:ascii="宋体" w:hAnsi="宋体" w:eastAsia="宋体" w:cs="宋体"/>
          <w:color w:val="auto"/>
          <w:sz w:val="24"/>
          <w:szCs w:val="24"/>
          <w:highlight w:val="none"/>
        </w:rPr>
        <w:t>存在劳动关系；</w:t>
      </w:r>
    </w:p>
    <w:p w14:paraId="55B6A1B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w:t>
      </w:r>
      <w:r>
        <w:rPr>
          <w:rFonts w:hint="eastAsia" w:ascii="宋体" w:hAnsi="宋体" w:eastAsia="宋体" w:cs="宋体"/>
          <w:color w:val="auto"/>
          <w:sz w:val="24"/>
          <w:szCs w:val="24"/>
          <w:highlight w:val="none"/>
          <w:lang w:val="en-US" w:eastAsia="zh-CN"/>
        </w:rPr>
        <w:t>谈判供应商</w:t>
      </w:r>
      <w:r>
        <w:rPr>
          <w:rFonts w:hint="eastAsia" w:ascii="宋体" w:hAnsi="宋体" w:eastAsia="宋体" w:cs="宋体"/>
          <w:color w:val="auto"/>
          <w:sz w:val="24"/>
          <w:szCs w:val="24"/>
          <w:highlight w:val="none"/>
        </w:rPr>
        <w:t>的董事、监事；</w:t>
      </w:r>
    </w:p>
    <w:p w14:paraId="61A1D2B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的控股股东或者实际控制人；</w:t>
      </w:r>
    </w:p>
    <w:p w14:paraId="2961D58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的法定代表人或者负责人有夫妻、直系血亲、三代以内旁系血亲或者近姻亲关系；</w:t>
      </w:r>
    </w:p>
    <w:p w14:paraId="20FB9B7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9" w:name="_Toc140132791"/>
      <w:bookmarkStart w:id="320" w:name="_Toc163492858"/>
      <w:r>
        <w:rPr>
          <w:rFonts w:hint="eastAsia" w:ascii="宋体" w:hAnsi="宋体" w:eastAsia="宋体" w:cs="宋体"/>
          <w:b/>
          <w:bCs/>
          <w:color w:val="auto"/>
          <w:kern w:val="2"/>
          <w:sz w:val="24"/>
          <w:szCs w:val="24"/>
          <w:highlight w:val="none"/>
          <w:lang w:val="en-US" w:eastAsia="zh-CN" w:bidi="ar-SA"/>
        </w:rPr>
        <w:t>29.</w:t>
      </w:r>
      <w:bookmarkEnd w:id="319"/>
      <w:bookmarkEnd w:id="320"/>
      <w:r>
        <w:rPr>
          <w:rFonts w:hint="eastAsia" w:ascii="宋体" w:hAnsi="宋体" w:eastAsia="宋体" w:cs="宋体"/>
          <w:b/>
          <w:bCs/>
          <w:color w:val="auto"/>
          <w:kern w:val="2"/>
          <w:sz w:val="24"/>
          <w:szCs w:val="24"/>
          <w:highlight w:val="none"/>
          <w:lang w:val="en-US" w:eastAsia="zh-CN" w:bidi="ar-SA"/>
        </w:rPr>
        <w:t>评审</w:t>
      </w:r>
    </w:p>
    <w:p w14:paraId="418DE4C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 谈判</w:t>
      </w:r>
      <w:r>
        <w:rPr>
          <w:rFonts w:hint="eastAsia" w:ascii="宋体" w:hAnsi="宋体" w:eastAsia="宋体" w:cs="宋体"/>
          <w:color w:val="auto"/>
          <w:sz w:val="24"/>
          <w:szCs w:val="24"/>
          <w:highlight w:val="none"/>
        </w:rPr>
        <w:t>小组按照“第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文件进行评审。“第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方法及标准”没有规定的方法、评审因素和标准，不作为评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依据。</w:t>
      </w:r>
      <w:r>
        <w:rPr>
          <w:rFonts w:hint="eastAsia" w:cs="宋体"/>
          <w:color w:val="auto"/>
          <w:sz w:val="24"/>
          <w:szCs w:val="24"/>
          <w:highlight w:val="none"/>
          <w:lang w:val="en-US" w:eastAsia="zh-CN"/>
        </w:rPr>
        <w:t>本项目谈判轮次及谈判顺序详“供应商须知前附表”。</w:t>
      </w:r>
    </w:p>
    <w:p w14:paraId="1A9007D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须知前附表”规定的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候选人数量在评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报告中向采购人推荐</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w:t>
      </w:r>
    </w:p>
    <w:p w14:paraId="1E63454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29.3 开启之后，直到签订合同止，凡是属于审查、澄清、评价和比较</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的有关资料以及确定成交意向等，均不得向供应商或者其他与评审无关的人员透露。</w:t>
      </w:r>
    </w:p>
    <w:p w14:paraId="57927CB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在确定成交人之前，供应商试图在响应文件审查、澄清、比较和评审时对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w:t>
      </w:r>
      <w:r>
        <w:rPr>
          <w:rFonts w:hint="eastAsia" w:ascii="宋体" w:hAnsi="宋体" w:eastAsia="宋体" w:cs="宋体"/>
          <w:color w:val="auto"/>
          <w:sz w:val="24"/>
          <w:szCs w:val="24"/>
          <w:highlight w:val="none"/>
          <w:lang w:val="en-US" w:eastAsia="zh-CN"/>
        </w:rPr>
        <w:t>、采购人和采购代理机构施加任何影响都可能导致其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color w:val="auto"/>
          <w:sz w:val="24"/>
          <w:szCs w:val="24"/>
          <w:highlight w:val="none"/>
          <w:lang w:val="en-US" w:eastAsia="zh-CN"/>
        </w:rPr>
        <w:t>。</w:t>
      </w:r>
    </w:p>
    <w:p w14:paraId="32A3200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电子招投标的应急措施</w:t>
      </w:r>
    </w:p>
    <w:p w14:paraId="52525CD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29.5.1电子开启、评审如出现下列原因，导致系统无法正常运行或无法正常评审时，应采取应急措施。</w:t>
      </w:r>
    </w:p>
    <w:p w14:paraId="3D99F56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供应商瑕疵滞后发现的处理规则</w:t>
      </w:r>
    </w:p>
    <w:p w14:paraId="11E85EA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1" w:name="_Toc109899563"/>
      <w:bookmarkStart w:id="322" w:name="_Toc109900401"/>
      <w:bookmarkStart w:id="323" w:name="_Toc46771670"/>
      <w:bookmarkStart w:id="324" w:name="_Toc163493616"/>
      <w:bookmarkStart w:id="325" w:name="_Toc109899982"/>
      <w:bookmarkStart w:id="326" w:name="_Toc3567"/>
      <w:bookmarkStart w:id="327" w:name="_Toc470172692"/>
      <w:bookmarkStart w:id="328" w:name="_Toc109897464"/>
      <w:r>
        <w:rPr>
          <w:rFonts w:hint="eastAsia" w:ascii="宋体" w:hAnsi="宋体" w:eastAsia="宋体" w:cs="宋体"/>
          <w:b/>
          <w:bCs/>
          <w:color w:val="auto"/>
          <w:kern w:val="2"/>
          <w:sz w:val="24"/>
          <w:szCs w:val="24"/>
          <w:highlight w:val="none"/>
          <w:lang w:val="en-US" w:eastAsia="zh-CN" w:bidi="ar-SA"/>
        </w:rPr>
        <w:t>（八）成交</w:t>
      </w:r>
      <w:bookmarkEnd w:id="321"/>
      <w:bookmarkEnd w:id="322"/>
      <w:bookmarkEnd w:id="323"/>
      <w:bookmarkEnd w:id="324"/>
      <w:bookmarkEnd w:id="325"/>
      <w:bookmarkEnd w:id="326"/>
      <w:bookmarkEnd w:id="327"/>
      <w:bookmarkEnd w:id="328"/>
    </w:p>
    <w:p w14:paraId="59C81E9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9" w:name="_Toc46772272"/>
      <w:bookmarkStart w:id="330" w:name="_Toc109899564"/>
      <w:bookmarkStart w:id="331" w:name="_Toc52962758"/>
      <w:bookmarkStart w:id="332" w:name="_Toc48688820"/>
      <w:bookmarkStart w:id="333" w:name="_Toc109897465"/>
      <w:bookmarkStart w:id="334" w:name="_Toc109899983"/>
      <w:bookmarkStart w:id="335" w:name="_Toc51674242"/>
      <w:bookmarkStart w:id="336" w:name="_Toc52960584"/>
      <w:bookmarkStart w:id="337" w:name="_Toc48846140"/>
      <w:bookmarkStart w:id="338" w:name="_Toc46771671"/>
      <w:bookmarkStart w:id="339" w:name="_Toc109900402"/>
      <w:bookmarkStart w:id="340" w:name="_Hlk143533953"/>
      <w:r>
        <w:rPr>
          <w:rFonts w:hint="eastAsia" w:ascii="宋体" w:hAnsi="宋体" w:eastAsia="宋体" w:cs="宋体"/>
          <w:b/>
          <w:bCs/>
          <w:color w:val="auto"/>
          <w:kern w:val="2"/>
          <w:sz w:val="24"/>
          <w:szCs w:val="24"/>
          <w:highlight w:val="none"/>
          <w:lang w:val="en-US" w:eastAsia="zh-CN" w:bidi="ar-SA"/>
        </w:rPr>
        <w:t>30.确定成交供应商</w:t>
      </w:r>
      <w:bookmarkEnd w:id="329"/>
      <w:bookmarkEnd w:id="330"/>
      <w:bookmarkEnd w:id="331"/>
      <w:bookmarkEnd w:id="332"/>
      <w:bookmarkEnd w:id="333"/>
      <w:bookmarkEnd w:id="334"/>
      <w:bookmarkEnd w:id="335"/>
      <w:bookmarkEnd w:id="336"/>
      <w:bookmarkEnd w:id="337"/>
      <w:bookmarkEnd w:id="338"/>
      <w:bookmarkEnd w:id="339"/>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30</w:t>
      </w:r>
      <w:r>
        <w:rPr>
          <w:rFonts w:hint="eastAsia" w:ascii="宋体" w:hAnsi="宋体" w:eastAsia="宋体" w:cs="宋体"/>
          <w:snapToGrid w:val="0"/>
          <w:color w:val="auto"/>
          <w:sz w:val="24"/>
          <w:szCs w:val="24"/>
          <w:highlight w:val="none"/>
          <w:lang w:val="zh-CN"/>
        </w:rPr>
        <w:t>.1确定成交供应商详见“供应商须知前附表”。</w:t>
      </w:r>
      <w:r>
        <w:rPr>
          <w:rFonts w:hint="eastAsia" w:cs="宋体"/>
          <w:snapToGrid w:val="0"/>
          <w:color w:val="auto"/>
          <w:sz w:val="24"/>
          <w:szCs w:val="24"/>
          <w:highlight w:val="none"/>
          <w:lang w:val="en-US" w:eastAsia="zh-CN"/>
        </w:rPr>
        <w:t>成交候选人并列的，按照</w:t>
      </w:r>
      <w:r>
        <w:rPr>
          <w:rFonts w:hint="eastAsia" w:ascii="宋体" w:hAnsi="宋体" w:eastAsia="宋体" w:cs="宋体"/>
          <w:snapToGrid w:val="0"/>
          <w:color w:val="auto"/>
          <w:sz w:val="24"/>
          <w:szCs w:val="24"/>
          <w:highlight w:val="none"/>
          <w:lang w:val="zh-CN"/>
        </w:rPr>
        <w:t>“供应商须知前附表”</w:t>
      </w:r>
      <w:r>
        <w:rPr>
          <w:rFonts w:hint="eastAsia" w:cs="宋体"/>
          <w:snapToGrid w:val="0"/>
          <w:color w:val="auto"/>
          <w:sz w:val="24"/>
          <w:szCs w:val="24"/>
          <w:highlight w:val="none"/>
          <w:lang w:val="en-US" w:eastAsia="zh-CN"/>
        </w:rPr>
        <w:t>要求确定成交供应商。</w:t>
      </w:r>
    </w:p>
    <w:p w14:paraId="4B64349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31.成交结果公告</w:t>
      </w:r>
    </w:p>
    <w:p w14:paraId="32E98E3A">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bidi="ar"/>
        </w:rPr>
      </w:pPr>
      <w:r>
        <w:rPr>
          <w:rFonts w:hint="eastAsia" w:ascii="宋体" w:hAnsi="宋体" w:eastAsia="宋体" w:cs="宋体"/>
          <w:snapToGrid w:val="0"/>
          <w:color w:val="auto"/>
          <w:sz w:val="24"/>
          <w:szCs w:val="24"/>
          <w:highlight w:val="none"/>
          <w:lang w:val="en-US" w:eastAsia="zh-CN"/>
        </w:rPr>
        <w:t>31</w:t>
      </w:r>
      <w:r>
        <w:rPr>
          <w:rFonts w:hint="eastAsia" w:ascii="宋体" w:hAnsi="宋体" w:eastAsia="宋体" w:cs="宋体"/>
          <w:snapToGrid w:val="0"/>
          <w:color w:val="auto"/>
          <w:sz w:val="24"/>
          <w:szCs w:val="24"/>
          <w:highlight w:val="none"/>
          <w:lang w:val="zh-CN"/>
        </w:rPr>
        <w:t>.1</w:t>
      </w:r>
      <w:r>
        <w:rPr>
          <w:rFonts w:hint="eastAsia" w:ascii="宋体" w:hAnsi="宋体" w:eastAsia="宋体" w:cs="宋体"/>
          <w:color w:val="auto"/>
          <w:sz w:val="24"/>
          <w:szCs w:val="24"/>
          <w:highlight w:val="none"/>
          <w:lang w:bidi="ar"/>
        </w:rPr>
        <w:t>采购人或者采购代理机构应当在成交供应商确定后2个工作日内，在省级以上财政部门指定的政府采购信息发布媒体上公告成交结果，</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bidi="ar"/>
        </w:rPr>
        <w:t>文件</w:t>
      </w:r>
      <w:r>
        <w:rPr>
          <w:rFonts w:hint="eastAsia" w:ascii="宋体" w:hAnsi="宋体" w:eastAsia="宋体" w:cs="宋体"/>
          <w:color w:val="auto"/>
          <w:sz w:val="24"/>
          <w:szCs w:val="24"/>
          <w:highlight w:val="none"/>
          <w:lang w:eastAsia="zh-CN" w:bidi="ar"/>
        </w:rPr>
        <w:t>、</w:t>
      </w:r>
      <w:r>
        <w:rPr>
          <w:rFonts w:hint="eastAsia" w:ascii="宋体" w:hAnsi="宋体" w:eastAsia="宋体" w:cs="宋体"/>
          <w:bCs/>
          <w:color w:val="auto"/>
          <w:sz w:val="24"/>
          <w:szCs w:val="24"/>
          <w:highlight w:val="none"/>
          <w:lang w:val="en-US" w:eastAsia="zh-CN"/>
        </w:rPr>
        <w:t>因落实政府采购政策等原因进行价格扣除后成交供应商的评审报价</w:t>
      </w:r>
      <w:r>
        <w:rPr>
          <w:rFonts w:hint="eastAsia" w:ascii="宋体" w:hAnsi="宋体" w:eastAsia="宋体" w:cs="宋体"/>
          <w:color w:val="auto"/>
          <w:sz w:val="24"/>
          <w:szCs w:val="24"/>
          <w:highlight w:val="none"/>
          <w:lang w:bidi="ar"/>
        </w:rPr>
        <w:t>随成交结果同时公告。</w:t>
      </w:r>
    </w:p>
    <w:p w14:paraId="5352A1F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lang w:eastAsia="zh-CN"/>
        </w:rPr>
        <w:t>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，其“中小企业声明函”随成交结果同时公告。成交</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lang w:eastAsia="zh-CN"/>
        </w:rPr>
        <w:t>为残疾人福利性单位的，其“残疾人福利性单位声明函”随成交结果同时公告。</w:t>
      </w:r>
    </w:p>
    <w:p w14:paraId="4CB6B36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32.成交通知书</w:t>
      </w:r>
    </w:p>
    <w:p w14:paraId="3F3AC502">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en-US" w:eastAsia="zh-CN"/>
        </w:rPr>
        <w:t>32</w:t>
      </w:r>
      <w:r>
        <w:rPr>
          <w:rFonts w:hint="eastAsia" w:ascii="宋体" w:hAnsi="宋体" w:eastAsia="宋体" w:cs="宋体"/>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1" w:name="_Toc2288"/>
      <w:bookmarkStart w:id="342" w:name="_Toc163493617"/>
      <w:r>
        <w:rPr>
          <w:rFonts w:hint="eastAsia" w:ascii="宋体" w:hAnsi="宋体" w:eastAsia="宋体" w:cs="宋体"/>
          <w:b/>
          <w:bCs/>
          <w:color w:val="auto"/>
          <w:kern w:val="2"/>
          <w:sz w:val="24"/>
          <w:szCs w:val="24"/>
          <w:highlight w:val="none"/>
          <w:lang w:val="en-US" w:eastAsia="zh-CN" w:bidi="ar-SA"/>
        </w:rPr>
        <w:t>（九）签订合同</w:t>
      </w:r>
      <w:bookmarkEnd w:id="341"/>
      <w:bookmarkEnd w:id="342"/>
    </w:p>
    <w:p w14:paraId="6F871425">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3" w:name="_Toc48846141"/>
      <w:bookmarkStart w:id="344" w:name="_Toc109897466"/>
      <w:bookmarkStart w:id="345" w:name="_Toc109899984"/>
      <w:bookmarkStart w:id="346" w:name="_Toc109899565"/>
      <w:bookmarkStart w:id="347" w:name="_Toc52962759"/>
      <w:bookmarkStart w:id="348" w:name="_Toc52960585"/>
      <w:bookmarkStart w:id="349" w:name="_Toc46772273"/>
      <w:bookmarkStart w:id="350" w:name="_Toc46771672"/>
      <w:bookmarkStart w:id="351" w:name="_Toc48688821"/>
      <w:bookmarkStart w:id="352" w:name="_Toc51674243"/>
      <w:bookmarkStart w:id="353" w:name="_Toc109900403"/>
      <w:r>
        <w:rPr>
          <w:rFonts w:hint="eastAsia" w:ascii="宋体" w:hAnsi="宋体" w:eastAsia="宋体" w:cs="宋体"/>
          <w:b/>
          <w:bCs/>
          <w:color w:val="auto"/>
          <w:kern w:val="2"/>
          <w:sz w:val="24"/>
          <w:szCs w:val="24"/>
          <w:highlight w:val="none"/>
          <w:lang w:val="en-US" w:eastAsia="zh-CN" w:bidi="ar-SA"/>
        </w:rPr>
        <w:t>33.履约保证金</w:t>
      </w:r>
    </w:p>
    <w:p w14:paraId="2934878C">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.1在签订合同前，成交供应商应按“供应商须知前附表”规定的金额、担保形式和采购人认可的履约担保格式向采购人提交履约保证金。</w:t>
      </w:r>
    </w:p>
    <w:p w14:paraId="429BB4A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.2成交供应商不能按本章第3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34.签订合同</w:t>
      </w:r>
      <w:bookmarkEnd w:id="343"/>
      <w:bookmarkEnd w:id="344"/>
      <w:bookmarkEnd w:id="345"/>
      <w:bookmarkEnd w:id="346"/>
      <w:bookmarkEnd w:id="347"/>
      <w:bookmarkEnd w:id="348"/>
      <w:bookmarkEnd w:id="349"/>
      <w:bookmarkEnd w:id="350"/>
      <w:bookmarkEnd w:id="351"/>
      <w:bookmarkEnd w:id="352"/>
      <w:bookmarkEnd w:id="353"/>
    </w:p>
    <w:p w14:paraId="343B0C17">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zh-CN"/>
        </w:rPr>
        <w:t>3</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.1采购人与成交供应商应当在成交通知书发出之日起</w:t>
      </w:r>
      <w:r>
        <w:rPr>
          <w:rFonts w:hint="eastAsia" w:ascii="宋体" w:hAnsi="宋体" w:eastAsia="宋体" w:cs="宋体"/>
          <w:snapToGrid w:val="0"/>
          <w:color w:val="auto"/>
          <w:sz w:val="24"/>
          <w:szCs w:val="24"/>
          <w:highlight w:val="none"/>
          <w:lang w:val="en-US" w:eastAsia="zh-CN"/>
        </w:rPr>
        <w:t>25</w:t>
      </w:r>
      <w:r>
        <w:rPr>
          <w:rFonts w:hint="eastAsia" w:ascii="宋体" w:hAnsi="宋体" w:eastAsia="宋体" w:cs="宋体"/>
          <w:snapToGrid w:val="0"/>
          <w:color w:val="auto"/>
          <w:sz w:val="24"/>
          <w:szCs w:val="24"/>
          <w:highlight w:val="none"/>
          <w:lang w:val="zh-CN"/>
        </w:rPr>
        <w:t>日内，按照</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文件确定的合同文本以及采购标的、规格型号、采购金额、采购数量、技术和服务要求等事项签订政府采购合同。</w:t>
      </w:r>
      <w:r>
        <w:rPr>
          <w:rFonts w:hint="eastAsia" w:ascii="宋体" w:hAnsi="宋体" w:eastAsia="宋体" w:cs="宋体"/>
          <w:color w:val="auto"/>
          <w:sz w:val="24"/>
          <w:szCs w:val="24"/>
          <w:highlight w:val="none"/>
        </w:rPr>
        <w:t>采购人因不可抗力原因迟延签订合同的，应当自不可抗力事由消除之日起7日内完成合同签订事宜。所签订的合同不得对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成交供应商响应</w:t>
      </w:r>
      <w:r>
        <w:rPr>
          <w:rFonts w:hint="eastAsia" w:ascii="宋体" w:hAnsi="宋体" w:eastAsia="宋体" w:cs="宋体"/>
          <w:color w:val="auto"/>
          <w:sz w:val="24"/>
          <w:szCs w:val="24"/>
          <w:highlight w:val="none"/>
        </w:rPr>
        <w:t>文件作实质性修改。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人无正当理由拒签合同，给采购人造成损失的，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人还应当承担民事责任。</w:t>
      </w:r>
    </w:p>
    <w:p w14:paraId="1C3196D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成交供应商拒绝签订政府采购合同的，采购人可以</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lang w:val="zh-CN"/>
        </w:rPr>
        <w:t>《政府采购</w:t>
      </w:r>
      <w:r>
        <w:rPr>
          <w:rFonts w:hint="eastAsia" w:cs="宋体"/>
          <w:color w:val="auto"/>
          <w:sz w:val="24"/>
          <w:szCs w:val="24"/>
          <w:highlight w:val="none"/>
          <w:lang w:val="en-US" w:eastAsia="zh-CN"/>
        </w:rPr>
        <w:t>非招标采购方式</w:t>
      </w:r>
      <w:r>
        <w:rPr>
          <w:rFonts w:hint="eastAsia" w:ascii="宋体" w:hAnsi="宋体" w:eastAsia="宋体" w:cs="宋体"/>
          <w:color w:val="auto"/>
          <w:sz w:val="24"/>
          <w:szCs w:val="24"/>
          <w:highlight w:val="none"/>
          <w:lang w:val="zh-CN"/>
        </w:rPr>
        <w:t>管理办法》（</w:t>
      </w:r>
      <w:r>
        <w:rPr>
          <w:rFonts w:hint="eastAsia" w:cs="宋体"/>
          <w:color w:val="auto"/>
          <w:sz w:val="24"/>
          <w:szCs w:val="24"/>
          <w:highlight w:val="none"/>
          <w:lang w:val="en-US" w:eastAsia="zh-CN"/>
        </w:rPr>
        <w:t>财政部令7</w:t>
      </w:r>
      <w:r>
        <w:rPr>
          <w:rFonts w:hint="eastAsia" w:ascii="宋体" w:hAnsi="宋体" w:eastAsia="宋体" w:cs="宋体"/>
          <w:color w:val="auto"/>
          <w:sz w:val="24"/>
          <w:szCs w:val="24"/>
          <w:highlight w:val="none"/>
          <w:lang w:val="zh-CN"/>
        </w:rPr>
        <w:t>4号）第</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十</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条</w:t>
      </w:r>
      <w:r>
        <w:rPr>
          <w:rFonts w:hint="eastAsia" w:cs="宋体"/>
          <w:color w:val="auto"/>
          <w:sz w:val="24"/>
          <w:szCs w:val="24"/>
          <w:highlight w:val="none"/>
          <w:lang w:val="en-US" w:eastAsia="zh-CN"/>
        </w:rPr>
        <w:t>第二款</w:t>
      </w:r>
      <w:r>
        <w:rPr>
          <w:rFonts w:hint="eastAsia" w:ascii="宋体" w:hAnsi="宋体" w:eastAsia="宋体" w:cs="宋体"/>
          <w:color w:val="auto"/>
          <w:sz w:val="24"/>
          <w:szCs w:val="24"/>
          <w:highlight w:val="none"/>
          <w:lang w:val="zh-CN"/>
        </w:rPr>
        <w:t>的规定确定其他供应商作为成交供应商并签订政府采购合同，也可以重新开展采购活动。拒绝签订政府采购合同的成交供应商不得参加对该项目重新开展的采购活动。</w:t>
      </w:r>
    </w:p>
    <w:p w14:paraId="28320F9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采购人和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供应商不得向对方提出任何不合理的要求，作为签订合同的条件，双方不得私下订立背离合同实质性内容的协议。</w:t>
      </w:r>
    </w:p>
    <w:p w14:paraId="26D222D9">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34.4联合体成交的，联合体各方应当共同与采购人签订合同，就采购合同约定的事项向采购人承担连带责任。</w:t>
      </w:r>
    </w:p>
    <w:p w14:paraId="7F760399">
      <w:pPr>
        <w:pStyle w:val="34"/>
        <w:keepNext w:val="0"/>
        <w:keepLines w:val="0"/>
        <w:pageBreakBefore w:val="0"/>
        <w:widowControl w:val="0"/>
        <w:kinsoku/>
        <w:overflowPunct/>
        <w:topLinePunct w:val="0"/>
        <w:bidi w:val="0"/>
        <w:ind w:firstLine="48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34.5本项目的非主体、非关键性工作是否允许分包，见“供应商须知前附表”。</w:t>
      </w:r>
      <w:r>
        <w:rPr>
          <w:rFonts w:hint="eastAsia" w:ascii="宋体" w:hAnsi="宋体" w:eastAsia="宋体" w:cs="宋体"/>
          <w:color w:val="auto"/>
          <w:sz w:val="24"/>
          <w:szCs w:val="24"/>
          <w:highlight w:val="none"/>
        </w:rPr>
        <w:t>供应商未遵守竞争性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文件分包规定的，其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成交无效</w:t>
      </w:r>
      <w:r>
        <w:rPr>
          <w:rFonts w:hint="eastAsia" w:ascii="宋体" w:hAnsi="宋体" w:eastAsia="宋体" w:cs="宋体"/>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0ABFD58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34.7采购人应于签订合同之日起2个工作日内在政采云平台备案公示。</w:t>
      </w:r>
    </w:p>
    <w:bookmarkEnd w:id="340"/>
    <w:p w14:paraId="4252B45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4" w:name="_Toc109897467"/>
      <w:bookmarkStart w:id="355" w:name="_Toc109900404"/>
      <w:bookmarkStart w:id="356" w:name="_Toc163493618"/>
      <w:bookmarkStart w:id="357" w:name="_Toc109899985"/>
      <w:bookmarkStart w:id="358" w:name="_Toc46771673"/>
      <w:bookmarkStart w:id="359" w:name="_Toc109899566"/>
      <w:bookmarkStart w:id="360" w:name="_Toc28173"/>
      <w:bookmarkStart w:id="361" w:name="_Toc470172693"/>
      <w:r>
        <w:rPr>
          <w:rFonts w:hint="eastAsia" w:ascii="宋体" w:hAnsi="宋体" w:eastAsia="宋体" w:cs="宋体"/>
          <w:b/>
          <w:bCs/>
          <w:color w:val="auto"/>
          <w:kern w:val="2"/>
          <w:sz w:val="24"/>
          <w:szCs w:val="24"/>
          <w:highlight w:val="none"/>
          <w:lang w:val="en-US" w:eastAsia="zh-CN" w:bidi="ar-SA"/>
        </w:rPr>
        <w:t>（十）质疑和投诉</w:t>
      </w:r>
      <w:bookmarkEnd w:id="354"/>
      <w:bookmarkEnd w:id="355"/>
      <w:bookmarkEnd w:id="356"/>
      <w:bookmarkEnd w:id="357"/>
      <w:bookmarkEnd w:id="358"/>
      <w:bookmarkEnd w:id="359"/>
      <w:bookmarkEnd w:id="360"/>
    </w:p>
    <w:p w14:paraId="000ACFE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62" w:name="_Toc51674245"/>
      <w:bookmarkStart w:id="363" w:name="_Toc52960587"/>
      <w:bookmarkStart w:id="364" w:name="_Toc46771674"/>
      <w:bookmarkStart w:id="365" w:name="_Toc48846143"/>
      <w:bookmarkStart w:id="366" w:name="_Toc109899986"/>
      <w:bookmarkStart w:id="367" w:name="_Toc52962761"/>
      <w:bookmarkStart w:id="368" w:name="_Toc46772275"/>
      <w:bookmarkStart w:id="369" w:name="_Toc109900405"/>
      <w:bookmarkStart w:id="370" w:name="_Toc109897468"/>
      <w:bookmarkStart w:id="371" w:name="_Toc109899567"/>
      <w:bookmarkStart w:id="372" w:name="_Toc48688823"/>
      <w:r>
        <w:rPr>
          <w:rFonts w:hint="eastAsia" w:ascii="宋体" w:hAnsi="宋体" w:eastAsia="宋体" w:cs="宋体"/>
          <w:b/>
          <w:bCs/>
          <w:color w:val="auto"/>
          <w:kern w:val="2"/>
          <w:sz w:val="24"/>
          <w:szCs w:val="24"/>
          <w:highlight w:val="none"/>
          <w:lang w:val="en-US" w:eastAsia="zh-CN" w:bidi="ar-SA"/>
        </w:rPr>
        <w:t>35.质疑</w:t>
      </w:r>
      <w:bookmarkEnd w:id="362"/>
      <w:bookmarkEnd w:id="363"/>
      <w:bookmarkEnd w:id="364"/>
      <w:bookmarkEnd w:id="365"/>
      <w:bookmarkEnd w:id="366"/>
      <w:bookmarkEnd w:id="367"/>
      <w:bookmarkEnd w:id="368"/>
      <w:bookmarkEnd w:id="369"/>
      <w:bookmarkEnd w:id="370"/>
      <w:bookmarkEnd w:id="371"/>
      <w:bookmarkEnd w:id="372"/>
    </w:p>
    <w:p w14:paraId="097AA16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bookmarkStart w:id="373" w:name="_Toc109900406"/>
      <w:bookmarkStart w:id="374" w:name="_Toc109899568"/>
      <w:bookmarkStart w:id="375" w:name="_Toc52962762"/>
      <w:bookmarkStart w:id="376" w:name="_Toc48688824"/>
      <w:bookmarkStart w:id="377" w:name="_Toc48846144"/>
      <w:bookmarkStart w:id="378" w:name="_Toc46771675"/>
      <w:bookmarkStart w:id="379" w:name="_Toc51674246"/>
      <w:bookmarkStart w:id="380" w:name="_Toc109899987"/>
      <w:bookmarkStart w:id="381" w:name="_Toc46772276"/>
      <w:bookmarkStart w:id="382" w:name="_Toc52960588"/>
      <w:bookmarkStart w:id="383" w:name="_Toc109897469"/>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rPr>
        <w:t>.1供应商认为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详见“供应商须知前附表”</w:t>
      </w:r>
      <w:r>
        <w:rPr>
          <w:rFonts w:hint="eastAsia" w:ascii="宋体" w:hAnsi="宋体" w:eastAsia="宋体" w:cs="宋体"/>
          <w:color w:val="auto"/>
          <w:sz w:val="24"/>
          <w:szCs w:val="24"/>
          <w:highlight w:val="none"/>
        </w:rPr>
        <w:t>。供应商在法定质疑期内一次性提出针对同一采购程序环节的质疑。</w:t>
      </w:r>
    </w:p>
    <w:p w14:paraId="35972B9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文件的，可以对该文件提出质疑。对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文件提出质疑的，应当在获取</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文件或者</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文件公告期限届满之日起7个工作日内提出。</w:t>
      </w:r>
    </w:p>
    <w:p w14:paraId="7A916D6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57C1F48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2B1F4E6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1AA8BB7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6456E8B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D032AB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76BD2AC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6供应商</w:t>
      </w:r>
      <w:r>
        <w:rPr>
          <w:rFonts w:hint="eastAsia" w:ascii="宋体" w:hAnsi="宋体" w:eastAsia="宋体" w:cs="宋体"/>
          <w:snapToGrid w:val="0"/>
          <w:color w:val="auto"/>
          <w:sz w:val="24"/>
          <w:szCs w:val="24"/>
          <w:highlight w:val="none"/>
        </w:rPr>
        <w:t>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007DBE4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36.质疑答复</w:t>
      </w:r>
      <w:bookmarkEnd w:id="373"/>
      <w:bookmarkEnd w:id="374"/>
      <w:bookmarkEnd w:id="375"/>
      <w:bookmarkEnd w:id="376"/>
      <w:bookmarkEnd w:id="377"/>
      <w:bookmarkEnd w:id="378"/>
      <w:bookmarkEnd w:id="379"/>
      <w:bookmarkEnd w:id="380"/>
      <w:bookmarkEnd w:id="381"/>
      <w:bookmarkEnd w:id="382"/>
      <w:bookmarkEnd w:id="383"/>
    </w:p>
    <w:p w14:paraId="43D7F91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384" w:name="_Toc48846145"/>
      <w:bookmarkStart w:id="385" w:name="_Toc46771676"/>
      <w:bookmarkStart w:id="386" w:name="_Toc109899988"/>
      <w:bookmarkStart w:id="387" w:name="_Toc48688825"/>
      <w:bookmarkStart w:id="388" w:name="_Toc109899569"/>
      <w:bookmarkStart w:id="389" w:name="_Toc46772277"/>
      <w:bookmarkStart w:id="390" w:name="_Toc109897470"/>
      <w:bookmarkStart w:id="391" w:name="_Toc52962763"/>
      <w:bookmarkStart w:id="392" w:name="_Toc51674247"/>
      <w:bookmarkStart w:id="393" w:name="_Toc52960589"/>
      <w:bookmarkStart w:id="394" w:name="_Toc109900407"/>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36.2供应商对评审过程、成交结果提出质疑的，采购人、采购代理机构可以组织原竞争性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小组协助答复质疑。</w:t>
      </w:r>
    </w:p>
    <w:p w14:paraId="14E02AA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457CAA6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462FCFC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编号/包号；</w:t>
      </w:r>
    </w:p>
    <w:p w14:paraId="18D7215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416368F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36EE796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7E632C0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36.3</w:t>
      </w:r>
      <w:r>
        <w:rPr>
          <w:rFonts w:hint="eastAsia" w:ascii="宋体" w:hAnsi="宋体" w:eastAsia="宋体" w:cs="宋体"/>
          <w:color w:val="auto"/>
          <w:sz w:val="24"/>
          <w:szCs w:val="24"/>
          <w:highlight w:val="none"/>
          <w:lang w:val="zh-CN" w:eastAsia="zh-CN"/>
        </w:rPr>
        <w:t>质疑答复的内容不得涉及商业秘密。</w:t>
      </w:r>
    </w:p>
    <w:p w14:paraId="6100606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37.投诉</w:t>
      </w:r>
      <w:bookmarkEnd w:id="384"/>
      <w:bookmarkEnd w:id="385"/>
      <w:bookmarkEnd w:id="386"/>
      <w:bookmarkEnd w:id="387"/>
      <w:bookmarkEnd w:id="388"/>
      <w:bookmarkEnd w:id="389"/>
      <w:bookmarkEnd w:id="390"/>
      <w:bookmarkEnd w:id="391"/>
      <w:bookmarkEnd w:id="392"/>
      <w:bookmarkEnd w:id="393"/>
      <w:bookmarkEnd w:id="394"/>
    </w:p>
    <w:bookmarkEnd w:id="111"/>
    <w:bookmarkEnd w:id="361"/>
    <w:p w14:paraId="34C5EAA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395" w:name="_Toc163493619"/>
      <w:bookmarkStart w:id="396" w:name="_Toc109897471"/>
      <w:bookmarkStart w:id="397" w:name="_Toc109900408"/>
      <w:bookmarkStart w:id="398" w:name="_Toc109899570"/>
      <w:bookmarkStart w:id="399" w:name="_Toc109899989"/>
      <w:bookmarkStart w:id="400" w:name="_Hlk60570485"/>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4A2CC2E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2EB10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1" w:name="_Toc24137"/>
      <w:r>
        <w:rPr>
          <w:rFonts w:hint="eastAsia" w:ascii="宋体" w:hAnsi="宋体" w:eastAsia="宋体" w:cs="宋体"/>
          <w:b/>
          <w:bCs/>
          <w:color w:val="auto"/>
          <w:kern w:val="2"/>
          <w:sz w:val="24"/>
          <w:szCs w:val="24"/>
          <w:highlight w:val="none"/>
          <w:lang w:val="en-US" w:eastAsia="zh-CN" w:bidi="ar-SA"/>
        </w:rPr>
        <w:t>（十一）采购代理服务费</w:t>
      </w:r>
      <w:bookmarkEnd w:id="395"/>
      <w:bookmarkEnd w:id="401"/>
    </w:p>
    <w:p w14:paraId="328323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38.收取方式和标准</w:t>
      </w:r>
    </w:p>
    <w:p w14:paraId="0F0CA96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2" w:name="_Toc2322"/>
      <w:bookmarkStart w:id="403" w:name="_Toc163493620"/>
      <w:r>
        <w:rPr>
          <w:rFonts w:hint="eastAsia" w:ascii="宋体" w:hAnsi="宋体" w:eastAsia="宋体" w:cs="宋体"/>
          <w:b/>
          <w:bCs/>
          <w:color w:val="auto"/>
          <w:kern w:val="2"/>
          <w:sz w:val="24"/>
          <w:szCs w:val="24"/>
          <w:highlight w:val="none"/>
          <w:lang w:val="en-US" w:eastAsia="zh-CN" w:bidi="ar-SA"/>
        </w:rPr>
        <w:t>（十二）无效响应和终止采购活动</w:t>
      </w:r>
      <w:bookmarkEnd w:id="402"/>
      <w:bookmarkEnd w:id="403"/>
    </w:p>
    <w:p w14:paraId="02780A3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4" w:name="_Toc140132806"/>
      <w:bookmarkStart w:id="405" w:name="_Toc161600338"/>
      <w:r>
        <w:rPr>
          <w:rFonts w:hint="eastAsia" w:ascii="宋体" w:hAnsi="宋体" w:eastAsia="宋体" w:cs="宋体"/>
          <w:b/>
          <w:bCs/>
          <w:color w:val="auto"/>
          <w:kern w:val="2"/>
          <w:sz w:val="24"/>
          <w:szCs w:val="24"/>
          <w:highlight w:val="none"/>
          <w:lang w:val="en-US" w:eastAsia="zh-CN" w:bidi="ar-SA"/>
        </w:rPr>
        <w:t>39.无效</w:t>
      </w:r>
      <w:bookmarkEnd w:id="404"/>
      <w:bookmarkEnd w:id="405"/>
      <w:r>
        <w:rPr>
          <w:rFonts w:hint="eastAsia" w:ascii="宋体" w:hAnsi="宋体" w:eastAsia="宋体" w:cs="宋体"/>
          <w:b/>
          <w:bCs/>
          <w:color w:val="auto"/>
          <w:kern w:val="2"/>
          <w:sz w:val="24"/>
          <w:szCs w:val="24"/>
          <w:highlight w:val="none"/>
          <w:lang w:val="en-US" w:eastAsia="zh-CN" w:bidi="ar-SA"/>
        </w:rPr>
        <w:t>响应</w:t>
      </w:r>
    </w:p>
    <w:p w14:paraId="132D1B41">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.1响应文件存在“第四章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评审方法及标准”规定的</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情形的，做</w:t>
      </w:r>
      <w:r>
        <w:rPr>
          <w:rFonts w:hint="eastAsia" w:ascii="宋体" w:hAnsi="宋体" w:eastAsia="宋体" w:cs="宋体"/>
          <w:b/>
          <w:bCs/>
          <w:color w:val="auto"/>
          <w:sz w:val="24"/>
          <w:szCs w:val="24"/>
          <w:highlight w:val="none"/>
        </w:rPr>
        <w:t>无效响应</w:t>
      </w:r>
      <w:r>
        <w:rPr>
          <w:rFonts w:hint="eastAsia" w:ascii="宋体" w:hAnsi="宋体" w:eastAsia="宋体" w:cs="宋体"/>
          <w:color w:val="auto"/>
          <w:sz w:val="24"/>
          <w:szCs w:val="24"/>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40.终止采购活动</w:t>
      </w:r>
    </w:p>
    <w:p w14:paraId="65CAB1F7">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.1出现下列情形之一的，应当终止竞争性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采购活动，发布项目终止公告并说明原因，重新开展采购活动：</w:t>
      </w:r>
    </w:p>
    <w:p w14:paraId="3F03AB9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采购方式适用情形的；</w:t>
      </w:r>
    </w:p>
    <w:p w14:paraId="34F0BDE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EDE2978">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18EA97F2">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40.2在采购活动中因重大变故，采购任务取消的，采购人或者采购代理机构应当终止采购活动，通知所有参加采购活动的供应商</w:t>
      </w:r>
      <w:r>
        <w:rPr>
          <w:rFonts w:hint="eastAsia" w:cs="宋体"/>
          <w:color w:val="auto"/>
          <w:sz w:val="24"/>
          <w:szCs w:val="24"/>
          <w:highlight w:val="none"/>
          <w:lang w:val="en-US" w:eastAsia="zh-CN"/>
        </w:rPr>
        <w:t>并告知终止理由</w:t>
      </w:r>
      <w:r>
        <w:rPr>
          <w:rFonts w:hint="eastAsia" w:ascii="宋体" w:hAnsi="宋体" w:eastAsia="宋体" w:cs="宋体"/>
          <w:color w:val="auto"/>
          <w:sz w:val="24"/>
          <w:szCs w:val="24"/>
          <w:highlight w:val="none"/>
          <w:lang w:val="en-US" w:eastAsia="zh-CN"/>
        </w:rPr>
        <w:t>，并将项目实施情况和采购任务取消原因报送本级财政部门。</w:t>
      </w:r>
    </w:p>
    <w:p w14:paraId="56C7680B">
      <w:pPr>
        <w:keepNext w:val="0"/>
        <w:keepLines w:val="0"/>
        <w:widowControl/>
        <w:suppressLineNumbers w:val="0"/>
        <w:jc w:val="left"/>
        <w:rPr>
          <w:rFonts w:hint="eastAsia" w:ascii="宋体" w:hAnsi="宋体" w:eastAsia="宋体" w:cs="宋体"/>
          <w:color w:val="auto"/>
          <w:sz w:val="24"/>
          <w:szCs w:val="24"/>
          <w:highlight w:val="none"/>
        </w:rPr>
      </w:pPr>
      <w:bookmarkStart w:id="406" w:name="_Toc161600340"/>
      <w:bookmarkStart w:id="407" w:name="_Toc140132766"/>
      <w:bookmarkStart w:id="408" w:name="_Toc163493621"/>
      <w:r>
        <w:rPr>
          <w:rFonts w:hint="eastAsia" w:ascii="宋体" w:hAnsi="宋体" w:eastAsia="宋体" w:cs="宋体"/>
          <w:b/>
          <w:bCs/>
          <w:color w:val="auto"/>
          <w:kern w:val="2"/>
          <w:sz w:val="24"/>
          <w:szCs w:val="24"/>
          <w:highlight w:val="none"/>
          <w:lang w:val="en-US" w:eastAsia="zh-CN" w:bidi="ar-SA"/>
        </w:rPr>
        <w:t>（十三）落实政府采购政策</w:t>
      </w:r>
      <w:bookmarkEnd w:id="406"/>
      <w:bookmarkEnd w:id="407"/>
      <w:bookmarkEnd w:id="408"/>
      <w:r>
        <w:rPr>
          <w:rFonts w:hint="eastAsia" w:ascii="宋体" w:hAnsi="宋体" w:eastAsia="宋体" w:cs="宋体"/>
          <w:b/>
          <w:bCs/>
          <w:color w:val="auto"/>
          <w:kern w:val="2"/>
          <w:sz w:val="24"/>
          <w:szCs w:val="24"/>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09"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409"/>
    </w:p>
    <w:p w14:paraId="59F3A450">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4"/>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4"/>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76CA72A3">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3BB43BBF">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F1C4F81">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41.1.8对于仅有本国产品参与竞争的政府采购项目，本国产品不享受价格扣除评审优惠。</w:t>
      </w:r>
    </w:p>
    <w:p w14:paraId="2B40C7E8">
      <w:pPr>
        <w:pStyle w:val="34"/>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5B393E">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2进口产品指通过中国海关报关验放进入中国境内且产自关境外的产品，包括已经进入中国境内的进口产品。</w:t>
      </w:r>
    </w:p>
    <w:p w14:paraId="0C404CE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3若采购需求中写明允许采购进口产品，供应商应保证所响应产品可履行合法报通关手续进入中国关境内。</w:t>
      </w:r>
    </w:p>
    <w:p w14:paraId="25B118D0">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4若采购需求中未写明允许采购进口产品，如供应商所响应产品为进口产品，其响应将被认定为</w:t>
      </w:r>
      <w:r>
        <w:rPr>
          <w:rFonts w:hint="eastAsia" w:ascii="宋体" w:hAnsi="宋体" w:eastAsia="宋体" w:cs="宋体"/>
          <w:b/>
          <w:bCs/>
          <w:snapToGrid w:val="0"/>
          <w:color w:val="auto"/>
          <w:sz w:val="24"/>
          <w:szCs w:val="24"/>
          <w:highlight w:val="none"/>
          <w:lang w:val="en-US" w:eastAsia="zh-CN"/>
        </w:rPr>
        <w:t>响应无效</w:t>
      </w:r>
      <w:r>
        <w:rPr>
          <w:rFonts w:hint="eastAsia" w:ascii="宋体" w:hAnsi="宋体" w:eastAsia="宋体" w:cs="宋体"/>
          <w:snapToGrid w:val="0"/>
          <w:color w:val="auto"/>
          <w:sz w:val="24"/>
          <w:szCs w:val="24"/>
          <w:highlight w:val="none"/>
          <w:lang w:val="en-US" w:eastAsia="zh-CN"/>
        </w:rPr>
        <w:t>。</w:t>
      </w:r>
    </w:p>
    <w:p w14:paraId="1F7E860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0" w:name="_Toc161600342"/>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410"/>
    </w:p>
    <w:p w14:paraId="6CF3C24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rPr>
        <w:t>小组将依据</w:t>
      </w:r>
      <w:r>
        <w:rPr>
          <w:rFonts w:hint="eastAsia" w:ascii="宋体" w:hAnsi="宋体" w:eastAsia="宋体" w:cs="宋体"/>
          <w:snapToGrid w:val="0"/>
          <w:color w:val="auto"/>
          <w:sz w:val="24"/>
          <w:szCs w:val="24"/>
          <w:highlight w:val="none"/>
          <w:lang w:eastAsia="zh-CN"/>
        </w:rPr>
        <w:t>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须按本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p>
    <w:p w14:paraId="5BE3F99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42.3供应商提供的货物、工程或者服务符合下列情形的，享受中小企业扶持政策： </w:t>
      </w:r>
    </w:p>
    <w:p w14:paraId="7C4E60D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9BB740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42.3.2在工程采购项目中，工程由中小企业承建，即工程施工单位为中小企业； </w:t>
      </w:r>
    </w:p>
    <w:p w14:paraId="194B49D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09AD49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6B88E28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023C32E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34DA9DC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7828A46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33AEDD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07E8110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50FF700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715268A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6313DD1">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42.8 本项目是否专门面向中小企业预留采购份额见“第一章 竞争性</w:t>
      </w:r>
      <w:r>
        <w:rPr>
          <w:rFonts w:hint="eastAsia" w:cs="宋体"/>
          <w:color w:val="auto"/>
          <w:sz w:val="24"/>
          <w:szCs w:val="24"/>
          <w:highlight w:val="none"/>
          <w:lang w:val="en-US" w:eastAsia="zh-CN"/>
        </w:rPr>
        <w:t>谈判</w:t>
      </w:r>
      <w:r>
        <w:rPr>
          <w:rFonts w:hint="eastAsia" w:cs="宋体"/>
          <w:snapToGrid w:val="0"/>
          <w:color w:val="auto"/>
          <w:sz w:val="24"/>
          <w:szCs w:val="24"/>
          <w:highlight w:val="none"/>
          <w:lang w:val="en-US" w:eastAsia="zh-CN"/>
        </w:rPr>
        <w:t>公告</w:t>
      </w:r>
      <w:r>
        <w:rPr>
          <w:rFonts w:hint="eastAsia" w:ascii="宋体" w:hAnsi="宋体" w:eastAsia="宋体" w:cs="宋体"/>
          <w:snapToGrid w:val="0"/>
          <w:color w:val="auto"/>
          <w:sz w:val="24"/>
          <w:szCs w:val="24"/>
          <w:highlight w:val="none"/>
          <w:lang w:val="en-US" w:eastAsia="zh-CN"/>
        </w:rPr>
        <w:t>”。</w:t>
      </w:r>
    </w:p>
    <w:p w14:paraId="5A70CB6C">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1" w:name="_Toc161600343"/>
      <w:r>
        <w:rPr>
          <w:rFonts w:hint="eastAsia" w:ascii="宋体" w:hAnsi="宋体" w:eastAsia="宋体" w:cs="宋体"/>
          <w:b/>
          <w:bCs/>
          <w:color w:val="auto"/>
          <w:kern w:val="2"/>
          <w:sz w:val="24"/>
          <w:szCs w:val="24"/>
          <w:highlight w:val="none"/>
          <w:lang w:val="en-US" w:eastAsia="zh-CN" w:bidi="ar-SA"/>
        </w:rPr>
        <w:t>43.政府采购节能产品、环境标志产品</w:t>
      </w:r>
      <w:bookmarkEnd w:id="411"/>
    </w:p>
    <w:p w14:paraId="0A420FD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强制采购或优先采购。 </w:t>
      </w:r>
    </w:p>
    <w:p w14:paraId="1379730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响应无效。</w:t>
      </w:r>
      <w:r>
        <w:rPr>
          <w:rFonts w:hint="eastAsia" w:ascii="宋体" w:hAnsi="宋体" w:eastAsia="宋体" w:cs="宋体"/>
          <w:snapToGrid w:val="0"/>
          <w:color w:val="auto"/>
          <w:sz w:val="24"/>
          <w:szCs w:val="24"/>
          <w:highlight w:val="none"/>
          <w:lang w:val="en-US" w:eastAsia="zh-CN"/>
        </w:rPr>
        <w:t xml:space="preserve"> </w:t>
      </w:r>
    </w:p>
    <w:p w14:paraId="57389A7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43.5 供应商</w:t>
      </w:r>
      <w:r>
        <w:rPr>
          <w:rFonts w:hint="eastAsia" w:ascii="宋体" w:hAnsi="宋体" w:eastAsia="宋体" w:cs="宋体"/>
          <w:snapToGrid w:val="0"/>
          <w:color w:val="auto"/>
          <w:sz w:val="24"/>
          <w:szCs w:val="24"/>
          <w:highlight w:val="none"/>
        </w:rPr>
        <w:t>所</w:t>
      </w:r>
      <w:r>
        <w:rPr>
          <w:rFonts w:hint="eastAsia" w:ascii="宋体" w:hAnsi="宋体" w:eastAsia="宋体" w:cs="宋体"/>
          <w:snapToGrid w:val="0"/>
          <w:color w:val="auto"/>
          <w:sz w:val="24"/>
          <w:szCs w:val="24"/>
          <w:highlight w:val="none"/>
          <w:lang w:val="en-US" w:eastAsia="zh-CN"/>
        </w:rPr>
        <w:t>报</w:t>
      </w:r>
      <w:r>
        <w:rPr>
          <w:rFonts w:hint="eastAsia" w:ascii="宋体" w:hAnsi="宋体" w:eastAsia="宋体" w:cs="宋体"/>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snapToGrid w:val="0"/>
          <w:color w:val="auto"/>
          <w:sz w:val="24"/>
          <w:szCs w:val="24"/>
          <w:highlight w:val="none"/>
          <w:lang w:val="en-US" w:eastAsia="zh-CN"/>
        </w:rPr>
        <w:t>报</w:t>
      </w:r>
      <w:r>
        <w:rPr>
          <w:rFonts w:hint="eastAsia" w:ascii="宋体" w:hAnsi="宋体" w:eastAsia="宋体" w:cs="宋体"/>
          <w:snapToGrid w:val="0"/>
          <w:color w:val="auto"/>
          <w:sz w:val="24"/>
          <w:szCs w:val="24"/>
          <w:highlight w:val="none"/>
        </w:rPr>
        <w:t>产品不一致的，视为未提供。属于政府强制采购产品的，已作为</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rPr>
        <w:t>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rPr>
        <w:t>无效响应</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snapToGrid w:val="0"/>
          <w:color w:val="auto"/>
          <w:sz w:val="24"/>
          <w:szCs w:val="24"/>
          <w:highlight w:val="none"/>
          <w:lang w:val="en-US" w:eastAsia="zh-CN"/>
        </w:rPr>
        <w:t>第四章 评审方法及标准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在评审时给予优惠，具体详见</w:t>
      </w:r>
      <w:r>
        <w:rPr>
          <w:rFonts w:hint="eastAsia" w:ascii="宋体" w:hAnsi="宋体" w:eastAsia="宋体" w:cs="宋体"/>
          <w:snapToGrid w:val="0"/>
          <w:color w:val="auto"/>
          <w:sz w:val="24"/>
          <w:szCs w:val="24"/>
          <w:highlight w:val="none"/>
          <w:lang w:val="en-US" w:eastAsia="zh-CN"/>
        </w:rPr>
        <w:t>“供应商须知前附表”及</w:t>
      </w:r>
      <w:r>
        <w:rPr>
          <w:rFonts w:hint="eastAsia" w:ascii="宋体" w:hAnsi="宋体" w:eastAsia="宋体" w:cs="宋体"/>
          <w:color w:val="auto"/>
          <w:sz w:val="24"/>
          <w:szCs w:val="24"/>
          <w:highlight w:val="none"/>
          <w:lang w:val="en-US" w:eastAsia="zh-CN"/>
        </w:rPr>
        <w:t>“第四章 评审方法及标准”</w:t>
      </w:r>
      <w:r>
        <w:rPr>
          <w:rFonts w:hint="eastAsia" w:ascii="宋体" w:hAnsi="宋体" w:eastAsia="宋体" w:cs="宋体"/>
          <w:color w:val="auto"/>
          <w:sz w:val="24"/>
          <w:szCs w:val="24"/>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44.正版软件</w:t>
      </w:r>
    </w:p>
    <w:p w14:paraId="3480636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65060989">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45.网络安全专用产品 </w:t>
      </w:r>
    </w:p>
    <w:p w14:paraId="13C0877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46.采购需求标准 </w:t>
      </w:r>
    </w:p>
    <w:bookmarkEnd w:id="396"/>
    <w:bookmarkEnd w:id="397"/>
    <w:bookmarkEnd w:id="398"/>
    <w:bookmarkEnd w:id="399"/>
    <w:bookmarkEnd w:id="400"/>
    <w:p w14:paraId="1251808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bookmarkStart w:id="412" w:name="_Toc109899574"/>
      <w:bookmarkStart w:id="413" w:name="_Toc163493622"/>
      <w:bookmarkStart w:id="414" w:name="_Toc109897475"/>
      <w:bookmarkStart w:id="415" w:name="_Toc109899993"/>
      <w:bookmarkStart w:id="416" w:name="_Toc109900412"/>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527BC2D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 项目采购需求”。 </w:t>
      </w:r>
    </w:p>
    <w:p w14:paraId="088B5DE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2BAD254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 项目采购需求”。 </w:t>
      </w:r>
    </w:p>
    <w:p w14:paraId="33C6F27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7FE94F3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 项目采购需求”。</w:t>
      </w:r>
    </w:p>
    <w:p w14:paraId="683C9A6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56D621A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 项目采购需求”。</w:t>
      </w:r>
    </w:p>
    <w:p w14:paraId="48ED666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7A06F60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 项目采购需求”。</w:t>
      </w:r>
    </w:p>
    <w:p w14:paraId="6AA36A4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401E483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 项目采购需求”。</w:t>
      </w:r>
    </w:p>
    <w:p w14:paraId="6AA55F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6FE6FE7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 项目采购需求”。</w:t>
      </w:r>
    </w:p>
    <w:p w14:paraId="5E799E3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71E7085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 项目采购需求”。</w:t>
      </w:r>
    </w:p>
    <w:p w14:paraId="757FBE3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096E2F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 项目采购需求”。</w:t>
      </w:r>
    </w:p>
    <w:p w14:paraId="0F2314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 项目采购需求”。</w:t>
      </w:r>
    </w:p>
    <w:p w14:paraId="38AF6858">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7" w:name="_Toc18350"/>
      <w:r>
        <w:rPr>
          <w:rFonts w:hint="eastAsia" w:ascii="宋体" w:hAnsi="宋体" w:eastAsia="宋体" w:cs="宋体"/>
          <w:b/>
          <w:bCs/>
          <w:color w:val="auto"/>
          <w:kern w:val="2"/>
          <w:sz w:val="24"/>
          <w:szCs w:val="24"/>
          <w:highlight w:val="none"/>
          <w:lang w:val="en-US" w:eastAsia="zh-CN" w:bidi="ar-SA"/>
        </w:rPr>
        <w:t>（十四）政府采购合同融资政策</w:t>
      </w:r>
      <w:bookmarkEnd w:id="412"/>
      <w:bookmarkEnd w:id="413"/>
      <w:bookmarkEnd w:id="414"/>
      <w:bookmarkEnd w:id="415"/>
      <w:bookmarkEnd w:id="416"/>
      <w:bookmarkEnd w:id="417"/>
    </w:p>
    <w:p w14:paraId="78CE46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8" w:name="_Toc161600345"/>
      <w:bookmarkStart w:id="419" w:name="_Toc109897476"/>
      <w:r>
        <w:rPr>
          <w:rFonts w:hint="eastAsia" w:ascii="宋体" w:hAnsi="宋体" w:eastAsia="宋体" w:cs="宋体"/>
          <w:b/>
          <w:bCs/>
          <w:color w:val="auto"/>
          <w:kern w:val="2"/>
          <w:sz w:val="24"/>
          <w:szCs w:val="24"/>
          <w:highlight w:val="none"/>
          <w:lang w:val="en-US" w:eastAsia="zh-CN" w:bidi="ar-SA"/>
        </w:rPr>
        <w:t>47.政府采购合同融资政策</w:t>
      </w:r>
      <w:bookmarkEnd w:id="418"/>
    </w:p>
    <w:p w14:paraId="59269D3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0" w:name="_Toc163493623"/>
      <w:bookmarkStart w:id="421" w:name="_Toc109899994"/>
      <w:bookmarkStart w:id="422" w:name="_Toc109900413"/>
      <w:bookmarkStart w:id="423" w:name="_Toc31397"/>
      <w:bookmarkStart w:id="424" w:name="_Toc109899575"/>
      <w:r>
        <w:rPr>
          <w:rFonts w:hint="eastAsia" w:ascii="宋体" w:hAnsi="宋体" w:eastAsia="宋体" w:cs="宋体"/>
          <w:b/>
          <w:bCs/>
          <w:color w:val="auto"/>
          <w:kern w:val="2"/>
          <w:sz w:val="24"/>
          <w:szCs w:val="24"/>
          <w:highlight w:val="none"/>
          <w:lang w:val="en-US" w:eastAsia="zh-CN" w:bidi="ar-SA"/>
        </w:rPr>
        <w:t>（十五）其他</w:t>
      </w:r>
      <w:bookmarkEnd w:id="419"/>
      <w:bookmarkEnd w:id="420"/>
      <w:bookmarkEnd w:id="421"/>
      <w:bookmarkEnd w:id="422"/>
      <w:bookmarkEnd w:id="423"/>
      <w:bookmarkEnd w:id="424"/>
    </w:p>
    <w:p w14:paraId="0C2C4C1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5" w:name="_Toc161600347"/>
      <w:r>
        <w:rPr>
          <w:rFonts w:hint="eastAsia" w:ascii="宋体" w:hAnsi="宋体" w:eastAsia="宋体" w:cs="宋体"/>
          <w:b/>
          <w:bCs/>
          <w:color w:val="auto"/>
          <w:kern w:val="2"/>
          <w:sz w:val="24"/>
          <w:szCs w:val="24"/>
          <w:highlight w:val="none"/>
          <w:lang w:val="en-US" w:eastAsia="zh-CN" w:bidi="ar-SA"/>
        </w:rPr>
        <w:t>48.需要补充的其他内容</w:t>
      </w:r>
      <w:bookmarkEnd w:id="425"/>
    </w:p>
    <w:p w14:paraId="3957C993">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6" w:name="_Toc109900414"/>
      <w:bookmarkStart w:id="427" w:name="_Toc109899576"/>
      <w:bookmarkStart w:id="428" w:name="_Toc109897477"/>
      <w:bookmarkStart w:id="429" w:name="_Toc109899995"/>
      <w:r>
        <w:rPr>
          <w:rFonts w:hint="eastAsia" w:ascii="宋体" w:hAnsi="宋体" w:eastAsia="宋体" w:cs="宋体"/>
          <w:b/>
          <w:bCs/>
          <w:color w:val="auto"/>
          <w:kern w:val="2"/>
          <w:sz w:val="24"/>
          <w:szCs w:val="24"/>
          <w:highlight w:val="none"/>
          <w:lang w:val="en-US" w:eastAsia="zh-CN" w:bidi="ar-SA"/>
        </w:rPr>
        <w:t>49.适用法律</w:t>
      </w:r>
      <w:bookmarkEnd w:id="426"/>
      <w:bookmarkEnd w:id="427"/>
      <w:bookmarkEnd w:id="428"/>
      <w:bookmarkEnd w:id="429"/>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4</w:t>
      </w:r>
      <w:r>
        <w:rPr>
          <w:rFonts w:hint="eastAsia" w:ascii="宋体" w:hAnsi="宋体" w:eastAsia="宋体" w:cs="宋体"/>
          <w:snapToGrid w:val="0"/>
          <w:color w:val="auto"/>
          <w:sz w:val="24"/>
          <w:szCs w:val="24"/>
          <w:highlight w:val="none"/>
          <w:lang w:val="en-US" w:eastAsia="zh-CN"/>
        </w:rPr>
        <w:t>9</w:t>
      </w:r>
      <w:r>
        <w:rPr>
          <w:rFonts w:hint="eastAsia" w:ascii="宋体" w:hAnsi="宋体" w:eastAsia="宋体" w:cs="宋体"/>
          <w:snapToGrid w:val="0"/>
          <w:color w:val="auto"/>
          <w:sz w:val="24"/>
          <w:szCs w:val="24"/>
          <w:highlight w:val="none"/>
          <w:lang w:val="zh-CN"/>
        </w:rPr>
        <w:t>.1采购人、采购代理机构及供应商的一切采购活动均适用《</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政府采购法》、《</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政府采购法实施条例》、</w:t>
      </w:r>
      <w:r>
        <w:rPr>
          <w:rFonts w:hint="eastAsia" w:ascii="宋体" w:hAnsi="宋体" w:eastAsia="宋体" w:cs="宋体"/>
          <w:color w:val="auto"/>
          <w:sz w:val="24"/>
          <w:szCs w:val="24"/>
          <w:highlight w:val="none"/>
        </w:rPr>
        <w:t>《政府采购</w:t>
      </w:r>
      <w:r>
        <w:rPr>
          <w:rFonts w:hint="eastAsia" w:cs="宋体"/>
          <w:color w:val="auto"/>
          <w:sz w:val="24"/>
          <w:szCs w:val="24"/>
          <w:highlight w:val="none"/>
          <w:lang w:val="en-US" w:eastAsia="zh-CN"/>
        </w:rPr>
        <w:t>非招标采购方式管理</w:t>
      </w:r>
      <w:r>
        <w:rPr>
          <w:rFonts w:hint="eastAsia" w:ascii="宋体" w:hAnsi="宋体" w:eastAsia="宋体" w:cs="宋体"/>
          <w:color w:val="auto"/>
          <w:sz w:val="24"/>
          <w:szCs w:val="24"/>
          <w:highlight w:val="none"/>
        </w:rPr>
        <w:t>办法》（财</w:t>
      </w:r>
      <w:r>
        <w:rPr>
          <w:rFonts w:hint="eastAsia" w:cs="宋体"/>
          <w:color w:val="auto"/>
          <w:sz w:val="24"/>
          <w:szCs w:val="24"/>
          <w:highlight w:val="none"/>
          <w:lang w:val="en-US" w:eastAsia="zh-CN"/>
        </w:rPr>
        <w:t>政部令第7</w:t>
      </w:r>
      <w:r>
        <w:rPr>
          <w:rFonts w:hint="eastAsia" w:ascii="宋体" w:hAnsi="宋体" w:eastAsia="宋体" w:cs="宋体"/>
          <w:color w:val="auto"/>
          <w:sz w:val="24"/>
          <w:szCs w:val="24"/>
          <w:highlight w:val="none"/>
        </w:rPr>
        <w:t>4号）</w:t>
      </w:r>
      <w:r>
        <w:rPr>
          <w:rFonts w:hint="eastAsia" w:ascii="宋体" w:hAnsi="宋体" w:eastAsia="宋体" w:cs="宋体"/>
          <w:snapToGrid w:val="0"/>
          <w:color w:val="auto"/>
          <w:sz w:val="24"/>
          <w:szCs w:val="24"/>
          <w:highlight w:val="none"/>
          <w:lang w:val="zh-CN"/>
        </w:rPr>
        <w:t>及相关法律法规。</w:t>
      </w:r>
    </w:p>
    <w:p w14:paraId="7EF83039">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4</w:t>
      </w:r>
      <w:r>
        <w:rPr>
          <w:rFonts w:hint="eastAsia" w:ascii="宋体" w:hAnsi="宋体" w:eastAsia="宋体" w:cs="宋体"/>
          <w:snapToGrid w:val="0"/>
          <w:color w:val="auto"/>
          <w:sz w:val="24"/>
          <w:szCs w:val="24"/>
          <w:highlight w:val="none"/>
          <w:lang w:val="en-US" w:eastAsia="zh-CN"/>
        </w:rPr>
        <w:t>9</w:t>
      </w:r>
      <w:r>
        <w:rPr>
          <w:rFonts w:hint="eastAsia" w:ascii="宋体" w:hAnsi="宋体" w:eastAsia="宋体" w:cs="宋体"/>
          <w:snapToGrid w:val="0"/>
          <w:color w:val="auto"/>
          <w:sz w:val="24"/>
          <w:szCs w:val="24"/>
          <w:highlight w:val="none"/>
          <w:lang w:val="zh-CN"/>
        </w:rPr>
        <w:t>.2政府采购合同的履行、违约责任和解决争议的方法等适用《</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30" w:name="_Toc155185887"/>
      <w:bookmarkStart w:id="431" w:name="_Toc161600349"/>
      <w:r>
        <w:rPr>
          <w:rFonts w:hint="eastAsia" w:ascii="宋体" w:hAnsi="宋体" w:eastAsia="宋体" w:cs="宋体"/>
          <w:b/>
          <w:bCs/>
          <w:color w:val="auto"/>
          <w:kern w:val="2"/>
          <w:sz w:val="24"/>
          <w:szCs w:val="24"/>
          <w:highlight w:val="none"/>
          <w:lang w:val="en-US" w:eastAsia="zh-CN" w:bidi="ar-SA"/>
        </w:rPr>
        <w:t>50.解释权</w:t>
      </w:r>
      <w:bookmarkEnd w:id="430"/>
      <w:bookmarkEnd w:id="431"/>
    </w:p>
    <w:p w14:paraId="5C6D27F8">
      <w:pPr>
        <w:pStyle w:val="3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.1本竞争性</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文件最终解释权归采购人</w:t>
      </w:r>
      <w:r>
        <w:rPr>
          <w:rFonts w:hint="eastAsia" w:eastAsia="宋体"/>
          <w:snapToGrid w:val="0"/>
          <w:color w:val="auto"/>
          <w:sz w:val="24"/>
          <w:highlight w:val="none"/>
        </w:rPr>
        <w:t>或采购代理机构所有。</w:t>
      </w:r>
    </w:p>
    <w:p w14:paraId="0F169FC7">
      <w:pPr>
        <w:pStyle w:val="3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p>
    <w:p w14:paraId="39B2275E">
      <w:pPr>
        <w:pStyle w:val="2"/>
        <w:keepNext w:val="0"/>
        <w:keepLines w:val="0"/>
        <w:pageBreakBefore/>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32" w:name="_Toc20486"/>
      <w:r>
        <w:rPr>
          <w:rFonts w:hint="eastAsia" w:ascii="宋体" w:hAnsi="宋体" w:eastAsia="宋体" w:cs="宋体"/>
          <w:b/>
          <w:bCs/>
          <w:color w:val="auto"/>
          <w:kern w:val="44"/>
          <w:sz w:val="36"/>
          <w:szCs w:val="36"/>
          <w:highlight w:val="none"/>
          <w:lang w:val="en-US" w:eastAsia="zh-CN" w:bidi="ar-SA"/>
        </w:rPr>
        <w:t>第三章 项目采购需求</w:t>
      </w:r>
      <w:bookmarkEnd w:id="432"/>
    </w:p>
    <w:p w14:paraId="2C43F922">
      <w:pPr>
        <w:pStyle w:val="34"/>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bookmarkStart w:id="433" w:name="_Toc155185889"/>
      <w:bookmarkStart w:id="434" w:name="_Toc140132812"/>
      <w:bookmarkStart w:id="435" w:name="_Toc163492886"/>
      <w:r>
        <w:rPr>
          <w:rFonts w:hint="eastAsia"/>
          <w:b/>
          <w:bCs/>
          <w:snapToGrid w:val="0"/>
          <w:color w:val="auto"/>
          <w:sz w:val="24"/>
          <w:szCs w:val="24"/>
          <w:highlight w:val="none"/>
          <w:lang w:val="en-US" w:eastAsia="zh-CN"/>
        </w:rPr>
        <w:t xml:space="preserve">说明： </w:t>
      </w:r>
    </w:p>
    <w:p w14:paraId="04A97FB9">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34"/>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3E57EDE4">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 xml:space="preserve">采购标的（货物需求一览表或简要服务内容及数量） </w:t>
      </w:r>
    </w:p>
    <w:tbl>
      <w:tblPr>
        <w:tblStyle w:val="28"/>
        <w:tblpPr w:leftFromText="180" w:rightFromText="180" w:vertAnchor="text" w:horzAnchor="page" w:tblpX="1671" w:tblpY="250"/>
        <w:tblOverlap w:val="never"/>
        <w:tblW w:w="537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666"/>
        <w:gridCol w:w="1589"/>
        <w:gridCol w:w="1367"/>
        <w:gridCol w:w="1382"/>
        <w:gridCol w:w="1376"/>
      </w:tblGrid>
      <w:tr w14:paraId="63D0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425" w:type="pct"/>
            <w:vMerge w:val="restart"/>
            <w:noWrap w:val="0"/>
            <w:vAlign w:val="center"/>
          </w:tcPr>
          <w:p w14:paraId="2DD364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55" w:type="pct"/>
            <w:vMerge w:val="restart"/>
            <w:noWrap w:val="0"/>
            <w:vAlign w:val="center"/>
          </w:tcPr>
          <w:p w14:paraId="39A57729">
            <w:pPr>
              <w:jc w:val="center"/>
              <w:rPr>
                <w:rFonts w:hint="default" w:ascii="宋体" w:hAnsi="宋体" w:eastAsia="宋体" w:cs="宋体"/>
                <w:color w:val="auto"/>
                <w:sz w:val="21"/>
                <w:szCs w:val="21"/>
                <w:highlight w:val="none"/>
                <w:lang w:val="en-US" w:eastAsia="zh-CN"/>
              </w:rPr>
            </w:pPr>
            <w:r>
              <w:rPr>
                <w:rFonts w:hint="eastAsia" w:cs="宋体"/>
                <w:snapToGrid w:val="0"/>
                <w:color w:val="auto"/>
                <w:sz w:val="21"/>
                <w:szCs w:val="21"/>
                <w:highlight w:val="none"/>
                <w:lang w:val="en-US" w:eastAsia="zh-CN"/>
              </w:rPr>
              <w:t>产品名称</w:t>
            </w:r>
          </w:p>
        </w:tc>
        <w:tc>
          <w:tcPr>
            <w:tcW w:w="867" w:type="pct"/>
            <w:vMerge w:val="restart"/>
            <w:noWrap w:val="0"/>
            <w:vAlign w:val="center"/>
          </w:tcPr>
          <w:p w14:paraId="4237FC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500" w:type="pct"/>
            <w:gridSpan w:val="2"/>
            <w:noWrap w:val="0"/>
            <w:vAlign w:val="center"/>
          </w:tcPr>
          <w:p w14:paraId="0FC38AB7">
            <w:pPr>
              <w:jc w:val="center"/>
              <w:rPr>
                <w:rFonts w:hint="eastAsia" w:ascii="宋体" w:hAnsi="宋体" w:eastAsia="宋体" w:cs="宋体"/>
                <w:snapToGrid w:val="0"/>
                <w:color w:val="auto"/>
                <w:sz w:val="21"/>
                <w:szCs w:val="21"/>
                <w:highlight w:val="none"/>
                <w:lang w:val="en-US" w:eastAsia="zh-CN"/>
              </w:rPr>
            </w:pPr>
            <w:r>
              <w:rPr>
                <w:rFonts w:hint="eastAsia" w:cs="宋体"/>
                <w:color w:val="auto"/>
                <w:sz w:val="21"/>
                <w:szCs w:val="21"/>
                <w:highlight w:val="none"/>
                <w:lang w:val="en-US" w:eastAsia="zh-CN"/>
              </w:rPr>
              <w:t>最高限价（万元）</w:t>
            </w:r>
          </w:p>
        </w:tc>
        <w:tc>
          <w:tcPr>
            <w:tcW w:w="751" w:type="pct"/>
            <w:vMerge w:val="restart"/>
            <w:shd w:val="clear" w:color="auto" w:fill="auto"/>
            <w:noWrap w:val="0"/>
            <w:vAlign w:val="center"/>
          </w:tcPr>
          <w:p w14:paraId="5EC6AD2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rPr>
              <w:t>是否接受进口产品</w:t>
            </w:r>
          </w:p>
        </w:tc>
      </w:tr>
      <w:tr w14:paraId="59821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425" w:type="pct"/>
            <w:vMerge w:val="continue"/>
            <w:noWrap w:val="0"/>
            <w:vAlign w:val="center"/>
          </w:tcPr>
          <w:p w14:paraId="3BC21492">
            <w:pPr>
              <w:jc w:val="center"/>
              <w:rPr>
                <w:rFonts w:hint="eastAsia" w:ascii="宋体" w:hAnsi="宋体" w:eastAsia="宋体" w:cs="宋体"/>
                <w:color w:val="auto"/>
                <w:sz w:val="21"/>
                <w:szCs w:val="21"/>
                <w:highlight w:val="none"/>
                <w:lang w:eastAsia="zh-CN"/>
              </w:rPr>
            </w:pPr>
          </w:p>
        </w:tc>
        <w:tc>
          <w:tcPr>
            <w:tcW w:w="1455" w:type="pct"/>
            <w:vMerge w:val="continue"/>
            <w:noWrap w:val="0"/>
            <w:vAlign w:val="center"/>
          </w:tcPr>
          <w:p w14:paraId="0887B902">
            <w:pPr>
              <w:jc w:val="center"/>
              <w:rPr>
                <w:rFonts w:hint="default" w:ascii="宋体" w:hAnsi="宋体" w:eastAsia="宋体" w:cs="宋体"/>
                <w:color w:val="auto"/>
                <w:sz w:val="21"/>
                <w:szCs w:val="21"/>
                <w:highlight w:val="none"/>
                <w:lang w:val="en-US" w:eastAsia="zh-CN"/>
              </w:rPr>
            </w:pPr>
          </w:p>
        </w:tc>
        <w:tc>
          <w:tcPr>
            <w:tcW w:w="867" w:type="pct"/>
            <w:vMerge w:val="continue"/>
            <w:noWrap w:val="0"/>
            <w:vAlign w:val="center"/>
          </w:tcPr>
          <w:p w14:paraId="67AA001C">
            <w:pPr>
              <w:jc w:val="center"/>
              <w:rPr>
                <w:rFonts w:hint="default" w:ascii="宋体" w:hAnsi="宋体" w:eastAsia="宋体" w:cs="宋体"/>
                <w:color w:val="auto"/>
                <w:sz w:val="21"/>
                <w:szCs w:val="21"/>
                <w:highlight w:val="none"/>
                <w:lang w:val="en-US" w:eastAsia="zh-CN"/>
              </w:rPr>
            </w:pPr>
          </w:p>
        </w:tc>
        <w:tc>
          <w:tcPr>
            <w:tcW w:w="746" w:type="pct"/>
            <w:noWrap w:val="0"/>
            <w:vAlign w:val="center"/>
          </w:tcPr>
          <w:p w14:paraId="7A95D9BF">
            <w:pPr>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单价</w:t>
            </w:r>
          </w:p>
        </w:tc>
        <w:tc>
          <w:tcPr>
            <w:tcW w:w="753" w:type="pct"/>
            <w:noWrap w:val="0"/>
            <w:vAlign w:val="center"/>
          </w:tcPr>
          <w:p w14:paraId="0F60333B">
            <w:pPr>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总价</w:t>
            </w:r>
          </w:p>
        </w:tc>
        <w:tc>
          <w:tcPr>
            <w:tcW w:w="751" w:type="pct"/>
            <w:vMerge w:val="continue"/>
            <w:shd w:val="clear" w:color="auto" w:fill="auto"/>
            <w:noWrap w:val="0"/>
            <w:vAlign w:val="center"/>
          </w:tcPr>
          <w:p w14:paraId="3C243273">
            <w:pPr>
              <w:jc w:val="center"/>
              <w:rPr>
                <w:rFonts w:hint="eastAsia" w:ascii="宋体" w:hAnsi="宋体" w:eastAsia="宋体" w:cs="宋体"/>
                <w:color w:val="auto"/>
                <w:kern w:val="2"/>
                <w:sz w:val="21"/>
                <w:szCs w:val="21"/>
                <w:highlight w:val="none"/>
                <w:lang w:val="en-US" w:eastAsia="zh-CN" w:bidi="ar-SA"/>
              </w:rPr>
            </w:pPr>
          </w:p>
        </w:tc>
      </w:tr>
      <w:tr w14:paraId="1A2F3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25" w:type="pct"/>
            <w:noWrap w:val="0"/>
            <w:vAlign w:val="center"/>
          </w:tcPr>
          <w:p w14:paraId="4147756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55" w:type="pct"/>
            <w:shd w:val="clear" w:color="auto" w:fill="auto"/>
            <w:noWrap w:val="0"/>
            <w:vAlign w:val="center"/>
          </w:tcPr>
          <w:p w14:paraId="15057E27">
            <w:pPr>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陶瓷膜过滤膜</w:t>
            </w:r>
          </w:p>
        </w:tc>
        <w:tc>
          <w:tcPr>
            <w:tcW w:w="867" w:type="pct"/>
            <w:shd w:val="clear" w:color="auto" w:fill="auto"/>
            <w:noWrap w:val="0"/>
            <w:vAlign w:val="center"/>
          </w:tcPr>
          <w:p w14:paraId="23F3DCB9">
            <w:pPr>
              <w:jc w:val="center"/>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1套</w:t>
            </w:r>
          </w:p>
        </w:tc>
        <w:tc>
          <w:tcPr>
            <w:tcW w:w="746" w:type="pct"/>
            <w:noWrap w:val="0"/>
            <w:vAlign w:val="center"/>
          </w:tcPr>
          <w:p w14:paraId="35AC5AD1">
            <w:pPr>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6.9</w:t>
            </w:r>
          </w:p>
        </w:tc>
        <w:tc>
          <w:tcPr>
            <w:tcW w:w="753" w:type="pct"/>
            <w:noWrap w:val="0"/>
            <w:vAlign w:val="center"/>
          </w:tcPr>
          <w:p w14:paraId="4DAFF079">
            <w:pPr>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6.9</w:t>
            </w:r>
          </w:p>
        </w:tc>
        <w:tc>
          <w:tcPr>
            <w:tcW w:w="751" w:type="pct"/>
            <w:noWrap w:val="0"/>
            <w:vAlign w:val="center"/>
          </w:tcPr>
          <w:p w14:paraId="242D496E">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否</w:t>
            </w:r>
          </w:p>
        </w:tc>
      </w:tr>
    </w:tbl>
    <w:p w14:paraId="7F5D9D61">
      <w:pPr>
        <w:pStyle w:val="34"/>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p>
    <w:p w14:paraId="0AB507AA">
      <w:pPr>
        <w:pStyle w:val="34"/>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ascii="宋体" w:hAnsi="宋体" w:eastAsia="宋体"/>
          <w:b/>
          <w:bCs/>
          <w:i w:val="0"/>
          <w:iCs w:val="0"/>
          <w:snapToGrid w:val="0"/>
          <w:color w:val="auto"/>
          <w:sz w:val="24"/>
          <w:szCs w:val="24"/>
          <w:highlight w:val="none"/>
          <w:lang w:val="en-US" w:eastAsia="zh-CN"/>
        </w:rPr>
      </w:pPr>
      <w:r>
        <w:rPr>
          <w:rFonts w:hint="eastAsia" w:ascii="宋体" w:hAnsi="宋体" w:eastAsia="宋体"/>
          <w:b/>
          <w:bCs/>
          <w:i w:val="0"/>
          <w:iCs w:val="0"/>
          <w:snapToGrid w:val="0"/>
          <w:color w:val="auto"/>
          <w:sz w:val="24"/>
          <w:szCs w:val="24"/>
          <w:highlight w:val="none"/>
          <w:lang w:val="en-US" w:eastAsia="zh-CN"/>
        </w:rPr>
        <w:t xml:space="preserve">二、商务要求 </w:t>
      </w:r>
    </w:p>
    <w:p w14:paraId="6852D0AC">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 ：</w:t>
      </w:r>
    </w:p>
    <w:p w14:paraId="291B2016">
      <w:pPr>
        <w:pStyle w:val="34"/>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a）交货期：</w:t>
      </w:r>
      <w:r>
        <w:rPr>
          <w:rFonts w:hint="eastAsia"/>
          <w:snapToGrid w:val="0"/>
          <w:color w:val="auto"/>
          <w:sz w:val="24"/>
          <w:szCs w:val="24"/>
          <w:highlight w:val="none"/>
          <w:lang w:val="en-US" w:eastAsia="zh-CN"/>
        </w:rPr>
        <w:t>自收到成交通知书之日起10日内，将标的物运送至甲方指定地点，并负责完成安装调试，配合甲方完成验收</w:t>
      </w:r>
      <w:r>
        <w:rPr>
          <w:rFonts w:hint="default"/>
          <w:snapToGrid w:val="0"/>
          <w:color w:val="auto"/>
          <w:sz w:val="24"/>
          <w:szCs w:val="24"/>
          <w:highlight w:val="none"/>
          <w:lang w:val="en-US" w:eastAsia="zh-CN"/>
        </w:rPr>
        <w:t>。</w:t>
      </w:r>
    </w:p>
    <w:p w14:paraId="0F726C9A">
      <w:pPr>
        <w:pStyle w:val="34"/>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b）交货地点：甲方指定。</w:t>
      </w:r>
    </w:p>
    <w:p w14:paraId="16A32218">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付款条件（进度和方式） ：</w:t>
      </w:r>
    </w:p>
    <w:p w14:paraId="7C10D9C4">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a）</w:t>
      </w:r>
      <w:r>
        <w:rPr>
          <w:rFonts w:hint="eastAsia"/>
          <w:snapToGrid w:val="0"/>
          <w:color w:val="auto"/>
          <w:sz w:val="24"/>
          <w:szCs w:val="24"/>
          <w:highlight w:val="none"/>
          <w:lang w:val="en-US" w:eastAsia="zh-CN"/>
        </w:rPr>
        <w:t>合同签订后完成设备的到货、安装、调试，经甲方确认达到试运行标准后支付合同总金额的90%，达到验收标准后无息支付合同总金额10%。</w:t>
      </w:r>
    </w:p>
    <w:p w14:paraId="1ABD3059">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b）</w:t>
      </w:r>
      <w:r>
        <w:rPr>
          <w:rFonts w:hint="eastAsia"/>
          <w:snapToGrid w:val="0"/>
          <w:color w:val="auto"/>
          <w:sz w:val="24"/>
          <w:szCs w:val="24"/>
          <w:highlight w:val="none"/>
          <w:lang w:val="en-US" w:eastAsia="zh-CN"/>
        </w:rPr>
        <w:t>以上付款均需乙方在符合付款条件下，先向甲方提交真实合法有效且符合甲方财务做账要求的等额增值税发票并提出书面付款申请，由甲方财务审核通过后，按照甲方财务计划予以支付。否则甲方有权拒绝支付任何费用且不承担任何违约责任。</w:t>
      </w:r>
    </w:p>
    <w:p w14:paraId="7B3B5E9B">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3. </w:t>
      </w:r>
      <w:r>
        <w:rPr>
          <w:rFonts w:hint="eastAsia"/>
          <w:snapToGrid w:val="0"/>
          <w:color w:val="auto"/>
          <w:sz w:val="24"/>
          <w:szCs w:val="24"/>
          <w:highlight w:val="none"/>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lang w:val="en-US" w:eastAsia="zh-CN"/>
        </w:rPr>
        <w:t>2020</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123 </w:t>
      </w:r>
      <w:r>
        <w:rPr>
          <w:rFonts w:hint="eastAsia"/>
          <w:snapToGrid w:val="0"/>
          <w:color w:val="auto"/>
          <w:sz w:val="24"/>
          <w:szCs w:val="24"/>
          <w:highlight w:val="none"/>
          <w:lang w:val="en-US" w:eastAsia="zh-CN"/>
        </w:rPr>
        <w:t xml:space="preserve">号）） </w:t>
      </w:r>
    </w:p>
    <w:p w14:paraId="11F0136F">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4. 保修服务期：</w:t>
      </w:r>
      <w:r>
        <w:rPr>
          <w:rFonts w:hint="eastAsia"/>
          <w:snapToGrid w:val="0"/>
          <w:color w:val="auto"/>
          <w:sz w:val="24"/>
          <w:szCs w:val="24"/>
          <w:highlight w:val="none"/>
          <w:lang w:val="en-US" w:eastAsia="zh-CN"/>
        </w:rPr>
        <w:t>自验收合格之日起计保修期，提供整机（包含附件，如稳压电源、脚踏、推车等）原厂保修服务≥3年，承担保修期内设备任何故障产生的费用。</w:t>
      </w:r>
    </w:p>
    <w:p w14:paraId="24AEA6EC">
      <w:pPr>
        <w:pStyle w:val="34"/>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r>
        <w:rPr>
          <w:rFonts w:hint="eastAsia" w:ascii="宋体" w:hAnsi="宋体" w:eastAsia="宋体"/>
          <w:b/>
          <w:bCs/>
          <w:i w:val="0"/>
          <w:iCs w:val="0"/>
          <w:snapToGrid w:val="0"/>
          <w:color w:val="auto"/>
          <w:sz w:val="24"/>
          <w:szCs w:val="24"/>
          <w:highlight w:val="none"/>
          <w:lang w:val="en-US" w:eastAsia="zh-CN"/>
        </w:rPr>
        <w:t>【</w:t>
      </w:r>
      <w:r>
        <w:rPr>
          <w:rFonts w:hint="eastAsia"/>
          <w:b/>
          <w:bCs/>
          <w:i w:val="0"/>
          <w:iCs w:val="0"/>
          <w:snapToGrid w:val="0"/>
          <w:color w:val="auto"/>
          <w:sz w:val="24"/>
          <w:szCs w:val="24"/>
          <w:highlight w:val="none"/>
          <w:lang w:val="en-US" w:eastAsia="zh-CN"/>
        </w:rPr>
        <w:t>标</w:t>
      </w:r>
      <w:r>
        <w:rPr>
          <w:rFonts w:hint="eastAsia" w:ascii="宋体" w:hAnsi="宋体" w:eastAsia="宋体"/>
          <w:b/>
          <w:bCs/>
          <w:i w:val="0"/>
          <w:iCs w:val="0"/>
          <w:snapToGrid w:val="0"/>
          <w:color w:val="auto"/>
          <w:sz w:val="24"/>
          <w:szCs w:val="24"/>
          <w:highlight w:val="none"/>
          <w:lang w:val="en-US" w:eastAsia="zh-CN"/>
        </w:rPr>
        <w:t>“★”号</w:t>
      </w:r>
      <w:r>
        <w:rPr>
          <w:rFonts w:hint="eastAsia"/>
          <w:b/>
          <w:bCs/>
          <w:i w:val="0"/>
          <w:iCs w:val="0"/>
          <w:snapToGrid w:val="0"/>
          <w:color w:val="auto"/>
          <w:sz w:val="24"/>
          <w:szCs w:val="24"/>
          <w:highlight w:val="none"/>
          <w:lang w:val="en-US" w:eastAsia="zh-CN"/>
        </w:rPr>
        <w:t>为</w:t>
      </w:r>
      <w:r>
        <w:rPr>
          <w:rFonts w:hint="eastAsia" w:ascii="宋体" w:hAnsi="宋体" w:eastAsia="宋体"/>
          <w:b/>
          <w:bCs/>
          <w:i w:val="0"/>
          <w:iCs w:val="0"/>
          <w:snapToGrid w:val="0"/>
          <w:color w:val="auto"/>
          <w:sz w:val="24"/>
          <w:szCs w:val="24"/>
          <w:highlight w:val="none"/>
          <w:lang w:val="en-US" w:eastAsia="zh-CN"/>
        </w:rPr>
        <w:t xml:space="preserve">实质性响应条款，未能实质性响应的供应商，其响应无效】 </w:t>
      </w:r>
    </w:p>
    <w:p w14:paraId="7E7DC091">
      <w:pPr>
        <w:pStyle w:val="34"/>
        <w:keepNext w:val="0"/>
        <w:keepLines w:val="0"/>
        <w:pageBreakBefore w:val="0"/>
        <w:widowControl w:val="0"/>
        <w:kinsoku/>
        <w:overflowPunct/>
        <w:topLinePunct w:val="0"/>
        <w:autoSpaceDE/>
        <w:autoSpaceDN/>
        <w:bidi w:val="0"/>
        <w:adjustRightInd/>
        <w:jc w:val="center"/>
        <w:textAlignment w:val="auto"/>
        <w:rPr>
          <w:rFonts w:hint="eastAsia" w:ascii="宋体" w:hAnsi="宋体" w:eastAsia="宋体" w:cs="宋体"/>
          <w:b/>
          <w:bCs/>
          <w:snapToGrid w:val="0"/>
          <w:color w:val="auto"/>
          <w:sz w:val="32"/>
          <w:szCs w:val="32"/>
          <w:highlight w:val="none"/>
          <w:lang w:val="en-US" w:eastAsia="zh-CN"/>
        </w:rPr>
      </w:pPr>
      <w:r>
        <w:rPr>
          <w:rFonts w:hint="eastAsia" w:cs="宋体"/>
          <w:b/>
          <w:bCs/>
          <w:snapToGrid w:val="0"/>
          <w:color w:val="auto"/>
          <w:sz w:val="32"/>
          <w:szCs w:val="32"/>
          <w:highlight w:val="none"/>
          <w:lang w:val="en-US" w:eastAsia="zh-CN"/>
        </w:rPr>
        <w:t>陶瓷膜过滤膜</w:t>
      </w:r>
      <w:r>
        <w:rPr>
          <w:rFonts w:hint="eastAsia" w:ascii="宋体" w:hAnsi="宋体" w:eastAsia="宋体" w:cs="宋体"/>
          <w:b/>
          <w:bCs/>
          <w:snapToGrid w:val="0"/>
          <w:color w:val="auto"/>
          <w:sz w:val="32"/>
          <w:szCs w:val="32"/>
          <w:highlight w:val="none"/>
          <w:lang w:val="en-US" w:eastAsia="zh-CN"/>
        </w:rPr>
        <w:t>技术参数要求</w:t>
      </w:r>
    </w:p>
    <w:p w14:paraId="4CDF5AB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★一．规格参数要求：</w:t>
      </w:r>
    </w:p>
    <w:p w14:paraId="01A87CD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1.有效过滤面积≥0.115㎡</w:t>
      </w:r>
    </w:p>
    <w:p w14:paraId="5D4E701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2.最小运行体积≤4L</w:t>
      </w:r>
    </w:p>
    <w:p w14:paraId="25644FD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3.物料罐容积≥10L</w:t>
      </w:r>
    </w:p>
    <w:p w14:paraId="1F53897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4.设计最高压力≥4bar</w:t>
      </w:r>
    </w:p>
    <w:p w14:paraId="70FDEF2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5.工作压力范围≥0.2~0.5MPa</w:t>
      </w:r>
    </w:p>
    <w:p w14:paraId="413F033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6.系统操作温度≤70℃</w:t>
      </w:r>
    </w:p>
    <w:p w14:paraId="07CF9F6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7.工作pH范围：2~13</w:t>
      </w:r>
    </w:p>
    <w:p w14:paraId="6D15870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8.清洗pH范围：1~14</w:t>
      </w:r>
    </w:p>
    <w:p w14:paraId="1930EE3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9.最小处理量≤6L</w:t>
      </w:r>
    </w:p>
    <w:p w14:paraId="7232543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10.每批最大处理量≥10L</w:t>
      </w:r>
    </w:p>
    <w:p w14:paraId="124E4A8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11.过滤速率：0.5~10L/h</w:t>
      </w:r>
    </w:p>
    <w:p w14:paraId="235E8FF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12.材质采用304不锈钢或同等材质</w:t>
      </w:r>
    </w:p>
    <w:p w14:paraId="50ABDEF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13.控制方式：PLC控制</w:t>
      </w:r>
    </w:p>
    <w:p w14:paraId="36143A4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14.安全保护功能：具备超压+超温自动保护、报警停机等</w:t>
      </w:r>
    </w:p>
    <w:p w14:paraId="06388D0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15.阀门控制：具备自动蝶阀+隔膜阀</w:t>
      </w:r>
    </w:p>
    <w:p w14:paraId="32A8031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16.膜元件：Al₂O₃/ZrO₂，可换精度</w:t>
      </w:r>
    </w:p>
    <w:p w14:paraId="2AEEFEF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17.溶剂耐受性：水系/醇系。</w:t>
      </w:r>
    </w:p>
    <w:p w14:paraId="3445B4C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p>
    <w:p w14:paraId="7E41D65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二．其他技术性要求：</w:t>
      </w:r>
    </w:p>
    <w:p w14:paraId="0C5C166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1.负责设备的安装、调试、培训等工作。</w:t>
      </w:r>
    </w:p>
    <w:p w14:paraId="0DC62CA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2.须列出所有设备易损件清单及价格。</w:t>
      </w:r>
    </w:p>
    <w:p w14:paraId="56ABAA2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3.须列出所有设备维保服务类型及价格。</w:t>
      </w:r>
    </w:p>
    <w:p w14:paraId="0DD89F8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4.如标配中含有打印机的，要求配置医院现有品牌（所用耗材需与医院现有耗材一致）。</w:t>
      </w:r>
    </w:p>
    <w:p w14:paraId="305FAE7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5.如具有数据存储功能，产生信息数据的设备必须终生免费开放各类数据接口，包含但不限于DICOM、WEBservice等数据接口格式，以保证与我院现有信息系统的数据对接。</w:t>
      </w:r>
    </w:p>
    <w:p w14:paraId="578EDCA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6.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2D4B84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7.如具有工作站或相关操作系统，其中包含的所有软件，无年度维护费用；软件中涉及到存储病人就诊信息的，无单独就诊卡或芯片类存储介质。 </w:t>
      </w:r>
    </w:p>
    <w:p w14:paraId="1482536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8.</w:t>
      </w:r>
      <w:r>
        <w:rPr>
          <w:rFonts w:hint="eastAsia" w:cs="宋体"/>
          <w:snapToGrid w:val="0"/>
          <w:color w:val="auto"/>
          <w:sz w:val="24"/>
          <w:szCs w:val="24"/>
          <w:highlight w:val="none"/>
          <w:lang w:val="en-US" w:eastAsia="zh-CN"/>
        </w:rPr>
        <w:t>自验收合格之日起计保修期，提供整机（包含附件，如稳压电源、脚踏、推车等）原厂保修服务≥3年，承担保修期内设备任何故障产生的费用</w:t>
      </w:r>
      <w:r>
        <w:rPr>
          <w:rFonts w:hint="eastAsia" w:ascii="宋体" w:hAnsi="宋体" w:eastAsia="宋体" w:cs="宋体"/>
          <w:snapToGrid w:val="0"/>
          <w:color w:val="auto"/>
          <w:sz w:val="24"/>
          <w:szCs w:val="24"/>
          <w:highlight w:val="none"/>
          <w:lang w:val="en-US" w:eastAsia="zh-CN"/>
        </w:rPr>
        <w:t>。</w:t>
      </w:r>
    </w:p>
    <w:p w14:paraId="0F4A2B3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9.保修期内每季度定期由专业工程师对设备进行巡检，并出具相应工单交使用科室及医学工程科备案。</w:t>
      </w:r>
    </w:p>
    <w:p w14:paraId="002643B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p>
    <w:bookmarkEnd w:id="433"/>
    <w:bookmarkEnd w:id="434"/>
    <w:bookmarkEnd w:id="435"/>
    <w:p w14:paraId="0A7213FE">
      <w:pPr>
        <w:rPr>
          <w:rFonts w:hint="eastAsia" w:ascii="宋体" w:hAnsi="宋体" w:eastAsia="黑体" w:cstheme="minorBidi"/>
          <w:b/>
          <w:bCs/>
          <w:color w:val="auto"/>
          <w:kern w:val="44"/>
          <w:sz w:val="44"/>
          <w:szCs w:val="44"/>
          <w:highlight w:val="none"/>
          <w:lang w:val="en-US" w:eastAsia="zh-CN" w:bidi="ar-SA"/>
        </w:rPr>
      </w:pPr>
    </w:p>
    <w:p w14:paraId="75823E1B">
      <w:pPr>
        <w:keepNext w:val="0"/>
        <w:keepLines w:val="0"/>
        <w:widowControl/>
        <w:suppressLineNumbers w:val="0"/>
        <w:jc w:val="left"/>
        <w:rPr>
          <w:color w:val="auto"/>
          <w:highlight w:val="none"/>
        </w:rPr>
      </w:pPr>
    </w:p>
    <w:p w14:paraId="46C449C0">
      <w:pPr>
        <w:keepNext w:val="0"/>
        <w:keepLines w:val="0"/>
        <w:widowControl/>
        <w:suppressLineNumbers w:val="0"/>
        <w:jc w:val="left"/>
        <w:rPr>
          <w:color w:val="auto"/>
          <w:highlight w:val="none"/>
        </w:rPr>
      </w:pPr>
    </w:p>
    <w:p w14:paraId="5EA19B22">
      <w:pPr>
        <w:keepNext w:val="0"/>
        <w:keepLines w:val="0"/>
        <w:widowControl/>
        <w:suppressLineNumbers w:val="0"/>
        <w:jc w:val="left"/>
        <w:rPr>
          <w:color w:val="auto"/>
          <w:highlight w:val="none"/>
        </w:rPr>
      </w:pPr>
    </w:p>
    <w:p w14:paraId="737DFBFD">
      <w:pPr>
        <w:keepNext w:val="0"/>
        <w:keepLines w:val="0"/>
        <w:widowControl/>
        <w:suppressLineNumbers w:val="0"/>
        <w:jc w:val="left"/>
        <w:rPr>
          <w:color w:val="auto"/>
          <w:highlight w:val="none"/>
        </w:rPr>
      </w:pPr>
    </w:p>
    <w:p w14:paraId="2620E947">
      <w:pPr>
        <w:rPr>
          <w:rFonts w:hint="eastAsia" w:ascii="宋体" w:hAnsi="宋体" w:eastAsia="宋体" w:cs="宋体"/>
          <w:b/>
          <w:bCs/>
          <w:color w:val="auto"/>
          <w:kern w:val="44"/>
          <w:sz w:val="36"/>
          <w:szCs w:val="36"/>
          <w:highlight w:val="none"/>
          <w:lang w:val="en-US" w:eastAsia="zh-CN" w:bidi="ar-SA"/>
        </w:rPr>
      </w:pPr>
      <w:bookmarkStart w:id="436" w:name="_Toc716"/>
      <w:bookmarkStart w:id="437" w:name="_Toc10757"/>
      <w:r>
        <w:rPr>
          <w:rFonts w:hint="eastAsia" w:ascii="宋体" w:hAnsi="宋体" w:eastAsia="宋体" w:cs="宋体"/>
          <w:b/>
          <w:bCs/>
          <w:color w:val="auto"/>
          <w:kern w:val="44"/>
          <w:sz w:val="36"/>
          <w:szCs w:val="36"/>
          <w:highlight w:val="none"/>
          <w:lang w:val="en-US" w:eastAsia="zh-CN" w:bidi="ar-SA"/>
        </w:rPr>
        <w:br w:type="page"/>
      </w:r>
    </w:p>
    <w:p w14:paraId="28FA2165">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评审方法及标准</w:t>
      </w:r>
      <w:bookmarkEnd w:id="436"/>
      <w:bookmarkEnd w:id="437"/>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38" w:name="_Toc17539"/>
      <w:bookmarkStart w:id="439" w:name="_Toc28495"/>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eastAsia="zh-CN"/>
        </w:rPr>
        <w:t>评审方法</w:t>
      </w:r>
      <w:bookmarkEnd w:id="438"/>
      <w:bookmarkEnd w:id="439"/>
    </w:p>
    <w:p w14:paraId="53640E9C">
      <w:pPr>
        <w:pStyle w:val="34"/>
        <w:keepNext w:val="0"/>
        <w:keepLines w:val="0"/>
        <w:pageBreakBefore w:val="0"/>
        <w:widowControl w:val="0"/>
        <w:kinsoku/>
        <w:wordWrap w:val="0"/>
        <w:overflowPunct/>
        <w:topLinePunct w:val="0"/>
        <w:autoSpaceDE/>
        <w:autoSpaceDN/>
        <w:bidi w:val="0"/>
        <w:adjustRightInd/>
        <w:snapToGrid/>
        <w:spacing w:line="420" w:lineRule="exact"/>
        <w:ind w:firstLine="480"/>
        <w:textAlignment w:val="auto"/>
        <w:rPr>
          <w:rFonts w:hint="eastAsia" w:ascii="宋体" w:hAnsi="宋体" w:eastAsia="宋体" w:cs="宋体"/>
          <w:color w:val="auto"/>
          <w:highlight w:val="none"/>
        </w:rPr>
      </w:pPr>
      <w:r>
        <w:rPr>
          <w:rFonts w:hint="eastAsia" w:cs="宋体"/>
          <w:color w:val="auto"/>
          <w:highlight w:val="none"/>
          <w:lang w:val="en-US" w:eastAsia="zh-CN"/>
        </w:rPr>
        <w:t>评审方法：</w:t>
      </w:r>
      <w:r>
        <w:rPr>
          <w:rFonts w:hint="eastAsia" w:ascii="宋体" w:hAnsi="宋体" w:eastAsia="宋体" w:cs="宋体"/>
          <w:color w:val="auto"/>
          <w:highlight w:val="none"/>
          <w:lang w:val="en-US" w:eastAsia="zh-CN"/>
        </w:rPr>
        <w:t>谈判小组与符合资格条件的供应商就采购货物、工程和服务事宜进行谈判，供应商按照谈判文件的要求提交响应文件和最后报价</w:t>
      </w:r>
      <w:r>
        <w:rPr>
          <w:rFonts w:hint="eastAsia" w:ascii="宋体" w:hAnsi="宋体" w:eastAsia="宋体" w:cs="宋体"/>
          <w:b/>
          <w:bCs/>
          <w:color w:val="auto"/>
          <w:szCs w:val="24"/>
          <w:highlight w:val="none"/>
          <w:lang w:val="zh-CN"/>
        </w:rPr>
        <w:t>（因落实政府采购政策进行价格调整的，以调整后的价格计算）</w:t>
      </w:r>
      <w:r>
        <w:rPr>
          <w:rFonts w:hint="eastAsia" w:ascii="宋体" w:hAnsi="宋体" w:eastAsia="宋体" w:cs="宋体"/>
          <w:color w:val="auto"/>
          <w:highlight w:val="none"/>
          <w:lang w:val="en-US" w:eastAsia="zh-CN"/>
        </w:rPr>
        <w:t>，采购人从谈判小组提出的成交候选人中确定成交供应商</w:t>
      </w:r>
      <w:r>
        <w:rPr>
          <w:rFonts w:hint="eastAsia" w:ascii="宋体" w:hAnsi="宋体" w:eastAsia="宋体" w:cs="宋体"/>
          <w:color w:val="auto"/>
          <w:highlight w:val="none"/>
        </w:rPr>
        <w:t>。</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default" w:ascii="宋体" w:hAnsi="宋体" w:eastAsia="宋体" w:cs="宋体"/>
          <w:color w:val="auto"/>
          <w:sz w:val="28"/>
          <w:szCs w:val="28"/>
          <w:highlight w:val="none"/>
          <w:lang w:val="en-US" w:eastAsia="zh-CN"/>
        </w:rPr>
      </w:pPr>
      <w:bookmarkStart w:id="440" w:name="_Toc662"/>
      <w:bookmarkStart w:id="441" w:name="_Toc24199"/>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评审程序</w:t>
      </w:r>
      <w:bookmarkEnd w:id="440"/>
      <w:bookmarkEnd w:id="441"/>
    </w:p>
    <w:p w14:paraId="2541236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42" w:name="_Toc1596"/>
      <w:bookmarkStart w:id="443" w:name="_Toc163493634"/>
      <w:r>
        <w:rPr>
          <w:rFonts w:hint="eastAsia" w:ascii="宋体" w:hAnsi="宋体" w:eastAsia="宋体" w:cs="宋体"/>
          <w:b/>
          <w:bCs/>
          <w:color w:val="auto"/>
          <w:kern w:val="2"/>
          <w:sz w:val="24"/>
          <w:szCs w:val="24"/>
          <w:highlight w:val="none"/>
          <w:lang w:val="zh-CN" w:eastAsia="zh-CN" w:bidi="ar-SA"/>
        </w:rPr>
        <w:t>（一）资格审查和符合性审查</w:t>
      </w:r>
      <w:bookmarkEnd w:id="442"/>
      <w:bookmarkEnd w:id="443"/>
    </w:p>
    <w:p w14:paraId="6C7F2EBF">
      <w:pPr>
        <w:keepNext w:val="0"/>
        <w:keepLines w:val="0"/>
        <w:pageBreakBefore w:val="0"/>
        <w:widowControl w:val="0"/>
        <w:tabs>
          <w:tab w:val="left" w:pos="312"/>
        </w:tabs>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文件规定的供应商资格条件、评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成交的标准等事项，对供应商的响应文件进行评审。资格审查和符合性审查不符合</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文件要求的响应文件，按</w:t>
      </w:r>
      <w:r>
        <w:rPr>
          <w:rFonts w:hint="eastAsia" w:ascii="宋体" w:hAnsi="宋体" w:eastAsia="宋体" w:cs="宋体"/>
          <w:b/>
          <w:bCs/>
          <w:color w:val="auto"/>
          <w:sz w:val="24"/>
          <w:szCs w:val="24"/>
          <w:highlight w:val="none"/>
        </w:rPr>
        <w:t>无效文件</w:t>
      </w:r>
      <w:r>
        <w:rPr>
          <w:rFonts w:hint="eastAsia" w:ascii="宋体" w:hAnsi="宋体" w:eastAsia="宋体" w:cs="宋体"/>
          <w:color w:val="auto"/>
          <w:sz w:val="24"/>
          <w:szCs w:val="24"/>
          <w:highlight w:val="none"/>
        </w:rPr>
        <w:t>处理，不进入</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，并告知有关供应商</w:t>
      </w:r>
      <w:r>
        <w:rPr>
          <w:rFonts w:hint="eastAsia" w:ascii="宋体" w:hAnsi="宋体" w:eastAsia="宋体" w:cs="宋体"/>
          <w:color w:val="auto"/>
          <w:sz w:val="24"/>
          <w:szCs w:val="24"/>
          <w:highlight w:val="none"/>
          <w:lang w:val="zh-CN"/>
        </w:rPr>
        <w:t>。</w:t>
      </w:r>
    </w:p>
    <w:p w14:paraId="1C382249">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2.同品牌检查：</w:t>
      </w:r>
    </w:p>
    <w:p w14:paraId="30880557">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2.1单一产品采购（或非单一产品采购中的核心产品），提供相同品牌产品且通过资格审查、符合性审查的不同供应商参加同一合同项下谈判的，按一家供应商计算。</w:t>
      </w:r>
    </w:p>
    <w:p w14:paraId="6D41A4A2">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非单一产品采购项目，采购人应当根据采购项目技术构成、产品价格比重等合理确定一个核心产品（采购清单中作“与核心产品相同〈或同一〉品牌”实质性要求的产品，视为一个核心产品），并以“核心产品”在竞争性谈判文件中载明，评审时按前款规定处理。</w:t>
      </w:r>
    </w:p>
    <w:p w14:paraId="52208256">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2.3有效品牌不足3家的应按废标处理</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公开招标的货物和服务项目，招标过程中提交投标文件或者经评审实质性响应招标文件要求的供应商只有2家时，经本级财政部门批准后采用竞争性谈判方式采购的可以为2家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14:paraId="2480155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44" w:name="_Toc163493635"/>
      <w:bookmarkStart w:id="445" w:name="_Toc11015"/>
      <w:bookmarkStart w:id="446" w:name="_Hlk158124046"/>
      <w:bookmarkStart w:id="447" w:name="_Toc102057744"/>
      <w:bookmarkStart w:id="448" w:name="_Toc102116178"/>
      <w:bookmarkStart w:id="449" w:name="_Toc102114946"/>
      <w:bookmarkStart w:id="450" w:name="_Toc102056244"/>
      <w:bookmarkStart w:id="451" w:name="_Toc102116048"/>
      <w:bookmarkStart w:id="452" w:name="_Toc102119879"/>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响应文件澄清</w:t>
      </w:r>
      <w:bookmarkEnd w:id="444"/>
      <w:bookmarkEnd w:id="445"/>
    </w:p>
    <w:p w14:paraId="4E589A43">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1.评审期间，</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在对响应文件的有效性、完整性和响应程度进行审查时，可以要求供应商对响应文件中含义不明确、同类问题表述不一致或者有明显文字和计算错误的内容等作出必要的澄清、说明或者更正。供应商应按照谈判小组要求在规定时间内作出澄清、说明或者补正，澄清、说明或者补正不得超出响应文件的范围或者改变响应文件的实质性内容。</w:t>
      </w:r>
    </w:p>
    <w:p w14:paraId="7D6F80BE">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2.谈判小组应当以书面形式要求供应商作出澄清、说明或者更正响应文件。供应商的澄清、说明或者更正</w:t>
      </w:r>
      <w:r>
        <w:rPr>
          <w:rFonts w:hint="eastAsia" w:ascii="宋体" w:hAnsi="宋体" w:eastAsia="宋体" w:cs="宋体"/>
          <w:color w:val="auto"/>
          <w:sz w:val="24"/>
          <w:szCs w:val="24"/>
          <w:highlight w:val="none"/>
        </w:rPr>
        <w:t>是其响应文件的有效组成部分，澄清、说明或者补正应当以书面的方式</w:t>
      </w:r>
      <w:r>
        <w:rPr>
          <w:rFonts w:hint="eastAsia" w:ascii="宋体" w:hAnsi="宋体" w:eastAsia="宋体" w:cs="宋体"/>
          <w:color w:val="auto"/>
          <w:sz w:val="24"/>
          <w:szCs w:val="24"/>
          <w:highlight w:val="none"/>
          <w:lang w:val="en-US" w:eastAsia="zh-CN"/>
        </w:rPr>
        <w:t>由法定代表人或其授权代表签字或者加盖公章（</w:t>
      </w:r>
      <w:r>
        <w:rPr>
          <w:rFonts w:hint="eastAsia" w:ascii="宋体" w:hAnsi="宋体" w:eastAsia="宋体" w:cs="宋体"/>
          <w:color w:val="auto"/>
          <w:sz w:val="24"/>
          <w:szCs w:val="24"/>
          <w:highlight w:val="none"/>
        </w:rPr>
        <w:t>电子印章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后提交</w:t>
      </w:r>
      <w:r>
        <w:rPr>
          <w:rFonts w:hint="eastAsia" w:ascii="宋体" w:hAnsi="宋体" w:eastAsia="宋体" w:cs="宋体"/>
          <w:color w:val="auto"/>
          <w:sz w:val="24"/>
          <w:szCs w:val="24"/>
          <w:highlight w:val="none"/>
          <w:lang w:val="en-US" w:eastAsia="zh-CN"/>
        </w:rPr>
        <w:t>。由授权代表签字的，应当附法定代表人授权书。供应商为自然人的，应当由本人签字并附身份证明。</w:t>
      </w:r>
    </w:p>
    <w:bookmarkEnd w:id="446"/>
    <w:p w14:paraId="27E4E05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53" w:name="_Toc13539"/>
      <w:bookmarkStart w:id="454" w:name="_Toc163493636"/>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谈判程序</w:t>
      </w:r>
      <w:bookmarkEnd w:id="453"/>
      <w:bookmarkEnd w:id="454"/>
    </w:p>
    <w:p w14:paraId="3B21DF86">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小组应当依据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文件规定的程序、评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成交的标准等事项与</w:t>
      </w:r>
      <w:r>
        <w:rPr>
          <w:rFonts w:hint="eastAsia" w:ascii="宋体" w:hAnsi="宋体" w:eastAsia="宋体" w:cs="宋体"/>
          <w:color w:val="auto"/>
          <w:sz w:val="24"/>
          <w:szCs w:val="24"/>
          <w:highlight w:val="none"/>
          <w:lang w:val="zh-CN"/>
        </w:rPr>
        <w:t>实质性</w:t>
      </w:r>
      <w:r>
        <w:rPr>
          <w:rFonts w:hint="eastAsia" w:ascii="宋体" w:hAnsi="宋体" w:eastAsia="宋体" w:cs="宋体"/>
          <w:color w:val="auto"/>
          <w:sz w:val="24"/>
          <w:szCs w:val="24"/>
          <w:highlight w:val="none"/>
        </w:rPr>
        <w:t>响应</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文件要求的供应商进行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1.第一轮谈判</w:t>
      </w:r>
    </w:p>
    <w:p w14:paraId="0B92300B">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小组将按照系统随机的顺序决定供应商的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顺序，并集中与单一供应商分别进行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7F6A6EA2">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小组所有成员应当对照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文件和响应文件就采购需求、质量和服务等内容集中与单一供应商分别进行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，并给予所有参加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的供应商平等的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机会。在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中，</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的任何一方不得透露与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有关的其他供应商的技术资料、价格和其他信息。</w:t>
      </w:r>
    </w:p>
    <w:p w14:paraId="1BC6C917">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过程中，</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小组可以根据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情况实质性变动采购需求中的技术、服务要求以及合同草案条款，但不得变动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文件中的其他内容。实质性变动的内容，须经采购人代表确认。</w:t>
      </w:r>
    </w:p>
    <w:p w14:paraId="26C7DC2C">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文件作出的实质性变动的内容是</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文件的有效组成部分。</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小组应将</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文件的变动情况以书面</w:t>
      </w:r>
      <w:r>
        <w:rPr>
          <w:rFonts w:hint="eastAsia" w:ascii="宋体" w:hAnsi="宋体" w:eastAsia="宋体" w:cs="宋体"/>
          <w:color w:val="auto"/>
          <w:sz w:val="24"/>
          <w:szCs w:val="24"/>
          <w:highlight w:val="none"/>
          <w:lang w:val="en-US" w:eastAsia="zh-CN"/>
        </w:rPr>
        <w:t>形</w:t>
      </w:r>
      <w:r>
        <w:rPr>
          <w:rFonts w:hint="eastAsia" w:ascii="宋体" w:hAnsi="宋体" w:eastAsia="宋体" w:cs="宋体"/>
          <w:color w:val="auto"/>
          <w:sz w:val="24"/>
          <w:szCs w:val="24"/>
          <w:highlight w:val="none"/>
        </w:rPr>
        <w:t>式通知所有参加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w:t>
      </w:r>
    </w:p>
    <w:p w14:paraId="708F2F98">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1.5供应商应当按照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文件的变动情况和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的要求在规定的时间内重新提交响应文件，并由其法定代表人或授权代表签字或者加盖公章。由授权代表签字的，应当附法定代表人授权书。供应商为自然人的，应当由本人签字并附身份证明。逾时不提交的，视同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2.多轮谈判</w:t>
      </w:r>
    </w:p>
    <w:p w14:paraId="07D8F4C4">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文件中不能详细列明采购标的的技术、服务要求，需经</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由供应商提供最终设计方案或解决方案的项目，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小组可以根据采购人对采购需求的确认情况，进行多轮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，直到采购人代表最终确认采购需求为止。</w:t>
      </w:r>
    </w:p>
    <w:p w14:paraId="7990D9D0">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程序同第一轮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0F051FC6">
      <w:pPr>
        <w:pStyle w:val="34"/>
        <w:keepNext w:val="0"/>
        <w:keepLines w:val="0"/>
        <w:pageBreakBefore w:val="0"/>
        <w:widowControl w:val="0"/>
        <w:kinsoku/>
        <w:overflowPunct/>
        <w:topLinePunct w:val="0"/>
        <w:autoSpaceDE/>
        <w:autoSpaceDN/>
        <w:bidi w:val="0"/>
        <w:spacing w:line="420" w:lineRule="exact"/>
        <w:ind w:firstLine="48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2.4如谈判</w:t>
      </w:r>
      <w:r>
        <w:rPr>
          <w:rFonts w:hint="eastAsia" w:ascii="宋体" w:hAnsi="宋体" w:eastAsia="宋体" w:cs="宋体"/>
          <w:color w:val="auto"/>
          <w:sz w:val="24"/>
          <w:szCs w:val="24"/>
          <w:highlight w:val="none"/>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情况</w:t>
      </w:r>
      <w:r>
        <w:rPr>
          <w:rFonts w:hint="eastAsia" w:cs="宋体"/>
          <w:color w:val="auto"/>
          <w:sz w:val="24"/>
          <w:szCs w:val="24"/>
          <w:highlight w:val="none"/>
          <w:lang w:val="en-US" w:eastAsia="zh-CN"/>
        </w:rPr>
        <w:t>未</w:t>
      </w:r>
      <w:r>
        <w:rPr>
          <w:rFonts w:hint="eastAsia" w:ascii="宋体" w:hAnsi="宋体" w:eastAsia="宋体" w:cs="宋体"/>
          <w:color w:val="auto"/>
          <w:sz w:val="24"/>
          <w:szCs w:val="24"/>
          <w:highlight w:val="none"/>
        </w:rPr>
        <w:t>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文件作出实质性变动</w:t>
      </w:r>
      <w:r>
        <w:rPr>
          <w:rFonts w:hint="eastAsia" w:cs="宋体"/>
          <w:color w:val="auto"/>
          <w:sz w:val="24"/>
          <w:szCs w:val="24"/>
          <w:highlight w:val="none"/>
          <w:lang w:val="en-US" w:eastAsia="zh-CN"/>
        </w:rPr>
        <w:t>增加新的需求，则供应商后一轮报价不得高于前一轮报价。本项目谈判轮次及谈判顺序详“供应商须知前附表”。</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3.最后报价</w:t>
      </w:r>
    </w:p>
    <w:p w14:paraId="3FE2B13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文件中能够详细列明采购标的的技术、服务要求的，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小组应当要求所有</w:t>
      </w:r>
      <w:r>
        <w:rPr>
          <w:rFonts w:hint="eastAsia" w:ascii="宋体" w:hAnsi="宋体" w:eastAsia="宋体" w:cs="宋体"/>
          <w:color w:val="auto"/>
          <w:sz w:val="24"/>
          <w:szCs w:val="24"/>
          <w:highlight w:val="none"/>
          <w:lang w:val="en-US" w:eastAsia="zh-CN"/>
        </w:rPr>
        <w:t>实质性响应</w:t>
      </w:r>
      <w:r>
        <w:rPr>
          <w:rFonts w:hint="eastAsia" w:ascii="宋体" w:hAnsi="宋体" w:eastAsia="宋体" w:cs="宋体"/>
          <w:color w:val="auto"/>
          <w:sz w:val="24"/>
          <w:szCs w:val="24"/>
          <w:highlight w:val="none"/>
        </w:rPr>
        <w:t>的供应商，在规定时间内，以书面的方式经</w:t>
      </w:r>
      <w:r>
        <w:rPr>
          <w:rFonts w:hint="eastAsia" w:cs="宋体"/>
          <w:color w:val="auto"/>
          <w:sz w:val="24"/>
          <w:szCs w:val="24"/>
          <w:highlight w:val="none"/>
          <w:lang w:val="en-US" w:eastAsia="zh-CN"/>
        </w:rPr>
        <w:t>法定代表人或</w:t>
      </w:r>
      <w:r>
        <w:rPr>
          <w:rFonts w:hint="eastAsia" w:ascii="宋体" w:hAnsi="宋体" w:eastAsia="宋体" w:cs="宋体"/>
          <w:color w:val="auto"/>
          <w:sz w:val="24"/>
          <w:szCs w:val="24"/>
          <w:highlight w:val="none"/>
        </w:rPr>
        <w:t>授权代表签字（或加盖公章）后提交最后报价，提交最后报价的供应商不得少于3家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市场竞争不充分的科研项目，以及需要扶持的科技成果转化项目可以为2家，</w:t>
      </w:r>
      <w:r>
        <w:rPr>
          <w:rFonts w:hint="eastAsia" w:ascii="宋体" w:hAnsi="宋体" w:eastAsia="宋体" w:cs="宋体"/>
          <w:snapToGrid w:val="0"/>
          <w:color w:val="auto"/>
          <w:sz w:val="24"/>
          <w:szCs w:val="24"/>
          <w:highlight w:val="none"/>
        </w:rPr>
        <w:t>政府购买服务项目[含政府和社会资本合作项目]，在采购过程中符合要求的供应商[社会资本]只有2家的</w:t>
      </w:r>
      <w:r>
        <w:rPr>
          <w:rFonts w:hint="eastAsia" w:ascii="宋体" w:hAnsi="宋体" w:eastAsia="宋体" w:cs="宋体"/>
          <w:color w:val="auto"/>
          <w:sz w:val="24"/>
          <w:szCs w:val="24"/>
          <w:highlight w:val="none"/>
        </w:rPr>
        <w:t>可以为2家</w:t>
      </w:r>
      <w:r>
        <w:rPr>
          <w:rFonts w:hint="eastAsia" w:cs="宋体"/>
          <w:color w:val="auto"/>
          <w:sz w:val="24"/>
          <w:szCs w:val="24"/>
          <w:highlight w:val="none"/>
          <w:lang w:val="en-US" w:eastAsia="zh-CN"/>
        </w:rPr>
        <w:t>；公开招标的货物和服务项目，招标过程中提交投标文件或者经评审实质性响应招标文件要求的供应商只有2家时，经本级财政部门批准后采用竞争性谈判方式采购的可以为2家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14:paraId="45C3849D">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文件中不能详细列明采购标的的技术、服务要求，需经</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由供应商提供最</w:t>
      </w:r>
      <w:r>
        <w:rPr>
          <w:rFonts w:hint="eastAsia" w:ascii="宋体" w:hAnsi="宋体" w:eastAsia="宋体" w:cs="宋体"/>
          <w:color w:val="auto"/>
          <w:sz w:val="24"/>
          <w:szCs w:val="24"/>
          <w:highlight w:val="none"/>
          <w:lang w:val="en-US" w:eastAsia="zh-CN"/>
        </w:rPr>
        <w:t>终</w:t>
      </w:r>
      <w:r>
        <w:rPr>
          <w:rFonts w:hint="eastAsia" w:ascii="宋体" w:hAnsi="宋体" w:eastAsia="宋体" w:cs="宋体"/>
          <w:color w:val="auto"/>
          <w:sz w:val="24"/>
          <w:szCs w:val="24"/>
          <w:highlight w:val="none"/>
        </w:rPr>
        <w:t>设计方案或解决方案的，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按照少数服从多数的原则投票推荐3家以上（公开招标的货物和服务项目，招标过程中提交投标文件或者经评审实质性响应招标文件要求的供应商只有2家时，经本级财政部门批准后采用竞争性谈判方式采购的可以为2家）供应商的设计方案或者解决方案，并要求其在规定时间内提交最后报价。</w:t>
      </w:r>
    </w:p>
    <w:p w14:paraId="6A85ACA0">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最后报价是供应商响应文件的有效组成部分。逾时不提交的，视同退出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63316710">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最后报价出现前后不一致的，按照下列规定修正：</w:t>
      </w:r>
    </w:p>
    <w:p w14:paraId="41A8A1D4">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（1）大写金额和小写金额不一致的，以大写金额为准；</w:t>
      </w:r>
    </w:p>
    <w:p w14:paraId="79A2142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（2）单价金额</w:t>
      </w:r>
      <w:r>
        <w:rPr>
          <w:rFonts w:hint="eastAsia" w:ascii="宋体" w:hAnsi="宋体" w:eastAsia="宋体" w:cs="宋体"/>
          <w:color w:val="auto"/>
          <w:sz w:val="24"/>
          <w:szCs w:val="24"/>
          <w:highlight w:val="none"/>
        </w:rPr>
        <w:t>小数点</w:t>
      </w:r>
      <w:r>
        <w:rPr>
          <w:rFonts w:hint="eastAsia" w:ascii="宋体" w:hAnsi="宋体" w:eastAsia="宋体" w:cs="宋体"/>
          <w:color w:val="auto"/>
          <w:sz w:val="24"/>
          <w:szCs w:val="24"/>
          <w:highlight w:val="none"/>
          <w:lang w:val="zh-CN"/>
        </w:rPr>
        <w:t>或百分比有明显错位的，以最后报价表的总价为准，并修改单价；</w:t>
      </w:r>
    </w:p>
    <w:p w14:paraId="53C9A123">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（3）总价金额与按单价汇总金额不一致的，以单价金额计算结果为准；</w:t>
      </w:r>
    </w:p>
    <w:p w14:paraId="62F02C6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（4）同时出现</w:t>
      </w:r>
      <w:r>
        <w:rPr>
          <w:rFonts w:hint="eastAsia" w:ascii="宋体" w:hAnsi="宋体" w:eastAsia="宋体" w:cs="宋体"/>
          <w:color w:val="auto"/>
          <w:sz w:val="24"/>
          <w:szCs w:val="24"/>
          <w:highlight w:val="none"/>
        </w:rPr>
        <w:t>两种</w:t>
      </w:r>
      <w:r>
        <w:rPr>
          <w:rFonts w:hint="eastAsia" w:ascii="宋体" w:hAnsi="宋体" w:eastAsia="宋体" w:cs="宋体"/>
          <w:color w:val="auto"/>
          <w:sz w:val="24"/>
          <w:szCs w:val="24"/>
          <w:highlight w:val="none"/>
          <w:lang w:val="zh-CN"/>
        </w:rPr>
        <w:t>以上不一致的，按照前款规定的顺序修正；</w:t>
      </w:r>
    </w:p>
    <w:p w14:paraId="492B1BCC">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修正后的报价应通过书面方式通知供应商，由供应商</w:t>
      </w:r>
      <w:r>
        <w:rPr>
          <w:rFonts w:hint="eastAsia" w:cs="宋体"/>
          <w:color w:val="auto"/>
          <w:sz w:val="24"/>
          <w:szCs w:val="24"/>
          <w:highlight w:val="none"/>
          <w:lang w:val="en-US" w:eastAsia="zh-CN"/>
        </w:rPr>
        <w:t>法定代表人或</w:t>
      </w:r>
      <w:r>
        <w:rPr>
          <w:rFonts w:hint="eastAsia" w:ascii="宋体" w:hAnsi="宋体" w:eastAsia="宋体" w:cs="宋体"/>
          <w:color w:val="auto"/>
          <w:sz w:val="24"/>
          <w:szCs w:val="24"/>
          <w:highlight w:val="none"/>
          <w:lang w:val="zh-CN"/>
        </w:rPr>
        <w:t>授权代表签字（或加盖公章）确认后产生约束力，供应商不确认的，按照</w:t>
      </w:r>
      <w:r>
        <w:rPr>
          <w:rFonts w:hint="eastAsia" w:ascii="宋体" w:hAnsi="宋体" w:eastAsia="宋体" w:cs="宋体"/>
          <w:b/>
          <w:bCs/>
          <w:color w:val="auto"/>
          <w:sz w:val="24"/>
          <w:szCs w:val="24"/>
          <w:highlight w:val="none"/>
          <w:lang w:val="zh-CN"/>
        </w:rPr>
        <w:t>无效响应</w:t>
      </w:r>
      <w:r>
        <w:rPr>
          <w:rFonts w:hint="eastAsia" w:ascii="宋体" w:hAnsi="宋体" w:eastAsia="宋体" w:cs="宋体"/>
          <w:color w:val="auto"/>
          <w:sz w:val="24"/>
          <w:szCs w:val="24"/>
          <w:highlight w:val="none"/>
          <w:lang w:val="zh-CN"/>
        </w:rPr>
        <w:t>处理。</w:t>
      </w:r>
    </w:p>
    <w:p w14:paraId="040E7FCB">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bookmarkStart w:id="455" w:name="_Toc102116179"/>
      <w:bookmarkStart w:id="456" w:name="_Toc102057745"/>
      <w:bookmarkStart w:id="457" w:name="_Toc102114947"/>
      <w:bookmarkStart w:id="458" w:name="_Toc102119880"/>
      <w:bookmarkStart w:id="459" w:name="_Toc102056245"/>
      <w:bookmarkStart w:id="460" w:name="_Toc102116049"/>
      <w:r>
        <w:rPr>
          <w:rFonts w:hint="eastAsia" w:ascii="宋体" w:hAnsi="宋体" w:eastAsia="宋体" w:cs="宋体"/>
          <w:color w:val="auto"/>
          <w:sz w:val="24"/>
          <w:szCs w:val="24"/>
          <w:highlight w:val="none"/>
          <w:lang w:val="en-US" w:eastAsia="zh-CN"/>
        </w:rPr>
        <w:t>3.4已提交响应文件的供应商，在提交最后报价之前，可以根据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情况退出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保证金可予以退还。</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4.商务技术评审</w:t>
      </w:r>
    </w:p>
    <w:p w14:paraId="2D2ED263">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4.1</w:t>
      </w:r>
      <w:r>
        <w:rPr>
          <w:rFonts w:hint="eastAsia" w:cs="宋体"/>
          <w:color w:val="auto"/>
          <w:sz w:val="24"/>
          <w:szCs w:val="24"/>
          <w:highlight w:val="none"/>
          <w:lang w:val="en-US" w:eastAsia="zh-CN"/>
        </w:rPr>
        <w:t>谈判小组根据本章的评审标准以及谈判文件实质性变动的内容，按谈判文件要求对修正后的响应文件进行商务技术评审，未实质性响应谈判文件要求的响应文件按</w:t>
      </w:r>
      <w:r>
        <w:rPr>
          <w:rFonts w:hint="eastAsia" w:cs="宋体"/>
          <w:b/>
          <w:bCs/>
          <w:color w:val="auto"/>
          <w:sz w:val="24"/>
          <w:szCs w:val="24"/>
          <w:highlight w:val="none"/>
          <w:lang w:val="en-US" w:eastAsia="zh-CN"/>
        </w:rPr>
        <w:t>无效响应</w:t>
      </w:r>
      <w:r>
        <w:rPr>
          <w:rFonts w:hint="eastAsia" w:cs="宋体"/>
          <w:color w:val="auto"/>
          <w:sz w:val="24"/>
          <w:szCs w:val="24"/>
          <w:highlight w:val="none"/>
          <w:lang w:val="en-US" w:eastAsia="zh-CN"/>
        </w:rPr>
        <w:t>处理</w:t>
      </w:r>
      <w:r>
        <w:rPr>
          <w:rFonts w:hint="eastAsia" w:ascii="宋体" w:hAnsi="宋体" w:eastAsia="宋体" w:cs="宋体"/>
          <w:color w:val="auto"/>
          <w:sz w:val="24"/>
          <w:szCs w:val="24"/>
          <w:highlight w:val="none"/>
          <w:lang w:val="zh-CN"/>
        </w:rPr>
        <w:t>。</w:t>
      </w:r>
    </w:p>
    <w:bookmarkEnd w:id="447"/>
    <w:bookmarkEnd w:id="448"/>
    <w:bookmarkEnd w:id="449"/>
    <w:bookmarkEnd w:id="450"/>
    <w:bookmarkEnd w:id="451"/>
    <w:bookmarkEnd w:id="452"/>
    <w:bookmarkEnd w:id="455"/>
    <w:bookmarkEnd w:id="456"/>
    <w:bookmarkEnd w:id="457"/>
    <w:bookmarkEnd w:id="458"/>
    <w:bookmarkEnd w:id="459"/>
    <w:bookmarkEnd w:id="460"/>
    <w:p w14:paraId="11B2A599">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61" w:name="_Toc102116181"/>
      <w:bookmarkStart w:id="462" w:name="_Toc102116051"/>
      <w:bookmarkStart w:id="463" w:name="_Toc102114949"/>
      <w:bookmarkStart w:id="464" w:name="_Toc102119882"/>
      <w:bookmarkStart w:id="465" w:name="_Toc102056247"/>
      <w:bookmarkStart w:id="466" w:name="_Toc102057747"/>
      <w:r>
        <w:rPr>
          <w:rFonts w:hint="eastAsia" w:ascii="宋体" w:hAnsi="宋体" w:eastAsia="宋体" w:cs="宋体"/>
          <w:b/>
          <w:bCs/>
          <w:color w:val="auto"/>
          <w:kern w:val="2"/>
          <w:sz w:val="24"/>
          <w:szCs w:val="24"/>
          <w:highlight w:val="none"/>
          <w:lang w:val="en-US" w:eastAsia="zh-CN" w:bidi="ar-SA"/>
        </w:rPr>
        <w:t>5.报价评</w:t>
      </w:r>
      <w:bookmarkEnd w:id="461"/>
      <w:bookmarkEnd w:id="462"/>
      <w:bookmarkEnd w:id="463"/>
      <w:bookmarkEnd w:id="464"/>
      <w:bookmarkEnd w:id="465"/>
      <w:bookmarkEnd w:id="466"/>
      <w:r>
        <w:rPr>
          <w:rFonts w:hint="eastAsia" w:ascii="宋体" w:hAnsi="宋体" w:eastAsia="宋体" w:cs="宋体"/>
          <w:b/>
          <w:bCs/>
          <w:color w:val="auto"/>
          <w:kern w:val="2"/>
          <w:sz w:val="24"/>
          <w:szCs w:val="24"/>
          <w:highlight w:val="none"/>
          <w:lang w:val="en-US" w:eastAsia="zh-CN" w:bidi="ar-SA"/>
        </w:rPr>
        <w:t>审</w:t>
      </w:r>
    </w:p>
    <w:p w14:paraId="4F87D81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5.1报价合理性说明：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小组认为供应商的最后报价明显低于其他供应商最后报价，有可能影响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lang w:val="zh-CN"/>
        </w:rPr>
        <w:t>质量或者不能诚信履约的，应当要求其在合理的时间内提供说明，必要时提交相关证明材料；供应商不能证明其最后报价合理性的，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小组应当将其作</w:t>
      </w:r>
      <w:r>
        <w:rPr>
          <w:rFonts w:hint="eastAsia" w:ascii="宋体" w:hAnsi="宋体" w:eastAsia="宋体" w:cs="宋体"/>
          <w:b/>
          <w:color w:val="auto"/>
          <w:sz w:val="24"/>
          <w:szCs w:val="24"/>
          <w:highlight w:val="none"/>
          <w:lang w:val="zh-CN"/>
        </w:rPr>
        <w:t>无效响应处理</w:t>
      </w:r>
      <w:r>
        <w:rPr>
          <w:rFonts w:hint="eastAsia" w:ascii="宋体" w:hAnsi="宋体" w:eastAsia="宋体" w:cs="宋体"/>
          <w:color w:val="auto"/>
          <w:sz w:val="24"/>
          <w:szCs w:val="24"/>
          <w:highlight w:val="none"/>
          <w:lang w:val="zh-CN"/>
        </w:rPr>
        <w:t>。</w:t>
      </w:r>
    </w:p>
    <w:p w14:paraId="1B3E8B52">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5.1.1供应商应根据答疑内容在规定的时间内提供说明和成本清单等相关证明材料，</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小组认定相关证明材料对此报价的说明或者证明材料可以佐证此报价的货物质量和具有诚信履约能力，予以通过审查；</w:t>
      </w:r>
    </w:p>
    <w:p w14:paraId="61371D00">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E3AF71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5.1.3供应商不能合理说明或者不能提供相关证明材料的，由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小组认定该供应商以低于成本报价竞标，有可能影响货物质量或者不能诚信履约，应当</w:t>
      </w:r>
      <w:r>
        <w:rPr>
          <w:rFonts w:hint="eastAsia" w:ascii="宋体" w:hAnsi="宋体" w:eastAsia="宋体" w:cs="宋体"/>
          <w:color w:val="auto"/>
          <w:sz w:val="24"/>
          <w:szCs w:val="24"/>
          <w:highlight w:val="none"/>
          <w:lang w:val="zh-CN"/>
        </w:rPr>
        <w:t>将其作为</w:t>
      </w:r>
      <w:r>
        <w:rPr>
          <w:rFonts w:hint="eastAsia" w:ascii="宋体" w:hAnsi="宋体" w:eastAsia="宋体" w:cs="宋体"/>
          <w:b/>
          <w:color w:val="auto"/>
          <w:sz w:val="24"/>
          <w:szCs w:val="24"/>
          <w:highlight w:val="none"/>
          <w:lang w:val="zh-CN"/>
        </w:rPr>
        <w:t>无效响应处理</w:t>
      </w:r>
      <w:r>
        <w:rPr>
          <w:rFonts w:hint="eastAsia" w:ascii="宋体" w:hAnsi="宋体" w:eastAsia="宋体" w:cs="宋体"/>
          <w:color w:val="auto"/>
          <w:sz w:val="24"/>
          <w:szCs w:val="24"/>
          <w:highlight w:val="none"/>
          <w:lang w:val="en-US" w:eastAsia="zh-CN"/>
        </w:rPr>
        <w:t>；</w:t>
      </w:r>
    </w:p>
    <w:p w14:paraId="071B5B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5.1.4供应商也可以有预见性地准备好上述要求的书面说明和相关证明材料并加盖公章。</w:t>
      </w:r>
    </w:p>
    <w:p w14:paraId="048C375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color w:val="auto"/>
          <w:sz w:val="24"/>
          <w:szCs w:val="24"/>
          <w:highlight w:val="none"/>
          <w:lang w:val="en-US" w:eastAsia="zh-CN"/>
        </w:rPr>
      </w:pPr>
      <w:r>
        <w:rPr>
          <w:rFonts w:hint="eastAsia" w:ascii="宋体" w:hAnsi="宋体" w:eastAsia="宋体" w:cs="宋体"/>
          <w:b/>
          <w:bCs/>
          <w:color w:val="auto"/>
          <w:sz w:val="24"/>
          <w:szCs w:val="24"/>
          <w:highlight w:val="none"/>
          <w:lang w:val="zh-CN"/>
        </w:rPr>
        <w:t>5.2</w:t>
      </w:r>
      <w:r>
        <w:rPr>
          <w:rFonts w:hint="eastAsia"/>
          <w:b/>
          <w:bCs/>
          <w:color w:val="auto"/>
          <w:sz w:val="24"/>
          <w:szCs w:val="24"/>
          <w:highlight w:val="none"/>
          <w:lang w:val="en-US" w:eastAsia="zh-CN"/>
        </w:rPr>
        <w:t>.</w:t>
      </w:r>
      <w:r>
        <w:rPr>
          <w:rFonts w:hint="eastAsia"/>
          <w:b/>
          <w:bCs/>
          <w:color w:val="auto"/>
          <w:sz w:val="24"/>
          <w:szCs w:val="24"/>
          <w:highlight w:val="none"/>
        </w:rPr>
        <w:t>政府采购异常低价审查</w:t>
      </w:r>
    </w:p>
    <w:p w14:paraId="6A7A5B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5.2.1</w:t>
      </w:r>
      <w:r>
        <w:rPr>
          <w:rFonts w:hint="eastAsia"/>
          <w:color w:val="auto"/>
          <w:sz w:val="24"/>
          <w:szCs w:val="24"/>
          <w:highlight w:val="none"/>
        </w:rPr>
        <w:t>政府采购评审中出现下列情形之一的，评审委员会应当启动异常低价投标（响应）审查程序：</w:t>
      </w:r>
    </w:p>
    <w:p w14:paraId="5625AA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6D7397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465D4A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78081D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08143A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84FDB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5.</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zh-CN"/>
        </w:rPr>
        <w:t>价格扣除：</w:t>
      </w:r>
      <w:r>
        <w:rPr>
          <w:rFonts w:hint="eastAsia" w:ascii="宋体" w:hAnsi="宋体" w:eastAsia="宋体" w:cs="宋体"/>
          <w:color w:val="auto"/>
          <w:sz w:val="24"/>
          <w:szCs w:val="24"/>
          <w:highlight w:val="none"/>
          <w:lang w:val="zh-CN"/>
        </w:rPr>
        <w:t xml:space="preserve"> </w:t>
      </w:r>
    </w:p>
    <w:p w14:paraId="1F4B5526">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5.3.1非专门面向中小企业的采购项目或采购包，对符合规定的小微企业（监狱企业、残疾人福利性单位、联合体各方均为小微企业的联合体、符合小微企业划分标准的个体工商户视同小微企业）报价按照竞争性谈判文件“供应商须知前附表”中的规定扣除，对小微企业中的监狱企业、残疾人福利性单位的报价按照本竞争性谈判文件“供应商须知前附表”中的规定扣除，用扣除后的价格参与评审，采购产品纳入创新产品应用示范推荐目录内企业、采购产品获得节能产品或环境标志产品认证证书的供应商按照本竞争性谈判文件“供应商须知前附表”中的规定给予评审优惠。</w:t>
      </w:r>
    </w:p>
    <w:p w14:paraId="72014FEF">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5.3.3组成联合体或者接受分包的小微企业与联合体内其他企业、分包企业之间存在直接控股、管理关系的，不享受价格扣除优惠政策。</w:t>
      </w:r>
    </w:p>
    <w:p w14:paraId="60984AA9">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5.3.4价格扣除比例对小型企业和微型企业同等对待，不作区分。</w:t>
      </w:r>
    </w:p>
    <w:p w14:paraId="19B743D0">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5.3.5专门面向中小企业、预留部分采购份额面向中小企业采购的项目或采购包，评审时不再进行价格扣除。</w:t>
      </w:r>
    </w:p>
    <w:p w14:paraId="57E1355E">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5.3.6</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25435DD2">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5.4</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04F976C3">
      <w:pPr>
        <w:pStyle w:val="34"/>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40AAE6">
      <w:pPr>
        <w:pStyle w:val="34"/>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5.5</w:t>
      </w:r>
      <w:r>
        <w:rPr>
          <w:rFonts w:hint="eastAsia" w:eastAsia="宋体"/>
          <w:snapToGrid w:val="0"/>
          <w:color w:val="auto"/>
          <w:sz w:val="24"/>
          <w:highlight w:val="none"/>
          <w:lang w:val="en-US" w:eastAsia="zh-CN"/>
        </w:rPr>
        <w:t>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65C3AFB4">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5.6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F32BCC9">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对于仅有本国产品参与竞争的政府采购项目，本国产品不享受价格扣除评审优惠</w:t>
      </w:r>
    </w:p>
    <w:p w14:paraId="2D3F2273">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0393D35F">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58FAD26D">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E5FD8B2">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6.相同品牌处理原则</w:t>
      </w:r>
    </w:p>
    <w:p w14:paraId="4D6606A2">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6.1单一产品采购（或非单一产品采购中的核心产品），提供相同品牌产品的不同供应商参加同一项目下谈判的，以其中通过商务技术评审且最后报价最低的参加评审；报价相同的，由采购人确定或者采购人委托谈判小组以投票方式确定一个参加评审的供应商。</w:t>
      </w:r>
    </w:p>
    <w:p w14:paraId="5E195C1A">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6.2非单一产品采购项目，采购人应当根据采购项目技术构成、产品价格比重等合理确定一个核心产品（采购清单中作“与核心产品相同〈或同一〉品牌”要求的产品，视为一个核心产品），并以“核心产品”在谈判文件中载明，评审时按照前款规定处理。</w:t>
      </w:r>
    </w:p>
    <w:p w14:paraId="6D6DB070">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7.确定成交候选供应商</w:t>
      </w:r>
    </w:p>
    <w:p w14:paraId="0A48BCBB">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7.1谈判小组按照谈判文件确定的评审方法、程序及标准，对响应文件进行评审。评审结果按最后报价（因落实政府采购政策进行价格扣除的，以扣除后的价格计算）由低到高顺序排列。报价相同并列的按照“供应商须知前附表”的规定排序。响应文件全部实质性满足谈判文件要求且报价最低的供应商为排名第一的成交候选供应商。</w:t>
      </w:r>
    </w:p>
    <w:p w14:paraId="5C7A17A0">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7.2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本级财政部门。</w:t>
      </w:r>
    </w:p>
    <w:p w14:paraId="4D6D309B">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7.3采购人或者采购代理机构不得通过对样品进行检测、对供应商进行考察等方式改变评审结果。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67" w:name="_Toc102114952"/>
      <w:bookmarkStart w:id="468" w:name="_Toc102116184"/>
      <w:bookmarkStart w:id="469" w:name="_Toc102056250"/>
      <w:bookmarkStart w:id="470" w:name="_Toc102057750"/>
      <w:bookmarkStart w:id="471" w:name="_Toc102116054"/>
      <w:bookmarkStart w:id="472" w:name="_Toc102119885"/>
      <w:r>
        <w:rPr>
          <w:rFonts w:hint="eastAsia" w:ascii="宋体" w:hAnsi="宋体" w:eastAsia="宋体" w:cs="宋体"/>
          <w:b/>
          <w:bCs/>
          <w:color w:val="auto"/>
          <w:kern w:val="2"/>
          <w:sz w:val="24"/>
          <w:szCs w:val="24"/>
          <w:highlight w:val="none"/>
          <w:lang w:val="en-US" w:eastAsia="zh-CN" w:bidi="ar-SA"/>
        </w:rPr>
        <w:t>8.评审报告</w:t>
      </w:r>
      <w:bookmarkEnd w:id="467"/>
      <w:bookmarkEnd w:id="468"/>
      <w:bookmarkEnd w:id="469"/>
      <w:bookmarkEnd w:id="470"/>
      <w:bookmarkEnd w:id="471"/>
      <w:bookmarkEnd w:id="472"/>
    </w:p>
    <w:p w14:paraId="1836027C">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8.1</w:t>
      </w:r>
      <w:r>
        <w:rPr>
          <w:rFonts w:hint="eastAsia" w:cs="宋体"/>
          <w:color w:val="auto"/>
          <w:sz w:val="24"/>
          <w:szCs w:val="24"/>
          <w:highlight w:val="none"/>
          <w:lang w:val="en-US" w:eastAsia="zh-CN"/>
        </w:rPr>
        <w:t>谈判小组依据评审结果，从质量和服务均能满足采购文件实质性响应要求的供应商中，按照最后报价（因落实政府采购政策进行价格扣除的，以扣除后的价格计算）由低到高的顺序向采购人推荐3家（公开招标的货物和服务项目，招标过程中提交投标文件或者经评审实质性响应招标文件要求的供应商只有2家时，经本级财政部门批准后采用竞争性谈判方式采购的可以为2家）以上成交候选供应商，并根据评审记录和评审结果编写评审报告</w:t>
      </w:r>
      <w:r>
        <w:rPr>
          <w:rFonts w:hint="eastAsia" w:ascii="宋体" w:hAnsi="宋体" w:eastAsia="宋体" w:cs="宋体"/>
          <w:color w:val="auto"/>
          <w:sz w:val="24"/>
          <w:szCs w:val="24"/>
          <w:highlight w:val="none"/>
          <w:lang w:eastAsia="zh-CN"/>
        </w:rPr>
        <w:t>。</w:t>
      </w:r>
    </w:p>
    <w:p w14:paraId="541E582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8.</w:t>
      </w:r>
      <w:bookmarkStart w:id="473" w:name="_Toc102119852"/>
      <w:bookmarkStart w:id="474" w:name="_Toc102114919"/>
      <w:bookmarkStart w:id="475" w:name="_Toc102116021"/>
      <w:bookmarkStart w:id="476" w:name="_Toc102056217"/>
      <w:bookmarkStart w:id="477" w:name="_Toc102057717"/>
      <w:bookmarkStart w:id="478" w:name="_Toc102116151"/>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评审报告应当由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小组全体人员签字认可</w:t>
      </w:r>
      <w:r>
        <w:rPr>
          <w:rFonts w:hint="eastAsia" w:cs="Helvetica"/>
          <w:color w:val="auto"/>
          <w:szCs w:val="24"/>
          <w:highlight w:val="none"/>
          <w:lang w:val="zh-CN"/>
        </w:rPr>
        <w:t>，对自己的评审意见依法承担相应责任</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小组成员对评审报告有异议的，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小组按照少数服从多数的原则推荐成交候选供应商，采购程序继续进行。对评审报告有异议的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小组成员，应当在报告上签署不同意见并说明理由，由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小组书面记录相关情况。</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小组成员拒绝在报告上签字又不书面说明其不同意见和理由的，视为同意评审报告。</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79" w:name="_Toc102056218"/>
      <w:bookmarkStart w:id="480" w:name="_Toc102116152"/>
      <w:bookmarkStart w:id="481" w:name="_Toc102119853"/>
      <w:bookmarkStart w:id="482" w:name="_Toc102057718"/>
      <w:bookmarkStart w:id="483" w:name="_Toc102116022"/>
      <w:bookmarkStart w:id="484" w:name="_Toc102114920"/>
      <w:r>
        <w:rPr>
          <w:rFonts w:hint="eastAsia" w:ascii="宋体" w:hAnsi="宋体" w:eastAsia="宋体" w:cs="宋体"/>
          <w:b/>
          <w:bCs/>
          <w:color w:val="auto"/>
          <w:kern w:val="2"/>
          <w:sz w:val="24"/>
          <w:szCs w:val="24"/>
          <w:highlight w:val="none"/>
          <w:lang w:val="en-US" w:eastAsia="zh-CN" w:bidi="ar-SA"/>
        </w:rPr>
        <w:t>9.响应无效的情形</w:t>
      </w:r>
    </w:p>
    <w:p w14:paraId="21B88F58">
      <w:pPr>
        <w:keepNext w:val="0"/>
        <w:keepLines w:val="0"/>
        <w:pageBreakBefore w:val="0"/>
        <w:widowControl/>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w:t>
      </w:r>
      <w:r>
        <w:rPr>
          <w:rFonts w:hint="eastAsia" w:ascii="宋体" w:hAnsi="宋体" w:eastAsia="宋体" w:cs="宋体"/>
          <w:b w:val="0"/>
          <w:bCs w:val="0"/>
          <w:color w:val="auto"/>
          <w:sz w:val="24"/>
          <w:szCs w:val="24"/>
          <w:highlight w:val="none"/>
        </w:rPr>
        <w:t>供应商存在下列情况之一的，</w:t>
      </w:r>
      <w:r>
        <w:rPr>
          <w:rFonts w:hint="eastAsia" w:ascii="宋体" w:hAnsi="宋体" w:eastAsia="宋体" w:cs="宋体"/>
          <w:b w:val="0"/>
          <w:bCs w:val="0"/>
          <w:color w:val="auto"/>
          <w:sz w:val="24"/>
          <w:szCs w:val="24"/>
          <w:highlight w:val="none"/>
          <w:lang w:val="en-US" w:eastAsia="zh-CN"/>
        </w:rPr>
        <w:t>其</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无效</w:t>
      </w:r>
      <w:r>
        <w:rPr>
          <w:rFonts w:hint="eastAsia" w:ascii="宋体" w:hAnsi="宋体" w:eastAsia="宋体" w:cs="宋体"/>
          <w:b w:val="0"/>
          <w:bCs w:val="0"/>
          <w:color w:val="auto"/>
          <w:sz w:val="24"/>
          <w:szCs w:val="24"/>
          <w:highlight w:val="none"/>
        </w:rPr>
        <w:t>：</w:t>
      </w:r>
    </w:p>
    <w:p w14:paraId="702D1A6A">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不同供应商的响应文件由同一单位或者个人编制；</w:t>
      </w:r>
    </w:p>
    <w:p w14:paraId="2B2A7ABE">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不同供应商委托同一单位或者个人办理</w:t>
      </w:r>
      <w:r>
        <w:rPr>
          <w:rFonts w:hint="eastAsia" w:ascii="宋体" w:hAnsi="宋体" w:eastAsia="宋体" w:cs="宋体"/>
          <w:b w:val="0"/>
          <w:bCs w:val="0"/>
          <w:color w:val="auto"/>
          <w:sz w:val="24"/>
          <w:szCs w:val="24"/>
          <w:highlight w:val="none"/>
          <w:lang w:val="en-US" w:eastAsia="zh-CN"/>
        </w:rPr>
        <w:t>谈判响应</w:t>
      </w:r>
      <w:r>
        <w:rPr>
          <w:rFonts w:hint="eastAsia" w:ascii="宋体" w:hAnsi="宋体" w:eastAsia="宋体" w:cs="宋体"/>
          <w:b w:val="0"/>
          <w:bCs w:val="0"/>
          <w:color w:val="auto"/>
          <w:sz w:val="24"/>
          <w:szCs w:val="24"/>
          <w:highlight w:val="none"/>
        </w:rPr>
        <w:t>事宜；</w:t>
      </w:r>
    </w:p>
    <w:p w14:paraId="4EE2FB0A">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不同供应商的响应文件载明的项目管理成员或者联系人员为同一人；</w:t>
      </w:r>
    </w:p>
    <w:p w14:paraId="53A78381">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不同供应商的响应文件异常一致或者</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报价呈规律性差异；</w:t>
      </w:r>
    </w:p>
    <w:p w14:paraId="60D5A539">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不同供应商的响应文件相互混装；</w:t>
      </w:r>
    </w:p>
    <w:p w14:paraId="2FF50D83">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不同供应商的</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保证金从同一单位或者个人的账户转出</w:t>
      </w:r>
      <w:r>
        <w:rPr>
          <w:rFonts w:hint="eastAsia" w:ascii="宋体" w:hAnsi="宋体" w:eastAsia="宋体" w:cs="宋体"/>
          <w:b w:val="0"/>
          <w:bCs w:val="0"/>
          <w:color w:val="auto"/>
          <w:sz w:val="24"/>
          <w:szCs w:val="24"/>
          <w:highlight w:val="none"/>
          <w:lang w:val="en-US" w:eastAsia="zh-CN"/>
        </w:rPr>
        <w:t>；</w:t>
      </w:r>
    </w:p>
    <w:p w14:paraId="29DA958A">
      <w:pPr>
        <w:pStyle w:val="34"/>
        <w:keepNext w:val="0"/>
        <w:keepLines w:val="0"/>
        <w:pageBreakBefore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（7）法律、法规、规章和竞争性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文件规定的其他响应无效的情形。</w:t>
      </w:r>
    </w:p>
    <w:p w14:paraId="51CFEB2F">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小组应当审查</w:t>
      </w:r>
      <w:r>
        <w:rPr>
          <w:rFonts w:hint="eastAsia" w:ascii="宋体" w:hAnsi="宋体" w:eastAsia="宋体" w:cs="宋体"/>
          <w:b w:val="0"/>
          <w:bCs w:val="0"/>
          <w:color w:val="auto"/>
          <w:sz w:val="24"/>
          <w:szCs w:val="24"/>
          <w:highlight w:val="none"/>
          <w:lang w:val="en-US" w:eastAsia="zh-CN"/>
        </w:rPr>
        <w:t>所有供应商的</w:t>
      </w:r>
      <w:r>
        <w:rPr>
          <w:rFonts w:hint="eastAsia" w:ascii="宋体" w:hAnsi="宋体" w:eastAsia="宋体" w:cs="宋体"/>
          <w:b w:val="0"/>
          <w:bCs w:val="0"/>
          <w:color w:val="auto"/>
          <w:sz w:val="24"/>
          <w:szCs w:val="24"/>
          <w:highlight w:val="none"/>
        </w:rPr>
        <w:t>响应文件是否对竞争性</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文件提出的所有实质性要求和条件做出响应。未能实质</w:t>
      </w:r>
      <w:r>
        <w:rPr>
          <w:rFonts w:hint="eastAsia" w:ascii="宋体" w:hAnsi="宋体" w:eastAsia="宋体" w:cs="宋体"/>
          <w:b w:val="0"/>
          <w:bCs w:val="0"/>
          <w:color w:val="auto"/>
          <w:sz w:val="24"/>
          <w:szCs w:val="24"/>
          <w:highlight w:val="none"/>
          <w:lang w:val="en-US" w:eastAsia="zh-CN"/>
        </w:rPr>
        <w:t>性</w:t>
      </w:r>
      <w:r>
        <w:rPr>
          <w:rFonts w:hint="eastAsia" w:ascii="宋体" w:hAnsi="宋体" w:eastAsia="宋体" w:cs="宋体"/>
          <w:b w:val="0"/>
          <w:bCs w:val="0"/>
          <w:color w:val="auto"/>
          <w:sz w:val="24"/>
          <w:szCs w:val="24"/>
          <w:highlight w:val="none"/>
        </w:rPr>
        <w:t>响应的</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b w:val="0"/>
          <w:bCs w:val="0"/>
          <w:color w:val="auto"/>
          <w:sz w:val="24"/>
          <w:szCs w:val="24"/>
          <w:highlight w:val="none"/>
        </w:rPr>
        <w:t>。</w:t>
      </w:r>
    </w:p>
    <w:p w14:paraId="076ED559">
      <w:pPr>
        <w:keepNext w:val="0"/>
        <w:keepLines w:val="0"/>
        <w:pageBreakBefore w:val="0"/>
        <w:widowControl/>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供应商不得误导、干扰</w:t>
      </w:r>
      <w:r>
        <w:rPr>
          <w:rFonts w:hint="eastAsia"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lang w:val="en-US" w:eastAsia="zh-CN"/>
        </w:rPr>
        <w:t>小组</w:t>
      </w:r>
      <w:r>
        <w:rPr>
          <w:rFonts w:hint="eastAsia" w:ascii="宋体" w:hAnsi="宋体" w:eastAsia="宋体" w:cs="宋体"/>
          <w:b w:val="0"/>
          <w:bCs w:val="0"/>
          <w:color w:val="auto"/>
          <w:sz w:val="24"/>
          <w:szCs w:val="24"/>
          <w:highlight w:val="none"/>
        </w:rPr>
        <w:t>的评审活动，否则其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b w:val="0"/>
          <w:bCs w:val="0"/>
          <w:color w:val="auto"/>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10.停止评审的情形</w:t>
      </w:r>
      <w:bookmarkEnd w:id="479"/>
      <w:bookmarkEnd w:id="480"/>
      <w:bookmarkEnd w:id="481"/>
      <w:bookmarkEnd w:id="482"/>
      <w:bookmarkEnd w:id="483"/>
      <w:bookmarkEnd w:id="484"/>
    </w:p>
    <w:p w14:paraId="58A3D9D5">
      <w:pPr>
        <w:keepNext w:val="0"/>
        <w:keepLines w:val="0"/>
        <w:pageBreakBefore w:val="0"/>
        <w:widowControl w:val="0"/>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zh-CN" w:eastAsia="zh-CN" w:bidi="ar-SA"/>
        </w:rPr>
        <w:t>.1</w:t>
      </w:r>
      <w:r>
        <w:rPr>
          <w:rFonts w:hint="eastAsia" w:cs="宋体"/>
          <w:color w:val="auto"/>
          <w:kern w:val="2"/>
          <w:sz w:val="24"/>
          <w:szCs w:val="24"/>
          <w:highlight w:val="none"/>
          <w:lang w:val="en-US" w:eastAsia="zh-CN" w:bidi="ar-SA"/>
        </w:rPr>
        <w:t>谈判</w:t>
      </w:r>
      <w:r>
        <w:rPr>
          <w:rFonts w:hint="eastAsia" w:ascii="宋体" w:hAnsi="宋体" w:eastAsia="宋体" w:cs="宋体"/>
          <w:color w:val="auto"/>
          <w:kern w:val="2"/>
          <w:sz w:val="24"/>
          <w:szCs w:val="24"/>
          <w:highlight w:val="none"/>
          <w:lang w:val="en-US" w:eastAsia="zh-CN" w:bidi="ar-SA"/>
        </w:rPr>
        <w:t>小组在评审过程中发现供应商有行贿、提供虚假材料或者串通等违法行为的，应当及时向财政部门报告。</w:t>
      </w:r>
    </w:p>
    <w:p w14:paraId="47788DEC">
      <w:pPr>
        <w:pStyle w:val="34"/>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10.2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小组发现</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文件存在歧义、重大缺陷导致评审工作无法进行，或者</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文件内容违反国家有关强制性规定的，应当停止评审工作，与采购人或者采购代理机构沟通并作书面记录。采购人或者采购代理机构确认后，应当修改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文件，重新组织采购活动。</w:t>
      </w:r>
    </w:p>
    <w:bookmarkEnd w:id="473"/>
    <w:bookmarkEnd w:id="474"/>
    <w:bookmarkEnd w:id="475"/>
    <w:bookmarkEnd w:id="476"/>
    <w:bookmarkEnd w:id="477"/>
    <w:bookmarkEnd w:id="478"/>
    <w:p w14:paraId="72A0944C">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en-US" w:eastAsia="zh-CN"/>
        </w:rPr>
      </w:pPr>
      <w:bookmarkStart w:id="485" w:name="_Toc22597"/>
      <w:bookmarkStart w:id="486" w:name="_Toc27446"/>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eastAsia="zh-CN"/>
        </w:rPr>
        <w:t>评审</w:t>
      </w:r>
      <w:r>
        <w:rPr>
          <w:rFonts w:hint="eastAsia" w:ascii="宋体" w:hAnsi="宋体" w:eastAsia="宋体" w:cs="宋体"/>
          <w:color w:val="auto"/>
          <w:sz w:val="28"/>
          <w:szCs w:val="28"/>
          <w:highlight w:val="none"/>
          <w:lang w:val="en-US" w:eastAsia="zh-CN"/>
        </w:rPr>
        <w:t>其他要求</w:t>
      </w:r>
      <w:bookmarkEnd w:id="485"/>
      <w:bookmarkEnd w:id="486"/>
    </w:p>
    <w:p w14:paraId="3B9B7B2C">
      <w:pPr>
        <w:pStyle w:val="34"/>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ascii="宋体" w:hAnsi="宋体" w:eastAsia="宋体" w:cs="宋体"/>
          <w:iCs/>
          <w:color w:val="auto"/>
          <w:highlight w:val="none"/>
          <w:shd w:val="clear" w:color="auto" w:fill="FFFFFF" w:themeFill="background1"/>
          <w:lang w:val="en-US" w:eastAsia="zh-CN"/>
        </w:rPr>
      </w:pPr>
      <w:r>
        <w:rPr>
          <w:rFonts w:hint="eastAsia" w:ascii="宋体" w:hAnsi="宋体" w:eastAsia="宋体" w:cs="宋体"/>
          <w:iCs/>
          <w:color w:val="auto"/>
          <w:highlight w:val="none"/>
          <w:shd w:val="clear" w:color="auto" w:fill="FFFFFF" w:themeFill="background1"/>
          <w:lang w:val="zh-CN" w:eastAsia="zh-CN"/>
        </w:rPr>
        <w:t>【</w:t>
      </w:r>
      <w:r>
        <w:rPr>
          <w:rFonts w:hint="eastAsia" w:ascii="宋体" w:hAnsi="宋体" w:eastAsia="宋体" w:cs="宋体"/>
          <w:iCs/>
          <w:color w:val="auto"/>
          <w:highlight w:val="none"/>
          <w:shd w:val="clear" w:color="auto" w:fill="FFFFFF" w:themeFill="background1"/>
          <w:lang w:val="en-US" w:eastAsia="zh-CN"/>
        </w:rPr>
        <w:t>可根据项目的情况增加上述内容中未包含的要求</w:t>
      </w:r>
      <w:r>
        <w:rPr>
          <w:rFonts w:hint="eastAsia" w:ascii="宋体" w:hAnsi="宋体" w:eastAsia="宋体" w:cs="宋体"/>
          <w:iCs/>
          <w:color w:val="auto"/>
          <w:highlight w:val="none"/>
          <w:shd w:val="clear" w:color="auto" w:fill="FFFFFF" w:themeFill="background1"/>
          <w:lang w:val="zh-CN" w:eastAsia="zh-CN"/>
        </w:rPr>
        <w:t>】</w:t>
      </w:r>
    </w:p>
    <w:p w14:paraId="65250809">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87" w:name="_Toc12134"/>
      <w:bookmarkStart w:id="488" w:name="_Toc28211"/>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评审标准</w:t>
      </w:r>
      <w:bookmarkEnd w:id="487"/>
      <w:bookmarkEnd w:id="488"/>
    </w:p>
    <w:p w14:paraId="65074F9F">
      <w:pPr>
        <w:rPr>
          <w:rFonts w:hint="eastAsia"/>
          <w:color w:val="auto"/>
          <w:highlight w:val="none"/>
          <w:lang w:val="zh-CN" w:eastAsia="zh-CN"/>
        </w:rPr>
      </w:pPr>
    </w:p>
    <w:p w14:paraId="50D957C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89" w:name="_Toc9052"/>
      <w:bookmarkStart w:id="490" w:name="_Toc163493638"/>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zh-CN" w:eastAsia="zh-CN" w:bidi="ar-SA"/>
        </w:rPr>
        <w:t>资格审查表</w:t>
      </w:r>
      <w:bookmarkEnd w:id="489"/>
      <w:bookmarkEnd w:id="490"/>
    </w:p>
    <w:tbl>
      <w:tblPr>
        <w:tblStyle w:val="28"/>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0"/>
        <w:gridCol w:w="1864"/>
        <w:gridCol w:w="5157"/>
        <w:gridCol w:w="1496"/>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439" w:type="pct"/>
            <w:shd w:val="clear" w:color="auto" w:fill="D8D8D8" w:themeFill="background1" w:themeFillShade="D9"/>
            <w:vAlign w:val="center"/>
          </w:tcPr>
          <w:p w14:paraId="31F150F3">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98" w:type="pct"/>
            <w:shd w:val="clear" w:color="auto" w:fill="D8D8D8" w:themeFill="background1" w:themeFillShade="D9"/>
            <w:vAlign w:val="center"/>
          </w:tcPr>
          <w:p w14:paraId="29694278">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61" w:type="pct"/>
            <w:shd w:val="clear" w:color="auto" w:fill="D8D8D8" w:themeFill="background1" w:themeFillShade="D9"/>
            <w:vAlign w:val="center"/>
          </w:tcPr>
          <w:p w14:paraId="635BC09B">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01" w:type="pct"/>
            <w:shd w:val="clear" w:color="auto" w:fill="D8D8D8" w:themeFill="background1" w:themeFillShade="D9"/>
            <w:vAlign w:val="center"/>
          </w:tcPr>
          <w:p w14:paraId="6075A15A">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636EB3B4">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998" w:type="pct"/>
            <w:shd w:val="clear" w:color="auto" w:fill="FFFFFF" w:themeFill="background1"/>
            <w:vAlign w:val="center"/>
          </w:tcPr>
          <w:p w14:paraId="267C1675">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761" w:type="pct"/>
            <w:shd w:val="clear" w:color="auto" w:fill="FFFFFF" w:themeFill="background1"/>
            <w:vAlign w:val="center"/>
          </w:tcPr>
          <w:p w14:paraId="215E0855">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01" w:type="pct"/>
            <w:shd w:val="clear" w:color="auto" w:fill="FFFFFF" w:themeFill="background1"/>
            <w:vAlign w:val="center"/>
          </w:tcPr>
          <w:p w14:paraId="24AF5599">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9" w:hRule="atLeast"/>
          <w:jc w:val="center"/>
        </w:trPr>
        <w:tc>
          <w:tcPr>
            <w:tcW w:w="439" w:type="pct"/>
            <w:shd w:val="clear" w:color="auto" w:fill="FFFFFF" w:themeFill="background1"/>
            <w:vAlign w:val="center"/>
          </w:tcPr>
          <w:p w14:paraId="1AF8CF7F">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1-1</w:t>
            </w:r>
          </w:p>
        </w:tc>
        <w:tc>
          <w:tcPr>
            <w:tcW w:w="998" w:type="pct"/>
            <w:shd w:val="clear" w:color="auto" w:fill="FFFFFF" w:themeFill="background1"/>
            <w:vAlign w:val="center"/>
          </w:tcPr>
          <w:p w14:paraId="055CD5DC">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具有独立承担民事责任的能力</w:t>
            </w:r>
          </w:p>
        </w:tc>
        <w:tc>
          <w:tcPr>
            <w:tcW w:w="2761" w:type="pct"/>
            <w:shd w:val="clear" w:color="auto" w:fill="FFFFFF" w:themeFill="background1"/>
            <w:vAlign w:val="center"/>
          </w:tcPr>
          <w:p w14:paraId="3CB6034C">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如供应商是企业，应提供“营业执照”；如供应商是事业单位，应提供 “事业单位法人证书”；如供应商是社会团体，应提供“社会团体法人登记证书”；如供应商是个体工商户，应提供有效的“个体工商户营业执照”；如供应商是自然人，应提供有效的自然人身份证明。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B6B10C6">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1-2</w:t>
            </w:r>
          </w:p>
        </w:tc>
        <w:tc>
          <w:tcPr>
            <w:tcW w:w="998" w:type="pct"/>
            <w:shd w:val="clear" w:color="auto" w:fill="FFFFFF" w:themeFill="background1"/>
            <w:vAlign w:val="center"/>
          </w:tcPr>
          <w:p w14:paraId="1BD0E12D">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761" w:type="pct"/>
            <w:shd w:val="clear" w:color="auto" w:fill="FFFFFF" w:themeFill="background1"/>
            <w:vAlign w:val="center"/>
          </w:tcPr>
          <w:p w14:paraId="041E784F">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近三年任一年度（2023年或2024年度或2025年度）财务审计报告或近一年内银行提供的资信证明（新公司从成立之日起算）；</w:t>
            </w:r>
          </w:p>
        </w:tc>
        <w:tc>
          <w:tcPr>
            <w:tcW w:w="801" w:type="pct"/>
            <w:shd w:val="clear" w:color="auto" w:fill="FFFFFF" w:themeFill="background1"/>
            <w:vAlign w:val="center"/>
          </w:tcPr>
          <w:p w14:paraId="1422A2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4AED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30F3F645">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1-3</w:t>
            </w:r>
          </w:p>
        </w:tc>
        <w:tc>
          <w:tcPr>
            <w:tcW w:w="998" w:type="pct"/>
            <w:shd w:val="clear" w:color="auto" w:fill="FFFFFF" w:themeFill="background1"/>
            <w:vAlign w:val="center"/>
          </w:tcPr>
          <w:p w14:paraId="4E591147">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761" w:type="pct"/>
            <w:shd w:val="clear" w:color="auto" w:fill="FFFFFF" w:themeFill="background1"/>
            <w:vAlign w:val="center"/>
          </w:tcPr>
          <w:p w14:paraId="765DA8AF">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5BDA0931">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2754365B">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代缴其社会保险）。</w:t>
            </w:r>
          </w:p>
          <w:p w14:paraId="793C0D11">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801" w:type="pct"/>
            <w:shd w:val="clear" w:color="auto" w:fill="FFFFFF" w:themeFill="background1"/>
            <w:vAlign w:val="center"/>
          </w:tcPr>
          <w:p w14:paraId="77A69C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76A1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0E932D">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1-4</w:t>
            </w:r>
          </w:p>
        </w:tc>
        <w:tc>
          <w:tcPr>
            <w:tcW w:w="998" w:type="pct"/>
            <w:shd w:val="clear" w:color="auto" w:fill="FFFFFF" w:themeFill="background1"/>
            <w:vAlign w:val="center"/>
          </w:tcPr>
          <w:p w14:paraId="358C8A99">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761" w:type="pct"/>
            <w:shd w:val="clear" w:color="auto" w:fill="FFFFFF" w:themeFill="background1"/>
            <w:vAlign w:val="center"/>
          </w:tcPr>
          <w:p w14:paraId="5E32CC25">
            <w:pPr>
              <w:pStyle w:val="45"/>
              <w:jc w:val="both"/>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801" w:type="pct"/>
            <w:shd w:val="clear" w:color="auto" w:fill="FFFFFF" w:themeFill="background1"/>
            <w:vAlign w:val="center"/>
          </w:tcPr>
          <w:p w14:paraId="64EA18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26F5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C4A633">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1-5</w:t>
            </w:r>
          </w:p>
        </w:tc>
        <w:tc>
          <w:tcPr>
            <w:tcW w:w="998" w:type="pct"/>
            <w:shd w:val="clear" w:color="auto" w:fill="FFFFFF" w:themeFill="background1"/>
            <w:vAlign w:val="center"/>
          </w:tcPr>
          <w:p w14:paraId="486470A7">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761" w:type="pct"/>
            <w:shd w:val="clear" w:color="auto" w:fill="FFFFFF" w:themeFill="background1"/>
            <w:vAlign w:val="center"/>
          </w:tcPr>
          <w:p w14:paraId="277CC54D">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801" w:type="pct"/>
            <w:shd w:val="clear" w:color="auto" w:fill="FFFFFF" w:themeFill="background1"/>
            <w:vAlign w:val="center"/>
          </w:tcPr>
          <w:p w14:paraId="0A8D27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196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4E2C268">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1-6</w:t>
            </w:r>
          </w:p>
        </w:tc>
        <w:tc>
          <w:tcPr>
            <w:tcW w:w="998" w:type="pct"/>
            <w:shd w:val="clear" w:color="auto" w:fill="FFFFFF" w:themeFill="background1"/>
            <w:vAlign w:val="center"/>
          </w:tcPr>
          <w:p w14:paraId="599105D9">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761" w:type="pct"/>
            <w:shd w:val="clear" w:color="auto" w:fill="FFFFFF" w:themeFill="background1"/>
            <w:vAlign w:val="center"/>
          </w:tcPr>
          <w:p w14:paraId="37FD2AA6">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801" w:type="pct"/>
            <w:shd w:val="clear" w:color="auto" w:fill="FFFFFF" w:themeFill="background1"/>
            <w:vAlign w:val="center"/>
          </w:tcPr>
          <w:p w14:paraId="136A81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0A4E48AD">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998" w:type="pct"/>
            <w:shd w:val="clear" w:color="auto" w:fill="FFFFFF" w:themeFill="background1"/>
            <w:vAlign w:val="center"/>
          </w:tcPr>
          <w:p w14:paraId="6F347850">
            <w:pPr>
              <w:pStyle w:val="45"/>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法律、行政法规规定的其他条件</w:t>
            </w:r>
          </w:p>
        </w:tc>
        <w:tc>
          <w:tcPr>
            <w:tcW w:w="2761" w:type="pct"/>
            <w:shd w:val="clear" w:color="auto" w:fill="FFFFFF" w:themeFill="background1"/>
            <w:vAlign w:val="center"/>
          </w:tcPr>
          <w:p w14:paraId="1A0058F5">
            <w:pPr>
              <w:pStyle w:val="45"/>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法律、行政法规规定的其他条件</w:t>
            </w:r>
          </w:p>
        </w:tc>
        <w:tc>
          <w:tcPr>
            <w:tcW w:w="801" w:type="pct"/>
            <w:shd w:val="clear" w:color="auto" w:fill="FFFFFF" w:themeFill="background1"/>
            <w:vAlign w:val="center"/>
          </w:tcPr>
          <w:p w14:paraId="0D14032D">
            <w:pPr>
              <w:pStyle w:val="45"/>
              <w:jc w:val="center"/>
              <w:rPr>
                <w:rFonts w:hint="eastAsia" w:ascii="宋体" w:hAnsi="宋体" w:eastAsia="宋体" w:cs="宋体"/>
                <w:b/>
                <w:bCs/>
                <w:i w:val="0"/>
                <w:iCs w:val="0"/>
                <w:color w:val="auto"/>
                <w:kern w:val="2"/>
                <w:sz w:val="24"/>
                <w:szCs w:val="24"/>
                <w:highlight w:val="none"/>
                <w:lang w:val="en-US" w:eastAsia="zh-CN" w:bidi="ar-SA"/>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45F0574F">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998" w:type="pct"/>
            <w:shd w:val="clear" w:color="auto" w:fill="FFFFFF" w:themeFill="background1"/>
            <w:vAlign w:val="center"/>
          </w:tcPr>
          <w:p w14:paraId="004158CF">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761" w:type="pct"/>
            <w:shd w:val="clear" w:color="auto" w:fill="FFFFFF" w:themeFill="background1"/>
            <w:vAlign w:val="center"/>
          </w:tcPr>
          <w:p w14:paraId="3E10D772">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01" w:type="pct"/>
            <w:shd w:val="clear" w:color="auto" w:fill="FFFFFF" w:themeFill="background1"/>
            <w:vAlign w:val="center"/>
          </w:tcPr>
          <w:p w14:paraId="0BFAF045">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p>
        </w:tc>
      </w:tr>
      <w:tr w14:paraId="17E9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5" w:hRule="atLeast"/>
          <w:jc w:val="center"/>
        </w:trPr>
        <w:tc>
          <w:tcPr>
            <w:tcW w:w="439" w:type="pct"/>
            <w:shd w:val="clear" w:color="auto" w:fill="FFFFFF" w:themeFill="background1"/>
            <w:vAlign w:val="center"/>
          </w:tcPr>
          <w:p w14:paraId="146FC928">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998" w:type="pct"/>
            <w:shd w:val="clear" w:color="auto" w:fill="FFFFFF" w:themeFill="background1"/>
            <w:vAlign w:val="center"/>
          </w:tcPr>
          <w:p w14:paraId="2D441054">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本项目的特定资格要求</w:t>
            </w:r>
          </w:p>
        </w:tc>
        <w:tc>
          <w:tcPr>
            <w:tcW w:w="2761" w:type="pct"/>
            <w:shd w:val="clear" w:color="auto" w:fill="FFFFFF" w:themeFill="background1"/>
            <w:vAlign w:val="center"/>
          </w:tcPr>
          <w:p w14:paraId="192E4791">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7EC0AFB6">
            <w:pPr>
              <w:pStyle w:val="45"/>
              <w:keepNext w:val="0"/>
              <w:keepLines w:val="0"/>
              <w:pageBreakBefore w:val="0"/>
              <w:kinsoku/>
              <w:wordWrap/>
              <w:overflowPunct/>
              <w:topLinePunct w:val="0"/>
              <w:autoSpaceDE/>
              <w:autoSpaceDN/>
              <w:bidi w:val="0"/>
              <w:adjustRightInd/>
              <w:snapToGrid/>
              <w:jc w:val="both"/>
              <w:textAlignment w:val="auto"/>
              <w:rPr>
                <w:rFonts w:hint="default"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bl>
    <w:p w14:paraId="45ADDA48">
      <w:pPr>
        <w:rPr>
          <w:rFonts w:hint="eastAsia" w:ascii="宋体" w:hAnsi="宋体" w:eastAsia="宋体" w:cs="宋体"/>
          <w:b/>
          <w:bCs/>
          <w:color w:val="auto"/>
          <w:kern w:val="2"/>
          <w:sz w:val="24"/>
          <w:szCs w:val="24"/>
          <w:highlight w:val="none"/>
          <w:lang w:val="zh-CN" w:eastAsia="zh-CN" w:bidi="ar-SA"/>
        </w:rPr>
      </w:pPr>
    </w:p>
    <w:p w14:paraId="1C79E11B">
      <w:pPr>
        <w:rPr>
          <w:b/>
          <w:bCs/>
          <w:color w:val="auto"/>
          <w:sz w:val="21"/>
          <w:szCs w:val="21"/>
          <w:highlight w:val="none"/>
        </w:rPr>
      </w:pPr>
      <w:bookmarkStart w:id="491" w:name="_Toc156490348"/>
      <w:r>
        <w:rPr>
          <w:rFonts w:hint="eastAsia"/>
          <w:b/>
          <w:bCs/>
          <w:color w:val="auto"/>
          <w:sz w:val="21"/>
          <w:szCs w:val="21"/>
          <w:highlight w:val="none"/>
        </w:rPr>
        <w:t>备注：</w:t>
      </w:r>
    </w:p>
    <w:p w14:paraId="509818B3">
      <w:pPr>
        <w:pStyle w:val="38"/>
        <w:keepNext w:val="0"/>
        <w:keepLines w:val="0"/>
        <w:pageBreakBefore w:val="0"/>
        <w:widowControl w:val="0"/>
        <w:kinsoku/>
        <w:overflowPunct/>
        <w:topLinePunct w:val="0"/>
        <w:autoSpaceDE/>
        <w:autoSpaceDN/>
        <w:bidi w:val="0"/>
        <w:adjustRightInd/>
        <w:snapToGrid/>
        <w:spacing w:line="360" w:lineRule="exact"/>
        <w:ind w:firstLine="480"/>
        <w:textAlignment w:val="auto"/>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1.供应商须按上表格式要求提供相关证明文件，响应文件中须编入清晰的扫描件或网页截图。所有证明材料须清晰可辨认，如因证明材料模糊无法辨认，缺页、漏页导致无法进行评审认定的，责任由供应商承担。</w:t>
      </w:r>
    </w:p>
    <w:p w14:paraId="5E74E935">
      <w:pPr>
        <w:pStyle w:val="38"/>
        <w:keepNext w:val="0"/>
        <w:keepLines w:val="0"/>
        <w:pageBreakBefore w:val="0"/>
        <w:widowControl w:val="0"/>
        <w:numPr>
          <w:ilvl w:val="0"/>
          <w:numId w:val="0"/>
        </w:numPr>
        <w:kinsoku/>
        <w:overflowPunct/>
        <w:topLinePunct w:val="0"/>
        <w:autoSpaceDE/>
        <w:autoSpaceDN/>
        <w:bidi w:val="0"/>
        <w:adjustRightInd/>
        <w:snapToGrid/>
        <w:spacing w:line="360" w:lineRule="exact"/>
        <w:ind w:firstLine="396" w:firstLineChars="200"/>
        <w:textAlignment w:val="auto"/>
        <w:rPr>
          <w:rFonts w:hint="eastAsia" w:ascii="宋体" w:hAnsi="宋体" w:eastAsia="宋体" w:cs="宋体"/>
          <w:color w:val="auto"/>
          <w:spacing w:val="-6"/>
          <w:kern w:val="0"/>
          <w:sz w:val="21"/>
          <w:szCs w:val="21"/>
          <w:highlight w:val="none"/>
          <w:lang w:val="en-US" w:eastAsia="zh-CN" w:bidi="ar"/>
        </w:rPr>
      </w:pPr>
      <w:r>
        <w:rPr>
          <w:rFonts w:hint="eastAsia" w:cs="宋体"/>
          <w:color w:val="auto"/>
          <w:spacing w:val="-6"/>
          <w:kern w:val="0"/>
          <w:sz w:val="21"/>
          <w:szCs w:val="21"/>
          <w:highlight w:val="none"/>
          <w:lang w:val="en-US" w:eastAsia="zh-CN" w:bidi="ar"/>
        </w:rPr>
        <w:t>2</w:t>
      </w:r>
      <w:r>
        <w:rPr>
          <w:rFonts w:hint="eastAsia" w:ascii="宋体" w:hAnsi="宋体" w:eastAsia="宋体" w:cs="宋体"/>
          <w:color w:val="auto"/>
          <w:spacing w:val="-6"/>
          <w:kern w:val="0"/>
          <w:sz w:val="21"/>
          <w:szCs w:val="21"/>
          <w:highlight w:val="none"/>
          <w:lang w:val="en-US" w:eastAsia="zh-CN" w:bidi="ar"/>
        </w:rPr>
        <w:t>.对于响应文件中有任意一条不满足上表要求的，将导致其</w:t>
      </w:r>
      <w:r>
        <w:rPr>
          <w:rFonts w:hint="eastAsia" w:ascii="宋体" w:hAnsi="宋体" w:eastAsia="宋体" w:cs="宋体"/>
          <w:b/>
          <w:bCs/>
          <w:color w:val="auto"/>
          <w:spacing w:val="-6"/>
          <w:kern w:val="0"/>
          <w:sz w:val="21"/>
          <w:szCs w:val="21"/>
          <w:highlight w:val="none"/>
          <w:lang w:val="en-US" w:eastAsia="zh-CN" w:bidi="ar"/>
        </w:rPr>
        <w:t>响应无效</w:t>
      </w:r>
      <w:r>
        <w:rPr>
          <w:rFonts w:hint="eastAsia" w:ascii="宋体" w:hAnsi="宋体" w:eastAsia="宋体" w:cs="宋体"/>
          <w:color w:val="auto"/>
          <w:spacing w:val="-6"/>
          <w:kern w:val="0"/>
          <w:sz w:val="21"/>
          <w:szCs w:val="21"/>
          <w:highlight w:val="none"/>
          <w:lang w:val="en-US" w:eastAsia="zh-CN" w:bidi="ar"/>
        </w:rPr>
        <w:t>，不得进入下一项评审。</w:t>
      </w:r>
    </w:p>
    <w:p w14:paraId="55110B7F">
      <w:pPr>
        <w:rPr>
          <w:rFonts w:hint="eastAsia"/>
          <w:color w:val="auto"/>
          <w:highlight w:val="none"/>
        </w:rPr>
      </w:pPr>
      <w:r>
        <w:rPr>
          <w:rFonts w:hint="eastAsia"/>
          <w:color w:val="auto"/>
          <w:highlight w:val="none"/>
        </w:rPr>
        <w:br w:type="page"/>
      </w:r>
    </w:p>
    <w:p w14:paraId="613615C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92" w:name="_Toc163493639"/>
      <w:bookmarkStart w:id="493" w:name="_Toc31092"/>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符合性审查表</w:t>
      </w:r>
      <w:bookmarkEnd w:id="491"/>
      <w:bookmarkEnd w:id="492"/>
      <w:bookmarkEnd w:id="493"/>
    </w:p>
    <w:tbl>
      <w:tblPr>
        <w:tblStyle w:val="28"/>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4"/>
        <w:gridCol w:w="1302"/>
        <w:gridCol w:w="5485"/>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restart"/>
            <w:shd w:val="clear" w:color="auto" w:fill="D8D8D8" w:themeFill="background1" w:themeFillShade="D9"/>
            <w:vAlign w:val="center"/>
          </w:tcPr>
          <w:p w14:paraId="3B188FC3">
            <w:pPr>
              <w:pStyle w:val="45"/>
              <w:jc w:val="center"/>
              <w:rPr>
                <w:rFonts w:hint="eastAsia" w:ascii="宋体" w:hAnsi="宋体" w:eastAsia="宋体" w:cs="宋体"/>
                <w:b/>
                <w:bCs/>
                <w:color w:val="auto"/>
                <w:sz w:val="21"/>
                <w:szCs w:val="21"/>
                <w:highlight w:val="none"/>
                <w:lang w:val="zh-CN"/>
              </w:rPr>
            </w:pPr>
            <w:bookmarkStart w:id="494" w:name="_Toc163493640"/>
            <w:r>
              <w:rPr>
                <w:rFonts w:hint="eastAsia" w:ascii="宋体" w:hAnsi="宋体" w:eastAsia="宋体" w:cs="宋体"/>
                <w:b/>
                <w:bCs/>
                <w:color w:val="auto"/>
                <w:sz w:val="21"/>
                <w:szCs w:val="21"/>
                <w:highlight w:val="none"/>
                <w:lang w:val="zh-CN"/>
              </w:rPr>
              <w:t>序号</w:t>
            </w:r>
          </w:p>
        </w:tc>
        <w:tc>
          <w:tcPr>
            <w:tcW w:w="704" w:type="pct"/>
            <w:vMerge w:val="restart"/>
            <w:shd w:val="clear" w:color="auto" w:fill="D8D8D8" w:themeFill="background1" w:themeFillShade="D9"/>
            <w:vAlign w:val="center"/>
          </w:tcPr>
          <w:p w14:paraId="316B5F87">
            <w:pPr>
              <w:pStyle w:val="45"/>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965" w:type="pct"/>
            <w:vMerge w:val="restart"/>
            <w:shd w:val="clear" w:color="auto" w:fill="D8D8D8" w:themeFill="background1" w:themeFillShade="D9"/>
            <w:vAlign w:val="center"/>
          </w:tcPr>
          <w:p w14:paraId="44B32FDC">
            <w:pPr>
              <w:pStyle w:val="45"/>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45"/>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continue"/>
            <w:shd w:val="clear" w:color="auto" w:fill="D8D8D8" w:themeFill="background1" w:themeFillShade="D9"/>
            <w:vAlign w:val="center"/>
          </w:tcPr>
          <w:p w14:paraId="1859AA86">
            <w:pPr>
              <w:pStyle w:val="45"/>
              <w:jc w:val="center"/>
              <w:rPr>
                <w:rFonts w:hint="eastAsia" w:ascii="宋体" w:hAnsi="宋体" w:eastAsia="宋体" w:cs="宋体"/>
                <w:b/>
                <w:bCs/>
                <w:color w:val="auto"/>
                <w:sz w:val="21"/>
                <w:szCs w:val="21"/>
                <w:highlight w:val="none"/>
                <w:lang w:val="zh-CN"/>
              </w:rPr>
            </w:pPr>
          </w:p>
        </w:tc>
        <w:tc>
          <w:tcPr>
            <w:tcW w:w="704" w:type="pct"/>
            <w:vMerge w:val="continue"/>
            <w:shd w:val="clear" w:color="auto" w:fill="D8D8D8" w:themeFill="background1" w:themeFillShade="D9"/>
            <w:vAlign w:val="center"/>
          </w:tcPr>
          <w:p w14:paraId="51EF0565">
            <w:pPr>
              <w:pStyle w:val="45"/>
              <w:jc w:val="center"/>
              <w:rPr>
                <w:rFonts w:hint="eastAsia" w:ascii="宋体" w:hAnsi="宋体" w:eastAsia="宋体" w:cs="宋体"/>
                <w:b/>
                <w:bCs/>
                <w:color w:val="auto"/>
                <w:sz w:val="21"/>
                <w:szCs w:val="21"/>
                <w:highlight w:val="none"/>
                <w:lang w:val="zh-CN"/>
              </w:rPr>
            </w:pPr>
          </w:p>
        </w:tc>
        <w:tc>
          <w:tcPr>
            <w:tcW w:w="2965" w:type="pct"/>
            <w:vMerge w:val="continue"/>
            <w:shd w:val="clear" w:color="auto" w:fill="D8D8D8" w:themeFill="background1" w:themeFillShade="D9"/>
            <w:vAlign w:val="center"/>
          </w:tcPr>
          <w:p w14:paraId="2128C077">
            <w:pPr>
              <w:pStyle w:val="45"/>
              <w:jc w:val="center"/>
              <w:rPr>
                <w:rFonts w:hint="eastAsia" w:ascii="宋体" w:hAnsi="宋体" w:eastAsia="宋体" w:cs="宋体"/>
                <w:b/>
                <w:bCs/>
                <w:color w:val="auto"/>
                <w:sz w:val="21"/>
                <w:szCs w:val="21"/>
                <w:highlight w:val="none"/>
                <w:lang w:val="zh-CN"/>
              </w:rPr>
            </w:pPr>
          </w:p>
        </w:tc>
        <w:tc>
          <w:tcPr>
            <w:tcW w:w="468" w:type="pct"/>
            <w:shd w:val="clear" w:color="auto" w:fill="D8D8D8" w:themeFill="background1" w:themeFillShade="D9"/>
            <w:vAlign w:val="center"/>
          </w:tcPr>
          <w:p w14:paraId="0CAA21D7">
            <w:pPr>
              <w:pStyle w:val="45"/>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88" w:type="pct"/>
            <w:shd w:val="clear" w:color="auto" w:fill="D8D8D8" w:themeFill="background1" w:themeFillShade="D9"/>
            <w:vAlign w:val="center"/>
          </w:tcPr>
          <w:p w14:paraId="15D1F439">
            <w:pPr>
              <w:pStyle w:val="45"/>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3" w:type="pct"/>
            <w:shd w:val="clear" w:color="auto" w:fill="auto"/>
            <w:vAlign w:val="center"/>
          </w:tcPr>
          <w:p w14:paraId="4A515C07">
            <w:pPr>
              <w:pStyle w:val="45"/>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704" w:type="pct"/>
            <w:vAlign w:val="center"/>
          </w:tcPr>
          <w:p w14:paraId="5E0E3062">
            <w:pPr>
              <w:pStyle w:val="4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rPr>
              <w:t>签署</w:t>
            </w:r>
          </w:p>
        </w:tc>
        <w:tc>
          <w:tcPr>
            <w:tcW w:w="2965" w:type="pct"/>
            <w:shd w:val="clear" w:color="auto" w:fill="auto"/>
            <w:vAlign w:val="center"/>
          </w:tcPr>
          <w:p w14:paraId="0FA4ED80">
            <w:pPr>
              <w:pStyle w:val="45"/>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文件要求签署、盖章的</w:t>
            </w:r>
          </w:p>
        </w:tc>
        <w:tc>
          <w:tcPr>
            <w:tcW w:w="468" w:type="pct"/>
            <w:shd w:val="clear" w:color="auto" w:fill="auto"/>
            <w:vAlign w:val="center"/>
          </w:tcPr>
          <w:p w14:paraId="1E1F1EB1">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35325BAA">
            <w:pPr>
              <w:pStyle w:val="45"/>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70154C2F">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704" w:type="pct"/>
            <w:shd w:val="clear" w:color="auto" w:fill="auto"/>
            <w:vAlign w:val="center"/>
          </w:tcPr>
          <w:p w14:paraId="1B390AF0">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2965" w:type="pct"/>
            <w:shd w:val="clear" w:color="auto" w:fill="auto"/>
            <w:vAlign w:val="center"/>
          </w:tcPr>
          <w:p w14:paraId="6D95F485">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lang w:val="zh-CN" w:eastAsia="zh-CN"/>
              </w:rPr>
              <w:t>满足</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468" w:type="pct"/>
            <w:shd w:val="clear" w:color="auto" w:fill="auto"/>
            <w:vAlign w:val="center"/>
          </w:tcPr>
          <w:p w14:paraId="4C63B966">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5A615EFE">
            <w:pPr>
              <w:pStyle w:val="45"/>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3" w:type="pct"/>
            <w:shd w:val="clear" w:color="auto" w:fill="auto"/>
            <w:vAlign w:val="center"/>
          </w:tcPr>
          <w:p w14:paraId="48860C47">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704" w:type="pct"/>
            <w:vAlign w:val="center"/>
          </w:tcPr>
          <w:p w14:paraId="31EA832C">
            <w:pPr>
              <w:pStyle w:val="45"/>
              <w:rPr>
                <w:rFonts w:hint="eastAsia" w:ascii="宋体" w:hAnsi="宋体" w:eastAsia="宋体" w:cs="宋体"/>
                <w:color w:val="auto"/>
                <w:sz w:val="21"/>
                <w:szCs w:val="21"/>
                <w:highlight w:val="none"/>
                <w:lang w:val="zh-CN"/>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rPr>
              <w:t>响应性报价</w:t>
            </w:r>
          </w:p>
        </w:tc>
        <w:tc>
          <w:tcPr>
            <w:tcW w:w="2965" w:type="pct"/>
            <w:shd w:val="clear" w:color="auto" w:fill="auto"/>
            <w:vAlign w:val="center"/>
          </w:tcPr>
          <w:p w14:paraId="02D97709">
            <w:pPr>
              <w:pStyle w:val="4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供应商报价未超过</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文件中规定的最高限价或者预算金额的</w:t>
            </w:r>
            <w:bookmarkStart w:id="631" w:name="_GoBack"/>
            <w:bookmarkEnd w:id="631"/>
          </w:p>
        </w:tc>
        <w:tc>
          <w:tcPr>
            <w:tcW w:w="468" w:type="pct"/>
            <w:shd w:val="clear" w:color="auto" w:fill="auto"/>
            <w:vAlign w:val="center"/>
          </w:tcPr>
          <w:p w14:paraId="18835E98">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32826E79">
            <w:pPr>
              <w:pStyle w:val="45"/>
              <w:rPr>
                <w:rFonts w:hint="eastAsia" w:ascii="宋体" w:hAnsi="宋体" w:eastAsia="宋体" w:cs="宋体"/>
                <w:color w:val="auto"/>
                <w:sz w:val="21"/>
                <w:szCs w:val="21"/>
                <w:highlight w:val="none"/>
                <w:lang w:val="zh-CN"/>
              </w:rPr>
            </w:pPr>
          </w:p>
        </w:tc>
      </w:tr>
      <w:tr w14:paraId="0759F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3" w:type="pct"/>
            <w:shd w:val="clear" w:color="auto" w:fill="auto"/>
            <w:vAlign w:val="center"/>
          </w:tcPr>
          <w:p w14:paraId="55C41672">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704" w:type="pct"/>
            <w:shd w:val="clear" w:color="auto" w:fill="auto"/>
            <w:vAlign w:val="center"/>
          </w:tcPr>
          <w:p w14:paraId="165805AD">
            <w:pPr>
              <w:pStyle w:val="4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采购清单</w:t>
            </w:r>
          </w:p>
        </w:tc>
        <w:tc>
          <w:tcPr>
            <w:tcW w:w="2965" w:type="pct"/>
            <w:shd w:val="clear" w:color="auto" w:fill="auto"/>
            <w:vAlign w:val="center"/>
          </w:tcPr>
          <w:p w14:paraId="64323A44">
            <w:pPr>
              <w:pStyle w:val="4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468" w:type="pct"/>
            <w:shd w:val="clear" w:color="auto" w:fill="auto"/>
            <w:vAlign w:val="center"/>
          </w:tcPr>
          <w:p w14:paraId="61407A1E">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0B05B99E">
            <w:pPr>
              <w:pStyle w:val="45"/>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3" w:type="pct"/>
            <w:shd w:val="clear" w:color="auto" w:fill="auto"/>
            <w:vAlign w:val="center"/>
          </w:tcPr>
          <w:p w14:paraId="0D25BA5B">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5</w:t>
            </w:r>
          </w:p>
        </w:tc>
        <w:tc>
          <w:tcPr>
            <w:tcW w:w="704" w:type="pct"/>
            <w:vAlign w:val="center"/>
          </w:tcPr>
          <w:p w14:paraId="6B53D7DD">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965" w:type="pct"/>
            <w:shd w:val="clear" w:color="auto" w:fill="auto"/>
            <w:vAlign w:val="center"/>
          </w:tcPr>
          <w:p w14:paraId="3C241A91">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68" w:type="pct"/>
            <w:shd w:val="clear" w:color="auto" w:fill="auto"/>
            <w:vAlign w:val="center"/>
          </w:tcPr>
          <w:p w14:paraId="4B513014">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48AFA180">
            <w:pPr>
              <w:pStyle w:val="45"/>
              <w:rPr>
                <w:rFonts w:hint="eastAsia" w:ascii="宋体" w:hAnsi="宋体" w:eastAsia="宋体" w:cs="宋体"/>
                <w:color w:val="auto"/>
                <w:sz w:val="21"/>
                <w:szCs w:val="21"/>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73" w:type="pct"/>
            <w:shd w:val="clear" w:color="auto" w:fill="auto"/>
            <w:vAlign w:val="center"/>
          </w:tcPr>
          <w:p w14:paraId="5772C4C0">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6</w:t>
            </w:r>
          </w:p>
        </w:tc>
        <w:tc>
          <w:tcPr>
            <w:tcW w:w="704" w:type="pct"/>
            <w:vAlign w:val="center"/>
          </w:tcPr>
          <w:p w14:paraId="1817A2C0">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2965" w:type="pct"/>
            <w:shd w:val="clear" w:color="auto" w:fill="auto"/>
            <w:vAlign w:val="center"/>
          </w:tcPr>
          <w:p w14:paraId="39640874">
            <w:pPr>
              <w:pStyle w:val="45"/>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文件规定接受联合体</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eastAsia="zh-CN"/>
              </w:rPr>
              <w:t>联合体供应商提交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w:t>
            </w:r>
            <w:r>
              <w:rPr>
                <w:rFonts w:hint="eastAsia" w:ascii="宋体" w:hAnsi="宋体" w:eastAsia="宋体" w:cs="宋体"/>
                <w:color w:val="auto"/>
                <w:sz w:val="21"/>
                <w:szCs w:val="21"/>
                <w:highlight w:val="none"/>
                <w:lang w:val="en-US" w:eastAsia="zh-CN"/>
              </w:rPr>
              <w:t>如允许联合体</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eastAsia="zh-CN"/>
              </w:rPr>
              <w:t>】</w:t>
            </w:r>
          </w:p>
        </w:tc>
        <w:tc>
          <w:tcPr>
            <w:tcW w:w="468" w:type="pct"/>
            <w:shd w:val="clear" w:color="auto" w:fill="auto"/>
            <w:vAlign w:val="center"/>
          </w:tcPr>
          <w:p w14:paraId="2C782F18">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163069B8">
            <w:pPr>
              <w:pStyle w:val="45"/>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3" w:type="pct"/>
            <w:shd w:val="clear" w:color="auto" w:fill="auto"/>
            <w:vAlign w:val="center"/>
          </w:tcPr>
          <w:p w14:paraId="31C12A1B">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704" w:type="pct"/>
            <w:vAlign w:val="center"/>
          </w:tcPr>
          <w:p w14:paraId="55194F4F">
            <w:pPr>
              <w:pStyle w:val="45"/>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保证金</w:t>
            </w:r>
          </w:p>
        </w:tc>
        <w:tc>
          <w:tcPr>
            <w:tcW w:w="2965" w:type="pct"/>
            <w:shd w:val="clear" w:color="auto" w:fill="auto"/>
            <w:vAlign w:val="center"/>
          </w:tcPr>
          <w:p w14:paraId="4803457A">
            <w:pPr>
              <w:pStyle w:val="45"/>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文件规定应当缴纳的，供应商按</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文件的规定缴纳</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保证金的</w:t>
            </w:r>
          </w:p>
        </w:tc>
        <w:tc>
          <w:tcPr>
            <w:tcW w:w="468" w:type="pct"/>
            <w:shd w:val="clear" w:color="auto" w:fill="auto"/>
            <w:vAlign w:val="center"/>
          </w:tcPr>
          <w:p w14:paraId="194FF3C2">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2372B823">
            <w:pPr>
              <w:pStyle w:val="45"/>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6C002E13">
            <w:pPr>
              <w:pStyle w:val="45"/>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8</w:t>
            </w:r>
          </w:p>
        </w:tc>
        <w:tc>
          <w:tcPr>
            <w:tcW w:w="704" w:type="pct"/>
            <w:vAlign w:val="center"/>
          </w:tcPr>
          <w:p w14:paraId="5C91A4A7">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响应文件的澄清、说明、补正</w:t>
            </w:r>
          </w:p>
        </w:tc>
        <w:tc>
          <w:tcPr>
            <w:tcW w:w="2965" w:type="pct"/>
            <w:shd w:val="clear" w:color="auto" w:fill="auto"/>
            <w:vAlign w:val="center"/>
          </w:tcPr>
          <w:p w14:paraId="3E6052BB">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按</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小组的要求提交经授权代表签字的澄清、说明、更正且澄清、说明、更正未超出响应文件范围或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文件的实质性内容</w:t>
            </w:r>
          </w:p>
        </w:tc>
        <w:tc>
          <w:tcPr>
            <w:tcW w:w="468" w:type="pct"/>
            <w:shd w:val="clear" w:color="auto" w:fill="auto"/>
            <w:vAlign w:val="center"/>
          </w:tcPr>
          <w:p w14:paraId="1EA81190">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2394B23D">
            <w:pPr>
              <w:pStyle w:val="45"/>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3" w:type="pct"/>
            <w:shd w:val="clear" w:color="auto" w:fill="auto"/>
            <w:vAlign w:val="center"/>
          </w:tcPr>
          <w:p w14:paraId="09617D9C">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9</w:t>
            </w:r>
          </w:p>
        </w:tc>
        <w:tc>
          <w:tcPr>
            <w:tcW w:w="704" w:type="pct"/>
            <w:vAlign w:val="center"/>
          </w:tcPr>
          <w:p w14:paraId="2016E93A">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供应商影响评审</w:t>
            </w:r>
          </w:p>
        </w:tc>
        <w:tc>
          <w:tcPr>
            <w:tcW w:w="2965" w:type="pct"/>
            <w:shd w:val="clear" w:color="auto" w:fill="auto"/>
            <w:vAlign w:val="center"/>
          </w:tcPr>
          <w:p w14:paraId="50B76BB4">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对采购人、采购代理机构、</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小组及其工作人员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行为的</w:t>
            </w:r>
          </w:p>
        </w:tc>
        <w:tc>
          <w:tcPr>
            <w:tcW w:w="468" w:type="pct"/>
            <w:shd w:val="clear" w:color="auto" w:fill="auto"/>
            <w:vAlign w:val="center"/>
          </w:tcPr>
          <w:p w14:paraId="75DB24A7">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7D6DA84C">
            <w:pPr>
              <w:pStyle w:val="45"/>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332BD4A6">
            <w:pPr>
              <w:pStyle w:val="45"/>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p>
        </w:tc>
        <w:tc>
          <w:tcPr>
            <w:tcW w:w="704" w:type="pct"/>
            <w:vAlign w:val="center"/>
          </w:tcPr>
          <w:p w14:paraId="56EEFE7E">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965" w:type="pct"/>
            <w:shd w:val="clear" w:color="auto" w:fill="auto"/>
            <w:vAlign w:val="center"/>
          </w:tcPr>
          <w:p w14:paraId="618DB2FB">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响应文件没有采购人不能接受的附加条件的</w:t>
            </w:r>
          </w:p>
        </w:tc>
        <w:tc>
          <w:tcPr>
            <w:tcW w:w="468" w:type="pct"/>
            <w:shd w:val="clear" w:color="auto" w:fill="auto"/>
            <w:vAlign w:val="center"/>
          </w:tcPr>
          <w:p w14:paraId="36C2A679">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73E4201A">
            <w:pPr>
              <w:pStyle w:val="45"/>
              <w:rPr>
                <w:rFonts w:hint="eastAsia" w:ascii="宋体" w:hAnsi="宋体" w:eastAsia="宋体" w:cs="宋体"/>
                <w:color w:val="auto"/>
                <w:sz w:val="21"/>
                <w:szCs w:val="21"/>
                <w:highlight w:val="none"/>
                <w:lang w:val="zh-CN"/>
              </w:rPr>
            </w:pPr>
          </w:p>
        </w:tc>
      </w:tr>
      <w:tr w14:paraId="06A32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504" w:type="dxa"/>
            <w:shd w:val="clear" w:color="auto" w:fill="auto"/>
            <w:vAlign w:val="center"/>
          </w:tcPr>
          <w:p w14:paraId="50C58A29">
            <w:pPr>
              <w:pStyle w:val="45"/>
              <w:numPr>
                <w:ilvl w:val="0"/>
                <w:numId w:val="0"/>
              </w:numPr>
              <w:ind w:left="420" w:leftChars="0" w:hanging="420" w:firstLineChars="0"/>
              <w:jc w:val="center"/>
              <w:rPr>
                <w:rFonts w:hint="eastAsia"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1302" w:type="dxa"/>
            <w:vAlign w:val="center"/>
          </w:tcPr>
          <w:p w14:paraId="5D80658E">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其他无效情形</w:t>
            </w:r>
          </w:p>
        </w:tc>
        <w:tc>
          <w:tcPr>
            <w:tcW w:w="5485" w:type="dxa"/>
            <w:shd w:val="clear" w:color="auto" w:fill="auto"/>
            <w:vAlign w:val="center"/>
          </w:tcPr>
          <w:p w14:paraId="0344592F">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未出现法律、法规、规章以及本磋商文件规定属于响应无效的其他情形。</w:t>
            </w:r>
          </w:p>
        </w:tc>
        <w:tc>
          <w:tcPr>
            <w:tcW w:w="468" w:type="pct"/>
            <w:shd w:val="clear" w:color="auto" w:fill="auto"/>
            <w:vAlign w:val="center"/>
          </w:tcPr>
          <w:p w14:paraId="2D0C10A2">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56A9EBEF">
            <w:pPr>
              <w:pStyle w:val="45"/>
              <w:rPr>
                <w:rFonts w:hint="eastAsia" w:ascii="宋体" w:hAnsi="宋体" w:eastAsia="宋体" w:cs="宋体"/>
                <w:color w:val="auto"/>
                <w:sz w:val="21"/>
                <w:szCs w:val="21"/>
                <w:highlight w:val="none"/>
                <w:lang w:val="zh-CN"/>
              </w:rPr>
            </w:pPr>
          </w:p>
        </w:tc>
      </w:tr>
    </w:tbl>
    <w:p w14:paraId="207B7AB7">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28E1FE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199811C3">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1AACC489">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A621C99">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2E60AFF0">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624643D">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6A22AD6B">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6754DCA">
      <w:pPr>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br w:type="page"/>
      </w:r>
    </w:p>
    <w:p w14:paraId="3107E21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符合性检查</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zh-CN" w:eastAsia="zh-CN" w:bidi="ar-SA"/>
        </w:rPr>
        <w:t>附表</w:t>
      </w:r>
    </w:p>
    <w:p w14:paraId="4F7CC11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495" w:name="_Toc18208"/>
      <w:r>
        <w:rPr>
          <w:rFonts w:hint="eastAsia" w:ascii="宋体" w:hAnsi="宋体" w:eastAsia="宋体" w:cstheme="minorBidi"/>
          <w:b/>
          <w:bCs/>
          <w:color w:val="auto"/>
          <w:kern w:val="2"/>
          <w:sz w:val="28"/>
          <w:szCs w:val="28"/>
          <w:highlight w:val="none"/>
          <w:lang w:val="zh-CN" w:eastAsia="zh-CN" w:bidi="ar-SA"/>
        </w:rPr>
        <w:t>实质性响应一览表</w:t>
      </w:r>
      <w:bookmarkEnd w:id="495"/>
    </w:p>
    <w:p w14:paraId="231F5A14">
      <w:pPr>
        <w:shd w:val="clear" w:color="auto" w:fill="FFFFFF"/>
        <w:tabs>
          <w:tab w:val="left" w:pos="3045"/>
        </w:tabs>
        <w:autoSpaceDE w:val="0"/>
        <w:autoSpaceDN w:val="0"/>
        <w:adjustRightInd w:val="0"/>
        <w:snapToGrid w:val="0"/>
        <w:spacing w:line="360" w:lineRule="exact"/>
        <w:jc w:val="center"/>
        <w:rPr>
          <w:rFonts w:hint="eastAsia" w:ascii="宋体" w:hAnsi="宋体" w:cs="宋体"/>
          <w:b/>
          <w:color w:val="auto"/>
          <w:sz w:val="24"/>
          <w:highlight w:val="none"/>
        </w:rPr>
      </w:pPr>
      <w:r>
        <w:rPr>
          <w:rFonts w:hint="eastAsia" w:ascii="宋体" w:hAnsi="宋体" w:cs="宋体"/>
          <w:b w:val="0"/>
          <w:bCs/>
          <w:color w:val="auto"/>
          <w:sz w:val="24"/>
          <w:highlight w:val="none"/>
        </w:rPr>
        <w:t>（供应商须对本附表所有内容逐条响应且无负偏离，否则</w:t>
      </w:r>
      <w:r>
        <w:rPr>
          <w:rFonts w:hint="eastAsia" w:cs="宋体"/>
          <w:b/>
          <w:color w:val="auto"/>
          <w:sz w:val="24"/>
          <w:highlight w:val="none"/>
          <w:lang w:val="en-US" w:eastAsia="zh-CN"/>
        </w:rPr>
        <w:t>响应</w:t>
      </w:r>
      <w:r>
        <w:rPr>
          <w:rFonts w:hint="eastAsia" w:ascii="宋体" w:hAnsi="宋体" w:cs="宋体"/>
          <w:b/>
          <w:color w:val="auto"/>
          <w:sz w:val="24"/>
          <w:highlight w:val="none"/>
        </w:rPr>
        <w:t>无效</w:t>
      </w:r>
      <w:r>
        <w:rPr>
          <w:rFonts w:hint="eastAsia" w:ascii="宋体" w:hAnsi="宋体" w:cs="宋体"/>
          <w:b w:val="0"/>
          <w:bCs/>
          <w:color w:val="auto"/>
          <w:sz w:val="24"/>
          <w:highlight w:val="none"/>
        </w:rPr>
        <w:t>）</w:t>
      </w:r>
    </w:p>
    <w:p w14:paraId="4F532689">
      <w:pPr>
        <w:pStyle w:val="21"/>
        <w:rPr>
          <w:rFonts w:hint="eastAsia" w:ascii="宋体" w:hAnsi="宋体" w:cs="宋体"/>
          <w:color w:val="auto"/>
          <w:highlight w:val="none"/>
        </w:rPr>
      </w:pPr>
    </w:p>
    <w:tbl>
      <w:tblPr>
        <w:tblStyle w:val="28"/>
        <w:tblW w:w="5272" w:type="pct"/>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45"/>
        <w:gridCol w:w="3179"/>
        <w:gridCol w:w="1957"/>
        <w:gridCol w:w="732"/>
      </w:tblGrid>
      <w:tr w14:paraId="140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74" w:type="pct"/>
            <w:vMerge w:val="restart"/>
            <w:noWrap w:val="0"/>
            <w:vAlign w:val="center"/>
          </w:tcPr>
          <w:p w14:paraId="7974C54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3129" w:type="pct"/>
            <w:gridSpan w:val="2"/>
            <w:noWrap w:val="0"/>
            <w:vAlign w:val="center"/>
          </w:tcPr>
          <w:p w14:paraId="4F79053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谈判</w:t>
            </w:r>
            <w:r>
              <w:rPr>
                <w:rFonts w:hint="eastAsia" w:ascii="宋体" w:hAnsi="宋体" w:eastAsia="宋体" w:cs="宋体"/>
                <w:i w:val="0"/>
                <w:iCs w:val="0"/>
                <w:color w:val="auto"/>
                <w:sz w:val="21"/>
                <w:szCs w:val="21"/>
                <w:highlight w:val="none"/>
              </w:rPr>
              <w:t>文件要求的实质性响应内容</w:t>
            </w:r>
          </w:p>
        </w:tc>
        <w:tc>
          <w:tcPr>
            <w:tcW w:w="1088" w:type="pct"/>
            <w:vMerge w:val="restart"/>
            <w:noWrap w:val="0"/>
            <w:vAlign w:val="center"/>
          </w:tcPr>
          <w:p w14:paraId="1DFD5A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文件具体</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内容</w:t>
            </w:r>
          </w:p>
        </w:tc>
        <w:tc>
          <w:tcPr>
            <w:tcW w:w="407" w:type="pct"/>
            <w:vMerge w:val="restart"/>
            <w:noWrap w:val="0"/>
            <w:vAlign w:val="center"/>
          </w:tcPr>
          <w:p w14:paraId="182E982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w:t>
            </w:r>
          </w:p>
        </w:tc>
      </w:tr>
      <w:tr w14:paraId="3C4C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74" w:type="pct"/>
            <w:vMerge w:val="continue"/>
            <w:noWrap w:val="0"/>
            <w:vAlign w:val="center"/>
          </w:tcPr>
          <w:p w14:paraId="72371D4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360" w:type="pct"/>
            <w:shd w:val="clear" w:color="auto" w:fill="auto"/>
            <w:noWrap w:val="0"/>
            <w:vAlign w:val="center"/>
          </w:tcPr>
          <w:p w14:paraId="1BF208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实质性要求</w:t>
            </w:r>
          </w:p>
        </w:tc>
        <w:tc>
          <w:tcPr>
            <w:tcW w:w="1768" w:type="pct"/>
            <w:shd w:val="clear" w:color="auto" w:fill="auto"/>
            <w:noWrap w:val="0"/>
            <w:vAlign w:val="center"/>
          </w:tcPr>
          <w:p w14:paraId="7E16D5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cs="宋体"/>
                <w:i w:val="0"/>
                <w:iCs w:val="0"/>
                <w:color w:val="auto"/>
                <w:sz w:val="21"/>
                <w:szCs w:val="21"/>
                <w:highlight w:val="none"/>
                <w:lang w:val="en-US" w:eastAsia="zh-CN"/>
              </w:rPr>
              <w:t>谈判</w:t>
            </w:r>
            <w:r>
              <w:rPr>
                <w:rFonts w:hint="eastAsia" w:ascii="宋体" w:hAnsi="宋体" w:eastAsia="宋体" w:cs="宋体"/>
                <w:i w:val="0"/>
                <w:iCs w:val="0"/>
                <w:color w:val="auto"/>
                <w:sz w:val="21"/>
                <w:szCs w:val="21"/>
                <w:highlight w:val="none"/>
                <w:lang w:val="en-US" w:eastAsia="zh-CN"/>
              </w:rPr>
              <w:t>文件中的规定</w:t>
            </w:r>
          </w:p>
        </w:tc>
        <w:tc>
          <w:tcPr>
            <w:tcW w:w="1088" w:type="pct"/>
            <w:vMerge w:val="continue"/>
            <w:noWrap w:val="0"/>
            <w:vAlign w:val="center"/>
          </w:tcPr>
          <w:p w14:paraId="70107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c>
          <w:tcPr>
            <w:tcW w:w="407" w:type="pct"/>
            <w:vMerge w:val="continue"/>
            <w:noWrap w:val="0"/>
            <w:vAlign w:val="center"/>
          </w:tcPr>
          <w:p w14:paraId="34815FA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r>
      <w:tr w14:paraId="6468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74" w:type="pct"/>
            <w:noWrap w:val="0"/>
            <w:vAlign w:val="center"/>
          </w:tcPr>
          <w:p w14:paraId="1D030E8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p>
        </w:tc>
        <w:tc>
          <w:tcPr>
            <w:tcW w:w="1360" w:type="pct"/>
            <w:noWrap w:val="0"/>
            <w:vAlign w:val="center"/>
          </w:tcPr>
          <w:p w14:paraId="2AE01BE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有效期</w:t>
            </w:r>
          </w:p>
        </w:tc>
        <w:tc>
          <w:tcPr>
            <w:tcW w:w="1768" w:type="pct"/>
            <w:noWrap w:val="0"/>
            <w:vAlign w:val="center"/>
          </w:tcPr>
          <w:p w14:paraId="27457AC5">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谈判</w:t>
            </w:r>
            <w:r>
              <w:rPr>
                <w:rFonts w:hint="eastAsia" w:ascii="宋体" w:hAnsi="宋体" w:eastAsia="宋体" w:cs="宋体"/>
                <w:i w:val="0"/>
                <w:iCs w:val="0"/>
                <w:color w:val="auto"/>
                <w:sz w:val="21"/>
                <w:szCs w:val="21"/>
                <w:highlight w:val="none"/>
                <w:lang w:val="en-US" w:eastAsia="zh-CN"/>
              </w:rPr>
              <w:t>文件关于响应文件有效期的规定）</w:t>
            </w:r>
          </w:p>
        </w:tc>
        <w:tc>
          <w:tcPr>
            <w:tcW w:w="1088" w:type="pct"/>
            <w:noWrap w:val="0"/>
            <w:vAlign w:val="center"/>
          </w:tcPr>
          <w:p w14:paraId="1B8FC5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供应商在</w:t>
            </w:r>
            <w:r>
              <w:rPr>
                <w:rFonts w:hint="eastAsia" w:ascii="宋体" w:hAnsi="宋体" w:eastAsia="宋体" w:cs="宋体"/>
                <w:i w:val="0"/>
                <w:iCs w:val="0"/>
                <w:color w:val="auto"/>
                <w:sz w:val="21"/>
                <w:szCs w:val="21"/>
                <w:highlight w:val="none"/>
              </w:rPr>
              <w:t>此处填写</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lang w:val="en-US" w:eastAsia="zh-CN"/>
              </w:rPr>
              <w:t>文件的相关内容</w:t>
            </w:r>
            <w:r>
              <w:rPr>
                <w:rFonts w:hint="eastAsia" w:ascii="宋体" w:hAnsi="宋体" w:eastAsia="宋体" w:cs="宋体"/>
                <w:i w:val="0"/>
                <w:iCs w:val="0"/>
                <w:color w:val="auto"/>
                <w:sz w:val="21"/>
                <w:szCs w:val="21"/>
                <w:highlight w:val="none"/>
                <w:lang w:eastAsia="zh-CN"/>
              </w:rPr>
              <w:t>】</w:t>
            </w:r>
          </w:p>
        </w:tc>
        <w:tc>
          <w:tcPr>
            <w:tcW w:w="407" w:type="pct"/>
            <w:noWrap w:val="0"/>
            <w:vAlign w:val="center"/>
          </w:tcPr>
          <w:p w14:paraId="7AC0423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160B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501E13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p>
        </w:tc>
        <w:tc>
          <w:tcPr>
            <w:tcW w:w="1360" w:type="pct"/>
            <w:noWrap w:val="0"/>
            <w:vAlign w:val="center"/>
          </w:tcPr>
          <w:p w14:paraId="65BB59B1">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rPr>
            </w:pPr>
            <w:r>
              <w:rPr>
                <w:rFonts w:hint="default"/>
                <w:snapToGrid w:val="0"/>
                <w:color w:val="auto"/>
                <w:sz w:val="21"/>
                <w:szCs w:val="21"/>
                <w:highlight w:val="none"/>
                <w:shd w:val="clear" w:color="auto" w:fill="auto"/>
                <w:lang w:val="en-US" w:eastAsia="zh-CN"/>
              </w:rPr>
              <w:t>交货期</w:t>
            </w:r>
          </w:p>
        </w:tc>
        <w:tc>
          <w:tcPr>
            <w:tcW w:w="1768" w:type="pct"/>
            <w:noWrap w:val="0"/>
            <w:vAlign w:val="center"/>
          </w:tcPr>
          <w:p w14:paraId="0AAF3A88">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88" w:type="pct"/>
            <w:noWrap w:val="0"/>
            <w:vAlign w:val="center"/>
          </w:tcPr>
          <w:p w14:paraId="0ED460E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79B8A0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6CBB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28CC6CF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p>
        </w:tc>
        <w:tc>
          <w:tcPr>
            <w:tcW w:w="1360" w:type="pct"/>
            <w:noWrap w:val="0"/>
            <w:vAlign w:val="center"/>
          </w:tcPr>
          <w:p w14:paraId="1C9AFC62">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1768" w:type="pct"/>
            <w:noWrap w:val="0"/>
            <w:vAlign w:val="center"/>
          </w:tcPr>
          <w:p w14:paraId="46223A2E">
            <w:pPr>
              <w:pStyle w:val="45"/>
              <w:shd w:val="clear"/>
              <w:jc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88" w:type="pct"/>
            <w:noWrap w:val="0"/>
            <w:vAlign w:val="center"/>
          </w:tcPr>
          <w:p w14:paraId="5A56FEB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135B649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F3F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3FE9665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w:t>
            </w:r>
          </w:p>
        </w:tc>
        <w:tc>
          <w:tcPr>
            <w:tcW w:w="1360" w:type="pct"/>
            <w:noWrap w:val="0"/>
            <w:vAlign w:val="center"/>
          </w:tcPr>
          <w:p w14:paraId="66957625">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1768" w:type="pct"/>
            <w:noWrap w:val="0"/>
            <w:vAlign w:val="center"/>
          </w:tcPr>
          <w:p w14:paraId="5FCDF232">
            <w:pPr>
              <w:pStyle w:val="45"/>
              <w:shd w:val="clear"/>
              <w:jc w:val="left"/>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88" w:type="pct"/>
            <w:noWrap w:val="0"/>
            <w:vAlign w:val="center"/>
          </w:tcPr>
          <w:p w14:paraId="56E63EA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3CC63F8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BA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727A18F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w:t>
            </w:r>
          </w:p>
        </w:tc>
        <w:tc>
          <w:tcPr>
            <w:tcW w:w="1360" w:type="pct"/>
            <w:noWrap w:val="0"/>
            <w:vAlign w:val="center"/>
          </w:tcPr>
          <w:p w14:paraId="20EF89DA">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1768" w:type="pct"/>
            <w:noWrap w:val="0"/>
            <w:vAlign w:val="center"/>
          </w:tcPr>
          <w:p w14:paraId="2C049B56">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88" w:type="pct"/>
            <w:noWrap w:val="0"/>
            <w:vAlign w:val="center"/>
          </w:tcPr>
          <w:p w14:paraId="419B9AA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5A561DC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578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1BF7767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6</w:t>
            </w:r>
          </w:p>
        </w:tc>
        <w:tc>
          <w:tcPr>
            <w:tcW w:w="1360" w:type="pct"/>
            <w:noWrap w:val="0"/>
            <w:vAlign w:val="center"/>
          </w:tcPr>
          <w:p w14:paraId="744B405B">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rPr>
            </w:pPr>
            <w:r>
              <w:rPr>
                <w:rFonts w:hint="eastAsia" w:cs="宋体"/>
                <w:color w:val="auto"/>
                <w:kern w:val="2"/>
                <w:sz w:val="21"/>
                <w:szCs w:val="21"/>
                <w:highlight w:val="none"/>
                <w:shd w:val="clear" w:color="auto" w:fill="auto"/>
                <w:lang w:val="en-US" w:eastAsia="zh-CN" w:bidi="ar-SA"/>
              </w:rPr>
              <w:t>技术要求</w:t>
            </w:r>
          </w:p>
        </w:tc>
        <w:tc>
          <w:tcPr>
            <w:tcW w:w="1768" w:type="pct"/>
            <w:noWrap w:val="0"/>
            <w:vAlign w:val="center"/>
          </w:tcPr>
          <w:p w14:paraId="1E3501D9">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88" w:type="pct"/>
            <w:noWrap w:val="0"/>
            <w:vAlign w:val="center"/>
          </w:tcPr>
          <w:p w14:paraId="2A85F15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61702B2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bl>
    <w:p w14:paraId="196EFD82">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DFE4AA9">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73C7580B">
      <w:pP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注：“实质性响应一览表”中的内容为参考，可根据项目情况自行设置。</w:t>
      </w:r>
    </w:p>
    <w:p w14:paraId="6A6F6B05">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33CEC3C">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7E1CE7D6">
      <w:pPr>
        <w:rPr>
          <w:rFonts w:hint="eastAsia"/>
          <w:color w:val="auto"/>
          <w:highlight w:val="none"/>
          <w:lang w:val="en-US" w:eastAsia="zh-CN"/>
        </w:rPr>
      </w:pPr>
    </w:p>
    <w:p w14:paraId="7650F07A">
      <w:pPr>
        <w:rPr>
          <w:rFonts w:hint="eastAsia" w:ascii="宋体" w:hAnsi="宋体" w:eastAsia="宋体" w:cs="宋体"/>
          <w:b/>
          <w:bCs/>
          <w:color w:val="auto"/>
          <w:kern w:val="2"/>
          <w:sz w:val="24"/>
          <w:szCs w:val="24"/>
          <w:highlight w:val="none"/>
          <w:lang w:val="en-US" w:eastAsia="zh-CN" w:bidi="ar-SA"/>
        </w:rPr>
      </w:pPr>
      <w:bookmarkStart w:id="496" w:name="_Toc7219"/>
      <w:r>
        <w:rPr>
          <w:rFonts w:hint="eastAsia" w:ascii="宋体" w:hAnsi="宋体" w:eastAsia="宋体" w:cs="宋体"/>
          <w:b/>
          <w:bCs/>
          <w:color w:val="auto"/>
          <w:kern w:val="2"/>
          <w:sz w:val="24"/>
          <w:szCs w:val="24"/>
          <w:highlight w:val="none"/>
          <w:lang w:val="en-US" w:eastAsia="zh-CN" w:bidi="ar-SA"/>
        </w:rPr>
        <w:br w:type="page"/>
      </w:r>
    </w:p>
    <w:p w14:paraId="3D420025">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en-US" w:eastAsia="zh-CN" w:bidi="ar-SA"/>
        </w:rPr>
        <w:t>（三）</w:t>
      </w:r>
      <w:r>
        <w:rPr>
          <w:rFonts w:hint="eastAsia" w:cs="宋体"/>
          <w:b/>
          <w:bCs/>
          <w:color w:val="auto"/>
          <w:kern w:val="2"/>
          <w:sz w:val="24"/>
          <w:szCs w:val="24"/>
          <w:highlight w:val="none"/>
          <w:lang w:val="en-US" w:eastAsia="zh-CN" w:bidi="ar-SA"/>
        </w:rPr>
        <w:t>商务技术</w:t>
      </w:r>
      <w:r>
        <w:rPr>
          <w:rFonts w:hint="eastAsia" w:ascii="宋体" w:hAnsi="宋体" w:eastAsia="宋体" w:cs="宋体"/>
          <w:b/>
          <w:bCs/>
          <w:color w:val="auto"/>
          <w:kern w:val="2"/>
          <w:sz w:val="24"/>
          <w:szCs w:val="24"/>
          <w:highlight w:val="none"/>
          <w:lang w:val="zh-CN" w:eastAsia="zh-CN" w:bidi="ar-SA"/>
        </w:rPr>
        <w:t>评</w:t>
      </w:r>
      <w:r>
        <w:rPr>
          <w:rFonts w:hint="eastAsia" w:cs="宋体"/>
          <w:b/>
          <w:bCs/>
          <w:color w:val="auto"/>
          <w:kern w:val="2"/>
          <w:sz w:val="24"/>
          <w:szCs w:val="24"/>
          <w:highlight w:val="none"/>
          <w:lang w:val="en-US" w:eastAsia="zh-CN" w:bidi="ar-SA"/>
        </w:rPr>
        <w:t>审</w:t>
      </w:r>
      <w:bookmarkEnd w:id="494"/>
      <w:bookmarkEnd w:id="496"/>
    </w:p>
    <w:p w14:paraId="756FB9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谈判小组根据本章的评审标准以及谈判文件实质性变动的内容，按谈判文件要求对修正后的响应文件进行商务技术评审，未实质性响应谈判文件要求的响应文件按无效响应处理。</w:t>
      </w:r>
    </w:p>
    <w:p w14:paraId="7858DB0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 xml:space="preserve">   /</w:t>
      </w:r>
    </w:p>
    <w:p w14:paraId="12B23B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报价评审</w:t>
      </w:r>
    </w:p>
    <w:tbl>
      <w:tblPr>
        <w:tblStyle w:val="28"/>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161"/>
        <w:gridCol w:w="6062"/>
      </w:tblGrid>
      <w:tr w14:paraId="4294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97" w:type="pct"/>
            <w:gridSpan w:val="2"/>
            <w:shd w:val="clear" w:color="auto" w:fill="auto"/>
            <w:vAlign w:val="center"/>
          </w:tcPr>
          <w:p w14:paraId="461B3465">
            <w:pPr>
              <w:pStyle w:val="45"/>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评审项目</w:t>
            </w:r>
          </w:p>
        </w:tc>
        <w:tc>
          <w:tcPr>
            <w:tcW w:w="3602" w:type="pct"/>
            <w:shd w:val="clear" w:color="auto" w:fill="auto"/>
            <w:vAlign w:val="center"/>
          </w:tcPr>
          <w:p w14:paraId="7189BDF0">
            <w:pPr>
              <w:pStyle w:val="45"/>
              <w:jc w:val="center"/>
              <w:rPr>
                <w:rFonts w:hint="eastAsia" w:ascii="宋体" w:hAnsi="宋体" w:eastAsia="宋体" w:cs="宋体"/>
                <w:color w:val="auto"/>
                <w:kern w:val="2"/>
                <w:sz w:val="21"/>
                <w:szCs w:val="21"/>
                <w:highlight w:val="none"/>
                <w:lang w:val="en-US" w:eastAsia="zh-CN" w:bidi="ar-SA"/>
              </w:rPr>
            </w:pPr>
            <w:r>
              <w:rPr>
                <w:rFonts w:hint="eastAsia" w:cs="宋体"/>
                <w:b/>
                <w:bCs/>
                <w:color w:val="auto"/>
                <w:sz w:val="21"/>
                <w:szCs w:val="21"/>
                <w:highlight w:val="none"/>
                <w:lang w:val="en-US" w:eastAsia="zh-CN"/>
              </w:rPr>
              <w:t>评审标准及要求</w:t>
            </w:r>
          </w:p>
        </w:tc>
      </w:tr>
      <w:tr w14:paraId="374E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7" w:type="pct"/>
            <w:shd w:val="clear" w:color="auto" w:fill="auto"/>
            <w:vAlign w:val="center"/>
          </w:tcPr>
          <w:p w14:paraId="0163FD9C">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价格</w:t>
            </w:r>
            <w:r>
              <w:rPr>
                <w:rFonts w:hint="eastAsia" w:cs="宋体"/>
                <w:color w:val="auto"/>
                <w:sz w:val="21"/>
                <w:szCs w:val="21"/>
                <w:highlight w:val="none"/>
                <w:lang w:val="en-US" w:eastAsia="zh-CN"/>
              </w:rPr>
              <w:t>评审</w:t>
            </w:r>
          </w:p>
        </w:tc>
        <w:tc>
          <w:tcPr>
            <w:tcW w:w="689" w:type="pct"/>
            <w:tcBorders>
              <w:top w:val="single" w:color="auto" w:sz="4" w:space="0"/>
            </w:tcBorders>
            <w:shd w:val="clear" w:color="auto" w:fill="auto"/>
            <w:vAlign w:val="center"/>
          </w:tcPr>
          <w:p w14:paraId="42B70C88">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w:t>
            </w:r>
          </w:p>
        </w:tc>
        <w:tc>
          <w:tcPr>
            <w:tcW w:w="3602" w:type="pct"/>
            <w:shd w:val="clear" w:color="auto" w:fill="auto"/>
            <w:vAlign w:val="center"/>
          </w:tcPr>
          <w:p w14:paraId="747D8086">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满足竞争性</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rPr>
              <w:t>文件要求</w:t>
            </w:r>
            <w:r>
              <w:rPr>
                <w:rFonts w:hint="eastAsia" w:cs="宋体"/>
                <w:color w:val="auto"/>
                <w:sz w:val="21"/>
                <w:szCs w:val="21"/>
                <w:highlight w:val="none"/>
                <w:lang w:val="en-US" w:eastAsia="zh-CN"/>
              </w:rPr>
              <w:t>的供应商按</w:t>
            </w: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zh-CN"/>
              </w:rPr>
              <w:t>由低到高顺序排列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报价相同</w:t>
            </w:r>
            <w:r>
              <w:rPr>
                <w:rFonts w:hint="eastAsia" w:cs="宋体"/>
                <w:color w:val="auto"/>
                <w:sz w:val="21"/>
                <w:szCs w:val="21"/>
                <w:highlight w:val="none"/>
                <w:lang w:val="en-US" w:eastAsia="zh-CN"/>
              </w:rPr>
              <w:t>并列的</w:t>
            </w:r>
            <w:r>
              <w:rPr>
                <w:rFonts w:hint="eastAsia" w:ascii="宋体" w:hAnsi="宋体" w:eastAsia="宋体" w:cs="宋体"/>
                <w:color w:val="auto"/>
                <w:sz w:val="21"/>
                <w:szCs w:val="21"/>
                <w:highlight w:val="none"/>
                <w:lang w:val="en-US" w:eastAsia="zh-CN"/>
              </w:rPr>
              <w:t>按照“供应商须知前附表”的规定排序。</w:t>
            </w:r>
          </w:p>
          <w:p w14:paraId="29CEECA4">
            <w:pPr>
              <w:pStyle w:val="45"/>
              <w:rPr>
                <w:rFonts w:hint="eastAsia" w:ascii="宋体" w:hAnsi="宋体" w:eastAsia="宋体" w:cs="宋体"/>
                <w:color w:val="auto"/>
                <w:sz w:val="21"/>
                <w:szCs w:val="21"/>
                <w:highlight w:val="none"/>
              </w:rPr>
            </w:pPr>
          </w:p>
          <w:p w14:paraId="24BC5FEC">
            <w:pPr>
              <w:pStyle w:val="4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备注：符合供应商须知中价格扣除规定的，在评审时予以价格扣除，用扣除后的</w:t>
            </w:r>
            <w:r>
              <w:rPr>
                <w:rFonts w:hint="eastAsia" w:ascii="宋体" w:hAnsi="宋体" w:eastAsia="宋体" w:cs="宋体"/>
                <w:color w:val="auto"/>
                <w:sz w:val="21"/>
                <w:szCs w:val="21"/>
                <w:highlight w:val="none"/>
                <w:lang w:val="en-US" w:eastAsia="zh-CN"/>
              </w:rPr>
              <w:t>最后报价</w:t>
            </w:r>
            <w:r>
              <w:rPr>
                <w:rFonts w:hint="eastAsia" w:ascii="宋体" w:hAnsi="宋体" w:eastAsia="宋体" w:cs="宋体"/>
                <w:color w:val="auto"/>
                <w:sz w:val="21"/>
                <w:szCs w:val="21"/>
                <w:highlight w:val="none"/>
              </w:rPr>
              <w:t>参与评审。</w:t>
            </w:r>
          </w:p>
        </w:tc>
      </w:tr>
    </w:tbl>
    <w:p w14:paraId="59EC86DB">
      <w:pPr>
        <w:rPr>
          <w:rFonts w:hint="eastAsia"/>
          <w:color w:val="auto"/>
          <w:highlight w:val="none"/>
          <w:lang w:val="en-US" w:eastAsia="zh-CN"/>
        </w:rPr>
      </w:pPr>
    </w:p>
    <w:p w14:paraId="7C8D1B95">
      <w:pPr>
        <w:rPr>
          <w:rFonts w:hint="eastAsia" w:ascii="宋体" w:hAnsi="宋体" w:eastAsia="宋体" w:cs="宋体"/>
          <w:b/>
          <w:bCs/>
          <w:color w:val="auto"/>
          <w:kern w:val="44"/>
          <w:sz w:val="36"/>
          <w:szCs w:val="36"/>
          <w:highlight w:val="none"/>
          <w:lang w:val="en-US" w:eastAsia="zh-CN" w:bidi="ar-SA"/>
        </w:rPr>
      </w:pPr>
      <w:bookmarkStart w:id="497" w:name="_Toc29904"/>
      <w:bookmarkStart w:id="498" w:name="_Toc6370"/>
    </w:p>
    <w:p w14:paraId="05530484">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2419524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en-US" w:eastAsia="zh-CN" w:bidi="ar-SA"/>
        </w:rPr>
        <w:t xml:space="preserve">第五章 </w:t>
      </w:r>
      <w:r>
        <w:rPr>
          <w:rFonts w:hint="eastAsia" w:ascii="宋体" w:hAnsi="宋体" w:eastAsia="宋体" w:cs="宋体"/>
          <w:b/>
          <w:bCs/>
          <w:color w:val="auto"/>
          <w:kern w:val="44"/>
          <w:sz w:val="36"/>
          <w:szCs w:val="36"/>
          <w:highlight w:val="none"/>
          <w:lang w:val="zh-CN" w:eastAsia="zh-CN" w:bidi="ar-SA"/>
        </w:rPr>
        <w:t>合同草案</w:t>
      </w:r>
      <w:bookmarkEnd w:id="497"/>
      <w:bookmarkEnd w:id="498"/>
    </w:p>
    <w:p w14:paraId="0F73DEB3">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53FD5DE">
      <w:pPr>
        <w:pStyle w:val="11"/>
        <w:spacing w:after="0"/>
        <w:jc w:val="center"/>
        <w:rPr>
          <w:rFonts w:ascii="宋体" w:hAnsi="宋体" w:cs="宋体"/>
          <w:b/>
          <w:bCs/>
          <w:color w:val="auto"/>
          <w:spacing w:val="-20"/>
          <w:kern w:val="44"/>
          <w:sz w:val="48"/>
          <w:szCs w:val="48"/>
          <w:highlight w:val="none"/>
        </w:rPr>
      </w:pPr>
      <w:bookmarkStart w:id="499" w:name="_Toc3995"/>
    </w:p>
    <w:p w14:paraId="0CF1DA89">
      <w:pPr>
        <w:spacing w:line="264" w:lineRule="auto"/>
        <w:jc w:val="center"/>
        <w:rPr>
          <w:rFonts w:hint="eastAsia" w:ascii="宋体" w:hAnsi="宋体" w:eastAsia="宋体" w:cs="宋体"/>
          <w:b/>
          <w:iCs/>
          <w:sz w:val="32"/>
          <w:szCs w:val="32"/>
        </w:rPr>
      </w:pPr>
      <w:r>
        <w:rPr>
          <w:rFonts w:hint="eastAsia" w:ascii="宋体" w:hAnsi="宋体" w:eastAsia="宋体" w:cs="宋体"/>
          <w:b/>
          <w:iCs/>
          <w:sz w:val="32"/>
          <w:szCs w:val="32"/>
        </w:rPr>
        <w:t>新疆医科大学第一附属医院购置</w:t>
      </w:r>
    </w:p>
    <w:p w14:paraId="48E125D2">
      <w:pPr>
        <w:spacing w:line="264" w:lineRule="auto"/>
        <w:jc w:val="center"/>
        <w:rPr>
          <w:rFonts w:hint="eastAsia" w:ascii="宋体" w:hAnsi="宋体" w:eastAsia="宋体" w:cs="宋体"/>
          <w:sz w:val="32"/>
          <w:szCs w:val="32"/>
        </w:rPr>
      </w:pPr>
    </w:p>
    <w:p w14:paraId="4664C1C5">
      <w:pPr>
        <w:spacing w:line="264" w:lineRule="auto"/>
        <w:jc w:val="center"/>
        <w:rPr>
          <w:rFonts w:hint="eastAsia" w:ascii="宋体" w:hAnsi="宋体" w:eastAsia="宋体" w:cs="宋体"/>
          <w:b/>
          <w:sz w:val="32"/>
          <w:szCs w:val="32"/>
        </w:rPr>
      </w:pPr>
      <w:r>
        <w:rPr>
          <w:rFonts w:hint="eastAsia" w:ascii="宋体" w:hAnsi="宋体" w:eastAsia="宋体" w:cs="宋体"/>
          <w:b/>
          <w:sz w:val="32"/>
          <w:szCs w:val="32"/>
        </w:rPr>
        <w:t>（设备名称）</w:t>
      </w:r>
    </w:p>
    <w:p w14:paraId="70E43B37">
      <w:pPr>
        <w:spacing w:line="264" w:lineRule="auto"/>
        <w:rPr>
          <w:rFonts w:hint="eastAsia" w:ascii="宋体" w:hAnsi="宋体" w:eastAsia="宋体" w:cs="宋体"/>
          <w:sz w:val="32"/>
          <w:szCs w:val="32"/>
        </w:rPr>
      </w:pPr>
    </w:p>
    <w:p w14:paraId="6E85B8DA">
      <w:pPr>
        <w:spacing w:line="264" w:lineRule="auto"/>
        <w:rPr>
          <w:rFonts w:hint="eastAsia" w:ascii="宋体" w:hAnsi="宋体" w:eastAsia="宋体" w:cs="宋体"/>
          <w:sz w:val="32"/>
          <w:szCs w:val="32"/>
        </w:rPr>
      </w:pPr>
    </w:p>
    <w:p w14:paraId="1D004A93">
      <w:pPr>
        <w:spacing w:line="264" w:lineRule="auto"/>
        <w:jc w:val="center"/>
        <w:rPr>
          <w:rFonts w:hint="eastAsia" w:ascii="宋体" w:hAnsi="宋体" w:eastAsia="宋体" w:cs="宋体"/>
          <w:b/>
          <w:sz w:val="32"/>
          <w:szCs w:val="32"/>
        </w:rPr>
      </w:pPr>
      <w:r>
        <w:rPr>
          <w:rFonts w:hint="eastAsia" w:ascii="宋体" w:hAnsi="宋体" w:eastAsia="宋体" w:cs="宋体"/>
          <w:b/>
          <w:sz w:val="32"/>
          <w:szCs w:val="32"/>
        </w:rPr>
        <w:t>销  售  合  同</w:t>
      </w:r>
    </w:p>
    <w:p w14:paraId="2B885500">
      <w:pPr>
        <w:spacing w:line="264" w:lineRule="auto"/>
        <w:jc w:val="center"/>
        <w:rPr>
          <w:rFonts w:hint="eastAsia" w:ascii="宋体" w:hAnsi="宋体" w:eastAsia="宋体" w:cs="宋体"/>
          <w:sz w:val="32"/>
          <w:szCs w:val="32"/>
        </w:rPr>
      </w:pPr>
    </w:p>
    <w:p w14:paraId="086916A3">
      <w:pPr>
        <w:spacing w:line="264" w:lineRule="auto"/>
        <w:jc w:val="center"/>
        <w:rPr>
          <w:rFonts w:hint="eastAsia" w:ascii="宋体" w:hAnsi="宋体" w:eastAsia="宋体" w:cs="宋体"/>
          <w:sz w:val="32"/>
          <w:szCs w:val="32"/>
        </w:rPr>
      </w:pPr>
    </w:p>
    <w:p w14:paraId="55F16C58">
      <w:pPr>
        <w:spacing w:line="264" w:lineRule="auto"/>
        <w:jc w:val="center"/>
        <w:rPr>
          <w:rFonts w:hint="eastAsia" w:ascii="宋体" w:hAnsi="宋体" w:eastAsia="宋体" w:cs="宋体"/>
          <w:sz w:val="32"/>
          <w:szCs w:val="32"/>
        </w:rPr>
      </w:pPr>
    </w:p>
    <w:p w14:paraId="66A2BADD">
      <w:pPr>
        <w:spacing w:line="264" w:lineRule="auto"/>
        <w:ind w:firstLine="1285" w:firstLineChars="400"/>
        <w:rPr>
          <w:rFonts w:hint="eastAsia" w:ascii="宋体" w:hAnsi="宋体" w:eastAsia="宋体" w:cs="宋体"/>
          <w:b/>
          <w:sz w:val="32"/>
          <w:szCs w:val="32"/>
          <w:u w:val="single"/>
        </w:rPr>
      </w:pPr>
      <w:r>
        <w:rPr>
          <w:rFonts w:hint="eastAsia" w:ascii="宋体" w:hAnsi="宋体" w:eastAsia="宋体" w:cs="宋体"/>
          <w:b/>
          <w:sz w:val="32"/>
          <w:szCs w:val="32"/>
        </w:rPr>
        <w:t>甲方（买方）</w:t>
      </w:r>
      <w:r>
        <w:rPr>
          <w:rFonts w:hint="eastAsia" w:ascii="宋体" w:hAnsi="宋体" w:eastAsia="宋体" w:cs="宋体"/>
          <w:sz w:val="32"/>
          <w:szCs w:val="32"/>
        </w:rPr>
        <w:t>：</w:t>
      </w:r>
      <w:r>
        <w:rPr>
          <w:rFonts w:hint="eastAsia" w:ascii="宋体" w:hAnsi="宋体" w:eastAsia="宋体" w:cs="宋体"/>
          <w:b/>
          <w:sz w:val="32"/>
          <w:szCs w:val="32"/>
          <w:u w:val="single"/>
        </w:rPr>
        <w:t>新疆医科大学第一附属医院</w:t>
      </w:r>
    </w:p>
    <w:p w14:paraId="004ECBE4">
      <w:pPr>
        <w:spacing w:line="264" w:lineRule="auto"/>
        <w:ind w:firstLine="1280" w:firstLineChars="400"/>
        <w:rPr>
          <w:rFonts w:hint="eastAsia" w:ascii="宋体" w:hAnsi="宋体" w:eastAsia="宋体" w:cs="宋体"/>
          <w:sz w:val="32"/>
          <w:szCs w:val="32"/>
        </w:rPr>
      </w:pPr>
    </w:p>
    <w:p w14:paraId="56C187A5">
      <w:pPr>
        <w:spacing w:line="264" w:lineRule="auto"/>
        <w:ind w:firstLine="1285" w:firstLineChars="400"/>
        <w:rPr>
          <w:rFonts w:hint="eastAsia" w:ascii="宋体" w:hAnsi="宋体" w:eastAsia="宋体" w:cs="宋体"/>
          <w:sz w:val="32"/>
          <w:szCs w:val="32"/>
        </w:rPr>
      </w:pPr>
      <w:r>
        <w:rPr>
          <w:rFonts w:hint="eastAsia" w:ascii="宋体" w:hAnsi="宋体" w:eastAsia="宋体" w:cs="宋体"/>
          <w:b/>
          <w:sz w:val="32"/>
          <w:szCs w:val="32"/>
        </w:rPr>
        <w:t>乙方（卖方）：</w:t>
      </w:r>
      <w:r>
        <w:rPr>
          <w:rFonts w:hint="eastAsia" w:ascii="宋体" w:hAnsi="宋体" w:eastAsia="宋体" w:cs="宋体"/>
          <w:b/>
          <w:sz w:val="32"/>
          <w:szCs w:val="32"/>
          <w:u w:val="single"/>
        </w:rPr>
        <w:t xml:space="preserve">                             </w:t>
      </w:r>
    </w:p>
    <w:p w14:paraId="5AE4841C">
      <w:pPr>
        <w:spacing w:line="264" w:lineRule="auto"/>
        <w:ind w:firstLine="1280" w:firstLineChars="400"/>
        <w:rPr>
          <w:rFonts w:hint="eastAsia" w:ascii="宋体" w:hAnsi="宋体" w:eastAsia="宋体" w:cs="宋体"/>
          <w:sz w:val="32"/>
          <w:szCs w:val="32"/>
        </w:rPr>
      </w:pPr>
    </w:p>
    <w:p w14:paraId="5EC3DB15">
      <w:pPr>
        <w:spacing w:line="264" w:lineRule="auto"/>
        <w:ind w:firstLine="1285" w:firstLineChars="400"/>
        <w:rPr>
          <w:rFonts w:hint="eastAsia" w:ascii="宋体" w:hAnsi="宋体" w:eastAsia="宋体" w:cs="宋体"/>
          <w:b/>
          <w:sz w:val="32"/>
          <w:szCs w:val="32"/>
        </w:rPr>
      </w:pPr>
      <w:r>
        <w:rPr>
          <w:rFonts w:hint="eastAsia" w:ascii="宋体" w:hAnsi="宋体" w:eastAsia="宋体" w:cs="宋体"/>
          <w:b/>
          <w:sz w:val="32"/>
          <w:szCs w:val="32"/>
        </w:rPr>
        <w:t>合 同 编 号：</w:t>
      </w:r>
    </w:p>
    <w:p w14:paraId="6F2F73BA">
      <w:pPr>
        <w:spacing w:line="264" w:lineRule="auto"/>
        <w:ind w:firstLine="630" w:firstLineChars="196"/>
        <w:rPr>
          <w:rFonts w:hint="eastAsia" w:ascii="宋体" w:hAnsi="宋体" w:eastAsia="宋体" w:cs="宋体"/>
          <w:b/>
          <w:color w:val="FF00FF"/>
          <w:sz w:val="32"/>
          <w:szCs w:val="32"/>
        </w:rPr>
      </w:pPr>
    </w:p>
    <w:p w14:paraId="031B88CB">
      <w:pPr>
        <w:spacing w:line="264" w:lineRule="auto"/>
        <w:ind w:firstLine="643" w:firstLineChars="200"/>
        <w:rPr>
          <w:rFonts w:hint="eastAsia" w:ascii="宋体" w:hAnsi="宋体" w:eastAsia="宋体" w:cs="宋体"/>
          <w:b/>
          <w:bCs/>
          <w:sz w:val="32"/>
          <w:szCs w:val="32"/>
        </w:rPr>
      </w:pPr>
    </w:p>
    <w:p w14:paraId="67C8A65E">
      <w:pPr>
        <w:spacing w:line="264" w:lineRule="auto"/>
        <w:jc w:val="center"/>
        <w:rPr>
          <w:rFonts w:hint="eastAsia" w:ascii="宋体" w:hAnsi="宋体" w:eastAsia="宋体" w:cs="宋体"/>
          <w:b/>
          <w:sz w:val="32"/>
          <w:szCs w:val="32"/>
        </w:rPr>
      </w:pPr>
      <w:r>
        <w:rPr>
          <w:rFonts w:hint="eastAsia" w:ascii="宋体" w:hAnsi="宋体" w:eastAsia="宋体" w:cs="宋体"/>
          <w:b/>
          <w:sz w:val="32"/>
          <w:szCs w:val="32"/>
        </w:rPr>
        <w:t xml:space="preserve">    年   月   日</w:t>
      </w:r>
    </w:p>
    <w:p w14:paraId="25886BA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销 售 合 同</w:t>
      </w:r>
    </w:p>
    <w:p w14:paraId="7E10B350">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甲方：新疆医科大学第一附属医院</w:t>
      </w:r>
    </w:p>
    <w:p w14:paraId="45D03262">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乙方：</w:t>
      </w:r>
    </w:p>
    <w:p w14:paraId="0E0D87AA">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设备并由乙方提供相关服务事宜，达成一致，协议如下：</w:t>
      </w:r>
    </w:p>
    <w:p w14:paraId="472C63E6">
      <w:pPr>
        <w:numPr>
          <w:ilvl w:val="0"/>
          <w:numId w:val="2"/>
        </w:num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设备名称、规格（型号）、数量</w:t>
      </w:r>
      <w:r>
        <w:rPr>
          <w:rFonts w:hint="eastAsia" w:ascii="宋体" w:hAnsi="宋体" w:eastAsia="宋体" w:cs="宋体"/>
          <w:b w:val="0"/>
          <w:bCs/>
          <w:sz w:val="24"/>
          <w:szCs w:val="24"/>
          <w:lang w:val="en-US" w:eastAsia="zh-CN"/>
        </w:rPr>
        <w:t>详见下表</w:t>
      </w:r>
    </w:p>
    <w:tbl>
      <w:tblPr>
        <w:tblStyle w:val="28"/>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2392792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94D947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84FFB2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28167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A1518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规格</w:t>
            </w:r>
          </w:p>
          <w:p w14:paraId="5014E4A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54181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9727C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DDEED4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含税单价</w:t>
            </w:r>
          </w:p>
          <w:p w14:paraId="7F2008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0ED081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合计金额</w:t>
            </w:r>
          </w:p>
          <w:p w14:paraId="142AB6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09EF94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备注</w:t>
            </w:r>
          </w:p>
        </w:tc>
      </w:tr>
      <w:tr w14:paraId="606D27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4C2900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F5011E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C5D1E3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13254E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0BB310E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632977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79A58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EA577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FD23B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p>
        </w:tc>
      </w:tr>
      <w:tr w14:paraId="5C4A54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3658B5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4E863D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FE857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AAD50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61AE5B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6E7A02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9CEAC7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437C38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72CD8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p>
        </w:tc>
      </w:tr>
      <w:tr w14:paraId="4D39C7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358B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02E2B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4CDBBA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7B496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6C7A58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9FAFA5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560A8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A547AD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76A09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p>
        </w:tc>
      </w:tr>
      <w:tr w14:paraId="188043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42E51D80">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总计：人民币（大写）     元整                 （小写）     元</w:t>
            </w:r>
          </w:p>
        </w:tc>
      </w:tr>
    </w:tbl>
    <w:p w14:paraId="41E9CD84">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本合同为</w:t>
      </w:r>
      <w:r>
        <w:rPr>
          <w:rFonts w:hint="eastAsia" w:ascii="宋体" w:hAnsi="宋体" w:eastAsia="宋体" w:cs="宋体"/>
          <w:b w:val="0"/>
          <w:bCs/>
          <w:i w:val="0"/>
          <w:iCs w:val="0"/>
          <w:color w:val="auto"/>
          <w:sz w:val="24"/>
          <w:szCs w:val="24"/>
          <w:u w:val="single"/>
          <w:lang w:val="en-US" w:eastAsia="zh-CN"/>
        </w:rPr>
        <w:t>固定总价/固定单价</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上述合同</w:t>
      </w:r>
      <w:r>
        <w:rPr>
          <w:rFonts w:hint="eastAsia" w:ascii="宋体" w:hAnsi="宋体" w:eastAsia="宋体" w:cs="宋体"/>
          <w:b w:val="0"/>
          <w:bCs/>
          <w:color w:val="auto"/>
          <w:sz w:val="24"/>
          <w:szCs w:val="24"/>
          <w:lang w:val="en-US" w:eastAsia="zh-CN"/>
        </w:rPr>
        <w:t>价格</w:t>
      </w:r>
      <w:r>
        <w:rPr>
          <w:rFonts w:hint="eastAsia" w:ascii="宋体" w:hAnsi="宋体" w:eastAsia="宋体" w:cs="宋体"/>
          <w:b w:val="0"/>
          <w:bCs/>
          <w:color w:val="auto"/>
          <w:sz w:val="24"/>
          <w:szCs w:val="24"/>
        </w:rPr>
        <w:t>包括但不限于以下全部项目：货物供给、货物包装、运输费、装卸费、安装调试费、税金、相关手续费、保修费和保险等的全部费用。乙方应保证甲方除支付合同约定货款之外无需再行支付其他任何费用和款项。</w:t>
      </w:r>
    </w:p>
    <w:p w14:paraId="18057104">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价格清单表是基于乙方在完全理解本项目材料所需为前提，同时对清单中的名称、规格、材质及数量等有校对的义务，乙方在合同有效期内不得对清单的综合费用提出任何费用的增加。 </w:t>
      </w:r>
    </w:p>
    <w:p w14:paraId="7506E8AE">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3F66421F">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本合同以美元计价，双方明确，按照第一次购汇当日的银行汇卖价，即购汇凭单上的购汇汇率，作为与医院结算的购汇汇率。</w:t>
      </w:r>
      <w:r>
        <w:rPr>
          <w:rFonts w:hint="eastAsia" w:ascii="宋体" w:hAnsi="宋体" w:eastAsia="宋体" w:cs="宋体"/>
          <w:b w:val="0"/>
          <w:bCs/>
          <w:color w:val="auto"/>
          <w:sz w:val="24"/>
          <w:szCs w:val="24"/>
          <w:lang w:val="en-US" w:eastAsia="zh-CN"/>
        </w:rPr>
        <w:t>甲乙双方确认合同总价受开标当日汇率计算的人民币报价限制，超出金额则无效。</w:t>
      </w:r>
    </w:p>
    <w:p w14:paraId="0D742005">
      <w:pPr>
        <w:spacing w:line="360" w:lineRule="auto"/>
        <w:rPr>
          <w:rStyle w:val="33"/>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二、制造商及原产地</w:t>
      </w:r>
    </w:p>
    <w:p w14:paraId="2F739C2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制造商：              </w:t>
      </w:r>
    </w:p>
    <w:p w14:paraId="1DB00F6D">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原产地：</w:t>
      </w:r>
    </w:p>
    <w:p w14:paraId="5EEBB98E">
      <w:pPr>
        <w:spacing w:line="360" w:lineRule="auto"/>
        <w:rPr>
          <w:rFonts w:hint="eastAsia" w:ascii="宋体" w:hAnsi="宋体" w:eastAsia="宋体" w:cs="宋体"/>
          <w:b w:val="0"/>
          <w:bCs/>
          <w:color w:val="auto"/>
          <w:sz w:val="24"/>
          <w:szCs w:val="24"/>
          <w:u w:val="single"/>
        </w:rPr>
      </w:pPr>
      <w:r>
        <w:rPr>
          <w:rFonts w:hint="eastAsia" w:ascii="宋体" w:hAnsi="宋体" w:eastAsia="宋体" w:cs="宋体"/>
          <w:b w:val="0"/>
          <w:bCs/>
          <w:color w:val="auto"/>
          <w:sz w:val="24"/>
          <w:szCs w:val="24"/>
        </w:rPr>
        <w:t>三、系统配置：详见附件</w:t>
      </w:r>
    </w:p>
    <w:p w14:paraId="34E528BC">
      <w:pPr>
        <w:spacing w:line="360" w:lineRule="auto"/>
        <w:ind w:left="422" w:hanging="480" w:hanging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四、随机的必备品、配件、工具及其数量：乙方应按产品说明书和装箱单及出厂要求配备必须的备品、配件和专用工具。</w:t>
      </w:r>
    </w:p>
    <w:p w14:paraId="0435B05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五、交货期、地点、</w:t>
      </w:r>
      <w:r>
        <w:rPr>
          <w:rFonts w:hint="eastAsia" w:ascii="宋体" w:hAnsi="宋体" w:eastAsia="宋体" w:cs="宋体"/>
          <w:b w:val="0"/>
          <w:bCs/>
          <w:color w:val="auto"/>
          <w:sz w:val="24"/>
          <w:szCs w:val="24"/>
          <w:lang w:val="en-US" w:eastAsia="zh-CN"/>
        </w:rPr>
        <w:t>售后服务</w:t>
      </w:r>
      <w:r>
        <w:rPr>
          <w:rFonts w:hint="eastAsia" w:ascii="宋体" w:hAnsi="宋体" w:eastAsia="宋体" w:cs="宋体"/>
          <w:b w:val="0"/>
          <w:bCs/>
          <w:color w:val="auto"/>
          <w:sz w:val="24"/>
          <w:szCs w:val="24"/>
        </w:rPr>
        <w:t>期：</w:t>
      </w:r>
    </w:p>
    <w:p w14:paraId="5822141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a）交货期：自</w:t>
      </w:r>
      <w:r>
        <w:rPr>
          <w:rFonts w:hint="eastAsia" w:cs="宋体"/>
          <w:b w:val="0"/>
          <w:bCs/>
          <w:color w:val="auto"/>
          <w:sz w:val="24"/>
          <w:szCs w:val="24"/>
          <w:lang w:val="en-US" w:eastAsia="zh-CN"/>
        </w:rPr>
        <w:t>收到中标通知书</w:t>
      </w:r>
      <w:r>
        <w:rPr>
          <w:rFonts w:hint="eastAsia" w:ascii="宋体" w:hAnsi="宋体" w:eastAsia="宋体" w:cs="宋体"/>
          <w:b w:val="0"/>
          <w:bCs/>
          <w:color w:val="auto"/>
          <w:sz w:val="24"/>
          <w:szCs w:val="24"/>
        </w:rPr>
        <w:t>之日起</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天内（按</w:t>
      </w:r>
      <w:r>
        <w:rPr>
          <w:rFonts w:hint="eastAsia" w:ascii="宋体" w:hAnsi="宋体" w:eastAsia="宋体" w:cs="宋体"/>
          <w:b w:val="0"/>
          <w:bCs/>
          <w:color w:val="auto"/>
          <w:sz w:val="24"/>
          <w:szCs w:val="24"/>
          <w:lang w:eastAsia="zh-CN"/>
        </w:rPr>
        <w:t>合同签订</w:t>
      </w:r>
      <w:r>
        <w:rPr>
          <w:rFonts w:hint="eastAsia" w:ascii="宋体" w:hAnsi="宋体" w:eastAsia="宋体" w:cs="宋体"/>
          <w:b w:val="0"/>
          <w:bCs/>
          <w:color w:val="auto"/>
          <w:sz w:val="24"/>
          <w:szCs w:val="24"/>
        </w:rPr>
        <w:t>之日算起），将</w:t>
      </w:r>
      <w:r>
        <w:rPr>
          <w:rFonts w:hint="eastAsia" w:ascii="宋体" w:hAnsi="宋体" w:eastAsia="宋体" w:cs="宋体"/>
          <w:b w:val="0"/>
          <w:bCs/>
          <w:color w:val="auto"/>
          <w:sz w:val="24"/>
          <w:szCs w:val="24"/>
          <w:lang w:eastAsia="zh-CN"/>
        </w:rPr>
        <w:t>标的物</w:t>
      </w:r>
      <w:r>
        <w:rPr>
          <w:rFonts w:hint="eastAsia" w:ascii="宋体" w:hAnsi="宋体" w:eastAsia="宋体" w:cs="宋体"/>
          <w:b w:val="0"/>
          <w:bCs/>
          <w:color w:val="auto"/>
          <w:sz w:val="24"/>
          <w:szCs w:val="24"/>
        </w:rPr>
        <w:t>运送至甲方指定地点，并负责完成安装调试，配合甲方完成验收。</w:t>
      </w:r>
    </w:p>
    <w:p w14:paraId="6F1AA84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b）交货地点：甲方指定。</w:t>
      </w:r>
    </w:p>
    <w:p w14:paraId="3993E8EE">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c）</w:t>
      </w:r>
      <w:r>
        <w:rPr>
          <w:rFonts w:hint="eastAsia" w:ascii="宋体" w:hAnsi="宋体" w:eastAsia="宋体" w:cs="宋体"/>
          <w:b w:val="0"/>
          <w:bCs/>
          <w:color w:val="auto"/>
          <w:sz w:val="24"/>
          <w:szCs w:val="24"/>
          <w:lang w:val="en-US" w:eastAsia="zh-CN"/>
        </w:rPr>
        <w:t>保修期</w:t>
      </w:r>
      <w:r>
        <w:rPr>
          <w:rFonts w:hint="eastAsia" w:ascii="宋体" w:hAnsi="宋体" w:eastAsia="宋体" w:cs="宋体"/>
          <w:b w:val="0"/>
          <w:bCs/>
          <w:color w:val="auto"/>
          <w:sz w:val="24"/>
          <w:szCs w:val="24"/>
        </w:rPr>
        <w:t>：系统安装验收合格之日起</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年，</w:t>
      </w:r>
      <w:r>
        <w:rPr>
          <w:rFonts w:hint="eastAsia" w:ascii="宋体" w:hAnsi="宋体" w:eastAsia="宋体" w:cs="宋体"/>
          <w:b w:val="0"/>
          <w:bCs/>
          <w:color w:val="auto"/>
          <w:sz w:val="24"/>
          <w:szCs w:val="24"/>
          <w:lang w:val="en-US" w:eastAsia="zh-CN"/>
        </w:rPr>
        <w:t>乙方</w:t>
      </w:r>
      <w:r>
        <w:rPr>
          <w:rFonts w:hint="eastAsia" w:ascii="宋体" w:hAnsi="宋体" w:eastAsia="宋体" w:cs="宋体"/>
          <w:b w:val="0"/>
          <w:bCs/>
          <w:color w:val="auto"/>
          <w:sz w:val="24"/>
          <w:szCs w:val="24"/>
        </w:rPr>
        <w:t>承担</w:t>
      </w:r>
      <w:r>
        <w:rPr>
          <w:rFonts w:hint="eastAsia" w:ascii="宋体" w:hAnsi="宋体" w:eastAsia="宋体" w:cs="宋体"/>
          <w:b w:val="0"/>
          <w:bCs/>
          <w:color w:val="auto"/>
          <w:sz w:val="24"/>
          <w:szCs w:val="24"/>
          <w:lang w:val="en-US" w:eastAsia="zh-CN"/>
        </w:rPr>
        <w:t>保修期</w:t>
      </w:r>
      <w:r>
        <w:rPr>
          <w:rFonts w:hint="eastAsia" w:ascii="宋体" w:hAnsi="宋体" w:eastAsia="宋体" w:cs="宋体"/>
          <w:b w:val="0"/>
          <w:bCs/>
          <w:color w:val="auto"/>
          <w:sz w:val="24"/>
          <w:szCs w:val="24"/>
        </w:rPr>
        <w:t>内设备任何故障产生的费用。</w:t>
      </w:r>
    </w:p>
    <w:p w14:paraId="643C51CD">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六、售后服务：详见附件，需涵盖以下条款</w:t>
      </w:r>
    </w:p>
    <w:p w14:paraId="63E1FB9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1、保修期间，乙方需提供免费的维修及零配件更换</w:t>
      </w:r>
      <w:r>
        <w:rPr>
          <w:rFonts w:hint="eastAsia" w:ascii="宋体" w:hAnsi="宋体" w:eastAsia="宋体" w:cs="宋体"/>
          <w:b w:val="0"/>
          <w:bCs/>
          <w:color w:val="auto"/>
          <w:sz w:val="24"/>
          <w:szCs w:val="24"/>
          <w:lang w:eastAsia="zh-CN"/>
        </w:rPr>
        <w:t>，提供整机（包含附件）原厂（</w:t>
      </w:r>
      <w:r>
        <w:rPr>
          <w:rFonts w:hint="eastAsia" w:ascii="宋体" w:hAnsi="宋体" w:eastAsia="宋体" w:cs="宋体"/>
          <w:b w:val="0"/>
          <w:bCs/>
          <w:color w:val="auto"/>
          <w:sz w:val="24"/>
          <w:szCs w:val="24"/>
          <w:lang w:val="en-US" w:eastAsia="zh-CN"/>
        </w:rPr>
        <w:t>免费</w:t>
      </w:r>
      <w:r>
        <w:rPr>
          <w:rFonts w:hint="eastAsia" w:ascii="宋体" w:hAnsi="宋体" w:eastAsia="宋体" w:cs="宋体"/>
          <w:b w:val="0"/>
          <w:bCs/>
          <w:color w:val="auto"/>
          <w:sz w:val="24"/>
          <w:szCs w:val="24"/>
          <w:lang w:eastAsia="zh-CN"/>
        </w:rPr>
        <w:t>）保修服务</w:t>
      </w:r>
      <w:r>
        <w:rPr>
          <w:rFonts w:hint="eastAsia" w:ascii="宋体" w:hAnsi="宋体" w:eastAsia="宋体" w:cs="宋体"/>
          <w:b w:val="0"/>
          <w:bCs/>
          <w:color w:val="auto"/>
          <w:sz w:val="24"/>
          <w:szCs w:val="24"/>
        </w:rPr>
        <w:t>；在甲方发出要求服务通知的24小时内，乙方指派的服务人员必须到达用户方现场，对设备出现的较大的问题，解决时间不超过3个日历日。</w:t>
      </w:r>
    </w:p>
    <w:p w14:paraId="60C1015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3C6773F8">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3、设备如出现故障，乙方二小时内回应，二十四小时内排除故障，如一天不能解决处理的，应向甲方提供同类型的应急代用设备，如相同的事故出现两次将无偿更换新机或退回甲方货款。</w:t>
      </w:r>
    </w:p>
    <w:p w14:paraId="5D88540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4、如设备维修调试后达不到合同或招投标文件规定的质量或技术指标要求，甲方有权提出退货，并要求乙方退回货款。</w:t>
      </w:r>
    </w:p>
    <w:p w14:paraId="7059AA70">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5、售后服务期外，终身免费维修，定期保养，最优惠提供零配件、易损件和耗材。</w:t>
      </w:r>
    </w:p>
    <w:p w14:paraId="58187D7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6、疆内设有常年维修点或提供常驻维修人员。</w:t>
      </w:r>
    </w:p>
    <w:p w14:paraId="47CF5A6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7、乙方接到甲方通知后未依照约定时间到场提供维修（包括零配件更换）保养等售后服务的，甲方有权另行聘请专业人员进行维修处理，产生的合理费用在</w:t>
      </w:r>
      <w:r>
        <w:rPr>
          <w:rFonts w:hint="eastAsia" w:ascii="宋体" w:hAnsi="宋体" w:eastAsia="宋体" w:cs="宋体"/>
          <w:b w:val="0"/>
          <w:bCs/>
          <w:color w:val="auto"/>
          <w:sz w:val="24"/>
          <w:szCs w:val="24"/>
          <w:lang w:val="en-US" w:eastAsia="zh-CN"/>
        </w:rPr>
        <w:t>质量保函中</w:t>
      </w:r>
      <w:r>
        <w:rPr>
          <w:rFonts w:hint="eastAsia" w:ascii="宋体" w:hAnsi="宋体" w:eastAsia="宋体" w:cs="宋体"/>
          <w:b w:val="0"/>
          <w:bCs/>
          <w:color w:val="auto"/>
          <w:sz w:val="24"/>
          <w:szCs w:val="24"/>
        </w:rPr>
        <w:t>予以扣除，不足部分，乙方应予以补足。</w:t>
      </w:r>
    </w:p>
    <w:p w14:paraId="2CE24837">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、乙方应当按照附件及本约定履行售后服务义务，附件与本约定不一致的，以本约定为准</w:t>
      </w:r>
      <w:r>
        <w:rPr>
          <w:rFonts w:hint="eastAsia" w:ascii="宋体" w:hAnsi="宋体" w:eastAsia="宋体" w:cs="宋体"/>
          <w:b w:val="0"/>
          <w:bCs/>
          <w:color w:val="auto"/>
          <w:sz w:val="24"/>
          <w:szCs w:val="24"/>
          <w:lang w:eastAsia="zh-CN"/>
        </w:rPr>
        <w:t>。</w:t>
      </w:r>
    </w:p>
    <w:p w14:paraId="2CBA605B">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七、付款方式：</w:t>
      </w:r>
    </w:p>
    <w:p w14:paraId="19675471">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1、合同签订后完成设备的到货、安装、调试，经甲方确认达到试运行标准后支付合同总金额的90%，</w:t>
      </w:r>
      <w:r>
        <w:rPr>
          <w:rFonts w:hint="eastAsia" w:ascii="宋体" w:hAnsi="宋体" w:eastAsia="宋体" w:cs="宋体"/>
          <w:b w:val="0"/>
          <w:bCs/>
          <w:color w:val="auto"/>
          <w:kern w:val="2"/>
          <w:sz w:val="24"/>
          <w:szCs w:val="24"/>
          <w:lang w:val="en-US" w:eastAsia="zh-CN" w:bidi="ar"/>
        </w:rPr>
        <w:t>即（人民币大写：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元整，小写：￥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w:t>
      </w:r>
      <w:r>
        <w:rPr>
          <w:rFonts w:hint="eastAsia" w:ascii="宋体" w:hAnsi="宋体" w:eastAsia="宋体" w:cs="宋体"/>
          <w:b w:val="0"/>
          <w:bCs/>
          <w:color w:val="auto"/>
          <w:sz w:val="24"/>
          <w:szCs w:val="24"/>
          <w:lang w:val="en-US" w:eastAsia="zh-CN"/>
        </w:rPr>
        <w:t>达到验收标准后无息支付合同总金额10%，</w:t>
      </w:r>
      <w:r>
        <w:rPr>
          <w:rFonts w:hint="eastAsia" w:ascii="宋体" w:hAnsi="宋体" w:eastAsia="宋体" w:cs="宋体"/>
          <w:b w:val="0"/>
          <w:bCs/>
          <w:color w:val="auto"/>
          <w:kern w:val="2"/>
          <w:sz w:val="24"/>
          <w:szCs w:val="24"/>
          <w:lang w:val="en-US" w:eastAsia="zh-CN" w:bidi="ar"/>
        </w:rPr>
        <w:t>即（人民币大写：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元整，小写：￥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w:t>
      </w:r>
      <w:r>
        <w:rPr>
          <w:rFonts w:hint="eastAsia" w:ascii="宋体" w:hAnsi="宋体" w:eastAsia="宋体" w:cs="宋体"/>
          <w:b w:val="0"/>
          <w:bCs/>
          <w:color w:val="auto"/>
          <w:sz w:val="24"/>
          <w:szCs w:val="24"/>
          <w:lang w:val="en-US" w:eastAsia="zh-CN"/>
        </w:rPr>
        <w:t>。</w:t>
      </w:r>
    </w:p>
    <w:p w14:paraId="75889549">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7115FAD0">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eastAsia="宋体" w:cs="宋体"/>
          <w:b w:val="0"/>
          <w:bCs/>
          <w:color w:val="auto"/>
          <w:sz w:val="24"/>
          <w:szCs w:val="24"/>
          <w:lang w:val="en-US" w:eastAsia="zh-CN"/>
        </w:rPr>
        <w:t>否则甲方有权拒绝支付任何费用且不承担任何违约责任。</w:t>
      </w:r>
    </w:p>
    <w:p w14:paraId="4057F4AC">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、乙方银行账户信息：</w:t>
      </w:r>
    </w:p>
    <w:p w14:paraId="0416FEC2">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开户行：                                  </w:t>
      </w:r>
    </w:p>
    <w:p w14:paraId="42253797">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账户名称：                                                </w:t>
      </w:r>
    </w:p>
    <w:p w14:paraId="1E6067DA">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银行账号：                                                    </w:t>
      </w:r>
    </w:p>
    <w:p w14:paraId="3CF32EDB">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甲方向以上账户付款，即为完成本合同项下对乙方相应的付款义务。乙方对上述账户信息的准确性和可用性承担全部责任。若上述</w:t>
      </w:r>
      <w:r>
        <w:rPr>
          <w:rFonts w:hint="eastAsia" w:ascii="宋体" w:hAnsi="宋体" w:eastAsia="宋体" w:cs="宋体"/>
          <w:b w:val="0"/>
          <w:bCs/>
          <w:color w:val="auto"/>
          <w:sz w:val="24"/>
          <w:szCs w:val="24"/>
          <w:lang w:val="en-US" w:eastAsia="zh-CN"/>
        </w:rPr>
        <w:t>开户行、银行账号发生变更</w:t>
      </w:r>
      <w:r>
        <w:rPr>
          <w:rFonts w:hint="eastAsia" w:ascii="宋体" w:hAnsi="宋体" w:eastAsia="宋体" w:cs="宋体"/>
          <w:b w:val="0"/>
          <w:bCs/>
          <w:color w:val="auto"/>
          <w:sz w:val="24"/>
          <w:szCs w:val="24"/>
        </w:rPr>
        <w:t xml:space="preserve">，乙方应提前7个工作日使甲方获悉，否则甲方不对乙方迟延收到或未能收到任何款项承担责任。  </w:t>
      </w:r>
    </w:p>
    <w:p w14:paraId="5911AC60">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八、包装标准：</w:t>
      </w:r>
    </w:p>
    <w:p w14:paraId="62C44C6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1、乙方提供的全部标的物须采用相应标准的保护措施进行包装。这种包装应适于航空、海运和内陆运输，并有良好的防潮、防震、防锈和防野蛮装卸的保护措施，以确保标的物安全运抵交货地点。</w:t>
      </w:r>
    </w:p>
    <w:p w14:paraId="3092FA2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2、由于乙方包装或其防护措施不妥而引起标的物锈蚀、损坏和丢失的任何损失的责任或费用由乙方承担。</w:t>
      </w:r>
    </w:p>
    <w:p w14:paraId="70B8B20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3、除双方特殊约定以外，乙方提供的包装物费用包括在本合同总价中。</w:t>
      </w:r>
    </w:p>
    <w:p w14:paraId="76468D2F">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4、乙方负责将送至甲方指定地点的设备包装物从甲方工作场所中清除出去，不得给甲方工作人员或环境造成影响，否则将承担相应的责任，赔偿甲方的损失。</w:t>
      </w:r>
    </w:p>
    <w:p w14:paraId="766A63ED">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5、标的物在运输途中的安全问题均由乙方负责</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在交货过程中，发生意外事故和故障损失，如撞、刮、裂、损等均由乙方承担责任；</w:t>
      </w:r>
    </w:p>
    <w:p w14:paraId="63EBA06F">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281DC65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十、安装调试</w:t>
      </w:r>
      <w:r>
        <w:rPr>
          <w:rFonts w:hint="eastAsia" w:ascii="宋体" w:hAnsi="宋体" w:eastAsia="宋体" w:cs="宋体"/>
          <w:b w:val="0"/>
          <w:bCs/>
          <w:color w:val="auto"/>
          <w:sz w:val="24"/>
          <w:szCs w:val="24"/>
          <w:lang w:val="en-US" w:eastAsia="zh-CN"/>
        </w:rPr>
        <w:t>及试运行</w:t>
      </w:r>
      <w:r>
        <w:rPr>
          <w:rFonts w:hint="eastAsia" w:ascii="宋体" w:hAnsi="宋体" w:eastAsia="宋体" w:cs="宋体"/>
          <w:b w:val="0"/>
          <w:bCs/>
          <w:color w:val="auto"/>
          <w:sz w:val="24"/>
          <w:szCs w:val="24"/>
        </w:rPr>
        <w:t>：</w:t>
      </w:r>
    </w:p>
    <w:p w14:paraId="480DD9D0">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1、乙方必须在合同签订后1周内将所有的安装调试条件、需甲方配合的事项以书面方式通知甲方；</w:t>
      </w:r>
    </w:p>
    <w:p w14:paraId="7FBC37A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2、乙方负责标的物的运送、安装、调试、技术协助、校准、培训以及其他类似等工作，</w:t>
      </w:r>
      <w:r>
        <w:rPr>
          <w:rFonts w:hint="eastAsia" w:ascii="宋体" w:hAnsi="宋体" w:eastAsia="宋体" w:cs="宋体"/>
          <w:b w:val="0"/>
          <w:bCs/>
          <w:color w:val="auto"/>
          <w:sz w:val="24"/>
          <w:szCs w:val="24"/>
          <w:lang w:eastAsia="zh-CN"/>
        </w:rPr>
        <w:t>直至该</w:t>
      </w:r>
      <w:r>
        <w:rPr>
          <w:rFonts w:hint="eastAsia" w:ascii="宋体" w:hAnsi="宋体" w:eastAsia="宋体" w:cs="宋体"/>
          <w:b w:val="0"/>
          <w:bCs/>
          <w:color w:val="auto"/>
          <w:sz w:val="24"/>
          <w:szCs w:val="24"/>
          <w:lang w:val="en-US" w:eastAsia="zh-CN"/>
        </w:rPr>
        <w:t>标的物</w:t>
      </w:r>
      <w:r>
        <w:rPr>
          <w:rFonts w:hint="eastAsia" w:ascii="宋体" w:hAnsi="宋体" w:eastAsia="宋体" w:cs="宋体"/>
          <w:b w:val="0"/>
          <w:bCs/>
          <w:color w:val="auto"/>
          <w:sz w:val="24"/>
          <w:szCs w:val="24"/>
          <w:lang w:eastAsia="zh-CN"/>
        </w:rPr>
        <w:t>可以正常</w:t>
      </w:r>
      <w:r>
        <w:rPr>
          <w:rFonts w:hint="eastAsia" w:ascii="宋体" w:hAnsi="宋体" w:eastAsia="宋体" w:cs="宋体"/>
          <w:b w:val="0"/>
          <w:bCs/>
          <w:color w:val="auto"/>
          <w:sz w:val="24"/>
          <w:szCs w:val="24"/>
          <w:lang w:val="en-US" w:eastAsia="zh-CN"/>
        </w:rPr>
        <w:t>试运行</w:t>
      </w:r>
      <w:r>
        <w:rPr>
          <w:rFonts w:hint="eastAsia" w:ascii="宋体" w:hAnsi="宋体" w:eastAsia="宋体" w:cs="宋体"/>
          <w:b w:val="0"/>
          <w:bCs/>
          <w:color w:val="auto"/>
          <w:sz w:val="24"/>
          <w:szCs w:val="24"/>
        </w:rPr>
        <w:t xml:space="preserve">。 </w:t>
      </w:r>
    </w:p>
    <w:p w14:paraId="453EF682">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3、乙方应指派专</w:t>
      </w:r>
      <w:r>
        <w:rPr>
          <w:rFonts w:hint="eastAsia" w:ascii="宋体" w:hAnsi="宋体" w:eastAsia="宋体" w:cs="宋体"/>
          <w:b w:val="0"/>
          <w:bCs/>
          <w:color w:val="auto"/>
          <w:sz w:val="24"/>
          <w:szCs w:val="24"/>
          <w:lang w:val="en-US" w:eastAsia="zh-CN"/>
        </w:rPr>
        <w:t>业</w:t>
      </w:r>
      <w:r>
        <w:rPr>
          <w:rFonts w:hint="eastAsia" w:ascii="宋体" w:hAnsi="宋体" w:eastAsia="宋体" w:cs="宋体"/>
          <w:b w:val="0"/>
          <w:bCs/>
          <w:color w:val="auto"/>
          <w:sz w:val="24"/>
          <w:szCs w:val="24"/>
        </w:rPr>
        <w:t>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6638B3B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lang w:val="en-US" w:eastAsia="zh-CN" w:bidi="ar"/>
        </w:rPr>
        <w:t>4、在安装调试期间，因物件发生的事故及造成任何人身伤亡，由乙方承担全部责任责任。</w:t>
      </w:r>
      <w:r>
        <w:rPr>
          <w:rFonts w:hint="eastAsia" w:ascii="宋体" w:hAnsi="宋体" w:eastAsia="宋体" w:cs="宋体"/>
          <w:b w:val="0"/>
          <w:bCs/>
          <w:color w:val="auto"/>
          <w:kern w:val="2"/>
          <w:sz w:val="24"/>
          <w:szCs w:val="24"/>
          <w:lang w:val="en-US" w:eastAsia="zh-CN" w:bidi="ar"/>
        </w:rPr>
        <w:br w:type="textWrapping"/>
      </w:r>
      <w:r>
        <w:rPr>
          <w:rFonts w:hint="eastAsia" w:ascii="宋体" w:hAnsi="宋体" w:eastAsia="宋体" w:cs="宋体"/>
          <w:b w:val="0"/>
          <w:bCs/>
          <w:color w:val="auto"/>
          <w:kern w:val="2"/>
          <w:sz w:val="24"/>
          <w:szCs w:val="24"/>
          <w:highlight w:val="none"/>
          <w:lang w:val="en-US" w:eastAsia="zh-CN" w:bidi="ar"/>
        </w:rPr>
        <w:t>5、对于合同单价金额不超过50万元的设备，其试运行期限原则上不超过30个日历日；对于单价金额超过50万元的设备，试运行期限原则上不超过60个日历日。</w:t>
      </w:r>
    </w:p>
    <w:p w14:paraId="0182A5F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6、在试运行期间，若货物性能未能满足招标文件及合同中所规定的标准，则应视为验收未通过。乙方须退还90%的货款，并对甲方因此遭受的损失承担赔偿责任。</w:t>
      </w:r>
    </w:p>
    <w:p w14:paraId="0CB8E78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7、若在试运行期间设备出现故障，需更换为同型号的新设备，则试运行时间应重新计算。若更换次数达到两次或以上（含两次），则将不予退还质量保函金。</w:t>
      </w:r>
    </w:p>
    <w:p w14:paraId="07EC62E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rPr>
      </w:pPr>
      <w:r>
        <w:rPr>
          <w:rFonts w:hint="eastAsia" w:ascii="宋体" w:hAnsi="宋体" w:eastAsia="宋体" w:cs="宋体"/>
          <w:b w:val="0"/>
          <w:bCs/>
          <w:color w:val="auto"/>
          <w:kern w:val="2"/>
          <w:sz w:val="24"/>
          <w:szCs w:val="24"/>
          <w:highlight w:val="none"/>
          <w:lang w:val="en-US" w:eastAsia="zh-CN" w:bidi="ar"/>
        </w:rPr>
        <w:t>8、在标的物到达之前，乙方必须提供与生产厂家签订的、针对合同内标的物的</w:t>
      </w:r>
      <w:r>
        <w:rPr>
          <w:rFonts w:hint="eastAsia" w:ascii="宋体" w:hAnsi="宋体" w:eastAsia="宋体" w:cs="宋体"/>
          <w:b w:val="0"/>
          <w:bCs/>
          <w:color w:val="auto"/>
          <w:kern w:val="2"/>
          <w:sz w:val="24"/>
          <w:szCs w:val="24"/>
          <w:highlight w:val="none"/>
          <w:u w:val="single"/>
          <w:lang w:val="en-US" w:eastAsia="zh-CN" w:bidi="ar"/>
        </w:rPr>
        <w:t xml:space="preserve">     </w:t>
      </w:r>
      <w:r>
        <w:rPr>
          <w:rFonts w:hint="eastAsia" w:ascii="宋体" w:hAnsi="宋体" w:eastAsia="宋体" w:cs="宋体"/>
          <w:b w:val="0"/>
          <w:bCs/>
          <w:color w:val="auto"/>
          <w:kern w:val="2"/>
          <w:sz w:val="24"/>
          <w:szCs w:val="24"/>
          <w:highlight w:val="none"/>
          <w:lang w:val="en-US" w:eastAsia="zh-CN" w:bidi="ar"/>
        </w:rPr>
        <w:t>年免费保修协议或合同。若未能提供此文件，则视为乙方未履行合同要求，甲方有权拒绝接收货物。</w:t>
      </w:r>
    </w:p>
    <w:p w14:paraId="1C2A9BD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十一、验收标准：</w:t>
      </w:r>
    </w:p>
    <w:p w14:paraId="6B13A663">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1、单证齐全：应有产品合格证（或质量证明）、使用说明、保修证明、发票和其他应具有的单证。同时由乙方提供该套标的物的商检证，需计量鉴定的，还需提供初次计量鉴定证书。</w:t>
      </w:r>
    </w:p>
    <w:p w14:paraId="7D37D0F2">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2、质量符合</w:t>
      </w:r>
      <w:r>
        <w:rPr>
          <w:rFonts w:hint="eastAsia" w:ascii="宋体" w:hAnsi="宋体" w:eastAsia="宋体" w:cs="宋体"/>
          <w:b w:val="0"/>
          <w:bCs/>
          <w:color w:val="auto"/>
          <w:sz w:val="24"/>
          <w:szCs w:val="24"/>
          <w:lang w:val="en-US" w:eastAsia="zh-CN"/>
        </w:rPr>
        <w:t>现行</w:t>
      </w:r>
      <w:r>
        <w:rPr>
          <w:rFonts w:hint="eastAsia" w:ascii="宋体" w:hAnsi="宋体" w:eastAsia="宋体" w:cs="宋体"/>
          <w:b w:val="0"/>
          <w:bCs/>
          <w:color w:val="auto"/>
          <w:sz w:val="24"/>
          <w:szCs w:val="24"/>
        </w:rPr>
        <w:t>国家法律法规规定的标准、招标文件和投标文件的要求。其中有关标的物名称、制造商、数量等信息须符合投标文件和配置清单</w:t>
      </w:r>
    </w:p>
    <w:p w14:paraId="1DB1C38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试运行期结束后，</w:t>
      </w:r>
      <w:r>
        <w:rPr>
          <w:rFonts w:hint="eastAsia" w:ascii="宋体" w:hAnsi="宋体" w:eastAsia="宋体" w:cs="宋体"/>
          <w:b w:val="0"/>
          <w:bCs/>
          <w:color w:val="auto"/>
          <w:sz w:val="24"/>
          <w:szCs w:val="24"/>
        </w:rPr>
        <w:t>甲方标的物使用科室最终签发相关的安装验收合格报告，并且甲方有权委托中国有资质的单位对仪器进行精度校核，所发生的费用由乙方承担且乙方同意授权甲方从应付货款中直接扣除。</w:t>
      </w:r>
    </w:p>
    <w:p w14:paraId="3C575CC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、甲方最终验收合格后进入</w:t>
      </w:r>
      <w:r>
        <w:rPr>
          <w:rFonts w:hint="eastAsia" w:ascii="宋体" w:hAnsi="宋体" w:eastAsia="宋体" w:cs="宋体"/>
          <w:b w:val="0"/>
          <w:bCs/>
          <w:color w:val="auto"/>
          <w:sz w:val="24"/>
          <w:szCs w:val="24"/>
          <w:lang w:val="en-US" w:eastAsia="zh-CN"/>
        </w:rPr>
        <w:t>保修</w:t>
      </w:r>
      <w:r>
        <w:rPr>
          <w:rFonts w:hint="eastAsia" w:ascii="宋体" w:hAnsi="宋体" w:eastAsia="宋体" w:cs="宋体"/>
          <w:b w:val="0"/>
          <w:bCs/>
          <w:color w:val="auto"/>
          <w:sz w:val="24"/>
          <w:szCs w:val="24"/>
        </w:rPr>
        <w:t>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E0E7A4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根据《中华人民共和国强制检定的工作计量器具目录》及招标文件要求，属于计量器具需要进行计量检定、校准的设备，由乙方承担首次</w:t>
      </w:r>
      <w:r>
        <w:rPr>
          <w:rFonts w:hint="eastAsia" w:ascii="宋体" w:hAnsi="宋体" w:eastAsia="宋体" w:cs="宋体"/>
          <w:b w:val="0"/>
          <w:bCs/>
          <w:color w:val="auto"/>
          <w:sz w:val="24"/>
          <w:szCs w:val="24"/>
        </w:rPr>
        <w:t>技术监督局的</w:t>
      </w:r>
      <w:r>
        <w:rPr>
          <w:rFonts w:hint="eastAsia" w:ascii="宋体" w:hAnsi="宋体" w:eastAsia="宋体" w:cs="宋体"/>
          <w:b w:val="0"/>
          <w:bCs/>
          <w:color w:val="auto"/>
          <w:sz w:val="24"/>
          <w:szCs w:val="24"/>
          <w:lang w:val="en-US" w:eastAsia="zh-CN"/>
        </w:rPr>
        <w:t>检定、校准</w:t>
      </w:r>
      <w:r>
        <w:rPr>
          <w:rFonts w:hint="eastAsia" w:ascii="宋体" w:hAnsi="宋体" w:eastAsia="宋体" w:cs="宋体"/>
          <w:b w:val="0"/>
          <w:bCs/>
          <w:color w:val="auto"/>
          <w:sz w:val="24"/>
          <w:szCs w:val="24"/>
        </w:rPr>
        <w:t>费用，</w:t>
      </w:r>
      <w:r>
        <w:rPr>
          <w:rFonts w:hint="eastAsia" w:ascii="宋体" w:hAnsi="宋体" w:eastAsia="宋体" w:cs="宋体"/>
          <w:b w:val="0"/>
          <w:bCs/>
          <w:color w:val="auto"/>
          <w:sz w:val="24"/>
          <w:szCs w:val="24"/>
          <w:lang w:val="en-US" w:eastAsia="zh-CN"/>
        </w:rPr>
        <w:t>并</w:t>
      </w:r>
      <w:r>
        <w:rPr>
          <w:rFonts w:hint="eastAsia" w:ascii="宋体" w:hAnsi="宋体" w:eastAsia="宋体" w:cs="宋体"/>
          <w:b w:val="0"/>
          <w:bCs/>
          <w:color w:val="auto"/>
          <w:sz w:val="24"/>
          <w:szCs w:val="24"/>
        </w:rPr>
        <w:t>提供承诺函。</w:t>
      </w:r>
    </w:p>
    <w:p w14:paraId="171CE1FF">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十二、质量技术标准及损害赔偿：</w:t>
      </w:r>
    </w:p>
    <w:p w14:paraId="45B417E9">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25B2F0C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2、乙方应保证其提供的标的物是原产地的原装产品，是全新的、未使用过的，采用的是最佳材料和第一流的工艺，并在各个方面符合合同规定的质量、规格和性能要求。否则按退货处理。</w:t>
      </w:r>
    </w:p>
    <w:p w14:paraId="1CE998DB">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513E699B">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4、标的物在售后服务期内，如出现三次以上（含三次）因质量问题引起的故障，乙方负责更换同类新的</w:t>
      </w:r>
      <w:r>
        <w:rPr>
          <w:rFonts w:hint="eastAsia" w:ascii="宋体" w:hAnsi="宋体" w:eastAsia="宋体" w:cs="宋体"/>
          <w:b w:val="0"/>
          <w:bCs/>
          <w:color w:val="auto"/>
          <w:sz w:val="24"/>
          <w:szCs w:val="24"/>
          <w:lang w:val="en-US" w:eastAsia="zh-CN"/>
        </w:rPr>
        <w:t>标的物</w:t>
      </w:r>
      <w:r>
        <w:rPr>
          <w:rFonts w:hint="eastAsia" w:ascii="宋体" w:hAnsi="宋体" w:eastAsia="宋体" w:cs="宋体"/>
          <w:b w:val="0"/>
          <w:bCs/>
          <w:color w:val="auto"/>
          <w:sz w:val="24"/>
          <w:szCs w:val="24"/>
        </w:rPr>
        <w:t>，以达到合同规定的规格、质量和性能，并从更换之日起重新计算被更换标的物的售后服务期，由此产生的一切费用由乙方承担。</w:t>
      </w:r>
    </w:p>
    <w:p w14:paraId="7E68A9A2">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5、如因为乙方标的物质量原因，导致甲方损失，</w:t>
      </w:r>
      <w:r>
        <w:rPr>
          <w:rFonts w:hint="eastAsia" w:ascii="宋体" w:hAnsi="宋体" w:eastAsia="宋体" w:cs="宋体"/>
          <w:b w:val="0"/>
          <w:bCs/>
          <w:color w:val="auto"/>
          <w:kern w:val="2"/>
          <w:sz w:val="24"/>
          <w:szCs w:val="24"/>
          <w:lang w:val="en-US" w:eastAsia="zh-CN" w:bidi="ar"/>
        </w:rPr>
        <w:t>由乙方承担全部责任并赔偿甲方所有损失。如因乙方提供的设备发生医疗器械不良事件，乙方应承担全部责任和所有费用</w:t>
      </w:r>
      <w:r>
        <w:rPr>
          <w:rFonts w:hint="eastAsia" w:ascii="宋体" w:hAnsi="宋体" w:eastAsia="宋体" w:cs="宋体"/>
          <w:b w:val="0"/>
          <w:bCs/>
          <w:color w:val="auto"/>
          <w:sz w:val="24"/>
          <w:szCs w:val="24"/>
        </w:rPr>
        <w:t>。</w:t>
      </w:r>
    </w:p>
    <w:p w14:paraId="348BBD9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十三、合同修改、变更、转让及专利权：</w:t>
      </w:r>
    </w:p>
    <w:p w14:paraId="379AA9DB">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1、未经甲方书面同意，乙方不得对合同条款及服务内容进行任何修改、变更。并且不得转让其应履行的义务。否则，甲方有权终止合同，所发生的损失由乙方全部承担。</w:t>
      </w:r>
    </w:p>
    <w:p w14:paraId="10F99C4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0A37993F">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6243D878">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十五、违约责任：</w:t>
      </w:r>
    </w:p>
    <w:p w14:paraId="18301602">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0E3A838C">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2、乙方逾期交货的，按逾期交货部分货款计算，乙方向甲方偿付每日千分之五的违约金，逾期十天以上的，甲方有权解除合同，乙方应当承担因终止合同而发生的一切直接损失和费用。</w:t>
      </w:r>
    </w:p>
    <w:p w14:paraId="556BB9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27E8F8D3">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4、乙方不得以任何形式在任何情况下对甲方工作人员进行商业贿赂活动，否则甲方有权单方解除合同，同时乙方需按照本合同总金额20%向甲方支付违约金并承担相应的法律责任。</w:t>
      </w:r>
    </w:p>
    <w:p w14:paraId="3966C9FD">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576C2DDD">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371A4C2A">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7.乙方支付上述违约金不足以赔偿甲方损失的，甲方有权另行向乙方索赔（包括但不限于第三方索赔、律师费、诉讼费、鉴定费、公证费、差旅费等甲方采取诉讼途径发生的一切费用）。</w:t>
      </w:r>
    </w:p>
    <w:p w14:paraId="2D8249EE">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十六、赔偿、追索权：</w:t>
      </w:r>
    </w:p>
    <w:p w14:paraId="28EBEE4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641186DD">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2、本合同所有条款约定的违约金、赔偿金等均应以人民币的方式支付，双方明确按照第一次购汇当日的银行汇卖价，即购汇凭单上的购汇汇率，作为今后违约金、赔偿金等结算支付的汇率。</w:t>
      </w:r>
    </w:p>
    <w:p w14:paraId="72ECCD83">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十七、解决合同纠纷的方式：</w:t>
      </w:r>
    </w:p>
    <w:p w14:paraId="1F4B1D8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1、合同双方本着诚实、公平合理的原则协商解决，协商仍不能达成共识，可向甲方所在地人民法院提起诉讼。</w:t>
      </w:r>
    </w:p>
    <w:p w14:paraId="237902C4">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2、在诉讼期间，合同未发生争议部分应当继续履行。</w:t>
      </w:r>
      <w:r>
        <w:rPr>
          <w:rFonts w:hint="eastAsia" w:ascii="宋体" w:hAnsi="宋体" w:eastAsia="宋体" w:cs="宋体"/>
          <w:b w:val="0"/>
          <w:bCs/>
          <w:color w:val="auto"/>
          <w:sz w:val="24"/>
          <w:szCs w:val="24"/>
        </w:rPr>
        <w:br w:type="textWrapping"/>
      </w:r>
      <w:r>
        <w:rPr>
          <w:rFonts w:hint="eastAsia" w:ascii="宋体" w:hAnsi="宋体" w:eastAsia="宋体" w:cs="宋体"/>
          <w:b w:val="0"/>
          <w:bCs/>
          <w:color w:val="auto"/>
          <w:sz w:val="24"/>
          <w:szCs w:val="24"/>
          <w:lang w:val="en-US" w:eastAsia="zh-CN"/>
        </w:rPr>
        <w:t>十八：质量保函：</w:t>
      </w:r>
      <w:r>
        <w:rPr>
          <w:rFonts w:hint="eastAsia" w:ascii="宋体" w:hAnsi="宋体" w:eastAsia="宋体" w:cs="宋体"/>
          <w:b w:val="0"/>
          <w:bCs/>
          <w:color w:val="auto"/>
          <w:sz w:val="24"/>
          <w:szCs w:val="24"/>
          <w:lang w:val="en-US" w:eastAsia="zh-CN"/>
        </w:rPr>
        <w:br w:type="textWrapping"/>
      </w:r>
      <w:r>
        <w:rPr>
          <w:rFonts w:hint="eastAsia" w:ascii="宋体" w:hAnsi="宋体" w:eastAsia="宋体" w:cs="宋体"/>
          <w:b w:val="0"/>
          <w:bCs/>
          <w:color w:val="auto"/>
          <w:sz w:val="24"/>
          <w:szCs w:val="24"/>
          <w:lang w:val="en-US" w:eastAsia="zh-CN"/>
        </w:rPr>
        <w:t>1、乙方须出具具有担保资质的公司出具的书面质量保函。</w:t>
      </w:r>
    </w:p>
    <w:p w14:paraId="42B8C847">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2、乙方须保证标的物质量符合合同约定的技术标准和质量要求。</w:t>
      </w:r>
    </w:p>
    <w:p w14:paraId="17EC83F1">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3、乙方承诺在标的物验收合格后，对标的物进行为期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年的免费保修服务。</w:t>
      </w:r>
    </w:p>
    <w:p w14:paraId="2B607A37">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4、若标的物在保修期内出现故障及问题，乙方应立即进行修复，直至达到合同约定的质量标准。</w:t>
      </w:r>
    </w:p>
    <w:p w14:paraId="2E33A2F3">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5、若因乙方原因导致标的物维修不及时，甲方有权要求乙方承担相应的违约责任，包括但不限于修复费用、赔偿损失等。</w:t>
      </w:r>
    </w:p>
    <w:p w14:paraId="79A976A4">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6、在约定的售后服务期（保修服务期）内未按要求提供相应技术支持时，不予退还质量保函。</w:t>
      </w:r>
    </w:p>
    <w:p w14:paraId="5C1608C7">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6、质量保函自签订之日起生效，至项目验收合格后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年止.</w:t>
      </w:r>
    </w:p>
    <w:p w14:paraId="58684ED6">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7、保修期结束后，由甲方出具保修期内标的物及售后服务评价，符合要求的正常退还质量保函金，不符合要求的不予退还质量保函金。</w:t>
      </w:r>
    </w:p>
    <w:p w14:paraId="467B6A0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w:t>
      </w:r>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、其它：</w:t>
      </w:r>
    </w:p>
    <w:p w14:paraId="631BE59C">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 合同所有附件，</w:t>
      </w:r>
      <w:r>
        <w:rPr>
          <w:rFonts w:hint="eastAsia" w:ascii="宋体" w:hAnsi="宋体" w:eastAsia="宋体" w:cs="宋体"/>
          <w:b w:val="0"/>
          <w:bCs/>
          <w:color w:val="auto"/>
          <w:sz w:val="24"/>
          <w:szCs w:val="24"/>
          <w:lang w:val="en-US" w:eastAsia="zh-CN"/>
        </w:rPr>
        <w:t>包括与合同相关的采购文件、招标文件、谈判文件、招投标备案材料、售后服务承诺书、成交通知书、</w:t>
      </w:r>
      <w:r>
        <w:rPr>
          <w:rFonts w:hint="eastAsia" w:ascii="宋体" w:hAnsi="宋体" w:eastAsia="宋体" w:cs="宋体"/>
          <w:b w:val="0"/>
          <w:bCs/>
          <w:color w:val="auto"/>
          <w:sz w:val="24"/>
          <w:szCs w:val="24"/>
        </w:rPr>
        <w:t>成交方的投标文件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询标中的书面答疑</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开标中的书面承诺</w:t>
      </w:r>
      <w:r>
        <w:rPr>
          <w:rFonts w:hint="eastAsia" w:ascii="宋体" w:hAnsi="宋体" w:eastAsia="宋体" w:cs="宋体"/>
          <w:b w:val="0"/>
          <w:bCs/>
          <w:color w:val="auto"/>
          <w:sz w:val="24"/>
          <w:szCs w:val="24"/>
          <w:lang w:val="en-US" w:eastAsia="zh-CN"/>
        </w:rPr>
        <w:t>及合同附件</w:t>
      </w:r>
      <w:r>
        <w:rPr>
          <w:rFonts w:hint="eastAsia" w:ascii="宋体" w:hAnsi="宋体" w:eastAsia="宋体" w:cs="宋体"/>
          <w:b w:val="0"/>
          <w:bCs/>
          <w:color w:val="auto"/>
          <w:sz w:val="24"/>
          <w:szCs w:val="24"/>
        </w:rPr>
        <w:t>等均作为合同的有效组成部分，与合同具有同等的法律效力。</w:t>
      </w:r>
    </w:p>
    <w:p w14:paraId="29D7E9D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2、乙方保证提供的资质是真实的，与原件相符。否则，产生的责任及给甲方造成的损失均由乙方承担并赔偿。</w:t>
      </w:r>
    </w:p>
    <w:p w14:paraId="3DED28F0">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3、乙方保证合同中提供的电话、传真、开户银行、账号等信息准确无误。否则造成的责任及损失由乙方承担。</w:t>
      </w:r>
    </w:p>
    <w:p w14:paraId="5150F658">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4、本合同应按中华人民共和国的相关法律解释</w:t>
      </w:r>
      <w:r>
        <w:rPr>
          <w:rFonts w:hint="eastAsia" w:ascii="宋体" w:hAnsi="宋体" w:eastAsia="宋体" w:cs="宋体"/>
          <w:b w:val="0"/>
          <w:bCs/>
          <w:color w:val="auto"/>
          <w:kern w:val="2"/>
          <w:sz w:val="24"/>
          <w:szCs w:val="24"/>
          <w:lang w:val="en-US" w:eastAsia="zh-CN" w:bidi="ar"/>
        </w:rPr>
        <w:t>，合同内容如遇国家法律、法规及政策另有规定的，从其规定。</w:t>
      </w:r>
    </w:p>
    <w:p w14:paraId="0048D8F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5、本合同文本一式五份，甲方执四份、乙方执一份</w:t>
      </w:r>
      <w:r>
        <w:rPr>
          <w:rFonts w:hint="eastAsia" w:ascii="宋体" w:hAnsi="宋体" w:eastAsia="宋体" w:cs="宋体"/>
          <w:b w:val="0"/>
          <w:bCs/>
          <w:color w:val="auto"/>
          <w:kern w:val="2"/>
          <w:sz w:val="24"/>
          <w:szCs w:val="24"/>
          <w:lang w:val="en-US" w:eastAsia="zh-CN" w:bidi="ar"/>
        </w:rPr>
        <w:t>，均具有同等的法律效力</w:t>
      </w:r>
      <w:r>
        <w:rPr>
          <w:rFonts w:hint="eastAsia" w:ascii="宋体" w:hAnsi="宋体" w:eastAsia="宋体" w:cs="宋体"/>
          <w:b w:val="0"/>
          <w:bCs/>
          <w:color w:val="auto"/>
          <w:sz w:val="24"/>
          <w:szCs w:val="24"/>
        </w:rPr>
        <w:t>。自甲、乙双方</w:t>
      </w:r>
      <w:r>
        <w:rPr>
          <w:rFonts w:hint="eastAsia" w:ascii="宋体" w:hAnsi="宋体" w:eastAsia="宋体" w:cs="宋体"/>
          <w:b w:val="0"/>
          <w:bCs/>
          <w:color w:val="auto"/>
          <w:sz w:val="24"/>
          <w:szCs w:val="24"/>
          <w:lang w:val="en-US" w:eastAsia="zh-CN"/>
        </w:rPr>
        <w:t>法定代表人或委托代理人</w:t>
      </w:r>
      <w:r>
        <w:rPr>
          <w:rFonts w:hint="eastAsia" w:ascii="宋体" w:hAnsi="宋体" w:eastAsia="宋体" w:cs="宋体"/>
          <w:b w:val="0"/>
          <w:bCs/>
          <w:color w:val="auto"/>
          <w:sz w:val="24"/>
          <w:szCs w:val="24"/>
        </w:rPr>
        <w:t>签字</w:t>
      </w:r>
      <w:r>
        <w:rPr>
          <w:rFonts w:hint="eastAsia" w:ascii="宋体" w:hAnsi="宋体" w:eastAsia="宋体" w:cs="宋体"/>
          <w:b w:val="0"/>
          <w:bCs/>
          <w:color w:val="auto"/>
          <w:sz w:val="24"/>
          <w:szCs w:val="24"/>
          <w:lang w:val="en-US" w:eastAsia="zh-CN"/>
        </w:rPr>
        <w:t>且加盖单位公</w:t>
      </w:r>
      <w:r>
        <w:rPr>
          <w:rFonts w:hint="eastAsia" w:ascii="宋体" w:hAnsi="宋体" w:eastAsia="宋体" w:cs="宋体"/>
          <w:b w:val="0"/>
          <w:bCs/>
          <w:color w:val="auto"/>
          <w:sz w:val="24"/>
          <w:szCs w:val="24"/>
        </w:rPr>
        <w:t>章</w:t>
      </w:r>
      <w:r>
        <w:rPr>
          <w:rFonts w:hint="eastAsia" w:ascii="宋体" w:hAnsi="宋体" w:eastAsia="宋体" w:cs="宋体"/>
          <w:b w:val="0"/>
          <w:bCs/>
          <w:color w:val="auto"/>
          <w:sz w:val="24"/>
          <w:szCs w:val="24"/>
          <w:lang w:val="en-US" w:eastAsia="zh-CN"/>
        </w:rPr>
        <w:t>或合同专用章</w:t>
      </w:r>
      <w:r>
        <w:rPr>
          <w:rFonts w:hint="eastAsia" w:ascii="宋体" w:hAnsi="宋体" w:eastAsia="宋体" w:cs="宋体"/>
          <w:b w:val="0"/>
          <w:bCs/>
          <w:color w:val="auto"/>
          <w:sz w:val="24"/>
          <w:szCs w:val="24"/>
        </w:rPr>
        <w:t>之日起生效，双方如有未尽事宜，可另行友好协商解决。</w:t>
      </w:r>
    </w:p>
    <w:p w14:paraId="6ACA4A25">
      <w:pP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br w:type="page"/>
      </w:r>
    </w:p>
    <w:p w14:paraId="393D9325">
      <w:pPr>
        <w:spacing w:line="360" w:lineRule="auto"/>
        <w:rPr>
          <w:rFonts w:hint="eastAsia" w:ascii="宋体" w:hAnsi="宋体" w:eastAsia="宋体" w:cs="宋体"/>
          <w:b w:val="0"/>
          <w:bCs/>
          <w:color w:val="auto"/>
          <w:sz w:val="24"/>
          <w:szCs w:val="24"/>
        </w:rPr>
      </w:pPr>
    </w:p>
    <w:tbl>
      <w:tblPr>
        <w:tblStyle w:val="28"/>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1CE09B8C">
        <w:tc>
          <w:tcPr>
            <w:tcW w:w="5148" w:type="dxa"/>
            <w:noWrap w:val="0"/>
            <w:vAlign w:val="top"/>
          </w:tcPr>
          <w:p w14:paraId="2DDF0CB2">
            <w:pPr>
              <w:spacing w:line="264" w:lineRule="auto"/>
              <w:rPr>
                <w:rFonts w:hint="eastAsia" w:ascii="宋体" w:hAnsi="宋体" w:eastAsia="宋体" w:cs="宋体"/>
                <w:b/>
                <w:sz w:val="24"/>
                <w:szCs w:val="24"/>
              </w:rPr>
            </w:pPr>
            <w:r>
              <w:rPr>
                <w:rFonts w:hint="eastAsia" w:ascii="宋体" w:hAnsi="宋体" w:eastAsia="宋体" w:cs="宋体"/>
                <w:b/>
                <w:sz w:val="24"/>
                <w:szCs w:val="24"/>
              </w:rPr>
              <w:t>甲方：新疆医科大学第一附属医院</w:t>
            </w:r>
          </w:p>
        </w:tc>
        <w:tc>
          <w:tcPr>
            <w:tcW w:w="4860" w:type="dxa"/>
            <w:noWrap w:val="0"/>
            <w:vAlign w:val="top"/>
          </w:tcPr>
          <w:p w14:paraId="753500FC">
            <w:pPr>
              <w:spacing w:line="264" w:lineRule="auto"/>
              <w:rPr>
                <w:rFonts w:hint="eastAsia" w:ascii="宋体" w:hAnsi="宋体" w:eastAsia="宋体" w:cs="宋体"/>
                <w:b/>
                <w:sz w:val="24"/>
                <w:szCs w:val="24"/>
              </w:rPr>
            </w:pPr>
            <w:r>
              <w:rPr>
                <w:rFonts w:hint="eastAsia" w:ascii="宋体" w:hAnsi="宋体" w:eastAsia="宋体" w:cs="宋体"/>
                <w:b/>
                <w:sz w:val="24"/>
                <w:szCs w:val="24"/>
              </w:rPr>
              <w:t>乙方：</w:t>
            </w:r>
          </w:p>
        </w:tc>
      </w:tr>
      <w:tr w14:paraId="68AFCA2E">
        <w:tblPrEx>
          <w:tblCellMar>
            <w:top w:w="0" w:type="dxa"/>
            <w:left w:w="108" w:type="dxa"/>
            <w:bottom w:w="0" w:type="dxa"/>
            <w:right w:w="108" w:type="dxa"/>
          </w:tblCellMar>
        </w:tblPrEx>
        <w:trPr>
          <w:trHeight w:val="80" w:hRule="atLeast"/>
        </w:trPr>
        <w:tc>
          <w:tcPr>
            <w:tcW w:w="5148" w:type="dxa"/>
            <w:noWrap w:val="0"/>
            <w:vAlign w:val="top"/>
          </w:tcPr>
          <w:p w14:paraId="1C0242F0">
            <w:pPr>
              <w:spacing w:line="264" w:lineRule="auto"/>
              <w:rPr>
                <w:rFonts w:hint="eastAsia" w:ascii="宋体" w:hAnsi="宋体" w:eastAsia="宋体" w:cs="宋体"/>
                <w:b/>
                <w:sz w:val="24"/>
                <w:szCs w:val="24"/>
              </w:rPr>
            </w:pPr>
          </w:p>
        </w:tc>
        <w:tc>
          <w:tcPr>
            <w:tcW w:w="4860" w:type="dxa"/>
            <w:noWrap w:val="0"/>
            <w:vAlign w:val="top"/>
          </w:tcPr>
          <w:p w14:paraId="37F9C2CE">
            <w:pPr>
              <w:spacing w:line="264" w:lineRule="auto"/>
              <w:rPr>
                <w:rFonts w:hint="eastAsia" w:ascii="宋体" w:hAnsi="宋体" w:eastAsia="宋体" w:cs="宋体"/>
                <w:b/>
                <w:sz w:val="24"/>
                <w:szCs w:val="24"/>
              </w:rPr>
            </w:pPr>
          </w:p>
        </w:tc>
      </w:tr>
      <w:tr w14:paraId="78B0F2A3">
        <w:tblPrEx>
          <w:tblCellMar>
            <w:top w:w="0" w:type="dxa"/>
            <w:left w:w="108" w:type="dxa"/>
            <w:bottom w:w="0" w:type="dxa"/>
            <w:right w:w="108" w:type="dxa"/>
          </w:tblCellMar>
        </w:tblPrEx>
        <w:tc>
          <w:tcPr>
            <w:tcW w:w="5148" w:type="dxa"/>
            <w:noWrap w:val="0"/>
            <w:vAlign w:val="top"/>
          </w:tcPr>
          <w:p w14:paraId="3E00285E">
            <w:pPr>
              <w:spacing w:line="264" w:lineRule="auto"/>
              <w:rPr>
                <w:rFonts w:hint="eastAsia" w:ascii="宋体" w:hAnsi="宋体" w:eastAsia="宋体" w:cs="宋体"/>
                <w:b/>
                <w:sz w:val="24"/>
                <w:szCs w:val="24"/>
              </w:rPr>
            </w:pPr>
            <w:r>
              <w:rPr>
                <w:rFonts w:hint="eastAsia" w:ascii="宋体" w:hAnsi="宋体" w:eastAsia="宋体" w:cs="宋体"/>
                <w:b/>
                <w:sz w:val="24"/>
                <w:szCs w:val="24"/>
              </w:rPr>
              <w:t>甲方法人：</w:t>
            </w:r>
          </w:p>
        </w:tc>
        <w:tc>
          <w:tcPr>
            <w:tcW w:w="4860" w:type="dxa"/>
            <w:noWrap w:val="0"/>
            <w:vAlign w:val="top"/>
          </w:tcPr>
          <w:p w14:paraId="4E016AED">
            <w:pPr>
              <w:spacing w:line="264" w:lineRule="auto"/>
              <w:rPr>
                <w:rFonts w:hint="eastAsia" w:ascii="宋体" w:hAnsi="宋体" w:eastAsia="宋体" w:cs="宋体"/>
                <w:b/>
                <w:sz w:val="24"/>
                <w:szCs w:val="24"/>
              </w:rPr>
            </w:pPr>
            <w:r>
              <w:rPr>
                <w:rFonts w:hint="eastAsia" w:ascii="宋体" w:hAnsi="宋体" w:eastAsia="宋体" w:cs="宋体"/>
                <w:b/>
                <w:sz w:val="24"/>
                <w:szCs w:val="24"/>
              </w:rPr>
              <w:t>乙方法人：</w:t>
            </w:r>
          </w:p>
        </w:tc>
      </w:tr>
      <w:tr w14:paraId="0ADD8720">
        <w:tblPrEx>
          <w:tblCellMar>
            <w:top w:w="0" w:type="dxa"/>
            <w:left w:w="108" w:type="dxa"/>
            <w:bottom w:w="0" w:type="dxa"/>
            <w:right w:w="108" w:type="dxa"/>
          </w:tblCellMar>
        </w:tblPrEx>
        <w:tc>
          <w:tcPr>
            <w:tcW w:w="5148" w:type="dxa"/>
            <w:noWrap w:val="0"/>
            <w:vAlign w:val="top"/>
          </w:tcPr>
          <w:p w14:paraId="489C70DD">
            <w:pPr>
              <w:spacing w:line="360" w:lineRule="auto"/>
              <w:rPr>
                <w:rFonts w:hint="eastAsia" w:ascii="宋体" w:hAnsi="宋体" w:eastAsia="宋体" w:cs="宋体"/>
                <w:b/>
                <w:sz w:val="24"/>
                <w:szCs w:val="24"/>
              </w:rPr>
            </w:pPr>
            <w:r>
              <w:rPr>
                <w:rFonts w:hint="eastAsia" w:ascii="宋体" w:hAnsi="宋体" w:eastAsia="宋体" w:cs="宋体"/>
                <w:b/>
                <w:sz w:val="24"/>
                <w:szCs w:val="24"/>
              </w:rPr>
              <w:t>（签字）</w:t>
            </w:r>
          </w:p>
        </w:tc>
        <w:tc>
          <w:tcPr>
            <w:tcW w:w="4860" w:type="dxa"/>
            <w:noWrap w:val="0"/>
            <w:vAlign w:val="top"/>
          </w:tcPr>
          <w:p w14:paraId="25673426">
            <w:pPr>
              <w:spacing w:line="264" w:lineRule="auto"/>
              <w:rPr>
                <w:rFonts w:hint="eastAsia" w:ascii="宋体" w:hAnsi="宋体" w:eastAsia="宋体" w:cs="宋体"/>
                <w:b/>
                <w:sz w:val="24"/>
                <w:szCs w:val="24"/>
              </w:rPr>
            </w:pPr>
            <w:r>
              <w:rPr>
                <w:rFonts w:hint="eastAsia" w:ascii="宋体" w:hAnsi="宋体" w:eastAsia="宋体" w:cs="宋体"/>
                <w:b/>
                <w:sz w:val="24"/>
                <w:szCs w:val="24"/>
              </w:rPr>
              <w:t>（签字）</w:t>
            </w:r>
          </w:p>
        </w:tc>
      </w:tr>
      <w:tr w14:paraId="684513B8">
        <w:tblPrEx>
          <w:tblCellMar>
            <w:top w:w="0" w:type="dxa"/>
            <w:left w:w="108" w:type="dxa"/>
            <w:bottom w:w="0" w:type="dxa"/>
            <w:right w:w="108" w:type="dxa"/>
          </w:tblCellMar>
        </w:tblPrEx>
        <w:tc>
          <w:tcPr>
            <w:tcW w:w="5148" w:type="dxa"/>
            <w:noWrap w:val="0"/>
            <w:vAlign w:val="top"/>
          </w:tcPr>
          <w:p w14:paraId="69274C80">
            <w:pPr>
              <w:spacing w:line="264" w:lineRule="auto"/>
              <w:rPr>
                <w:rFonts w:hint="eastAsia" w:ascii="宋体" w:hAnsi="宋体" w:eastAsia="宋体" w:cs="宋体"/>
                <w:b/>
                <w:sz w:val="24"/>
                <w:szCs w:val="24"/>
              </w:rPr>
            </w:pPr>
          </w:p>
        </w:tc>
        <w:tc>
          <w:tcPr>
            <w:tcW w:w="4860" w:type="dxa"/>
            <w:noWrap w:val="0"/>
            <w:vAlign w:val="top"/>
          </w:tcPr>
          <w:p w14:paraId="405A65BE">
            <w:pPr>
              <w:spacing w:line="264" w:lineRule="auto"/>
              <w:rPr>
                <w:rFonts w:hint="eastAsia" w:ascii="宋体" w:hAnsi="宋体" w:eastAsia="宋体" w:cs="宋体"/>
                <w:b/>
                <w:sz w:val="24"/>
                <w:szCs w:val="24"/>
              </w:rPr>
            </w:pPr>
          </w:p>
        </w:tc>
      </w:tr>
      <w:tr w14:paraId="6DD60091">
        <w:tblPrEx>
          <w:tblCellMar>
            <w:top w:w="0" w:type="dxa"/>
            <w:left w:w="108" w:type="dxa"/>
            <w:bottom w:w="0" w:type="dxa"/>
            <w:right w:w="108" w:type="dxa"/>
          </w:tblCellMar>
        </w:tblPrEx>
        <w:trPr>
          <w:trHeight w:val="350" w:hRule="atLeast"/>
        </w:trPr>
        <w:tc>
          <w:tcPr>
            <w:tcW w:w="5148" w:type="dxa"/>
            <w:noWrap w:val="0"/>
            <w:vAlign w:val="top"/>
          </w:tcPr>
          <w:p w14:paraId="46B48B13">
            <w:pPr>
              <w:spacing w:line="264" w:lineRule="auto"/>
              <w:rPr>
                <w:rFonts w:hint="eastAsia" w:ascii="宋体" w:hAnsi="宋体" w:eastAsia="宋体" w:cs="宋体"/>
                <w:b/>
                <w:sz w:val="24"/>
                <w:szCs w:val="24"/>
              </w:rPr>
            </w:pPr>
            <w:r>
              <w:rPr>
                <w:rFonts w:hint="eastAsia" w:ascii="宋体" w:hAnsi="宋体" w:eastAsia="宋体" w:cs="宋体"/>
                <w:b/>
                <w:sz w:val="24"/>
                <w:szCs w:val="24"/>
              </w:rPr>
              <w:t>甲方代表：</w:t>
            </w:r>
          </w:p>
        </w:tc>
        <w:tc>
          <w:tcPr>
            <w:tcW w:w="4860" w:type="dxa"/>
            <w:noWrap w:val="0"/>
            <w:vAlign w:val="top"/>
          </w:tcPr>
          <w:p w14:paraId="6428B760">
            <w:pPr>
              <w:spacing w:line="264" w:lineRule="auto"/>
              <w:rPr>
                <w:rFonts w:hint="eastAsia" w:ascii="宋体" w:hAnsi="宋体" w:eastAsia="宋体" w:cs="宋体"/>
                <w:b/>
                <w:sz w:val="24"/>
                <w:szCs w:val="24"/>
              </w:rPr>
            </w:pPr>
            <w:r>
              <w:rPr>
                <w:rFonts w:hint="eastAsia" w:ascii="宋体" w:hAnsi="宋体" w:eastAsia="宋体" w:cs="宋体"/>
                <w:b/>
                <w:sz w:val="24"/>
                <w:szCs w:val="24"/>
              </w:rPr>
              <w:t>乙方代表：</w:t>
            </w:r>
          </w:p>
        </w:tc>
      </w:tr>
      <w:tr w14:paraId="18686D37">
        <w:tblPrEx>
          <w:tblCellMar>
            <w:top w:w="0" w:type="dxa"/>
            <w:left w:w="108" w:type="dxa"/>
            <w:bottom w:w="0" w:type="dxa"/>
            <w:right w:w="108" w:type="dxa"/>
          </w:tblCellMar>
        </w:tblPrEx>
        <w:trPr>
          <w:trHeight w:val="350" w:hRule="atLeast"/>
        </w:trPr>
        <w:tc>
          <w:tcPr>
            <w:tcW w:w="5148" w:type="dxa"/>
            <w:noWrap w:val="0"/>
            <w:vAlign w:val="top"/>
          </w:tcPr>
          <w:p w14:paraId="644A42A0">
            <w:pPr>
              <w:spacing w:line="360" w:lineRule="auto"/>
              <w:rPr>
                <w:rFonts w:hint="eastAsia" w:ascii="宋体" w:hAnsi="宋体" w:eastAsia="宋体" w:cs="宋体"/>
                <w:b/>
                <w:sz w:val="24"/>
                <w:szCs w:val="24"/>
              </w:rPr>
            </w:pPr>
            <w:r>
              <w:rPr>
                <w:rFonts w:hint="eastAsia" w:ascii="宋体" w:hAnsi="宋体" w:eastAsia="宋体" w:cs="宋体"/>
                <w:b/>
                <w:sz w:val="24"/>
                <w:szCs w:val="24"/>
              </w:rPr>
              <w:t>（签字）</w:t>
            </w:r>
          </w:p>
        </w:tc>
        <w:tc>
          <w:tcPr>
            <w:tcW w:w="4860" w:type="dxa"/>
            <w:noWrap w:val="0"/>
            <w:vAlign w:val="top"/>
          </w:tcPr>
          <w:p w14:paraId="2C954E97">
            <w:pPr>
              <w:spacing w:line="264" w:lineRule="auto"/>
              <w:rPr>
                <w:rFonts w:hint="eastAsia" w:ascii="宋体" w:hAnsi="宋体" w:eastAsia="宋体" w:cs="宋体"/>
                <w:b/>
                <w:sz w:val="24"/>
                <w:szCs w:val="24"/>
              </w:rPr>
            </w:pPr>
            <w:r>
              <w:rPr>
                <w:rFonts w:hint="eastAsia" w:ascii="宋体" w:hAnsi="宋体" w:eastAsia="宋体" w:cs="宋体"/>
                <w:b/>
                <w:sz w:val="24"/>
                <w:szCs w:val="24"/>
              </w:rPr>
              <w:t>（签字）</w:t>
            </w:r>
          </w:p>
        </w:tc>
      </w:tr>
      <w:tr w14:paraId="0A089951">
        <w:tblPrEx>
          <w:tblCellMar>
            <w:top w:w="0" w:type="dxa"/>
            <w:left w:w="108" w:type="dxa"/>
            <w:bottom w:w="0" w:type="dxa"/>
            <w:right w:w="108" w:type="dxa"/>
          </w:tblCellMar>
        </w:tblPrEx>
        <w:tc>
          <w:tcPr>
            <w:tcW w:w="5148" w:type="dxa"/>
            <w:noWrap w:val="0"/>
            <w:vAlign w:val="top"/>
          </w:tcPr>
          <w:p w14:paraId="6999C8DE">
            <w:pPr>
              <w:spacing w:line="264" w:lineRule="auto"/>
              <w:rPr>
                <w:rFonts w:hint="eastAsia" w:ascii="宋体" w:hAnsi="宋体" w:eastAsia="宋体" w:cs="宋体"/>
                <w:b/>
                <w:sz w:val="24"/>
                <w:szCs w:val="24"/>
              </w:rPr>
            </w:pPr>
          </w:p>
        </w:tc>
        <w:tc>
          <w:tcPr>
            <w:tcW w:w="4860" w:type="dxa"/>
            <w:noWrap w:val="0"/>
            <w:vAlign w:val="top"/>
          </w:tcPr>
          <w:p w14:paraId="6951B51C">
            <w:pPr>
              <w:spacing w:line="264" w:lineRule="auto"/>
              <w:rPr>
                <w:rFonts w:hint="eastAsia" w:ascii="宋体" w:hAnsi="宋体" w:eastAsia="宋体" w:cs="宋体"/>
                <w:b/>
                <w:sz w:val="24"/>
                <w:szCs w:val="24"/>
              </w:rPr>
            </w:pPr>
            <w:r>
              <w:rPr>
                <w:rFonts w:hint="eastAsia" w:ascii="宋体" w:hAnsi="宋体" w:eastAsia="宋体" w:cs="宋体"/>
                <w:b/>
                <w:sz w:val="24"/>
                <w:szCs w:val="24"/>
              </w:rPr>
              <w:t>合同专用章：</w:t>
            </w:r>
          </w:p>
        </w:tc>
      </w:tr>
      <w:tr w14:paraId="70282134">
        <w:tblPrEx>
          <w:tblCellMar>
            <w:top w:w="0" w:type="dxa"/>
            <w:left w:w="108" w:type="dxa"/>
            <w:bottom w:w="0" w:type="dxa"/>
            <w:right w:w="108" w:type="dxa"/>
          </w:tblCellMar>
        </w:tblPrEx>
        <w:tc>
          <w:tcPr>
            <w:tcW w:w="5148" w:type="dxa"/>
            <w:noWrap w:val="0"/>
            <w:vAlign w:val="top"/>
          </w:tcPr>
          <w:p w14:paraId="165C2FDC">
            <w:pPr>
              <w:spacing w:line="264" w:lineRule="auto"/>
              <w:rPr>
                <w:rFonts w:hint="eastAsia" w:ascii="宋体" w:hAnsi="宋体" w:eastAsia="宋体" w:cs="宋体"/>
                <w:b/>
                <w:sz w:val="24"/>
                <w:szCs w:val="24"/>
              </w:rPr>
            </w:pPr>
          </w:p>
        </w:tc>
        <w:tc>
          <w:tcPr>
            <w:tcW w:w="4860" w:type="dxa"/>
            <w:noWrap w:val="0"/>
            <w:vAlign w:val="top"/>
          </w:tcPr>
          <w:p w14:paraId="748CCDFE">
            <w:pPr>
              <w:spacing w:line="264" w:lineRule="auto"/>
              <w:rPr>
                <w:rFonts w:hint="eastAsia" w:ascii="宋体" w:hAnsi="宋体" w:eastAsia="宋体" w:cs="宋体"/>
                <w:b/>
                <w:sz w:val="24"/>
                <w:szCs w:val="24"/>
              </w:rPr>
            </w:pPr>
          </w:p>
        </w:tc>
      </w:tr>
      <w:tr w14:paraId="45AAD8A3">
        <w:tblPrEx>
          <w:tblCellMar>
            <w:top w:w="0" w:type="dxa"/>
            <w:left w:w="108" w:type="dxa"/>
            <w:bottom w:w="0" w:type="dxa"/>
            <w:right w:w="108" w:type="dxa"/>
          </w:tblCellMar>
        </w:tblPrEx>
        <w:tc>
          <w:tcPr>
            <w:tcW w:w="5148" w:type="dxa"/>
            <w:noWrap w:val="0"/>
            <w:vAlign w:val="top"/>
          </w:tcPr>
          <w:p w14:paraId="4B26F9C7">
            <w:pPr>
              <w:spacing w:line="264" w:lineRule="auto"/>
              <w:rPr>
                <w:rFonts w:hint="eastAsia" w:ascii="宋体" w:hAnsi="宋体" w:eastAsia="宋体" w:cs="宋体"/>
                <w:b/>
                <w:sz w:val="24"/>
                <w:szCs w:val="24"/>
              </w:rPr>
            </w:pPr>
          </w:p>
        </w:tc>
        <w:tc>
          <w:tcPr>
            <w:tcW w:w="4860" w:type="dxa"/>
            <w:noWrap w:val="0"/>
            <w:vAlign w:val="top"/>
          </w:tcPr>
          <w:p w14:paraId="624E9AFA">
            <w:pPr>
              <w:spacing w:line="264" w:lineRule="auto"/>
              <w:ind w:left="1054" w:hanging="1205" w:hangingChars="500"/>
              <w:rPr>
                <w:rFonts w:hint="eastAsia" w:ascii="宋体" w:hAnsi="宋体" w:eastAsia="宋体" w:cs="宋体"/>
                <w:b/>
                <w:sz w:val="24"/>
                <w:szCs w:val="24"/>
              </w:rPr>
            </w:pPr>
            <w:r>
              <w:rPr>
                <w:rFonts w:hint="eastAsia" w:ascii="宋体" w:hAnsi="宋体" w:eastAsia="宋体" w:cs="宋体"/>
                <w:b/>
                <w:sz w:val="24"/>
                <w:szCs w:val="24"/>
              </w:rPr>
              <w:t>单位地址：</w:t>
            </w:r>
          </w:p>
        </w:tc>
      </w:tr>
      <w:tr w14:paraId="0A2972E1">
        <w:tblPrEx>
          <w:tblCellMar>
            <w:top w:w="0" w:type="dxa"/>
            <w:left w:w="108" w:type="dxa"/>
            <w:bottom w:w="0" w:type="dxa"/>
            <w:right w:w="108" w:type="dxa"/>
          </w:tblCellMar>
        </w:tblPrEx>
        <w:tc>
          <w:tcPr>
            <w:tcW w:w="5148" w:type="dxa"/>
            <w:noWrap w:val="0"/>
            <w:vAlign w:val="top"/>
          </w:tcPr>
          <w:p w14:paraId="63A62BE2">
            <w:pPr>
              <w:spacing w:line="264" w:lineRule="auto"/>
              <w:rPr>
                <w:rFonts w:hint="eastAsia" w:ascii="宋体" w:hAnsi="宋体" w:eastAsia="宋体" w:cs="宋体"/>
                <w:b/>
                <w:sz w:val="24"/>
                <w:szCs w:val="24"/>
              </w:rPr>
            </w:pPr>
          </w:p>
          <w:p w14:paraId="439DFA8E">
            <w:pPr>
              <w:spacing w:line="264" w:lineRule="auto"/>
              <w:rPr>
                <w:rFonts w:hint="eastAsia" w:ascii="宋体" w:hAnsi="宋体" w:eastAsia="宋体" w:cs="宋体"/>
                <w:b/>
                <w:sz w:val="24"/>
                <w:szCs w:val="24"/>
              </w:rPr>
            </w:pPr>
          </w:p>
        </w:tc>
        <w:tc>
          <w:tcPr>
            <w:tcW w:w="4860" w:type="dxa"/>
            <w:noWrap w:val="0"/>
            <w:vAlign w:val="top"/>
          </w:tcPr>
          <w:p w14:paraId="11C71374">
            <w:pPr>
              <w:spacing w:line="264" w:lineRule="auto"/>
              <w:rPr>
                <w:rFonts w:hint="eastAsia" w:ascii="宋体" w:hAnsi="宋体" w:eastAsia="宋体" w:cs="宋体"/>
                <w:b/>
                <w:sz w:val="24"/>
                <w:szCs w:val="24"/>
              </w:rPr>
            </w:pPr>
          </w:p>
        </w:tc>
      </w:tr>
      <w:tr w14:paraId="2D3BE895">
        <w:tblPrEx>
          <w:tblCellMar>
            <w:top w:w="0" w:type="dxa"/>
            <w:left w:w="108" w:type="dxa"/>
            <w:bottom w:w="0" w:type="dxa"/>
            <w:right w:w="108" w:type="dxa"/>
          </w:tblCellMar>
        </w:tblPrEx>
        <w:tc>
          <w:tcPr>
            <w:tcW w:w="5148" w:type="dxa"/>
            <w:noWrap w:val="0"/>
            <w:vAlign w:val="top"/>
          </w:tcPr>
          <w:p w14:paraId="599ACDA1">
            <w:pPr>
              <w:spacing w:line="264" w:lineRule="auto"/>
              <w:rPr>
                <w:rFonts w:hint="eastAsia" w:ascii="宋体" w:hAnsi="宋体" w:eastAsia="宋体" w:cs="宋体"/>
                <w:b/>
                <w:sz w:val="24"/>
                <w:szCs w:val="24"/>
              </w:rPr>
            </w:pPr>
            <w:r>
              <w:rPr>
                <w:rFonts w:hint="eastAsia" w:ascii="宋体" w:hAnsi="宋体" w:eastAsia="宋体" w:cs="宋体"/>
                <w:b/>
                <w:sz w:val="24"/>
                <w:szCs w:val="24"/>
              </w:rPr>
              <w:t>合同专用章：</w:t>
            </w:r>
          </w:p>
        </w:tc>
        <w:tc>
          <w:tcPr>
            <w:tcW w:w="4860" w:type="dxa"/>
            <w:noWrap w:val="0"/>
            <w:vAlign w:val="top"/>
          </w:tcPr>
          <w:p w14:paraId="0F3E67E3">
            <w:pPr>
              <w:spacing w:line="264" w:lineRule="auto"/>
              <w:rPr>
                <w:rFonts w:hint="eastAsia" w:ascii="宋体" w:hAnsi="宋体" w:eastAsia="宋体" w:cs="宋体"/>
                <w:b/>
                <w:sz w:val="24"/>
                <w:szCs w:val="24"/>
              </w:rPr>
            </w:pPr>
            <w:r>
              <w:rPr>
                <w:rFonts w:hint="eastAsia" w:ascii="宋体" w:hAnsi="宋体" w:eastAsia="宋体" w:cs="宋体"/>
                <w:b/>
                <w:sz w:val="24"/>
                <w:szCs w:val="24"/>
              </w:rPr>
              <w:t>单位电话：</w:t>
            </w:r>
          </w:p>
        </w:tc>
      </w:tr>
      <w:tr w14:paraId="3C91D113">
        <w:tblPrEx>
          <w:tblCellMar>
            <w:top w:w="0" w:type="dxa"/>
            <w:left w:w="108" w:type="dxa"/>
            <w:bottom w:w="0" w:type="dxa"/>
            <w:right w:w="108" w:type="dxa"/>
          </w:tblCellMar>
        </w:tblPrEx>
        <w:tc>
          <w:tcPr>
            <w:tcW w:w="5148" w:type="dxa"/>
            <w:noWrap w:val="0"/>
            <w:vAlign w:val="top"/>
          </w:tcPr>
          <w:p w14:paraId="3CAEE24D">
            <w:pPr>
              <w:spacing w:line="264" w:lineRule="auto"/>
              <w:rPr>
                <w:rFonts w:hint="eastAsia" w:ascii="宋体" w:hAnsi="宋体" w:eastAsia="宋体" w:cs="宋体"/>
                <w:b/>
                <w:sz w:val="24"/>
                <w:szCs w:val="24"/>
              </w:rPr>
            </w:pPr>
          </w:p>
          <w:p w14:paraId="4878E902">
            <w:pPr>
              <w:spacing w:line="264" w:lineRule="auto"/>
              <w:rPr>
                <w:rFonts w:hint="eastAsia" w:ascii="宋体" w:hAnsi="宋体" w:eastAsia="宋体" w:cs="宋体"/>
                <w:b/>
                <w:sz w:val="24"/>
                <w:szCs w:val="24"/>
              </w:rPr>
            </w:pPr>
          </w:p>
        </w:tc>
        <w:tc>
          <w:tcPr>
            <w:tcW w:w="4860" w:type="dxa"/>
            <w:noWrap w:val="0"/>
            <w:vAlign w:val="top"/>
          </w:tcPr>
          <w:p w14:paraId="323A51E6">
            <w:pPr>
              <w:spacing w:line="264" w:lineRule="auto"/>
              <w:rPr>
                <w:rFonts w:hint="eastAsia" w:ascii="宋体" w:hAnsi="宋体" w:eastAsia="宋体" w:cs="宋体"/>
                <w:b/>
                <w:sz w:val="24"/>
                <w:szCs w:val="24"/>
              </w:rPr>
            </w:pPr>
            <w:r>
              <w:rPr>
                <w:rFonts w:hint="eastAsia" w:ascii="宋体" w:hAnsi="宋体" w:eastAsia="宋体" w:cs="宋体"/>
                <w:b/>
                <w:sz w:val="24"/>
                <w:szCs w:val="24"/>
              </w:rPr>
              <w:t>维修工程师电话：</w:t>
            </w:r>
          </w:p>
        </w:tc>
      </w:tr>
      <w:tr w14:paraId="760F0586">
        <w:tblPrEx>
          <w:tblCellMar>
            <w:top w:w="0" w:type="dxa"/>
            <w:left w:w="108" w:type="dxa"/>
            <w:bottom w:w="0" w:type="dxa"/>
            <w:right w:w="108" w:type="dxa"/>
          </w:tblCellMar>
        </w:tblPrEx>
        <w:tc>
          <w:tcPr>
            <w:tcW w:w="5148" w:type="dxa"/>
            <w:noWrap w:val="0"/>
            <w:vAlign w:val="top"/>
          </w:tcPr>
          <w:p w14:paraId="70C00134">
            <w:pPr>
              <w:spacing w:line="264" w:lineRule="auto"/>
              <w:rPr>
                <w:rFonts w:hint="eastAsia" w:ascii="宋体" w:hAnsi="宋体" w:eastAsia="宋体" w:cs="宋体"/>
                <w:b/>
                <w:sz w:val="24"/>
                <w:szCs w:val="24"/>
              </w:rPr>
            </w:pPr>
            <w:r>
              <w:rPr>
                <w:rFonts w:hint="eastAsia" w:ascii="宋体" w:hAnsi="宋体" w:eastAsia="宋体" w:cs="宋体"/>
                <w:b/>
                <w:sz w:val="24"/>
                <w:szCs w:val="24"/>
              </w:rPr>
              <w:t>单位地址：乌鲁木齐市鲤鱼山路137号</w:t>
            </w:r>
          </w:p>
        </w:tc>
        <w:tc>
          <w:tcPr>
            <w:tcW w:w="4860" w:type="dxa"/>
            <w:noWrap w:val="0"/>
            <w:vAlign w:val="top"/>
          </w:tcPr>
          <w:p w14:paraId="69D3B265">
            <w:pPr>
              <w:spacing w:line="264" w:lineRule="auto"/>
              <w:rPr>
                <w:rFonts w:hint="eastAsia" w:ascii="宋体" w:hAnsi="宋体" w:eastAsia="宋体" w:cs="宋体"/>
                <w:b/>
                <w:sz w:val="24"/>
                <w:szCs w:val="24"/>
              </w:rPr>
            </w:pPr>
            <w:r>
              <w:rPr>
                <w:rFonts w:hint="eastAsia" w:ascii="宋体" w:hAnsi="宋体" w:eastAsia="宋体" w:cs="宋体"/>
                <w:b/>
                <w:sz w:val="24"/>
                <w:szCs w:val="24"/>
              </w:rPr>
              <w:t>开户行：</w:t>
            </w:r>
          </w:p>
        </w:tc>
      </w:tr>
      <w:tr w14:paraId="1E8EBFE6">
        <w:tblPrEx>
          <w:tblCellMar>
            <w:top w:w="0" w:type="dxa"/>
            <w:left w:w="108" w:type="dxa"/>
            <w:bottom w:w="0" w:type="dxa"/>
            <w:right w:w="108" w:type="dxa"/>
          </w:tblCellMar>
        </w:tblPrEx>
        <w:tc>
          <w:tcPr>
            <w:tcW w:w="5148" w:type="dxa"/>
            <w:noWrap w:val="0"/>
            <w:vAlign w:val="top"/>
          </w:tcPr>
          <w:p w14:paraId="11E61985">
            <w:pPr>
              <w:spacing w:line="264" w:lineRule="auto"/>
              <w:rPr>
                <w:rFonts w:hint="eastAsia" w:ascii="宋体" w:hAnsi="宋体" w:eastAsia="宋体" w:cs="宋体"/>
                <w:b/>
                <w:sz w:val="24"/>
                <w:szCs w:val="24"/>
              </w:rPr>
            </w:pPr>
          </w:p>
          <w:p w14:paraId="7837A66D">
            <w:pPr>
              <w:spacing w:line="264" w:lineRule="auto"/>
              <w:rPr>
                <w:rFonts w:hint="eastAsia" w:ascii="宋体" w:hAnsi="宋体" w:eastAsia="宋体" w:cs="宋体"/>
                <w:b/>
                <w:sz w:val="24"/>
                <w:szCs w:val="24"/>
              </w:rPr>
            </w:pPr>
            <w:r>
              <w:rPr>
                <w:rFonts w:hint="eastAsia" w:ascii="宋体" w:hAnsi="宋体" w:eastAsia="宋体" w:cs="宋体"/>
                <w:b/>
                <w:sz w:val="24"/>
                <w:szCs w:val="24"/>
              </w:rPr>
              <w:t>单位电话：0991-4362698</w:t>
            </w:r>
          </w:p>
        </w:tc>
        <w:tc>
          <w:tcPr>
            <w:tcW w:w="4860" w:type="dxa"/>
            <w:noWrap w:val="0"/>
            <w:vAlign w:val="top"/>
          </w:tcPr>
          <w:p w14:paraId="221C3491">
            <w:pPr>
              <w:spacing w:line="264" w:lineRule="auto"/>
              <w:rPr>
                <w:rFonts w:hint="eastAsia" w:ascii="宋体" w:hAnsi="宋体" w:eastAsia="宋体" w:cs="宋体"/>
                <w:b/>
                <w:sz w:val="24"/>
                <w:szCs w:val="24"/>
              </w:rPr>
            </w:pPr>
            <w:r>
              <w:rPr>
                <w:rFonts w:hint="eastAsia" w:ascii="宋体" w:hAnsi="宋体" w:eastAsia="宋体" w:cs="宋体"/>
                <w:b/>
                <w:sz w:val="24"/>
                <w:szCs w:val="24"/>
              </w:rPr>
              <w:t>帐号：</w:t>
            </w:r>
          </w:p>
        </w:tc>
      </w:tr>
      <w:tr w14:paraId="2935DC2A">
        <w:tblPrEx>
          <w:tblCellMar>
            <w:top w:w="0" w:type="dxa"/>
            <w:left w:w="108" w:type="dxa"/>
            <w:bottom w:w="0" w:type="dxa"/>
            <w:right w:w="108" w:type="dxa"/>
          </w:tblCellMar>
        </w:tblPrEx>
        <w:tc>
          <w:tcPr>
            <w:tcW w:w="5148" w:type="dxa"/>
            <w:noWrap w:val="0"/>
            <w:vAlign w:val="top"/>
          </w:tcPr>
          <w:p w14:paraId="1337DC13">
            <w:pPr>
              <w:spacing w:line="264" w:lineRule="auto"/>
              <w:rPr>
                <w:rFonts w:hint="eastAsia" w:ascii="宋体" w:hAnsi="宋体" w:eastAsia="宋体" w:cs="宋体"/>
                <w:b/>
                <w:sz w:val="24"/>
                <w:szCs w:val="24"/>
              </w:rPr>
            </w:pPr>
            <w:r>
              <w:rPr>
                <w:rFonts w:hint="eastAsia" w:ascii="宋体" w:hAnsi="宋体" w:eastAsia="宋体" w:cs="宋体"/>
                <w:b/>
                <w:sz w:val="24"/>
                <w:szCs w:val="24"/>
              </w:rPr>
              <w:t>合同签订时间：    年   月   日</w:t>
            </w:r>
          </w:p>
        </w:tc>
        <w:tc>
          <w:tcPr>
            <w:tcW w:w="4860" w:type="dxa"/>
            <w:noWrap w:val="0"/>
            <w:vAlign w:val="top"/>
          </w:tcPr>
          <w:p w14:paraId="74F57D0C">
            <w:pPr>
              <w:spacing w:line="264" w:lineRule="auto"/>
              <w:rPr>
                <w:rFonts w:hint="eastAsia" w:ascii="宋体" w:hAnsi="宋体" w:eastAsia="宋体" w:cs="宋体"/>
                <w:b/>
                <w:sz w:val="24"/>
                <w:szCs w:val="24"/>
              </w:rPr>
            </w:pPr>
            <w:r>
              <w:rPr>
                <w:rFonts w:hint="eastAsia" w:ascii="宋体" w:hAnsi="宋体" w:eastAsia="宋体" w:cs="宋体"/>
                <w:b/>
                <w:sz w:val="24"/>
                <w:szCs w:val="24"/>
              </w:rPr>
              <w:t>合同签订时间：    年   月   日</w:t>
            </w:r>
          </w:p>
        </w:tc>
      </w:tr>
    </w:tbl>
    <w:p w14:paraId="07F42A4B">
      <w:pPr>
        <w:snapToGrid w:val="0"/>
        <w:spacing w:line="264" w:lineRule="auto"/>
        <w:ind w:firstLine="234" w:firstLineChars="97"/>
        <w:rPr>
          <w:rFonts w:hint="eastAsia" w:ascii="宋体" w:hAnsi="宋体" w:eastAsia="宋体" w:cs="宋体"/>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附件1：</w:t>
      </w:r>
    </w:p>
    <w:p w14:paraId="0126F33E">
      <w:pPr>
        <w:snapToGrid w:val="0"/>
        <w:spacing w:line="264" w:lineRule="auto"/>
        <w:ind w:firstLine="480" w:firstLineChars="200"/>
        <w:jc w:val="center"/>
        <w:rPr>
          <w:rFonts w:hint="eastAsia" w:ascii="宋体" w:hAnsi="宋体" w:eastAsia="宋体" w:cs="宋体"/>
          <w:sz w:val="24"/>
          <w:szCs w:val="24"/>
        </w:rPr>
      </w:pPr>
    </w:p>
    <w:p w14:paraId="73D7314A">
      <w:pPr>
        <w:snapToGrid w:val="0"/>
        <w:spacing w:line="264"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法人身份证明书或法人代表授权书（如果有授权代表）（加盖公章）</w:t>
      </w:r>
    </w:p>
    <w:p w14:paraId="33518E7D">
      <w:pPr>
        <w:snapToGrid w:val="0"/>
        <w:spacing w:line="264" w:lineRule="auto"/>
        <w:ind w:firstLine="480" w:firstLineChars="200"/>
        <w:jc w:val="center"/>
        <w:rPr>
          <w:rFonts w:hint="eastAsia" w:ascii="宋体" w:hAnsi="宋体" w:eastAsia="宋体" w:cs="宋体"/>
          <w:sz w:val="24"/>
          <w:szCs w:val="24"/>
        </w:rPr>
      </w:pPr>
    </w:p>
    <w:p w14:paraId="0449B800">
      <w:pPr>
        <w:jc w:val="center"/>
        <w:rPr>
          <w:rFonts w:hint="eastAsia" w:ascii="宋体" w:hAnsi="宋体" w:eastAsia="宋体" w:cs="宋体"/>
          <w:b/>
          <w:bCs/>
          <w:spacing w:val="20"/>
          <w:sz w:val="24"/>
          <w:szCs w:val="24"/>
        </w:rPr>
      </w:pPr>
      <w:r>
        <w:rPr>
          <w:rFonts w:hint="eastAsia" w:ascii="宋体" w:hAnsi="宋体" w:eastAsia="宋体" w:cs="宋体"/>
          <w:b/>
          <w:bCs/>
          <w:spacing w:val="20"/>
          <w:sz w:val="24"/>
          <w:szCs w:val="24"/>
        </w:rPr>
        <w:t>样本：法人代表授权书</w:t>
      </w:r>
    </w:p>
    <w:p w14:paraId="729C61DC">
      <w:pPr>
        <w:jc w:val="center"/>
        <w:rPr>
          <w:rFonts w:hint="eastAsia" w:ascii="宋体" w:hAnsi="宋体" w:eastAsia="宋体" w:cs="宋体"/>
          <w:sz w:val="24"/>
          <w:szCs w:val="24"/>
        </w:rPr>
      </w:pPr>
    </w:p>
    <w:p w14:paraId="1EC5EE8A">
      <w:pPr>
        <w:jc w:val="center"/>
        <w:rPr>
          <w:rFonts w:hint="eastAsia" w:ascii="宋体" w:hAnsi="宋体" w:eastAsia="宋体" w:cs="宋体"/>
          <w:sz w:val="24"/>
          <w:szCs w:val="24"/>
        </w:rPr>
      </w:pPr>
    </w:p>
    <w:p w14:paraId="48C0C427">
      <w:pPr>
        <w:pStyle w:val="12"/>
        <w:spacing w:line="760" w:lineRule="exact"/>
        <w:ind w:firstLine="56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（地区名称）</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的</w:t>
      </w:r>
      <w:r>
        <w:rPr>
          <w:rFonts w:hint="eastAsia" w:ascii="宋体" w:hAnsi="宋体" w:eastAsia="宋体" w:cs="宋体"/>
          <w:b/>
          <w:sz w:val="24"/>
          <w:szCs w:val="24"/>
          <w:u w:val="single"/>
        </w:rPr>
        <w:t xml:space="preserve">   （公司名称）   </w:t>
      </w:r>
      <w:r>
        <w:rPr>
          <w:rFonts w:hint="eastAsia" w:ascii="宋体" w:hAnsi="宋体" w:eastAsia="宋体" w:cs="宋体"/>
          <w:sz w:val="24"/>
          <w:szCs w:val="24"/>
        </w:rPr>
        <w:t>法人</w:t>
      </w:r>
      <w:r>
        <w:rPr>
          <w:rFonts w:hint="eastAsia" w:ascii="宋体" w:hAnsi="宋体" w:eastAsia="宋体" w:cs="宋体"/>
          <w:b/>
          <w:sz w:val="24"/>
          <w:szCs w:val="24"/>
          <w:u w:val="single"/>
        </w:rPr>
        <w:t xml:space="preserve">   （姓名、职务） </w:t>
      </w:r>
      <w:r>
        <w:rPr>
          <w:rFonts w:hint="eastAsia" w:ascii="宋体" w:hAnsi="宋体" w:eastAsia="宋体" w:cs="宋体"/>
          <w:sz w:val="24"/>
          <w:szCs w:val="24"/>
        </w:rPr>
        <w:t>代表本公司授权销售代表</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（姓名、职务）</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rPr>
        <w:t>为本公司的合法代理人，就新疆医科大学第一附属医院医疗设备项目</w:t>
      </w:r>
      <w:r>
        <w:rPr>
          <w:rFonts w:hint="eastAsia" w:ascii="宋体" w:hAnsi="宋体" w:eastAsia="宋体" w:cs="宋体"/>
          <w:b/>
          <w:sz w:val="24"/>
          <w:szCs w:val="24"/>
          <w:u w:val="single"/>
        </w:rPr>
        <w:t xml:space="preserve">     （合同编号+设备名称）    </w:t>
      </w:r>
      <w:r>
        <w:rPr>
          <w:rFonts w:hint="eastAsia" w:ascii="宋体" w:hAnsi="宋体" w:eastAsia="宋体" w:cs="宋体"/>
          <w:sz w:val="24"/>
          <w:szCs w:val="24"/>
        </w:rPr>
        <w:t>包括但不限于以下方面：谈判响应、合同签订、履行，以本公司的名义处理一切与之有关的事务。</w:t>
      </w:r>
    </w:p>
    <w:p w14:paraId="16B6453E">
      <w:pPr>
        <w:spacing w:line="700" w:lineRule="exact"/>
        <w:ind w:firstLine="482"/>
        <w:rPr>
          <w:rFonts w:hint="eastAsia" w:ascii="宋体" w:hAnsi="宋体" w:eastAsia="宋体" w:cs="宋体"/>
          <w:sz w:val="24"/>
          <w:szCs w:val="24"/>
        </w:rPr>
      </w:pPr>
    </w:p>
    <w:p w14:paraId="5AE87EF9">
      <w:pPr>
        <w:spacing w:line="700" w:lineRule="exact"/>
        <w:ind w:firstLine="652" w:firstLineChars="272"/>
        <w:rPr>
          <w:rFonts w:hint="eastAsia" w:ascii="宋体" w:hAnsi="宋体" w:eastAsia="宋体" w:cs="宋体"/>
          <w:sz w:val="24"/>
          <w:szCs w:val="24"/>
          <w:u w:val="single"/>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sz w:val="24"/>
          <w:szCs w:val="24"/>
        </w:rPr>
        <w:t>月</w:t>
      </w:r>
      <w:r>
        <w:rPr>
          <w:rFonts w:hint="eastAsia" w:ascii="宋体" w:hAnsi="宋体" w:eastAsia="宋体" w:cs="宋体"/>
          <w:b/>
          <w:sz w:val="24"/>
          <w:szCs w:val="24"/>
          <w:u w:val="single"/>
        </w:rPr>
        <w:t xml:space="preserve">     </w:t>
      </w:r>
      <w:r>
        <w:rPr>
          <w:rFonts w:hint="eastAsia" w:ascii="宋体" w:hAnsi="宋体" w:eastAsia="宋体" w:cs="宋体"/>
          <w:sz w:val="24"/>
          <w:szCs w:val="24"/>
        </w:rPr>
        <w:t>日签字生效，特此声明。</w:t>
      </w:r>
    </w:p>
    <w:p w14:paraId="445BC525">
      <w:pPr>
        <w:spacing w:line="700" w:lineRule="exact"/>
        <w:ind w:firstLine="482"/>
        <w:rPr>
          <w:rFonts w:hint="eastAsia" w:ascii="宋体" w:hAnsi="宋体" w:eastAsia="宋体" w:cs="宋体"/>
          <w:sz w:val="24"/>
          <w:szCs w:val="24"/>
        </w:rPr>
      </w:pPr>
    </w:p>
    <w:p w14:paraId="2956DAEF">
      <w:pPr>
        <w:spacing w:line="900" w:lineRule="exact"/>
        <w:ind w:firstLine="651" w:firstLineChars="270"/>
        <w:rPr>
          <w:rFonts w:hint="eastAsia" w:ascii="宋体" w:hAnsi="宋体" w:eastAsia="宋体" w:cs="宋体"/>
          <w:b/>
          <w:sz w:val="24"/>
          <w:szCs w:val="24"/>
        </w:rPr>
      </w:pPr>
      <w:r>
        <w:rPr>
          <w:rFonts w:hint="eastAsia" w:ascii="宋体" w:hAnsi="宋体" w:eastAsia="宋体" w:cs="宋体"/>
          <w:b/>
          <w:sz w:val="24"/>
          <w:szCs w:val="24"/>
        </w:rPr>
        <w:t>法人代表签字：</w:t>
      </w:r>
      <w:r>
        <w:rPr>
          <w:rFonts w:hint="eastAsia" w:ascii="宋体" w:hAnsi="宋体" w:eastAsia="宋体" w:cs="宋体"/>
          <w:b/>
          <w:sz w:val="24"/>
          <w:szCs w:val="24"/>
          <w:u w:val="single"/>
        </w:rPr>
        <w:t>　　　　　　　　　　　　　　</w:t>
      </w:r>
    </w:p>
    <w:p w14:paraId="71C6D224">
      <w:pPr>
        <w:spacing w:line="900" w:lineRule="exact"/>
        <w:ind w:firstLine="651" w:firstLineChars="270"/>
        <w:rPr>
          <w:rFonts w:hint="eastAsia" w:ascii="宋体" w:hAnsi="宋体" w:eastAsia="宋体" w:cs="宋体"/>
          <w:b/>
          <w:sz w:val="24"/>
          <w:szCs w:val="24"/>
        </w:rPr>
      </w:pPr>
      <w:r>
        <w:rPr>
          <w:rFonts w:hint="eastAsia" w:ascii="宋体" w:hAnsi="宋体" w:eastAsia="宋体" w:cs="宋体"/>
          <w:b/>
          <w:sz w:val="24"/>
          <w:szCs w:val="24"/>
        </w:rPr>
        <w:t>被授权人签字：</w:t>
      </w:r>
      <w:r>
        <w:rPr>
          <w:rFonts w:hint="eastAsia" w:ascii="宋体" w:hAnsi="宋体" w:eastAsia="宋体" w:cs="宋体"/>
          <w:b/>
          <w:sz w:val="24"/>
          <w:szCs w:val="24"/>
          <w:u w:val="single"/>
        </w:rPr>
        <w:t>　　　　　　　　　　　　　　</w:t>
      </w:r>
    </w:p>
    <w:p w14:paraId="0D50DBF6">
      <w:pPr>
        <w:spacing w:line="900" w:lineRule="exact"/>
        <w:ind w:firstLine="651" w:firstLineChars="270"/>
        <w:rPr>
          <w:rFonts w:hint="eastAsia" w:ascii="宋体" w:hAnsi="宋体" w:eastAsia="宋体" w:cs="宋体"/>
          <w:b/>
          <w:sz w:val="24"/>
          <w:szCs w:val="24"/>
          <w:u w:val="single"/>
        </w:rPr>
      </w:pPr>
      <w:r>
        <w:rPr>
          <w:rFonts w:hint="eastAsia" w:ascii="宋体" w:hAnsi="宋体" w:eastAsia="宋体" w:cs="宋体"/>
          <w:b/>
          <w:sz w:val="24"/>
          <w:szCs w:val="24"/>
        </w:rPr>
        <w:t>公        章：</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（公司名称）           </w:t>
      </w:r>
    </w:p>
    <w:p w14:paraId="1335D9B1">
      <w:pPr>
        <w:spacing w:line="900" w:lineRule="exact"/>
        <w:ind w:firstLine="651" w:firstLineChars="270"/>
        <w:rPr>
          <w:rFonts w:hint="eastAsia" w:ascii="宋体" w:hAnsi="宋体" w:eastAsia="宋体" w:cs="宋体"/>
          <w:b/>
          <w:sz w:val="24"/>
          <w:szCs w:val="24"/>
          <w:u w:val="single"/>
        </w:rPr>
      </w:pPr>
    </w:p>
    <w:p w14:paraId="353711DF">
      <w:pPr>
        <w:spacing w:line="900" w:lineRule="exact"/>
        <w:ind w:firstLine="651" w:firstLineChars="270"/>
        <w:rPr>
          <w:rFonts w:hint="eastAsia" w:ascii="宋体" w:hAnsi="宋体" w:eastAsia="宋体" w:cs="宋体"/>
          <w:b/>
          <w:color w:val="FF0000"/>
          <w:sz w:val="24"/>
          <w:szCs w:val="24"/>
          <w:u w:val="single"/>
        </w:rPr>
      </w:pPr>
      <w:r>
        <w:rPr>
          <w:rFonts w:hint="eastAsia" w:ascii="宋体" w:hAnsi="宋体" w:eastAsia="宋体" w:cs="宋体"/>
          <w:b/>
          <w:color w:val="FF0000"/>
          <w:sz w:val="24"/>
          <w:szCs w:val="24"/>
          <w:u w:val="single"/>
        </w:rPr>
        <w:t>附法人及法人授权代表身份证复印件，加盖公章</w:t>
      </w:r>
    </w:p>
    <w:p w14:paraId="31F1B8AF">
      <w:pPr>
        <w:snapToGrid w:val="0"/>
        <w:spacing w:line="264" w:lineRule="auto"/>
        <w:ind w:firstLine="480" w:firstLineChars="200"/>
        <w:jc w:val="center"/>
        <w:rPr>
          <w:rFonts w:hint="eastAsia" w:ascii="宋体" w:hAnsi="宋体" w:eastAsia="宋体" w:cs="宋体"/>
          <w:sz w:val="24"/>
          <w:szCs w:val="24"/>
        </w:rPr>
      </w:pPr>
    </w:p>
    <w:p w14:paraId="6202BFDC">
      <w:pPr>
        <w:snapToGrid w:val="0"/>
        <w:spacing w:line="264" w:lineRule="auto"/>
        <w:ind w:firstLine="480" w:firstLineChars="200"/>
        <w:jc w:val="center"/>
        <w:rPr>
          <w:rFonts w:hint="eastAsia" w:ascii="宋体" w:hAnsi="宋体" w:eastAsia="宋体" w:cs="宋体"/>
          <w:sz w:val="24"/>
          <w:szCs w:val="24"/>
        </w:rPr>
      </w:pPr>
    </w:p>
    <w:p w14:paraId="51E9AAB2">
      <w:pPr>
        <w:snapToGrid w:val="0"/>
        <w:spacing w:line="264" w:lineRule="auto"/>
        <w:ind w:firstLine="480" w:firstLineChars="200"/>
        <w:jc w:val="center"/>
        <w:rPr>
          <w:rFonts w:hint="eastAsia" w:ascii="宋体" w:hAnsi="宋体" w:eastAsia="宋体" w:cs="宋体"/>
          <w:sz w:val="24"/>
          <w:szCs w:val="24"/>
        </w:rPr>
      </w:pPr>
    </w:p>
    <w:p w14:paraId="540469CD">
      <w:pPr>
        <w:snapToGrid w:val="0"/>
        <w:spacing w:line="264" w:lineRule="auto"/>
        <w:ind w:firstLine="480" w:firstLineChars="200"/>
        <w:jc w:val="center"/>
        <w:rPr>
          <w:rFonts w:hint="eastAsia" w:ascii="宋体" w:hAnsi="宋体" w:eastAsia="宋体" w:cs="宋体"/>
          <w:sz w:val="24"/>
          <w:szCs w:val="24"/>
        </w:rPr>
      </w:pPr>
    </w:p>
    <w:p w14:paraId="150AA47A">
      <w:pPr>
        <w:snapToGrid w:val="0"/>
        <w:spacing w:line="264" w:lineRule="auto"/>
        <w:ind w:firstLine="480" w:firstLineChars="200"/>
        <w:jc w:val="center"/>
        <w:rPr>
          <w:rFonts w:hint="eastAsia" w:ascii="宋体" w:hAnsi="宋体" w:eastAsia="宋体" w:cs="宋体"/>
          <w:sz w:val="24"/>
          <w:szCs w:val="24"/>
        </w:rPr>
      </w:pPr>
    </w:p>
    <w:p w14:paraId="12CE0766">
      <w:pPr>
        <w:snapToGrid w:val="0"/>
        <w:spacing w:line="264"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p>
    <w:p w14:paraId="1B123893">
      <w:pPr>
        <w:snapToGrid w:val="0"/>
        <w:spacing w:line="264" w:lineRule="auto"/>
        <w:ind w:firstLine="480" w:firstLineChars="200"/>
        <w:jc w:val="center"/>
        <w:rPr>
          <w:rFonts w:hint="eastAsia" w:ascii="宋体" w:hAnsi="宋体" w:eastAsia="宋体" w:cs="宋体"/>
          <w:sz w:val="24"/>
          <w:szCs w:val="24"/>
        </w:rPr>
      </w:pPr>
    </w:p>
    <w:p w14:paraId="5B48A390">
      <w:pPr>
        <w:snapToGrid w:val="0"/>
        <w:spacing w:line="264" w:lineRule="auto"/>
        <w:ind w:firstLine="480" w:firstLineChars="200"/>
        <w:jc w:val="center"/>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医疗器械注册证</w:t>
      </w:r>
      <w:r>
        <w:rPr>
          <w:rFonts w:hint="eastAsia" w:ascii="宋体" w:hAnsi="宋体" w:eastAsia="宋体" w:cs="宋体"/>
          <w:sz w:val="24"/>
          <w:szCs w:val="24"/>
        </w:rPr>
        <w:fldChar w:fldCharType="end"/>
      </w:r>
      <w:r>
        <w:rPr>
          <w:rFonts w:hint="eastAsia" w:ascii="宋体" w:hAnsi="宋体" w:eastAsia="宋体" w:cs="宋体"/>
          <w:b/>
          <w:bCs/>
          <w:color w:val="FF0000"/>
          <w:sz w:val="24"/>
          <w:szCs w:val="24"/>
        </w:rPr>
        <w:t>（加盖公章）</w:t>
      </w:r>
    </w:p>
    <w:p w14:paraId="0811DE9B">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14:paraId="069A5F0F">
      <w:pPr>
        <w:snapToGrid w:val="0"/>
        <w:spacing w:line="264" w:lineRule="auto"/>
        <w:ind w:firstLine="480" w:firstLineChars="200"/>
        <w:jc w:val="left"/>
        <w:rPr>
          <w:rFonts w:hint="eastAsia" w:ascii="宋体" w:hAnsi="宋体" w:eastAsia="宋体" w:cs="宋体"/>
          <w:sz w:val="24"/>
          <w:szCs w:val="24"/>
        </w:rPr>
      </w:pPr>
    </w:p>
    <w:p w14:paraId="4B53408B">
      <w:pPr>
        <w:snapToGrid w:val="0"/>
        <w:spacing w:line="264"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配 置 清 单</w:t>
      </w:r>
      <w:r>
        <w:rPr>
          <w:rFonts w:hint="eastAsia" w:ascii="宋体" w:hAnsi="宋体" w:eastAsia="宋体" w:cs="宋体"/>
          <w:b/>
          <w:bCs/>
          <w:color w:val="FF0000"/>
          <w:sz w:val="24"/>
          <w:szCs w:val="24"/>
        </w:rPr>
        <w:t>（加盖合同专用章）</w:t>
      </w:r>
    </w:p>
    <w:p w14:paraId="59A69B77">
      <w:pPr>
        <w:snapToGrid w:val="0"/>
        <w:spacing w:line="264"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型号）</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设备名称）</w:t>
      </w:r>
    </w:p>
    <w:p w14:paraId="120DC1AE">
      <w:pPr>
        <w:snapToGrid w:val="0"/>
        <w:spacing w:line="264" w:lineRule="auto"/>
        <w:ind w:firstLine="482" w:firstLineChars="200"/>
        <w:jc w:val="left"/>
        <w:rPr>
          <w:rFonts w:hint="eastAsia" w:ascii="宋体" w:hAnsi="宋体" w:eastAsia="宋体" w:cs="宋体"/>
          <w:b/>
          <w:bCs/>
          <w:sz w:val="24"/>
          <w:szCs w:val="24"/>
        </w:rPr>
      </w:pPr>
    </w:p>
    <w:p w14:paraId="378F23CD">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设备台数：</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86"/>
        <w:gridCol w:w="1420"/>
        <w:gridCol w:w="1420"/>
        <w:gridCol w:w="1420"/>
        <w:gridCol w:w="1427"/>
      </w:tblGrid>
      <w:tr w14:paraId="2355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7D03670D">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标准配置</w:t>
            </w:r>
          </w:p>
        </w:tc>
      </w:tr>
      <w:tr w14:paraId="65BC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7546A18">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5" w:type="pct"/>
            <w:noWrap w:val="0"/>
            <w:vAlign w:val="top"/>
          </w:tcPr>
          <w:p w14:paraId="14F96530">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833" w:type="pct"/>
            <w:noWrap w:val="0"/>
            <w:vAlign w:val="top"/>
          </w:tcPr>
          <w:p w14:paraId="4F1B0007">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833" w:type="pct"/>
            <w:noWrap w:val="0"/>
            <w:vAlign w:val="top"/>
          </w:tcPr>
          <w:p w14:paraId="3ABD8194">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833" w:type="pct"/>
            <w:noWrap w:val="0"/>
            <w:vAlign w:val="top"/>
          </w:tcPr>
          <w:p w14:paraId="67B8C142">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834" w:type="pct"/>
            <w:noWrap w:val="0"/>
            <w:vAlign w:val="top"/>
          </w:tcPr>
          <w:p w14:paraId="20BCCDB0">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425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1D4FDC28">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5" w:type="pct"/>
            <w:noWrap w:val="0"/>
            <w:vAlign w:val="top"/>
          </w:tcPr>
          <w:p w14:paraId="4B8CA947">
            <w:pPr>
              <w:snapToGrid w:val="0"/>
              <w:spacing w:line="264" w:lineRule="auto"/>
              <w:jc w:val="center"/>
              <w:rPr>
                <w:rFonts w:hint="eastAsia" w:ascii="宋体" w:hAnsi="宋体" w:eastAsia="宋体" w:cs="宋体"/>
                <w:sz w:val="24"/>
                <w:szCs w:val="24"/>
              </w:rPr>
            </w:pPr>
          </w:p>
        </w:tc>
        <w:tc>
          <w:tcPr>
            <w:tcW w:w="833" w:type="pct"/>
            <w:noWrap w:val="0"/>
            <w:vAlign w:val="top"/>
          </w:tcPr>
          <w:p w14:paraId="0449FE75">
            <w:pPr>
              <w:snapToGrid w:val="0"/>
              <w:spacing w:line="264" w:lineRule="auto"/>
              <w:jc w:val="center"/>
              <w:rPr>
                <w:rFonts w:hint="eastAsia" w:ascii="宋体" w:hAnsi="宋体" w:eastAsia="宋体" w:cs="宋体"/>
                <w:sz w:val="24"/>
                <w:szCs w:val="24"/>
              </w:rPr>
            </w:pPr>
          </w:p>
        </w:tc>
        <w:tc>
          <w:tcPr>
            <w:tcW w:w="833" w:type="pct"/>
            <w:noWrap w:val="0"/>
            <w:vAlign w:val="top"/>
          </w:tcPr>
          <w:p w14:paraId="68F74DA9">
            <w:pPr>
              <w:snapToGrid w:val="0"/>
              <w:spacing w:line="264" w:lineRule="auto"/>
              <w:jc w:val="center"/>
              <w:rPr>
                <w:rFonts w:hint="eastAsia" w:ascii="宋体" w:hAnsi="宋体" w:eastAsia="宋体" w:cs="宋体"/>
                <w:sz w:val="24"/>
                <w:szCs w:val="24"/>
              </w:rPr>
            </w:pPr>
          </w:p>
        </w:tc>
        <w:tc>
          <w:tcPr>
            <w:tcW w:w="833" w:type="pct"/>
            <w:noWrap w:val="0"/>
            <w:vAlign w:val="top"/>
          </w:tcPr>
          <w:p w14:paraId="4EBC9074">
            <w:pPr>
              <w:snapToGrid w:val="0"/>
              <w:spacing w:line="264" w:lineRule="auto"/>
              <w:jc w:val="center"/>
              <w:rPr>
                <w:rFonts w:hint="eastAsia" w:ascii="宋体" w:hAnsi="宋体" w:eastAsia="宋体" w:cs="宋体"/>
                <w:sz w:val="24"/>
                <w:szCs w:val="24"/>
              </w:rPr>
            </w:pPr>
          </w:p>
        </w:tc>
        <w:tc>
          <w:tcPr>
            <w:tcW w:w="834" w:type="pct"/>
            <w:noWrap w:val="0"/>
            <w:vAlign w:val="top"/>
          </w:tcPr>
          <w:p w14:paraId="2D4A9453">
            <w:pPr>
              <w:snapToGrid w:val="0"/>
              <w:spacing w:line="264" w:lineRule="auto"/>
              <w:jc w:val="center"/>
              <w:rPr>
                <w:rFonts w:hint="eastAsia" w:ascii="宋体" w:hAnsi="宋体" w:eastAsia="宋体" w:cs="宋体"/>
                <w:sz w:val="24"/>
                <w:szCs w:val="24"/>
              </w:rPr>
            </w:pPr>
          </w:p>
        </w:tc>
      </w:tr>
      <w:tr w14:paraId="72D0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56BF87B">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65" w:type="pct"/>
            <w:noWrap w:val="0"/>
            <w:vAlign w:val="top"/>
          </w:tcPr>
          <w:p w14:paraId="4EB90DEE">
            <w:pPr>
              <w:snapToGrid w:val="0"/>
              <w:spacing w:line="264" w:lineRule="auto"/>
              <w:jc w:val="center"/>
              <w:rPr>
                <w:rFonts w:hint="eastAsia" w:ascii="宋体" w:hAnsi="宋体" w:eastAsia="宋体" w:cs="宋体"/>
                <w:sz w:val="24"/>
                <w:szCs w:val="24"/>
              </w:rPr>
            </w:pPr>
          </w:p>
        </w:tc>
        <w:tc>
          <w:tcPr>
            <w:tcW w:w="833" w:type="pct"/>
            <w:noWrap w:val="0"/>
            <w:vAlign w:val="top"/>
          </w:tcPr>
          <w:p w14:paraId="5E5287E1">
            <w:pPr>
              <w:snapToGrid w:val="0"/>
              <w:spacing w:line="264" w:lineRule="auto"/>
              <w:jc w:val="center"/>
              <w:rPr>
                <w:rFonts w:hint="eastAsia" w:ascii="宋体" w:hAnsi="宋体" w:eastAsia="宋体" w:cs="宋体"/>
                <w:sz w:val="24"/>
                <w:szCs w:val="24"/>
              </w:rPr>
            </w:pPr>
          </w:p>
        </w:tc>
        <w:tc>
          <w:tcPr>
            <w:tcW w:w="833" w:type="pct"/>
            <w:noWrap w:val="0"/>
            <w:vAlign w:val="top"/>
          </w:tcPr>
          <w:p w14:paraId="5298ECA2">
            <w:pPr>
              <w:snapToGrid w:val="0"/>
              <w:spacing w:line="264" w:lineRule="auto"/>
              <w:jc w:val="center"/>
              <w:rPr>
                <w:rFonts w:hint="eastAsia" w:ascii="宋体" w:hAnsi="宋体" w:eastAsia="宋体" w:cs="宋体"/>
                <w:sz w:val="24"/>
                <w:szCs w:val="24"/>
              </w:rPr>
            </w:pPr>
          </w:p>
        </w:tc>
        <w:tc>
          <w:tcPr>
            <w:tcW w:w="833" w:type="pct"/>
            <w:noWrap w:val="0"/>
            <w:vAlign w:val="top"/>
          </w:tcPr>
          <w:p w14:paraId="69C39568">
            <w:pPr>
              <w:snapToGrid w:val="0"/>
              <w:spacing w:line="264" w:lineRule="auto"/>
              <w:jc w:val="center"/>
              <w:rPr>
                <w:rFonts w:hint="eastAsia" w:ascii="宋体" w:hAnsi="宋体" w:eastAsia="宋体" w:cs="宋体"/>
                <w:sz w:val="24"/>
                <w:szCs w:val="24"/>
              </w:rPr>
            </w:pPr>
          </w:p>
        </w:tc>
        <w:tc>
          <w:tcPr>
            <w:tcW w:w="834" w:type="pct"/>
            <w:noWrap w:val="0"/>
            <w:vAlign w:val="top"/>
          </w:tcPr>
          <w:p w14:paraId="35A5D7D6">
            <w:pPr>
              <w:snapToGrid w:val="0"/>
              <w:spacing w:line="264" w:lineRule="auto"/>
              <w:jc w:val="center"/>
              <w:rPr>
                <w:rFonts w:hint="eastAsia" w:ascii="宋体" w:hAnsi="宋体" w:eastAsia="宋体" w:cs="宋体"/>
                <w:sz w:val="24"/>
                <w:szCs w:val="24"/>
              </w:rPr>
            </w:pPr>
          </w:p>
        </w:tc>
      </w:tr>
      <w:tr w14:paraId="08DE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0652221">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165" w:type="pct"/>
            <w:noWrap w:val="0"/>
            <w:vAlign w:val="top"/>
          </w:tcPr>
          <w:p w14:paraId="61A8A771">
            <w:pPr>
              <w:snapToGrid w:val="0"/>
              <w:spacing w:line="264" w:lineRule="auto"/>
              <w:jc w:val="center"/>
              <w:rPr>
                <w:rFonts w:hint="eastAsia" w:ascii="宋体" w:hAnsi="宋体" w:eastAsia="宋体" w:cs="宋体"/>
                <w:sz w:val="24"/>
                <w:szCs w:val="24"/>
              </w:rPr>
            </w:pPr>
          </w:p>
        </w:tc>
        <w:tc>
          <w:tcPr>
            <w:tcW w:w="833" w:type="pct"/>
            <w:noWrap w:val="0"/>
            <w:vAlign w:val="top"/>
          </w:tcPr>
          <w:p w14:paraId="1162A670">
            <w:pPr>
              <w:snapToGrid w:val="0"/>
              <w:spacing w:line="264" w:lineRule="auto"/>
              <w:jc w:val="center"/>
              <w:rPr>
                <w:rFonts w:hint="eastAsia" w:ascii="宋体" w:hAnsi="宋体" w:eastAsia="宋体" w:cs="宋体"/>
                <w:sz w:val="24"/>
                <w:szCs w:val="24"/>
              </w:rPr>
            </w:pPr>
          </w:p>
        </w:tc>
        <w:tc>
          <w:tcPr>
            <w:tcW w:w="833" w:type="pct"/>
            <w:noWrap w:val="0"/>
            <w:vAlign w:val="top"/>
          </w:tcPr>
          <w:p w14:paraId="1DB04256">
            <w:pPr>
              <w:snapToGrid w:val="0"/>
              <w:spacing w:line="264" w:lineRule="auto"/>
              <w:jc w:val="center"/>
              <w:rPr>
                <w:rFonts w:hint="eastAsia" w:ascii="宋体" w:hAnsi="宋体" w:eastAsia="宋体" w:cs="宋体"/>
                <w:sz w:val="24"/>
                <w:szCs w:val="24"/>
              </w:rPr>
            </w:pPr>
          </w:p>
        </w:tc>
        <w:tc>
          <w:tcPr>
            <w:tcW w:w="833" w:type="pct"/>
            <w:noWrap w:val="0"/>
            <w:vAlign w:val="top"/>
          </w:tcPr>
          <w:p w14:paraId="1C346829">
            <w:pPr>
              <w:snapToGrid w:val="0"/>
              <w:spacing w:line="264" w:lineRule="auto"/>
              <w:jc w:val="center"/>
              <w:rPr>
                <w:rFonts w:hint="eastAsia" w:ascii="宋体" w:hAnsi="宋体" w:eastAsia="宋体" w:cs="宋体"/>
                <w:sz w:val="24"/>
                <w:szCs w:val="24"/>
              </w:rPr>
            </w:pPr>
          </w:p>
        </w:tc>
        <w:tc>
          <w:tcPr>
            <w:tcW w:w="834" w:type="pct"/>
            <w:noWrap w:val="0"/>
            <w:vAlign w:val="top"/>
          </w:tcPr>
          <w:p w14:paraId="5E69C9C4">
            <w:pPr>
              <w:snapToGrid w:val="0"/>
              <w:spacing w:line="264" w:lineRule="auto"/>
              <w:jc w:val="center"/>
              <w:rPr>
                <w:rFonts w:hint="eastAsia" w:ascii="宋体" w:hAnsi="宋体" w:eastAsia="宋体" w:cs="宋体"/>
                <w:sz w:val="24"/>
                <w:szCs w:val="24"/>
              </w:rPr>
            </w:pPr>
          </w:p>
        </w:tc>
      </w:tr>
      <w:tr w14:paraId="48D2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16EB4A7">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165" w:type="pct"/>
            <w:noWrap w:val="0"/>
            <w:vAlign w:val="top"/>
          </w:tcPr>
          <w:p w14:paraId="7353F33E">
            <w:pPr>
              <w:snapToGrid w:val="0"/>
              <w:spacing w:line="264" w:lineRule="auto"/>
              <w:jc w:val="center"/>
              <w:rPr>
                <w:rFonts w:hint="eastAsia" w:ascii="宋体" w:hAnsi="宋体" w:eastAsia="宋体" w:cs="宋体"/>
                <w:sz w:val="24"/>
                <w:szCs w:val="24"/>
              </w:rPr>
            </w:pPr>
          </w:p>
        </w:tc>
        <w:tc>
          <w:tcPr>
            <w:tcW w:w="833" w:type="pct"/>
            <w:noWrap w:val="0"/>
            <w:vAlign w:val="top"/>
          </w:tcPr>
          <w:p w14:paraId="3A058003">
            <w:pPr>
              <w:snapToGrid w:val="0"/>
              <w:spacing w:line="264" w:lineRule="auto"/>
              <w:jc w:val="center"/>
              <w:rPr>
                <w:rFonts w:hint="eastAsia" w:ascii="宋体" w:hAnsi="宋体" w:eastAsia="宋体" w:cs="宋体"/>
                <w:sz w:val="24"/>
                <w:szCs w:val="24"/>
              </w:rPr>
            </w:pPr>
          </w:p>
        </w:tc>
        <w:tc>
          <w:tcPr>
            <w:tcW w:w="833" w:type="pct"/>
            <w:noWrap w:val="0"/>
            <w:vAlign w:val="top"/>
          </w:tcPr>
          <w:p w14:paraId="5F08F285">
            <w:pPr>
              <w:snapToGrid w:val="0"/>
              <w:spacing w:line="264" w:lineRule="auto"/>
              <w:jc w:val="center"/>
              <w:rPr>
                <w:rFonts w:hint="eastAsia" w:ascii="宋体" w:hAnsi="宋体" w:eastAsia="宋体" w:cs="宋体"/>
                <w:sz w:val="24"/>
                <w:szCs w:val="24"/>
              </w:rPr>
            </w:pPr>
          </w:p>
        </w:tc>
        <w:tc>
          <w:tcPr>
            <w:tcW w:w="833" w:type="pct"/>
            <w:noWrap w:val="0"/>
            <w:vAlign w:val="top"/>
          </w:tcPr>
          <w:p w14:paraId="7DD58072">
            <w:pPr>
              <w:snapToGrid w:val="0"/>
              <w:spacing w:line="264" w:lineRule="auto"/>
              <w:jc w:val="center"/>
              <w:rPr>
                <w:rFonts w:hint="eastAsia" w:ascii="宋体" w:hAnsi="宋体" w:eastAsia="宋体" w:cs="宋体"/>
                <w:sz w:val="24"/>
                <w:szCs w:val="24"/>
              </w:rPr>
            </w:pPr>
          </w:p>
        </w:tc>
        <w:tc>
          <w:tcPr>
            <w:tcW w:w="834" w:type="pct"/>
            <w:noWrap w:val="0"/>
            <w:vAlign w:val="top"/>
          </w:tcPr>
          <w:p w14:paraId="6235D348">
            <w:pPr>
              <w:snapToGrid w:val="0"/>
              <w:spacing w:line="264" w:lineRule="auto"/>
              <w:jc w:val="center"/>
              <w:rPr>
                <w:rFonts w:hint="eastAsia" w:ascii="宋体" w:hAnsi="宋体" w:eastAsia="宋体" w:cs="宋体"/>
                <w:sz w:val="24"/>
                <w:szCs w:val="24"/>
              </w:rPr>
            </w:pPr>
          </w:p>
        </w:tc>
      </w:tr>
      <w:tr w14:paraId="63D1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9" w:type="pct"/>
            <w:noWrap w:val="0"/>
            <w:vAlign w:val="top"/>
          </w:tcPr>
          <w:p w14:paraId="318BC393">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165" w:type="pct"/>
            <w:noWrap w:val="0"/>
            <w:vAlign w:val="top"/>
          </w:tcPr>
          <w:p w14:paraId="380BD4C0">
            <w:pPr>
              <w:snapToGrid w:val="0"/>
              <w:spacing w:line="264" w:lineRule="auto"/>
              <w:jc w:val="center"/>
              <w:rPr>
                <w:rFonts w:hint="eastAsia" w:ascii="宋体" w:hAnsi="宋体" w:eastAsia="宋体" w:cs="宋体"/>
                <w:sz w:val="24"/>
                <w:szCs w:val="24"/>
              </w:rPr>
            </w:pPr>
          </w:p>
        </w:tc>
        <w:tc>
          <w:tcPr>
            <w:tcW w:w="833" w:type="pct"/>
            <w:noWrap w:val="0"/>
            <w:vAlign w:val="top"/>
          </w:tcPr>
          <w:p w14:paraId="7FAD9505">
            <w:pPr>
              <w:snapToGrid w:val="0"/>
              <w:spacing w:line="264" w:lineRule="auto"/>
              <w:jc w:val="center"/>
              <w:rPr>
                <w:rFonts w:hint="eastAsia" w:ascii="宋体" w:hAnsi="宋体" w:eastAsia="宋体" w:cs="宋体"/>
                <w:sz w:val="24"/>
                <w:szCs w:val="24"/>
              </w:rPr>
            </w:pPr>
          </w:p>
        </w:tc>
        <w:tc>
          <w:tcPr>
            <w:tcW w:w="833" w:type="pct"/>
            <w:noWrap w:val="0"/>
            <w:vAlign w:val="top"/>
          </w:tcPr>
          <w:p w14:paraId="0CE2574D">
            <w:pPr>
              <w:snapToGrid w:val="0"/>
              <w:spacing w:line="264" w:lineRule="auto"/>
              <w:jc w:val="center"/>
              <w:rPr>
                <w:rFonts w:hint="eastAsia" w:ascii="宋体" w:hAnsi="宋体" w:eastAsia="宋体" w:cs="宋体"/>
                <w:sz w:val="24"/>
                <w:szCs w:val="24"/>
              </w:rPr>
            </w:pPr>
          </w:p>
        </w:tc>
        <w:tc>
          <w:tcPr>
            <w:tcW w:w="833" w:type="pct"/>
            <w:noWrap w:val="0"/>
            <w:vAlign w:val="top"/>
          </w:tcPr>
          <w:p w14:paraId="46FD14CE">
            <w:pPr>
              <w:snapToGrid w:val="0"/>
              <w:spacing w:line="264" w:lineRule="auto"/>
              <w:jc w:val="center"/>
              <w:rPr>
                <w:rFonts w:hint="eastAsia" w:ascii="宋体" w:hAnsi="宋体" w:eastAsia="宋体" w:cs="宋体"/>
                <w:sz w:val="24"/>
                <w:szCs w:val="24"/>
              </w:rPr>
            </w:pPr>
          </w:p>
        </w:tc>
        <w:tc>
          <w:tcPr>
            <w:tcW w:w="834" w:type="pct"/>
            <w:noWrap w:val="0"/>
            <w:vAlign w:val="top"/>
          </w:tcPr>
          <w:p w14:paraId="6B2BDC43">
            <w:pPr>
              <w:snapToGrid w:val="0"/>
              <w:spacing w:line="264" w:lineRule="auto"/>
              <w:jc w:val="center"/>
              <w:rPr>
                <w:rFonts w:hint="eastAsia" w:ascii="宋体" w:hAnsi="宋体" w:eastAsia="宋体" w:cs="宋体"/>
                <w:sz w:val="24"/>
                <w:szCs w:val="24"/>
              </w:rPr>
            </w:pPr>
          </w:p>
        </w:tc>
      </w:tr>
      <w:tr w14:paraId="24F6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4615B001">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增配</w:t>
            </w:r>
          </w:p>
        </w:tc>
      </w:tr>
      <w:tr w14:paraId="10C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922FD46">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5" w:type="pct"/>
            <w:noWrap w:val="0"/>
            <w:vAlign w:val="top"/>
          </w:tcPr>
          <w:p w14:paraId="58388601">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833" w:type="pct"/>
            <w:noWrap w:val="0"/>
            <w:vAlign w:val="top"/>
          </w:tcPr>
          <w:p w14:paraId="1B587F07">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833" w:type="pct"/>
            <w:noWrap w:val="0"/>
            <w:vAlign w:val="top"/>
          </w:tcPr>
          <w:p w14:paraId="62DBA2FE">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833" w:type="pct"/>
            <w:noWrap w:val="0"/>
            <w:vAlign w:val="top"/>
          </w:tcPr>
          <w:p w14:paraId="19DC7344">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834" w:type="pct"/>
            <w:noWrap w:val="0"/>
            <w:vAlign w:val="top"/>
          </w:tcPr>
          <w:p w14:paraId="58CDDB37">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3454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490FB778">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5" w:type="pct"/>
            <w:noWrap w:val="0"/>
            <w:vAlign w:val="top"/>
          </w:tcPr>
          <w:p w14:paraId="4E0A8CFE">
            <w:pPr>
              <w:snapToGrid w:val="0"/>
              <w:spacing w:line="264" w:lineRule="auto"/>
              <w:jc w:val="center"/>
              <w:rPr>
                <w:rFonts w:hint="eastAsia" w:ascii="宋体" w:hAnsi="宋体" w:eastAsia="宋体" w:cs="宋体"/>
                <w:sz w:val="24"/>
                <w:szCs w:val="24"/>
              </w:rPr>
            </w:pPr>
          </w:p>
        </w:tc>
        <w:tc>
          <w:tcPr>
            <w:tcW w:w="833" w:type="pct"/>
            <w:noWrap w:val="0"/>
            <w:vAlign w:val="top"/>
          </w:tcPr>
          <w:p w14:paraId="012E43B1">
            <w:pPr>
              <w:snapToGrid w:val="0"/>
              <w:spacing w:line="264" w:lineRule="auto"/>
              <w:jc w:val="center"/>
              <w:rPr>
                <w:rFonts w:hint="eastAsia" w:ascii="宋体" w:hAnsi="宋体" w:eastAsia="宋体" w:cs="宋体"/>
                <w:sz w:val="24"/>
                <w:szCs w:val="24"/>
              </w:rPr>
            </w:pPr>
          </w:p>
        </w:tc>
        <w:tc>
          <w:tcPr>
            <w:tcW w:w="833" w:type="pct"/>
            <w:noWrap w:val="0"/>
            <w:vAlign w:val="top"/>
          </w:tcPr>
          <w:p w14:paraId="54A4C64D">
            <w:pPr>
              <w:snapToGrid w:val="0"/>
              <w:spacing w:line="264" w:lineRule="auto"/>
              <w:jc w:val="center"/>
              <w:rPr>
                <w:rFonts w:hint="eastAsia" w:ascii="宋体" w:hAnsi="宋体" w:eastAsia="宋体" w:cs="宋体"/>
                <w:sz w:val="24"/>
                <w:szCs w:val="24"/>
              </w:rPr>
            </w:pPr>
          </w:p>
        </w:tc>
        <w:tc>
          <w:tcPr>
            <w:tcW w:w="833" w:type="pct"/>
            <w:noWrap w:val="0"/>
            <w:vAlign w:val="top"/>
          </w:tcPr>
          <w:p w14:paraId="15943B03">
            <w:pPr>
              <w:snapToGrid w:val="0"/>
              <w:spacing w:line="264" w:lineRule="auto"/>
              <w:jc w:val="center"/>
              <w:rPr>
                <w:rFonts w:hint="eastAsia" w:ascii="宋体" w:hAnsi="宋体" w:eastAsia="宋体" w:cs="宋体"/>
                <w:sz w:val="24"/>
                <w:szCs w:val="24"/>
              </w:rPr>
            </w:pPr>
          </w:p>
        </w:tc>
        <w:tc>
          <w:tcPr>
            <w:tcW w:w="834" w:type="pct"/>
            <w:noWrap w:val="0"/>
            <w:vAlign w:val="top"/>
          </w:tcPr>
          <w:p w14:paraId="634C04FD">
            <w:pPr>
              <w:snapToGrid w:val="0"/>
              <w:spacing w:line="264" w:lineRule="auto"/>
              <w:jc w:val="center"/>
              <w:rPr>
                <w:rFonts w:hint="eastAsia" w:ascii="宋体" w:hAnsi="宋体" w:eastAsia="宋体" w:cs="宋体"/>
                <w:sz w:val="24"/>
                <w:szCs w:val="24"/>
              </w:rPr>
            </w:pPr>
          </w:p>
        </w:tc>
      </w:tr>
      <w:tr w14:paraId="34C6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4C81C9E0">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65" w:type="pct"/>
            <w:noWrap w:val="0"/>
            <w:vAlign w:val="top"/>
          </w:tcPr>
          <w:p w14:paraId="4E6FD258">
            <w:pPr>
              <w:snapToGrid w:val="0"/>
              <w:spacing w:line="264" w:lineRule="auto"/>
              <w:jc w:val="center"/>
              <w:rPr>
                <w:rFonts w:hint="eastAsia" w:ascii="宋体" w:hAnsi="宋体" w:eastAsia="宋体" w:cs="宋体"/>
                <w:sz w:val="24"/>
                <w:szCs w:val="24"/>
              </w:rPr>
            </w:pPr>
          </w:p>
        </w:tc>
        <w:tc>
          <w:tcPr>
            <w:tcW w:w="833" w:type="pct"/>
            <w:noWrap w:val="0"/>
            <w:vAlign w:val="top"/>
          </w:tcPr>
          <w:p w14:paraId="1EEA42DA">
            <w:pPr>
              <w:snapToGrid w:val="0"/>
              <w:spacing w:line="264" w:lineRule="auto"/>
              <w:jc w:val="center"/>
              <w:rPr>
                <w:rFonts w:hint="eastAsia" w:ascii="宋体" w:hAnsi="宋体" w:eastAsia="宋体" w:cs="宋体"/>
                <w:sz w:val="24"/>
                <w:szCs w:val="24"/>
              </w:rPr>
            </w:pPr>
          </w:p>
        </w:tc>
        <w:tc>
          <w:tcPr>
            <w:tcW w:w="833" w:type="pct"/>
            <w:noWrap w:val="0"/>
            <w:vAlign w:val="top"/>
          </w:tcPr>
          <w:p w14:paraId="3AB39EAC">
            <w:pPr>
              <w:snapToGrid w:val="0"/>
              <w:spacing w:line="264" w:lineRule="auto"/>
              <w:jc w:val="center"/>
              <w:rPr>
                <w:rFonts w:hint="eastAsia" w:ascii="宋体" w:hAnsi="宋体" w:eastAsia="宋体" w:cs="宋体"/>
                <w:sz w:val="24"/>
                <w:szCs w:val="24"/>
              </w:rPr>
            </w:pPr>
          </w:p>
        </w:tc>
        <w:tc>
          <w:tcPr>
            <w:tcW w:w="833" w:type="pct"/>
            <w:noWrap w:val="0"/>
            <w:vAlign w:val="top"/>
          </w:tcPr>
          <w:p w14:paraId="517D11EB">
            <w:pPr>
              <w:snapToGrid w:val="0"/>
              <w:spacing w:line="264" w:lineRule="auto"/>
              <w:jc w:val="center"/>
              <w:rPr>
                <w:rFonts w:hint="eastAsia" w:ascii="宋体" w:hAnsi="宋体" w:eastAsia="宋体" w:cs="宋体"/>
                <w:sz w:val="24"/>
                <w:szCs w:val="24"/>
              </w:rPr>
            </w:pPr>
          </w:p>
        </w:tc>
        <w:tc>
          <w:tcPr>
            <w:tcW w:w="834" w:type="pct"/>
            <w:noWrap w:val="0"/>
            <w:vAlign w:val="top"/>
          </w:tcPr>
          <w:p w14:paraId="59D21E1D">
            <w:pPr>
              <w:snapToGrid w:val="0"/>
              <w:spacing w:line="264" w:lineRule="auto"/>
              <w:jc w:val="center"/>
              <w:rPr>
                <w:rFonts w:hint="eastAsia" w:ascii="宋体" w:hAnsi="宋体" w:eastAsia="宋体" w:cs="宋体"/>
                <w:sz w:val="24"/>
                <w:szCs w:val="24"/>
              </w:rPr>
            </w:pPr>
          </w:p>
        </w:tc>
      </w:tr>
      <w:tr w14:paraId="48C0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0D7562A5">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165" w:type="pct"/>
            <w:noWrap w:val="0"/>
            <w:vAlign w:val="top"/>
          </w:tcPr>
          <w:p w14:paraId="5473AE57">
            <w:pPr>
              <w:snapToGrid w:val="0"/>
              <w:spacing w:line="264" w:lineRule="auto"/>
              <w:jc w:val="center"/>
              <w:rPr>
                <w:rFonts w:hint="eastAsia" w:ascii="宋体" w:hAnsi="宋体" w:eastAsia="宋体" w:cs="宋体"/>
                <w:sz w:val="24"/>
                <w:szCs w:val="24"/>
              </w:rPr>
            </w:pPr>
          </w:p>
        </w:tc>
        <w:tc>
          <w:tcPr>
            <w:tcW w:w="833" w:type="pct"/>
            <w:noWrap w:val="0"/>
            <w:vAlign w:val="top"/>
          </w:tcPr>
          <w:p w14:paraId="2A84573A">
            <w:pPr>
              <w:snapToGrid w:val="0"/>
              <w:spacing w:line="264" w:lineRule="auto"/>
              <w:jc w:val="center"/>
              <w:rPr>
                <w:rFonts w:hint="eastAsia" w:ascii="宋体" w:hAnsi="宋体" w:eastAsia="宋体" w:cs="宋体"/>
                <w:sz w:val="24"/>
                <w:szCs w:val="24"/>
              </w:rPr>
            </w:pPr>
          </w:p>
        </w:tc>
        <w:tc>
          <w:tcPr>
            <w:tcW w:w="833" w:type="pct"/>
            <w:noWrap w:val="0"/>
            <w:vAlign w:val="top"/>
          </w:tcPr>
          <w:p w14:paraId="295CD1E5">
            <w:pPr>
              <w:snapToGrid w:val="0"/>
              <w:spacing w:line="264" w:lineRule="auto"/>
              <w:jc w:val="center"/>
              <w:rPr>
                <w:rFonts w:hint="eastAsia" w:ascii="宋体" w:hAnsi="宋体" w:eastAsia="宋体" w:cs="宋体"/>
                <w:sz w:val="24"/>
                <w:szCs w:val="24"/>
              </w:rPr>
            </w:pPr>
          </w:p>
        </w:tc>
        <w:tc>
          <w:tcPr>
            <w:tcW w:w="833" w:type="pct"/>
            <w:noWrap w:val="0"/>
            <w:vAlign w:val="top"/>
          </w:tcPr>
          <w:p w14:paraId="271CC1E3">
            <w:pPr>
              <w:snapToGrid w:val="0"/>
              <w:spacing w:line="264" w:lineRule="auto"/>
              <w:jc w:val="center"/>
              <w:rPr>
                <w:rFonts w:hint="eastAsia" w:ascii="宋体" w:hAnsi="宋体" w:eastAsia="宋体" w:cs="宋体"/>
                <w:sz w:val="24"/>
                <w:szCs w:val="24"/>
              </w:rPr>
            </w:pPr>
          </w:p>
        </w:tc>
        <w:tc>
          <w:tcPr>
            <w:tcW w:w="834" w:type="pct"/>
            <w:noWrap w:val="0"/>
            <w:vAlign w:val="top"/>
          </w:tcPr>
          <w:p w14:paraId="16EC1AA4">
            <w:pPr>
              <w:snapToGrid w:val="0"/>
              <w:spacing w:line="264" w:lineRule="auto"/>
              <w:jc w:val="center"/>
              <w:rPr>
                <w:rFonts w:hint="eastAsia" w:ascii="宋体" w:hAnsi="宋体" w:eastAsia="宋体" w:cs="宋体"/>
                <w:sz w:val="24"/>
                <w:szCs w:val="24"/>
              </w:rPr>
            </w:pPr>
          </w:p>
        </w:tc>
      </w:tr>
    </w:tbl>
    <w:p w14:paraId="67702F76">
      <w:pPr>
        <w:snapToGrid w:val="0"/>
        <w:spacing w:line="264" w:lineRule="auto"/>
        <w:ind w:firstLine="480" w:firstLineChars="200"/>
        <w:rPr>
          <w:rFonts w:hint="eastAsia" w:ascii="宋体" w:hAnsi="宋体" w:eastAsia="宋体" w:cs="宋体"/>
          <w:sz w:val="24"/>
          <w:szCs w:val="24"/>
        </w:rPr>
      </w:pPr>
    </w:p>
    <w:p w14:paraId="1AB28790">
      <w:pPr>
        <w:snapToGrid w:val="0"/>
        <w:spacing w:line="264" w:lineRule="auto"/>
        <w:ind w:firstLine="480" w:firstLineChars="200"/>
        <w:rPr>
          <w:rFonts w:hint="eastAsia" w:ascii="宋体" w:hAnsi="宋体" w:eastAsia="宋体" w:cs="宋体"/>
          <w:sz w:val="24"/>
          <w:szCs w:val="24"/>
        </w:rPr>
      </w:pPr>
    </w:p>
    <w:p w14:paraId="2FDE7FAE">
      <w:pPr>
        <w:snapToGrid w:val="0"/>
        <w:spacing w:line="264" w:lineRule="auto"/>
        <w:ind w:firstLine="480" w:firstLineChars="200"/>
        <w:rPr>
          <w:rFonts w:hint="eastAsia" w:ascii="宋体" w:hAnsi="宋体" w:eastAsia="宋体" w:cs="宋体"/>
          <w:sz w:val="24"/>
          <w:szCs w:val="24"/>
        </w:rPr>
      </w:pPr>
    </w:p>
    <w:p w14:paraId="07F2DD03">
      <w:pPr>
        <w:snapToGrid w:val="0"/>
        <w:spacing w:line="264" w:lineRule="auto"/>
        <w:ind w:firstLine="480" w:firstLineChars="200"/>
        <w:rPr>
          <w:rFonts w:hint="eastAsia" w:ascii="宋体" w:hAnsi="宋体" w:eastAsia="宋体" w:cs="宋体"/>
          <w:sz w:val="24"/>
          <w:szCs w:val="24"/>
        </w:rPr>
      </w:pPr>
    </w:p>
    <w:p w14:paraId="0257496C">
      <w:pPr>
        <w:snapToGrid w:val="0"/>
        <w:spacing w:line="264" w:lineRule="auto"/>
        <w:ind w:firstLine="480" w:firstLineChars="200"/>
        <w:rPr>
          <w:rFonts w:hint="eastAsia" w:ascii="宋体" w:hAnsi="宋体" w:eastAsia="宋体" w:cs="宋体"/>
          <w:sz w:val="24"/>
          <w:szCs w:val="24"/>
        </w:rPr>
      </w:pPr>
    </w:p>
    <w:p w14:paraId="69D65B9F">
      <w:pPr>
        <w:snapToGrid w:val="0"/>
        <w:spacing w:line="264" w:lineRule="auto"/>
        <w:ind w:firstLine="480" w:firstLineChars="200"/>
        <w:rPr>
          <w:rFonts w:hint="eastAsia" w:ascii="宋体" w:hAnsi="宋体" w:eastAsia="宋体" w:cs="宋体"/>
          <w:sz w:val="24"/>
          <w:szCs w:val="24"/>
        </w:rPr>
      </w:pPr>
    </w:p>
    <w:p w14:paraId="542249CF">
      <w:pPr>
        <w:snapToGrid w:val="0"/>
        <w:spacing w:line="264" w:lineRule="auto"/>
        <w:ind w:firstLine="480" w:firstLineChars="200"/>
        <w:rPr>
          <w:rFonts w:hint="eastAsia" w:ascii="宋体" w:hAnsi="宋体" w:eastAsia="宋体" w:cs="宋体"/>
          <w:sz w:val="24"/>
          <w:szCs w:val="24"/>
        </w:rPr>
      </w:pPr>
    </w:p>
    <w:p w14:paraId="57002C2A">
      <w:pPr>
        <w:snapToGrid w:val="0"/>
        <w:spacing w:line="264" w:lineRule="auto"/>
        <w:ind w:firstLine="480" w:firstLineChars="200"/>
        <w:rPr>
          <w:rFonts w:hint="eastAsia" w:ascii="宋体" w:hAnsi="宋体" w:eastAsia="宋体" w:cs="宋体"/>
          <w:sz w:val="24"/>
          <w:szCs w:val="24"/>
        </w:rPr>
      </w:pPr>
    </w:p>
    <w:p w14:paraId="1EC8D4AA">
      <w:pPr>
        <w:snapToGrid w:val="0"/>
        <w:spacing w:line="264" w:lineRule="auto"/>
        <w:ind w:firstLine="480" w:firstLineChars="200"/>
        <w:rPr>
          <w:rFonts w:hint="eastAsia" w:ascii="宋体" w:hAnsi="宋体" w:eastAsia="宋体" w:cs="宋体"/>
          <w:sz w:val="24"/>
          <w:szCs w:val="24"/>
        </w:rPr>
      </w:pPr>
    </w:p>
    <w:p w14:paraId="0EC626F7">
      <w:pPr>
        <w:snapToGrid w:val="0"/>
        <w:spacing w:line="26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使用科室：</w:t>
      </w:r>
    </w:p>
    <w:p w14:paraId="3A37B6CB">
      <w:pPr>
        <w:snapToGrid w:val="0"/>
        <w:spacing w:line="264" w:lineRule="auto"/>
        <w:ind w:firstLine="480" w:firstLineChars="200"/>
        <w:rPr>
          <w:rFonts w:hint="eastAsia" w:ascii="宋体" w:hAnsi="宋体" w:eastAsia="宋体" w:cs="宋体"/>
          <w:sz w:val="24"/>
          <w:szCs w:val="24"/>
        </w:rPr>
      </w:pPr>
    </w:p>
    <w:p w14:paraId="3BC51DC6">
      <w:pPr>
        <w:snapToGrid w:val="0"/>
        <w:spacing w:line="26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科室负责人（签字）：</w:t>
      </w:r>
    </w:p>
    <w:p w14:paraId="3761A4E9">
      <w:pPr>
        <w:snapToGrid w:val="0"/>
        <w:spacing w:line="264" w:lineRule="auto"/>
        <w:ind w:firstLine="480" w:firstLineChars="200"/>
        <w:rPr>
          <w:rFonts w:hint="eastAsia" w:ascii="宋体" w:hAnsi="宋体" w:eastAsia="宋体" w:cs="宋体"/>
          <w:sz w:val="24"/>
          <w:szCs w:val="24"/>
        </w:rPr>
      </w:pPr>
    </w:p>
    <w:p w14:paraId="7685CE5D">
      <w:pPr>
        <w:snapToGrid w:val="0"/>
        <w:spacing w:line="264" w:lineRule="auto"/>
        <w:ind w:firstLine="480" w:firstLineChars="200"/>
        <w:rPr>
          <w:rFonts w:hint="eastAsia" w:ascii="宋体" w:hAnsi="宋体" w:eastAsia="宋体" w:cs="宋体"/>
          <w:sz w:val="24"/>
          <w:szCs w:val="24"/>
        </w:rPr>
      </w:pPr>
    </w:p>
    <w:p w14:paraId="6B63F6A5">
      <w:pPr>
        <w:snapToGrid w:val="0"/>
        <w:spacing w:line="264" w:lineRule="auto"/>
        <w:ind w:firstLine="482" w:firstLineChars="200"/>
        <w:jc w:val="left"/>
        <w:rPr>
          <w:rFonts w:hint="eastAsia" w:ascii="宋体" w:hAnsi="宋体" w:eastAsia="宋体" w:cs="宋体"/>
          <w:b/>
          <w:bCs/>
          <w:sz w:val="24"/>
          <w:szCs w:val="24"/>
        </w:rPr>
      </w:pPr>
    </w:p>
    <w:p w14:paraId="4814870B">
      <w:pPr>
        <w:snapToGrid w:val="0"/>
        <w:spacing w:line="264" w:lineRule="auto"/>
        <w:jc w:val="left"/>
        <w:rPr>
          <w:rFonts w:hint="eastAsia" w:ascii="宋体" w:hAnsi="宋体" w:eastAsia="宋体" w:cs="宋体"/>
          <w:b/>
          <w:bCs/>
          <w:sz w:val="24"/>
          <w:szCs w:val="24"/>
        </w:rPr>
      </w:pPr>
    </w:p>
    <w:p w14:paraId="52332268">
      <w:pPr>
        <w:snapToGrid w:val="0"/>
        <w:spacing w:line="264" w:lineRule="auto"/>
        <w:jc w:val="left"/>
        <w:rPr>
          <w:rFonts w:hint="eastAsia" w:ascii="宋体" w:hAnsi="宋体" w:eastAsia="宋体" w:cs="宋体"/>
          <w:b/>
          <w:bCs/>
          <w:sz w:val="24"/>
          <w:szCs w:val="24"/>
        </w:rPr>
      </w:pPr>
    </w:p>
    <w:p w14:paraId="0BB21009">
      <w:pPr>
        <w:snapToGrid w:val="0"/>
        <w:spacing w:line="264" w:lineRule="auto"/>
        <w:ind w:firstLine="482" w:firstLineChars="200"/>
        <w:jc w:val="left"/>
        <w:rPr>
          <w:rFonts w:hint="eastAsia" w:ascii="宋体" w:hAnsi="宋体" w:eastAsia="宋体" w:cs="宋体"/>
          <w:b/>
          <w:bCs/>
          <w:sz w:val="24"/>
          <w:szCs w:val="24"/>
        </w:rPr>
      </w:pPr>
    </w:p>
    <w:p w14:paraId="1178A52D">
      <w:pPr>
        <w:rPr>
          <w:rFonts w:hint="eastAsia" w:ascii="宋体" w:hAnsi="宋体" w:eastAsia="宋体" w:cs="宋体"/>
          <w:b/>
          <w:bCs/>
          <w:sz w:val="24"/>
          <w:szCs w:val="24"/>
        </w:rPr>
      </w:pPr>
      <w:r>
        <w:rPr>
          <w:rFonts w:hint="eastAsia" w:ascii="宋体" w:hAnsi="宋体" w:eastAsia="宋体" w:cs="宋体"/>
          <w:b/>
          <w:bCs/>
          <w:sz w:val="24"/>
          <w:szCs w:val="24"/>
        </w:rPr>
        <w:br w:type="page"/>
      </w:r>
    </w:p>
    <w:p w14:paraId="6C1EBC44">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p>
    <w:p w14:paraId="3B15BF15">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备品备件清单</w:t>
      </w:r>
      <w:r>
        <w:rPr>
          <w:rFonts w:hint="eastAsia" w:ascii="宋体" w:hAnsi="宋体" w:eastAsia="宋体" w:cs="宋体"/>
          <w:b/>
          <w:bCs/>
          <w:color w:val="FF0000"/>
          <w:sz w:val="24"/>
          <w:szCs w:val="24"/>
        </w:rPr>
        <w:t>（加盖合同专用章）</w:t>
      </w:r>
    </w:p>
    <w:p w14:paraId="01324135">
      <w:pPr>
        <w:snapToGrid w:val="0"/>
        <w:spacing w:line="264" w:lineRule="auto"/>
        <w:jc w:val="left"/>
        <w:rPr>
          <w:rFonts w:hint="eastAsia" w:ascii="宋体" w:hAnsi="宋体" w:eastAsia="宋体" w:cs="宋体"/>
          <w:b/>
          <w:bCs/>
          <w:sz w:val="24"/>
          <w:szCs w:val="24"/>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3D21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42AD3605">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379" w:type="dxa"/>
            <w:noWrap w:val="0"/>
            <w:vAlign w:val="top"/>
          </w:tcPr>
          <w:p w14:paraId="118EFAC3">
            <w:pPr>
              <w:snapToGrid w:val="0"/>
              <w:spacing w:line="264"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备品备件名称</w:t>
            </w:r>
          </w:p>
        </w:tc>
        <w:tc>
          <w:tcPr>
            <w:tcW w:w="2414" w:type="dxa"/>
            <w:noWrap w:val="0"/>
            <w:vAlign w:val="top"/>
          </w:tcPr>
          <w:p w14:paraId="0902F27B">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2416" w:type="dxa"/>
            <w:noWrap w:val="0"/>
            <w:vAlign w:val="top"/>
          </w:tcPr>
          <w:p w14:paraId="34BACBF4">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FBB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3CA521C9">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379" w:type="dxa"/>
            <w:noWrap w:val="0"/>
            <w:vAlign w:val="top"/>
          </w:tcPr>
          <w:p w14:paraId="0797B339">
            <w:pPr>
              <w:snapToGrid w:val="0"/>
              <w:spacing w:line="264" w:lineRule="auto"/>
              <w:jc w:val="center"/>
              <w:rPr>
                <w:rFonts w:hint="eastAsia" w:ascii="宋体" w:hAnsi="宋体" w:eastAsia="宋体" w:cs="宋体"/>
                <w:sz w:val="24"/>
                <w:szCs w:val="24"/>
              </w:rPr>
            </w:pPr>
          </w:p>
        </w:tc>
        <w:tc>
          <w:tcPr>
            <w:tcW w:w="2414" w:type="dxa"/>
            <w:noWrap w:val="0"/>
            <w:vAlign w:val="top"/>
          </w:tcPr>
          <w:p w14:paraId="04AC9236">
            <w:pPr>
              <w:snapToGrid w:val="0"/>
              <w:spacing w:line="264" w:lineRule="auto"/>
              <w:jc w:val="center"/>
              <w:rPr>
                <w:rFonts w:hint="eastAsia" w:ascii="宋体" w:hAnsi="宋体" w:eastAsia="宋体" w:cs="宋体"/>
                <w:sz w:val="24"/>
                <w:szCs w:val="24"/>
              </w:rPr>
            </w:pPr>
          </w:p>
        </w:tc>
        <w:tc>
          <w:tcPr>
            <w:tcW w:w="2416" w:type="dxa"/>
            <w:noWrap w:val="0"/>
            <w:vAlign w:val="top"/>
          </w:tcPr>
          <w:p w14:paraId="3A32E521">
            <w:pPr>
              <w:snapToGrid w:val="0"/>
              <w:spacing w:line="264" w:lineRule="auto"/>
              <w:jc w:val="center"/>
              <w:rPr>
                <w:rFonts w:hint="eastAsia" w:ascii="宋体" w:hAnsi="宋体" w:eastAsia="宋体" w:cs="宋体"/>
                <w:sz w:val="24"/>
                <w:szCs w:val="24"/>
              </w:rPr>
            </w:pPr>
          </w:p>
        </w:tc>
      </w:tr>
      <w:tr w14:paraId="53D8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A8E4270">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379" w:type="dxa"/>
            <w:noWrap w:val="0"/>
            <w:vAlign w:val="top"/>
          </w:tcPr>
          <w:p w14:paraId="616D43E5">
            <w:pPr>
              <w:snapToGrid w:val="0"/>
              <w:spacing w:line="264" w:lineRule="auto"/>
              <w:jc w:val="center"/>
              <w:rPr>
                <w:rFonts w:hint="eastAsia" w:ascii="宋体" w:hAnsi="宋体" w:eastAsia="宋体" w:cs="宋体"/>
                <w:sz w:val="24"/>
                <w:szCs w:val="24"/>
              </w:rPr>
            </w:pPr>
          </w:p>
        </w:tc>
        <w:tc>
          <w:tcPr>
            <w:tcW w:w="2414" w:type="dxa"/>
            <w:noWrap w:val="0"/>
            <w:vAlign w:val="top"/>
          </w:tcPr>
          <w:p w14:paraId="100A016E">
            <w:pPr>
              <w:snapToGrid w:val="0"/>
              <w:spacing w:line="264" w:lineRule="auto"/>
              <w:jc w:val="center"/>
              <w:rPr>
                <w:rFonts w:hint="eastAsia" w:ascii="宋体" w:hAnsi="宋体" w:eastAsia="宋体" w:cs="宋体"/>
                <w:sz w:val="24"/>
                <w:szCs w:val="24"/>
              </w:rPr>
            </w:pPr>
          </w:p>
        </w:tc>
        <w:tc>
          <w:tcPr>
            <w:tcW w:w="2416" w:type="dxa"/>
            <w:noWrap w:val="0"/>
            <w:vAlign w:val="top"/>
          </w:tcPr>
          <w:p w14:paraId="41CA173B">
            <w:pPr>
              <w:snapToGrid w:val="0"/>
              <w:spacing w:line="264" w:lineRule="auto"/>
              <w:jc w:val="center"/>
              <w:rPr>
                <w:rFonts w:hint="eastAsia" w:ascii="宋体" w:hAnsi="宋体" w:eastAsia="宋体" w:cs="宋体"/>
                <w:sz w:val="24"/>
                <w:szCs w:val="24"/>
              </w:rPr>
            </w:pPr>
          </w:p>
        </w:tc>
      </w:tr>
      <w:tr w14:paraId="5213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210B2DA">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379" w:type="dxa"/>
            <w:noWrap w:val="0"/>
            <w:vAlign w:val="top"/>
          </w:tcPr>
          <w:p w14:paraId="1D020FDC">
            <w:pPr>
              <w:snapToGrid w:val="0"/>
              <w:spacing w:line="264" w:lineRule="auto"/>
              <w:jc w:val="center"/>
              <w:rPr>
                <w:rFonts w:hint="eastAsia" w:ascii="宋体" w:hAnsi="宋体" w:eastAsia="宋体" w:cs="宋体"/>
                <w:sz w:val="24"/>
                <w:szCs w:val="24"/>
              </w:rPr>
            </w:pPr>
          </w:p>
        </w:tc>
        <w:tc>
          <w:tcPr>
            <w:tcW w:w="2414" w:type="dxa"/>
            <w:noWrap w:val="0"/>
            <w:vAlign w:val="top"/>
          </w:tcPr>
          <w:p w14:paraId="6339D018">
            <w:pPr>
              <w:snapToGrid w:val="0"/>
              <w:spacing w:line="264" w:lineRule="auto"/>
              <w:jc w:val="center"/>
              <w:rPr>
                <w:rFonts w:hint="eastAsia" w:ascii="宋体" w:hAnsi="宋体" w:eastAsia="宋体" w:cs="宋体"/>
                <w:sz w:val="24"/>
                <w:szCs w:val="24"/>
              </w:rPr>
            </w:pPr>
          </w:p>
        </w:tc>
        <w:tc>
          <w:tcPr>
            <w:tcW w:w="2416" w:type="dxa"/>
            <w:noWrap w:val="0"/>
            <w:vAlign w:val="top"/>
          </w:tcPr>
          <w:p w14:paraId="1F3FE48D">
            <w:pPr>
              <w:snapToGrid w:val="0"/>
              <w:spacing w:line="264" w:lineRule="auto"/>
              <w:jc w:val="center"/>
              <w:rPr>
                <w:rFonts w:hint="eastAsia" w:ascii="宋体" w:hAnsi="宋体" w:eastAsia="宋体" w:cs="宋体"/>
                <w:sz w:val="24"/>
                <w:szCs w:val="24"/>
              </w:rPr>
            </w:pPr>
          </w:p>
        </w:tc>
      </w:tr>
      <w:tr w14:paraId="21D1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6D0AEEB">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379" w:type="dxa"/>
            <w:noWrap w:val="0"/>
            <w:vAlign w:val="top"/>
          </w:tcPr>
          <w:p w14:paraId="1683D449">
            <w:pPr>
              <w:snapToGrid w:val="0"/>
              <w:spacing w:line="264" w:lineRule="auto"/>
              <w:jc w:val="center"/>
              <w:rPr>
                <w:rFonts w:hint="eastAsia" w:ascii="宋体" w:hAnsi="宋体" w:eastAsia="宋体" w:cs="宋体"/>
                <w:sz w:val="24"/>
                <w:szCs w:val="24"/>
              </w:rPr>
            </w:pPr>
          </w:p>
        </w:tc>
        <w:tc>
          <w:tcPr>
            <w:tcW w:w="2414" w:type="dxa"/>
            <w:noWrap w:val="0"/>
            <w:vAlign w:val="top"/>
          </w:tcPr>
          <w:p w14:paraId="32219A4B">
            <w:pPr>
              <w:snapToGrid w:val="0"/>
              <w:spacing w:line="264" w:lineRule="auto"/>
              <w:jc w:val="center"/>
              <w:rPr>
                <w:rFonts w:hint="eastAsia" w:ascii="宋体" w:hAnsi="宋体" w:eastAsia="宋体" w:cs="宋体"/>
                <w:sz w:val="24"/>
                <w:szCs w:val="24"/>
              </w:rPr>
            </w:pPr>
          </w:p>
        </w:tc>
        <w:tc>
          <w:tcPr>
            <w:tcW w:w="2416" w:type="dxa"/>
            <w:noWrap w:val="0"/>
            <w:vAlign w:val="top"/>
          </w:tcPr>
          <w:p w14:paraId="3230942B">
            <w:pPr>
              <w:snapToGrid w:val="0"/>
              <w:spacing w:line="264" w:lineRule="auto"/>
              <w:jc w:val="center"/>
              <w:rPr>
                <w:rFonts w:hint="eastAsia" w:ascii="宋体" w:hAnsi="宋体" w:eastAsia="宋体" w:cs="宋体"/>
                <w:sz w:val="24"/>
                <w:szCs w:val="24"/>
              </w:rPr>
            </w:pPr>
          </w:p>
        </w:tc>
      </w:tr>
      <w:tr w14:paraId="3626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CC6CC67">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379" w:type="dxa"/>
            <w:noWrap w:val="0"/>
            <w:vAlign w:val="top"/>
          </w:tcPr>
          <w:p w14:paraId="17613BB4">
            <w:pPr>
              <w:snapToGrid w:val="0"/>
              <w:spacing w:line="264" w:lineRule="auto"/>
              <w:jc w:val="center"/>
              <w:rPr>
                <w:rFonts w:hint="eastAsia" w:ascii="宋体" w:hAnsi="宋体" w:eastAsia="宋体" w:cs="宋体"/>
                <w:sz w:val="24"/>
                <w:szCs w:val="24"/>
              </w:rPr>
            </w:pPr>
          </w:p>
        </w:tc>
        <w:tc>
          <w:tcPr>
            <w:tcW w:w="2414" w:type="dxa"/>
            <w:noWrap w:val="0"/>
            <w:vAlign w:val="top"/>
          </w:tcPr>
          <w:p w14:paraId="34504478">
            <w:pPr>
              <w:snapToGrid w:val="0"/>
              <w:spacing w:line="264" w:lineRule="auto"/>
              <w:jc w:val="center"/>
              <w:rPr>
                <w:rFonts w:hint="eastAsia" w:ascii="宋体" w:hAnsi="宋体" w:eastAsia="宋体" w:cs="宋体"/>
                <w:sz w:val="24"/>
                <w:szCs w:val="24"/>
              </w:rPr>
            </w:pPr>
          </w:p>
        </w:tc>
        <w:tc>
          <w:tcPr>
            <w:tcW w:w="2416" w:type="dxa"/>
            <w:noWrap w:val="0"/>
            <w:vAlign w:val="top"/>
          </w:tcPr>
          <w:p w14:paraId="6C5FC774">
            <w:pPr>
              <w:snapToGrid w:val="0"/>
              <w:spacing w:line="264" w:lineRule="auto"/>
              <w:jc w:val="center"/>
              <w:rPr>
                <w:rFonts w:hint="eastAsia" w:ascii="宋体" w:hAnsi="宋体" w:eastAsia="宋体" w:cs="宋体"/>
                <w:sz w:val="24"/>
                <w:szCs w:val="24"/>
              </w:rPr>
            </w:pPr>
          </w:p>
        </w:tc>
      </w:tr>
      <w:tr w14:paraId="79B4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1C5EED7">
            <w:pPr>
              <w:snapToGrid w:val="0"/>
              <w:spacing w:line="264" w:lineRule="auto"/>
              <w:jc w:val="center"/>
              <w:rPr>
                <w:rFonts w:hint="eastAsia" w:ascii="宋体" w:hAnsi="宋体" w:eastAsia="宋体" w:cs="宋体"/>
                <w:sz w:val="24"/>
                <w:szCs w:val="24"/>
              </w:rPr>
            </w:pPr>
          </w:p>
        </w:tc>
        <w:tc>
          <w:tcPr>
            <w:tcW w:w="3379" w:type="dxa"/>
            <w:noWrap w:val="0"/>
            <w:vAlign w:val="top"/>
          </w:tcPr>
          <w:p w14:paraId="6F723481">
            <w:pPr>
              <w:snapToGrid w:val="0"/>
              <w:spacing w:line="264" w:lineRule="auto"/>
              <w:jc w:val="center"/>
              <w:rPr>
                <w:rFonts w:hint="eastAsia" w:ascii="宋体" w:hAnsi="宋体" w:eastAsia="宋体" w:cs="宋体"/>
                <w:sz w:val="24"/>
                <w:szCs w:val="24"/>
              </w:rPr>
            </w:pPr>
          </w:p>
        </w:tc>
        <w:tc>
          <w:tcPr>
            <w:tcW w:w="2414" w:type="dxa"/>
            <w:noWrap w:val="0"/>
            <w:vAlign w:val="top"/>
          </w:tcPr>
          <w:p w14:paraId="52B69D02">
            <w:pPr>
              <w:snapToGrid w:val="0"/>
              <w:spacing w:line="264" w:lineRule="auto"/>
              <w:jc w:val="center"/>
              <w:rPr>
                <w:rFonts w:hint="eastAsia" w:ascii="宋体" w:hAnsi="宋体" w:eastAsia="宋体" w:cs="宋体"/>
                <w:sz w:val="24"/>
                <w:szCs w:val="24"/>
              </w:rPr>
            </w:pPr>
          </w:p>
        </w:tc>
        <w:tc>
          <w:tcPr>
            <w:tcW w:w="2416" w:type="dxa"/>
            <w:noWrap w:val="0"/>
            <w:vAlign w:val="top"/>
          </w:tcPr>
          <w:p w14:paraId="0504DFEB">
            <w:pPr>
              <w:snapToGrid w:val="0"/>
              <w:spacing w:line="264" w:lineRule="auto"/>
              <w:jc w:val="center"/>
              <w:rPr>
                <w:rFonts w:hint="eastAsia" w:ascii="宋体" w:hAnsi="宋体" w:eastAsia="宋体" w:cs="宋体"/>
                <w:sz w:val="24"/>
                <w:szCs w:val="24"/>
              </w:rPr>
            </w:pPr>
          </w:p>
        </w:tc>
      </w:tr>
      <w:tr w14:paraId="249F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E545DD7">
            <w:pPr>
              <w:snapToGrid w:val="0"/>
              <w:spacing w:line="264" w:lineRule="auto"/>
              <w:jc w:val="center"/>
              <w:rPr>
                <w:rFonts w:hint="eastAsia" w:ascii="宋体" w:hAnsi="宋体" w:eastAsia="宋体" w:cs="宋体"/>
                <w:sz w:val="24"/>
                <w:szCs w:val="24"/>
              </w:rPr>
            </w:pPr>
          </w:p>
        </w:tc>
        <w:tc>
          <w:tcPr>
            <w:tcW w:w="3379" w:type="dxa"/>
            <w:noWrap w:val="0"/>
            <w:vAlign w:val="top"/>
          </w:tcPr>
          <w:p w14:paraId="7A3F93DD">
            <w:pPr>
              <w:snapToGrid w:val="0"/>
              <w:spacing w:line="264" w:lineRule="auto"/>
              <w:jc w:val="center"/>
              <w:rPr>
                <w:rFonts w:hint="eastAsia" w:ascii="宋体" w:hAnsi="宋体" w:eastAsia="宋体" w:cs="宋体"/>
                <w:sz w:val="24"/>
                <w:szCs w:val="24"/>
              </w:rPr>
            </w:pPr>
          </w:p>
        </w:tc>
        <w:tc>
          <w:tcPr>
            <w:tcW w:w="2414" w:type="dxa"/>
            <w:noWrap w:val="0"/>
            <w:vAlign w:val="top"/>
          </w:tcPr>
          <w:p w14:paraId="5D451139">
            <w:pPr>
              <w:snapToGrid w:val="0"/>
              <w:spacing w:line="264" w:lineRule="auto"/>
              <w:jc w:val="center"/>
              <w:rPr>
                <w:rFonts w:hint="eastAsia" w:ascii="宋体" w:hAnsi="宋体" w:eastAsia="宋体" w:cs="宋体"/>
                <w:sz w:val="24"/>
                <w:szCs w:val="24"/>
              </w:rPr>
            </w:pPr>
          </w:p>
        </w:tc>
        <w:tc>
          <w:tcPr>
            <w:tcW w:w="2416" w:type="dxa"/>
            <w:noWrap w:val="0"/>
            <w:vAlign w:val="top"/>
          </w:tcPr>
          <w:p w14:paraId="378A9CA7">
            <w:pPr>
              <w:snapToGrid w:val="0"/>
              <w:spacing w:line="264" w:lineRule="auto"/>
              <w:jc w:val="center"/>
              <w:rPr>
                <w:rFonts w:hint="eastAsia" w:ascii="宋体" w:hAnsi="宋体" w:eastAsia="宋体" w:cs="宋体"/>
                <w:sz w:val="24"/>
                <w:szCs w:val="24"/>
              </w:rPr>
            </w:pPr>
          </w:p>
        </w:tc>
      </w:tr>
      <w:tr w14:paraId="5439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48E976A">
            <w:pPr>
              <w:snapToGrid w:val="0"/>
              <w:spacing w:line="264" w:lineRule="auto"/>
              <w:jc w:val="center"/>
              <w:rPr>
                <w:rFonts w:hint="eastAsia" w:ascii="宋体" w:hAnsi="宋体" w:eastAsia="宋体" w:cs="宋体"/>
                <w:sz w:val="24"/>
                <w:szCs w:val="24"/>
              </w:rPr>
            </w:pPr>
          </w:p>
        </w:tc>
        <w:tc>
          <w:tcPr>
            <w:tcW w:w="3379" w:type="dxa"/>
            <w:noWrap w:val="0"/>
            <w:vAlign w:val="top"/>
          </w:tcPr>
          <w:p w14:paraId="6E3FD1C9">
            <w:pPr>
              <w:snapToGrid w:val="0"/>
              <w:spacing w:line="264" w:lineRule="auto"/>
              <w:jc w:val="center"/>
              <w:rPr>
                <w:rFonts w:hint="eastAsia" w:ascii="宋体" w:hAnsi="宋体" w:eastAsia="宋体" w:cs="宋体"/>
                <w:sz w:val="24"/>
                <w:szCs w:val="24"/>
              </w:rPr>
            </w:pPr>
          </w:p>
        </w:tc>
        <w:tc>
          <w:tcPr>
            <w:tcW w:w="2414" w:type="dxa"/>
            <w:noWrap w:val="0"/>
            <w:vAlign w:val="top"/>
          </w:tcPr>
          <w:p w14:paraId="613DE8CE">
            <w:pPr>
              <w:snapToGrid w:val="0"/>
              <w:spacing w:line="264" w:lineRule="auto"/>
              <w:jc w:val="center"/>
              <w:rPr>
                <w:rFonts w:hint="eastAsia" w:ascii="宋体" w:hAnsi="宋体" w:eastAsia="宋体" w:cs="宋体"/>
                <w:sz w:val="24"/>
                <w:szCs w:val="24"/>
              </w:rPr>
            </w:pPr>
          </w:p>
        </w:tc>
        <w:tc>
          <w:tcPr>
            <w:tcW w:w="2416" w:type="dxa"/>
            <w:noWrap w:val="0"/>
            <w:vAlign w:val="top"/>
          </w:tcPr>
          <w:p w14:paraId="16778968">
            <w:pPr>
              <w:snapToGrid w:val="0"/>
              <w:spacing w:line="264" w:lineRule="auto"/>
              <w:jc w:val="center"/>
              <w:rPr>
                <w:rFonts w:hint="eastAsia" w:ascii="宋体" w:hAnsi="宋体" w:eastAsia="宋体" w:cs="宋体"/>
                <w:sz w:val="24"/>
                <w:szCs w:val="24"/>
              </w:rPr>
            </w:pPr>
          </w:p>
        </w:tc>
      </w:tr>
      <w:tr w14:paraId="7FAA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22FC9E68">
            <w:pPr>
              <w:snapToGrid w:val="0"/>
              <w:spacing w:line="264"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说明：质保期内免费提供以上备品备件</w:t>
            </w:r>
          </w:p>
        </w:tc>
      </w:tr>
    </w:tbl>
    <w:p w14:paraId="559C381C">
      <w:pPr>
        <w:snapToGrid w:val="0"/>
        <w:spacing w:line="264" w:lineRule="auto"/>
        <w:ind w:firstLine="482" w:firstLineChars="200"/>
        <w:jc w:val="left"/>
        <w:rPr>
          <w:rFonts w:hint="eastAsia" w:ascii="宋体" w:hAnsi="宋体" w:eastAsia="宋体" w:cs="宋体"/>
          <w:b/>
          <w:bCs/>
          <w:sz w:val="24"/>
          <w:szCs w:val="24"/>
        </w:rPr>
      </w:pPr>
    </w:p>
    <w:p w14:paraId="14904E5D">
      <w:pPr>
        <w:snapToGrid w:val="0"/>
        <w:spacing w:line="264" w:lineRule="auto"/>
        <w:ind w:firstLine="482" w:firstLineChars="200"/>
        <w:jc w:val="left"/>
        <w:rPr>
          <w:rFonts w:hint="eastAsia" w:ascii="宋体" w:hAnsi="宋体" w:eastAsia="宋体" w:cs="宋体"/>
          <w:b/>
          <w:bCs/>
          <w:sz w:val="24"/>
          <w:szCs w:val="24"/>
        </w:rPr>
      </w:pPr>
    </w:p>
    <w:p w14:paraId="346CBAE9">
      <w:pPr>
        <w:snapToGrid w:val="0"/>
        <w:spacing w:line="264" w:lineRule="auto"/>
        <w:ind w:firstLine="482" w:firstLineChars="200"/>
        <w:jc w:val="left"/>
        <w:rPr>
          <w:rFonts w:hint="eastAsia" w:ascii="宋体" w:hAnsi="宋体" w:eastAsia="宋体" w:cs="宋体"/>
          <w:b/>
          <w:bCs/>
          <w:sz w:val="24"/>
          <w:szCs w:val="24"/>
        </w:rPr>
      </w:pPr>
    </w:p>
    <w:p w14:paraId="206D0340">
      <w:pPr>
        <w:snapToGrid w:val="0"/>
        <w:spacing w:line="264" w:lineRule="auto"/>
        <w:ind w:firstLine="482" w:firstLineChars="200"/>
        <w:jc w:val="left"/>
        <w:rPr>
          <w:rFonts w:hint="eastAsia" w:ascii="宋体" w:hAnsi="宋体" w:eastAsia="宋体" w:cs="宋体"/>
          <w:b/>
          <w:bCs/>
          <w:sz w:val="24"/>
          <w:szCs w:val="24"/>
        </w:rPr>
      </w:pPr>
    </w:p>
    <w:p w14:paraId="7E1D9A44">
      <w:pPr>
        <w:snapToGrid w:val="0"/>
        <w:spacing w:line="264" w:lineRule="auto"/>
        <w:ind w:firstLine="482" w:firstLineChars="200"/>
        <w:jc w:val="left"/>
        <w:rPr>
          <w:rFonts w:hint="eastAsia" w:ascii="宋体" w:hAnsi="宋体" w:eastAsia="宋体" w:cs="宋体"/>
          <w:b/>
          <w:bCs/>
          <w:sz w:val="24"/>
          <w:szCs w:val="24"/>
        </w:rPr>
      </w:pPr>
    </w:p>
    <w:p w14:paraId="125E2D14">
      <w:pPr>
        <w:snapToGrid w:val="0"/>
        <w:spacing w:line="264" w:lineRule="auto"/>
        <w:ind w:firstLine="482" w:firstLineChars="200"/>
        <w:jc w:val="left"/>
        <w:rPr>
          <w:rFonts w:hint="eastAsia" w:ascii="宋体" w:hAnsi="宋体" w:eastAsia="宋体" w:cs="宋体"/>
          <w:b/>
          <w:bCs/>
          <w:sz w:val="24"/>
          <w:szCs w:val="24"/>
        </w:rPr>
      </w:pPr>
    </w:p>
    <w:p w14:paraId="6A62B164">
      <w:pPr>
        <w:snapToGrid w:val="0"/>
        <w:spacing w:line="264" w:lineRule="auto"/>
        <w:ind w:firstLine="482" w:firstLineChars="200"/>
        <w:jc w:val="left"/>
        <w:rPr>
          <w:rFonts w:hint="eastAsia" w:ascii="宋体" w:hAnsi="宋体" w:eastAsia="宋体" w:cs="宋体"/>
          <w:b/>
          <w:bCs/>
          <w:sz w:val="24"/>
          <w:szCs w:val="24"/>
        </w:rPr>
      </w:pPr>
    </w:p>
    <w:p w14:paraId="0EBCFC71">
      <w:pPr>
        <w:snapToGrid w:val="0"/>
        <w:spacing w:line="264" w:lineRule="auto"/>
        <w:ind w:firstLine="482" w:firstLineChars="200"/>
        <w:jc w:val="left"/>
        <w:rPr>
          <w:rFonts w:hint="eastAsia" w:ascii="宋体" w:hAnsi="宋体" w:eastAsia="宋体" w:cs="宋体"/>
          <w:b/>
          <w:bCs/>
          <w:sz w:val="24"/>
          <w:szCs w:val="24"/>
        </w:rPr>
      </w:pPr>
    </w:p>
    <w:p w14:paraId="5ED033BB">
      <w:pPr>
        <w:snapToGrid w:val="0"/>
        <w:spacing w:line="264" w:lineRule="auto"/>
        <w:ind w:firstLine="482" w:firstLineChars="200"/>
        <w:jc w:val="left"/>
        <w:rPr>
          <w:rFonts w:hint="eastAsia" w:ascii="宋体" w:hAnsi="宋体" w:eastAsia="宋体" w:cs="宋体"/>
          <w:b/>
          <w:bCs/>
          <w:sz w:val="24"/>
          <w:szCs w:val="24"/>
        </w:rPr>
      </w:pPr>
    </w:p>
    <w:p w14:paraId="2C2FDE16">
      <w:pPr>
        <w:snapToGrid w:val="0"/>
        <w:spacing w:line="264" w:lineRule="auto"/>
        <w:ind w:firstLine="482" w:firstLineChars="200"/>
        <w:jc w:val="left"/>
        <w:rPr>
          <w:rFonts w:hint="eastAsia" w:ascii="宋体" w:hAnsi="宋体" w:eastAsia="宋体" w:cs="宋体"/>
          <w:b/>
          <w:bCs/>
          <w:sz w:val="24"/>
          <w:szCs w:val="24"/>
        </w:rPr>
      </w:pPr>
    </w:p>
    <w:p w14:paraId="6D73DD40">
      <w:pPr>
        <w:snapToGrid w:val="0"/>
        <w:spacing w:line="264" w:lineRule="auto"/>
        <w:ind w:firstLine="482" w:firstLineChars="200"/>
        <w:jc w:val="left"/>
        <w:rPr>
          <w:rFonts w:hint="eastAsia" w:ascii="宋体" w:hAnsi="宋体" w:eastAsia="宋体" w:cs="宋体"/>
          <w:b/>
          <w:bCs/>
          <w:sz w:val="24"/>
          <w:szCs w:val="24"/>
        </w:rPr>
      </w:pPr>
    </w:p>
    <w:p w14:paraId="25C07254">
      <w:pPr>
        <w:snapToGrid w:val="0"/>
        <w:spacing w:line="264" w:lineRule="auto"/>
        <w:ind w:firstLine="482" w:firstLineChars="200"/>
        <w:jc w:val="left"/>
        <w:rPr>
          <w:rFonts w:hint="eastAsia" w:ascii="宋体" w:hAnsi="宋体" w:eastAsia="宋体" w:cs="宋体"/>
          <w:b/>
          <w:bCs/>
          <w:sz w:val="24"/>
          <w:szCs w:val="24"/>
        </w:rPr>
      </w:pPr>
    </w:p>
    <w:p w14:paraId="06D1B816">
      <w:pPr>
        <w:snapToGrid w:val="0"/>
        <w:spacing w:line="264" w:lineRule="auto"/>
        <w:ind w:firstLine="482" w:firstLineChars="200"/>
        <w:jc w:val="left"/>
        <w:rPr>
          <w:rFonts w:hint="eastAsia" w:ascii="宋体" w:hAnsi="宋体" w:eastAsia="宋体" w:cs="宋体"/>
          <w:b/>
          <w:bCs/>
          <w:sz w:val="24"/>
          <w:szCs w:val="24"/>
        </w:rPr>
      </w:pPr>
    </w:p>
    <w:p w14:paraId="56EA6F3A">
      <w:pPr>
        <w:snapToGrid w:val="0"/>
        <w:spacing w:line="264" w:lineRule="auto"/>
        <w:ind w:firstLine="482" w:firstLineChars="200"/>
        <w:jc w:val="left"/>
        <w:rPr>
          <w:rFonts w:hint="eastAsia" w:ascii="宋体" w:hAnsi="宋体" w:eastAsia="宋体" w:cs="宋体"/>
          <w:b/>
          <w:bCs/>
          <w:sz w:val="24"/>
          <w:szCs w:val="24"/>
        </w:rPr>
      </w:pPr>
    </w:p>
    <w:p w14:paraId="1F8DFEB1">
      <w:pPr>
        <w:snapToGrid w:val="0"/>
        <w:spacing w:line="264" w:lineRule="auto"/>
        <w:ind w:firstLine="482" w:firstLineChars="200"/>
        <w:jc w:val="left"/>
        <w:rPr>
          <w:rFonts w:hint="eastAsia" w:ascii="宋体" w:hAnsi="宋体" w:eastAsia="宋体" w:cs="宋体"/>
          <w:b/>
          <w:bCs/>
          <w:sz w:val="24"/>
          <w:szCs w:val="24"/>
        </w:rPr>
      </w:pPr>
    </w:p>
    <w:p w14:paraId="16644141">
      <w:pPr>
        <w:snapToGrid w:val="0"/>
        <w:spacing w:line="264" w:lineRule="auto"/>
        <w:ind w:firstLine="482" w:firstLineChars="200"/>
        <w:jc w:val="left"/>
        <w:rPr>
          <w:rFonts w:hint="eastAsia" w:ascii="宋体" w:hAnsi="宋体" w:eastAsia="宋体" w:cs="宋体"/>
          <w:b/>
          <w:bCs/>
          <w:sz w:val="24"/>
          <w:szCs w:val="24"/>
        </w:rPr>
      </w:pPr>
    </w:p>
    <w:p w14:paraId="2089A813">
      <w:pPr>
        <w:snapToGrid w:val="0"/>
        <w:spacing w:line="264" w:lineRule="auto"/>
        <w:ind w:firstLine="482" w:firstLineChars="200"/>
        <w:jc w:val="left"/>
        <w:rPr>
          <w:rFonts w:hint="eastAsia" w:ascii="宋体" w:hAnsi="宋体" w:eastAsia="宋体" w:cs="宋体"/>
          <w:b/>
          <w:bCs/>
          <w:sz w:val="24"/>
          <w:szCs w:val="24"/>
        </w:rPr>
      </w:pPr>
    </w:p>
    <w:p w14:paraId="4DB1996D">
      <w:pPr>
        <w:snapToGrid w:val="0"/>
        <w:spacing w:line="264" w:lineRule="auto"/>
        <w:ind w:firstLine="482" w:firstLineChars="200"/>
        <w:jc w:val="left"/>
        <w:rPr>
          <w:rFonts w:hint="eastAsia" w:ascii="宋体" w:hAnsi="宋体" w:eastAsia="宋体" w:cs="宋体"/>
          <w:b/>
          <w:bCs/>
          <w:sz w:val="24"/>
          <w:szCs w:val="24"/>
        </w:rPr>
      </w:pPr>
    </w:p>
    <w:p w14:paraId="5B954B6B">
      <w:pPr>
        <w:snapToGrid w:val="0"/>
        <w:spacing w:line="264" w:lineRule="auto"/>
        <w:ind w:firstLine="482" w:firstLineChars="200"/>
        <w:jc w:val="left"/>
        <w:rPr>
          <w:rFonts w:hint="eastAsia" w:ascii="宋体" w:hAnsi="宋体" w:eastAsia="宋体" w:cs="宋体"/>
          <w:b/>
          <w:bCs/>
          <w:sz w:val="24"/>
          <w:szCs w:val="24"/>
        </w:rPr>
      </w:pPr>
    </w:p>
    <w:p w14:paraId="72E5AE11">
      <w:pPr>
        <w:snapToGrid w:val="0"/>
        <w:spacing w:line="264" w:lineRule="auto"/>
        <w:ind w:firstLine="482" w:firstLineChars="200"/>
        <w:jc w:val="left"/>
        <w:rPr>
          <w:rFonts w:hint="eastAsia" w:ascii="宋体" w:hAnsi="宋体" w:eastAsia="宋体" w:cs="宋体"/>
          <w:b/>
          <w:bCs/>
          <w:sz w:val="24"/>
          <w:szCs w:val="24"/>
        </w:rPr>
      </w:pPr>
    </w:p>
    <w:p w14:paraId="7FF9AB6C">
      <w:pPr>
        <w:snapToGrid w:val="0"/>
        <w:spacing w:line="264" w:lineRule="auto"/>
        <w:ind w:firstLine="482" w:firstLineChars="200"/>
        <w:jc w:val="left"/>
        <w:rPr>
          <w:rFonts w:hint="eastAsia" w:ascii="宋体" w:hAnsi="宋体" w:eastAsia="宋体" w:cs="宋体"/>
          <w:b/>
          <w:bCs/>
          <w:sz w:val="24"/>
          <w:szCs w:val="24"/>
        </w:rPr>
      </w:pPr>
    </w:p>
    <w:p w14:paraId="307588EE">
      <w:pPr>
        <w:snapToGrid w:val="0"/>
        <w:spacing w:line="264" w:lineRule="auto"/>
        <w:ind w:firstLine="482" w:firstLineChars="200"/>
        <w:jc w:val="left"/>
        <w:rPr>
          <w:rFonts w:hint="eastAsia" w:ascii="宋体" w:hAnsi="宋体" w:eastAsia="宋体" w:cs="宋体"/>
          <w:b/>
          <w:bCs/>
          <w:sz w:val="24"/>
          <w:szCs w:val="24"/>
        </w:rPr>
      </w:pPr>
    </w:p>
    <w:p w14:paraId="294311EE">
      <w:pPr>
        <w:snapToGrid w:val="0"/>
        <w:spacing w:line="264" w:lineRule="auto"/>
        <w:jc w:val="left"/>
        <w:rPr>
          <w:rFonts w:hint="eastAsia" w:ascii="宋体" w:hAnsi="宋体" w:eastAsia="宋体" w:cs="宋体"/>
          <w:b/>
          <w:bCs/>
          <w:sz w:val="24"/>
          <w:szCs w:val="24"/>
        </w:rPr>
      </w:pPr>
    </w:p>
    <w:p w14:paraId="3AD8FC1D">
      <w:pPr>
        <w:snapToGrid w:val="0"/>
        <w:spacing w:line="264" w:lineRule="auto"/>
        <w:ind w:firstLine="482" w:firstLineChars="200"/>
        <w:jc w:val="left"/>
        <w:rPr>
          <w:rFonts w:hint="eastAsia" w:ascii="宋体" w:hAnsi="宋体" w:eastAsia="宋体" w:cs="宋体"/>
          <w:b/>
          <w:bCs/>
          <w:sz w:val="24"/>
          <w:szCs w:val="24"/>
        </w:rPr>
      </w:pPr>
    </w:p>
    <w:p w14:paraId="3F08FF80">
      <w:pPr>
        <w:snapToGrid w:val="0"/>
        <w:spacing w:line="264" w:lineRule="auto"/>
        <w:ind w:firstLine="482" w:firstLineChars="200"/>
        <w:jc w:val="left"/>
        <w:rPr>
          <w:rFonts w:hint="eastAsia" w:ascii="宋体" w:hAnsi="宋体" w:eastAsia="宋体" w:cs="宋体"/>
          <w:b/>
          <w:bCs/>
          <w:sz w:val="24"/>
          <w:szCs w:val="24"/>
        </w:rPr>
      </w:pPr>
    </w:p>
    <w:p w14:paraId="0EEE28D4">
      <w:pPr>
        <w:snapToGrid w:val="0"/>
        <w:spacing w:line="264" w:lineRule="auto"/>
        <w:ind w:firstLine="482" w:firstLineChars="200"/>
        <w:jc w:val="left"/>
        <w:rPr>
          <w:rFonts w:hint="eastAsia" w:ascii="宋体" w:hAnsi="宋体" w:eastAsia="宋体" w:cs="宋体"/>
          <w:b/>
          <w:bCs/>
          <w:sz w:val="24"/>
          <w:szCs w:val="24"/>
        </w:rPr>
      </w:pPr>
    </w:p>
    <w:p w14:paraId="75D97DEF">
      <w:pPr>
        <w:snapToGrid w:val="0"/>
        <w:spacing w:line="264" w:lineRule="auto"/>
        <w:ind w:firstLine="482" w:firstLineChars="200"/>
        <w:jc w:val="left"/>
        <w:rPr>
          <w:rFonts w:hint="eastAsia" w:ascii="宋体" w:hAnsi="宋体" w:eastAsia="宋体" w:cs="宋体"/>
          <w:b/>
          <w:bCs/>
          <w:sz w:val="24"/>
          <w:szCs w:val="24"/>
        </w:rPr>
      </w:pPr>
    </w:p>
    <w:p w14:paraId="3496F63E">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p>
    <w:p w14:paraId="47217469">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技术参数</w:t>
      </w:r>
      <w:r>
        <w:rPr>
          <w:rFonts w:hint="eastAsia" w:ascii="宋体" w:hAnsi="宋体" w:eastAsia="宋体" w:cs="宋体"/>
          <w:b/>
          <w:bCs/>
          <w:color w:val="FF0000"/>
          <w:sz w:val="24"/>
          <w:szCs w:val="24"/>
        </w:rPr>
        <w:t>（加盖合同专用章）</w:t>
      </w:r>
    </w:p>
    <w:p w14:paraId="7C87975D">
      <w:pPr>
        <w:snapToGrid w:val="0"/>
        <w:spacing w:line="264" w:lineRule="auto"/>
        <w:jc w:val="left"/>
        <w:rPr>
          <w:rFonts w:hint="eastAsia" w:ascii="宋体" w:hAnsi="宋体" w:eastAsia="宋体" w:cs="宋体"/>
          <w:b/>
          <w:bCs/>
          <w:sz w:val="24"/>
          <w:szCs w:val="24"/>
        </w:rPr>
      </w:pPr>
    </w:p>
    <w:p w14:paraId="65A56881">
      <w:pPr>
        <w:snapToGrid w:val="0"/>
        <w:spacing w:line="264" w:lineRule="auto"/>
        <w:ind w:firstLine="482" w:firstLineChars="200"/>
        <w:jc w:val="left"/>
        <w:rPr>
          <w:rFonts w:hint="eastAsia" w:ascii="宋体" w:hAnsi="宋体" w:eastAsia="宋体" w:cs="宋体"/>
          <w:b/>
          <w:bCs/>
          <w:sz w:val="24"/>
          <w:szCs w:val="24"/>
        </w:rPr>
      </w:pPr>
    </w:p>
    <w:p w14:paraId="6FA618C1">
      <w:pPr>
        <w:snapToGrid w:val="0"/>
        <w:spacing w:line="264" w:lineRule="auto"/>
        <w:ind w:firstLine="482" w:firstLineChars="200"/>
        <w:jc w:val="left"/>
        <w:rPr>
          <w:rFonts w:hint="eastAsia" w:ascii="宋体" w:hAnsi="宋体" w:eastAsia="宋体" w:cs="宋体"/>
          <w:b/>
          <w:bCs/>
          <w:sz w:val="24"/>
          <w:szCs w:val="24"/>
        </w:rPr>
      </w:pPr>
    </w:p>
    <w:p w14:paraId="39930E53">
      <w:pPr>
        <w:snapToGrid w:val="0"/>
        <w:spacing w:line="264" w:lineRule="auto"/>
        <w:ind w:firstLine="482" w:firstLineChars="200"/>
        <w:jc w:val="left"/>
        <w:rPr>
          <w:rFonts w:hint="eastAsia" w:ascii="宋体" w:hAnsi="宋体" w:eastAsia="宋体" w:cs="宋体"/>
          <w:b/>
          <w:bCs/>
          <w:sz w:val="24"/>
          <w:szCs w:val="24"/>
        </w:rPr>
      </w:pPr>
    </w:p>
    <w:p w14:paraId="5664AC06">
      <w:pPr>
        <w:snapToGrid w:val="0"/>
        <w:spacing w:line="264" w:lineRule="auto"/>
        <w:ind w:firstLine="482" w:firstLineChars="200"/>
        <w:jc w:val="left"/>
        <w:rPr>
          <w:rFonts w:hint="eastAsia" w:ascii="宋体" w:hAnsi="宋体" w:eastAsia="宋体" w:cs="宋体"/>
          <w:b/>
          <w:bCs/>
          <w:sz w:val="24"/>
          <w:szCs w:val="24"/>
        </w:rPr>
      </w:pPr>
    </w:p>
    <w:p w14:paraId="49DAF9E5">
      <w:pPr>
        <w:snapToGrid w:val="0"/>
        <w:spacing w:line="264" w:lineRule="auto"/>
        <w:ind w:firstLine="482" w:firstLineChars="200"/>
        <w:jc w:val="left"/>
        <w:rPr>
          <w:rFonts w:hint="eastAsia" w:ascii="宋体" w:hAnsi="宋体" w:eastAsia="宋体" w:cs="宋体"/>
          <w:b/>
          <w:bCs/>
          <w:sz w:val="24"/>
          <w:szCs w:val="24"/>
        </w:rPr>
      </w:pPr>
    </w:p>
    <w:p w14:paraId="4B53FEB4">
      <w:pPr>
        <w:snapToGrid w:val="0"/>
        <w:spacing w:line="264" w:lineRule="auto"/>
        <w:ind w:firstLine="482" w:firstLineChars="200"/>
        <w:jc w:val="left"/>
        <w:rPr>
          <w:rFonts w:hint="eastAsia" w:ascii="宋体" w:hAnsi="宋体" w:eastAsia="宋体" w:cs="宋体"/>
          <w:b/>
          <w:bCs/>
          <w:sz w:val="24"/>
          <w:szCs w:val="24"/>
        </w:rPr>
      </w:pPr>
    </w:p>
    <w:p w14:paraId="639EA77B">
      <w:pPr>
        <w:snapToGrid w:val="0"/>
        <w:spacing w:line="264" w:lineRule="auto"/>
        <w:ind w:firstLine="482" w:firstLineChars="200"/>
        <w:jc w:val="left"/>
        <w:rPr>
          <w:rFonts w:hint="eastAsia" w:ascii="宋体" w:hAnsi="宋体" w:eastAsia="宋体" w:cs="宋体"/>
          <w:b/>
          <w:bCs/>
          <w:sz w:val="24"/>
          <w:szCs w:val="24"/>
        </w:rPr>
      </w:pPr>
    </w:p>
    <w:p w14:paraId="0A7D25CD">
      <w:pPr>
        <w:snapToGrid w:val="0"/>
        <w:spacing w:line="264" w:lineRule="auto"/>
        <w:ind w:firstLine="482" w:firstLineChars="200"/>
        <w:jc w:val="left"/>
        <w:rPr>
          <w:rFonts w:hint="eastAsia" w:ascii="宋体" w:hAnsi="宋体" w:eastAsia="宋体" w:cs="宋体"/>
          <w:b/>
          <w:bCs/>
          <w:sz w:val="24"/>
          <w:szCs w:val="24"/>
        </w:rPr>
      </w:pPr>
    </w:p>
    <w:p w14:paraId="5ACCA906">
      <w:pPr>
        <w:snapToGrid w:val="0"/>
        <w:spacing w:line="264" w:lineRule="auto"/>
        <w:ind w:firstLine="482" w:firstLineChars="200"/>
        <w:jc w:val="left"/>
        <w:rPr>
          <w:rFonts w:hint="eastAsia" w:ascii="宋体" w:hAnsi="宋体" w:eastAsia="宋体" w:cs="宋体"/>
          <w:b/>
          <w:bCs/>
          <w:sz w:val="24"/>
          <w:szCs w:val="24"/>
        </w:rPr>
      </w:pPr>
    </w:p>
    <w:p w14:paraId="04ECFCC6">
      <w:pPr>
        <w:snapToGrid w:val="0"/>
        <w:spacing w:line="264" w:lineRule="auto"/>
        <w:ind w:firstLine="482" w:firstLineChars="200"/>
        <w:jc w:val="left"/>
        <w:rPr>
          <w:rFonts w:hint="eastAsia" w:ascii="宋体" w:hAnsi="宋体" w:eastAsia="宋体" w:cs="宋体"/>
          <w:b/>
          <w:bCs/>
          <w:sz w:val="24"/>
          <w:szCs w:val="24"/>
        </w:rPr>
      </w:pPr>
    </w:p>
    <w:p w14:paraId="2BE2C572">
      <w:pPr>
        <w:snapToGrid w:val="0"/>
        <w:spacing w:line="264" w:lineRule="auto"/>
        <w:ind w:firstLine="482" w:firstLineChars="200"/>
        <w:jc w:val="left"/>
        <w:rPr>
          <w:rFonts w:hint="eastAsia" w:ascii="宋体" w:hAnsi="宋体" w:eastAsia="宋体" w:cs="宋体"/>
          <w:b/>
          <w:bCs/>
          <w:sz w:val="24"/>
          <w:szCs w:val="24"/>
        </w:rPr>
      </w:pPr>
    </w:p>
    <w:p w14:paraId="53511A2B">
      <w:pPr>
        <w:snapToGrid w:val="0"/>
        <w:spacing w:line="264" w:lineRule="auto"/>
        <w:ind w:firstLine="482" w:firstLineChars="200"/>
        <w:jc w:val="left"/>
        <w:rPr>
          <w:rFonts w:hint="eastAsia" w:ascii="宋体" w:hAnsi="宋体" w:eastAsia="宋体" w:cs="宋体"/>
          <w:b/>
          <w:bCs/>
          <w:sz w:val="24"/>
          <w:szCs w:val="24"/>
        </w:rPr>
      </w:pPr>
    </w:p>
    <w:p w14:paraId="52A78812">
      <w:pPr>
        <w:snapToGrid w:val="0"/>
        <w:spacing w:line="264" w:lineRule="auto"/>
        <w:ind w:firstLine="482" w:firstLineChars="200"/>
        <w:jc w:val="left"/>
        <w:rPr>
          <w:rFonts w:hint="eastAsia" w:ascii="宋体" w:hAnsi="宋体" w:eastAsia="宋体" w:cs="宋体"/>
          <w:b/>
          <w:bCs/>
          <w:sz w:val="24"/>
          <w:szCs w:val="24"/>
        </w:rPr>
      </w:pPr>
    </w:p>
    <w:p w14:paraId="5BEE6A38">
      <w:pPr>
        <w:snapToGrid w:val="0"/>
        <w:spacing w:line="264" w:lineRule="auto"/>
        <w:ind w:firstLine="482" w:firstLineChars="200"/>
        <w:jc w:val="left"/>
        <w:rPr>
          <w:rFonts w:hint="eastAsia" w:ascii="宋体" w:hAnsi="宋体" w:eastAsia="宋体" w:cs="宋体"/>
          <w:b/>
          <w:bCs/>
          <w:sz w:val="24"/>
          <w:szCs w:val="24"/>
        </w:rPr>
      </w:pPr>
    </w:p>
    <w:p w14:paraId="723958D4">
      <w:pPr>
        <w:snapToGrid w:val="0"/>
        <w:spacing w:line="264" w:lineRule="auto"/>
        <w:ind w:firstLine="482" w:firstLineChars="200"/>
        <w:jc w:val="left"/>
        <w:rPr>
          <w:rFonts w:hint="eastAsia" w:ascii="宋体" w:hAnsi="宋体" w:eastAsia="宋体" w:cs="宋体"/>
          <w:b/>
          <w:bCs/>
          <w:sz w:val="24"/>
          <w:szCs w:val="24"/>
        </w:rPr>
      </w:pPr>
    </w:p>
    <w:p w14:paraId="61D60656">
      <w:pPr>
        <w:snapToGrid w:val="0"/>
        <w:spacing w:line="264" w:lineRule="auto"/>
        <w:ind w:firstLine="482" w:firstLineChars="200"/>
        <w:jc w:val="left"/>
        <w:rPr>
          <w:rFonts w:hint="eastAsia" w:ascii="宋体" w:hAnsi="宋体" w:eastAsia="宋体" w:cs="宋体"/>
          <w:b/>
          <w:bCs/>
          <w:sz w:val="24"/>
          <w:szCs w:val="24"/>
        </w:rPr>
      </w:pPr>
    </w:p>
    <w:p w14:paraId="004D2531">
      <w:pPr>
        <w:snapToGrid w:val="0"/>
        <w:spacing w:line="264" w:lineRule="auto"/>
        <w:ind w:firstLine="482" w:firstLineChars="200"/>
        <w:jc w:val="left"/>
        <w:rPr>
          <w:rFonts w:hint="eastAsia" w:ascii="宋体" w:hAnsi="宋体" w:eastAsia="宋体" w:cs="宋体"/>
          <w:b/>
          <w:bCs/>
          <w:sz w:val="24"/>
          <w:szCs w:val="24"/>
        </w:rPr>
      </w:pPr>
    </w:p>
    <w:p w14:paraId="1C3BA8EC">
      <w:pPr>
        <w:snapToGrid w:val="0"/>
        <w:spacing w:line="264" w:lineRule="auto"/>
        <w:ind w:firstLine="482" w:firstLineChars="200"/>
        <w:jc w:val="left"/>
        <w:rPr>
          <w:rFonts w:hint="eastAsia" w:ascii="宋体" w:hAnsi="宋体" w:eastAsia="宋体" w:cs="宋体"/>
          <w:b/>
          <w:bCs/>
          <w:sz w:val="24"/>
          <w:szCs w:val="24"/>
        </w:rPr>
      </w:pPr>
    </w:p>
    <w:p w14:paraId="46201914">
      <w:pPr>
        <w:snapToGrid w:val="0"/>
        <w:spacing w:line="264" w:lineRule="auto"/>
        <w:ind w:firstLine="482" w:firstLineChars="200"/>
        <w:jc w:val="left"/>
        <w:rPr>
          <w:rFonts w:hint="eastAsia" w:ascii="宋体" w:hAnsi="宋体" w:eastAsia="宋体" w:cs="宋体"/>
          <w:b/>
          <w:bCs/>
          <w:sz w:val="24"/>
          <w:szCs w:val="24"/>
        </w:rPr>
      </w:pPr>
    </w:p>
    <w:p w14:paraId="19C17D78">
      <w:pPr>
        <w:snapToGrid w:val="0"/>
        <w:spacing w:line="264" w:lineRule="auto"/>
        <w:ind w:firstLine="482" w:firstLineChars="200"/>
        <w:jc w:val="left"/>
        <w:rPr>
          <w:rFonts w:hint="eastAsia" w:ascii="宋体" w:hAnsi="宋体" w:eastAsia="宋体" w:cs="宋体"/>
          <w:b/>
          <w:bCs/>
          <w:sz w:val="24"/>
          <w:szCs w:val="24"/>
        </w:rPr>
      </w:pPr>
    </w:p>
    <w:p w14:paraId="7F2B720D">
      <w:pPr>
        <w:snapToGrid w:val="0"/>
        <w:spacing w:line="264" w:lineRule="auto"/>
        <w:ind w:firstLine="482" w:firstLineChars="200"/>
        <w:jc w:val="left"/>
        <w:rPr>
          <w:rFonts w:hint="eastAsia" w:ascii="宋体" w:hAnsi="宋体" w:eastAsia="宋体" w:cs="宋体"/>
          <w:b/>
          <w:bCs/>
          <w:sz w:val="24"/>
          <w:szCs w:val="24"/>
        </w:rPr>
      </w:pPr>
    </w:p>
    <w:p w14:paraId="54433B79">
      <w:pPr>
        <w:snapToGrid w:val="0"/>
        <w:spacing w:line="264" w:lineRule="auto"/>
        <w:ind w:firstLine="482" w:firstLineChars="200"/>
        <w:jc w:val="left"/>
        <w:rPr>
          <w:rFonts w:hint="eastAsia" w:ascii="宋体" w:hAnsi="宋体" w:eastAsia="宋体" w:cs="宋体"/>
          <w:b/>
          <w:bCs/>
          <w:sz w:val="24"/>
          <w:szCs w:val="24"/>
        </w:rPr>
      </w:pPr>
    </w:p>
    <w:p w14:paraId="7A1AACEF">
      <w:pPr>
        <w:snapToGrid w:val="0"/>
        <w:spacing w:line="264" w:lineRule="auto"/>
        <w:ind w:firstLine="482" w:firstLineChars="200"/>
        <w:jc w:val="left"/>
        <w:rPr>
          <w:rFonts w:hint="eastAsia" w:ascii="宋体" w:hAnsi="宋体" w:eastAsia="宋体" w:cs="宋体"/>
          <w:b/>
          <w:bCs/>
          <w:sz w:val="24"/>
          <w:szCs w:val="24"/>
        </w:rPr>
      </w:pPr>
    </w:p>
    <w:p w14:paraId="14937DA0">
      <w:pPr>
        <w:snapToGrid w:val="0"/>
        <w:spacing w:line="264" w:lineRule="auto"/>
        <w:ind w:firstLine="482" w:firstLineChars="200"/>
        <w:jc w:val="left"/>
        <w:rPr>
          <w:rFonts w:hint="eastAsia" w:ascii="宋体" w:hAnsi="宋体" w:eastAsia="宋体" w:cs="宋体"/>
          <w:b/>
          <w:bCs/>
          <w:sz w:val="24"/>
          <w:szCs w:val="24"/>
        </w:rPr>
      </w:pPr>
    </w:p>
    <w:p w14:paraId="013D9DCB">
      <w:pPr>
        <w:snapToGrid w:val="0"/>
        <w:spacing w:line="264" w:lineRule="auto"/>
        <w:ind w:firstLine="482" w:firstLineChars="200"/>
        <w:jc w:val="left"/>
        <w:rPr>
          <w:rFonts w:hint="eastAsia" w:ascii="宋体" w:hAnsi="宋体" w:eastAsia="宋体" w:cs="宋体"/>
          <w:b/>
          <w:bCs/>
          <w:sz w:val="24"/>
          <w:szCs w:val="24"/>
        </w:rPr>
      </w:pPr>
    </w:p>
    <w:p w14:paraId="6E6B417E">
      <w:pPr>
        <w:snapToGrid w:val="0"/>
        <w:spacing w:line="264" w:lineRule="auto"/>
        <w:ind w:firstLine="482" w:firstLineChars="200"/>
        <w:jc w:val="left"/>
        <w:rPr>
          <w:rFonts w:hint="eastAsia" w:ascii="宋体" w:hAnsi="宋体" w:eastAsia="宋体" w:cs="宋体"/>
          <w:b/>
          <w:bCs/>
          <w:sz w:val="24"/>
          <w:szCs w:val="24"/>
        </w:rPr>
      </w:pPr>
    </w:p>
    <w:p w14:paraId="1D1AC5BA">
      <w:pPr>
        <w:snapToGrid w:val="0"/>
        <w:spacing w:line="264" w:lineRule="auto"/>
        <w:ind w:firstLine="482" w:firstLineChars="200"/>
        <w:jc w:val="left"/>
        <w:rPr>
          <w:rFonts w:hint="eastAsia" w:ascii="宋体" w:hAnsi="宋体" w:eastAsia="宋体" w:cs="宋体"/>
          <w:b/>
          <w:bCs/>
          <w:sz w:val="24"/>
          <w:szCs w:val="24"/>
        </w:rPr>
      </w:pPr>
    </w:p>
    <w:p w14:paraId="3B5C95F5">
      <w:pPr>
        <w:snapToGrid w:val="0"/>
        <w:spacing w:line="264" w:lineRule="auto"/>
        <w:ind w:firstLine="482" w:firstLineChars="200"/>
        <w:jc w:val="left"/>
        <w:rPr>
          <w:rFonts w:hint="eastAsia" w:ascii="宋体" w:hAnsi="宋体" w:eastAsia="宋体" w:cs="宋体"/>
          <w:b/>
          <w:bCs/>
          <w:sz w:val="24"/>
          <w:szCs w:val="24"/>
        </w:rPr>
      </w:pPr>
    </w:p>
    <w:p w14:paraId="44EBD88A">
      <w:pPr>
        <w:snapToGrid w:val="0"/>
        <w:spacing w:line="264" w:lineRule="auto"/>
        <w:ind w:firstLine="482" w:firstLineChars="200"/>
        <w:jc w:val="left"/>
        <w:rPr>
          <w:rFonts w:hint="eastAsia" w:ascii="宋体" w:hAnsi="宋体" w:eastAsia="宋体" w:cs="宋体"/>
          <w:b/>
          <w:bCs/>
          <w:sz w:val="24"/>
          <w:szCs w:val="24"/>
        </w:rPr>
      </w:pPr>
    </w:p>
    <w:p w14:paraId="22020382">
      <w:pPr>
        <w:snapToGrid w:val="0"/>
        <w:spacing w:line="264" w:lineRule="auto"/>
        <w:ind w:firstLine="482" w:firstLineChars="200"/>
        <w:jc w:val="left"/>
        <w:rPr>
          <w:rFonts w:hint="eastAsia" w:ascii="宋体" w:hAnsi="宋体" w:eastAsia="宋体" w:cs="宋体"/>
          <w:b/>
          <w:bCs/>
          <w:sz w:val="24"/>
          <w:szCs w:val="24"/>
        </w:rPr>
      </w:pPr>
    </w:p>
    <w:p w14:paraId="0186F31A">
      <w:pPr>
        <w:snapToGrid w:val="0"/>
        <w:spacing w:line="264" w:lineRule="auto"/>
        <w:ind w:firstLine="482" w:firstLineChars="200"/>
        <w:jc w:val="left"/>
        <w:rPr>
          <w:rFonts w:hint="eastAsia" w:ascii="宋体" w:hAnsi="宋体" w:eastAsia="宋体" w:cs="宋体"/>
          <w:b/>
          <w:bCs/>
          <w:sz w:val="24"/>
          <w:szCs w:val="24"/>
        </w:rPr>
      </w:pPr>
    </w:p>
    <w:p w14:paraId="56F6694A">
      <w:pPr>
        <w:snapToGrid w:val="0"/>
        <w:spacing w:line="264" w:lineRule="auto"/>
        <w:ind w:firstLine="482" w:firstLineChars="200"/>
        <w:jc w:val="left"/>
        <w:rPr>
          <w:rFonts w:hint="eastAsia" w:ascii="宋体" w:hAnsi="宋体" w:eastAsia="宋体" w:cs="宋体"/>
          <w:b/>
          <w:bCs/>
          <w:sz w:val="24"/>
          <w:szCs w:val="24"/>
        </w:rPr>
      </w:pPr>
    </w:p>
    <w:p w14:paraId="017BD312">
      <w:pPr>
        <w:snapToGrid w:val="0"/>
        <w:spacing w:line="264" w:lineRule="auto"/>
        <w:ind w:firstLine="482" w:firstLineChars="200"/>
        <w:jc w:val="left"/>
        <w:rPr>
          <w:rFonts w:hint="eastAsia" w:ascii="宋体" w:hAnsi="宋体" w:eastAsia="宋体" w:cs="宋体"/>
          <w:b/>
          <w:bCs/>
          <w:sz w:val="24"/>
          <w:szCs w:val="24"/>
        </w:rPr>
      </w:pPr>
    </w:p>
    <w:p w14:paraId="42D848A5">
      <w:pPr>
        <w:snapToGrid w:val="0"/>
        <w:spacing w:line="264" w:lineRule="auto"/>
        <w:ind w:firstLine="482" w:firstLineChars="200"/>
        <w:jc w:val="left"/>
        <w:rPr>
          <w:rFonts w:hint="eastAsia" w:ascii="宋体" w:hAnsi="宋体" w:eastAsia="宋体" w:cs="宋体"/>
          <w:b/>
          <w:bCs/>
          <w:sz w:val="24"/>
          <w:szCs w:val="24"/>
        </w:rPr>
      </w:pPr>
    </w:p>
    <w:p w14:paraId="3533AE94">
      <w:pPr>
        <w:snapToGrid w:val="0"/>
        <w:spacing w:line="264" w:lineRule="auto"/>
        <w:ind w:firstLine="482" w:firstLineChars="200"/>
        <w:jc w:val="left"/>
        <w:rPr>
          <w:rFonts w:hint="eastAsia" w:ascii="宋体" w:hAnsi="宋体" w:eastAsia="宋体" w:cs="宋体"/>
          <w:b/>
          <w:bCs/>
          <w:sz w:val="24"/>
          <w:szCs w:val="24"/>
        </w:rPr>
      </w:pPr>
    </w:p>
    <w:p w14:paraId="10E1E4C0">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p>
    <w:p w14:paraId="10CAD7EA">
      <w:pPr>
        <w:snapToGrid w:val="0"/>
        <w:spacing w:line="264" w:lineRule="auto"/>
        <w:jc w:val="center"/>
        <w:rPr>
          <w:rFonts w:hint="eastAsia" w:ascii="宋体" w:hAnsi="宋体" w:eastAsia="宋体" w:cs="宋体"/>
          <w:b/>
          <w:bCs/>
          <w:color w:val="FF0000"/>
          <w:sz w:val="24"/>
          <w:szCs w:val="24"/>
        </w:rPr>
      </w:pPr>
      <w:r>
        <w:rPr>
          <w:rFonts w:hint="eastAsia" w:ascii="宋体" w:hAnsi="宋体" w:eastAsia="宋体" w:cs="宋体"/>
          <w:b/>
          <w:bCs/>
          <w:sz w:val="24"/>
          <w:szCs w:val="24"/>
        </w:rPr>
        <w:t>基本服务要求承诺函</w:t>
      </w:r>
      <w:r>
        <w:rPr>
          <w:rFonts w:hint="eastAsia" w:ascii="宋体" w:hAnsi="宋体" w:eastAsia="宋体" w:cs="宋体"/>
          <w:b/>
          <w:bCs/>
          <w:color w:val="FF0000"/>
          <w:sz w:val="24"/>
          <w:szCs w:val="24"/>
        </w:rPr>
        <w:t>（加盖合同专用章）</w:t>
      </w:r>
    </w:p>
    <w:p w14:paraId="0D986154">
      <w:pPr>
        <w:snapToGrid w:val="0"/>
        <w:spacing w:line="264" w:lineRule="auto"/>
        <w:jc w:val="center"/>
        <w:rPr>
          <w:rFonts w:hint="eastAsia" w:ascii="宋体" w:hAnsi="宋体" w:eastAsia="宋体" w:cs="宋体"/>
          <w:b/>
          <w:bCs/>
          <w:color w:val="FF0000"/>
          <w:sz w:val="24"/>
          <w:szCs w:val="24"/>
        </w:rPr>
      </w:pPr>
    </w:p>
    <w:p w14:paraId="4755649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负责设备的安装、调试、培训等工作。</w:t>
      </w:r>
    </w:p>
    <w:p w14:paraId="77CFCB5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如标配中含有打印机的，要求配置医院现有品牌（所用耗材需与医院现有耗材一致）。</w:t>
      </w:r>
    </w:p>
    <w:p w14:paraId="2AF1855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如具有数据存储功能，产生信息数据的设备必须终生免费开放各类数据接口，包含但不限于DICOM、WEBservice等数据接口格式，以保证与我院现有信息系统的数据对接。</w:t>
      </w:r>
    </w:p>
    <w:p w14:paraId="400FBE7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1296ED7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如具有工作站或相关操作系统，其中包含的所有软件，无年度维护费用；软件中涉及到存储病人就诊信息的，无单独就诊卡或芯片类存储介质。 </w:t>
      </w:r>
    </w:p>
    <w:p w14:paraId="6D6916E7">
      <w:pPr>
        <w:snapToGrid w:val="0"/>
        <w:spacing w:line="264" w:lineRule="auto"/>
        <w:ind w:firstLine="482" w:firstLineChars="200"/>
        <w:jc w:val="left"/>
        <w:rPr>
          <w:rFonts w:hint="eastAsia" w:ascii="宋体" w:hAnsi="宋体" w:eastAsia="宋体" w:cs="宋体"/>
          <w:b/>
          <w:bCs/>
          <w:sz w:val="24"/>
          <w:szCs w:val="24"/>
        </w:rPr>
      </w:pPr>
    </w:p>
    <w:p w14:paraId="73B5E9CD">
      <w:pPr>
        <w:snapToGrid w:val="0"/>
        <w:spacing w:line="264" w:lineRule="auto"/>
        <w:ind w:firstLine="482" w:firstLineChars="200"/>
        <w:jc w:val="left"/>
        <w:rPr>
          <w:rFonts w:hint="eastAsia" w:ascii="宋体" w:hAnsi="宋体" w:eastAsia="宋体" w:cs="宋体"/>
          <w:b/>
          <w:bCs/>
          <w:sz w:val="24"/>
          <w:szCs w:val="24"/>
        </w:rPr>
      </w:pPr>
    </w:p>
    <w:p w14:paraId="7E004534">
      <w:pPr>
        <w:snapToGrid w:val="0"/>
        <w:spacing w:line="264" w:lineRule="auto"/>
        <w:ind w:firstLine="482" w:firstLineChars="200"/>
        <w:jc w:val="left"/>
        <w:rPr>
          <w:rFonts w:hint="eastAsia" w:ascii="宋体" w:hAnsi="宋体" w:eastAsia="宋体" w:cs="宋体"/>
          <w:b/>
          <w:bCs/>
          <w:sz w:val="24"/>
          <w:szCs w:val="24"/>
        </w:rPr>
      </w:pPr>
    </w:p>
    <w:p w14:paraId="19AC49D8">
      <w:pPr>
        <w:snapToGrid w:val="0"/>
        <w:spacing w:line="264" w:lineRule="auto"/>
        <w:ind w:firstLine="482" w:firstLineChars="200"/>
        <w:jc w:val="left"/>
        <w:rPr>
          <w:rFonts w:hint="eastAsia" w:ascii="宋体" w:hAnsi="宋体" w:eastAsia="宋体" w:cs="宋体"/>
          <w:b/>
          <w:bCs/>
          <w:sz w:val="24"/>
          <w:szCs w:val="24"/>
        </w:rPr>
      </w:pPr>
    </w:p>
    <w:p w14:paraId="4DB8E18B">
      <w:pPr>
        <w:snapToGrid w:val="0"/>
        <w:spacing w:line="264" w:lineRule="auto"/>
        <w:ind w:firstLine="480" w:firstLineChars="200"/>
        <w:jc w:val="center"/>
        <w:rPr>
          <w:rFonts w:hint="eastAsia" w:ascii="宋体" w:hAnsi="宋体" w:eastAsia="宋体" w:cs="宋体"/>
          <w:b/>
          <w:bCs/>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（公司名称）</w:t>
      </w:r>
    </w:p>
    <w:p w14:paraId="6EF753BF">
      <w:pPr>
        <w:snapToGrid w:val="0"/>
        <w:spacing w:line="264" w:lineRule="auto"/>
        <w:ind w:firstLine="482" w:firstLineChars="200"/>
        <w:jc w:val="left"/>
        <w:rPr>
          <w:rFonts w:hint="eastAsia" w:ascii="宋体" w:hAnsi="宋体" w:eastAsia="宋体" w:cs="宋体"/>
          <w:b/>
          <w:bCs/>
          <w:sz w:val="24"/>
          <w:szCs w:val="24"/>
        </w:rPr>
      </w:pPr>
    </w:p>
    <w:p w14:paraId="32DFFE79">
      <w:pPr>
        <w:snapToGrid w:val="0"/>
        <w:spacing w:line="264" w:lineRule="auto"/>
        <w:ind w:firstLine="482" w:firstLineChars="200"/>
        <w:jc w:val="left"/>
        <w:rPr>
          <w:rFonts w:hint="eastAsia" w:ascii="宋体" w:hAnsi="宋体" w:eastAsia="宋体" w:cs="宋体"/>
          <w:b/>
          <w:bCs/>
          <w:sz w:val="24"/>
          <w:szCs w:val="24"/>
        </w:rPr>
      </w:pPr>
    </w:p>
    <w:p w14:paraId="69BECCA8">
      <w:pPr>
        <w:snapToGrid w:val="0"/>
        <w:spacing w:line="264" w:lineRule="auto"/>
        <w:ind w:firstLine="482" w:firstLineChars="200"/>
        <w:jc w:val="left"/>
        <w:rPr>
          <w:rFonts w:hint="eastAsia" w:ascii="宋体" w:hAnsi="宋体" w:eastAsia="宋体" w:cs="宋体"/>
          <w:b/>
          <w:bCs/>
          <w:sz w:val="24"/>
          <w:szCs w:val="24"/>
        </w:rPr>
      </w:pPr>
    </w:p>
    <w:p w14:paraId="1E5B3078">
      <w:pPr>
        <w:snapToGrid w:val="0"/>
        <w:spacing w:line="264" w:lineRule="auto"/>
        <w:ind w:firstLine="482" w:firstLineChars="200"/>
        <w:jc w:val="left"/>
        <w:rPr>
          <w:rFonts w:hint="eastAsia" w:ascii="宋体" w:hAnsi="宋体" w:eastAsia="宋体" w:cs="宋体"/>
          <w:b/>
          <w:bCs/>
          <w:sz w:val="24"/>
          <w:szCs w:val="24"/>
        </w:rPr>
      </w:pPr>
    </w:p>
    <w:p w14:paraId="31637F79">
      <w:pPr>
        <w:snapToGrid w:val="0"/>
        <w:spacing w:line="264" w:lineRule="auto"/>
        <w:ind w:firstLine="482" w:firstLineChars="200"/>
        <w:jc w:val="left"/>
        <w:rPr>
          <w:rFonts w:hint="eastAsia" w:ascii="宋体" w:hAnsi="宋体" w:eastAsia="宋体" w:cs="宋体"/>
          <w:b/>
          <w:bCs/>
          <w:sz w:val="24"/>
          <w:szCs w:val="24"/>
        </w:rPr>
      </w:pPr>
    </w:p>
    <w:p w14:paraId="16139CEE">
      <w:pPr>
        <w:snapToGrid w:val="0"/>
        <w:spacing w:line="264" w:lineRule="auto"/>
        <w:ind w:firstLine="482" w:firstLineChars="200"/>
        <w:jc w:val="left"/>
        <w:rPr>
          <w:rFonts w:hint="eastAsia" w:ascii="宋体" w:hAnsi="宋体" w:eastAsia="宋体" w:cs="宋体"/>
          <w:b/>
          <w:bCs/>
          <w:sz w:val="24"/>
          <w:szCs w:val="24"/>
        </w:rPr>
      </w:pPr>
    </w:p>
    <w:p w14:paraId="282FF027">
      <w:pPr>
        <w:snapToGrid w:val="0"/>
        <w:spacing w:line="264" w:lineRule="auto"/>
        <w:ind w:firstLine="482" w:firstLineChars="200"/>
        <w:jc w:val="left"/>
        <w:rPr>
          <w:rFonts w:hint="eastAsia" w:ascii="宋体" w:hAnsi="宋体" w:eastAsia="宋体" w:cs="宋体"/>
          <w:b/>
          <w:bCs/>
          <w:sz w:val="24"/>
          <w:szCs w:val="24"/>
        </w:rPr>
      </w:pPr>
    </w:p>
    <w:p w14:paraId="2C84BD16">
      <w:pPr>
        <w:snapToGrid w:val="0"/>
        <w:spacing w:line="264" w:lineRule="auto"/>
        <w:ind w:firstLine="482" w:firstLineChars="200"/>
        <w:jc w:val="left"/>
        <w:rPr>
          <w:rFonts w:hint="eastAsia" w:ascii="宋体" w:hAnsi="宋体" w:eastAsia="宋体" w:cs="宋体"/>
          <w:b/>
          <w:bCs/>
          <w:sz w:val="24"/>
          <w:szCs w:val="24"/>
        </w:rPr>
      </w:pPr>
    </w:p>
    <w:p w14:paraId="72703D9B">
      <w:pPr>
        <w:snapToGrid w:val="0"/>
        <w:spacing w:line="264" w:lineRule="auto"/>
        <w:ind w:firstLine="482" w:firstLineChars="200"/>
        <w:jc w:val="left"/>
        <w:rPr>
          <w:rFonts w:hint="eastAsia" w:ascii="宋体" w:hAnsi="宋体" w:eastAsia="宋体" w:cs="宋体"/>
          <w:b/>
          <w:bCs/>
          <w:sz w:val="24"/>
          <w:szCs w:val="24"/>
        </w:rPr>
      </w:pPr>
    </w:p>
    <w:p w14:paraId="2B58991B">
      <w:pPr>
        <w:snapToGrid w:val="0"/>
        <w:spacing w:line="264" w:lineRule="auto"/>
        <w:ind w:firstLine="482" w:firstLineChars="200"/>
        <w:jc w:val="left"/>
        <w:rPr>
          <w:rFonts w:hint="eastAsia" w:ascii="宋体" w:hAnsi="宋体" w:eastAsia="宋体" w:cs="宋体"/>
          <w:b/>
          <w:bCs/>
          <w:sz w:val="24"/>
          <w:szCs w:val="24"/>
        </w:rPr>
      </w:pPr>
    </w:p>
    <w:p w14:paraId="7AD64E5A">
      <w:pPr>
        <w:snapToGrid w:val="0"/>
        <w:spacing w:line="264" w:lineRule="auto"/>
        <w:ind w:firstLine="482" w:firstLineChars="200"/>
        <w:jc w:val="left"/>
        <w:rPr>
          <w:rFonts w:hint="eastAsia" w:ascii="宋体" w:hAnsi="宋体" w:eastAsia="宋体" w:cs="宋体"/>
          <w:b/>
          <w:bCs/>
          <w:sz w:val="24"/>
          <w:szCs w:val="24"/>
        </w:rPr>
      </w:pPr>
    </w:p>
    <w:p w14:paraId="0D1C97DC">
      <w:pPr>
        <w:snapToGrid w:val="0"/>
        <w:spacing w:line="264" w:lineRule="auto"/>
        <w:ind w:firstLine="482" w:firstLineChars="200"/>
        <w:jc w:val="left"/>
        <w:rPr>
          <w:rFonts w:hint="eastAsia" w:ascii="宋体" w:hAnsi="宋体" w:eastAsia="宋体" w:cs="宋体"/>
          <w:b/>
          <w:bCs/>
          <w:sz w:val="24"/>
          <w:szCs w:val="24"/>
        </w:rPr>
      </w:pPr>
    </w:p>
    <w:p w14:paraId="1DB10EEA">
      <w:pPr>
        <w:snapToGrid w:val="0"/>
        <w:spacing w:line="264" w:lineRule="auto"/>
        <w:ind w:firstLine="482" w:firstLineChars="200"/>
        <w:jc w:val="left"/>
        <w:rPr>
          <w:rFonts w:hint="eastAsia" w:ascii="宋体" w:hAnsi="宋体" w:eastAsia="宋体" w:cs="宋体"/>
          <w:b/>
          <w:bCs/>
          <w:sz w:val="24"/>
          <w:szCs w:val="24"/>
        </w:rPr>
      </w:pPr>
    </w:p>
    <w:p w14:paraId="0BB38AAB">
      <w:pPr>
        <w:snapToGrid w:val="0"/>
        <w:spacing w:line="264" w:lineRule="auto"/>
        <w:ind w:firstLine="482" w:firstLineChars="200"/>
        <w:jc w:val="left"/>
        <w:rPr>
          <w:rFonts w:hint="eastAsia" w:ascii="宋体" w:hAnsi="宋体" w:eastAsia="宋体" w:cs="宋体"/>
          <w:b/>
          <w:bCs/>
          <w:sz w:val="24"/>
          <w:szCs w:val="24"/>
        </w:rPr>
      </w:pPr>
    </w:p>
    <w:p w14:paraId="661CD548">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w:t>
      </w:r>
    </w:p>
    <w:p w14:paraId="400BF269">
      <w:pPr>
        <w:snapToGrid w:val="0"/>
        <w:spacing w:line="264" w:lineRule="auto"/>
        <w:ind w:firstLine="480" w:firstLineChars="200"/>
        <w:jc w:val="left"/>
        <w:rPr>
          <w:rFonts w:hint="eastAsia" w:ascii="宋体" w:hAnsi="宋体" w:eastAsia="宋体" w:cs="宋体"/>
          <w:sz w:val="24"/>
          <w:szCs w:val="24"/>
        </w:rPr>
      </w:pPr>
    </w:p>
    <w:p w14:paraId="66F89E0E">
      <w:pPr>
        <w:snapToGrid w:val="0"/>
        <w:spacing w:line="264" w:lineRule="auto"/>
        <w:ind w:firstLine="480" w:firstLineChars="200"/>
        <w:jc w:val="center"/>
        <w:rPr>
          <w:rFonts w:hint="eastAsia" w:ascii="宋体" w:hAnsi="宋体" w:eastAsia="宋体" w:cs="宋体"/>
          <w:b/>
          <w:bCs/>
          <w:color w:val="FF0000"/>
          <w:sz w:val="24"/>
          <w:szCs w:val="24"/>
        </w:rPr>
      </w:pPr>
      <w:r>
        <w:rPr>
          <w:rFonts w:hint="eastAsia" w:ascii="宋体" w:hAnsi="宋体" w:eastAsia="宋体" w:cs="宋体"/>
          <w:sz w:val="24"/>
          <w:szCs w:val="24"/>
        </w:rPr>
        <w:t>代理商售后服务承诺书</w:t>
      </w:r>
      <w:r>
        <w:rPr>
          <w:rFonts w:hint="eastAsia" w:ascii="宋体" w:hAnsi="宋体" w:eastAsia="宋体" w:cs="宋体"/>
          <w:b/>
          <w:bCs/>
          <w:color w:val="FF0000"/>
          <w:sz w:val="24"/>
          <w:szCs w:val="24"/>
        </w:rPr>
        <w:t>（加盖合同专用章）</w:t>
      </w:r>
    </w:p>
    <w:p w14:paraId="621BF232">
      <w:pPr>
        <w:snapToGrid w:val="0"/>
        <w:spacing w:line="264" w:lineRule="auto"/>
        <w:ind w:firstLine="482" w:firstLineChars="200"/>
        <w:rPr>
          <w:rFonts w:hint="eastAsia" w:ascii="宋体" w:hAnsi="宋体" w:eastAsia="宋体" w:cs="宋体"/>
          <w:b/>
          <w:bCs/>
          <w:color w:val="FF0000"/>
          <w:sz w:val="24"/>
          <w:szCs w:val="24"/>
        </w:rPr>
      </w:pPr>
    </w:p>
    <w:p w14:paraId="5DC02B37">
      <w:pPr>
        <w:snapToGrid w:val="0"/>
        <w:spacing w:line="264" w:lineRule="auto"/>
        <w:ind w:firstLine="482" w:firstLineChars="2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必须包含以下内容：</w:t>
      </w:r>
    </w:p>
    <w:p w14:paraId="5595EDAB">
      <w:pPr>
        <w:pStyle w:val="12"/>
        <w:numPr>
          <w:ilvl w:val="0"/>
          <w:numId w:val="4"/>
        </w:numPr>
        <w:spacing w:line="760" w:lineRule="exact"/>
        <w:ind w:firstLine="560"/>
        <w:rPr>
          <w:rFonts w:hint="eastAsia" w:ascii="宋体" w:hAnsi="宋体" w:eastAsia="宋体" w:cs="宋体"/>
          <w:sz w:val="24"/>
          <w:szCs w:val="24"/>
        </w:rPr>
      </w:pPr>
      <w:r>
        <w:rPr>
          <w:rFonts w:hint="eastAsia" w:ascii="宋体" w:hAnsi="宋体" w:eastAsia="宋体" w:cs="宋体"/>
          <w:sz w:val="24"/>
          <w:szCs w:val="24"/>
        </w:rPr>
        <w:t>自验收合格之日起计售后服务期，提供整机（包含附件，如稳压电源、脚踏、推车等）原厂保修服务3年，承担售后服务期内设备任何故障产生的费用。（</w:t>
      </w:r>
      <w:r>
        <w:rPr>
          <w:rFonts w:hint="eastAsia" w:ascii="宋体" w:hAnsi="宋体" w:eastAsia="宋体" w:cs="宋体"/>
          <w:color w:val="FF0000"/>
          <w:sz w:val="24"/>
          <w:szCs w:val="24"/>
        </w:rPr>
        <w:t>需提供原厂保修证明</w:t>
      </w:r>
      <w:r>
        <w:rPr>
          <w:rFonts w:hint="eastAsia" w:ascii="宋体" w:hAnsi="宋体" w:eastAsia="宋体" w:cs="宋体"/>
          <w:sz w:val="24"/>
          <w:szCs w:val="24"/>
        </w:rPr>
        <w:t>）。</w:t>
      </w:r>
    </w:p>
    <w:p w14:paraId="7C824E1B">
      <w:pPr>
        <w:pStyle w:val="12"/>
        <w:numPr>
          <w:ilvl w:val="0"/>
          <w:numId w:val="4"/>
        </w:numPr>
        <w:spacing w:line="760" w:lineRule="exact"/>
        <w:ind w:firstLine="560"/>
        <w:rPr>
          <w:rFonts w:hint="eastAsia" w:ascii="宋体" w:hAnsi="宋体" w:eastAsia="宋体" w:cs="宋体"/>
          <w:sz w:val="24"/>
          <w:szCs w:val="24"/>
        </w:rPr>
      </w:pPr>
      <w:r>
        <w:rPr>
          <w:rFonts w:hint="eastAsia" w:ascii="宋体" w:hAnsi="宋体" w:eastAsia="宋体" w:cs="宋体"/>
          <w:sz w:val="24"/>
          <w:szCs w:val="24"/>
        </w:rPr>
        <w:t>售后服务期内每季度定期由专业工程师对设备进行巡检，并出具相应工单交使用科室及医学工程科备案。</w:t>
      </w:r>
      <w:r>
        <w:rPr>
          <w:rFonts w:hint="eastAsia" w:ascii="宋体" w:hAnsi="宋体" w:eastAsia="宋体" w:cs="宋体"/>
          <w:sz w:val="24"/>
          <w:szCs w:val="24"/>
          <w:u w:val="single"/>
        </w:rPr>
        <w:t>（注：以上记录将作为支付设备尾款的依据。）</w:t>
      </w:r>
    </w:p>
    <w:p w14:paraId="1806BCDC">
      <w:pPr>
        <w:snapToGrid w:val="0"/>
        <w:spacing w:line="264" w:lineRule="auto"/>
        <w:rPr>
          <w:rFonts w:hint="eastAsia" w:ascii="宋体" w:hAnsi="宋体" w:eastAsia="宋体" w:cs="宋体"/>
          <w:sz w:val="24"/>
          <w:szCs w:val="24"/>
          <w:lang w:val="en-US" w:eastAsia="zh-CN"/>
        </w:rPr>
      </w:pPr>
    </w:p>
    <w:p w14:paraId="30100BB2">
      <w:pPr>
        <w:snapToGrid w:val="0"/>
        <w:spacing w:line="264" w:lineRule="auto"/>
        <w:rPr>
          <w:rFonts w:hint="eastAsia" w:ascii="宋体" w:hAnsi="宋体" w:eastAsia="宋体" w:cs="宋体"/>
          <w:sz w:val="24"/>
          <w:szCs w:val="24"/>
          <w:lang w:val="en-US" w:eastAsia="zh-CN"/>
        </w:rPr>
      </w:pPr>
    </w:p>
    <w:p w14:paraId="4A36FDD1">
      <w:pPr>
        <w:snapToGrid w:val="0"/>
        <w:spacing w:line="264" w:lineRule="auto"/>
        <w:rPr>
          <w:rFonts w:hint="eastAsia" w:ascii="宋体" w:hAnsi="宋体" w:eastAsia="宋体" w:cs="宋体"/>
          <w:sz w:val="24"/>
          <w:szCs w:val="24"/>
          <w:lang w:val="en-US" w:eastAsia="zh-CN"/>
        </w:rPr>
      </w:pPr>
    </w:p>
    <w:p w14:paraId="6FF2072D">
      <w:pPr>
        <w:snapToGrid w:val="0"/>
        <w:spacing w:line="264" w:lineRule="auto"/>
        <w:rPr>
          <w:rFonts w:hint="eastAsia" w:ascii="宋体" w:hAnsi="宋体" w:eastAsia="宋体" w:cs="宋体"/>
          <w:sz w:val="24"/>
          <w:szCs w:val="24"/>
          <w:lang w:val="en-US" w:eastAsia="zh-CN"/>
        </w:rPr>
      </w:pPr>
    </w:p>
    <w:p w14:paraId="199DCB21">
      <w:pPr>
        <w:snapToGrid w:val="0"/>
        <w:spacing w:line="264" w:lineRule="auto"/>
        <w:rPr>
          <w:rFonts w:hint="eastAsia" w:ascii="宋体" w:hAnsi="宋体" w:eastAsia="宋体" w:cs="宋体"/>
          <w:sz w:val="24"/>
          <w:szCs w:val="24"/>
          <w:lang w:val="en-US" w:eastAsia="zh-CN"/>
        </w:rPr>
      </w:pPr>
    </w:p>
    <w:p w14:paraId="62A4D963">
      <w:pPr>
        <w:snapToGrid w:val="0"/>
        <w:spacing w:line="264" w:lineRule="auto"/>
        <w:rPr>
          <w:rFonts w:hint="eastAsia" w:ascii="宋体" w:hAnsi="宋体" w:eastAsia="宋体" w:cs="宋体"/>
          <w:sz w:val="24"/>
          <w:szCs w:val="24"/>
          <w:lang w:val="en-US" w:eastAsia="zh-CN"/>
        </w:rPr>
      </w:pPr>
    </w:p>
    <w:p w14:paraId="3E3261EE">
      <w:pPr>
        <w:snapToGrid w:val="0"/>
        <w:spacing w:line="264" w:lineRule="auto"/>
        <w:rPr>
          <w:rFonts w:hint="eastAsia" w:ascii="宋体" w:hAnsi="宋体" w:eastAsia="宋体" w:cs="宋体"/>
          <w:sz w:val="24"/>
          <w:szCs w:val="24"/>
          <w:lang w:val="en-US" w:eastAsia="zh-CN"/>
        </w:rPr>
      </w:pPr>
    </w:p>
    <w:p w14:paraId="26277738">
      <w:pPr>
        <w:snapToGrid w:val="0"/>
        <w:spacing w:line="264" w:lineRule="auto"/>
        <w:rPr>
          <w:rFonts w:hint="eastAsia" w:ascii="宋体" w:hAnsi="宋体" w:eastAsia="宋体" w:cs="宋体"/>
          <w:sz w:val="24"/>
          <w:szCs w:val="24"/>
          <w:lang w:val="en-US" w:eastAsia="zh-CN"/>
        </w:rPr>
      </w:pPr>
    </w:p>
    <w:p w14:paraId="77C38D56">
      <w:pPr>
        <w:snapToGrid w:val="0"/>
        <w:spacing w:line="264" w:lineRule="auto"/>
        <w:rPr>
          <w:rFonts w:hint="eastAsia" w:ascii="宋体" w:hAnsi="宋体" w:eastAsia="宋体" w:cs="宋体"/>
          <w:sz w:val="24"/>
          <w:szCs w:val="24"/>
          <w:lang w:val="en-US" w:eastAsia="zh-CN"/>
        </w:rPr>
      </w:pPr>
    </w:p>
    <w:p w14:paraId="46139AC8">
      <w:pPr>
        <w:snapToGrid w:val="0"/>
        <w:spacing w:line="264" w:lineRule="auto"/>
        <w:rPr>
          <w:rFonts w:hint="eastAsia" w:ascii="宋体" w:hAnsi="宋体" w:eastAsia="宋体" w:cs="宋体"/>
          <w:sz w:val="24"/>
          <w:szCs w:val="24"/>
          <w:lang w:val="en-US" w:eastAsia="zh-CN"/>
        </w:rPr>
      </w:pPr>
    </w:p>
    <w:p w14:paraId="34B61BB5">
      <w:pPr>
        <w:snapToGrid w:val="0"/>
        <w:spacing w:line="264" w:lineRule="auto"/>
        <w:rPr>
          <w:rFonts w:hint="eastAsia" w:ascii="宋体" w:hAnsi="宋体" w:eastAsia="宋体" w:cs="宋体"/>
          <w:sz w:val="24"/>
          <w:szCs w:val="24"/>
          <w:lang w:val="en-US" w:eastAsia="zh-CN"/>
        </w:rPr>
      </w:pPr>
    </w:p>
    <w:p w14:paraId="11A9169A">
      <w:pPr>
        <w:snapToGrid w:val="0"/>
        <w:spacing w:line="264" w:lineRule="auto"/>
        <w:rPr>
          <w:rFonts w:hint="eastAsia" w:ascii="宋体" w:hAnsi="宋体" w:eastAsia="宋体" w:cs="宋体"/>
          <w:sz w:val="24"/>
          <w:szCs w:val="24"/>
          <w:lang w:val="en-US" w:eastAsia="zh-CN"/>
        </w:rPr>
      </w:pPr>
    </w:p>
    <w:p w14:paraId="56B5D0D7">
      <w:pPr>
        <w:snapToGrid w:val="0"/>
        <w:spacing w:line="264" w:lineRule="auto"/>
        <w:rPr>
          <w:rFonts w:hint="eastAsia" w:ascii="宋体" w:hAnsi="宋体" w:eastAsia="宋体" w:cs="宋体"/>
          <w:sz w:val="24"/>
          <w:szCs w:val="24"/>
          <w:lang w:val="en-US" w:eastAsia="zh-CN"/>
        </w:rPr>
      </w:pPr>
    </w:p>
    <w:p w14:paraId="4AFAA9E4">
      <w:pPr>
        <w:snapToGrid w:val="0"/>
        <w:spacing w:line="264" w:lineRule="auto"/>
        <w:rPr>
          <w:rFonts w:hint="eastAsia" w:ascii="宋体" w:hAnsi="宋体" w:eastAsia="宋体" w:cs="宋体"/>
          <w:sz w:val="24"/>
          <w:szCs w:val="24"/>
          <w:lang w:val="en-US" w:eastAsia="zh-CN"/>
        </w:rPr>
      </w:pPr>
    </w:p>
    <w:p w14:paraId="41727E79">
      <w:pPr>
        <w:snapToGrid w:val="0"/>
        <w:spacing w:line="264" w:lineRule="auto"/>
        <w:rPr>
          <w:rFonts w:hint="eastAsia" w:ascii="宋体" w:hAnsi="宋体" w:eastAsia="宋体" w:cs="宋体"/>
          <w:sz w:val="24"/>
          <w:szCs w:val="24"/>
          <w:lang w:val="en-US" w:eastAsia="zh-CN"/>
        </w:rPr>
      </w:pPr>
    </w:p>
    <w:p w14:paraId="778BFF9B">
      <w:pPr>
        <w:snapToGrid w:val="0"/>
        <w:spacing w:line="264" w:lineRule="auto"/>
        <w:rPr>
          <w:rFonts w:hint="eastAsia" w:ascii="宋体" w:hAnsi="宋体" w:eastAsia="宋体" w:cs="宋体"/>
          <w:sz w:val="24"/>
          <w:szCs w:val="24"/>
          <w:lang w:val="en-US" w:eastAsia="zh-CN"/>
        </w:rPr>
      </w:pPr>
    </w:p>
    <w:p w14:paraId="4C53DAA0">
      <w:pPr>
        <w:snapToGrid w:val="0"/>
        <w:spacing w:line="264" w:lineRule="auto"/>
        <w:rPr>
          <w:rFonts w:hint="eastAsia" w:ascii="宋体" w:hAnsi="宋体" w:eastAsia="宋体" w:cs="宋体"/>
          <w:sz w:val="24"/>
          <w:szCs w:val="24"/>
          <w:lang w:val="en-US" w:eastAsia="zh-CN"/>
        </w:rPr>
      </w:pPr>
    </w:p>
    <w:p w14:paraId="4C0025FB">
      <w:pPr>
        <w:snapToGrid w:val="0"/>
        <w:spacing w:line="264" w:lineRule="auto"/>
        <w:rPr>
          <w:rFonts w:hint="eastAsia" w:ascii="宋体" w:hAnsi="宋体" w:eastAsia="宋体" w:cs="宋体"/>
          <w:sz w:val="24"/>
          <w:szCs w:val="24"/>
          <w:lang w:val="en-US" w:eastAsia="zh-CN"/>
        </w:rPr>
      </w:pPr>
    </w:p>
    <w:p w14:paraId="50A5CAB0">
      <w:pPr>
        <w:snapToGrid w:val="0"/>
        <w:spacing w:line="264" w:lineRule="auto"/>
        <w:rPr>
          <w:rFonts w:hint="eastAsia" w:ascii="宋体" w:hAnsi="宋体" w:eastAsia="宋体" w:cs="宋体"/>
          <w:sz w:val="24"/>
          <w:szCs w:val="24"/>
          <w:lang w:val="en-US" w:eastAsia="zh-CN"/>
        </w:rPr>
      </w:pPr>
    </w:p>
    <w:p w14:paraId="772BB9EF">
      <w:pPr>
        <w:snapToGrid w:val="0"/>
        <w:spacing w:line="264" w:lineRule="auto"/>
        <w:rPr>
          <w:rFonts w:hint="eastAsia" w:ascii="宋体" w:hAnsi="宋体" w:eastAsia="宋体" w:cs="宋体"/>
          <w:sz w:val="24"/>
          <w:szCs w:val="24"/>
          <w:lang w:val="en-US" w:eastAsia="zh-CN"/>
        </w:rPr>
      </w:pPr>
    </w:p>
    <w:p w14:paraId="45E7BB0A">
      <w:pPr>
        <w:snapToGrid w:val="0"/>
        <w:spacing w:line="264" w:lineRule="auto"/>
        <w:ind w:firstLine="480" w:firstLineChars="200"/>
        <w:rPr>
          <w:rFonts w:hint="eastAsia" w:ascii="宋体" w:hAnsi="宋体" w:eastAsia="宋体" w:cs="宋体"/>
          <w:sz w:val="24"/>
          <w:szCs w:val="24"/>
        </w:rPr>
      </w:pPr>
    </w:p>
    <w:p w14:paraId="550DFA1A">
      <w:pPr>
        <w:snapToGrid w:val="0"/>
        <w:spacing w:line="264" w:lineRule="auto"/>
        <w:ind w:firstLine="482" w:firstLineChars="200"/>
        <w:rPr>
          <w:rFonts w:hint="eastAsia" w:ascii="宋体" w:hAnsi="宋体" w:eastAsia="宋体" w:cs="宋体"/>
          <w:b/>
          <w:bCs/>
          <w:sz w:val="24"/>
          <w:szCs w:val="24"/>
        </w:rPr>
      </w:pPr>
    </w:p>
    <w:p w14:paraId="2814E4C4">
      <w:pPr>
        <w:snapToGrid w:val="0"/>
        <w:spacing w:line="264" w:lineRule="auto"/>
        <w:ind w:firstLine="482" w:firstLineChars="200"/>
        <w:rPr>
          <w:rFonts w:hint="eastAsia" w:ascii="宋体" w:hAnsi="宋体" w:eastAsia="宋体" w:cs="宋体"/>
          <w:b/>
          <w:bCs/>
          <w:sz w:val="24"/>
          <w:szCs w:val="24"/>
        </w:rPr>
      </w:pPr>
    </w:p>
    <w:p w14:paraId="474143C2">
      <w:pPr>
        <w:snapToGrid w:val="0"/>
        <w:spacing w:line="264"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w:t>
      </w:r>
    </w:p>
    <w:p w14:paraId="2A071C58">
      <w:pPr>
        <w:snapToGrid w:val="0"/>
        <w:spacing w:line="264" w:lineRule="auto"/>
        <w:ind w:firstLine="480" w:firstLineChars="200"/>
        <w:jc w:val="left"/>
        <w:rPr>
          <w:rFonts w:hint="eastAsia" w:ascii="宋体" w:hAnsi="宋体" w:eastAsia="宋体" w:cs="宋体"/>
          <w:sz w:val="24"/>
          <w:szCs w:val="24"/>
        </w:rPr>
      </w:pPr>
    </w:p>
    <w:p w14:paraId="3F8D468B">
      <w:pPr>
        <w:snapToGrid w:val="0"/>
        <w:spacing w:line="264" w:lineRule="auto"/>
        <w:ind w:firstLine="480" w:firstLineChars="200"/>
        <w:jc w:val="center"/>
        <w:rPr>
          <w:rFonts w:hint="eastAsia" w:ascii="宋体" w:hAnsi="宋体" w:eastAsia="宋体" w:cs="宋体"/>
          <w:b/>
          <w:bCs/>
          <w:color w:val="FF0000"/>
          <w:sz w:val="24"/>
          <w:szCs w:val="24"/>
        </w:rPr>
      </w:pPr>
      <w:r>
        <w:rPr>
          <w:rFonts w:hint="eastAsia" w:ascii="宋体" w:hAnsi="宋体" w:eastAsia="宋体" w:cs="宋体"/>
          <w:sz w:val="24"/>
          <w:szCs w:val="24"/>
        </w:rPr>
        <w:t>厂家售后服务承诺书</w:t>
      </w:r>
      <w:r>
        <w:rPr>
          <w:rFonts w:hint="eastAsia" w:ascii="宋体" w:hAnsi="宋体" w:eastAsia="宋体" w:cs="宋体"/>
          <w:b/>
          <w:bCs/>
          <w:color w:val="FF0000"/>
          <w:sz w:val="24"/>
          <w:szCs w:val="24"/>
        </w:rPr>
        <w:t>（加盖合同专用章）</w:t>
      </w:r>
    </w:p>
    <w:p w14:paraId="7ED2CC5A">
      <w:pPr>
        <w:snapToGrid w:val="0"/>
        <w:spacing w:line="264"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w:t>
      </w:r>
    </w:p>
    <w:p w14:paraId="4BDF92BF">
      <w:pPr>
        <w:snapToGrid w:val="0"/>
        <w:spacing w:line="264" w:lineRule="auto"/>
        <w:ind w:firstLine="480" w:firstLineChars="200"/>
        <w:jc w:val="center"/>
        <w:rPr>
          <w:rFonts w:hint="eastAsia" w:ascii="宋体" w:hAnsi="宋体" w:eastAsia="宋体" w:cs="宋体"/>
          <w:b/>
          <w:bCs/>
          <w:color w:val="FF0000"/>
          <w:sz w:val="24"/>
          <w:szCs w:val="24"/>
        </w:rPr>
      </w:pPr>
      <w:r>
        <w:rPr>
          <w:rFonts w:hint="eastAsia" w:ascii="宋体" w:hAnsi="宋体" w:eastAsia="宋体" w:cs="宋体"/>
          <w:sz w:val="24"/>
          <w:szCs w:val="24"/>
          <w:lang w:val="en-US" w:eastAsia="zh-CN"/>
        </w:rPr>
        <w:t>培训计划</w:t>
      </w:r>
      <w:r>
        <w:rPr>
          <w:rFonts w:hint="eastAsia" w:ascii="宋体" w:hAnsi="宋体" w:eastAsia="宋体" w:cs="宋体"/>
          <w:b/>
          <w:bCs/>
          <w:color w:val="FF0000"/>
          <w:sz w:val="24"/>
          <w:szCs w:val="24"/>
        </w:rPr>
        <w:t>（加盖合同专用章）</w:t>
      </w:r>
    </w:p>
    <w:p w14:paraId="276A6E28">
      <w:pPr>
        <w:snapToGrid w:val="0"/>
        <w:spacing w:line="264" w:lineRule="auto"/>
        <w:ind w:firstLine="480" w:firstLineChars="200"/>
        <w:jc w:val="center"/>
        <w:rPr>
          <w:rFonts w:hint="eastAsia" w:ascii="宋体" w:hAnsi="宋体" w:eastAsia="宋体" w:cs="宋体"/>
          <w:sz w:val="24"/>
          <w:szCs w:val="24"/>
          <w:lang w:val="en-US" w:eastAsia="zh-CN"/>
        </w:rPr>
      </w:pPr>
    </w:p>
    <w:p w14:paraId="21F191A2">
      <w:pPr>
        <w:snapToGrid w:val="0"/>
        <w:spacing w:line="264" w:lineRule="auto"/>
        <w:ind w:firstLine="480" w:firstLineChars="200"/>
        <w:jc w:val="left"/>
        <w:rPr>
          <w:rFonts w:hint="eastAsia" w:ascii="宋体" w:hAnsi="宋体" w:eastAsia="宋体" w:cs="宋体"/>
          <w:sz w:val="24"/>
          <w:szCs w:val="24"/>
        </w:rPr>
      </w:pPr>
    </w:p>
    <w:p w14:paraId="60F548F4">
      <w:pPr>
        <w:snapToGrid w:val="0"/>
        <w:spacing w:line="264" w:lineRule="auto"/>
        <w:ind w:firstLine="480" w:firstLineChars="200"/>
        <w:jc w:val="left"/>
        <w:rPr>
          <w:rFonts w:hint="eastAsia" w:ascii="宋体" w:hAnsi="宋体" w:eastAsia="宋体" w:cs="宋体"/>
          <w:sz w:val="24"/>
          <w:szCs w:val="24"/>
        </w:rPr>
      </w:pPr>
    </w:p>
    <w:p w14:paraId="0F7564D4">
      <w:pPr>
        <w:snapToGrid w:val="0"/>
        <w:spacing w:line="264" w:lineRule="auto"/>
        <w:ind w:firstLine="480" w:firstLineChars="200"/>
        <w:jc w:val="left"/>
        <w:rPr>
          <w:rFonts w:hint="eastAsia" w:ascii="宋体" w:hAnsi="宋体" w:eastAsia="宋体" w:cs="宋体"/>
          <w:sz w:val="24"/>
          <w:szCs w:val="24"/>
        </w:rPr>
      </w:pPr>
    </w:p>
    <w:p w14:paraId="4FE67AA6">
      <w:pPr>
        <w:snapToGrid w:val="0"/>
        <w:spacing w:line="264" w:lineRule="auto"/>
        <w:ind w:firstLine="480" w:firstLineChars="200"/>
        <w:jc w:val="left"/>
        <w:rPr>
          <w:rFonts w:hint="eastAsia" w:ascii="宋体" w:hAnsi="宋体" w:eastAsia="宋体" w:cs="宋体"/>
          <w:sz w:val="24"/>
          <w:szCs w:val="24"/>
        </w:rPr>
      </w:pPr>
    </w:p>
    <w:p w14:paraId="02B6596E">
      <w:pPr>
        <w:snapToGrid w:val="0"/>
        <w:spacing w:line="264" w:lineRule="auto"/>
        <w:ind w:firstLine="480" w:firstLineChars="200"/>
        <w:jc w:val="left"/>
        <w:rPr>
          <w:rFonts w:hint="eastAsia" w:ascii="宋体" w:hAnsi="宋体" w:eastAsia="宋体" w:cs="宋体"/>
          <w:sz w:val="24"/>
          <w:szCs w:val="24"/>
        </w:rPr>
      </w:pPr>
    </w:p>
    <w:p w14:paraId="546CE10E">
      <w:pPr>
        <w:snapToGrid w:val="0"/>
        <w:spacing w:line="264" w:lineRule="auto"/>
        <w:ind w:firstLine="480" w:firstLineChars="200"/>
        <w:jc w:val="left"/>
        <w:rPr>
          <w:rFonts w:hint="eastAsia" w:ascii="宋体" w:hAnsi="宋体" w:eastAsia="宋体" w:cs="宋体"/>
          <w:sz w:val="24"/>
          <w:szCs w:val="24"/>
        </w:rPr>
      </w:pPr>
    </w:p>
    <w:p w14:paraId="6A86BE95">
      <w:pPr>
        <w:snapToGrid w:val="0"/>
        <w:spacing w:line="264" w:lineRule="auto"/>
        <w:ind w:firstLine="480" w:firstLineChars="200"/>
        <w:jc w:val="left"/>
        <w:rPr>
          <w:rFonts w:hint="eastAsia" w:ascii="宋体" w:hAnsi="宋体" w:eastAsia="宋体" w:cs="宋体"/>
          <w:sz w:val="24"/>
          <w:szCs w:val="24"/>
        </w:rPr>
      </w:pPr>
    </w:p>
    <w:p w14:paraId="747F7BF2">
      <w:pPr>
        <w:snapToGrid w:val="0"/>
        <w:spacing w:line="264" w:lineRule="auto"/>
        <w:ind w:firstLine="480" w:firstLineChars="200"/>
        <w:jc w:val="left"/>
        <w:rPr>
          <w:rFonts w:hint="eastAsia" w:ascii="宋体" w:hAnsi="宋体" w:eastAsia="宋体" w:cs="宋体"/>
          <w:sz w:val="24"/>
          <w:szCs w:val="24"/>
        </w:rPr>
      </w:pPr>
    </w:p>
    <w:p w14:paraId="5B3F1D8D">
      <w:pPr>
        <w:snapToGrid w:val="0"/>
        <w:spacing w:line="264" w:lineRule="auto"/>
        <w:ind w:firstLine="480" w:firstLineChars="200"/>
        <w:jc w:val="left"/>
        <w:rPr>
          <w:rFonts w:hint="eastAsia" w:ascii="宋体" w:hAnsi="宋体" w:eastAsia="宋体" w:cs="宋体"/>
          <w:sz w:val="24"/>
          <w:szCs w:val="24"/>
        </w:rPr>
      </w:pPr>
    </w:p>
    <w:p w14:paraId="3E2E72F1">
      <w:pPr>
        <w:snapToGrid w:val="0"/>
        <w:spacing w:line="264" w:lineRule="auto"/>
        <w:ind w:firstLine="480" w:firstLineChars="200"/>
        <w:jc w:val="left"/>
        <w:rPr>
          <w:rFonts w:hint="eastAsia" w:ascii="宋体" w:hAnsi="宋体" w:eastAsia="宋体" w:cs="宋体"/>
          <w:sz w:val="24"/>
          <w:szCs w:val="24"/>
        </w:rPr>
      </w:pPr>
    </w:p>
    <w:p w14:paraId="212DF5B6">
      <w:pPr>
        <w:snapToGrid w:val="0"/>
        <w:spacing w:line="264" w:lineRule="auto"/>
        <w:ind w:firstLine="480" w:firstLineChars="200"/>
        <w:jc w:val="left"/>
        <w:rPr>
          <w:rFonts w:hint="eastAsia" w:ascii="宋体" w:hAnsi="宋体" w:eastAsia="宋体" w:cs="宋体"/>
          <w:sz w:val="24"/>
          <w:szCs w:val="24"/>
        </w:rPr>
      </w:pPr>
    </w:p>
    <w:p w14:paraId="5DC54E29">
      <w:pPr>
        <w:snapToGrid w:val="0"/>
        <w:spacing w:line="264" w:lineRule="auto"/>
        <w:ind w:firstLine="480" w:firstLineChars="200"/>
        <w:jc w:val="left"/>
        <w:rPr>
          <w:rFonts w:hint="eastAsia" w:ascii="宋体" w:hAnsi="宋体" w:eastAsia="宋体" w:cs="宋体"/>
          <w:sz w:val="24"/>
          <w:szCs w:val="24"/>
        </w:rPr>
      </w:pPr>
    </w:p>
    <w:p w14:paraId="2B963005">
      <w:pPr>
        <w:snapToGrid w:val="0"/>
        <w:spacing w:line="264" w:lineRule="auto"/>
        <w:ind w:firstLine="480" w:firstLineChars="200"/>
        <w:jc w:val="left"/>
        <w:rPr>
          <w:rFonts w:hint="eastAsia" w:ascii="宋体" w:hAnsi="宋体" w:eastAsia="宋体" w:cs="宋体"/>
          <w:sz w:val="24"/>
          <w:szCs w:val="24"/>
        </w:rPr>
      </w:pPr>
    </w:p>
    <w:p w14:paraId="7CE37A03">
      <w:pPr>
        <w:snapToGrid w:val="0"/>
        <w:spacing w:line="264" w:lineRule="auto"/>
        <w:ind w:firstLine="480" w:firstLineChars="200"/>
        <w:jc w:val="left"/>
        <w:rPr>
          <w:rFonts w:hint="eastAsia" w:ascii="宋体" w:hAnsi="宋体" w:eastAsia="宋体" w:cs="宋体"/>
          <w:sz w:val="24"/>
          <w:szCs w:val="24"/>
        </w:rPr>
      </w:pPr>
    </w:p>
    <w:p w14:paraId="58CCB379">
      <w:pPr>
        <w:snapToGrid w:val="0"/>
        <w:spacing w:line="264" w:lineRule="auto"/>
        <w:ind w:firstLine="480" w:firstLineChars="200"/>
        <w:jc w:val="left"/>
        <w:rPr>
          <w:rFonts w:hint="eastAsia" w:ascii="宋体" w:hAnsi="宋体" w:eastAsia="宋体" w:cs="宋体"/>
          <w:sz w:val="24"/>
          <w:szCs w:val="24"/>
        </w:rPr>
      </w:pPr>
    </w:p>
    <w:p w14:paraId="6833AB27">
      <w:pPr>
        <w:snapToGrid w:val="0"/>
        <w:spacing w:line="264" w:lineRule="auto"/>
        <w:ind w:firstLine="480" w:firstLineChars="200"/>
        <w:jc w:val="left"/>
        <w:rPr>
          <w:rFonts w:hint="eastAsia" w:ascii="宋体" w:hAnsi="宋体" w:eastAsia="宋体" w:cs="宋体"/>
          <w:sz w:val="24"/>
          <w:szCs w:val="24"/>
        </w:rPr>
      </w:pPr>
    </w:p>
    <w:p w14:paraId="78223C2F">
      <w:pPr>
        <w:snapToGrid w:val="0"/>
        <w:spacing w:line="264" w:lineRule="auto"/>
        <w:ind w:firstLine="480" w:firstLineChars="200"/>
        <w:jc w:val="left"/>
        <w:rPr>
          <w:rFonts w:hint="eastAsia" w:ascii="宋体" w:hAnsi="宋体" w:eastAsia="宋体" w:cs="宋体"/>
          <w:sz w:val="24"/>
          <w:szCs w:val="24"/>
        </w:rPr>
      </w:pPr>
    </w:p>
    <w:p w14:paraId="5FBC8C67">
      <w:pPr>
        <w:snapToGrid w:val="0"/>
        <w:spacing w:line="264" w:lineRule="auto"/>
        <w:ind w:firstLine="480" w:firstLineChars="200"/>
        <w:jc w:val="left"/>
        <w:rPr>
          <w:rFonts w:hint="eastAsia" w:ascii="宋体" w:hAnsi="宋体" w:eastAsia="宋体" w:cs="宋体"/>
          <w:sz w:val="24"/>
          <w:szCs w:val="24"/>
        </w:rPr>
      </w:pPr>
    </w:p>
    <w:p w14:paraId="42EF3CBF">
      <w:pPr>
        <w:snapToGrid w:val="0"/>
        <w:spacing w:line="264" w:lineRule="auto"/>
        <w:ind w:firstLine="480" w:firstLineChars="200"/>
        <w:jc w:val="left"/>
        <w:rPr>
          <w:rFonts w:hint="eastAsia" w:ascii="宋体" w:hAnsi="宋体" w:eastAsia="宋体" w:cs="宋体"/>
          <w:sz w:val="24"/>
          <w:szCs w:val="24"/>
        </w:rPr>
      </w:pPr>
    </w:p>
    <w:p w14:paraId="3BEE5C27">
      <w:pPr>
        <w:snapToGrid w:val="0"/>
        <w:spacing w:line="264" w:lineRule="auto"/>
        <w:ind w:firstLine="480" w:firstLineChars="200"/>
        <w:jc w:val="left"/>
        <w:rPr>
          <w:rFonts w:hint="eastAsia" w:ascii="宋体" w:hAnsi="宋体" w:eastAsia="宋体" w:cs="宋体"/>
          <w:sz w:val="24"/>
          <w:szCs w:val="24"/>
        </w:rPr>
      </w:pPr>
    </w:p>
    <w:p w14:paraId="64F7B5CE">
      <w:pPr>
        <w:snapToGrid w:val="0"/>
        <w:spacing w:line="264" w:lineRule="auto"/>
        <w:ind w:firstLine="480" w:firstLineChars="200"/>
        <w:jc w:val="left"/>
        <w:rPr>
          <w:rFonts w:hint="eastAsia" w:ascii="宋体" w:hAnsi="宋体" w:eastAsia="宋体" w:cs="宋体"/>
          <w:sz w:val="24"/>
          <w:szCs w:val="24"/>
        </w:rPr>
      </w:pPr>
    </w:p>
    <w:p w14:paraId="44602AB4">
      <w:pPr>
        <w:snapToGrid w:val="0"/>
        <w:spacing w:line="264" w:lineRule="auto"/>
        <w:ind w:firstLine="480" w:firstLineChars="200"/>
        <w:jc w:val="left"/>
        <w:rPr>
          <w:rFonts w:hint="eastAsia" w:ascii="宋体" w:hAnsi="宋体" w:eastAsia="宋体" w:cs="宋体"/>
          <w:sz w:val="24"/>
          <w:szCs w:val="24"/>
        </w:rPr>
      </w:pPr>
    </w:p>
    <w:p w14:paraId="20BE3D42">
      <w:pPr>
        <w:snapToGrid w:val="0"/>
        <w:spacing w:line="264" w:lineRule="auto"/>
        <w:ind w:firstLine="480" w:firstLineChars="200"/>
        <w:jc w:val="left"/>
        <w:rPr>
          <w:rFonts w:hint="eastAsia" w:ascii="宋体" w:hAnsi="宋体" w:eastAsia="宋体" w:cs="宋体"/>
          <w:sz w:val="24"/>
          <w:szCs w:val="24"/>
        </w:rPr>
      </w:pPr>
    </w:p>
    <w:p w14:paraId="5BD43754">
      <w:pPr>
        <w:snapToGrid w:val="0"/>
        <w:spacing w:line="264" w:lineRule="auto"/>
        <w:ind w:firstLine="480" w:firstLineChars="200"/>
        <w:jc w:val="left"/>
        <w:rPr>
          <w:rFonts w:hint="eastAsia" w:ascii="宋体" w:hAnsi="宋体" w:eastAsia="宋体" w:cs="宋体"/>
          <w:sz w:val="24"/>
          <w:szCs w:val="24"/>
        </w:rPr>
      </w:pPr>
    </w:p>
    <w:p w14:paraId="36677C83">
      <w:pPr>
        <w:snapToGrid w:val="0"/>
        <w:spacing w:line="264" w:lineRule="auto"/>
        <w:ind w:firstLine="480" w:firstLineChars="200"/>
        <w:jc w:val="left"/>
        <w:rPr>
          <w:rFonts w:hint="eastAsia" w:ascii="宋体" w:hAnsi="宋体" w:eastAsia="宋体" w:cs="宋体"/>
          <w:sz w:val="24"/>
          <w:szCs w:val="24"/>
        </w:rPr>
      </w:pPr>
    </w:p>
    <w:p w14:paraId="3763EE9D">
      <w:pPr>
        <w:snapToGrid w:val="0"/>
        <w:spacing w:line="264" w:lineRule="auto"/>
        <w:ind w:firstLine="480" w:firstLineChars="200"/>
        <w:jc w:val="left"/>
        <w:rPr>
          <w:rFonts w:hint="eastAsia" w:ascii="宋体" w:hAnsi="宋体" w:eastAsia="宋体" w:cs="宋体"/>
          <w:sz w:val="24"/>
          <w:szCs w:val="24"/>
        </w:rPr>
      </w:pPr>
    </w:p>
    <w:p w14:paraId="2057EF9A">
      <w:pPr>
        <w:snapToGrid w:val="0"/>
        <w:spacing w:line="264" w:lineRule="auto"/>
        <w:ind w:firstLine="480" w:firstLineChars="200"/>
        <w:jc w:val="left"/>
        <w:rPr>
          <w:rFonts w:hint="eastAsia" w:ascii="宋体" w:hAnsi="宋体" w:eastAsia="宋体" w:cs="宋体"/>
          <w:sz w:val="24"/>
          <w:szCs w:val="24"/>
        </w:rPr>
      </w:pPr>
    </w:p>
    <w:p w14:paraId="147BEAF0">
      <w:pPr>
        <w:snapToGrid w:val="0"/>
        <w:spacing w:line="264" w:lineRule="auto"/>
        <w:ind w:firstLine="480" w:firstLineChars="200"/>
        <w:jc w:val="left"/>
        <w:rPr>
          <w:rFonts w:hint="eastAsia" w:ascii="宋体" w:hAnsi="宋体" w:eastAsia="宋体" w:cs="宋体"/>
          <w:sz w:val="24"/>
          <w:szCs w:val="24"/>
        </w:rPr>
      </w:pPr>
    </w:p>
    <w:p w14:paraId="12A93494">
      <w:pPr>
        <w:snapToGrid w:val="0"/>
        <w:spacing w:line="264" w:lineRule="auto"/>
        <w:ind w:firstLine="480" w:firstLineChars="200"/>
        <w:jc w:val="left"/>
        <w:rPr>
          <w:rFonts w:hint="eastAsia" w:ascii="宋体" w:hAnsi="宋体" w:eastAsia="宋体" w:cs="宋体"/>
          <w:sz w:val="24"/>
          <w:szCs w:val="24"/>
        </w:rPr>
      </w:pPr>
    </w:p>
    <w:p w14:paraId="76C805EC">
      <w:pPr>
        <w:snapToGrid w:val="0"/>
        <w:spacing w:line="264" w:lineRule="auto"/>
        <w:ind w:firstLine="480" w:firstLineChars="200"/>
        <w:jc w:val="left"/>
        <w:rPr>
          <w:rFonts w:hint="eastAsia" w:ascii="宋体" w:hAnsi="宋体" w:eastAsia="宋体" w:cs="宋体"/>
          <w:sz w:val="24"/>
          <w:szCs w:val="24"/>
        </w:rPr>
      </w:pPr>
    </w:p>
    <w:p w14:paraId="2F827A8E">
      <w:pPr>
        <w:snapToGrid w:val="0"/>
        <w:spacing w:line="264" w:lineRule="auto"/>
        <w:ind w:firstLine="480" w:firstLineChars="200"/>
        <w:jc w:val="left"/>
        <w:rPr>
          <w:rFonts w:hint="eastAsia" w:ascii="宋体" w:hAnsi="宋体" w:eastAsia="宋体" w:cs="宋体"/>
          <w:sz w:val="24"/>
          <w:szCs w:val="24"/>
        </w:rPr>
      </w:pPr>
    </w:p>
    <w:p w14:paraId="605EB89C">
      <w:pPr>
        <w:snapToGrid w:val="0"/>
        <w:spacing w:line="264" w:lineRule="auto"/>
        <w:ind w:firstLine="480" w:firstLineChars="200"/>
        <w:jc w:val="left"/>
        <w:rPr>
          <w:rFonts w:hint="eastAsia" w:ascii="宋体" w:hAnsi="宋体" w:eastAsia="宋体" w:cs="宋体"/>
          <w:sz w:val="24"/>
          <w:szCs w:val="24"/>
        </w:rPr>
      </w:pPr>
    </w:p>
    <w:p w14:paraId="2ACCAD1F">
      <w:pPr>
        <w:snapToGrid w:val="0"/>
        <w:spacing w:line="264" w:lineRule="auto"/>
        <w:ind w:firstLine="480" w:firstLineChars="200"/>
        <w:jc w:val="left"/>
        <w:rPr>
          <w:rFonts w:hint="eastAsia" w:ascii="宋体" w:hAnsi="宋体" w:eastAsia="宋体" w:cs="宋体"/>
          <w:sz w:val="24"/>
          <w:szCs w:val="24"/>
        </w:rPr>
      </w:pPr>
    </w:p>
    <w:p w14:paraId="3040253D">
      <w:pPr>
        <w:snapToGrid w:val="0"/>
        <w:spacing w:line="264" w:lineRule="auto"/>
        <w:ind w:firstLine="480" w:firstLineChars="200"/>
        <w:jc w:val="left"/>
        <w:rPr>
          <w:rFonts w:hint="eastAsia" w:ascii="宋体" w:hAnsi="宋体" w:eastAsia="宋体" w:cs="宋体"/>
          <w:sz w:val="24"/>
          <w:szCs w:val="24"/>
        </w:rPr>
      </w:pPr>
    </w:p>
    <w:p w14:paraId="7D0A6E64">
      <w:pPr>
        <w:snapToGrid w:val="0"/>
        <w:spacing w:line="264" w:lineRule="auto"/>
        <w:ind w:firstLine="480" w:firstLineChars="200"/>
        <w:jc w:val="left"/>
        <w:rPr>
          <w:rFonts w:hint="eastAsia" w:ascii="宋体" w:hAnsi="宋体" w:eastAsia="宋体" w:cs="宋体"/>
          <w:sz w:val="24"/>
          <w:szCs w:val="24"/>
        </w:rPr>
      </w:pPr>
    </w:p>
    <w:p w14:paraId="3EF6A842">
      <w:pPr>
        <w:snapToGrid w:val="0"/>
        <w:spacing w:line="264" w:lineRule="auto"/>
        <w:ind w:firstLine="480" w:firstLineChars="200"/>
        <w:jc w:val="left"/>
        <w:rPr>
          <w:rFonts w:hint="eastAsia" w:ascii="宋体" w:hAnsi="宋体" w:eastAsia="宋体" w:cs="宋体"/>
          <w:sz w:val="24"/>
          <w:szCs w:val="24"/>
        </w:rPr>
      </w:pPr>
    </w:p>
    <w:p w14:paraId="2BB7AC09">
      <w:pPr>
        <w:snapToGrid w:val="0"/>
        <w:spacing w:line="264" w:lineRule="auto"/>
        <w:ind w:firstLine="480" w:firstLineChars="200"/>
        <w:jc w:val="left"/>
        <w:rPr>
          <w:rFonts w:hint="eastAsia" w:ascii="宋体" w:hAnsi="宋体" w:eastAsia="宋体" w:cs="宋体"/>
          <w:sz w:val="24"/>
          <w:szCs w:val="24"/>
        </w:rPr>
      </w:pPr>
    </w:p>
    <w:p w14:paraId="25EEAF4E">
      <w:pPr>
        <w:snapToGrid w:val="0"/>
        <w:spacing w:line="264" w:lineRule="auto"/>
        <w:jc w:val="left"/>
        <w:rPr>
          <w:rFonts w:hint="eastAsia" w:ascii="宋体" w:hAnsi="宋体" w:eastAsia="宋体" w:cs="宋体"/>
          <w:sz w:val="24"/>
          <w:szCs w:val="24"/>
        </w:rPr>
      </w:pPr>
    </w:p>
    <w:p w14:paraId="2B65D97B">
      <w:pPr>
        <w:snapToGrid w:val="0"/>
        <w:spacing w:line="264" w:lineRule="auto"/>
        <w:ind w:firstLine="482" w:firstLineChars="200"/>
        <w:rPr>
          <w:rFonts w:hint="eastAsia" w:ascii="宋体" w:hAnsi="宋体" w:eastAsia="宋体" w:cs="宋体"/>
          <w:b/>
          <w:bCs/>
          <w:sz w:val="24"/>
          <w:szCs w:val="24"/>
        </w:rPr>
      </w:pPr>
    </w:p>
    <w:p w14:paraId="593AE393">
      <w:pPr>
        <w:snapToGrid w:val="0"/>
        <w:spacing w:line="264"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w:t>
      </w:r>
    </w:p>
    <w:p w14:paraId="356E115C">
      <w:pPr>
        <w:snapToGrid w:val="0"/>
        <w:spacing w:line="264" w:lineRule="auto"/>
        <w:ind w:firstLine="480" w:firstLineChars="200"/>
        <w:jc w:val="left"/>
        <w:rPr>
          <w:rFonts w:hint="eastAsia" w:ascii="宋体" w:hAnsi="宋体" w:eastAsia="宋体" w:cs="宋体"/>
          <w:sz w:val="24"/>
          <w:szCs w:val="24"/>
        </w:rPr>
      </w:pPr>
    </w:p>
    <w:p w14:paraId="760C35EA">
      <w:pPr>
        <w:snapToGrid w:val="0"/>
        <w:spacing w:line="264"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中标（成交）通知书</w:t>
      </w:r>
      <w:r>
        <w:rPr>
          <w:rFonts w:hint="eastAsia" w:ascii="宋体" w:hAnsi="宋体" w:eastAsia="宋体" w:cs="宋体"/>
          <w:b/>
          <w:bCs/>
          <w:color w:val="FF0000"/>
          <w:sz w:val="24"/>
          <w:szCs w:val="24"/>
        </w:rPr>
        <w:t>（加盖合同专用章）</w:t>
      </w:r>
    </w:p>
    <w:p w14:paraId="06775F6E">
      <w:pPr>
        <w:snapToGrid w:val="0"/>
        <w:spacing w:line="264" w:lineRule="auto"/>
        <w:ind w:firstLine="482" w:firstLineChars="200"/>
        <w:jc w:val="center"/>
        <w:rPr>
          <w:rFonts w:hint="eastAsia" w:ascii="宋体" w:hAnsi="宋体" w:eastAsia="宋体" w:cs="宋体"/>
          <w:b/>
          <w:bCs/>
          <w:color w:val="FF0000"/>
          <w:sz w:val="24"/>
          <w:szCs w:val="24"/>
          <w:lang w:eastAsia="zh-CN"/>
        </w:rPr>
      </w:pPr>
    </w:p>
    <w:p w14:paraId="21D94362">
      <w:pPr>
        <w:snapToGrid w:val="0"/>
        <w:spacing w:line="264" w:lineRule="auto"/>
        <w:ind w:firstLine="482" w:firstLineChars="200"/>
        <w:jc w:val="center"/>
        <w:rPr>
          <w:rFonts w:hint="eastAsia" w:ascii="宋体" w:hAnsi="宋体" w:eastAsia="宋体" w:cs="宋体"/>
          <w:b/>
          <w:bCs/>
          <w:color w:val="FF0000"/>
          <w:sz w:val="24"/>
          <w:szCs w:val="24"/>
          <w:lang w:eastAsia="zh-CN"/>
        </w:rPr>
      </w:pPr>
    </w:p>
    <w:p w14:paraId="2A245248">
      <w:pPr>
        <w:snapToGrid w:val="0"/>
        <w:spacing w:line="264" w:lineRule="auto"/>
        <w:ind w:firstLine="482" w:firstLineChars="200"/>
        <w:jc w:val="center"/>
        <w:rPr>
          <w:rFonts w:hint="eastAsia" w:ascii="宋体" w:hAnsi="宋体" w:eastAsia="宋体" w:cs="宋体"/>
          <w:b/>
          <w:bCs/>
          <w:color w:val="FF0000"/>
          <w:sz w:val="24"/>
          <w:szCs w:val="24"/>
          <w:lang w:eastAsia="zh-CN"/>
        </w:rPr>
      </w:pPr>
    </w:p>
    <w:p w14:paraId="1A3399EB">
      <w:pPr>
        <w:pStyle w:val="11"/>
        <w:spacing w:after="0"/>
        <w:jc w:val="center"/>
        <w:rPr>
          <w:rFonts w:ascii="宋体" w:hAnsi="宋体" w:cs="宋体"/>
          <w:b/>
          <w:bCs/>
          <w:color w:val="auto"/>
          <w:spacing w:val="-20"/>
          <w:kern w:val="44"/>
          <w:sz w:val="48"/>
          <w:szCs w:val="48"/>
          <w:highlight w:val="none"/>
        </w:rPr>
      </w:pPr>
    </w:p>
    <w:p w14:paraId="1471AFF4">
      <w:pPr>
        <w:pStyle w:val="11"/>
        <w:spacing w:after="0"/>
        <w:jc w:val="center"/>
        <w:rPr>
          <w:rFonts w:ascii="宋体" w:hAnsi="宋体" w:cs="宋体"/>
          <w:b/>
          <w:bCs/>
          <w:color w:val="auto"/>
          <w:spacing w:val="-20"/>
          <w:kern w:val="44"/>
          <w:sz w:val="48"/>
          <w:szCs w:val="48"/>
          <w:highlight w:val="none"/>
        </w:rPr>
      </w:pPr>
    </w:p>
    <w:bookmarkEnd w:id="499"/>
    <w:p w14:paraId="59C8CB5D">
      <w:pPr>
        <w:rPr>
          <w:color w:val="auto"/>
          <w:highlight w:val="none"/>
          <w:lang w:val="zh-CN"/>
        </w:rPr>
      </w:pPr>
    </w:p>
    <w:p w14:paraId="086D45F7">
      <w:pPr>
        <w:rPr>
          <w:rFonts w:hint="eastAsia"/>
          <w:color w:val="auto"/>
          <w:highlight w:val="none"/>
        </w:rPr>
      </w:pPr>
    </w:p>
    <w:p w14:paraId="428C386B">
      <w:pPr>
        <w:rPr>
          <w:rFonts w:hint="eastAsia"/>
          <w:color w:val="auto"/>
          <w:highlight w:val="none"/>
        </w:rPr>
      </w:pPr>
    </w:p>
    <w:p w14:paraId="12E53718">
      <w:pPr>
        <w:ind w:left="550" w:firstLine="420" w:firstLineChars="175"/>
        <w:rPr>
          <w:color w:val="auto"/>
          <w:highlight w:val="none"/>
        </w:rPr>
      </w:pPr>
    </w:p>
    <w:p w14:paraId="3E44F119">
      <w:pPr>
        <w:rPr>
          <w:color w:val="auto"/>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1EBBB031">
      <w:pPr>
        <w:pStyle w:val="2"/>
        <w:numPr>
          <w:ilvl w:val="0"/>
          <w:numId w:val="0"/>
        </w:numPr>
        <w:ind w:left="420" w:leftChars="0" w:hanging="420" w:firstLineChars="0"/>
        <w:rPr>
          <w:rFonts w:hint="eastAsia" w:ascii="宋体" w:hAnsi="宋体" w:eastAsia="宋体" w:cs="宋体"/>
          <w:color w:val="auto"/>
          <w:sz w:val="36"/>
          <w:szCs w:val="36"/>
          <w:highlight w:val="none"/>
        </w:rPr>
      </w:pPr>
      <w:bookmarkStart w:id="500" w:name="_Toc12356"/>
      <w:bookmarkStart w:id="501" w:name="_Toc26172"/>
      <w:r>
        <w:rPr>
          <w:rFonts w:hint="eastAsia" w:ascii="宋体" w:hAnsi="宋体" w:eastAsia="宋体" w:cs="宋体"/>
          <w:b/>
          <w:bCs/>
          <w:color w:val="auto"/>
          <w:kern w:val="44"/>
          <w:sz w:val="36"/>
          <w:szCs w:val="36"/>
          <w:highlight w:val="none"/>
          <w:lang w:val="en-US" w:eastAsia="zh-CN" w:bidi="ar-SA"/>
        </w:rPr>
        <w:t xml:space="preserve">第六章 </w:t>
      </w:r>
      <w:r>
        <w:rPr>
          <w:rFonts w:hint="eastAsia" w:ascii="宋体" w:hAnsi="宋体" w:eastAsia="宋体" w:cs="宋体"/>
          <w:color w:val="auto"/>
          <w:sz w:val="36"/>
          <w:szCs w:val="36"/>
          <w:highlight w:val="none"/>
        </w:rPr>
        <w:t>响应文件的格式</w:t>
      </w:r>
      <w:bookmarkEnd w:id="500"/>
      <w:bookmarkEnd w:id="501"/>
    </w:p>
    <w:p w14:paraId="6EC4C082">
      <w:pPr>
        <w:ind w:firstLine="480" w:firstLineChars="200"/>
        <w:rPr>
          <w:rFonts w:hint="eastAsia" w:cs="仿宋_GB2312"/>
          <w:color w:val="auto"/>
          <w:highlight w:val="none"/>
          <w:lang w:val="zh-CN"/>
        </w:rPr>
      </w:pPr>
    </w:p>
    <w:p w14:paraId="66F9DB6D">
      <w:pPr>
        <w:ind w:firstLine="480" w:firstLineChars="200"/>
        <w:rPr>
          <w:rFonts w:hint="eastAsia" w:cs="仿宋_GB2312"/>
          <w:color w:val="auto"/>
          <w:highlight w:val="none"/>
          <w:lang w:val="zh-CN"/>
        </w:rPr>
      </w:pPr>
    </w:p>
    <w:p w14:paraId="0F1E5057">
      <w:pPr>
        <w:ind w:firstLine="480" w:firstLineChars="200"/>
        <w:rPr>
          <w:rFonts w:hint="eastAsia" w:cs="仿宋_GB2312"/>
          <w:color w:val="auto"/>
          <w:highlight w:val="none"/>
          <w:lang w:val="zh-CN"/>
        </w:rPr>
      </w:pPr>
    </w:p>
    <w:p w14:paraId="02C1CDE2">
      <w:pPr>
        <w:ind w:firstLine="480" w:firstLineChars="200"/>
        <w:rPr>
          <w:rFonts w:hint="eastAsia" w:cs="仿宋_GB2312"/>
          <w:color w:val="auto"/>
          <w:highlight w:val="none"/>
          <w:lang w:val="zh-CN"/>
        </w:rPr>
      </w:pPr>
    </w:p>
    <w:p w14:paraId="5FD4F8BE">
      <w:pPr>
        <w:ind w:firstLine="480" w:firstLineChars="200"/>
        <w:rPr>
          <w:rFonts w:hint="eastAsia" w:cs="仿宋_GB2312"/>
          <w:color w:val="auto"/>
          <w:highlight w:val="none"/>
          <w:lang w:val="zh-CN"/>
        </w:rPr>
      </w:pPr>
    </w:p>
    <w:p w14:paraId="40FD170D">
      <w:pPr>
        <w:ind w:firstLine="480" w:firstLineChars="200"/>
        <w:rPr>
          <w:rFonts w:hint="eastAsia" w:cs="仿宋_GB2312"/>
          <w:color w:val="auto"/>
          <w:highlight w:val="none"/>
          <w:lang w:val="zh-CN"/>
        </w:rPr>
      </w:pPr>
    </w:p>
    <w:p w14:paraId="333C12D2">
      <w:pPr>
        <w:ind w:firstLine="480" w:firstLineChars="200"/>
        <w:rPr>
          <w:rFonts w:hint="eastAsia" w:cs="仿宋_GB2312"/>
          <w:color w:val="auto"/>
          <w:highlight w:val="none"/>
          <w:lang w:val="zh-CN"/>
        </w:rPr>
      </w:pPr>
    </w:p>
    <w:p w14:paraId="0DC5F5FB">
      <w:pPr>
        <w:ind w:firstLine="480" w:firstLineChars="200"/>
        <w:rPr>
          <w:rFonts w:hint="eastAsia" w:cs="仿宋_GB2312"/>
          <w:color w:val="auto"/>
          <w:highlight w:val="none"/>
          <w:lang w:val="zh-CN"/>
        </w:rPr>
      </w:pPr>
    </w:p>
    <w:p w14:paraId="7D5CE0DF">
      <w:pPr>
        <w:ind w:firstLine="480" w:firstLineChars="200"/>
        <w:rPr>
          <w:rFonts w:hint="eastAsia" w:cs="仿宋_GB2312"/>
          <w:color w:val="auto"/>
          <w:highlight w:val="none"/>
          <w:lang w:val="zh-CN"/>
        </w:rPr>
      </w:pPr>
    </w:p>
    <w:p w14:paraId="226FEC9F">
      <w:pPr>
        <w:ind w:firstLine="480" w:firstLineChars="200"/>
        <w:rPr>
          <w:rFonts w:hint="eastAsia" w:cs="仿宋_GB2312"/>
          <w:color w:val="auto"/>
          <w:highlight w:val="none"/>
          <w:lang w:val="zh-CN"/>
        </w:rPr>
      </w:pPr>
    </w:p>
    <w:p w14:paraId="3B193948">
      <w:pPr>
        <w:ind w:firstLine="480" w:firstLineChars="200"/>
        <w:rPr>
          <w:rFonts w:hint="eastAsia" w:cs="仿宋_GB2312"/>
          <w:color w:val="auto"/>
          <w:highlight w:val="none"/>
          <w:lang w:val="zh-CN"/>
        </w:rPr>
      </w:pPr>
    </w:p>
    <w:p w14:paraId="25528327">
      <w:pPr>
        <w:ind w:firstLine="480" w:firstLineChars="200"/>
        <w:rPr>
          <w:rFonts w:hint="eastAsia" w:cs="仿宋_GB2312"/>
          <w:color w:val="auto"/>
          <w:highlight w:val="none"/>
          <w:lang w:val="zh-CN"/>
        </w:rPr>
      </w:pPr>
    </w:p>
    <w:p w14:paraId="6F2846A3">
      <w:pPr>
        <w:ind w:firstLine="480" w:firstLineChars="200"/>
        <w:rPr>
          <w:rFonts w:hint="eastAsia" w:cs="仿宋_GB2312"/>
          <w:color w:val="auto"/>
          <w:highlight w:val="none"/>
          <w:lang w:val="zh-CN"/>
        </w:rPr>
      </w:pPr>
    </w:p>
    <w:p w14:paraId="6D7EA01B">
      <w:pPr>
        <w:ind w:firstLine="480" w:firstLineChars="200"/>
        <w:rPr>
          <w:rFonts w:hint="eastAsia" w:cs="仿宋_GB2312"/>
          <w:color w:val="auto"/>
          <w:highlight w:val="none"/>
          <w:lang w:val="zh-CN"/>
        </w:rPr>
      </w:pPr>
    </w:p>
    <w:p w14:paraId="1FA1C6E4">
      <w:pPr>
        <w:ind w:firstLine="480" w:firstLineChars="200"/>
        <w:rPr>
          <w:rFonts w:hint="eastAsia" w:cs="仿宋_GB2312"/>
          <w:color w:val="auto"/>
          <w:highlight w:val="none"/>
          <w:lang w:val="zh-CN"/>
        </w:rPr>
      </w:pPr>
    </w:p>
    <w:p w14:paraId="7080018F">
      <w:pPr>
        <w:ind w:firstLine="480" w:firstLineChars="200"/>
        <w:rPr>
          <w:rFonts w:hint="eastAsia" w:cs="仿宋_GB2312"/>
          <w:color w:val="auto"/>
          <w:highlight w:val="none"/>
          <w:lang w:val="zh-CN"/>
        </w:rPr>
      </w:pPr>
    </w:p>
    <w:p w14:paraId="4B79049E">
      <w:pPr>
        <w:ind w:firstLine="480" w:firstLineChars="200"/>
        <w:rPr>
          <w:rFonts w:hint="eastAsia" w:cs="仿宋_GB2312"/>
          <w:color w:val="auto"/>
          <w:highlight w:val="none"/>
          <w:lang w:val="zh-CN"/>
        </w:rPr>
      </w:pPr>
    </w:p>
    <w:p w14:paraId="690F05F4">
      <w:pPr>
        <w:ind w:firstLine="480" w:firstLineChars="200"/>
        <w:rPr>
          <w:rFonts w:hint="eastAsia" w:cs="仿宋_GB2312"/>
          <w:color w:val="auto"/>
          <w:highlight w:val="none"/>
          <w:lang w:val="zh-CN"/>
        </w:rPr>
      </w:pPr>
    </w:p>
    <w:p w14:paraId="6ED94B89">
      <w:pPr>
        <w:ind w:firstLine="480" w:firstLineChars="200"/>
        <w:rPr>
          <w:rFonts w:hint="eastAsia" w:cs="仿宋_GB2312"/>
          <w:color w:val="auto"/>
          <w:highlight w:val="none"/>
          <w:lang w:val="zh-CN"/>
        </w:rPr>
      </w:pPr>
    </w:p>
    <w:p w14:paraId="7DE59651">
      <w:pPr>
        <w:ind w:firstLine="480" w:firstLineChars="200"/>
        <w:rPr>
          <w:rFonts w:hint="eastAsia" w:cs="仿宋_GB2312"/>
          <w:color w:val="auto"/>
          <w:highlight w:val="none"/>
          <w:lang w:val="zh-CN"/>
        </w:rPr>
      </w:pPr>
    </w:p>
    <w:p w14:paraId="0D899E1D">
      <w:pPr>
        <w:ind w:firstLine="480" w:firstLineChars="200"/>
        <w:rPr>
          <w:rFonts w:hint="eastAsia" w:cs="仿宋_GB2312"/>
          <w:color w:val="auto"/>
          <w:highlight w:val="none"/>
          <w:lang w:val="zh-CN"/>
        </w:rPr>
      </w:pPr>
    </w:p>
    <w:p w14:paraId="6EA0DF60">
      <w:pPr>
        <w:ind w:firstLine="480" w:firstLineChars="200"/>
        <w:rPr>
          <w:rFonts w:hint="eastAsia" w:cs="仿宋_GB2312"/>
          <w:color w:val="auto"/>
          <w:highlight w:val="none"/>
          <w:lang w:val="zh-CN"/>
        </w:rPr>
      </w:pPr>
    </w:p>
    <w:p w14:paraId="0EAD2D3B">
      <w:pPr>
        <w:ind w:firstLine="480" w:firstLineChars="200"/>
        <w:rPr>
          <w:rFonts w:hint="eastAsia" w:cs="仿宋_GB2312"/>
          <w:color w:val="auto"/>
          <w:highlight w:val="none"/>
          <w:lang w:val="zh-CN"/>
        </w:rPr>
      </w:pPr>
    </w:p>
    <w:p w14:paraId="470AE675">
      <w:pPr>
        <w:ind w:firstLine="480" w:firstLineChars="200"/>
        <w:rPr>
          <w:rFonts w:hint="eastAsia" w:cs="仿宋_GB2312"/>
          <w:color w:val="auto"/>
          <w:highlight w:val="none"/>
          <w:lang w:val="zh-CN"/>
        </w:rPr>
      </w:pPr>
    </w:p>
    <w:p w14:paraId="3D40132F">
      <w:pPr>
        <w:ind w:firstLine="480" w:firstLineChars="200"/>
        <w:rPr>
          <w:rFonts w:hint="eastAsia" w:cs="仿宋_GB2312"/>
          <w:color w:val="auto"/>
          <w:szCs w:val="24"/>
          <w:highlight w:val="none"/>
          <w:lang w:val="zh-CN"/>
        </w:rPr>
      </w:pPr>
    </w:p>
    <w:p w14:paraId="6F54B44F">
      <w:pPr>
        <w:rPr>
          <w:rFonts w:hint="eastAsia" w:cs="仿宋_GB2312"/>
          <w:color w:val="auto"/>
          <w:szCs w:val="24"/>
          <w:highlight w:val="none"/>
          <w:lang w:val="zh-CN"/>
        </w:rPr>
      </w:pPr>
      <w:r>
        <w:rPr>
          <w:rFonts w:hint="eastAsia" w:cs="仿宋_GB2312"/>
          <w:color w:val="auto"/>
          <w:szCs w:val="24"/>
          <w:highlight w:val="none"/>
          <w:lang w:val="zh-CN"/>
        </w:rPr>
        <w:br w:type="page"/>
      </w:r>
    </w:p>
    <w:p w14:paraId="6DC90E3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72"/>
          <w:szCs w:val="72"/>
          <w:highlight w:val="none"/>
        </w:rPr>
      </w:pPr>
      <w:bookmarkStart w:id="502" w:name="_Toc5152"/>
      <w:r>
        <w:rPr>
          <w:rFonts w:hint="eastAsia"/>
          <w:color w:val="auto"/>
          <w:sz w:val="72"/>
          <w:szCs w:val="72"/>
          <w:highlight w:val="none"/>
          <w:lang w:val="en-US" w:eastAsia="zh-CN"/>
        </w:rPr>
        <w:t>响</w:t>
      </w:r>
      <w:r>
        <w:rPr>
          <w:rFonts w:hint="eastAsia"/>
          <w:color w:val="auto"/>
          <w:sz w:val="72"/>
          <w:szCs w:val="72"/>
          <w:highlight w:val="none"/>
        </w:rPr>
        <w:t xml:space="preserve"> </w:t>
      </w:r>
      <w:r>
        <w:rPr>
          <w:rFonts w:hint="eastAsia"/>
          <w:color w:val="auto"/>
          <w:sz w:val="72"/>
          <w:szCs w:val="72"/>
          <w:highlight w:val="none"/>
          <w:lang w:val="en-US" w:eastAsia="zh-CN"/>
        </w:rPr>
        <w:t>应</w:t>
      </w:r>
      <w:r>
        <w:rPr>
          <w:rFonts w:hint="eastAsia"/>
          <w:color w:val="auto"/>
          <w:sz w:val="72"/>
          <w:szCs w:val="72"/>
          <w:highlight w:val="none"/>
        </w:rPr>
        <w:t xml:space="preserve"> 文 件</w:t>
      </w:r>
      <w:bookmarkEnd w:id="502"/>
    </w:p>
    <w:p w14:paraId="7053976A">
      <w:pPr>
        <w:pStyle w:val="2"/>
        <w:bidi w:val="0"/>
        <w:rPr>
          <w:color w:val="auto"/>
          <w:sz w:val="72"/>
          <w:szCs w:val="72"/>
          <w:highlight w:val="none"/>
        </w:rPr>
      </w:pPr>
      <w:bookmarkStart w:id="503" w:name="_Toc7318"/>
      <w:r>
        <w:rPr>
          <w:rFonts w:hint="eastAsia"/>
          <w:color w:val="auto"/>
          <w:sz w:val="72"/>
          <w:szCs w:val="72"/>
          <w:highlight w:val="none"/>
        </w:rPr>
        <w:t>资格证明文件</w:t>
      </w:r>
      <w:bookmarkEnd w:id="503"/>
    </w:p>
    <w:p w14:paraId="11B2218D">
      <w:pPr>
        <w:autoSpaceDE w:val="0"/>
        <w:autoSpaceDN w:val="0"/>
        <w:adjustRightInd w:val="0"/>
        <w:rPr>
          <w:b/>
          <w:bCs/>
          <w:color w:val="auto"/>
          <w:sz w:val="22"/>
          <w:highlight w:val="none"/>
        </w:rPr>
      </w:pPr>
    </w:p>
    <w:p w14:paraId="30EB22E6">
      <w:pPr>
        <w:autoSpaceDE w:val="0"/>
        <w:autoSpaceDN w:val="0"/>
        <w:adjustRightInd w:val="0"/>
        <w:rPr>
          <w:color w:val="auto"/>
          <w:sz w:val="21"/>
          <w:szCs w:val="21"/>
          <w:highlight w:val="none"/>
        </w:rPr>
      </w:pPr>
    </w:p>
    <w:p w14:paraId="0D158554">
      <w:pPr>
        <w:autoSpaceDE w:val="0"/>
        <w:autoSpaceDN w:val="0"/>
        <w:adjustRightInd w:val="0"/>
        <w:rPr>
          <w:color w:val="auto"/>
          <w:sz w:val="21"/>
          <w:szCs w:val="21"/>
          <w:highlight w:val="none"/>
        </w:rPr>
      </w:pPr>
    </w:p>
    <w:p w14:paraId="01B855B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E0530D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281C2EA">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7DB2DE4">
      <w:pPr>
        <w:ind w:left="840" w:firstLine="420"/>
        <w:rPr>
          <w:b/>
          <w:bCs/>
          <w:color w:val="auto"/>
          <w:sz w:val="28"/>
          <w:szCs w:val="28"/>
          <w:highlight w:val="none"/>
        </w:rPr>
      </w:pPr>
    </w:p>
    <w:p w14:paraId="1D6D546F">
      <w:pPr>
        <w:ind w:left="840" w:firstLine="420"/>
        <w:rPr>
          <w:b/>
          <w:bCs/>
          <w:color w:val="auto"/>
          <w:sz w:val="28"/>
          <w:szCs w:val="28"/>
          <w:highlight w:val="none"/>
        </w:rPr>
      </w:pPr>
    </w:p>
    <w:p w14:paraId="167EF277">
      <w:pPr>
        <w:ind w:left="840" w:firstLine="420"/>
        <w:rPr>
          <w:b/>
          <w:bCs/>
          <w:color w:val="auto"/>
          <w:sz w:val="28"/>
          <w:szCs w:val="28"/>
          <w:highlight w:val="none"/>
        </w:rPr>
      </w:pPr>
    </w:p>
    <w:p w14:paraId="44B4D6D4">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39BD53E8">
      <w:pPr>
        <w:jc w:val="center"/>
        <w:rPr>
          <w:b/>
          <w:bCs/>
          <w:color w:val="auto"/>
          <w:sz w:val="28"/>
          <w:szCs w:val="28"/>
          <w:highlight w:val="none"/>
        </w:rPr>
      </w:pPr>
      <w:r>
        <w:rPr>
          <w:b/>
          <w:bCs/>
          <w:color w:val="auto"/>
          <w:sz w:val="28"/>
          <w:szCs w:val="28"/>
          <w:highlight w:val="none"/>
        </w:rPr>
        <w:br w:type="page"/>
      </w:r>
    </w:p>
    <w:p w14:paraId="6DBE2CDA">
      <w:pPr>
        <w:rPr>
          <w:color w:val="auto"/>
          <w:highlight w:val="none"/>
          <w:lang w:val="zh-CN"/>
        </w:rPr>
      </w:pPr>
      <w:bookmarkStart w:id="504" w:name="_Toc163492922"/>
      <w:bookmarkStart w:id="505" w:name="_Toc155185928"/>
      <w:bookmarkStart w:id="506" w:name="_Toc163493643"/>
    </w:p>
    <w:p w14:paraId="1582779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07" w:name="_Toc15682"/>
      <w:bookmarkStart w:id="508" w:name="_Toc30712"/>
      <w:bookmarkStart w:id="509"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507"/>
      <w:bookmarkEnd w:id="508"/>
    </w:p>
    <w:bookmarkEnd w:id="509"/>
    <w:p w14:paraId="6B7B06FF">
      <w:pPr>
        <w:pStyle w:val="4"/>
        <w:bidi w:val="0"/>
        <w:rPr>
          <w:rFonts w:hint="eastAsia"/>
          <w:color w:val="auto"/>
          <w:sz w:val="28"/>
          <w:szCs w:val="28"/>
          <w:highlight w:val="none"/>
          <w:lang w:val="en-US" w:eastAsia="zh-CN"/>
        </w:rPr>
      </w:pPr>
      <w:r>
        <w:rPr>
          <w:rFonts w:hint="eastAsia"/>
          <w:color w:val="auto"/>
          <w:sz w:val="28"/>
          <w:szCs w:val="28"/>
          <w:highlight w:val="none"/>
          <w:lang w:val="en-US" w:eastAsia="zh-CN"/>
        </w:rPr>
        <w:t>（一）法人、其他组织或者自然人的证明文件</w:t>
      </w:r>
    </w:p>
    <w:p w14:paraId="18B05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1、供应商</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2、供应商</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3、供应商</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4、供应商</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C5E4B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5、供应商</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504"/>
    <w:bookmarkEnd w:id="505"/>
    <w:p w14:paraId="58938591">
      <w:pPr>
        <w:pStyle w:val="4"/>
        <w:bidi w:val="0"/>
        <w:rPr>
          <w:rFonts w:hint="eastAsia" w:ascii="宋体" w:hAnsi="宋体" w:eastAsia="宋体"/>
          <w:color w:val="auto"/>
          <w:sz w:val="28"/>
          <w:szCs w:val="28"/>
          <w:highlight w:val="none"/>
          <w:lang w:val="en-US" w:eastAsia="zh-CN"/>
        </w:rPr>
      </w:pPr>
      <w:bookmarkStart w:id="510" w:name="_Toc4705"/>
      <w:bookmarkStart w:id="511" w:name="_Toc4110"/>
      <w:r>
        <w:rPr>
          <w:rFonts w:hint="eastAsia" w:ascii="宋体" w:hAnsi="宋体" w:eastAsia="宋体"/>
          <w:color w:val="auto"/>
          <w:sz w:val="28"/>
          <w:szCs w:val="28"/>
          <w:highlight w:val="none"/>
          <w:lang w:val="en-US" w:eastAsia="zh-CN"/>
        </w:rPr>
        <w:t>（二）</w:t>
      </w:r>
      <w:bookmarkEnd w:id="510"/>
      <w:bookmarkEnd w:id="511"/>
      <w:r>
        <w:rPr>
          <w:rFonts w:hint="eastAsia" w:ascii="宋体" w:hAnsi="宋体" w:eastAsia="宋体"/>
          <w:color w:val="auto"/>
          <w:sz w:val="28"/>
          <w:szCs w:val="28"/>
          <w:highlight w:val="none"/>
          <w:lang w:val="en-US" w:eastAsia="zh-CN"/>
        </w:rPr>
        <w:t>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512" w:name="_Toc11370"/>
      <w:bookmarkStart w:id="513" w:name="_Toc28292"/>
      <w:r>
        <w:rPr>
          <w:rFonts w:hint="eastAsia" w:cs="宋体"/>
          <w:b w:val="0"/>
          <w:bCs w:val="0"/>
          <w:i w:val="0"/>
          <w:iCs w:val="0"/>
          <w:color w:val="auto"/>
          <w:kern w:val="2"/>
          <w:sz w:val="24"/>
          <w:szCs w:val="24"/>
          <w:highlight w:val="none"/>
          <w:shd w:val="clear" w:color="auto" w:fill="auto"/>
          <w:lang w:val="en-US" w:eastAsia="zh-CN" w:bidi="ar-SA"/>
        </w:rPr>
        <w:t>近三年任一年度（2023年或2024年度或2025年度）财务审计报告或近一年内银行提供的资信证明（新公司从成立之日起算）。</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512"/>
      <w:bookmarkEnd w:id="513"/>
    </w:p>
    <w:p w14:paraId="4CC2A716">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依法缴纳</w:t>
      </w:r>
      <w:r>
        <w:rPr>
          <w:rFonts w:hint="eastAsia" w:ascii="宋体" w:hAnsi="宋体" w:eastAsia="宋体" w:cs="宋体"/>
          <w:b/>
          <w:bCs w:val="0"/>
          <w:color w:val="auto"/>
          <w:sz w:val="24"/>
          <w:szCs w:val="24"/>
          <w:highlight w:val="none"/>
          <w:shd w:val="clear" w:color="auto" w:fill="auto"/>
        </w:rPr>
        <w:t>税收</w:t>
      </w:r>
      <w:r>
        <w:rPr>
          <w:rFonts w:hint="eastAsia" w:ascii="宋体" w:hAnsi="宋体" w:eastAsia="宋体" w:cs="宋体"/>
          <w:b w:val="0"/>
          <w:bCs/>
          <w:color w:val="auto"/>
          <w:sz w:val="24"/>
          <w:szCs w:val="24"/>
          <w:highlight w:val="none"/>
          <w:shd w:val="clear" w:color="auto" w:fill="auto"/>
        </w:rPr>
        <w:t>的证明材料：本项目投标截止时间前6个月内（至少提供1个月）缴纳税收的凭据（完税证、缴款书、印花税票、银行代扣（代缴）转账凭证等均可）；</w:t>
      </w:r>
    </w:p>
    <w:p w14:paraId="2A249556">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依法免税的</w:t>
      </w: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，须提供相应文件证明其依法免税。</w:t>
      </w:r>
    </w:p>
    <w:p w14:paraId="32828CE6">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依法缴纳</w:t>
      </w:r>
      <w:r>
        <w:rPr>
          <w:rFonts w:hint="eastAsia" w:ascii="宋体" w:hAnsi="宋体" w:eastAsia="宋体" w:cs="宋体"/>
          <w:b/>
          <w:bCs w:val="0"/>
          <w:color w:val="auto"/>
          <w:sz w:val="24"/>
          <w:szCs w:val="24"/>
          <w:highlight w:val="none"/>
          <w:shd w:val="clear" w:color="auto" w:fill="auto"/>
        </w:rPr>
        <w:t>社会保障</w:t>
      </w:r>
      <w:r>
        <w:rPr>
          <w:rFonts w:hint="eastAsia" w:ascii="宋体" w:hAnsi="宋体" w:eastAsia="宋体" w:cs="宋体"/>
          <w:b w:val="0"/>
          <w:bCs/>
          <w:color w:val="auto"/>
          <w:sz w:val="24"/>
          <w:szCs w:val="24"/>
          <w:highlight w:val="none"/>
          <w:shd w:val="clear" w:color="auto" w:fill="auto"/>
        </w:rPr>
        <w:t>资金的证明材料：本项目投标截止时间时间前6个月内（至少提供1个月）缴纳社会保险的凭据（专用收据或社会保险交纳清单）；</w:t>
      </w:r>
    </w:p>
    <w:p w14:paraId="52D324BE">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为其他组织或自然人的，也需要按此项规定提供缴纳税收的凭据和交纳社会保险的凭据。</w:t>
      </w:r>
    </w:p>
    <w:p w14:paraId="19CEB7E0">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sectPr>
          <w:headerReference r:id="rId9" w:type="default"/>
          <w:footerReference r:id="rId10"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4"/>
          <w:szCs w:val="24"/>
          <w:highlight w:val="none"/>
          <w:shd w:val="clear" w:color="auto" w:fill="auto"/>
        </w:rPr>
        <w:t>依法不需要缴纳社会保障资金的</w:t>
      </w: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514" w:name="_Toc19442"/>
      <w:bookmarkStart w:id="515" w:name="_Toc73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514"/>
      <w:bookmarkEnd w:id="515"/>
    </w:p>
    <w:p w14:paraId="626DCA74">
      <w:pPr>
        <w:pStyle w:val="64"/>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64"/>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64"/>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65"/>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65"/>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65"/>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64"/>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66E1AD1E">
      <w:pPr>
        <w:pStyle w:val="66"/>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516" w:name="_Toc16347"/>
      <w:bookmarkStart w:id="517" w:name="_Toc21544"/>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516"/>
      <w:bookmarkEnd w:id="517"/>
    </w:p>
    <w:p w14:paraId="3DE04F31">
      <w:pPr>
        <w:pStyle w:val="64"/>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64"/>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64"/>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67"/>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64"/>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64"/>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64"/>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64"/>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65"/>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65"/>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65"/>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64"/>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10584E89">
      <w:pPr>
        <w:pStyle w:val="64"/>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518" w:name="_Toc31574"/>
      <w:bookmarkStart w:id="519" w:name="_Toc32053"/>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518"/>
      <w:bookmarkEnd w:id="519"/>
    </w:p>
    <w:p w14:paraId="00359217">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68"/>
        <w:shd w:val="clear"/>
        <w:spacing w:line="360" w:lineRule="auto"/>
        <w:ind w:firstLine="506" w:firstLineChars="200"/>
        <w:jc w:val="left"/>
        <w:rPr>
          <w:rFonts w:hint="eastAsia" w:ascii="宋体" w:hAnsi="宋体" w:cs="宋体"/>
          <w:b/>
          <w:bCs/>
          <w:color w:val="auto"/>
          <w:spacing w:val="6"/>
          <w:kern w:val="0"/>
          <w:sz w:val="24"/>
          <w:szCs w:val="24"/>
          <w:highlight w:val="none"/>
          <w:shd w:val="clear" w:color="auto" w:fill="auto"/>
        </w:rPr>
      </w:pPr>
      <w:r>
        <w:rPr>
          <w:rFonts w:hint="eastAsia" w:ascii="宋体" w:hAnsi="宋体" w:cs="宋体"/>
          <w:b/>
          <w:bCs/>
          <w:color w:val="auto"/>
          <w:spacing w:val="6"/>
          <w:kern w:val="0"/>
          <w:sz w:val="24"/>
          <w:szCs w:val="24"/>
          <w:highlight w:val="none"/>
          <w:shd w:val="clear" w:color="auto" w:fill="auto"/>
        </w:rPr>
        <w:t>“信用中国”网站查询信息：</w:t>
      </w:r>
    </w:p>
    <w:p w14:paraId="424A8B06">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68"/>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68"/>
        <w:shd w:val="clear"/>
        <w:spacing w:line="360" w:lineRule="auto"/>
        <w:ind w:firstLine="759" w:firstLineChars="300"/>
        <w:jc w:val="left"/>
        <w:rPr>
          <w:rFonts w:hint="eastAsia" w:ascii="宋体" w:hAnsi="宋体" w:cs="宋体"/>
          <w:b/>
          <w:bCs/>
          <w:color w:val="auto"/>
          <w:spacing w:val="6"/>
          <w:kern w:val="0"/>
          <w:sz w:val="24"/>
          <w:szCs w:val="24"/>
          <w:highlight w:val="none"/>
          <w:shd w:val="clear" w:color="auto" w:fill="auto"/>
          <w:lang w:eastAsia="zh-CN"/>
        </w:rPr>
      </w:pPr>
      <w:r>
        <w:rPr>
          <w:rFonts w:hint="eastAsia" w:ascii="宋体" w:hAnsi="宋体" w:cs="宋体"/>
          <w:b/>
          <w:bCs/>
          <w:color w:val="auto"/>
          <w:spacing w:val="6"/>
          <w:kern w:val="0"/>
          <w:sz w:val="24"/>
          <w:szCs w:val="24"/>
          <w:highlight w:val="none"/>
          <w:shd w:val="clear" w:color="auto" w:fill="auto"/>
        </w:rPr>
        <w:t>“中国政府采购网”查询信息</w:t>
      </w:r>
      <w:r>
        <w:rPr>
          <w:rFonts w:hint="eastAsia" w:ascii="宋体" w:hAnsi="宋体" w:cs="宋体"/>
          <w:b/>
          <w:bCs/>
          <w:color w:val="auto"/>
          <w:spacing w:val="6"/>
          <w:kern w:val="0"/>
          <w:sz w:val="24"/>
          <w:szCs w:val="24"/>
          <w:highlight w:val="none"/>
          <w:shd w:val="clear" w:color="auto" w:fill="auto"/>
          <w:lang w:eastAsia="zh-CN"/>
        </w:rPr>
        <w:t>：</w:t>
      </w:r>
    </w:p>
    <w:p w14:paraId="0EBD0BE7">
      <w:pPr>
        <w:shd w:val="clear"/>
        <w:ind w:firstLine="720" w:firstLineChars="300"/>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color w:val="auto"/>
          <w:highlight w:val="none"/>
          <w:shd w:val="clear" w:color="auto" w:fill="auto"/>
          <w:lang w:val="en-US" w:eastAsia="zh-CN"/>
        </w:rPr>
      </w:pPr>
      <w:bookmarkStart w:id="520" w:name="_Toc1571"/>
      <w:r>
        <w:rPr>
          <w:rFonts w:hint="eastAsia"/>
          <w:color w:val="auto"/>
          <w:highlight w:val="none"/>
          <w:shd w:val="clear" w:color="auto" w:fill="auto"/>
          <w:lang w:val="en-US" w:eastAsia="zh-CN"/>
        </w:rPr>
        <w:br w:type="page"/>
      </w:r>
    </w:p>
    <w:bookmarkEnd w:id="520"/>
    <w:p w14:paraId="33E55E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21" w:name="_Toc109900336"/>
      <w:bookmarkStart w:id="522" w:name="_Toc109899917"/>
      <w:bookmarkStart w:id="523" w:name="_Toc155185930"/>
      <w:bookmarkStart w:id="524" w:name="_Toc163492923"/>
      <w:bookmarkStart w:id="525" w:name="_Toc109899498"/>
      <w:bookmarkStart w:id="526" w:name="_Toc140132840"/>
      <w:bookmarkStart w:id="527" w:name="_Toc17033"/>
      <w:bookmarkStart w:id="528" w:name="_Toc7114"/>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521"/>
      <w:bookmarkEnd w:id="522"/>
      <w:bookmarkEnd w:id="523"/>
      <w:bookmarkEnd w:id="524"/>
      <w:bookmarkEnd w:id="525"/>
      <w:bookmarkEnd w:id="526"/>
      <w:bookmarkStart w:id="529" w:name="_Toc155185931"/>
      <w:r>
        <w:rPr>
          <w:rFonts w:hint="eastAsia" w:eastAsia="宋体" w:asciiTheme="majorHAnsi" w:hAnsiTheme="majorHAnsi" w:cstheme="majorBidi"/>
          <w:b/>
          <w:bCs/>
          <w:color w:val="auto"/>
          <w:kern w:val="2"/>
          <w:sz w:val="28"/>
          <w:szCs w:val="28"/>
          <w:highlight w:val="none"/>
          <w:lang w:val="zh-CN" w:eastAsia="zh-CN" w:bidi="ar-SA"/>
        </w:rPr>
        <w:t>联合体协议书</w:t>
      </w:r>
      <w:bookmarkEnd w:id="529"/>
      <w:r>
        <w:rPr>
          <w:rFonts w:hint="eastAsia" w:ascii="宋体" w:hAnsi="宋体" w:eastAsia="宋体" w:cstheme="minorBidi"/>
          <w:b w:val="0"/>
          <w:bCs w:val="0"/>
          <w:color w:val="auto"/>
          <w:kern w:val="2"/>
          <w:sz w:val="28"/>
          <w:szCs w:val="28"/>
          <w:highlight w:val="none"/>
          <w:lang w:val="zh-CN" w:eastAsia="zh-CN" w:bidi="ar-SA"/>
        </w:rPr>
        <w:t>【如适用】</w:t>
      </w:r>
      <w:bookmarkEnd w:id="527"/>
      <w:bookmarkEnd w:id="528"/>
    </w:p>
    <w:p w14:paraId="39563C7F">
      <w:pPr>
        <w:snapToGrid w:val="0"/>
        <w:spacing w:line="360" w:lineRule="auto"/>
        <w:jc w:val="center"/>
        <w:outlineLvl w:val="9"/>
        <w:rPr>
          <w:rFonts w:hint="eastAsia" w:ascii="宋体" w:hAnsi="宋体" w:cs="宋体"/>
          <w:b/>
          <w:color w:val="auto"/>
          <w:kern w:val="0"/>
          <w:sz w:val="32"/>
          <w:szCs w:val="32"/>
          <w:highlight w:val="none"/>
        </w:rPr>
      </w:pPr>
    </w:p>
    <w:p w14:paraId="0BBE5457">
      <w:pPr>
        <w:snapToGrid w:val="0"/>
        <w:spacing w:line="360" w:lineRule="auto"/>
        <w:jc w:val="center"/>
        <w:outlineLvl w:val="9"/>
        <w:rPr>
          <w:rFonts w:hint="eastAsia" w:ascii="宋体" w:hAnsi="宋体" w:cs="宋体"/>
          <w:b/>
          <w:color w:val="auto"/>
          <w:kern w:val="0"/>
          <w:sz w:val="32"/>
          <w:szCs w:val="32"/>
          <w:highlight w:val="none"/>
        </w:rPr>
      </w:pPr>
      <w:bookmarkStart w:id="530" w:name="_Toc30743"/>
      <w:bookmarkStart w:id="531" w:name="_Toc6473"/>
      <w:bookmarkStart w:id="532" w:name="_Toc12924"/>
      <w:r>
        <w:rPr>
          <w:rFonts w:hint="eastAsia" w:ascii="宋体" w:hAnsi="宋体" w:cs="宋体"/>
          <w:b/>
          <w:color w:val="auto"/>
          <w:kern w:val="0"/>
          <w:sz w:val="32"/>
          <w:szCs w:val="32"/>
          <w:highlight w:val="none"/>
        </w:rPr>
        <w:t>联合体协议书</w:t>
      </w:r>
      <w:bookmarkEnd w:id="530"/>
      <w:bookmarkEnd w:id="531"/>
      <w:bookmarkEnd w:id="532"/>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w:t>
      </w:r>
      <w:r>
        <w:rPr>
          <w:rFonts w:hint="eastAsia" w:cs="宋体"/>
          <w:b/>
          <w:color w:val="auto"/>
          <w:sz w:val="24"/>
          <w:highlight w:val="none"/>
          <w:lang w:val="en-US" w:eastAsia="zh-CN"/>
        </w:rPr>
        <w:t>谈判响应</w:t>
      </w:r>
      <w:r>
        <w:rPr>
          <w:rFonts w:hint="eastAsia" w:ascii="宋体" w:hAnsi="宋体" w:cs="宋体"/>
          <w:b/>
          <w:color w:val="auto"/>
          <w:sz w:val="24"/>
          <w:highlight w:val="none"/>
        </w:rPr>
        <w:t>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w:t>
      </w:r>
      <w:r>
        <w:rPr>
          <w:rFonts w:hint="eastAsia" w:cs="宋体"/>
          <w:b/>
          <w:color w:val="auto"/>
          <w:sz w:val="24"/>
          <w:highlight w:val="none"/>
          <w:lang w:val="en-US" w:eastAsia="zh-CN"/>
        </w:rPr>
        <w:t>谈判响应</w:t>
      </w:r>
      <w:r>
        <w:rPr>
          <w:rFonts w:hint="eastAsia" w:ascii="宋体" w:hAnsi="宋体" w:cs="宋体"/>
          <w:b/>
          <w:color w:val="auto"/>
          <w:sz w:val="24"/>
          <w:highlight w:val="none"/>
        </w:rPr>
        <w:t>或者</w:t>
      </w:r>
      <w:r>
        <w:rPr>
          <w:rFonts w:hint="eastAsia" w:cs="宋体"/>
          <w:b/>
          <w:color w:val="auto"/>
          <w:sz w:val="24"/>
          <w:highlight w:val="none"/>
          <w:lang w:val="en-US" w:eastAsia="zh-CN"/>
        </w:rPr>
        <w:t>供应商</w:t>
      </w:r>
      <w:r>
        <w:rPr>
          <w:rFonts w:hint="eastAsia" w:ascii="宋体" w:hAnsi="宋体" w:cs="宋体"/>
          <w:b/>
          <w:color w:val="auto"/>
          <w:sz w:val="24"/>
          <w:highlight w:val="none"/>
        </w:rPr>
        <w:t>不以联合体形式</w:t>
      </w:r>
      <w:r>
        <w:rPr>
          <w:rFonts w:hint="eastAsia" w:cs="宋体"/>
          <w:b/>
          <w:color w:val="auto"/>
          <w:sz w:val="24"/>
          <w:highlight w:val="none"/>
          <w:lang w:val="en-US" w:eastAsia="zh-CN"/>
        </w:rPr>
        <w:t>谈判响应</w:t>
      </w:r>
      <w:r>
        <w:rPr>
          <w:rFonts w:hint="eastAsia" w:ascii="宋体" w:hAnsi="宋体" w:cs="宋体"/>
          <w:b/>
          <w:color w:val="auto"/>
          <w:sz w:val="24"/>
          <w:highlight w:val="none"/>
        </w:rPr>
        <w:t>的，则不需要提供）</w:t>
      </w:r>
    </w:p>
    <w:p w14:paraId="40230D62">
      <w:pPr>
        <w:snapToGrid w:val="0"/>
        <w:ind w:firstLine="576"/>
        <w:rPr>
          <w:rFonts w:ascii="宋体" w:hAnsi="宋体" w:cs="宋体"/>
          <w:color w:val="auto"/>
          <w:kern w:val="0"/>
          <w:sz w:val="24"/>
          <w:highlight w:val="none"/>
          <w:lang w:val="zh-CN"/>
        </w:rPr>
      </w:pPr>
      <w:r>
        <w:rPr>
          <w:rFonts w:hint="eastAsia" w:cs="宋体"/>
          <w:color w:val="auto"/>
          <w:kern w:val="0"/>
          <w:highlight w:val="none"/>
          <w:u w:val="single"/>
        </w:rPr>
        <w:t>（联合体所有成员名称）</w:t>
      </w:r>
      <w:r>
        <w:rPr>
          <w:rFonts w:hint="eastAsia" w:cs="宋体"/>
          <w:color w:val="auto"/>
          <w:kern w:val="0"/>
          <w:highlight w:val="none"/>
        </w:rPr>
        <w:t>自愿</w:t>
      </w:r>
      <w:r>
        <w:rPr>
          <w:rFonts w:hint="eastAsia" w:cs="宋体"/>
          <w:color w:val="auto"/>
          <w:kern w:val="0"/>
          <w:highlight w:val="none"/>
          <w:lang w:val="zh-CN"/>
        </w:rPr>
        <w:t>组成一个联合体，以一个</w:t>
      </w:r>
      <w:r>
        <w:rPr>
          <w:rFonts w:hint="eastAsia" w:cs="宋体"/>
          <w:color w:val="auto"/>
          <w:kern w:val="0"/>
          <w:highlight w:val="none"/>
        </w:rPr>
        <w:t>供应商</w:t>
      </w:r>
      <w:r>
        <w:rPr>
          <w:rFonts w:hint="eastAsia" w:cs="宋体"/>
          <w:color w:val="auto"/>
          <w:kern w:val="0"/>
          <w:highlight w:val="none"/>
          <w:lang w:val="zh-CN"/>
        </w:rPr>
        <w:t>的身份</w:t>
      </w:r>
      <w:r>
        <w:rPr>
          <w:rFonts w:hint="eastAsia" w:cs="宋体"/>
          <w:color w:val="auto"/>
          <w:kern w:val="0"/>
          <w:highlight w:val="none"/>
        </w:rPr>
        <w:t>参加</w:t>
      </w:r>
      <w:r>
        <w:rPr>
          <w:rFonts w:hint="eastAsia" w:cs="宋体"/>
          <w:color w:val="auto"/>
          <w:highlight w:val="none"/>
          <w:u w:val="single"/>
        </w:rPr>
        <w:t>（项目名称）</w:t>
      </w:r>
      <w:r>
        <w:rPr>
          <w:rFonts w:hint="eastAsia" w:cs="宋体"/>
          <w:color w:val="auto"/>
          <w:highlight w:val="none"/>
          <w:u w:val="single"/>
          <w:lang w:val="en-US" w:eastAsia="zh-CN"/>
        </w:rPr>
        <w:t xml:space="preserve">     </w:t>
      </w:r>
      <w:r>
        <w:rPr>
          <w:rFonts w:hint="eastAsia" w:cs="宋体"/>
          <w:color w:val="auto"/>
          <w:highlight w:val="none"/>
        </w:rPr>
        <w:t>【</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cs="宋体"/>
          <w:color w:val="auto"/>
          <w:highlight w:val="none"/>
        </w:rPr>
        <w:t>】</w:t>
      </w:r>
      <w:r>
        <w:rPr>
          <w:rFonts w:hint="eastAsia" w:cs="宋体"/>
          <w:color w:val="auto"/>
          <w:kern w:val="0"/>
          <w:highlight w:val="none"/>
          <w:lang w:val="en-US" w:eastAsia="zh-CN"/>
        </w:rPr>
        <w:t>谈判</w:t>
      </w:r>
      <w:r>
        <w:rPr>
          <w:rFonts w:hint="eastAsia" w:cs="宋体"/>
          <w:color w:val="auto"/>
          <w:kern w:val="0"/>
          <w:highlight w:val="none"/>
          <w:lang w:val="zh-CN"/>
        </w:rPr>
        <w:t xml:space="preserve">。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w:t>
      </w:r>
      <w:r>
        <w:rPr>
          <w:rFonts w:hint="eastAsia" w:cs="宋体"/>
          <w:color w:val="auto"/>
          <w:sz w:val="24"/>
          <w:highlight w:val="none"/>
          <w:lang w:val="en-US" w:eastAsia="zh-CN"/>
        </w:rPr>
        <w:t>谈判响应</w:t>
      </w:r>
      <w:r>
        <w:rPr>
          <w:rFonts w:hint="eastAsia" w:ascii="宋体" w:hAnsi="宋体" w:cs="宋体"/>
          <w:color w:val="auto"/>
          <w:sz w:val="24"/>
          <w:highlight w:val="none"/>
        </w:rPr>
        <w:t>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w:t>
      </w:r>
      <w:r>
        <w:rPr>
          <w:rFonts w:hint="eastAsia" w:ascii="宋体" w:hAnsi="宋体" w:cs="宋体"/>
          <w:color w:val="auto"/>
          <w:kern w:val="0"/>
          <w:sz w:val="24"/>
          <w:highlight w:val="none"/>
          <w:lang w:val="zh-CN" w:eastAsia="zh-CN"/>
        </w:rPr>
        <w:t>竞争性</w:t>
      </w:r>
      <w:r>
        <w:rPr>
          <w:rFonts w:hint="eastAsia" w:cs="宋体"/>
          <w:color w:val="auto"/>
          <w:kern w:val="0"/>
          <w:sz w:val="24"/>
          <w:highlight w:val="none"/>
          <w:lang w:val="en-US" w:eastAsia="zh-CN"/>
        </w:rPr>
        <w:t>谈判</w:t>
      </w:r>
      <w:r>
        <w:rPr>
          <w:rFonts w:hint="eastAsia" w:ascii="宋体" w:hAnsi="宋体" w:cs="宋体"/>
          <w:color w:val="auto"/>
          <w:kern w:val="0"/>
          <w:sz w:val="24"/>
          <w:highlight w:val="none"/>
          <w:lang w:val="zh-CN"/>
        </w:rPr>
        <w:t>文件规定及</w:t>
      </w:r>
      <w:r>
        <w:rPr>
          <w:rFonts w:hint="eastAsia" w:cs="宋体"/>
          <w:color w:val="auto"/>
          <w:kern w:val="0"/>
          <w:sz w:val="24"/>
          <w:highlight w:val="none"/>
          <w:lang w:val="en-US" w:eastAsia="zh-CN"/>
        </w:rPr>
        <w:t>响应</w:t>
      </w:r>
      <w:r>
        <w:rPr>
          <w:rFonts w:hint="eastAsia" w:ascii="宋体" w:hAnsi="宋体" w:cs="宋体"/>
          <w:color w:val="auto"/>
          <w:kern w:val="0"/>
          <w:sz w:val="24"/>
          <w:highlight w:val="none"/>
          <w:lang w:val="zh-CN"/>
        </w:rPr>
        <w:t>内容而对采购人、采购代理机构所作的任何合法承诺，包括书面澄清及相应等均对联合</w:t>
      </w:r>
      <w:r>
        <w:rPr>
          <w:rFonts w:hint="eastAsia" w:cs="宋体"/>
          <w:color w:val="auto"/>
          <w:kern w:val="0"/>
          <w:sz w:val="24"/>
          <w:highlight w:val="none"/>
          <w:lang w:val="en-US" w:eastAsia="zh-CN"/>
        </w:rPr>
        <w:t>谈判响应</w:t>
      </w:r>
      <w:r>
        <w:rPr>
          <w:rFonts w:hint="eastAsia" w:ascii="宋体" w:hAnsi="宋体" w:cs="宋体"/>
          <w:color w:val="auto"/>
          <w:kern w:val="0"/>
          <w:sz w:val="24"/>
          <w:highlight w:val="none"/>
          <w:lang w:val="zh-CN"/>
        </w:rPr>
        <w:t>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w:t>
      </w:r>
      <w:r>
        <w:rPr>
          <w:rFonts w:hint="eastAsia" w:cs="宋体"/>
          <w:color w:val="auto"/>
          <w:kern w:val="0"/>
          <w:sz w:val="24"/>
          <w:highlight w:val="none"/>
          <w:lang w:val="en-US" w:eastAsia="zh-CN"/>
        </w:rPr>
        <w:t>谈判响应</w:t>
      </w:r>
      <w:r>
        <w:rPr>
          <w:rFonts w:hint="eastAsia" w:ascii="宋体" w:hAnsi="宋体" w:cs="宋体"/>
          <w:color w:val="auto"/>
          <w:kern w:val="0"/>
          <w:sz w:val="24"/>
          <w:highlight w:val="none"/>
          <w:lang w:val="zh-CN"/>
        </w:rPr>
        <w:t>中，分工如下：</w:t>
      </w:r>
    </w:p>
    <w:p w14:paraId="5742291A">
      <w:pPr>
        <w:snapToGrid w:val="0"/>
        <w:spacing w:line="360" w:lineRule="auto"/>
        <w:ind w:firstLine="576"/>
        <w:rPr>
          <w:rFonts w:ascii="宋体" w:hAnsi="宋体" w:cs="宋体"/>
          <w:color w:val="auto"/>
          <w:kern w:val="0"/>
          <w:sz w:val="24"/>
          <w:highlight w:val="none"/>
          <w:lang w:val="zh-CN"/>
        </w:rPr>
      </w:pPr>
      <w:bookmarkStart w:id="533"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33"/>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w:t>
      </w:r>
      <w:r>
        <w:rPr>
          <w:rFonts w:hint="eastAsia" w:cs="宋体"/>
          <w:b/>
          <w:color w:val="auto"/>
          <w:kern w:val="0"/>
          <w:sz w:val="24"/>
          <w:highlight w:val="none"/>
          <w:lang w:val="en-US" w:eastAsia="zh-CN"/>
        </w:rPr>
        <w:t>谈判响应</w:t>
      </w:r>
      <w:r>
        <w:rPr>
          <w:rFonts w:hint="eastAsia" w:ascii="宋体" w:hAnsi="宋体" w:cs="宋体"/>
          <w:b/>
          <w:color w:val="auto"/>
          <w:kern w:val="0"/>
          <w:sz w:val="24"/>
          <w:highlight w:val="none"/>
          <w:lang w:val="zh-CN"/>
        </w:rPr>
        <w:t>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w:t>
      </w:r>
      <w:r>
        <w:rPr>
          <w:rFonts w:hint="eastAsia" w:cs="宋体"/>
          <w:b/>
          <w:color w:val="auto"/>
          <w:kern w:val="0"/>
          <w:sz w:val="24"/>
          <w:highlight w:val="none"/>
          <w:lang w:val="en-US" w:eastAsia="zh-CN"/>
        </w:rPr>
        <w:t>审</w:t>
      </w:r>
      <w:r>
        <w:rPr>
          <w:rFonts w:hint="eastAsia" w:ascii="宋体" w:hAnsi="宋体" w:cs="宋体"/>
          <w:b/>
          <w:color w:val="auto"/>
          <w:kern w:val="0"/>
          <w:sz w:val="24"/>
          <w:highlight w:val="none"/>
          <w:lang w:val="zh-CN"/>
        </w:rPr>
        <w:t>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w:t>
      </w:r>
      <w:r>
        <w:rPr>
          <w:rFonts w:hint="eastAsia" w:cs="宋体"/>
          <w:b/>
          <w:bCs/>
          <w:color w:val="auto"/>
          <w:sz w:val="24"/>
          <w:highlight w:val="none"/>
          <w:lang w:val="en-US" w:eastAsia="zh-CN"/>
        </w:rPr>
        <w:t>竞争性谈判</w:t>
      </w:r>
      <w:r>
        <w:rPr>
          <w:rFonts w:hint="eastAsia" w:ascii="宋体" w:hAnsi="宋体" w:cs="宋体"/>
          <w:b/>
          <w:bCs/>
          <w:color w:val="auto"/>
          <w:sz w:val="24"/>
          <w:highlight w:val="none"/>
        </w:rPr>
        <w:t>文件第一部分</w:t>
      </w:r>
      <w:r>
        <w:rPr>
          <w:rFonts w:hint="eastAsia" w:cs="宋体"/>
          <w:b/>
          <w:bCs/>
          <w:color w:val="auto"/>
          <w:sz w:val="24"/>
          <w:highlight w:val="none"/>
          <w:lang w:val="en-US" w:eastAsia="zh-CN"/>
        </w:rPr>
        <w:t>竞争性谈判</w:t>
      </w:r>
      <w:r>
        <w:rPr>
          <w:rFonts w:hint="eastAsia" w:ascii="宋体" w:hAnsi="宋体" w:cs="宋体"/>
          <w:b/>
          <w:bCs/>
          <w:color w:val="auto"/>
          <w:sz w:val="24"/>
          <w:highlight w:val="none"/>
        </w:rPr>
        <w:t>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w:t>
      </w:r>
      <w:r>
        <w:rPr>
          <w:rFonts w:hint="eastAsia" w:cs="宋体"/>
          <w:color w:val="auto"/>
          <w:kern w:val="0"/>
          <w:sz w:val="24"/>
          <w:highlight w:val="none"/>
          <w:lang w:val="en-US" w:eastAsia="zh-CN"/>
        </w:rPr>
        <w:t>成交</w:t>
      </w:r>
      <w:r>
        <w:rPr>
          <w:rFonts w:hint="eastAsia" w:ascii="宋体" w:hAnsi="宋体" w:cs="宋体"/>
          <w:color w:val="auto"/>
          <w:kern w:val="0"/>
          <w:sz w:val="24"/>
          <w:highlight w:val="none"/>
          <w:lang w:val="zh-CN"/>
        </w:rPr>
        <w:t>，</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w:t>
      </w:r>
      <w:r>
        <w:rPr>
          <w:rFonts w:hint="eastAsia" w:cs="宋体"/>
          <w:color w:val="auto"/>
          <w:kern w:val="0"/>
          <w:sz w:val="24"/>
          <w:highlight w:val="none"/>
          <w:lang w:val="en-US" w:eastAsia="zh-CN"/>
        </w:rPr>
        <w:t>谈判响应</w:t>
      </w:r>
      <w:r>
        <w:rPr>
          <w:rFonts w:hint="eastAsia" w:ascii="宋体" w:hAnsi="宋体" w:cs="宋体"/>
          <w:color w:val="auto"/>
          <w:kern w:val="0"/>
          <w:sz w:val="24"/>
          <w:highlight w:val="none"/>
          <w:lang w:val="zh-CN"/>
        </w:rPr>
        <w:t>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w:t>
      </w:r>
      <w:r>
        <w:rPr>
          <w:rFonts w:hint="eastAsia" w:cs="宋体"/>
          <w:color w:val="auto"/>
          <w:kern w:val="0"/>
          <w:sz w:val="24"/>
          <w:highlight w:val="none"/>
          <w:lang w:val="en-US" w:eastAsia="zh-CN"/>
        </w:rPr>
        <w:t>成交</w:t>
      </w:r>
      <w:r>
        <w:rPr>
          <w:rFonts w:hint="eastAsia" w:ascii="宋体" w:hAnsi="宋体" w:cs="宋体"/>
          <w:color w:val="auto"/>
          <w:kern w:val="0"/>
          <w:sz w:val="24"/>
          <w:highlight w:val="none"/>
          <w:lang w:val="zh-CN"/>
        </w:rPr>
        <w:t>，自本</w:t>
      </w:r>
      <w:r>
        <w:rPr>
          <w:rFonts w:hint="eastAsia" w:cs="宋体"/>
          <w:color w:val="auto"/>
          <w:kern w:val="0"/>
          <w:sz w:val="24"/>
          <w:highlight w:val="none"/>
          <w:lang w:val="en-US" w:eastAsia="zh-CN"/>
        </w:rPr>
        <w:t>响应文件</w:t>
      </w:r>
      <w:r>
        <w:rPr>
          <w:rFonts w:hint="eastAsia" w:ascii="宋体" w:hAnsi="宋体" w:cs="宋体"/>
          <w:color w:val="auto"/>
          <w:kern w:val="0"/>
          <w:sz w:val="24"/>
          <w:highlight w:val="none"/>
          <w:lang w:val="zh-CN"/>
        </w:rPr>
        <w:t>有效期结束后自行失效；若</w:t>
      </w:r>
      <w:r>
        <w:rPr>
          <w:rFonts w:hint="eastAsia" w:cs="宋体"/>
          <w:color w:val="auto"/>
          <w:kern w:val="0"/>
          <w:sz w:val="24"/>
          <w:highlight w:val="none"/>
          <w:lang w:val="en-US" w:eastAsia="zh-CN"/>
        </w:rPr>
        <w:t>成交</w:t>
      </w:r>
      <w:r>
        <w:rPr>
          <w:rFonts w:hint="eastAsia" w:ascii="宋体" w:hAnsi="宋体" w:cs="宋体"/>
          <w:color w:val="auto"/>
          <w:kern w:val="0"/>
          <w:sz w:val="24"/>
          <w:highlight w:val="none"/>
          <w:lang w:val="zh-CN"/>
        </w:rPr>
        <w:t>，自合同书规定的期限之后自行失效。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outlineLvl w:val="9"/>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名称(公章)：</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名称(公章)：</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7512156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34" w:name="_Toc162299566"/>
      <w:bookmarkStart w:id="535" w:name="_Toc15286"/>
      <w:bookmarkStart w:id="536" w:name="_Toc30924"/>
      <w:bookmarkStart w:id="537" w:name="_Toc156490356"/>
      <w:bookmarkStart w:id="538" w:name="_Hlk101169080"/>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534"/>
      <w:bookmarkEnd w:id="535"/>
      <w:bookmarkEnd w:id="536"/>
      <w:bookmarkEnd w:id="537"/>
    </w:p>
    <w:p w14:paraId="72EF9FB2">
      <w:pPr>
        <w:snapToGrid w:val="0"/>
        <w:spacing w:line="360" w:lineRule="auto"/>
        <w:jc w:val="center"/>
        <w:outlineLvl w:val="9"/>
        <w:rPr>
          <w:rFonts w:hint="eastAsia" w:ascii="宋体" w:hAnsi="宋体" w:cs="宋体"/>
          <w:b/>
          <w:color w:val="auto"/>
          <w:kern w:val="0"/>
          <w:sz w:val="32"/>
          <w:szCs w:val="32"/>
          <w:highlight w:val="none"/>
        </w:rPr>
      </w:pPr>
    </w:p>
    <w:p w14:paraId="3CEAA822">
      <w:pPr>
        <w:snapToGrid w:val="0"/>
        <w:spacing w:line="360" w:lineRule="auto"/>
        <w:jc w:val="center"/>
        <w:outlineLvl w:val="9"/>
        <w:rPr>
          <w:rFonts w:hint="eastAsia" w:ascii="宋体" w:hAnsi="宋体" w:eastAsia="宋体" w:cs="宋体"/>
          <w:b/>
          <w:color w:val="auto"/>
          <w:kern w:val="0"/>
          <w:sz w:val="32"/>
          <w:szCs w:val="32"/>
          <w:highlight w:val="none"/>
          <w:lang w:val="en-US" w:eastAsia="zh-CN"/>
        </w:rPr>
      </w:pPr>
      <w:bookmarkStart w:id="539" w:name="_Toc30787"/>
      <w:bookmarkStart w:id="540" w:name="_Toc19341"/>
      <w:bookmarkStart w:id="541" w:name="_Toc24335"/>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539"/>
      <w:bookmarkEnd w:id="540"/>
      <w:bookmarkEnd w:id="541"/>
    </w:p>
    <w:p w14:paraId="4E9F0BF4">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cs="宋体"/>
          <w:b/>
          <w:color w:val="auto"/>
          <w:sz w:val="24"/>
          <w:highlight w:val="none"/>
          <w:lang w:val="en-US" w:eastAsia="zh-CN"/>
        </w:rPr>
        <w:t>成交</w:t>
      </w:r>
      <w:r>
        <w:rPr>
          <w:rFonts w:hint="eastAsia" w:ascii="宋体" w:hAnsi="宋体" w:cs="宋体"/>
          <w:b/>
          <w:color w:val="auto"/>
          <w:sz w:val="24"/>
          <w:highlight w:val="none"/>
        </w:rPr>
        <w:t>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w:t>
      </w:r>
      <w:r>
        <w:rPr>
          <w:rFonts w:hint="eastAsia" w:cs="宋体"/>
          <w:b/>
          <w:color w:val="auto"/>
          <w:sz w:val="24"/>
          <w:highlight w:val="none"/>
          <w:lang w:val="en-US" w:eastAsia="zh-CN"/>
        </w:rPr>
        <w:t>供应商成交</w:t>
      </w:r>
      <w:r>
        <w:rPr>
          <w:rFonts w:hint="eastAsia" w:ascii="宋体" w:hAnsi="宋体" w:cs="宋体"/>
          <w:b/>
          <w:color w:val="auto"/>
          <w:sz w:val="24"/>
          <w:highlight w:val="none"/>
        </w:rPr>
        <w:t>后不以分包方式履行合同的，则不需要提供。</w:t>
      </w:r>
      <w:r>
        <w:rPr>
          <w:rFonts w:hint="eastAsia" w:ascii="宋体" w:hAnsi="宋体" w:cs="宋体"/>
          <w:color w:val="auto"/>
          <w:sz w:val="24"/>
          <w:highlight w:val="none"/>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w:t>
      </w:r>
      <w:r>
        <w:rPr>
          <w:rFonts w:hint="eastAsia" w:cs="宋体"/>
          <w:color w:val="auto"/>
          <w:kern w:val="0"/>
          <w:sz w:val="24"/>
          <w:highlight w:val="none"/>
          <w:u w:val="single"/>
          <w:lang w:val="en-US" w:eastAsia="zh-CN"/>
        </w:rPr>
        <w:t>供应商</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u w:val="single"/>
        </w:rPr>
        <w:t>（项目名称）</w:t>
      </w:r>
      <w:r>
        <w:rPr>
          <w:rFonts w:hint="eastAsia"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w:t>
      </w:r>
      <w:r>
        <w:rPr>
          <w:rFonts w:hint="eastAsia" w:cs="宋体"/>
          <w:color w:val="auto"/>
          <w:kern w:val="0"/>
          <w:sz w:val="24"/>
          <w:highlight w:val="none"/>
          <w:lang w:val="en-US" w:eastAsia="zh-CN"/>
        </w:rPr>
        <w:t>成交</w:t>
      </w:r>
      <w:r>
        <w:rPr>
          <w:rFonts w:hint="eastAsia" w:ascii="宋体" w:hAnsi="宋体" w:cs="宋体"/>
          <w:color w:val="auto"/>
          <w:kern w:val="0"/>
          <w:sz w:val="24"/>
          <w:highlight w:val="none"/>
          <w:lang w:val="zh-CN"/>
        </w:rPr>
        <w:t>供应商，将依法采取分包方式履行合同。</w:t>
      </w:r>
      <w:r>
        <w:rPr>
          <w:rFonts w:hint="eastAsia" w:ascii="宋体" w:hAnsi="宋体" w:cs="宋体"/>
          <w:color w:val="auto"/>
          <w:kern w:val="0"/>
          <w:sz w:val="24"/>
          <w:highlight w:val="none"/>
          <w:u w:val="single"/>
        </w:rPr>
        <w:t>（</w:t>
      </w:r>
      <w:r>
        <w:rPr>
          <w:rFonts w:hint="eastAsia" w:cs="宋体"/>
          <w:color w:val="auto"/>
          <w:kern w:val="0"/>
          <w:sz w:val="24"/>
          <w:highlight w:val="none"/>
          <w:u w:val="single"/>
          <w:lang w:val="en-US" w:eastAsia="zh-CN"/>
        </w:rPr>
        <w:t>供应商</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w:t>
      </w:r>
      <w:r>
        <w:rPr>
          <w:rFonts w:hint="eastAsia" w:cs="宋体"/>
          <w:color w:val="auto"/>
          <w:kern w:val="0"/>
          <w:sz w:val="24"/>
          <w:highlight w:val="none"/>
          <w:u w:val="single"/>
          <w:lang w:val="en-US" w:eastAsia="zh-CN"/>
        </w:rPr>
        <w:t>供应商</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tabs>
          <w:tab w:val="left" w:pos="432"/>
        </w:tabs>
        <w:ind w:left="758" w:leftChars="316" w:firstLine="228" w:firstLineChars="95"/>
        <w:outlineLvl w:val="9"/>
        <w:rPr>
          <w:rFonts w:ascii="宋体" w:hAnsi="宋体" w:eastAsia="宋体" w:cs="宋体"/>
          <w:color w:val="auto"/>
          <w:kern w:val="0"/>
          <w:sz w:val="24"/>
          <w:szCs w:val="24"/>
          <w:highlight w:val="none"/>
        </w:rPr>
      </w:pPr>
      <w:bookmarkStart w:id="542" w:name="_Toc30204"/>
      <w:bookmarkStart w:id="543" w:name="_Toc1032"/>
      <w:bookmarkStart w:id="544" w:name="_Toc7973"/>
      <w:r>
        <w:rPr>
          <w:rFonts w:hint="eastAsia" w:ascii="宋体" w:hAnsi="宋体" w:eastAsia="宋体" w:cs="宋体"/>
          <w:color w:val="auto"/>
          <w:kern w:val="0"/>
          <w:sz w:val="24"/>
          <w:szCs w:val="24"/>
          <w:highlight w:val="none"/>
        </w:rPr>
        <w:t>……</w:t>
      </w:r>
      <w:bookmarkEnd w:id="542"/>
      <w:bookmarkEnd w:id="543"/>
      <w:bookmarkEnd w:id="54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w:t>
      </w:r>
      <w:r>
        <w:rPr>
          <w:rFonts w:hint="eastAsia" w:cs="宋体"/>
          <w:b/>
          <w:color w:val="auto"/>
          <w:kern w:val="0"/>
          <w:sz w:val="24"/>
          <w:highlight w:val="none"/>
          <w:lang w:val="en-US" w:eastAsia="zh-CN"/>
        </w:rPr>
        <w:t>审</w:t>
      </w:r>
      <w:r>
        <w:rPr>
          <w:rFonts w:hint="eastAsia" w:ascii="宋体" w:hAnsi="宋体" w:cs="宋体"/>
          <w:b/>
          <w:color w:val="auto"/>
          <w:kern w:val="0"/>
          <w:sz w:val="24"/>
          <w:highlight w:val="none"/>
          <w:lang w:val="zh-CN"/>
        </w:rPr>
        <w:t>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4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w:t>
      </w:r>
      <w:r>
        <w:rPr>
          <w:rFonts w:hint="eastAsia" w:cs="宋体"/>
          <w:b/>
          <w:bCs/>
          <w:color w:val="auto"/>
          <w:sz w:val="24"/>
          <w:highlight w:val="none"/>
          <w:lang w:val="en-US" w:eastAsia="zh-CN"/>
        </w:rPr>
        <w:t>谈判</w:t>
      </w:r>
      <w:r>
        <w:rPr>
          <w:rFonts w:hint="eastAsia" w:ascii="宋体" w:hAnsi="宋体" w:cs="宋体"/>
          <w:b/>
          <w:bCs/>
          <w:color w:val="auto"/>
          <w:sz w:val="24"/>
          <w:highlight w:val="none"/>
        </w:rPr>
        <w:t>文件第一部分</w:t>
      </w:r>
      <w:r>
        <w:rPr>
          <w:rFonts w:hint="eastAsia" w:cs="宋体"/>
          <w:b/>
          <w:bCs/>
          <w:color w:val="auto"/>
          <w:sz w:val="24"/>
          <w:highlight w:val="none"/>
          <w:lang w:val="en-US" w:eastAsia="zh-CN"/>
        </w:rPr>
        <w:t>竞争性谈判</w:t>
      </w:r>
      <w:r>
        <w:rPr>
          <w:rFonts w:hint="eastAsia" w:ascii="宋体" w:hAnsi="宋体" w:cs="宋体"/>
          <w:b/>
          <w:bCs/>
          <w:color w:val="auto"/>
          <w:sz w:val="24"/>
          <w:highlight w:val="none"/>
        </w:rPr>
        <w:t>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54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分包供应商名称(公章)：</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538"/>
    <w:p w14:paraId="5775F461">
      <w:pPr>
        <w:ind w:left="2520" w:leftChars="1050"/>
        <w:rPr>
          <w:color w:val="auto"/>
          <w:highlight w:val="none"/>
        </w:rPr>
      </w:pPr>
      <w:r>
        <w:rPr>
          <w:rFonts w:cs="Courier New"/>
          <w:color w:val="auto"/>
          <w:szCs w:val="24"/>
          <w:highlight w:val="none"/>
        </w:rPr>
        <w:br w:type="page"/>
      </w:r>
    </w:p>
    <w:p w14:paraId="27442EE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46" w:name="_Toc163492926"/>
      <w:bookmarkStart w:id="547" w:name="_Toc155185932"/>
      <w:bookmarkStart w:id="548" w:name="_Toc18930"/>
      <w:bookmarkStart w:id="549" w:name="_Toc21866"/>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546"/>
      <w:bookmarkEnd w:id="547"/>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548"/>
      <w:bookmarkEnd w:id="549"/>
    </w:p>
    <w:p w14:paraId="0BDCE4AB">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50" w:name="_Toc2471"/>
      <w:bookmarkStart w:id="551" w:name="_Toc1634929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550"/>
      <w:bookmarkEnd w:id="551"/>
    </w:p>
    <w:p w14:paraId="738C7A23">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74728550">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D7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CF36A0">
            <w:pPr>
              <w:pStyle w:val="45"/>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54C6998">
            <w:pPr>
              <w:pStyle w:val="45"/>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BB5F633">
            <w:pPr>
              <w:pStyle w:val="45"/>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5539A93">
            <w:pPr>
              <w:pStyle w:val="45"/>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DDEEF99">
            <w:pPr>
              <w:pStyle w:val="45"/>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F9D9ED4">
            <w:pPr>
              <w:pStyle w:val="45"/>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6E5422B">
            <w:pPr>
              <w:pStyle w:val="45"/>
              <w:jc w:val="center"/>
              <w:rPr>
                <w:color w:val="auto"/>
                <w:sz w:val="21"/>
                <w:szCs w:val="21"/>
                <w:highlight w:val="none"/>
              </w:rPr>
            </w:pPr>
            <w:r>
              <w:rPr>
                <w:rFonts w:hint="eastAsia"/>
                <w:color w:val="auto"/>
                <w:sz w:val="21"/>
                <w:szCs w:val="21"/>
                <w:highlight w:val="none"/>
              </w:rPr>
              <w:t>单价</w:t>
            </w:r>
          </w:p>
          <w:p w14:paraId="4D8AC9C4">
            <w:pPr>
              <w:pStyle w:val="45"/>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14FB4B3">
            <w:pPr>
              <w:pStyle w:val="45"/>
              <w:jc w:val="center"/>
              <w:rPr>
                <w:color w:val="auto"/>
                <w:sz w:val="21"/>
                <w:szCs w:val="21"/>
                <w:highlight w:val="none"/>
              </w:rPr>
            </w:pPr>
            <w:r>
              <w:rPr>
                <w:rFonts w:hint="eastAsia"/>
                <w:color w:val="auto"/>
                <w:sz w:val="21"/>
                <w:szCs w:val="21"/>
                <w:highlight w:val="none"/>
              </w:rPr>
              <w:t>总价</w:t>
            </w:r>
          </w:p>
          <w:p w14:paraId="4637FB3E">
            <w:pPr>
              <w:pStyle w:val="45"/>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113D7A">
            <w:pPr>
              <w:pStyle w:val="45"/>
              <w:jc w:val="center"/>
              <w:rPr>
                <w:color w:val="auto"/>
                <w:sz w:val="21"/>
                <w:szCs w:val="21"/>
                <w:highlight w:val="none"/>
              </w:rPr>
            </w:pPr>
            <w:r>
              <w:rPr>
                <w:rFonts w:hint="eastAsia"/>
                <w:color w:val="auto"/>
                <w:sz w:val="21"/>
                <w:szCs w:val="21"/>
                <w:highlight w:val="none"/>
              </w:rPr>
              <w:t>属强制采购或优先采购</w:t>
            </w:r>
          </w:p>
        </w:tc>
      </w:tr>
      <w:tr w14:paraId="18D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B8E6D">
            <w:pPr>
              <w:pStyle w:val="45"/>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32E04E">
            <w:pPr>
              <w:pStyle w:val="45"/>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CDFCC5">
            <w:pPr>
              <w:pStyle w:val="4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A4E845A">
            <w:pPr>
              <w:pStyle w:val="4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348699">
            <w:pPr>
              <w:pStyle w:val="4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EBECC8">
            <w:pPr>
              <w:pStyle w:val="4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782F642">
            <w:pPr>
              <w:pStyle w:val="4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ADA19A">
            <w:pPr>
              <w:pStyle w:val="4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BC80F3F">
            <w:pPr>
              <w:pStyle w:val="45"/>
              <w:jc w:val="center"/>
              <w:rPr>
                <w:color w:val="auto"/>
                <w:sz w:val="21"/>
                <w:szCs w:val="21"/>
                <w:highlight w:val="none"/>
              </w:rPr>
            </w:pPr>
          </w:p>
        </w:tc>
      </w:tr>
      <w:tr w14:paraId="13A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9443BF">
            <w:pPr>
              <w:pStyle w:val="45"/>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B1FB35">
            <w:pPr>
              <w:pStyle w:val="45"/>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19D569">
            <w:pPr>
              <w:pStyle w:val="4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AEC486">
            <w:pPr>
              <w:pStyle w:val="4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46AFD5">
            <w:pPr>
              <w:pStyle w:val="4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9C65DA">
            <w:pPr>
              <w:pStyle w:val="4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1B3EB9">
            <w:pPr>
              <w:pStyle w:val="4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94FDF6">
            <w:pPr>
              <w:pStyle w:val="4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C379112">
            <w:pPr>
              <w:pStyle w:val="45"/>
              <w:jc w:val="center"/>
              <w:rPr>
                <w:color w:val="auto"/>
                <w:sz w:val="21"/>
                <w:szCs w:val="21"/>
                <w:highlight w:val="none"/>
              </w:rPr>
            </w:pPr>
          </w:p>
        </w:tc>
      </w:tr>
      <w:tr w14:paraId="1A3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4FA40F">
            <w:pPr>
              <w:pStyle w:val="45"/>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87F5988">
            <w:pPr>
              <w:pStyle w:val="45"/>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90E1A28">
            <w:pPr>
              <w:pStyle w:val="4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A0864AE">
            <w:pPr>
              <w:pStyle w:val="4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C9F1D0">
            <w:pPr>
              <w:pStyle w:val="4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686AC29">
            <w:pPr>
              <w:pStyle w:val="4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43A306">
            <w:pPr>
              <w:pStyle w:val="4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A6317B8">
            <w:pPr>
              <w:pStyle w:val="4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E24D072">
            <w:pPr>
              <w:pStyle w:val="45"/>
              <w:jc w:val="center"/>
              <w:rPr>
                <w:color w:val="auto"/>
                <w:sz w:val="21"/>
                <w:szCs w:val="21"/>
                <w:highlight w:val="none"/>
              </w:rPr>
            </w:pPr>
          </w:p>
        </w:tc>
      </w:tr>
    </w:tbl>
    <w:p w14:paraId="2831E0BE">
      <w:pPr>
        <w:spacing w:line="300" w:lineRule="auto"/>
        <w:rPr>
          <w:rFonts w:ascii="Arial" w:hAnsi="Arial" w:cs="Arial"/>
          <w:color w:val="auto"/>
          <w:szCs w:val="21"/>
          <w:highlight w:val="none"/>
        </w:rPr>
      </w:pPr>
    </w:p>
    <w:p w14:paraId="60D44E3F">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2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131EF">
            <w:pPr>
              <w:pStyle w:val="45"/>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75546E">
            <w:pPr>
              <w:pStyle w:val="45"/>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8807FE9">
            <w:pPr>
              <w:pStyle w:val="45"/>
              <w:jc w:val="center"/>
              <w:rPr>
                <w:color w:val="auto"/>
                <w:sz w:val="21"/>
                <w:szCs w:val="21"/>
                <w:highlight w:val="none"/>
              </w:rPr>
            </w:pPr>
            <w:r>
              <w:rPr>
                <w:rFonts w:hint="eastAsia"/>
                <w:color w:val="auto"/>
                <w:sz w:val="21"/>
                <w:szCs w:val="21"/>
                <w:highlight w:val="none"/>
              </w:rPr>
              <w:t>制造商</w:t>
            </w:r>
          </w:p>
          <w:p w14:paraId="6871D586">
            <w:pPr>
              <w:pStyle w:val="45"/>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3CB73BC">
            <w:pPr>
              <w:pStyle w:val="45"/>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6FFC544">
            <w:pPr>
              <w:pStyle w:val="45"/>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67CEFC8">
            <w:pPr>
              <w:pStyle w:val="45"/>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7A87868">
            <w:pPr>
              <w:pStyle w:val="45"/>
              <w:jc w:val="center"/>
              <w:rPr>
                <w:color w:val="auto"/>
                <w:sz w:val="21"/>
                <w:szCs w:val="21"/>
                <w:highlight w:val="none"/>
              </w:rPr>
            </w:pPr>
            <w:r>
              <w:rPr>
                <w:rFonts w:hint="eastAsia"/>
                <w:color w:val="auto"/>
                <w:sz w:val="21"/>
                <w:szCs w:val="21"/>
                <w:highlight w:val="none"/>
              </w:rPr>
              <w:t>单价</w:t>
            </w:r>
          </w:p>
          <w:p w14:paraId="09FBCB92">
            <w:pPr>
              <w:pStyle w:val="45"/>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A825EE6">
            <w:pPr>
              <w:pStyle w:val="45"/>
              <w:jc w:val="center"/>
              <w:rPr>
                <w:color w:val="auto"/>
                <w:sz w:val="21"/>
                <w:szCs w:val="21"/>
                <w:highlight w:val="none"/>
              </w:rPr>
            </w:pPr>
            <w:r>
              <w:rPr>
                <w:rFonts w:hint="eastAsia"/>
                <w:color w:val="auto"/>
                <w:sz w:val="21"/>
                <w:szCs w:val="21"/>
                <w:highlight w:val="none"/>
              </w:rPr>
              <w:t>总价</w:t>
            </w:r>
          </w:p>
          <w:p w14:paraId="33CDE01B">
            <w:pPr>
              <w:pStyle w:val="45"/>
              <w:jc w:val="center"/>
              <w:rPr>
                <w:color w:val="auto"/>
                <w:sz w:val="21"/>
                <w:szCs w:val="21"/>
                <w:highlight w:val="none"/>
              </w:rPr>
            </w:pPr>
            <w:r>
              <w:rPr>
                <w:rFonts w:hint="eastAsia"/>
                <w:color w:val="auto"/>
                <w:sz w:val="21"/>
                <w:szCs w:val="21"/>
                <w:highlight w:val="none"/>
              </w:rPr>
              <w:t>（万元）</w:t>
            </w:r>
          </w:p>
        </w:tc>
      </w:tr>
      <w:tr w14:paraId="730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FF683B">
            <w:pPr>
              <w:pStyle w:val="45"/>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A116FE">
            <w:pPr>
              <w:pStyle w:val="45"/>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37EAFD8">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8B80C">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6C9D21">
            <w:pPr>
              <w:pStyle w:val="4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E01E2C">
            <w:pPr>
              <w:pStyle w:val="4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BB7355">
            <w:pPr>
              <w:pStyle w:val="4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0014CA">
            <w:pPr>
              <w:pStyle w:val="45"/>
              <w:jc w:val="center"/>
              <w:rPr>
                <w:color w:val="auto"/>
                <w:sz w:val="21"/>
                <w:szCs w:val="21"/>
                <w:highlight w:val="none"/>
              </w:rPr>
            </w:pPr>
          </w:p>
        </w:tc>
      </w:tr>
      <w:tr w14:paraId="7D1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E9564A">
            <w:pPr>
              <w:pStyle w:val="45"/>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E2EB56">
            <w:pPr>
              <w:pStyle w:val="45"/>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8C31A9">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0A4A93">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DA7E15">
            <w:pPr>
              <w:pStyle w:val="4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037ECDB">
            <w:pPr>
              <w:pStyle w:val="4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3BD0E45">
            <w:pPr>
              <w:pStyle w:val="4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0710D8">
            <w:pPr>
              <w:pStyle w:val="45"/>
              <w:jc w:val="center"/>
              <w:rPr>
                <w:color w:val="auto"/>
                <w:sz w:val="21"/>
                <w:szCs w:val="21"/>
                <w:highlight w:val="none"/>
              </w:rPr>
            </w:pPr>
          </w:p>
        </w:tc>
      </w:tr>
      <w:tr w14:paraId="7AC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31B4FC">
            <w:pPr>
              <w:pStyle w:val="45"/>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83E45D">
            <w:pPr>
              <w:pStyle w:val="45"/>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13CA41C">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53DA88">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E0615D">
            <w:pPr>
              <w:pStyle w:val="4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4A069">
            <w:pPr>
              <w:pStyle w:val="4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5BE9E4">
            <w:pPr>
              <w:pStyle w:val="4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910C53">
            <w:pPr>
              <w:pStyle w:val="45"/>
              <w:jc w:val="center"/>
              <w:rPr>
                <w:color w:val="auto"/>
                <w:sz w:val="21"/>
                <w:szCs w:val="21"/>
                <w:highlight w:val="none"/>
              </w:rPr>
            </w:pPr>
          </w:p>
        </w:tc>
      </w:tr>
    </w:tbl>
    <w:p w14:paraId="141E07B3">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w:t>
      </w:r>
      <w:r>
        <w:rPr>
          <w:rFonts w:hint="eastAsia" w:ascii="Arial" w:hAnsi="Arial" w:cs="Arial"/>
          <w:b/>
          <w:color w:val="auto"/>
          <w:sz w:val="21"/>
          <w:szCs w:val="21"/>
          <w:highlight w:val="none"/>
          <w:lang w:val="en-US" w:eastAsia="zh-CN"/>
        </w:rPr>
        <w:t>供应商</w:t>
      </w:r>
      <w:r>
        <w:rPr>
          <w:rFonts w:hint="eastAsia" w:ascii="Arial" w:hAnsi="Arial" w:cs="Arial"/>
          <w:b/>
          <w:color w:val="auto"/>
          <w:sz w:val="21"/>
          <w:szCs w:val="21"/>
          <w:highlight w:val="none"/>
        </w:rPr>
        <w:t>应将所投产品中节能、环保产品分别列入上表中，并按本</w:t>
      </w:r>
      <w:r>
        <w:rPr>
          <w:rFonts w:hint="eastAsia" w:ascii="Arial" w:hAnsi="Arial" w:cs="Arial"/>
          <w:b/>
          <w:color w:val="auto"/>
          <w:sz w:val="21"/>
          <w:szCs w:val="21"/>
          <w:highlight w:val="none"/>
          <w:lang w:val="en-US" w:eastAsia="zh-CN"/>
        </w:rPr>
        <w:t>竞争性谈判</w:t>
      </w:r>
      <w:r>
        <w:rPr>
          <w:rFonts w:hint="eastAsia" w:ascii="Arial" w:hAnsi="Arial" w:cs="Arial"/>
          <w:b/>
          <w:color w:val="auto"/>
          <w:sz w:val="21"/>
          <w:szCs w:val="21"/>
          <w:highlight w:val="none"/>
        </w:rPr>
        <w:t>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供应商须知”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0BA1A982">
      <w:pP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en-US" w:eastAsia="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p>
    <w:p w14:paraId="3068A70D">
      <w:pPr>
        <w:ind w:firstLine="5520" w:firstLineChars="2300"/>
        <w:rPr>
          <w:rFonts w:ascii="Arial" w:hAnsi="Arial" w:cs="Arial"/>
          <w:color w:val="auto"/>
          <w:szCs w:val="21"/>
          <w:highlight w:val="none"/>
        </w:rPr>
      </w:pPr>
      <w:r>
        <w:rPr>
          <w:rFonts w:ascii="Arial" w:hAnsi="Arial" w:cs="Arial"/>
          <w:color w:val="auto"/>
          <w:szCs w:val="21"/>
          <w:highlight w:val="none"/>
        </w:rPr>
        <w:t>日期：</w:t>
      </w:r>
    </w:p>
    <w:p w14:paraId="70617D68">
      <w:pPr>
        <w:rPr>
          <w:rFonts w:ascii="Arial" w:hAnsi="Arial" w:cs="Arial"/>
          <w:color w:val="auto"/>
          <w:szCs w:val="21"/>
          <w:highlight w:val="none"/>
        </w:rPr>
      </w:pPr>
      <w:r>
        <w:rPr>
          <w:rFonts w:ascii="Arial" w:hAnsi="Arial" w:cs="Arial"/>
          <w:color w:val="auto"/>
          <w:szCs w:val="21"/>
          <w:highlight w:val="none"/>
        </w:rPr>
        <w:br w:type="page"/>
      </w:r>
    </w:p>
    <w:p w14:paraId="711C0C58">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552" w:name="_Toc8309"/>
      <w:bookmarkStart w:id="553" w:name="_Toc163492939"/>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552"/>
      <w:bookmarkEnd w:id="553"/>
    </w:p>
    <w:p w14:paraId="17DF8322">
      <w:pPr>
        <w:pStyle w:val="38"/>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31EF7E02">
      <w:pPr>
        <w:pStyle w:val="38"/>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w:t>
      </w:r>
      <w:r>
        <w:rPr>
          <w:rFonts w:hint="eastAsia" w:cs="宋体"/>
          <w:color w:val="auto"/>
          <w:spacing w:val="6"/>
          <w:szCs w:val="24"/>
          <w:highlight w:val="none"/>
          <w:lang w:val="en-US" w:eastAsia="zh-CN"/>
        </w:rPr>
        <w:t>书</w:t>
      </w:r>
      <w:r>
        <w:rPr>
          <w:rFonts w:hint="eastAsia" w:cs="宋体"/>
          <w:color w:val="auto"/>
          <w:spacing w:val="6"/>
          <w:szCs w:val="24"/>
          <w:highlight w:val="none"/>
        </w:rPr>
        <w:t>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080" w:firstLineChars="1700"/>
        <w:rPr>
          <w:rFonts w:cs="宋体"/>
          <w:color w:val="auto"/>
          <w:spacing w:val="6"/>
          <w:szCs w:val="24"/>
          <w:highlight w:val="none"/>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645259F9">
      <w:pPr>
        <w:ind w:firstLine="446" w:firstLineChars="200"/>
        <w:rPr>
          <w:rFonts w:hint="eastAsia"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ADE189F">
      <w:pPr>
        <w:rPr>
          <w:rFonts w:hint="eastAsia" w:cs="宋体"/>
          <w:color w:val="auto"/>
          <w:spacing w:val="6"/>
          <w:sz w:val="24"/>
          <w:szCs w:val="24"/>
          <w:highlight w:val="none"/>
        </w:rPr>
      </w:pPr>
    </w:p>
    <w:p w14:paraId="4C098FFB">
      <w:pPr>
        <w:rPr>
          <w:rFonts w:hint="eastAsia" w:cs="宋体"/>
          <w:color w:val="auto"/>
          <w:spacing w:val="6"/>
          <w:sz w:val="24"/>
          <w:szCs w:val="24"/>
          <w:highlight w:val="none"/>
        </w:rPr>
      </w:pPr>
    </w:p>
    <w:p w14:paraId="3C73BF63">
      <w:pPr>
        <w:rPr>
          <w:rFonts w:hint="eastAsia" w:cs="宋体"/>
          <w:color w:val="auto"/>
          <w:spacing w:val="6"/>
          <w:sz w:val="24"/>
          <w:szCs w:val="24"/>
          <w:highlight w:val="none"/>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006C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0A0B18BB">
      <w:pPr>
        <w:keepNext w:val="0"/>
        <w:keepLines w:val="0"/>
        <w:widowControl/>
        <w:suppressLineNumbers w:val="0"/>
        <w:ind w:firstLine="562" w:firstLineChars="200"/>
        <w:jc w:val="left"/>
        <w:rPr>
          <w:rStyle w:val="31"/>
          <w:rFonts w:hint="eastAsia" w:ascii="宋体" w:hAnsi="宋体" w:eastAsia="宋体" w:cs="宋体"/>
          <w:color w:val="auto"/>
          <w:kern w:val="0"/>
          <w:sz w:val="28"/>
          <w:szCs w:val="28"/>
          <w:highlight w:val="none"/>
          <w:lang w:val="en-US" w:eastAsia="zh-CN" w:bidi="ar"/>
        </w:rPr>
      </w:pPr>
    </w:p>
    <w:p w14:paraId="65EA448B">
      <w:pPr>
        <w:keepNext w:val="0"/>
        <w:keepLines w:val="0"/>
        <w:widowControl/>
        <w:suppressLineNumbers w:val="0"/>
        <w:ind w:firstLine="482" w:firstLineChars="200"/>
        <w:jc w:val="left"/>
        <w:rPr>
          <w:rStyle w:val="31"/>
          <w:rFonts w:hint="eastAsia" w:ascii="宋体" w:hAnsi="宋体" w:eastAsia="宋体" w:cs="宋体"/>
          <w:color w:val="auto"/>
          <w:kern w:val="0"/>
          <w:sz w:val="28"/>
          <w:szCs w:val="28"/>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（一）关于</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中小企业声明函</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1"/>
          <w:rFonts w:hint="eastAsia" w:ascii="宋体" w:hAnsi="宋体" w:eastAsia="宋体" w:cs="宋体"/>
          <w:color w:val="auto"/>
          <w:kern w:val="0"/>
          <w:sz w:val="24"/>
          <w:szCs w:val="24"/>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A812C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243BB2FE">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31"/>
          <w:rFonts w:hint="eastAsia" w:ascii="宋体" w:hAnsi="宋体" w:eastAsia="宋体" w:cs="宋体"/>
          <w:b/>
          <w:bCs w:val="0"/>
          <w:color w:val="auto"/>
          <w:sz w:val="28"/>
          <w:szCs w:val="28"/>
          <w:highlight w:val="none"/>
        </w:rPr>
      </w:pPr>
      <w:r>
        <w:rPr>
          <w:rStyle w:val="31"/>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cs="宋体"/>
          <w:color w:val="auto"/>
          <w:spacing w:val="6"/>
          <w:sz w:val="21"/>
          <w:szCs w:val="21"/>
          <w:highlight w:val="none"/>
        </w:rPr>
      </w:pPr>
      <w:r>
        <w:rPr>
          <w:rStyle w:val="31"/>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20B4770A">
      <w:pPr>
        <w:rPr>
          <w:rFonts w:cs="宋体"/>
          <w:color w:val="auto"/>
          <w:spacing w:val="6"/>
          <w:sz w:val="21"/>
          <w:szCs w:val="21"/>
          <w:highlight w:val="none"/>
        </w:rPr>
      </w:pPr>
      <w:bookmarkStart w:id="554" w:name="_Toc163492940"/>
    </w:p>
    <w:p w14:paraId="5FA7D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1AF7C83B">
      <w:pPr>
        <w:rPr>
          <w:rFonts w:hint="eastAsia" w:cs="宋体"/>
          <w:color w:val="auto"/>
          <w:spacing w:val="6"/>
          <w:sz w:val="21"/>
          <w:szCs w:val="21"/>
          <w:highlight w:val="none"/>
        </w:rPr>
      </w:pPr>
    </w:p>
    <w:p w14:paraId="134F6EBF">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54CACF8E">
      <w:pPr>
        <w:jc w:val="center"/>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1"/>
          <w:rFonts w:hint="eastAsia" w:ascii="宋体" w:hAnsi="宋体" w:eastAsia="宋体" w:cs="宋体"/>
          <w:b w:val="0"/>
          <w:bCs w:val="0"/>
          <w:color w:val="auto"/>
          <w:sz w:val="24"/>
          <w:szCs w:val="24"/>
          <w:highlight w:val="none"/>
        </w:rPr>
        <w:t>       </w:t>
      </w:r>
      <w:r>
        <w:rPr>
          <w:rStyle w:val="31"/>
          <w:rFonts w:hint="eastAsia" w:cs="宋体"/>
          <w:b w:val="0"/>
          <w:bCs w:val="0"/>
          <w:color w:val="auto"/>
          <w:sz w:val="24"/>
          <w:szCs w:val="24"/>
          <w:highlight w:val="none"/>
          <w:lang w:val="en-US" w:eastAsia="zh-CN"/>
        </w:rPr>
        <w:t xml:space="preserve">                            </w:t>
      </w:r>
      <w:r>
        <w:rPr>
          <w:rStyle w:val="31"/>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w:t>
      </w:r>
      <w:r>
        <w:rPr>
          <w:rStyle w:val="31"/>
          <w:rFonts w:hint="eastAsia" w:cs="宋体"/>
          <w:b w:val="0"/>
          <w:bCs w:val="0"/>
          <w:color w:val="auto"/>
          <w:sz w:val="24"/>
          <w:szCs w:val="24"/>
          <w:highlight w:val="none"/>
          <w:lang w:val="en-US" w:eastAsia="zh-CN"/>
        </w:rPr>
        <w:t xml:space="preserve">     </w:t>
      </w:r>
      <w:r>
        <w:rPr>
          <w:rStyle w:val="31"/>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04253368">
      <w:pPr>
        <w:rPr>
          <w:rFonts w:hint="eastAsia" w:cs="宋体"/>
          <w:color w:val="auto"/>
          <w:spacing w:val="6"/>
          <w:sz w:val="21"/>
          <w:szCs w:val="21"/>
          <w:highlight w:val="none"/>
          <w:lang w:val="en-US" w:eastAsia="zh-CN"/>
        </w:rPr>
      </w:pPr>
    </w:p>
    <w:p w14:paraId="0C202F82">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F79F65C">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Cs/>
          <w:color w:val="auto"/>
          <w:sz w:val="32"/>
          <w:szCs w:val="32"/>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lang w:eastAsia="zh-CN"/>
        </w:rPr>
      </w:pPr>
      <w:r>
        <w:rPr>
          <w:rStyle w:val="31"/>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1"/>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1"/>
          <w:rFonts w:hint="eastAsia" w:cs="宋体"/>
          <w:b w:val="0"/>
          <w:bCs w:val="0"/>
          <w:color w:val="auto"/>
          <w:sz w:val="24"/>
          <w:szCs w:val="24"/>
          <w:highlight w:val="none"/>
          <w:lang w:eastAsia="zh-CN"/>
        </w:rPr>
        <w:t>，</w:t>
      </w:r>
      <w:r>
        <w:rPr>
          <w:rStyle w:val="31"/>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lang w:eastAsia="zh-CN"/>
        </w:rPr>
      </w:pPr>
      <w:r>
        <w:rPr>
          <w:rStyle w:val="31"/>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1"/>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lang w:eastAsia="zh-CN"/>
        </w:rPr>
      </w:pPr>
      <w:r>
        <w:rPr>
          <w:rStyle w:val="31"/>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1"/>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D736742">
      <w:pPr>
        <w:rPr>
          <w:rFonts w:hint="eastAsia" w:cs="宋体"/>
          <w:color w:val="auto"/>
          <w:spacing w:val="6"/>
          <w:sz w:val="24"/>
          <w:szCs w:val="24"/>
          <w:highlight w:val="none"/>
          <w:lang w:val="en-US" w:eastAsia="zh-CN"/>
        </w:rPr>
      </w:pPr>
    </w:p>
    <w:p w14:paraId="226ECDE6">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3A51FB27">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Cs/>
          <w:color w:val="auto"/>
          <w:sz w:val="32"/>
          <w:szCs w:val="32"/>
          <w:highlight w:val="none"/>
        </w:rPr>
      </w:pPr>
      <w:r>
        <w:rPr>
          <w:rFonts w:hint="eastAsia" w:ascii="宋体" w:hAnsi="宋体" w:eastAsia="宋体" w:cs="宋体"/>
          <w:b/>
          <w:bCs w:val="0"/>
          <w:color w:val="auto"/>
          <w:sz w:val="28"/>
          <w:szCs w:val="28"/>
          <w:highlight w:val="none"/>
        </w:rPr>
        <w:t>金融业企业划型标准</w:t>
      </w:r>
    </w:p>
    <w:tbl>
      <w:tblPr>
        <w:tblStyle w:val="29"/>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26C2B589">
      <w:pPr>
        <w:rPr>
          <w:rFonts w:cs="宋体"/>
          <w:color w:val="auto"/>
          <w:spacing w:val="6"/>
          <w:sz w:val="21"/>
          <w:szCs w:val="21"/>
          <w:highlight w:val="none"/>
        </w:rPr>
      </w:pPr>
      <w:r>
        <w:rPr>
          <w:rFonts w:cs="宋体"/>
          <w:color w:val="auto"/>
          <w:spacing w:val="6"/>
          <w:sz w:val="21"/>
          <w:szCs w:val="21"/>
          <w:highlight w:val="none"/>
        </w:rPr>
        <w:br w:type="page"/>
      </w:r>
    </w:p>
    <w:p w14:paraId="5D4F19F2">
      <w:pPr>
        <w:pStyle w:val="15"/>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55" w:name="_Toc31594"/>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554"/>
      <w:bookmarkEnd w:id="555"/>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5"/>
        <w:spacing w:line="360" w:lineRule="auto"/>
        <w:jc w:val="center"/>
        <w:rPr>
          <w:rFonts w:hint="eastAsia" w:ascii="宋体" w:hAnsi="宋体" w:eastAsia="宋体" w:cs="宋体"/>
          <w:b/>
          <w:bCs w:val="0"/>
          <w:color w:val="auto"/>
          <w:sz w:val="32"/>
          <w:szCs w:val="32"/>
          <w:highlight w:val="none"/>
        </w:rPr>
      </w:pPr>
    </w:p>
    <w:p w14:paraId="3EAA5E2A">
      <w:pPr>
        <w:pStyle w:val="15"/>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080" w:firstLineChars="1700"/>
        <w:rPr>
          <w:rFonts w:hint="eastAsia" w:ascii="宋体" w:hAnsi="宋体" w:eastAsia="宋体" w:cs="宋体"/>
          <w:color w:val="auto"/>
          <w:spacing w:val="6"/>
          <w:sz w:val="24"/>
          <w:szCs w:val="24"/>
          <w:highlight w:val="none"/>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AA0844D">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theme="minorBidi"/>
          <w:b/>
          <w:bCs/>
          <w:color w:val="auto"/>
          <w:kern w:val="2"/>
          <w:sz w:val="24"/>
          <w:szCs w:val="24"/>
          <w:highlight w:val="none"/>
          <w:lang w:val="en-US" w:eastAsia="zh-CN" w:bidi="ar-SA"/>
        </w:rPr>
      </w:pPr>
      <w:bookmarkStart w:id="556" w:name="_Toc163492941"/>
    </w:p>
    <w:p w14:paraId="69ACD5D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57" w:name="_Toc7838"/>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556"/>
      <w:bookmarkEnd w:id="557"/>
    </w:p>
    <w:p w14:paraId="57F303A4">
      <w:pPr>
        <w:pStyle w:val="38"/>
        <w:numPr>
          <w:ilvl w:val="0"/>
          <w:numId w:val="0"/>
        </w:numPr>
        <w:ind w:left="420" w:leftChars="0" w:hanging="420" w:firstLineChars="0"/>
        <w:jc w:val="center"/>
        <w:rPr>
          <w:rFonts w:hint="eastAsia"/>
          <w:b/>
          <w:bCs/>
          <w:color w:val="auto"/>
          <w:sz w:val="32"/>
          <w:szCs w:val="32"/>
          <w:highlight w:val="none"/>
        </w:rPr>
      </w:pPr>
    </w:p>
    <w:p w14:paraId="6049E14B">
      <w:pPr>
        <w:pStyle w:val="38"/>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4E988B10">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color w:val="auto"/>
          <w:szCs w:val="24"/>
          <w:highlight w:val="none"/>
        </w:rPr>
      </w:pPr>
      <w:r>
        <w:rPr>
          <w:rFonts w:hint="eastAsia"/>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1"/>
          <w:highlight w:val="none"/>
          <w:lang w:val="zh-CN"/>
        </w:rPr>
        <w:t>货物应当全部由符合政策要求的残疾人福利性单位生产且使用该残疾人福利性单位商号或注册商标（与代理商或</w:t>
      </w:r>
      <w:r>
        <w:rPr>
          <w:rFonts w:hint="eastAsia"/>
          <w:bCs/>
          <w:color w:val="auto"/>
          <w:szCs w:val="21"/>
          <w:highlight w:val="none"/>
          <w:lang w:val="en-US" w:eastAsia="zh-CN"/>
        </w:rPr>
        <w:t>供应商</w:t>
      </w:r>
      <w:r>
        <w:rPr>
          <w:rFonts w:hint="eastAsia"/>
          <w:bCs/>
          <w:color w:val="auto"/>
          <w:szCs w:val="21"/>
          <w:highlight w:val="none"/>
          <w:lang w:val="zh-CN"/>
        </w:rPr>
        <w:t>无关）；应当严格按上述格式及内容进行填写（应当明确每个</w:t>
      </w:r>
      <w:r>
        <w:rPr>
          <w:rFonts w:hint="eastAsia"/>
          <w:bCs/>
          <w:color w:val="auto"/>
          <w:szCs w:val="21"/>
          <w:highlight w:val="none"/>
          <w:lang w:val="en-US" w:eastAsia="zh-CN"/>
        </w:rPr>
        <w:t>包</w:t>
      </w:r>
      <w:r>
        <w:rPr>
          <w:rFonts w:hint="eastAsia"/>
          <w:bCs/>
          <w:color w:val="auto"/>
          <w:szCs w:val="21"/>
          <w:highlight w:val="none"/>
          <w:lang w:val="zh-CN"/>
        </w:rPr>
        <w:t>的的生产企业类型及相关数据），否则导致的后果由</w:t>
      </w:r>
      <w:r>
        <w:rPr>
          <w:rFonts w:hint="eastAsia"/>
          <w:bCs/>
          <w:color w:val="auto"/>
          <w:szCs w:val="21"/>
          <w:highlight w:val="none"/>
          <w:lang w:val="en-US" w:eastAsia="zh-CN"/>
        </w:rPr>
        <w:t>供应商</w:t>
      </w:r>
      <w:r>
        <w:rPr>
          <w:rFonts w:hint="eastAsia"/>
          <w:bCs/>
          <w:color w:val="auto"/>
          <w:szCs w:val="21"/>
          <w:highlight w:val="none"/>
          <w:lang w:val="zh-CN"/>
        </w:rPr>
        <w:t>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en-US" w:eastAsia="zh-CN"/>
        </w:rPr>
        <w:t>供应商名称（公章）</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044E1FE">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theme="minorBidi"/>
          <w:b/>
          <w:bCs/>
          <w:color w:val="auto"/>
          <w:kern w:val="2"/>
          <w:sz w:val="24"/>
          <w:szCs w:val="24"/>
          <w:highlight w:val="none"/>
          <w:lang w:val="en-US" w:eastAsia="zh-CN" w:bidi="ar-SA"/>
        </w:rPr>
      </w:pPr>
    </w:p>
    <w:p w14:paraId="1468967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558" w:name="_Toc3073"/>
      <w:bookmarkStart w:id="559" w:name="_Toc8760"/>
      <w:r>
        <w:rPr>
          <w:rFonts w:hint="eastAsia" w:cstheme="majorBidi"/>
          <w:b/>
          <w:bCs/>
          <w:color w:val="auto"/>
          <w:kern w:val="2"/>
          <w:sz w:val="28"/>
          <w:szCs w:val="28"/>
          <w:highlight w:val="none"/>
          <w:lang w:val="en-US" w:eastAsia="zh-CN" w:bidi="ar-SA"/>
        </w:rPr>
        <w:t>五、不参与围标串标承诺书</w:t>
      </w:r>
      <w:bookmarkEnd w:id="558"/>
      <w:bookmarkEnd w:id="559"/>
    </w:p>
    <w:p w14:paraId="415F309A">
      <w:pPr>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outlineLvl w:val="9"/>
        <w:rPr>
          <w:rFonts w:hint="eastAsia" w:eastAsia="宋体" w:asciiTheme="majorHAnsi" w:hAnsiTheme="majorHAnsi" w:cstheme="majorBidi"/>
          <w:b/>
          <w:bCs/>
          <w:color w:val="auto"/>
          <w:kern w:val="2"/>
          <w:sz w:val="32"/>
          <w:szCs w:val="32"/>
          <w:highlight w:val="none"/>
          <w:lang w:val="en-US" w:eastAsia="zh-CN" w:bidi="ar-SA"/>
        </w:rPr>
      </w:pPr>
    </w:p>
    <w:p w14:paraId="6D6EA90A">
      <w:pPr>
        <w:pStyle w:val="38"/>
        <w:numPr>
          <w:ilvl w:val="0"/>
          <w:numId w:val="0"/>
        </w:numPr>
        <w:ind w:left="420" w:leftChars="0" w:hanging="420" w:firstLineChars="0"/>
        <w:jc w:val="center"/>
        <w:rPr>
          <w:rFonts w:hint="eastAsia" w:ascii="宋体" w:hAnsi="宋体" w:eastAsia="宋体"/>
          <w:b/>
          <w:bCs/>
          <w:color w:val="auto"/>
          <w:sz w:val="32"/>
          <w:szCs w:val="32"/>
          <w:highlight w:val="none"/>
          <w:lang w:val="zh-CN"/>
        </w:rPr>
      </w:pPr>
      <w:bookmarkStart w:id="560" w:name="_Toc301"/>
      <w:r>
        <w:rPr>
          <w:rFonts w:hint="eastAsia" w:ascii="宋体" w:hAnsi="宋体" w:eastAsia="宋体"/>
          <w:b/>
          <w:bCs/>
          <w:color w:val="auto"/>
          <w:sz w:val="32"/>
          <w:szCs w:val="32"/>
          <w:highlight w:val="none"/>
          <w:lang w:val="zh-CN"/>
        </w:rPr>
        <w:t>不参与围标串标承诺书</w:t>
      </w:r>
      <w:bookmarkEnd w:id="560"/>
    </w:p>
    <w:p w14:paraId="2F454600">
      <w:pPr>
        <w:autoSpaceDE w:val="0"/>
        <w:autoSpaceDN w:val="0"/>
        <w:adjustRightInd w:val="0"/>
        <w:spacing w:line="560" w:lineRule="exact"/>
        <w:ind w:left="0" w:leftChars="0"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为诚实、客观、有序地参与</w:t>
      </w:r>
      <w:r>
        <w:rPr>
          <w:rFonts w:hint="eastAsia" w:ascii="宋体" w:hAnsi="宋体" w:eastAsia="宋体" w:cs="宋体"/>
          <w:color w:val="auto"/>
          <w:kern w:val="0"/>
          <w:sz w:val="24"/>
          <w:szCs w:val="24"/>
          <w:u w:val="single"/>
          <w:lang w:val="zh-CN"/>
        </w:rPr>
        <w:t xml:space="preserve">                     </w:t>
      </w:r>
      <w:r>
        <w:rPr>
          <w:rFonts w:hint="eastAsia" w:ascii="宋体" w:hAnsi="宋体" w:eastAsia="宋体" w:cs="宋体"/>
          <w:color w:val="auto"/>
          <w:kern w:val="0"/>
          <w:sz w:val="24"/>
          <w:szCs w:val="24"/>
          <w:lang w:val="zh-CN"/>
        </w:rPr>
        <w:t>项目采购活动，愿就以下内容作出承诺：</w:t>
      </w:r>
    </w:p>
    <w:p w14:paraId="307B7006">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color w:val="auto"/>
          <w:kern w:val="0"/>
          <w:sz w:val="24"/>
          <w:szCs w:val="24"/>
          <w:lang w:val="zh-CN"/>
        </w:rPr>
      </w:pPr>
    </w:p>
    <w:p w14:paraId="061D9A0A">
      <w:pPr>
        <w:autoSpaceDE w:val="0"/>
        <w:autoSpaceDN w:val="0"/>
        <w:adjustRightInd w:val="0"/>
        <w:spacing w:line="56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供应商：                             （公章）</w:t>
      </w:r>
    </w:p>
    <w:p w14:paraId="38AB1FF0">
      <w:pPr>
        <w:autoSpaceDE w:val="0"/>
        <w:autoSpaceDN w:val="0"/>
        <w:adjustRightInd w:val="0"/>
        <w:spacing w:line="56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法定代表人或委托代理人：             （签字）</w:t>
      </w:r>
    </w:p>
    <w:p w14:paraId="34ED34F8">
      <w:pPr>
        <w:spacing w:line="56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 xml:space="preserve">                                    年   月   日</w:t>
      </w:r>
    </w:p>
    <w:p w14:paraId="05CF3DBB">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1"/>
        <w:rPr>
          <w:rFonts w:hint="eastAsia"/>
          <w:color w:val="auto"/>
          <w:highlight w:val="none"/>
          <w:lang w:val="en-US" w:eastAsia="zh-CN"/>
        </w:rPr>
      </w:pPr>
    </w:p>
    <w:p w14:paraId="6FC519D1">
      <w:pPr>
        <w:pStyle w:val="11"/>
        <w:rPr>
          <w:rFonts w:hint="eastAsia"/>
          <w:color w:val="auto"/>
          <w:highlight w:val="none"/>
          <w:lang w:val="en-US" w:eastAsia="zh-CN"/>
        </w:rPr>
      </w:pPr>
    </w:p>
    <w:p w14:paraId="442FC68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240" w:leftChars="0"/>
        <w:textAlignment w:val="auto"/>
        <w:rPr>
          <w:rFonts w:hint="eastAsia" w:eastAsia="宋体" w:cstheme="majorBidi"/>
          <w:b/>
          <w:bCs/>
          <w:color w:val="auto"/>
          <w:kern w:val="2"/>
          <w:sz w:val="28"/>
          <w:szCs w:val="28"/>
          <w:highlight w:val="none"/>
          <w:lang w:val="en-US" w:eastAsia="zh-CN" w:bidi="ar-SA"/>
        </w:rPr>
      </w:pPr>
      <w:bookmarkStart w:id="561" w:name="_Toc4485"/>
      <w:r>
        <w:rPr>
          <w:rFonts w:hint="eastAsia" w:eastAsia="宋体" w:cstheme="majorBidi"/>
          <w:b/>
          <w:bCs/>
          <w:color w:val="auto"/>
          <w:kern w:val="2"/>
          <w:sz w:val="28"/>
          <w:szCs w:val="28"/>
          <w:highlight w:val="none"/>
          <w:lang w:val="en-US" w:eastAsia="zh-CN" w:bidi="ar-SA"/>
        </w:rPr>
        <w:t>六、供应商诚信承诺书</w:t>
      </w:r>
      <w:bookmarkEnd w:id="561"/>
    </w:p>
    <w:p w14:paraId="44DFC6DD">
      <w:pPr>
        <w:pStyle w:val="38"/>
        <w:numPr>
          <w:ilvl w:val="0"/>
          <w:numId w:val="0"/>
        </w:numPr>
        <w:ind w:left="420" w:leftChars="0" w:hanging="420" w:firstLineChars="0"/>
        <w:jc w:val="center"/>
        <w:rPr>
          <w:rFonts w:hint="eastAsia" w:ascii="宋体" w:hAnsi="宋体" w:eastAsia="宋体" w:cs="宋体"/>
          <w:color w:val="auto"/>
          <w:sz w:val="24"/>
          <w:szCs w:val="24"/>
        </w:rPr>
      </w:pPr>
      <w:r>
        <w:rPr>
          <w:rFonts w:hint="eastAsia" w:ascii="宋体" w:hAnsi="宋体" w:eastAsia="宋体"/>
          <w:b/>
          <w:bCs/>
          <w:color w:val="auto"/>
          <w:sz w:val="32"/>
          <w:szCs w:val="32"/>
          <w:highlight w:val="none"/>
          <w:lang w:val="zh-CN"/>
        </w:rPr>
        <w:t>供应商诚信承诺书</w:t>
      </w:r>
    </w:p>
    <w:p w14:paraId="43A60F09">
      <w:pPr>
        <w:autoSpaceDE w:val="0"/>
        <w:autoSpaceDN w:val="0"/>
        <w:adjustRightInd w:val="0"/>
        <w:spacing w:line="400" w:lineRule="exact"/>
        <w:ind w:firstLine="480"/>
        <w:rPr>
          <w:rFonts w:hint="eastAsia" w:ascii="宋体" w:hAnsi="宋体" w:eastAsia="宋体" w:cs="宋体"/>
          <w:color w:val="auto"/>
          <w:kern w:val="0"/>
          <w:sz w:val="24"/>
          <w:szCs w:val="24"/>
          <w:lang w:val="zh-CN"/>
        </w:rPr>
      </w:pPr>
      <w:bookmarkStart w:id="562" w:name="_Hlk182910040"/>
      <w:r>
        <w:rPr>
          <w:rFonts w:hint="eastAsia" w:ascii="宋体" w:hAnsi="宋体" w:eastAsia="宋体" w:cs="宋体"/>
          <w:color w:val="auto"/>
          <w:kern w:val="0"/>
          <w:sz w:val="24"/>
          <w:szCs w:val="24"/>
          <w:lang w:val="zh-CN"/>
        </w:rPr>
        <w:t>为了诚实、客观、有序地参与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w:t>
      </w:r>
      <w:r>
        <w:rPr>
          <w:rFonts w:hint="eastAsia" w:ascii="宋体" w:hAnsi="宋体" w:eastAsia="宋体" w:cs="宋体"/>
          <w:color w:val="auto"/>
          <w:kern w:val="0"/>
          <w:sz w:val="24"/>
          <w:szCs w:val="24"/>
          <w:lang w:val="zh-CN"/>
        </w:rPr>
        <w:t>采购活动，愿就以下内容作出承诺：</w:t>
      </w:r>
    </w:p>
    <w:bookmarkEnd w:id="562"/>
    <w:p w14:paraId="6EE92DB9">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二、参加采购代理机构组织的采购活动时，严格按照</w:t>
      </w:r>
      <w:r>
        <w:rPr>
          <w:rFonts w:hint="eastAsia" w:ascii="宋体" w:hAnsi="宋体" w:eastAsia="宋体" w:cs="宋体"/>
          <w:color w:val="auto"/>
          <w:kern w:val="0"/>
          <w:sz w:val="24"/>
          <w:szCs w:val="24"/>
        </w:rPr>
        <w:t>招标</w:t>
      </w:r>
      <w:r>
        <w:rPr>
          <w:rFonts w:hint="eastAsia" w:ascii="宋体" w:hAnsi="宋体" w:eastAsia="宋体" w:cs="宋体"/>
          <w:color w:val="auto"/>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color w:val="auto"/>
          <w:kern w:val="0"/>
          <w:sz w:val="24"/>
          <w:szCs w:val="24"/>
          <w:lang w:val="zh-CN"/>
        </w:rPr>
      </w:pPr>
      <w:bookmarkStart w:id="563" w:name="_Hlk182909516"/>
      <w:r>
        <w:rPr>
          <w:rFonts w:hint="eastAsia" w:ascii="宋体" w:hAnsi="宋体" w:eastAsia="宋体" w:cs="宋体"/>
          <w:color w:val="auto"/>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563"/>
    <w:p w14:paraId="19C00019">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若本企业（单位）发生有悖于上述承诺的行为或形成恶意投诉，我们自愿接受《政府采购法》等有关法律法规中对供应商的相关处理：</w:t>
      </w:r>
      <w:bookmarkStart w:id="564" w:name="_Hlk182910718"/>
      <w:r>
        <w:rPr>
          <w:rFonts w:hint="eastAsia" w:ascii="宋体" w:hAnsi="宋体" w:eastAsia="宋体" w:cs="宋体"/>
          <w:color w:val="auto"/>
          <w:kern w:val="0"/>
          <w:sz w:val="24"/>
          <w:szCs w:val="24"/>
          <w:lang w:val="zh-CN"/>
        </w:rPr>
        <w:t>自愿放弃中标资格、限制以后投标、记入不良信用档案、没收本次投标保证金，并愿意承担由此引起的其他法律责任。</w:t>
      </w:r>
      <w:bookmarkEnd w:id="564"/>
    </w:p>
    <w:p w14:paraId="5D8C3111">
      <w:pPr>
        <w:autoSpaceDE w:val="0"/>
        <w:autoSpaceDN w:val="0"/>
        <w:adjustRightInd w:val="0"/>
        <w:spacing w:line="400" w:lineRule="exact"/>
        <w:ind w:firstLine="4435" w:firstLineChars="1848"/>
        <w:rPr>
          <w:rFonts w:hint="eastAsia" w:ascii="宋体" w:hAnsi="宋体" w:eastAsia="宋体" w:cs="宋体"/>
          <w:bCs/>
          <w:color w:val="auto"/>
          <w:kern w:val="0"/>
          <w:sz w:val="24"/>
          <w:szCs w:val="24"/>
          <w:lang w:val="zh-CN"/>
        </w:rPr>
      </w:pPr>
      <w:bookmarkStart w:id="565" w:name="_Hlk182910783"/>
      <w:r>
        <w:rPr>
          <w:rFonts w:hint="eastAsia" w:ascii="宋体" w:hAnsi="宋体" w:eastAsia="宋体" w:cs="宋体"/>
          <w:bCs/>
          <w:color w:val="auto"/>
          <w:kern w:val="0"/>
          <w:sz w:val="24"/>
          <w:szCs w:val="24"/>
          <w:lang w:val="zh-CN"/>
        </w:rPr>
        <w:t>供应商：             （公章）</w:t>
      </w:r>
    </w:p>
    <w:p w14:paraId="6CD88646">
      <w:pPr>
        <w:autoSpaceDE w:val="0"/>
        <w:autoSpaceDN w:val="0"/>
        <w:adjustRightInd w:val="0"/>
        <w:spacing w:line="40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 xml:space="preserve">                     法定代表人或委托代理人：             （签字）</w:t>
      </w:r>
    </w:p>
    <w:p w14:paraId="6F728D92">
      <w:pPr>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 xml:space="preserve">                                         年   月   日</w:t>
      </w:r>
      <w:bookmarkEnd w:id="565"/>
    </w:p>
    <w:p w14:paraId="7A1B48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zh-CN" w:eastAsia="zh-CN" w:bidi="ar-SA"/>
        </w:rPr>
      </w:pPr>
      <w:bookmarkStart w:id="566" w:name="_Toc29561"/>
      <w:bookmarkStart w:id="567" w:name="_Toc9438"/>
      <w:r>
        <w:rPr>
          <w:rFonts w:hint="eastAsia" w:cstheme="majorBidi"/>
          <w:b/>
          <w:bCs/>
          <w:color w:val="auto"/>
          <w:kern w:val="2"/>
          <w:sz w:val="28"/>
          <w:szCs w:val="28"/>
          <w:highlight w:val="none"/>
          <w:lang w:val="en-US" w:eastAsia="zh-CN" w:bidi="ar-SA"/>
        </w:rPr>
        <w:t>七、</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566"/>
      <w:bookmarkEnd w:id="567"/>
    </w:p>
    <w:p w14:paraId="0C24F0AE">
      <w:pPr>
        <w:pStyle w:val="34"/>
        <w:rPr>
          <w:rFonts w:hint="eastAsia"/>
          <w:color w:val="auto"/>
          <w:highlight w:val="none"/>
        </w:rPr>
      </w:pPr>
      <w:r>
        <w:rPr>
          <w:rFonts w:hint="eastAsia" w:cs="Courier New"/>
          <w:color w:val="auto"/>
          <w:szCs w:val="24"/>
          <w:highlight w:val="none"/>
          <w:lang w:val="en-US" w:eastAsia="zh-CN"/>
        </w:rPr>
        <w:t>供应商</w:t>
      </w:r>
      <w:r>
        <w:rPr>
          <w:rFonts w:hint="eastAsia" w:cs="Courier New"/>
          <w:color w:val="auto"/>
          <w:szCs w:val="24"/>
          <w:highlight w:val="none"/>
        </w:rPr>
        <w:t>认为需提供的其它相关资格证明材料</w:t>
      </w:r>
    </w:p>
    <w:p w14:paraId="7C2C3E83">
      <w:pPr>
        <w:pStyle w:val="34"/>
        <w:rPr>
          <w:rFonts w:hint="eastAsia"/>
          <w:color w:val="auto"/>
          <w:highlight w:val="none"/>
        </w:rPr>
      </w:pPr>
    </w:p>
    <w:p w14:paraId="58A36194">
      <w:pPr>
        <w:pStyle w:val="34"/>
        <w:rPr>
          <w:rFonts w:hint="eastAsia"/>
          <w:color w:val="auto"/>
          <w:highlight w:val="none"/>
        </w:rPr>
      </w:pPr>
    </w:p>
    <w:p w14:paraId="3553B395">
      <w:pPr>
        <w:pStyle w:val="34"/>
        <w:rPr>
          <w:rFonts w:hint="eastAsia"/>
          <w:color w:val="auto"/>
          <w:highlight w:val="none"/>
        </w:rPr>
      </w:pPr>
    </w:p>
    <w:p w14:paraId="49D404FC">
      <w:pPr>
        <w:pStyle w:val="34"/>
        <w:rPr>
          <w:rFonts w:hint="eastAsia"/>
          <w:color w:val="auto"/>
          <w:highlight w:val="none"/>
        </w:rPr>
      </w:pPr>
    </w:p>
    <w:p w14:paraId="4B98E4B6">
      <w:pPr>
        <w:pStyle w:val="34"/>
        <w:rPr>
          <w:rFonts w:hint="eastAsia"/>
          <w:color w:val="auto"/>
          <w:highlight w:val="none"/>
        </w:rPr>
      </w:pPr>
    </w:p>
    <w:p w14:paraId="737FEDD3">
      <w:pPr>
        <w:pStyle w:val="34"/>
        <w:rPr>
          <w:rFonts w:hint="eastAsia"/>
          <w:color w:val="auto"/>
          <w:highlight w:val="none"/>
        </w:rPr>
      </w:pPr>
    </w:p>
    <w:p w14:paraId="1C876135">
      <w:pPr>
        <w:pStyle w:val="34"/>
        <w:rPr>
          <w:rFonts w:hint="eastAsia"/>
          <w:color w:val="auto"/>
          <w:highlight w:val="none"/>
        </w:rPr>
      </w:pPr>
    </w:p>
    <w:p w14:paraId="7E85C842">
      <w:pPr>
        <w:pStyle w:val="34"/>
        <w:rPr>
          <w:rFonts w:hint="eastAsia"/>
          <w:color w:val="auto"/>
          <w:highlight w:val="none"/>
        </w:rPr>
      </w:pPr>
    </w:p>
    <w:p w14:paraId="4CBE3B0D">
      <w:pPr>
        <w:pStyle w:val="34"/>
        <w:rPr>
          <w:rFonts w:hint="eastAsia"/>
          <w:color w:val="auto"/>
          <w:highlight w:val="none"/>
        </w:rPr>
      </w:pPr>
    </w:p>
    <w:p w14:paraId="2E6E451F">
      <w:pPr>
        <w:pStyle w:val="34"/>
        <w:rPr>
          <w:rFonts w:hint="eastAsia"/>
          <w:color w:val="auto"/>
          <w:highlight w:val="none"/>
        </w:rPr>
      </w:pPr>
    </w:p>
    <w:p w14:paraId="38DC2C55">
      <w:pPr>
        <w:pStyle w:val="34"/>
        <w:rPr>
          <w:rFonts w:hint="eastAsia"/>
          <w:color w:val="auto"/>
          <w:highlight w:val="none"/>
        </w:rPr>
      </w:pPr>
    </w:p>
    <w:p w14:paraId="04DAFD3C">
      <w:pPr>
        <w:pStyle w:val="34"/>
        <w:rPr>
          <w:rFonts w:hint="eastAsia"/>
          <w:color w:val="auto"/>
          <w:highlight w:val="none"/>
        </w:rPr>
      </w:pPr>
    </w:p>
    <w:p w14:paraId="51E24CDC">
      <w:pPr>
        <w:pStyle w:val="34"/>
        <w:rPr>
          <w:rFonts w:hint="eastAsia"/>
          <w:color w:val="auto"/>
          <w:highlight w:val="none"/>
        </w:rPr>
      </w:pPr>
    </w:p>
    <w:p w14:paraId="1AC1942E">
      <w:pPr>
        <w:pStyle w:val="34"/>
        <w:rPr>
          <w:rFonts w:hint="eastAsia"/>
          <w:color w:val="auto"/>
          <w:highlight w:val="none"/>
        </w:rPr>
      </w:pPr>
    </w:p>
    <w:p w14:paraId="4722E259">
      <w:pPr>
        <w:pStyle w:val="34"/>
        <w:rPr>
          <w:rFonts w:hint="eastAsia"/>
          <w:color w:val="auto"/>
          <w:highlight w:val="none"/>
        </w:rPr>
      </w:pPr>
    </w:p>
    <w:p w14:paraId="07033BD3">
      <w:pPr>
        <w:pStyle w:val="34"/>
        <w:rPr>
          <w:rFonts w:hint="eastAsia"/>
          <w:color w:val="auto"/>
          <w:highlight w:val="none"/>
        </w:rPr>
      </w:pPr>
    </w:p>
    <w:p w14:paraId="6E1D094D">
      <w:pPr>
        <w:pStyle w:val="34"/>
        <w:rPr>
          <w:rFonts w:hint="eastAsia"/>
          <w:color w:val="auto"/>
          <w:highlight w:val="none"/>
        </w:rPr>
      </w:pPr>
    </w:p>
    <w:p w14:paraId="23B0DB54">
      <w:pPr>
        <w:pStyle w:val="34"/>
        <w:rPr>
          <w:rFonts w:hint="eastAsia"/>
          <w:color w:val="auto"/>
          <w:highlight w:val="none"/>
        </w:rPr>
      </w:pPr>
    </w:p>
    <w:p w14:paraId="07159DF6">
      <w:pPr>
        <w:pStyle w:val="34"/>
        <w:rPr>
          <w:rFonts w:hint="eastAsia"/>
          <w:color w:val="auto"/>
          <w:highlight w:val="none"/>
        </w:rPr>
      </w:pPr>
    </w:p>
    <w:p w14:paraId="44B3A5AA">
      <w:pPr>
        <w:pStyle w:val="34"/>
        <w:rPr>
          <w:rFonts w:hint="eastAsia"/>
          <w:color w:val="auto"/>
          <w:highlight w:val="none"/>
        </w:rPr>
      </w:pPr>
    </w:p>
    <w:p w14:paraId="05BB178A">
      <w:pPr>
        <w:pStyle w:val="34"/>
        <w:rPr>
          <w:rFonts w:hint="eastAsia"/>
          <w:color w:val="auto"/>
          <w:highlight w:val="none"/>
        </w:rPr>
      </w:pPr>
    </w:p>
    <w:p w14:paraId="0E7980AB">
      <w:pPr>
        <w:pStyle w:val="34"/>
        <w:rPr>
          <w:rFonts w:hint="eastAsia"/>
          <w:color w:val="auto"/>
          <w:highlight w:val="none"/>
        </w:rPr>
      </w:pPr>
    </w:p>
    <w:p w14:paraId="5A09B930">
      <w:pPr>
        <w:pStyle w:val="34"/>
        <w:rPr>
          <w:rFonts w:hint="eastAsia"/>
          <w:color w:val="auto"/>
          <w:highlight w:val="none"/>
        </w:rPr>
      </w:pPr>
    </w:p>
    <w:p w14:paraId="3FB1F62E">
      <w:pPr>
        <w:pStyle w:val="34"/>
        <w:rPr>
          <w:rFonts w:hint="eastAsia"/>
          <w:color w:val="auto"/>
          <w:highlight w:val="none"/>
        </w:rPr>
      </w:pPr>
    </w:p>
    <w:p w14:paraId="43B020C2">
      <w:pPr>
        <w:pStyle w:val="34"/>
        <w:rPr>
          <w:rFonts w:hint="eastAsia"/>
          <w:color w:val="auto"/>
          <w:highlight w:val="none"/>
        </w:rPr>
      </w:pPr>
    </w:p>
    <w:p w14:paraId="04384634">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047D3EE">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FC23E9A">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579E32CA">
      <w:pPr>
        <w:autoSpaceDE w:val="0"/>
        <w:autoSpaceDN w:val="0"/>
        <w:adjustRightInd w:val="0"/>
        <w:rPr>
          <w:color w:val="auto"/>
          <w:sz w:val="21"/>
          <w:szCs w:val="24"/>
          <w:highlight w:val="none"/>
        </w:rPr>
      </w:pPr>
    </w:p>
    <w:p w14:paraId="2CC27B4B">
      <w:pPr>
        <w:autoSpaceDE w:val="0"/>
        <w:autoSpaceDN w:val="0"/>
        <w:adjustRightInd w:val="0"/>
        <w:rPr>
          <w:color w:val="auto"/>
          <w:sz w:val="21"/>
          <w:szCs w:val="24"/>
          <w:highlight w:val="none"/>
        </w:rPr>
      </w:pPr>
    </w:p>
    <w:p w14:paraId="63CA31F9">
      <w:pPr>
        <w:autoSpaceDE w:val="0"/>
        <w:autoSpaceDN w:val="0"/>
        <w:adjustRightInd w:val="0"/>
        <w:jc w:val="center"/>
        <w:rPr>
          <w:color w:val="auto"/>
          <w:sz w:val="21"/>
          <w:szCs w:val="24"/>
          <w:highlight w:val="none"/>
        </w:rPr>
      </w:pPr>
    </w:p>
    <w:p w14:paraId="0F2A8793">
      <w:pPr>
        <w:pStyle w:val="2"/>
        <w:bidi w:val="0"/>
        <w:spacing w:line="360" w:lineRule="auto"/>
        <w:rPr>
          <w:rFonts w:hint="eastAsia" w:ascii="黑体" w:hAnsi="黑体" w:eastAsia="黑体" w:cs="黑体"/>
          <w:color w:val="auto"/>
          <w:sz w:val="72"/>
          <w:szCs w:val="72"/>
          <w:highlight w:val="none"/>
        </w:rPr>
      </w:pPr>
      <w:bookmarkStart w:id="568" w:name="_Toc2518"/>
      <w:r>
        <w:rPr>
          <w:rFonts w:hint="eastAsia" w:ascii="黑体" w:hAnsi="黑体" w:eastAsia="黑体" w:cs="黑体"/>
          <w:color w:val="auto"/>
          <w:sz w:val="72"/>
          <w:szCs w:val="72"/>
          <w:highlight w:val="none"/>
          <w:lang w:val="en-US" w:eastAsia="zh-CN"/>
        </w:rPr>
        <w:t>响 应</w:t>
      </w:r>
      <w:r>
        <w:rPr>
          <w:rFonts w:hint="eastAsia" w:ascii="黑体" w:hAnsi="黑体" w:eastAsia="黑体" w:cs="黑体"/>
          <w:color w:val="auto"/>
          <w:sz w:val="72"/>
          <w:szCs w:val="72"/>
          <w:highlight w:val="none"/>
        </w:rPr>
        <w:t xml:space="preserve"> 文 件</w:t>
      </w:r>
      <w:bookmarkEnd w:id="568"/>
    </w:p>
    <w:p w14:paraId="383861DE">
      <w:pPr>
        <w:pStyle w:val="2"/>
        <w:bidi w:val="0"/>
        <w:spacing w:line="360" w:lineRule="auto"/>
        <w:rPr>
          <w:rFonts w:hint="eastAsia" w:ascii="黑体" w:hAnsi="黑体" w:eastAsia="黑体" w:cs="黑体"/>
          <w:color w:val="auto"/>
          <w:sz w:val="72"/>
          <w:szCs w:val="72"/>
          <w:highlight w:val="none"/>
          <w:lang w:val="en-US" w:eastAsia="zh-CN"/>
        </w:rPr>
      </w:pPr>
      <w:bookmarkStart w:id="569" w:name="_Toc9782"/>
      <w:r>
        <w:rPr>
          <w:rFonts w:hint="eastAsia" w:ascii="黑体" w:hAnsi="黑体" w:eastAsia="黑体" w:cs="黑体"/>
          <w:color w:val="auto"/>
          <w:sz w:val="72"/>
          <w:szCs w:val="72"/>
          <w:highlight w:val="none"/>
          <w:lang w:val="en-US" w:eastAsia="zh-CN"/>
        </w:rPr>
        <w:t>报价文件</w:t>
      </w:r>
      <w:bookmarkEnd w:id="569"/>
    </w:p>
    <w:p w14:paraId="798A956E">
      <w:pPr>
        <w:outlineLvl w:val="9"/>
        <w:rPr>
          <w:color w:val="auto"/>
          <w:sz w:val="21"/>
          <w:szCs w:val="21"/>
          <w:highlight w:val="none"/>
        </w:rPr>
      </w:pPr>
    </w:p>
    <w:p w14:paraId="24B6A268">
      <w:pPr>
        <w:rPr>
          <w:color w:val="auto"/>
          <w:sz w:val="21"/>
          <w:szCs w:val="21"/>
          <w:highlight w:val="none"/>
        </w:rPr>
      </w:pPr>
    </w:p>
    <w:p w14:paraId="3DC104B3">
      <w:pPr>
        <w:rPr>
          <w:color w:val="auto"/>
          <w:highlight w:val="none"/>
        </w:rPr>
      </w:pPr>
    </w:p>
    <w:p w14:paraId="74A7A117">
      <w:pPr>
        <w:autoSpaceDE w:val="0"/>
        <w:autoSpaceDN w:val="0"/>
        <w:adjustRightInd w:val="0"/>
        <w:rPr>
          <w:color w:val="auto"/>
          <w:sz w:val="21"/>
          <w:szCs w:val="21"/>
          <w:highlight w:val="none"/>
        </w:rPr>
      </w:pPr>
    </w:p>
    <w:p w14:paraId="6EE89269">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17D47AB2">
      <w:pPr>
        <w:ind w:left="840" w:firstLine="420"/>
        <w:rPr>
          <w:b/>
          <w:bCs/>
          <w:color w:val="auto"/>
          <w:sz w:val="28"/>
          <w:szCs w:val="28"/>
          <w:highlight w:val="none"/>
        </w:rPr>
      </w:pPr>
    </w:p>
    <w:p w14:paraId="6C0FD82C">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A6B7717">
      <w:pPr>
        <w:rPr>
          <w:rFonts w:hint="eastAsia" w:cstheme="majorBidi"/>
          <w:b/>
          <w:bCs/>
          <w:color w:val="auto"/>
          <w:kern w:val="2"/>
          <w:sz w:val="32"/>
          <w:szCs w:val="32"/>
          <w:highlight w:val="none"/>
          <w:lang w:val="en-US" w:eastAsia="zh-CN" w:bidi="ar-SA"/>
        </w:rPr>
      </w:pPr>
      <w:r>
        <w:rPr>
          <w:color w:val="auto"/>
          <w:highlight w:val="none"/>
          <w:lang w:val="zh-CN"/>
        </w:rPr>
        <w:br w:type="page"/>
      </w:r>
    </w:p>
    <w:p w14:paraId="2F7A0E6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bookmarkStart w:id="570" w:name="_Toc16501"/>
      <w:bookmarkStart w:id="571" w:name="_Toc8562"/>
    </w:p>
    <w:p w14:paraId="2AB3D72A">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cs="仿宋_GB2312"/>
          <w:color w:val="auto"/>
          <w:szCs w:val="24"/>
          <w:highlight w:val="none"/>
        </w:rPr>
      </w:pPr>
      <w:r>
        <w:rPr>
          <w:rFonts w:hint="eastAsia" w:cstheme="majorBidi"/>
          <w:b/>
          <w:bCs/>
          <w:color w:val="auto"/>
          <w:kern w:val="2"/>
          <w:sz w:val="32"/>
          <w:szCs w:val="32"/>
          <w:highlight w:val="none"/>
          <w:lang w:val="en-US" w:eastAsia="zh-CN" w:bidi="ar-SA"/>
        </w:rPr>
        <w:t>一、报价一览表</w:t>
      </w:r>
      <w:bookmarkEnd w:id="570"/>
      <w:bookmarkEnd w:id="571"/>
    </w:p>
    <w:p w14:paraId="72C2F413">
      <w:pPr>
        <w:shd w:val="clear"/>
        <w:ind w:firstLine="240" w:firstLineChars="100"/>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none"/>
          <w:shd w:val="clear" w:color="auto" w:fill="auto"/>
          <w:lang w:val="en-US" w:eastAsia="zh-CN"/>
        </w:rPr>
        <w:t>单位：元</w:t>
      </w:r>
    </w:p>
    <w:tbl>
      <w:tblPr>
        <w:tblStyle w:val="28"/>
        <w:tblW w:w="13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317"/>
        <w:gridCol w:w="1283"/>
        <w:gridCol w:w="1393"/>
        <w:gridCol w:w="1063"/>
        <w:gridCol w:w="1019"/>
        <w:gridCol w:w="1330"/>
        <w:gridCol w:w="1311"/>
        <w:gridCol w:w="1311"/>
        <w:gridCol w:w="1311"/>
        <w:gridCol w:w="1311"/>
      </w:tblGrid>
      <w:tr w14:paraId="2207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887" w:type="dxa"/>
            <w:vMerge w:val="restart"/>
            <w:noWrap w:val="0"/>
            <w:vAlign w:val="center"/>
          </w:tcPr>
          <w:p w14:paraId="7131583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17" w:type="dxa"/>
            <w:vMerge w:val="restart"/>
            <w:noWrap w:val="0"/>
            <w:vAlign w:val="center"/>
          </w:tcPr>
          <w:p w14:paraId="0E37FD3A">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产品名称</w:t>
            </w:r>
          </w:p>
        </w:tc>
        <w:tc>
          <w:tcPr>
            <w:tcW w:w="6088" w:type="dxa"/>
            <w:gridSpan w:val="5"/>
            <w:noWrap w:val="0"/>
            <w:vAlign w:val="center"/>
          </w:tcPr>
          <w:p w14:paraId="50AAECC2">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投标产品信息</w:t>
            </w:r>
          </w:p>
          <w:p w14:paraId="64EFF4C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（应与医疗器械注册证或备案证信息一致）</w:t>
            </w:r>
          </w:p>
        </w:tc>
        <w:tc>
          <w:tcPr>
            <w:tcW w:w="1311" w:type="dxa"/>
            <w:vMerge w:val="restart"/>
            <w:noWrap w:val="0"/>
            <w:vAlign w:val="center"/>
          </w:tcPr>
          <w:p w14:paraId="7FD9FC2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数量</w:t>
            </w:r>
          </w:p>
        </w:tc>
        <w:tc>
          <w:tcPr>
            <w:tcW w:w="1311" w:type="dxa"/>
            <w:vMerge w:val="restart"/>
            <w:noWrap w:val="0"/>
            <w:vAlign w:val="center"/>
          </w:tcPr>
          <w:p w14:paraId="0FBE8D9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单价</w:t>
            </w:r>
          </w:p>
        </w:tc>
        <w:tc>
          <w:tcPr>
            <w:tcW w:w="1311" w:type="dxa"/>
            <w:vMerge w:val="restart"/>
            <w:noWrap w:val="0"/>
            <w:vAlign w:val="center"/>
          </w:tcPr>
          <w:p w14:paraId="4F1A3E5F">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合价</w:t>
            </w:r>
          </w:p>
        </w:tc>
        <w:tc>
          <w:tcPr>
            <w:tcW w:w="1311" w:type="dxa"/>
            <w:vMerge w:val="restart"/>
            <w:noWrap w:val="0"/>
            <w:vAlign w:val="center"/>
          </w:tcPr>
          <w:p w14:paraId="62BA19B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备注（包装规格）</w:t>
            </w:r>
          </w:p>
        </w:tc>
      </w:tr>
      <w:tr w14:paraId="235D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jc w:val="center"/>
        </w:trPr>
        <w:tc>
          <w:tcPr>
            <w:tcW w:w="887" w:type="dxa"/>
            <w:vMerge w:val="continue"/>
            <w:noWrap w:val="0"/>
            <w:vAlign w:val="center"/>
          </w:tcPr>
          <w:p w14:paraId="17BB7AF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317" w:type="dxa"/>
            <w:vMerge w:val="continue"/>
            <w:noWrap w:val="0"/>
            <w:vAlign w:val="center"/>
          </w:tcPr>
          <w:p w14:paraId="4AB7A38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283" w:type="dxa"/>
            <w:noWrap w:val="0"/>
            <w:vAlign w:val="center"/>
          </w:tcPr>
          <w:p w14:paraId="778167B1">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投标产品注册证名称</w:t>
            </w:r>
          </w:p>
        </w:tc>
        <w:tc>
          <w:tcPr>
            <w:tcW w:w="1393" w:type="dxa"/>
            <w:noWrap w:val="0"/>
            <w:vAlign w:val="center"/>
          </w:tcPr>
          <w:p w14:paraId="4A7BFF2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063" w:type="dxa"/>
            <w:noWrap w:val="0"/>
            <w:vAlign w:val="center"/>
          </w:tcPr>
          <w:p w14:paraId="3DEC779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生产厂家</w:t>
            </w:r>
          </w:p>
        </w:tc>
        <w:tc>
          <w:tcPr>
            <w:tcW w:w="1019" w:type="dxa"/>
            <w:noWrap w:val="0"/>
            <w:vAlign w:val="center"/>
          </w:tcPr>
          <w:p w14:paraId="22B677F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产地</w:t>
            </w:r>
          </w:p>
        </w:tc>
        <w:tc>
          <w:tcPr>
            <w:tcW w:w="1330" w:type="dxa"/>
            <w:noWrap w:val="0"/>
            <w:vAlign w:val="center"/>
          </w:tcPr>
          <w:p w14:paraId="0736A57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注册证号</w:t>
            </w:r>
          </w:p>
        </w:tc>
        <w:tc>
          <w:tcPr>
            <w:tcW w:w="1311" w:type="dxa"/>
            <w:vMerge w:val="continue"/>
            <w:noWrap w:val="0"/>
            <w:vAlign w:val="center"/>
          </w:tcPr>
          <w:p w14:paraId="4293A20B">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409F2FED">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5BBE6CA1">
            <w:pPr>
              <w:tabs>
                <w:tab w:val="left" w:pos="9135"/>
              </w:tabs>
              <w:spacing w:line="360" w:lineRule="auto"/>
              <w:jc w:val="center"/>
              <w:rPr>
                <w:rFonts w:hint="eastAsia" w:ascii="宋体" w:hAnsi="宋体" w:eastAsia="宋体" w:cs="宋体"/>
                <w:bCs/>
                <w:color w:val="auto"/>
                <w:sz w:val="21"/>
                <w:szCs w:val="21"/>
                <w:highlight w:val="none"/>
                <w:lang w:val="en-US"/>
              </w:rPr>
            </w:pPr>
          </w:p>
        </w:tc>
        <w:tc>
          <w:tcPr>
            <w:tcW w:w="1311" w:type="dxa"/>
            <w:vMerge w:val="continue"/>
            <w:noWrap w:val="0"/>
            <w:vAlign w:val="center"/>
          </w:tcPr>
          <w:p w14:paraId="1AB6324B">
            <w:pPr>
              <w:tabs>
                <w:tab w:val="left" w:pos="9135"/>
              </w:tabs>
              <w:spacing w:line="360" w:lineRule="auto"/>
              <w:jc w:val="center"/>
              <w:rPr>
                <w:rFonts w:hint="eastAsia" w:ascii="宋体" w:hAnsi="宋体" w:eastAsia="宋体" w:cs="宋体"/>
                <w:bCs/>
                <w:color w:val="auto"/>
                <w:sz w:val="21"/>
                <w:szCs w:val="21"/>
                <w:highlight w:val="none"/>
                <w:lang w:val="en-US"/>
              </w:rPr>
            </w:pPr>
          </w:p>
        </w:tc>
      </w:tr>
      <w:tr w14:paraId="3B7E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87" w:type="dxa"/>
            <w:noWrap w:val="0"/>
            <w:vAlign w:val="center"/>
          </w:tcPr>
          <w:p w14:paraId="15920B5F">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317" w:type="dxa"/>
            <w:noWrap w:val="0"/>
            <w:vAlign w:val="center"/>
          </w:tcPr>
          <w:p w14:paraId="48B2E58A">
            <w:pPr>
              <w:tabs>
                <w:tab w:val="left" w:pos="9135"/>
              </w:tabs>
              <w:spacing w:line="360" w:lineRule="auto"/>
              <w:jc w:val="center"/>
              <w:rPr>
                <w:rFonts w:hint="eastAsia" w:ascii="宋体" w:hAnsi="宋体" w:eastAsia="宋体" w:cs="宋体"/>
                <w:bCs/>
                <w:color w:val="auto"/>
                <w:sz w:val="21"/>
                <w:szCs w:val="21"/>
                <w:highlight w:val="none"/>
              </w:rPr>
            </w:pPr>
          </w:p>
        </w:tc>
        <w:tc>
          <w:tcPr>
            <w:tcW w:w="1283" w:type="dxa"/>
            <w:noWrap w:val="0"/>
            <w:vAlign w:val="center"/>
          </w:tcPr>
          <w:p w14:paraId="69A55077">
            <w:pPr>
              <w:tabs>
                <w:tab w:val="left" w:pos="9135"/>
              </w:tabs>
              <w:spacing w:line="360" w:lineRule="auto"/>
              <w:jc w:val="center"/>
              <w:rPr>
                <w:rFonts w:hint="eastAsia" w:ascii="宋体" w:hAnsi="宋体" w:eastAsia="宋体" w:cs="宋体"/>
                <w:bCs/>
                <w:color w:val="auto"/>
                <w:sz w:val="21"/>
                <w:szCs w:val="21"/>
                <w:highlight w:val="none"/>
              </w:rPr>
            </w:pPr>
          </w:p>
        </w:tc>
        <w:tc>
          <w:tcPr>
            <w:tcW w:w="1393" w:type="dxa"/>
            <w:noWrap w:val="0"/>
            <w:vAlign w:val="center"/>
          </w:tcPr>
          <w:p w14:paraId="7BE34DC2">
            <w:pPr>
              <w:tabs>
                <w:tab w:val="left" w:pos="9135"/>
              </w:tabs>
              <w:spacing w:line="360" w:lineRule="auto"/>
              <w:jc w:val="center"/>
              <w:rPr>
                <w:rFonts w:hint="eastAsia" w:ascii="宋体" w:hAnsi="宋体" w:eastAsia="宋体" w:cs="宋体"/>
                <w:bCs/>
                <w:color w:val="auto"/>
                <w:sz w:val="21"/>
                <w:szCs w:val="21"/>
                <w:highlight w:val="none"/>
              </w:rPr>
            </w:pPr>
          </w:p>
        </w:tc>
        <w:tc>
          <w:tcPr>
            <w:tcW w:w="1063" w:type="dxa"/>
            <w:noWrap w:val="0"/>
            <w:vAlign w:val="center"/>
          </w:tcPr>
          <w:p w14:paraId="75C990B5">
            <w:pPr>
              <w:tabs>
                <w:tab w:val="left" w:pos="9135"/>
              </w:tabs>
              <w:spacing w:line="360" w:lineRule="auto"/>
              <w:jc w:val="center"/>
              <w:rPr>
                <w:rFonts w:hint="eastAsia" w:ascii="宋体" w:hAnsi="宋体" w:eastAsia="宋体" w:cs="宋体"/>
                <w:bCs/>
                <w:color w:val="auto"/>
                <w:sz w:val="21"/>
                <w:szCs w:val="21"/>
                <w:highlight w:val="none"/>
              </w:rPr>
            </w:pPr>
          </w:p>
        </w:tc>
        <w:tc>
          <w:tcPr>
            <w:tcW w:w="1019" w:type="dxa"/>
            <w:noWrap w:val="0"/>
            <w:vAlign w:val="center"/>
          </w:tcPr>
          <w:p w14:paraId="2198759D">
            <w:pPr>
              <w:tabs>
                <w:tab w:val="left" w:pos="9135"/>
              </w:tabs>
              <w:spacing w:line="360" w:lineRule="auto"/>
              <w:jc w:val="center"/>
              <w:rPr>
                <w:rFonts w:hint="eastAsia" w:ascii="宋体" w:hAnsi="宋体" w:eastAsia="宋体" w:cs="宋体"/>
                <w:bCs/>
                <w:color w:val="auto"/>
                <w:sz w:val="21"/>
                <w:szCs w:val="21"/>
                <w:highlight w:val="none"/>
              </w:rPr>
            </w:pPr>
          </w:p>
        </w:tc>
        <w:tc>
          <w:tcPr>
            <w:tcW w:w="1330" w:type="dxa"/>
            <w:noWrap w:val="0"/>
            <w:vAlign w:val="center"/>
          </w:tcPr>
          <w:p w14:paraId="29B412F7">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70729A67">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38A000B6">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1F087F76">
            <w:pPr>
              <w:tabs>
                <w:tab w:val="left" w:pos="9135"/>
              </w:tabs>
              <w:spacing w:line="360" w:lineRule="auto"/>
              <w:rPr>
                <w:rFonts w:hint="eastAsia" w:ascii="宋体" w:hAnsi="宋体" w:eastAsia="宋体" w:cs="宋体"/>
                <w:bCs/>
                <w:color w:val="auto"/>
                <w:sz w:val="21"/>
                <w:szCs w:val="21"/>
                <w:highlight w:val="none"/>
              </w:rPr>
            </w:pPr>
          </w:p>
        </w:tc>
        <w:tc>
          <w:tcPr>
            <w:tcW w:w="1311" w:type="dxa"/>
            <w:noWrap w:val="0"/>
            <w:vAlign w:val="top"/>
          </w:tcPr>
          <w:p w14:paraId="1635077D">
            <w:pPr>
              <w:tabs>
                <w:tab w:val="left" w:pos="9135"/>
              </w:tabs>
              <w:spacing w:line="360" w:lineRule="auto"/>
              <w:rPr>
                <w:rFonts w:hint="eastAsia" w:ascii="宋体" w:hAnsi="宋体" w:eastAsia="宋体" w:cs="宋体"/>
                <w:bCs/>
                <w:color w:val="auto"/>
                <w:sz w:val="21"/>
                <w:szCs w:val="21"/>
                <w:highlight w:val="none"/>
              </w:rPr>
            </w:pPr>
          </w:p>
        </w:tc>
      </w:tr>
      <w:tr w14:paraId="5D20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74D31803">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交货期</w:t>
            </w:r>
          </w:p>
        </w:tc>
        <w:tc>
          <w:tcPr>
            <w:tcW w:w="10049" w:type="dxa"/>
            <w:gridSpan w:val="8"/>
            <w:noWrap w:val="0"/>
            <w:vAlign w:val="center"/>
          </w:tcPr>
          <w:p w14:paraId="09BF7710">
            <w:pPr>
              <w:tabs>
                <w:tab w:val="left" w:pos="9135"/>
              </w:tabs>
              <w:spacing w:line="360" w:lineRule="auto"/>
              <w:jc w:val="center"/>
              <w:rPr>
                <w:rFonts w:hint="eastAsia" w:ascii="宋体" w:hAnsi="宋体" w:eastAsia="宋体" w:cs="宋体"/>
                <w:bCs/>
                <w:color w:val="auto"/>
                <w:sz w:val="21"/>
                <w:szCs w:val="21"/>
                <w:highlight w:val="none"/>
              </w:rPr>
            </w:pPr>
          </w:p>
        </w:tc>
      </w:tr>
      <w:tr w14:paraId="762D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61101E9D">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保修服务期</w:t>
            </w:r>
          </w:p>
        </w:tc>
        <w:tc>
          <w:tcPr>
            <w:tcW w:w="10049" w:type="dxa"/>
            <w:gridSpan w:val="8"/>
            <w:noWrap w:val="0"/>
            <w:vAlign w:val="center"/>
          </w:tcPr>
          <w:p w14:paraId="24439EF9">
            <w:pPr>
              <w:tabs>
                <w:tab w:val="left" w:pos="9135"/>
              </w:tabs>
              <w:spacing w:line="360" w:lineRule="auto"/>
              <w:jc w:val="center"/>
              <w:rPr>
                <w:rFonts w:hint="eastAsia" w:ascii="宋体" w:hAnsi="宋体" w:eastAsia="宋体" w:cs="宋体"/>
                <w:bCs/>
                <w:color w:val="auto"/>
                <w:sz w:val="21"/>
                <w:szCs w:val="21"/>
                <w:highlight w:val="none"/>
              </w:rPr>
            </w:pPr>
          </w:p>
        </w:tc>
      </w:tr>
      <w:tr w14:paraId="32DF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487" w:type="dxa"/>
            <w:gridSpan w:val="3"/>
            <w:noWrap w:val="0"/>
            <w:vAlign w:val="center"/>
          </w:tcPr>
          <w:p w14:paraId="288126B2">
            <w:pPr>
              <w:tabs>
                <w:tab w:val="left" w:pos="9135"/>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投标总报价</w:t>
            </w:r>
          </w:p>
        </w:tc>
        <w:tc>
          <w:tcPr>
            <w:tcW w:w="10049" w:type="dxa"/>
            <w:gridSpan w:val="8"/>
            <w:noWrap w:val="0"/>
            <w:vAlign w:val="center"/>
          </w:tcPr>
          <w:p w14:paraId="71B18F67">
            <w:pPr>
              <w:tabs>
                <w:tab w:val="left" w:pos="9135"/>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小写（元）：</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大写（元）：</w:t>
            </w:r>
          </w:p>
        </w:tc>
      </w:tr>
      <w:tr w14:paraId="4AC4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487" w:type="dxa"/>
            <w:gridSpan w:val="3"/>
            <w:noWrap w:val="0"/>
            <w:vAlign w:val="center"/>
          </w:tcPr>
          <w:p w14:paraId="503552CA">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w:t>
            </w:r>
          </w:p>
        </w:tc>
        <w:tc>
          <w:tcPr>
            <w:tcW w:w="10049" w:type="dxa"/>
            <w:gridSpan w:val="8"/>
            <w:noWrap w:val="0"/>
            <w:vAlign w:val="center"/>
          </w:tcPr>
          <w:p w14:paraId="64EEEC04">
            <w:pPr>
              <w:pStyle w:val="27"/>
              <w:ind w:firstLine="0" w:firstLineChars="0"/>
              <w:rPr>
                <w:rFonts w:hint="eastAsia" w:ascii="宋体" w:hAnsi="宋体" w:eastAsia="宋体" w:cs="宋体"/>
                <w:bCs/>
                <w:color w:val="auto"/>
                <w:sz w:val="21"/>
                <w:szCs w:val="21"/>
                <w:highlight w:val="none"/>
              </w:rPr>
            </w:pPr>
          </w:p>
        </w:tc>
      </w:tr>
    </w:tbl>
    <w:p w14:paraId="075FEC29">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lang w:val="en-US" w:eastAsia="zh-CN"/>
        </w:rPr>
        <w:t>供应商</w:t>
      </w:r>
      <w:r>
        <w:rPr>
          <w:rFonts w:ascii="Arial" w:hAnsi="Arial" w:cs="Arial"/>
          <w:color w:val="auto"/>
          <w:szCs w:val="21"/>
          <w:highlight w:val="none"/>
        </w:rPr>
        <w:t>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63BAF421">
      <w:pPr>
        <w:pStyle w:val="11"/>
        <w:ind w:firstLine="12240" w:firstLineChars="5100"/>
        <w:rPr>
          <w:rFonts w:hint="eastAsia" w:ascii="Arial" w:hAnsi="Arial" w:eastAsia="宋体" w:cs="Arial"/>
          <w:color w:val="auto"/>
          <w:kern w:val="2"/>
          <w:sz w:val="24"/>
          <w:szCs w:val="21"/>
          <w:highlight w:val="none"/>
          <w:lang w:val="en-US" w:eastAsia="zh-CN" w:bidi="ar-SA"/>
        </w:rPr>
      </w:pPr>
      <w:r>
        <w:rPr>
          <w:rFonts w:hint="eastAsia" w:ascii="Arial" w:hAnsi="Arial" w:eastAsia="宋体" w:cs="Arial"/>
          <w:color w:val="auto"/>
          <w:kern w:val="2"/>
          <w:sz w:val="24"/>
          <w:szCs w:val="21"/>
          <w:highlight w:val="none"/>
          <w:lang w:val="en-US" w:eastAsia="zh-CN" w:bidi="ar-SA"/>
        </w:rPr>
        <w:t>日期：</w:t>
      </w:r>
    </w:p>
    <w:p w14:paraId="54CAC625">
      <w:pPr>
        <w:pStyle w:val="11"/>
        <w:rPr>
          <w:rFonts w:cs="Arial"/>
          <w:color w:val="auto"/>
          <w:szCs w:val="24"/>
          <w:highlight w:val="none"/>
        </w:rPr>
      </w:pPr>
    </w:p>
    <w:p w14:paraId="7E0F4A35">
      <w:pPr>
        <w:spacing w:line="360" w:lineRule="auto"/>
        <w:rPr>
          <w:rFonts w:hint="eastAsia" w:ascii="宋体" w:hAnsi="宋体" w:eastAsia="宋体" w:cs="宋体"/>
          <w:b/>
          <w:color w:val="auto"/>
          <w:sz w:val="21"/>
          <w:szCs w:val="21"/>
          <w:highlight w:val="none"/>
          <w:lang w:eastAsia="zh-CN"/>
        </w:rPr>
        <w:sectPr>
          <w:pgSz w:w="16838" w:h="11906" w:orient="landscape"/>
          <w:pgMar w:top="1803" w:right="1440" w:bottom="1803" w:left="1440" w:header="851" w:footer="992" w:gutter="0"/>
          <w:pgNumType w:fmt="numberInDash"/>
          <w:cols w:space="0" w:num="1"/>
          <w:rtlGutter w:val="0"/>
          <w:docGrid w:type="lines" w:linePitch="332" w:charSpace="0"/>
        </w:sect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EA685B">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.表中投标报价即为优惠后报价，并作为评审及定标依据。任何有选择或有条件的投标报价，或者表中某一包填写多个报价，均为无效报价。</w:t>
      </w:r>
    </w:p>
    <w:p w14:paraId="36F2F89E">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.表中大写与小写不一致的，以大写为准。</w:t>
      </w:r>
    </w:p>
    <w:p w14:paraId="601B5136">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报价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26C7BD91">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.特殊事项在备注中注明。</w:t>
      </w:r>
    </w:p>
    <w:p w14:paraId="7A992CB6">
      <w:pPr>
        <w:pStyle w:val="11"/>
        <w:ind w:firstLine="480" w:firstLineChars="200"/>
        <w:rPr>
          <w:rFonts w:hint="eastAsia" w:ascii="宋体" w:hAnsi="宋体" w:eastAsia="宋体" w:cs="宋体"/>
          <w:color w:val="auto"/>
          <w:sz w:val="24"/>
          <w:szCs w:val="24"/>
          <w:highlight w:val="none"/>
        </w:rPr>
        <w:sectPr>
          <w:pgSz w:w="11906" w:h="16838"/>
          <w:pgMar w:top="1440" w:right="1803" w:bottom="1440" w:left="1803" w:header="851" w:footer="992" w:gutter="0"/>
          <w:pgNumType w:fmt="numberInDash"/>
          <w:cols w:space="0" w:num="1"/>
          <w:rtlGutter w:val="0"/>
          <w:docGrid w:type="lines" w:linePitch="332" w:charSpace="0"/>
        </w:sect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72" w:name="_Toc26650"/>
      <w:bookmarkStart w:id="573" w:name="_Toc22648"/>
      <w:r>
        <w:rPr>
          <w:rFonts w:hint="eastAsia" w:cstheme="majorBidi"/>
          <w:b/>
          <w:bCs/>
          <w:color w:val="auto"/>
          <w:kern w:val="2"/>
          <w:sz w:val="32"/>
          <w:szCs w:val="32"/>
          <w:highlight w:val="none"/>
          <w:lang w:val="en-US" w:eastAsia="zh-CN" w:bidi="ar-SA"/>
        </w:rPr>
        <w:t>二、分项报价表</w:t>
      </w:r>
      <w:bookmarkEnd w:id="572"/>
      <w:bookmarkEnd w:id="573"/>
    </w:p>
    <w:p w14:paraId="7FF3B3C8">
      <w:pPr>
        <w:shd w:val="clear"/>
        <w:ind w:firstLine="240" w:firstLineChars="100"/>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none"/>
          <w:shd w:val="clear" w:color="auto" w:fill="auto"/>
          <w:lang w:val="en-US" w:eastAsia="zh-CN"/>
        </w:rPr>
        <w:t>单位：元</w:t>
      </w:r>
    </w:p>
    <w:tbl>
      <w:tblPr>
        <w:tblStyle w:val="28"/>
        <w:tblW w:w="13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317"/>
        <w:gridCol w:w="1283"/>
        <w:gridCol w:w="1393"/>
        <w:gridCol w:w="1063"/>
        <w:gridCol w:w="1019"/>
        <w:gridCol w:w="1330"/>
        <w:gridCol w:w="1311"/>
        <w:gridCol w:w="1311"/>
        <w:gridCol w:w="1311"/>
        <w:gridCol w:w="1311"/>
      </w:tblGrid>
      <w:tr w14:paraId="302C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887" w:type="dxa"/>
            <w:vMerge w:val="restart"/>
            <w:noWrap w:val="0"/>
            <w:vAlign w:val="center"/>
          </w:tcPr>
          <w:p w14:paraId="492D269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17" w:type="dxa"/>
            <w:vMerge w:val="restart"/>
            <w:noWrap w:val="0"/>
            <w:vAlign w:val="center"/>
          </w:tcPr>
          <w:p w14:paraId="52D605A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产品名称</w:t>
            </w:r>
          </w:p>
        </w:tc>
        <w:tc>
          <w:tcPr>
            <w:tcW w:w="6088" w:type="dxa"/>
            <w:gridSpan w:val="5"/>
            <w:noWrap w:val="0"/>
            <w:vAlign w:val="center"/>
          </w:tcPr>
          <w:p w14:paraId="4E146F1C">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投标产品信息</w:t>
            </w:r>
          </w:p>
          <w:p w14:paraId="0009B22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（应与医疗器械注册证或备案证信息一致）</w:t>
            </w:r>
          </w:p>
        </w:tc>
        <w:tc>
          <w:tcPr>
            <w:tcW w:w="1311" w:type="dxa"/>
            <w:vMerge w:val="restart"/>
            <w:noWrap w:val="0"/>
            <w:vAlign w:val="center"/>
          </w:tcPr>
          <w:p w14:paraId="43970EFF">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数量</w:t>
            </w:r>
          </w:p>
        </w:tc>
        <w:tc>
          <w:tcPr>
            <w:tcW w:w="1311" w:type="dxa"/>
            <w:vMerge w:val="restart"/>
            <w:noWrap w:val="0"/>
            <w:vAlign w:val="center"/>
          </w:tcPr>
          <w:p w14:paraId="7AF3248A">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单价</w:t>
            </w:r>
          </w:p>
        </w:tc>
        <w:tc>
          <w:tcPr>
            <w:tcW w:w="1311" w:type="dxa"/>
            <w:vMerge w:val="restart"/>
            <w:noWrap w:val="0"/>
            <w:vAlign w:val="center"/>
          </w:tcPr>
          <w:p w14:paraId="51974DD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合价</w:t>
            </w:r>
          </w:p>
        </w:tc>
        <w:tc>
          <w:tcPr>
            <w:tcW w:w="1311" w:type="dxa"/>
            <w:vMerge w:val="restart"/>
            <w:noWrap w:val="0"/>
            <w:vAlign w:val="center"/>
          </w:tcPr>
          <w:p w14:paraId="6C9DCEF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备注（包装规格）</w:t>
            </w:r>
          </w:p>
        </w:tc>
      </w:tr>
      <w:tr w14:paraId="52F0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jc w:val="center"/>
        </w:trPr>
        <w:tc>
          <w:tcPr>
            <w:tcW w:w="887" w:type="dxa"/>
            <w:vMerge w:val="continue"/>
            <w:noWrap w:val="0"/>
            <w:vAlign w:val="center"/>
          </w:tcPr>
          <w:p w14:paraId="68C6A7E1">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317" w:type="dxa"/>
            <w:vMerge w:val="continue"/>
            <w:noWrap w:val="0"/>
            <w:vAlign w:val="center"/>
          </w:tcPr>
          <w:p w14:paraId="249385A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283" w:type="dxa"/>
            <w:noWrap w:val="0"/>
            <w:vAlign w:val="center"/>
          </w:tcPr>
          <w:p w14:paraId="13B2621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投标产品注册证名称</w:t>
            </w:r>
          </w:p>
        </w:tc>
        <w:tc>
          <w:tcPr>
            <w:tcW w:w="1393" w:type="dxa"/>
            <w:noWrap w:val="0"/>
            <w:vAlign w:val="center"/>
          </w:tcPr>
          <w:p w14:paraId="4C93B27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063" w:type="dxa"/>
            <w:noWrap w:val="0"/>
            <w:vAlign w:val="center"/>
          </w:tcPr>
          <w:p w14:paraId="7F4FAFC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生产厂家</w:t>
            </w:r>
          </w:p>
        </w:tc>
        <w:tc>
          <w:tcPr>
            <w:tcW w:w="1019" w:type="dxa"/>
            <w:noWrap w:val="0"/>
            <w:vAlign w:val="center"/>
          </w:tcPr>
          <w:p w14:paraId="5DB12F0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产地</w:t>
            </w:r>
          </w:p>
        </w:tc>
        <w:tc>
          <w:tcPr>
            <w:tcW w:w="1330" w:type="dxa"/>
            <w:noWrap w:val="0"/>
            <w:vAlign w:val="center"/>
          </w:tcPr>
          <w:p w14:paraId="5CD1F0E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注册证号</w:t>
            </w:r>
          </w:p>
        </w:tc>
        <w:tc>
          <w:tcPr>
            <w:tcW w:w="1311" w:type="dxa"/>
            <w:vMerge w:val="continue"/>
            <w:noWrap w:val="0"/>
            <w:vAlign w:val="center"/>
          </w:tcPr>
          <w:p w14:paraId="56720F8E">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5C46154A">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2BD7F080">
            <w:pPr>
              <w:tabs>
                <w:tab w:val="left" w:pos="9135"/>
              </w:tabs>
              <w:spacing w:line="360" w:lineRule="auto"/>
              <w:jc w:val="center"/>
              <w:rPr>
                <w:rFonts w:hint="eastAsia" w:ascii="宋体" w:hAnsi="宋体" w:eastAsia="宋体" w:cs="宋体"/>
                <w:bCs/>
                <w:color w:val="auto"/>
                <w:sz w:val="21"/>
                <w:szCs w:val="21"/>
                <w:highlight w:val="none"/>
                <w:lang w:val="en-US"/>
              </w:rPr>
            </w:pPr>
          </w:p>
        </w:tc>
        <w:tc>
          <w:tcPr>
            <w:tcW w:w="1311" w:type="dxa"/>
            <w:vMerge w:val="continue"/>
            <w:noWrap w:val="0"/>
            <w:vAlign w:val="center"/>
          </w:tcPr>
          <w:p w14:paraId="2FA42737">
            <w:pPr>
              <w:tabs>
                <w:tab w:val="left" w:pos="9135"/>
              </w:tabs>
              <w:spacing w:line="360" w:lineRule="auto"/>
              <w:jc w:val="center"/>
              <w:rPr>
                <w:rFonts w:hint="eastAsia" w:ascii="宋体" w:hAnsi="宋体" w:eastAsia="宋体" w:cs="宋体"/>
                <w:bCs/>
                <w:color w:val="auto"/>
                <w:sz w:val="21"/>
                <w:szCs w:val="21"/>
                <w:highlight w:val="none"/>
                <w:lang w:val="en-US"/>
              </w:rPr>
            </w:pPr>
          </w:p>
        </w:tc>
      </w:tr>
      <w:tr w14:paraId="5A27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87" w:type="dxa"/>
            <w:noWrap w:val="0"/>
            <w:vAlign w:val="center"/>
          </w:tcPr>
          <w:p w14:paraId="5E9A987C">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317" w:type="dxa"/>
            <w:noWrap w:val="0"/>
            <w:vAlign w:val="center"/>
          </w:tcPr>
          <w:p w14:paraId="6BCD375E">
            <w:pPr>
              <w:tabs>
                <w:tab w:val="left" w:pos="9135"/>
              </w:tabs>
              <w:spacing w:line="360" w:lineRule="auto"/>
              <w:jc w:val="center"/>
              <w:rPr>
                <w:rFonts w:hint="eastAsia" w:ascii="宋体" w:hAnsi="宋体" w:eastAsia="宋体" w:cs="宋体"/>
                <w:bCs/>
                <w:color w:val="auto"/>
                <w:sz w:val="21"/>
                <w:szCs w:val="21"/>
                <w:highlight w:val="none"/>
              </w:rPr>
            </w:pPr>
          </w:p>
        </w:tc>
        <w:tc>
          <w:tcPr>
            <w:tcW w:w="1283" w:type="dxa"/>
            <w:noWrap w:val="0"/>
            <w:vAlign w:val="center"/>
          </w:tcPr>
          <w:p w14:paraId="29755654">
            <w:pPr>
              <w:tabs>
                <w:tab w:val="left" w:pos="9135"/>
              </w:tabs>
              <w:spacing w:line="360" w:lineRule="auto"/>
              <w:jc w:val="center"/>
              <w:rPr>
                <w:rFonts w:hint="eastAsia" w:ascii="宋体" w:hAnsi="宋体" w:eastAsia="宋体" w:cs="宋体"/>
                <w:bCs/>
                <w:color w:val="auto"/>
                <w:sz w:val="21"/>
                <w:szCs w:val="21"/>
                <w:highlight w:val="none"/>
              </w:rPr>
            </w:pPr>
          </w:p>
        </w:tc>
        <w:tc>
          <w:tcPr>
            <w:tcW w:w="1393" w:type="dxa"/>
            <w:noWrap w:val="0"/>
            <w:vAlign w:val="center"/>
          </w:tcPr>
          <w:p w14:paraId="284DF5B2">
            <w:pPr>
              <w:tabs>
                <w:tab w:val="left" w:pos="9135"/>
              </w:tabs>
              <w:spacing w:line="360" w:lineRule="auto"/>
              <w:jc w:val="center"/>
              <w:rPr>
                <w:rFonts w:hint="eastAsia" w:ascii="宋体" w:hAnsi="宋体" w:eastAsia="宋体" w:cs="宋体"/>
                <w:bCs/>
                <w:color w:val="auto"/>
                <w:sz w:val="21"/>
                <w:szCs w:val="21"/>
                <w:highlight w:val="none"/>
              </w:rPr>
            </w:pPr>
          </w:p>
        </w:tc>
        <w:tc>
          <w:tcPr>
            <w:tcW w:w="1063" w:type="dxa"/>
            <w:noWrap w:val="0"/>
            <w:vAlign w:val="center"/>
          </w:tcPr>
          <w:p w14:paraId="37461F62">
            <w:pPr>
              <w:tabs>
                <w:tab w:val="left" w:pos="9135"/>
              </w:tabs>
              <w:spacing w:line="360" w:lineRule="auto"/>
              <w:jc w:val="center"/>
              <w:rPr>
                <w:rFonts w:hint="eastAsia" w:ascii="宋体" w:hAnsi="宋体" w:eastAsia="宋体" w:cs="宋体"/>
                <w:bCs/>
                <w:color w:val="auto"/>
                <w:sz w:val="21"/>
                <w:szCs w:val="21"/>
                <w:highlight w:val="none"/>
              </w:rPr>
            </w:pPr>
          </w:p>
        </w:tc>
        <w:tc>
          <w:tcPr>
            <w:tcW w:w="1019" w:type="dxa"/>
            <w:noWrap w:val="0"/>
            <w:vAlign w:val="center"/>
          </w:tcPr>
          <w:p w14:paraId="4F47F66F">
            <w:pPr>
              <w:tabs>
                <w:tab w:val="left" w:pos="9135"/>
              </w:tabs>
              <w:spacing w:line="360" w:lineRule="auto"/>
              <w:jc w:val="center"/>
              <w:rPr>
                <w:rFonts w:hint="eastAsia" w:ascii="宋体" w:hAnsi="宋体" w:eastAsia="宋体" w:cs="宋体"/>
                <w:bCs/>
                <w:color w:val="auto"/>
                <w:sz w:val="21"/>
                <w:szCs w:val="21"/>
                <w:highlight w:val="none"/>
              </w:rPr>
            </w:pPr>
          </w:p>
        </w:tc>
        <w:tc>
          <w:tcPr>
            <w:tcW w:w="1330" w:type="dxa"/>
            <w:noWrap w:val="0"/>
            <w:vAlign w:val="center"/>
          </w:tcPr>
          <w:p w14:paraId="0E0815C5">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00C12147">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32DA8EBC">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30E3FF8B">
            <w:pPr>
              <w:tabs>
                <w:tab w:val="left" w:pos="9135"/>
              </w:tabs>
              <w:spacing w:line="360" w:lineRule="auto"/>
              <w:rPr>
                <w:rFonts w:hint="eastAsia" w:ascii="宋体" w:hAnsi="宋体" w:eastAsia="宋体" w:cs="宋体"/>
                <w:bCs/>
                <w:color w:val="auto"/>
                <w:sz w:val="21"/>
                <w:szCs w:val="21"/>
                <w:highlight w:val="none"/>
              </w:rPr>
            </w:pPr>
          </w:p>
        </w:tc>
        <w:tc>
          <w:tcPr>
            <w:tcW w:w="1311" w:type="dxa"/>
            <w:noWrap w:val="0"/>
            <w:vAlign w:val="top"/>
          </w:tcPr>
          <w:p w14:paraId="1405D81A">
            <w:pPr>
              <w:tabs>
                <w:tab w:val="left" w:pos="9135"/>
              </w:tabs>
              <w:spacing w:line="360" w:lineRule="auto"/>
              <w:rPr>
                <w:rFonts w:hint="eastAsia" w:ascii="宋体" w:hAnsi="宋体" w:eastAsia="宋体" w:cs="宋体"/>
                <w:bCs/>
                <w:color w:val="auto"/>
                <w:sz w:val="21"/>
                <w:szCs w:val="21"/>
                <w:highlight w:val="none"/>
              </w:rPr>
            </w:pPr>
          </w:p>
        </w:tc>
      </w:tr>
      <w:tr w14:paraId="61FD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4ED38D3A">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交货期</w:t>
            </w:r>
          </w:p>
        </w:tc>
        <w:tc>
          <w:tcPr>
            <w:tcW w:w="10049" w:type="dxa"/>
            <w:gridSpan w:val="8"/>
            <w:noWrap w:val="0"/>
            <w:vAlign w:val="center"/>
          </w:tcPr>
          <w:p w14:paraId="624B0321">
            <w:pPr>
              <w:tabs>
                <w:tab w:val="left" w:pos="9135"/>
              </w:tabs>
              <w:spacing w:line="360" w:lineRule="auto"/>
              <w:jc w:val="center"/>
              <w:rPr>
                <w:rFonts w:hint="eastAsia" w:ascii="宋体" w:hAnsi="宋体" w:eastAsia="宋体" w:cs="宋体"/>
                <w:bCs/>
                <w:color w:val="auto"/>
                <w:sz w:val="21"/>
                <w:szCs w:val="21"/>
                <w:highlight w:val="none"/>
              </w:rPr>
            </w:pPr>
          </w:p>
        </w:tc>
      </w:tr>
      <w:tr w14:paraId="15EF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7162BAEF">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保修服务期</w:t>
            </w:r>
          </w:p>
        </w:tc>
        <w:tc>
          <w:tcPr>
            <w:tcW w:w="10049" w:type="dxa"/>
            <w:gridSpan w:val="8"/>
            <w:noWrap w:val="0"/>
            <w:vAlign w:val="center"/>
          </w:tcPr>
          <w:p w14:paraId="2A92D617">
            <w:pPr>
              <w:tabs>
                <w:tab w:val="left" w:pos="9135"/>
              </w:tabs>
              <w:spacing w:line="360" w:lineRule="auto"/>
              <w:jc w:val="center"/>
              <w:rPr>
                <w:rFonts w:hint="eastAsia" w:ascii="宋体" w:hAnsi="宋体" w:eastAsia="宋体" w:cs="宋体"/>
                <w:bCs/>
                <w:color w:val="auto"/>
                <w:sz w:val="21"/>
                <w:szCs w:val="21"/>
                <w:highlight w:val="none"/>
              </w:rPr>
            </w:pPr>
          </w:p>
        </w:tc>
      </w:tr>
      <w:tr w14:paraId="2408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487" w:type="dxa"/>
            <w:gridSpan w:val="3"/>
            <w:noWrap w:val="0"/>
            <w:vAlign w:val="center"/>
          </w:tcPr>
          <w:p w14:paraId="58621A16">
            <w:pPr>
              <w:tabs>
                <w:tab w:val="left" w:pos="9135"/>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投标总报价</w:t>
            </w:r>
          </w:p>
        </w:tc>
        <w:tc>
          <w:tcPr>
            <w:tcW w:w="10049" w:type="dxa"/>
            <w:gridSpan w:val="8"/>
            <w:noWrap w:val="0"/>
            <w:vAlign w:val="center"/>
          </w:tcPr>
          <w:p w14:paraId="6484E888">
            <w:pPr>
              <w:tabs>
                <w:tab w:val="left" w:pos="9135"/>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小写（元）：</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大写（元）：</w:t>
            </w:r>
          </w:p>
        </w:tc>
      </w:tr>
      <w:tr w14:paraId="4FF3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487" w:type="dxa"/>
            <w:gridSpan w:val="3"/>
            <w:noWrap w:val="0"/>
            <w:vAlign w:val="center"/>
          </w:tcPr>
          <w:p w14:paraId="4E620967">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w:t>
            </w:r>
          </w:p>
        </w:tc>
        <w:tc>
          <w:tcPr>
            <w:tcW w:w="10049" w:type="dxa"/>
            <w:gridSpan w:val="8"/>
            <w:noWrap w:val="0"/>
            <w:vAlign w:val="center"/>
          </w:tcPr>
          <w:p w14:paraId="73A45FB9">
            <w:pPr>
              <w:pStyle w:val="27"/>
              <w:ind w:firstLine="0" w:firstLineChars="0"/>
              <w:rPr>
                <w:rFonts w:hint="eastAsia" w:ascii="宋体" w:hAnsi="宋体" w:eastAsia="宋体" w:cs="宋体"/>
                <w:bCs/>
                <w:color w:val="auto"/>
                <w:sz w:val="21"/>
                <w:szCs w:val="21"/>
                <w:highlight w:val="none"/>
              </w:rPr>
            </w:pPr>
          </w:p>
        </w:tc>
      </w:tr>
    </w:tbl>
    <w:p w14:paraId="2768932D">
      <w:pPr>
        <w:shd w:val="clear"/>
        <w:rPr>
          <w:rFonts w:hint="eastAsia"/>
          <w:b w:val="0"/>
          <w:bCs/>
          <w:color w:val="auto"/>
          <w:szCs w:val="21"/>
          <w:highlight w:val="none"/>
          <w:u w:val="single"/>
          <w:shd w:val="clear" w:color="auto" w:fill="auto"/>
          <w:lang w:val="en-US" w:eastAsia="zh-CN"/>
        </w:rPr>
      </w:pPr>
    </w:p>
    <w:p w14:paraId="51101AF7">
      <w:pPr>
        <w:spacing w:line="300" w:lineRule="auto"/>
        <w:rPr>
          <w:rFonts w:ascii="Arial" w:hAnsi="Arial" w:cs="Arial"/>
          <w:color w:val="auto"/>
          <w:szCs w:val="21"/>
          <w:highlight w:val="none"/>
        </w:rPr>
      </w:pPr>
      <w:r>
        <w:rPr>
          <w:rFonts w:hint="eastAsia" w:ascii="Arial" w:hAnsi="Arial" w:cs="Arial"/>
          <w:color w:val="auto"/>
          <w:szCs w:val="21"/>
          <w:highlight w:val="none"/>
          <w:lang w:val="en-US" w:eastAsia="zh-CN"/>
        </w:rPr>
        <w:t>供应商</w:t>
      </w:r>
      <w:r>
        <w:rPr>
          <w:rFonts w:ascii="Arial" w:hAnsi="Arial" w:cs="Arial"/>
          <w:color w:val="auto"/>
          <w:szCs w:val="21"/>
          <w:highlight w:val="none"/>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w:t>
      </w:r>
      <w:r>
        <w:rPr>
          <w:rFonts w:hint="eastAsia" w:ascii="宋体" w:hAnsi="宋体" w:eastAsia="宋体" w:cs="宋体"/>
          <w:color w:val="auto"/>
          <w:kern w:val="0"/>
          <w:sz w:val="24"/>
          <w:szCs w:val="24"/>
          <w:highlight w:val="none"/>
          <w:lang w:eastAsia="zh-CN"/>
        </w:rPr>
        <w:t>章）</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7628D55">
      <w:pPr>
        <w:spacing w:line="240" w:lineRule="auto"/>
        <w:rPr>
          <w:rFonts w:hint="eastAsia" w:ascii="宋体" w:hAnsi="宋体" w:eastAsia="宋体" w:cs="宋体"/>
          <w:b/>
          <w:color w:val="auto"/>
          <w:sz w:val="24"/>
          <w:szCs w:val="24"/>
          <w:highlight w:val="none"/>
          <w:lang w:eastAsia="zh-CN"/>
        </w:rPr>
      </w:pPr>
    </w:p>
    <w:p w14:paraId="515061DF">
      <w:pPr>
        <w:spacing w:line="360" w:lineRule="auto"/>
        <w:rPr>
          <w:rFonts w:hint="eastAsia" w:ascii="宋体" w:hAnsi="宋体" w:eastAsia="宋体" w:cs="宋体"/>
          <w:b/>
          <w:color w:val="auto"/>
          <w:sz w:val="21"/>
          <w:szCs w:val="21"/>
          <w:highlight w:val="none"/>
          <w:lang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p>
    <w:p w14:paraId="63F3657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1.按照本表填写的总价填写到“</w:t>
      </w:r>
      <w:r>
        <w:rPr>
          <w:rFonts w:hint="eastAsia"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一览表”中对应的“投标报价”栏中。</w:t>
      </w:r>
    </w:p>
    <w:p w14:paraId="014946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表中所列货物为对应本项目需求的全部货物及所需附件购置费、包装费、运输费、人工费、保险费、安装调试费、各种税费、资料费、售后服务费及完成项目应有的全部费用。国家强制计量单位设备初次检定费用（如有）由中标供应商支付。如有漏项或缺项，投标人承担全部责任。</w:t>
      </w:r>
    </w:p>
    <w:p w14:paraId="7D0308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3.供应商需对第三章技术参数中所要求的的每种设备报价，其余附件及软件（如有）等配件不需单独报价，详列在配置清单内。</w:t>
      </w:r>
    </w:p>
    <w:p w14:paraId="66C30D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i w:val="0"/>
          <w:iCs w:val="0"/>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4.折扣条件与折扣声明应在表下注明。</w:t>
      </w:r>
    </w:p>
    <w:p w14:paraId="4DDBE92D">
      <w:pPr>
        <w:rPr>
          <w:rFonts w:hint="eastAsia" w:ascii="宋体" w:hAnsi="宋体" w:eastAsia="宋体" w:cs="宋体"/>
          <w:b w:val="0"/>
          <w:bCs w:val="0"/>
          <w:i w:val="0"/>
          <w:iCs w:val="0"/>
          <w:color w:val="auto"/>
          <w:kern w:val="0"/>
          <w:sz w:val="21"/>
          <w:szCs w:val="21"/>
          <w:highlight w:val="none"/>
          <w:lang w:val="en-US" w:eastAsia="zh-CN" w:bidi="ar"/>
        </w:rPr>
      </w:pPr>
      <w:bookmarkStart w:id="574" w:name="_Toc4379"/>
      <w:r>
        <w:rPr>
          <w:rFonts w:hint="eastAsia" w:ascii="宋体" w:hAnsi="宋体" w:eastAsia="宋体" w:cs="宋体"/>
          <w:b w:val="0"/>
          <w:bCs w:val="0"/>
          <w:i w:val="0"/>
          <w:iCs w:val="0"/>
          <w:color w:val="auto"/>
          <w:kern w:val="0"/>
          <w:sz w:val="21"/>
          <w:szCs w:val="21"/>
          <w:highlight w:val="none"/>
          <w:lang w:val="en-US" w:eastAsia="zh-CN" w:bidi="ar"/>
        </w:rPr>
        <w:br w:type="page"/>
      </w:r>
    </w:p>
    <w:bookmarkEnd w:id="574"/>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75" w:name="_Toc11961"/>
      <w:r>
        <w:rPr>
          <w:rFonts w:hint="eastAsia" w:cstheme="majorBidi"/>
          <w:b/>
          <w:bCs/>
          <w:color w:val="auto"/>
          <w:kern w:val="2"/>
          <w:sz w:val="32"/>
          <w:szCs w:val="32"/>
          <w:highlight w:val="none"/>
          <w:lang w:val="en-US" w:eastAsia="zh-CN" w:bidi="ar-SA"/>
        </w:rPr>
        <w:t>三、关于符合本国产品标准的声明函或财政部规定的其他</w:t>
      </w:r>
      <w:bookmarkEnd w:id="575"/>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76" w:name="_Toc3"/>
      <w:r>
        <w:rPr>
          <w:rFonts w:hint="eastAsia" w:cstheme="majorBidi"/>
          <w:b/>
          <w:bCs/>
          <w:color w:val="auto"/>
          <w:kern w:val="2"/>
          <w:sz w:val="32"/>
          <w:szCs w:val="32"/>
          <w:highlight w:val="none"/>
          <w:lang w:val="en-US" w:eastAsia="zh-CN" w:bidi="ar-SA"/>
        </w:rPr>
        <w:t>证明文件</w:t>
      </w:r>
      <w:bookmarkEnd w:id="576"/>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7CC3FE0F">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63DED44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64FB4B2">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5EC829F4">
      <w:pPr>
        <w:autoSpaceDE w:val="0"/>
        <w:autoSpaceDN w:val="0"/>
        <w:adjustRightInd w:val="0"/>
        <w:rPr>
          <w:color w:val="auto"/>
          <w:sz w:val="21"/>
          <w:szCs w:val="24"/>
          <w:highlight w:val="none"/>
        </w:rPr>
      </w:pPr>
    </w:p>
    <w:p w14:paraId="0D39B890">
      <w:pPr>
        <w:autoSpaceDE w:val="0"/>
        <w:autoSpaceDN w:val="0"/>
        <w:adjustRightInd w:val="0"/>
        <w:rPr>
          <w:color w:val="auto"/>
          <w:sz w:val="21"/>
          <w:szCs w:val="24"/>
          <w:highlight w:val="none"/>
        </w:rPr>
      </w:pPr>
    </w:p>
    <w:p w14:paraId="2314362E">
      <w:pPr>
        <w:autoSpaceDE w:val="0"/>
        <w:autoSpaceDN w:val="0"/>
        <w:adjustRightInd w:val="0"/>
        <w:jc w:val="center"/>
        <w:rPr>
          <w:color w:val="auto"/>
          <w:sz w:val="21"/>
          <w:szCs w:val="24"/>
          <w:highlight w:val="none"/>
        </w:rPr>
      </w:pPr>
    </w:p>
    <w:p w14:paraId="6E0AECFB">
      <w:pPr>
        <w:pStyle w:val="2"/>
        <w:bidi w:val="0"/>
        <w:rPr>
          <w:color w:val="auto"/>
          <w:sz w:val="72"/>
          <w:szCs w:val="72"/>
          <w:highlight w:val="none"/>
        </w:rPr>
      </w:pPr>
      <w:bookmarkStart w:id="577" w:name="_Toc32227"/>
      <w:r>
        <w:rPr>
          <w:rFonts w:hint="eastAsia"/>
          <w:color w:val="auto"/>
          <w:sz w:val="72"/>
          <w:szCs w:val="72"/>
          <w:highlight w:val="none"/>
          <w:lang w:val="en-US" w:eastAsia="zh-CN"/>
        </w:rPr>
        <w:t>响 应</w:t>
      </w:r>
      <w:r>
        <w:rPr>
          <w:rFonts w:hint="eastAsia"/>
          <w:color w:val="auto"/>
          <w:sz w:val="72"/>
          <w:szCs w:val="72"/>
          <w:highlight w:val="none"/>
        </w:rPr>
        <w:t xml:space="preserve"> 文 件</w:t>
      </w:r>
      <w:bookmarkEnd w:id="577"/>
    </w:p>
    <w:p w14:paraId="4AF2D630">
      <w:pPr>
        <w:pStyle w:val="2"/>
        <w:bidi w:val="0"/>
        <w:rPr>
          <w:rFonts w:hint="eastAsia"/>
          <w:color w:val="auto"/>
          <w:sz w:val="72"/>
          <w:szCs w:val="72"/>
          <w:highlight w:val="none"/>
          <w:lang w:val="en-US" w:eastAsia="zh-CN"/>
        </w:rPr>
      </w:pPr>
      <w:bookmarkStart w:id="578" w:name="_Toc19324"/>
      <w:r>
        <w:rPr>
          <w:rFonts w:hint="eastAsia"/>
          <w:color w:val="auto"/>
          <w:sz w:val="72"/>
          <w:szCs w:val="72"/>
          <w:highlight w:val="none"/>
          <w:lang w:val="en-US" w:eastAsia="zh-CN"/>
        </w:rPr>
        <w:t>商务技术文件</w:t>
      </w:r>
      <w:bookmarkEnd w:id="578"/>
    </w:p>
    <w:p w14:paraId="4C52C730">
      <w:pPr>
        <w:outlineLvl w:val="9"/>
        <w:rPr>
          <w:color w:val="auto"/>
          <w:sz w:val="21"/>
          <w:szCs w:val="21"/>
          <w:highlight w:val="none"/>
        </w:rPr>
      </w:pPr>
    </w:p>
    <w:p w14:paraId="14C1B3A8">
      <w:pPr>
        <w:rPr>
          <w:color w:val="auto"/>
          <w:sz w:val="21"/>
          <w:szCs w:val="21"/>
          <w:highlight w:val="none"/>
        </w:rPr>
      </w:pPr>
    </w:p>
    <w:p w14:paraId="15227E06">
      <w:pPr>
        <w:rPr>
          <w:color w:val="auto"/>
          <w:highlight w:val="none"/>
        </w:rPr>
      </w:pPr>
    </w:p>
    <w:p w14:paraId="41D881B8">
      <w:pPr>
        <w:autoSpaceDE w:val="0"/>
        <w:autoSpaceDN w:val="0"/>
        <w:adjustRightInd w:val="0"/>
        <w:rPr>
          <w:color w:val="auto"/>
          <w:sz w:val="21"/>
          <w:szCs w:val="21"/>
          <w:highlight w:val="none"/>
        </w:rPr>
      </w:pPr>
    </w:p>
    <w:p w14:paraId="1C7F5439">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C5E0224">
      <w:pPr>
        <w:jc w:val="center"/>
        <w:rPr>
          <w:rFonts w:ascii="黑体" w:hAnsi="黑体" w:eastAsia="黑体"/>
          <w:color w:val="auto"/>
          <w:sz w:val="32"/>
          <w:szCs w:val="32"/>
          <w:highlight w:val="none"/>
        </w:rPr>
      </w:pP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79" w:name="_Toc109900327"/>
      <w:bookmarkStart w:id="580" w:name="_Toc4097"/>
      <w:bookmarkStart w:id="581" w:name="_Toc30642"/>
      <w:bookmarkStart w:id="582" w:name="_Toc140132831"/>
      <w:bookmarkStart w:id="583" w:name="_Toc155185921"/>
      <w:bookmarkStart w:id="584" w:name="_Toc3577"/>
      <w:bookmarkStart w:id="585" w:name="_Toc25402"/>
      <w:bookmarkStart w:id="586" w:name="_Toc109899908"/>
      <w:bookmarkStart w:id="587" w:name="_Toc109899489"/>
      <w:r>
        <w:rPr>
          <w:rFonts w:hint="eastAsia" w:eastAsia="宋体" w:asciiTheme="majorHAnsi" w:hAnsiTheme="majorHAnsi" w:cstheme="majorBidi"/>
          <w:b/>
          <w:bCs/>
          <w:color w:val="auto"/>
          <w:kern w:val="2"/>
          <w:sz w:val="32"/>
          <w:szCs w:val="32"/>
          <w:highlight w:val="none"/>
          <w:lang w:val="en-US" w:eastAsia="zh-CN" w:bidi="ar-SA"/>
        </w:rPr>
        <w:t>一、</w:t>
      </w:r>
      <w:r>
        <w:rPr>
          <w:rFonts w:hint="eastAsia" w:cstheme="majorBidi"/>
          <w:b/>
          <w:bCs/>
          <w:color w:val="auto"/>
          <w:kern w:val="2"/>
          <w:sz w:val="32"/>
          <w:szCs w:val="32"/>
          <w:highlight w:val="none"/>
          <w:lang w:val="en-US" w:eastAsia="zh-CN" w:bidi="ar-SA"/>
        </w:rPr>
        <w:t>响应</w:t>
      </w:r>
      <w:r>
        <w:rPr>
          <w:rFonts w:hint="eastAsia" w:eastAsia="宋体" w:asciiTheme="majorHAnsi" w:hAnsiTheme="majorHAnsi" w:cstheme="majorBidi"/>
          <w:b/>
          <w:bCs/>
          <w:color w:val="auto"/>
          <w:kern w:val="2"/>
          <w:sz w:val="32"/>
          <w:szCs w:val="32"/>
          <w:highlight w:val="none"/>
          <w:lang w:val="en-US" w:eastAsia="zh-CN" w:bidi="ar-SA"/>
        </w:rPr>
        <w:t>函</w:t>
      </w:r>
      <w:bookmarkEnd w:id="579"/>
      <w:bookmarkEnd w:id="580"/>
      <w:bookmarkEnd w:id="581"/>
      <w:bookmarkEnd w:id="582"/>
      <w:bookmarkEnd w:id="583"/>
      <w:bookmarkEnd w:id="584"/>
      <w:bookmarkEnd w:id="585"/>
      <w:bookmarkEnd w:id="586"/>
      <w:bookmarkEnd w:id="587"/>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竞争性谈判公告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w:t>
      </w:r>
      <w:r>
        <w:rPr>
          <w:rFonts w:hint="eastAsia" w:cs="仿宋_GB2312"/>
          <w:color w:val="auto"/>
          <w:szCs w:val="24"/>
          <w:highlight w:val="none"/>
          <w:lang w:val="en-US" w:eastAsia="zh-CN"/>
        </w:rPr>
        <w:t>供应商</w:t>
      </w:r>
      <w:r>
        <w:rPr>
          <w:rFonts w:hint="eastAsia" w:cs="仿宋_GB2312"/>
          <w:color w:val="auto"/>
          <w:szCs w:val="24"/>
          <w:highlight w:val="none"/>
          <w:u w:val="single"/>
        </w:rPr>
        <w:t>（</w:t>
      </w:r>
      <w:r>
        <w:rPr>
          <w:rFonts w:hint="eastAsia" w:cs="仿宋_GB2312"/>
          <w:color w:val="auto"/>
          <w:szCs w:val="24"/>
          <w:highlight w:val="none"/>
          <w:u w:val="single"/>
          <w:lang w:val="en-US" w:eastAsia="zh-CN"/>
        </w:rPr>
        <w:t>供应商</w:t>
      </w:r>
      <w:r>
        <w:rPr>
          <w:rFonts w:hint="eastAsia" w:cs="仿宋_GB2312"/>
          <w:color w:val="auto"/>
          <w:szCs w:val="24"/>
          <w:highlight w:val="none"/>
          <w:u w:val="single"/>
        </w:rPr>
        <w:t>名称、地址）</w:t>
      </w:r>
      <w:r>
        <w:rPr>
          <w:rFonts w:hint="eastAsia" w:cs="仿宋_GB2312"/>
          <w:color w:val="auto"/>
          <w:szCs w:val="24"/>
          <w:highlight w:val="none"/>
        </w:rPr>
        <w:t>提交下述文件</w:t>
      </w:r>
      <w:r>
        <w:rPr>
          <w:rFonts w:hint="eastAsia" w:cs="仿宋_GB2312"/>
          <w:b/>
          <w:bCs/>
          <w:color w:val="auto"/>
          <w:szCs w:val="24"/>
          <w:highlight w:val="none"/>
        </w:rPr>
        <w:t>：</w:t>
      </w:r>
    </w:p>
    <w:p w14:paraId="31DE4B23">
      <w:pPr>
        <w:spacing w:line="324" w:lineRule="auto"/>
        <w:ind w:firstLine="480" w:firstLineChars="200"/>
        <w:rPr>
          <w:rFonts w:hint="eastAsia" w:cs="Arial"/>
          <w:color w:val="auto"/>
          <w:szCs w:val="24"/>
          <w:highlight w:val="none"/>
          <w:lang w:val="en-US" w:eastAsia="zh-CN"/>
        </w:rPr>
      </w:pPr>
      <w:r>
        <w:rPr>
          <w:rFonts w:hint="eastAsia" w:cs="Arial"/>
          <w:color w:val="auto"/>
          <w:szCs w:val="24"/>
          <w:highlight w:val="none"/>
          <w:lang w:val="en-US" w:eastAsia="zh-CN"/>
        </w:rPr>
        <w:t>1.资格证明文件；</w:t>
      </w:r>
    </w:p>
    <w:p w14:paraId="7E086E9D">
      <w:pPr>
        <w:spacing w:line="324" w:lineRule="auto"/>
        <w:ind w:firstLine="480" w:firstLineChars="200"/>
        <w:rPr>
          <w:rFonts w:hint="eastAsia" w:cs="Arial"/>
          <w:color w:val="auto"/>
          <w:szCs w:val="24"/>
          <w:highlight w:val="none"/>
          <w:lang w:val="en-US" w:eastAsia="zh-CN"/>
        </w:rPr>
      </w:pPr>
      <w:r>
        <w:rPr>
          <w:rFonts w:hint="eastAsia" w:cs="Arial"/>
          <w:color w:val="auto"/>
          <w:szCs w:val="24"/>
          <w:highlight w:val="none"/>
          <w:lang w:val="en-US" w:eastAsia="zh-CN"/>
        </w:rPr>
        <w:t>2.报价文件；</w:t>
      </w:r>
    </w:p>
    <w:p w14:paraId="260B7A8D">
      <w:pPr>
        <w:spacing w:line="324" w:lineRule="auto"/>
        <w:ind w:firstLine="480" w:firstLineChars="200"/>
        <w:rPr>
          <w:rFonts w:hint="default" w:cs="Arial"/>
          <w:color w:val="auto"/>
          <w:szCs w:val="24"/>
          <w:highlight w:val="none"/>
          <w:lang w:val="en-US" w:eastAsia="zh-CN"/>
        </w:rPr>
      </w:pPr>
      <w:r>
        <w:rPr>
          <w:rFonts w:hint="eastAsia" w:cs="Arial"/>
          <w:color w:val="auto"/>
          <w:szCs w:val="24"/>
          <w:highlight w:val="none"/>
          <w:lang w:val="en-US" w:eastAsia="zh-CN"/>
        </w:rPr>
        <w:t>3.商务技术文件。</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w:t>
      </w:r>
      <w:r>
        <w:rPr>
          <w:rFonts w:hint="eastAsia" w:cs="Arial"/>
          <w:color w:val="auto"/>
          <w:szCs w:val="24"/>
          <w:highlight w:val="none"/>
          <w:lang w:val="en-US" w:eastAsia="zh-CN"/>
        </w:rPr>
        <w:t>报价一览</w:t>
      </w:r>
      <w:r>
        <w:rPr>
          <w:rFonts w:cs="Arial"/>
          <w:color w:val="auto"/>
          <w:szCs w:val="24"/>
          <w:highlight w:val="none"/>
        </w:rPr>
        <w:t>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w:t>
      </w:r>
      <w:r>
        <w:rPr>
          <w:rFonts w:hint="eastAsia" w:cs="仿宋_GB2312"/>
          <w:color w:val="auto"/>
          <w:szCs w:val="24"/>
          <w:highlight w:val="none"/>
          <w:lang w:val="en-US" w:eastAsia="zh-CN"/>
        </w:rPr>
        <w:t>竞争性谈判</w:t>
      </w:r>
      <w:r>
        <w:rPr>
          <w:rFonts w:cs="Arial"/>
          <w:color w:val="auto"/>
          <w:szCs w:val="24"/>
          <w:highlight w:val="none"/>
        </w:rPr>
        <w:t>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w:t>
      </w:r>
      <w:r>
        <w:rPr>
          <w:rFonts w:hint="eastAsia" w:cs="仿宋_GB2312"/>
          <w:color w:val="auto"/>
          <w:szCs w:val="24"/>
          <w:highlight w:val="none"/>
          <w:lang w:val="en-US" w:eastAsia="zh-CN"/>
        </w:rPr>
        <w:t>竞争性谈判</w:t>
      </w:r>
      <w:r>
        <w:rPr>
          <w:rFonts w:cs="Arial"/>
          <w:color w:val="auto"/>
          <w:szCs w:val="24"/>
          <w:highlight w:val="none"/>
        </w:rPr>
        <w:t>文件</w:t>
      </w:r>
      <w:r>
        <w:rPr>
          <w:rFonts w:cs="Arial"/>
          <w:i w:val="0"/>
          <w:iCs w:val="0"/>
          <w:color w:val="auto"/>
          <w:szCs w:val="24"/>
          <w:highlight w:val="none"/>
        </w:rPr>
        <w:t>，包括第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竞争性谈判</w:t>
      </w:r>
      <w:r>
        <w:rPr>
          <w:rFonts w:hint="eastAsia" w:cs="Arial"/>
          <w:i w:val="0"/>
          <w:iCs w:val="0"/>
          <w:color w:val="auto"/>
          <w:szCs w:val="24"/>
          <w:highlight w:val="none"/>
        </w:rPr>
        <w:t>文件</w:t>
      </w:r>
      <w:r>
        <w:rPr>
          <w:rFonts w:cs="Arial"/>
          <w:i w:val="0"/>
          <w:iCs w:val="0"/>
          <w:color w:val="auto"/>
          <w:szCs w:val="24"/>
          <w:highlight w:val="none"/>
        </w:rPr>
        <w:t>要求的与</w:t>
      </w:r>
      <w:r>
        <w:rPr>
          <w:rFonts w:hint="eastAsia" w:cs="Arial"/>
          <w:i w:val="0"/>
          <w:iCs w:val="0"/>
          <w:color w:val="auto"/>
          <w:szCs w:val="24"/>
          <w:highlight w:val="none"/>
          <w:lang w:val="en-US" w:eastAsia="zh-CN"/>
        </w:rPr>
        <w:t>谈判响应</w:t>
      </w:r>
      <w:r>
        <w:rPr>
          <w:rFonts w:cs="Arial"/>
          <w:i w:val="0"/>
          <w:iCs w:val="0"/>
          <w:color w:val="auto"/>
          <w:szCs w:val="24"/>
          <w:highlight w:val="none"/>
        </w:rPr>
        <w:t>有关的一切数据或资料。</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w:t>
      </w:r>
      <w:r>
        <w:rPr>
          <w:rFonts w:hint="eastAsia"/>
          <w:color w:val="auto"/>
          <w:szCs w:val="24"/>
          <w:highlight w:val="none"/>
        </w:rPr>
        <w:t>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w:t>
      </w:r>
      <w:r>
        <w:rPr>
          <w:rFonts w:hint="eastAsia"/>
          <w:color w:val="auto"/>
          <w:szCs w:val="24"/>
          <w:highlight w:val="none"/>
          <w:lang w:val="en-US" w:eastAsia="zh-CN"/>
        </w:rPr>
        <w:t>响应</w:t>
      </w:r>
      <w:r>
        <w:rPr>
          <w:rFonts w:hint="eastAsia"/>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5）我方承诺本《</w:t>
      </w:r>
      <w:r>
        <w:rPr>
          <w:rFonts w:hint="eastAsia"/>
          <w:color w:val="auto"/>
          <w:szCs w:val="24"/>
          <w:highlight w:val="none"/>
          <w:lang w:val="en-US" w:eastAsia="zh-CN"/>
        </w:rPr>
        <w:t>响应</w:t>
      </w:r>
      <w:r>
        <w:rPr>
          <w:rFonts w:hint="eastAsia"/>
          <w:color w:val="auto"/>
          <w:szCs w:val="24"/>
          <w:highlight w:val="none"/>
        </w:rPr>
        <w:t>函》的签章对本</w:t>
      </w:r>
      <w:r>
        <w:rPr>
          <w:rFonts w:hint="eastAsia"/>
          <w:color w:val="auto"/>
          <w:szCs w:val="24"/>
          <w:highlight w:val="none"/>
          <w:lang w:val="en-US" w:eastAsia="zh-CN"/>
        </w:rPr>
        <w:t>响应</w:t>
      </w:r>
      <w:r>
        <w:rPr>
          <w:rFonts w:hint="eastAsia"/>
          <w:color w:val="auto"/>
          <w:szCs w:val="24"/>
          <w:highlight w:val="none"/>
        </w:rPr>
        <w:t>文件全部内容具有约束力并承担法律责任。</w:t>
      </w:r>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lang w:val="en-US" w:eastAsia="zh-CN"/>
        </w:rPr>
        <w:t>供应商名称</w:t>
      </w:r>
      <w:r>
        <w:rPr>
          <w:rFonts w:hint="eastAsia" w:cs="宋体"/>
          <w:color w:val="auto"/>
          <w:highlight w:val="none"/>
        </w:rPr>
        <w:t>（公章）：</w:t>
      </w:r>
    </w:p>
    <w:p w14:paraId="1186FA25">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88" w:name="_Toc13314"/>
      <w:bookmarkStart w:id="589" w:name="_Toc13659"/>
      <w:bookmarkStart w:id="590" w:name="_Toc15518592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588"/>
      <w:bookmarkEnd w:id="589"/>
      <w:bookmarkEnd w:id="590"/>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名称（加盖公章）：</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法定代表人（单位负责人）（签字或签章）：</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1" w:name="_Toc16728"/>
      <w:bookmarkStart w:id="592" w:name="_Toc155185925"/>
      <w:bookmarkStart w:id="593" w:name="_Toc31851"/>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591"/>
      <w:bookmarkEnd w:id="592"/>
      <w:bookmarkEnd w:id="593"/>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w:t>
      </w:r>
      <w:r>
        <w:rPr>
          <w:rFonts w:hint="eastAsia" w:cs="仿宋_GB2312"/>
          <w:color w:val="auto"/>
          <w:szCs w:val="24"/>
          <w:highlight w:val="none"/>
          <w:u w:val="none"/>
          <w:lang w:val="en-US" w:eastAsia="zh-CN"/>
        </w:rPr>
        <w:t>供应商</w:t>
      </w:r>
      <w:r>
        <w:rPr>
          <w:rFonts w:hint="eastAsia" w:cs="仿宋_GB2312"/>
          <w:color w:val="auto"/>
          <w:szCs w:val="24"/>
          <w:highlight w:val="none"/>
          <w:u w:val="none"/>
        </w:rPr>
        <w:t>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w:t>
      </w:r>
      <w:r>
        <w:rPr>
          <w:rFonts w:hint="eastAsia" w:cs="仿宋_GB2312"/>
          <w:color w:val="auto"/>
          <w:szCs w:val="24"/>
          <w:highlight w:val="none"/>
          <w:lang w:val="en-US" w:eastAsia="zh-CN"/>
        </w:rPr>
        <w:t>响应</w:t>
      </w:r>
      <w:r>
        <w:rPr>
          <w:rFonts w:hint="eastAsia" w:cs="仿宋_GB2312"/>
          <w:color w:val="auto"/>
          <w:szCs w:val="24"/>
          <w:highlight w:val="none"/>
        </w:rPr>
        <w:t>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自本授权委托书签署之日起至响应文件有效期届满之日止。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名称（加盖公章）：</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法定代表人（单位负责人）（签字或签章）：</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u w:val="single"/>
          <w:lang w:val="en-US"/>
        </w:rPr>
      </w:pPr>
      <w:r>
        <w:rPr>
          <w:rFonts w:hint="eastAsia" w:ascii="宋体" w:hAnsi="宋体" w:eastAsia="宋体" w:cs="宋体"/>
          <w:color w:val="auto"/>
          <w:kern w:val="0"/>
          <w:sz w:val="24"/>
          <w:szCs w:val="24"/>
          <w:highlight w:val="none"/>
          <w:lang w:val="en-US" w:eastAsia="zh-CN" w:bidi="ar"/>
        </w:rPr>
        <w:t>委托代理人（签字或签章）：</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供应商为自然人的情形，可不提供本《授权委托书》。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4" w:name="_Toc163492928"/>
      <w:bookmarkStart w:id="595" w:name="_Toc155185934"/>
      <w:bookmarkStart w:id="596" w:name="_Toc10900"/>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594"/>
      <w:bookmarkEnd w:id="595"/>
      <w:r>
        <w:rPr>
          <w:rFonts w:hint="eastAsia" w:eastAsia="宋体" w:asciiTheme="majorHAnsi" w:hAnsiTheme="majorHAnsi" w:cstheme="majorBidi"/>
          <w:b/>
          <w:bCs/>
          <w:color w:val="auto"/>
          <w:kern w:val="2"/>
          <w:sz w:val="32"/>
          <w:szCs w:val="32"/>
          <w:highlight w:val="none"/>
          <w:lang w:val="zh-CN" w:eastAsia="zh-CN" w:bidi="ar-SA"/>
        </w:rPr>
        <w:t>政府采购供应商廉洁自律承诺书</w:t>
      </w:r>
      <w:bookmarkEnd w:id="596"/>
    </w:p>
    <w:p w14:paraId="2AB445CF">
      <w:pPr>
        <w:pStyle w:val="11"/>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w:t>
      </w:r>
      <w:r>
        <w:rPr>
          <w:rFonts w:hint="eastAsia" w:cs="宋体"/>
          <w:color w:val="auto"/>
          <w:kern w:val="0"/>
          <w:sz w:val="24"/>
          <w:szCs w:val="24"/>
          <w:highlight w:val="none"/>
          <w:lang w:val="en-US" w:eastAsia="zh-CN"/>
        </w:rPr>
        <w:t>竞争性谈判文件</w:t>
      </w:r>
      <w:r>
        <w:rPr>
          <w:rFonts w:hint="eastAsia" w:ascii="宋体" w:hAnsi="宋体" w:cs="宋体"/>
          <w:color w:val="auto"/>
          <w:kern w:val="0"/>
          <w:sz w:val="24"/>
          <w:szCs w:val="24"/>
          <w:highlight w:val="none"/>
          <w:lang w:val="zh-CN"/>
        </w:rPr>
        <w:t>要求参加</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。在这次</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过程中和</w:t>
      </w:r>
      <w:r>
        <w:rPr>
          <w:rFonts w:hint="eastAsia" w:cs="宋体"/>
          <w:color w:val="auto"/>
          <w:kern w:val="0"/>
          <w:sz w:val="24"/>
          <w:szCs w:val="24"/>
          <w:highlight w:val="none"/>
          <w:lang w:val="en-US" w:eastAsia="zh-CN"/>
        </w:rPr>
        <w:t>成交</w:t>
      </w:r>
      <w:r>
        <w:rPr>
          <w:rFonts w:hint="eastAsia" w:ascii="宋体" w:hAnsi="宋体" w:cs="宋体"/>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w:t>
      </w:r>
      <w:r>
        <w:rPr>
          <w:rFonts w:hint="eastAsia" w:cs="宋体"/>
          <w:color w:val="auto"/>
          <w:kern w:val="0"/>
          <w:sz w:val="24"/>
          <w:szCs w:val="24"/>
          <w:highlight w:val="none"/>
          <w:lang w:val="en-US" w:eastAsia="zh-CN"/>
        </w:rPr>
        <w:t>成交</w:t>
      </w:r>
      <w:r>
        <w:rPr>
          <w:rFonts w:hint="eastAsia" w:ascii="宋体" w:hAnsi="宋体" w:cs="宋体"/>
          <w:color w:val="auto"/>
          <w:kern w:val="0"/>
          <w:sz w:val="24"/>
          <w:szCs w:val="24"/>
          <w:highlight w:val="none"/>
          <w:lang w:val="zh-CN"/>
        </w:rPr>
        <w:t>或在建项目的建设资格，有权拒绝我单位在一定时期内进入你单位进行项目建设或其他经营活动，并通报</w:t>
      </w:r>
      <w:r>
        <w:rPr>
          <w:rFonts w:hint="eastAsia" w:ascii="宋体" w:hAnsi="宋体" w:cs="宋体"/>
          <w:color w:val="auto"/>
          <w:kern w:val="0"/>
          <w:sz w:val="24"/>
          <w:szCs w:val="24"/>
          <w:highlight w:val="none"/>
          <w:lang w:val="en-US" w:eastAsia="zh-CN"/>
        </w:rPr>
        <w:t>兵团</w:t>
      </w:r>
      <w:r>
        <w:rPr>
          <w:rFonts w:hint="eastAsia" w:ascii="宋体" w:hAnsi="宋体" w:cs="宋体"/>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1"/>
        <w:rPr>
          <w:rFonts w:hint="eastAsia" w:eastAsia="宋体" w:asciiTheme="majorHAnsi" w:hAnsiTheme="majorHAnsi" w:cstheme="majorBidi"/>
          <w:b/>
          <w:bCs/>
          <w:color w:val="auto"/>
          <w:kern w:val="2"/>
          <w:sz w:val="24"/>
          <w:szCs w:val="24"/>
          <w:highlight w:val="none"/>
          <w:lang w:val="en-US" w:eastAsia="zh-CN" w:bidi="ar-SA"/>
        </w:rPr>
      </w:pPr>
    </w:p>
    <w:p w14:paraId="2CC927CA">
      <w:pPr>
        <w:pStyle w:val="11"/>
        <w:rPr>
          <w:rFonts w:hint="eastAsia" w:eastAsia="宋体" w:asciiTheme="majorHAnsi" w:hAnsiTheme="majorHAnsi" w:cstheme="majorBidi"/>
          <w:b/>
          <w:bCs/>
          <w:color w:val="auto"/>
          <w:kern w:val="2"/>
          <w:sz w:val="24"/>
          <w:szCs w:val="24"/>
          <w:highlight w:val="none"/>
          <w:lang w:val="en-US" w:eastAsia="zh-CN" w:bidi="ar-SA"/>
        </w:rPr>
      </w:pPr>
    </w:p>
    <w:p w14:paraId="18FDCDE0">
      <w:pPr>
        <w:pStyle w:val="11"/>
        <w:rPr>
          <w:rFonts w:hint="eastAsia" w:eastAsia="宋体" w:asciiTheme="majorHAnsi" w:hAnsiTheme="majorHAnsi" w:cstheme="majorBidi"/>
          <w:b/>
          <w:bCs/>
          <w:color w:val="auto"/>
          <w:kern w:val="2"/>
          <w:sz w:val="24"/>
          <w:szCs w:val="24"/>
          <w:highlight w:val="none"/>
          <w:lang w:val="en-US" w:eastAsia="zh-CN" w:bidi="ar-SA"/>
        </w:rPr>
      </w:pPr>
    </w:p>
    <w:p w14:paraId="0D5FD33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7" w:name="_Toc19356"/>
      <w:r>
        <w:rPr>
          <w:rFonts w:hint="eastAsia" w:eastAsia="宋体" w:asciiTheme="majorHAnsi" w:hAnsiTheme="majorHAnsi" w:cstheme="majorBidi"/>
          <w:b/>
          <w:bCs/>
          <w:color w:val="auto"/>
          <w:kern w:val="2"/>
          <w:sz w:val="32"/>
          <w:szCs w:val="32"/>
          <w:highlight w:val="none"/>
          <w:lang w:val="en-US" w:eastAsia="zh-CN" w:bidi="ar-SA"/>
        </w:rPr>
        <w:t>五、实质性响应一览表</w:t>
      </w:r>
      <w:r>
        <w:rPr>
          <w:rFonts w:hint="eastAsia" w:eastAsia="宋体" w:asciiTheme="majorHAnsi" w:hAnsiTheme="majorHAnsi" w:cstheme="majorBidi"/>
          <w:b/>
          <w:bCs/>
          <w:color w:val="auto"/>
          <w:kern w:val="2"/>
          <w:sz w:val="32"/>
          <w:szCs w:val="32"/>
          <w:highlight w:val="none"/>
          <w:lang w:val="zh-CN" w:eastAsia="zh-CN" w:bidi="ar-SA"/>
        </w:rPr>
        <w:t>【</w:t>
      </w:r>
      <w:r>
        <w:rPr>
          <w:rFonts w:hint="eastAsia" w:eastAsia="宋体" w:asciiTheme="majorHAnsi" w:hAnsiTheme="majorHAnsi" w:cstheme="majorBidi"/>
          <w:b/>
          <w:bCs/>
          <w:color w:val="auto"/>
          <w:kern w:val="2"/>
          <w:sz w:val="32"/>
          <w:szCs w:val="32"/>
          <w:highlight w:val="none"/>
          <w:lang w:val="en-US" w:eastAsia="zh-CN" w:bidi="ar-SA"/>
        </w:rPr>
        <w:t>本表须与第四章的一致】</w:t>
      </w:r>
      <w:bookmarkEnd w:id="597"/>
    </w:p>
    <w:p w14:paraId="72869DE6">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line="360" w:lineRule="exact"/>
        <w:jc w:val="center"/>
        <w:textAlignment w:val="auto"/>
        <w:rPr>
          <w:rFonts w:hint="eastAsia" w:ascii="宋体" w:hAnsi="宋体" w:cs="宋体"/>
          <w:b/>
          <w:color w:val="auto"/>
          <w:sz w:val="24"/>
          <w:highlight w:val="none"/>
        </w:rPr>
      </w:pPr>
      <w:r>
        <w:rPr>
          <w:rFonts w:hint="eastAsia" w:ascii="宋体" w:hAnsi="宋体" w:cs="宋体"/>
          <w:b w:val="0"/>
          <w:bCs/>
          <w:color w:val="auto"/>
          <w:sz w:val="24"/>
          <w:highlight w:val="none"/>
        </w:rPr>
        <w:t>（供应商须对本附表所有内容逐条响应且无负偏离，否则</w:t>
      </w:r>
      <w:r>
        <w:rPr>
          <w:rFonts w:hint="eastAsia" w:cs="宋体"/>
          <w:b w:val="0"/>
          <w:bCs/>
          <w:color w:val="auto"/>
          <w:sz w:val="24"/>
          <w:highlight w:val="none"/>
          <w:lang w:val="en-US" w:eastAsia="zh-CN"/>
        </w:rPr>
        <w:t>其</w:t>
      </w:r>
      <w:r>
        <w:rPr>
          <w:rFonts w:hint="eastAsia" w:cs="宋体"/>
          <w:b/>
          <w:color w:val="auto"/>
          <w:sz w:val="24"/>
          <w:highlight w:val="none"/>
          <w:lang w:val="en-US" w:eastAsia="zh-CN"/>
        </w:rPr>
        <w:t>响应</w:t>
      </w:r>
      <w:r>
        <w:rPr>
          <w:rFonts w:hint="eastAsia" w:ascii="宋体" w:hAnsi="宋体" w:cs="宋体"/>
          <w:b/>
          <w:color w:val="auto"/>
          <w:sz w:val="24"/>
          <w:highlight w:val="none"/>
        </w:rPr>
        <w:t>无效</w:t>
      </w:r>
      <w:r>
        <w:rPr>
          <w:rFonts w:hint="eastAsia" w:ascii="宋体" w:hAnsi="宋体" w:cs="宋体"/>
          <w:b w:val="0"/>
          <w:bCs/>
          <w:color w:val="auto"/>
          <w:sz w:val="24"/>
          <w:highlight w:val="none"/>
        </w:rPr>
        <w:t>）</w:t>
      </w:r>
    </w:p>
    <w:p w14:paraId="597D85C2">
      <w:pPr>
        <w:pStyle w:val="21"/>
        <w:rPr>
          <w:rFonts w:hint="eastAsia" w:ascii="宋体" w:hAnsi="宋体" w:cs="宋体"/>
          <w:color w:val="auto"/>
          <w:highlight w:val="none"/>
        </w:rPr>
      </w:pPr>
    </w:p>
    <w:tbl>
      <w:tblPr>
        <w:tblStyle w:val="28"/>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94"/>
        <w:gridCol w:w="3668"/>
        <w:gridCol w:w="1956"/>
        <w:gridCol w:w="731"/>
      </w:tblGrid>
      <w:tr w14:paraId="563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53" w:type="pct"/>
            <w:vMerge w:val="restart"/>
            <w:noWrap w:val="0"/>
            <w:vAlign w:val="center"/>
          </w:tcPr>
          <w:p w14:paraId="70DEA68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35" w:type="pct"/>
            <w:gridSpan w:val="2"/>
            <w:noWrap w:val="0"/>
            <w:vAlign w:val="center"/>
          </w:tcPr>
          <w:p w14:paraId="7BD88E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文件要求的实质性响应内容</w:t>
            </w:r>
          </w:p>
        </w:tc>
        <w:tc>
          <w:tcPr>
            <w:tcW w:w="1026" w:type="pct"/>
            <w:vMerge w:val="restart"/>
            <w:noWrap w:val="0"/>
            <w:vAlign w:val="center"/>
          </w:tcPr>
          <w:p w14:paraId="2598ED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文件具体</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响应内容</w:t>
            </w:r>
          </w:p>
        </w:tc>
        <w:tc>
          <w:tcPr>
            <w:tcW w:w="384" w:type="pct"/>
            <w:vMerge w:val="restart"/>
            <w:noWrap w:val="0"/>
            <w:vAlign w:val="center"/>
          </w:tcPr>
          <w:p w14:paraId="0E80A1F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2B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53" w:type="pct"/>
            <w:vMerge w:val="continue"/>
            <w:noWrap w:val="0"/>
            <w:vAlign w:val="center"/>
          </w:tcPr>
          <w:p w14:paraId="788F114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309" w:type="pct"/>
            <w:noWrap w:val="0"/>
            <w:vAlign w:val="center"/>
          </w:tcPr>
          <w:p w14:paraId="5B941D5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实质性要求</w:t>
            </w:r>
          </w:p>
        </w:tc>
        <w:tc>
          <w:tcPr>
            <w:tcW w:w="1926" w:type="pct"/>
            <w:noWrap w:val="0"/>
            <w:vAlign w:val="center"/>
          </w:tcPr>
          <w:p w14:paraId="1887A7E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文件中的规定</w:t>
            </w:r>
          </w:p>
        </w:tc>
        <w:tc>
          <w:tcPr>
            <w:tcW w:w="1026" w:type="pct"/>
            <w:vMerge w:val="continue"/>
            <w:noWrap w:val="0"/>
            <w:vAlign w:val="center"/>
          </w:tcPr>
          <w:p w14:paraId="5FF6F4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p>
        </w:tc>
        <w:tc>
          <w:tcPr>
            <w:tcW w:w="384" w:type="pct"/>
            <w:vMerge w:val="continue"/>
            <w:noWrap w:val="0"/>
            <w:vAlign w:val="center"/>
          </w:tcPr>
          <w:p w14:paraId="231BB2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p>
        </w:tc>
      </w:tr>
      <w:tr w14:paraId="19E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30499C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09" w:type="pct"/>
            <w:noWrap w:val="0"/>
            <w:vAlign w:val="center"/>
          </w:tcPr>
          <w:p w14:paraId="1710CDD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noWrap w:val="0"/>
            <w:vAlign w:val="center"/>
          </w:tcPr>
          <w:p w14:paraId="63B0DE90">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4"/>
                <w:szCs w:val="24"/>
                <w:highlight w:val="none"/>
              </w:rPr>
            </w:pPr>
          </w:p>
        </w:tc>
        <w:tc>
          <w:tcPr>
            <w:tcW w:w="1026" w:type="pct"/>
            <w:noWrap w:val="0"/>
            <w:vAlign w:val="center"/>
          </w:tcPr>
          <w:p w14:paraId="0B1E2F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259753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8B0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4CBD69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09" w:type="pct"/>
            <w:noWrap w:val="0"/>
            <w:vAlign w:val="center"/>
          </w:tcPr>
          <w:p w14:paraId="07A7760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noWrap w:val="0"/>
            <w:vAlign w:val="center"/>
          </w:tcPr>
          <w:p w14:paraId="5649ACF6">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4"/>
                <w:szCs w:val="24"/>
                <w:highlight w:val="none"/>
                <w:lang w:eastAsia="zh-CN"/>
              </w:rPr>
            </w:pPr>
          </w:p>
        </w:tc>
        <w:tc>
          <w:tcPr>
            <w:tcW w:w="1026" w:type="pct"/>
            <w:noWrap w:val="0"/>
            <w:vAlign w:val="center"/>
          </w:tcPr>
          <w:p w14:paraId="4746B94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06627A9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70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3B9948B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09" w:type="pct"/>
            <w:noWrap w:val="0"/>
            <w:vAlign w:val="center"/>
          </w:tcPr>
          <w:p w14:paraId="3EA4601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926" w:type="pct"/>
            <w:noWrap w:val="0"/>
            <w:vAlign w:val="center"/>
          </w:tcPr>
          <w:p w14:paraId="62EC5B93">
            <w:pPr>
              <w:pStyle w:val="6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26" w:type="pct"/>
            <w:noWrap w:val="0"/>
            <w:vAlign w:val="center"/>
          </w:tcPr>
          <w:p w14:paraId="0A9F833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08E089D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0C6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08F7075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09" w:type="pct"/>
            <w:noWrap w:val="0"/>
            <w:vAlign w:val="center"/>
          </w:tcPr>
          <w:p w14:paraId="695BCC8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926" w:type="pct"/>
            <w:noWrap w:val="0"/>
            <w:vAlign w:val="center"/>
          </w:tcPr>
          <w:p w14:paraId="7AA3A6E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26" w:type="pct"/>
            <w:noWrap w:val="0"/>
            <w:vAlign w:val="center"/>
          </w:tcPr>
          <w:p w14:paraId="0F2477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7E09989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1BA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01C20F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309" w:type="pct"/>
            <w:noWrap w:val="0"/>
            <w:vAlign w:val="center"/>
          </w:tcPr>
          <w:p w14:paraId="6450B6FD">
            <w:pPr>
              <w:pStyle w:val="6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sz w:val="24"/>
                <w:szCs w:val="24"/>
                <w:highlight w:val="none"/>
                <w:lang w:val="en-US" w:eastAsia="zh-CN"/>
              </w:rPr>
            </w:pPr>
          </w:p>
        </w:tc>
        <w:tc>
          <w:tcPr>
            <w:tcW w:w="1926" w:type="pct"/>
            <w:noWrap w:val="0"/>
            <w:vAlign w:val="center"/>
          </w:tcPr>
          <w:p w14:paraId="76FAB450">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26" w:type="pct"/>
            <w:noWrap w:val="0"/>
            <w:vAlign w:val="center"/>
          </w:tcPr>
          <w:p w14:paraId="07DA94E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07E6D39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7D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4F43B45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309" w:type="pct"/>
            <w:noWrap w:val="0"/>
            <w:vAlign w:val="center"/>
          </w:tcPr>
          <w:p w14:paraId="369ABC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noWrap w:val="0"/>
            <w:vAlign w:val="center"/>
          </w:tcPr>
          <w:p w14:paraId="3A38EA74">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026" w:type="pct"/>
            <w:noWrap w:val="0"/>
            <w:vAlign w:val="center"/>
          </w:tcPr>
          <w:p w14:paraId="24EE6A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1ABD1D6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0163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6E2F165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309" w:type="pct"/>
            <w:noWrap w:val="0"/>
            <w:vAlign w:val="center"/>
          </w:tcPr>
          <w:p w14:paraId="317CE50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noWrap w:val="0"/>
            <w:vAlign w:val="center"/>
          </w:tcPr>
          <w:p w14:paraId="678C19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026" w:type="pct"/>
            <w:noWrap w:val="0"/>
            <w:vAlign w:val="center"/>
          </w:tcPr>
          <w:p w14:paraId="63C11E7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168EE7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01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65574B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309" w:type="pct"/>
            <w:shd w:val="clear" w:color="auto" w:fill="auto"/>
            <w:noWrap w:val="0"/>
            <w:vAlign w:val="center"/>
          </w:tcPr>
          <w:p w14:paraId="4892F810">
            <w:pPr>
              <w:pStyle w:val="45"/>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rPr>
              <w:t>……</w:t>
            </w:r>
          </w:p>
        </w:tc>
        <w:tc>
          <w:tcPr>
            <w:tcW w:w="1926" w:type="pct"/>
            <w:noWrap w:val="0"/>
            <w:vAlign w:val="center"/>
          </w:tcPr>
          <w:p w14:paraId="6EE496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26" w:type="pct"/>
            <w:noWrap w:val="0"/>
            <w:vAlign w:val="center"/>
          </w:tcPr>
          <w:p w14:paraId="5A390DA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639F59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4758525D">
      <w:pPr>
        <w:rPr>
          <w:rFonts w:hint="eastAsia" w:cstheme="majorBidi"/>
          <w:b/>
          <w:bCs/>
          <w:color w:val="auto"/>
          <w:kern w:val="2"/>
          <w:sz w:val="32"/>
          <w:szCs w:val="32"/>
          <w:highlight w:val="none"/>
          <w:lang w:val="en-US" w:eastAsia="zh-CN" w:bidi="ar-SA"/>
        </w:rPr>
      </w:pPr>
    </w:p>
    <w:p w14:paraId="75D4FE8C">
      <w:pPr>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br w:type="page"/>
      </w: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8" w:name="_Toc3163"/>
      <w:bookmarkStart w:id="599" w:name="_Toc24814"/>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598"/>
      <w:bookmarkEnd w:id="599"/>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8"/>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393"/>
        <w:gridCol w:w="1719"/>
        <w:gridCol w:w="1870"/>
        <w:gridCol w:w="1870"/>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5"/>
              <w:jc w:val="center"/>
              <w:rPr>
                <w:color w:val="auto"/>
                <w:highlight w:val="none"/>
              </w:rPr>
            </w:pPr>
            <w:r>
              <w:rPr>
                <w:rFonts w:hint="eastAsia"/>
                <w:color w:val="auto"/>
                <w:highlight w:val="none"/>
              </w:rPr>
              <w:t>序号</w:t>
            </w:r>
          </w:p>
        </w:tc>
        <w:tc>
          <w:tcPr>
            <w:tcW w:w="1395" w:type="pct"/>
            <w:vAlign w:val="center"/>
          </w:tcPr>
          <w:p w14:paraId="7CB83CD6">
            <w:pPr>
              <w:pStyle w:val="45"/>
              <w:jc w:val="center"/>
              <w:rPr>
                <w:color w:val="auto"/>
                <w:highlight w:val="none"/>
              </w:rPr>
            </w:pPr>
            <w:r>
              <w:rPr>
                <w:rFonts w:hint="eastAsia"/>
                <w:color w:val="auto"/>
                <w:highlight w:val="none"/>
                <w:lang w:val="en-US" w:eastAsia="zh-CN"/>
              </w:rPr>
              <w:t>竞争性谈判</w:t>
            </w:r>
            <w:r>
              <w:rPr>
                <w:rFonts w:hint="eastAsia"/>
                <w:color w:val="auto"/>
                <w:highlight w:val="none"/>
              </w:rPr>
              <w:t>文件的商务条款</w:t>
            </w:r>
          </w:p>
        </w:tc>
        <w:tc>
          <w:tcPr>
            <w:tcW w:w="1002" w:type="pct"/>
            <w:vAlign w:val="center"/>
          </w:tcPr>
          <w:p w14:paraId="55A47B57">
            <w:pPr>
              <w:pStyle w:val="45"/>
              <w:jc w:val="center"/>
              <w:rPr>
                <w:color w:val="auto"/>
                <w:highlight w:val="none"/>
              </w:rPr>
            </w:pPr>
            <w:r>
              <w:rPr>
                <w:rFonts w:hint="eastAsia"/>
                <w:color w:val="auto"/>
                <w:highlight w:val="none"/>
                <w:lang w:val="en-US" w:eastAsia="zh-CN"/>
              </w:rPr>
              <w:t>响应</w:t>
            </w:r>
            <w:r>
              <w:rPr>
                <w:rFonts w:hint="eastAsia"/>
                <w:color w:val="auto"/>
                <w:highlight w:val="none"/>
              </w:rPr>
              <w:t>文件的响应内容</w:t>
            </w:r>
          </w:p>
        </w:tc>
        <w:tc>
          <w:tcPr>
            <w:tcW w:w="1090" w:type="pct"/>
            <w:vAlign w:val="center"/>
          </w:tcPr>
          <w:p w14:paraId="2572E859">
            <w:pPr>
              <w:pStyle w:val="45"/>
              <w:jc w:val="center"/>
              <w:rPr>
                <w:color w:val="auto"/>
                <w:highlight w:val="none"/>
              </w:rPr>
            </w:pPr>
            <w:r>
              <w:rPr>
                <w:rFonts w:hint="eastAsia"/>
                <w:color w:val="auto"/>
                <w:highlight w:val="none"/>
              </w:rPr>
              <w:t>响应情况</w:t>
            </w:r>
          </w:p>
        </w:tc>
        <w:tc>
          <w:tcPr>
            <w:tcW w:w="1090" w:type="pct"/>
            <w:vAlign w:val="center"/>
          </w:tcPr>
          <w:p w14:paraId="7884F206">
            <w:pPr>
              <w:pStyle w:val="45"/>
              <w:jc w:val="center"/>
              <w:rPr>
                <w:color w:val="auto"/>
                <w:highlight w:val="none"/>
              </w:rPr>
            </w:pPr>
            <w:r>
              <w:rPr>
                <w:rFonts w:hint="eastAsia"/>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5"/>
              <w:jc w:val="center"/>
              <w:rPr>
                <w:color w:val="auto"/>
                <w:highlight w:val="none"/>
              </w:rPr>
            </w:pPr>
            <w:r>
              <w:rPr>
                <w:rFonts w:hint="eastAsia"/>
                <w:color w:val="auto"/>
                <w:highlight w:val="none"/>
              </w:rPr>
              <w:t>1</w:t>
            </w:r>
          </w:p>
        </w:tc>
        <w:tc>
          <w:tcPr>
            <w:tcW w:w="1395" w:type="pct"/>
            <w:vAlign w:val="center"/>
          </w:tcPr>
          <w:p w14:paraId="34566CA0">
            <w:pPr>
              <w:pStyle w:val="45"/>
              <w:jc w:val="center"/>
              <w:rPr>
                <w:color w:val="auto"/>
                <w:highlight w:val="none"/>
              </w:rPr>
            </w:pPr>
            <w:r>
              <w:rPr>
                <w:rFonts w:hint="eastAsia"/>
                <w:color w:val="auto"/>
                <w:highlight w:val="none"/>
              </w:rPr>
              <w:t>*</w:t>
            </w:r>
            <w:r>
              <w:rPr>
                <w:color w:val="auto"/>
                <w:highlight w:val="none"/>
              </w:rPr>
              <w:t>******</w:t>
            </w:r>
          </w:p>
        </w:tc>
        <w:tc>
          <w:tcPr>
            <w:tcW w:w="1002" w:type="pct"/>
            <w:vAlign w:val="center"/>
          </w:tcPr>
          <w:p w14:paraId="1C6482B4">
            <w:pPr>
              <w:pStyle w:val="45"/>
              <w:jc w:val="center"/>
              <w:rPr>
                <w:color w:val="auto"/>
                <w:highlight w:val="none"/>
              </w:rPr>
            </w:pPr>
            <w:r>
              <w:rPr>
                <w:rFonts w:hint="eastAsia"/>
                <w:color w:val="auto"/>
                <w:highlight w:val="none"/>
              </w:rPr>
              <w:t>*</w:t>
            </w:r>
            <w:r>
              <w:rPr>
                <w:color w:val="auto"/>
                <w:highlight w:val="none"/>
              </w:rPr>
              <w:t>******</w:t>
            </w:r>
          </w:p>
        </w:tc>
        <w:tc>
          <w:tcPr>
            <w:tcW w:w="1090" w:type="pct"/>
            <w:vAlign w:val="center"/>
          </w:tcPr>
          <w:p w14:paraId="1BBD0417">
            <w:pPr>
              <w:pStyle w:val="45"/>
              <w:jc w:val="center"/>
              <w:rPr>
                <w:color w:val="auto"/>
                <w:highlight w:val="none"/>
              </w:rPr>
            </w:pPr>
            <w:r>
              <w:rPr>
                <w:rFonts w:hint="eastAsia"/>
                <w:color w:val="auto"/>
                <w:highlight w:val="none"/>
              </w:rPr>
              <w:t>响应</w:t>
            </w:r>
            <w:r>
              <w:rPr>
                <w:color w:val="auto"/>
                <w:highlight w:val="none"/>
              </w:rPr>
              <w:t>/偏离</w:t>
            </w:r>
          </w:p>
        </w:tc>
        <w:tc>
          <w:tcPr>
            <w:tcW w:w="1090" w:type="pct"/>
            <w:vAlign w:val="center"/>
          </w:tcPr>
          <w:p w14:paraId="1A90E39C">
            <w:pPr>
              <w:pStyle w:val="45"/>
              <w:jc w:val="center"/>
              <w:rPr>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5"/>
              <w:jc w:val="center"/>
              <w:rPr>
                <w:color w:val="auto"/>
                <w:highlight w:val="none"/>
              </w:rPr>
            </w:pPr>
            <w:r>
              <w:rPr>
                <w:rFonts w:hint="eastAsia"/>
                <w:color w:val="auto"/>
                <w:highlight w:val="none"/>
              </w:rPr>
              <w:t>2</w:t>
            </w:r>
          </w:p>
        </w:tc>
        <w:tc>
          <w:tcPr>
            <w:tcW w:w="1395" w:type="pct"/>
            <w:vAlign w:val="center"/>
          </w:tcPr>
          <w:p w14:paraId="2A717A55">
            <w:pPr>
              <w:pStyle w:val="45"/>
              <w:jc w:val="center"/>
              <w:rPr>
                <w:color w:val="auto"/>
                <w:highlight w:val="none"/>
              </w:rPr>
            </w:pPr>
            <w:r>
              <w:rPr>
                <w:rFonts w:hint="eastAsia"/>
                <w:color w:val="auto"/>
                <w:highlight w:val="none"/>
              </w:rPr>
              <w:t>*</w:t>
            </w:r>
            <w:r>
              <w:rPr>
                <w:color w:val="auto"/>
                <w:highlight w:val="none"/>
              </w:rPr>
              <w:t>******</w:t>
            </w:r>
          </w:p>
        </w:tc>
        <w:tc>
          <w:tcPr>
            <w:tcW w:w="1002" w:type="pct"/>
            <w:vAlign w:val="center"/>
          </w:tcPr>
          <w:p w14:paraId="20EC7575">
            <w:pPr>
              <w:pStyle w:val="45"/>
              <w:jc w:val="center"/>
              <w:rPr>
                <w:color w:val="auto"/>
                <w:highlight w:val="none"/>
              </w:rPr>
            </w:pPr>
            <w:r>
              <w:rPr>
                <w:rFonts w:hint="eastAsia"/>
                <w:color w:val="auto"/>
                <w:highlight w:val="none"/>
              </w:rPr>
              <w:t>*</w:t>
            </w:r>
            <w:r>
              <w:rPr>
                <w:color w:val="auto"/>
                <w:highlight w:val="none"/>
              </w:rPr>
              <w:t>******</w:t>
            </w:r>
          </w:p>
        </w:tc>
        <w:tc>
          <w:tcPr>
            <w:tcW w:w="1090" w:type="pct"/>
            <w:vAlign w:val="center"/>
          </w:tcPr>
          <w:p w14:paraId="5923E58D">
            <w:pPr>
              <w:pStyle w:val="45"/>
              <w:jc w:val="center"/>
              <w:rPr>
                <w:color w:val="auto"/>
                <w:highlight w:val="none"/>
              </w:rPr>
            </w:pPr>
          </w:p>
        </w:tc>
        <w:tc>
          <w:tcPr>
            <w:tcW w:w="1090" w:type="pct"/>
            <w:vAlign w:val="center"/>
          </w:tcPr>
          <w:p w14:paraId="59C2C317">
            <w:pPr>
              <w:pStyle w:val="45"/>
              <w:jc w:val="center"/>
              <w:rPr>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5"/>
              <w:jc w:val="center"/>
              <w:rPr>
                <w:color w:val="auto"/>
                <w:highlight w:val="none"/>
              </w:rPr>
            </w:pPr>
            <w:r>
              <w:rPr>
                <w:rFonts w:hint="eastAsia"/>
                <w:color w:val="auto"/>
                <w:highlight w:val="none"/>
              </w:rPr>
              <w:t>3</w:t>
            </w:r>
          </w:p>
        </w:tc>
        <w:tc>
          <w:tcPr>
            <w:tcW w:w="1395" w:type="pct"/>
            <w:vAlign w:val="center"/>
          </w:tcPr>
          <w:p w14:paraId="595245DB">
            <w:pPr>
              <w:pStyle w:val="45"/>
              <w:jc w:val="center"/>
              <w:rPr>
                <w:color w:val="auto"/>
                <w:highlight w:val="none"/>
              </w:rPr>
            </w:pPr>
            <w:r>
              <w:rPr>
                <w:rFonts w:hint="eastAsia"/>
                <w:color w:val="auto"/>
                <w:highlight w:val="none"/>
              </w:rPr>
              <w:t>*</w:t>
            </w:r>
            <w:r>
              <w:rPr>
                <w:color w:val="auto"/>
                <w:highlight w:val="none"/>
              </w:rPr>
              <w:t>******</w:t>
            </w:r>
          </w:p>
        </w:tc>
        <w:tc>
          <w:tcPr>
            <w:tcW w:w="1002" w:type="pct"/>
            <w:vAlign w:val="center"/>
          </w:tcPr>
          <w:p w14:paraId="0A16B4B6">
            <w:pPr>
              <w:pStyle w:val="45"/>
              <w:jc w:val="center"/>
              <w:rPr>
                <w:color w:val="auto"/>
                <w:highlight w:val="none"/>
              </w:rPr>
            </w:pPr>
            <w:r>
              <w:rPr>
                <w:rFonts w:hint="eastAsia"/>
                <w:color w:val="auto"/>
                <w:highlight w:val="none"/>
              </w:rPr>
              <w:t>*</w:t>
            </w:r>
            <w:r>
              <w:rPr>
                <w:color w:val="auto"/>
                <w:highlight w:val="none"/>
              </w:rPr>
              <w:t>******</w:t>
            </w:r>
          </w:p>
        </w:tc>
        <w:tc>
          <w:tcPr>
            <w:tcW w:w="1090" w:type="pct"/>
            <w:vAlign w:val="center"/>
          </w:tcPr>
          <w:p w14:paraId="58535F72">
            <w:pPr>
              <w:pStyle w:val="45"/>
              <w:jc w:val="center"/>
              <w:rPr>
                <w:color w:val="auto"/>
                <w:highlight w:val="none"/>
              </w:rPr>
            </w:pPr>
          </w:p>
        </w:tc>
        <w:tc>
          <w:tcPr>
            <w:tcW w:w="1090" w:type="pct"/>
            <w:vAlign w:val="center"/>
          </w:tcPr>
          <w:p w14:paraId="50AB520B">
            <w:pPr>
              <w:pStyle w:val="45"/>
              <w:jc w:val="center"/>
              <w:rPr>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5"/>
              <w:jc w:val="center"/>
              <w:rPr>
                <w:color w:val="auto"/>
                <w:highlight w:val="none"/>
              </w:rPr>
            </w:pPr>
          </w:p>
        </w:tc>
        <w:tc>
          <w:tcPr>
            <w:tcW w:w="1395" w:type="pct"/>
            <w:vAlign w:val="center"/>
          </w:tcPr>
          <w:p w14:paraId="14968038">
            <w:pPr>
              <w:pStyle w:val="45"/>
              <w:jc w:val="center"/>
              <w:rPr>
                <w:color w:val="auto"/>
                <w:highlight w:val="none"/>
              </w:rPr>
            </w:pPr>
          </w:p>
        </w:tc>
        <w:tc>
          <w:tcPr>
            <w:tcW w:w="1002" w:type="pct"/>
            <w:vAlign w:val="center"/>
          </w:tcPr>
          <w:p w14:paraId="10A6B59E">
            <w:pPr>
              <w:pStyle w:val="45"/>
              <w:jc w:val="center"/>
              <w:rPr>
                <w:color w:val="auto"/>
                <w:highlight w:val="none"/>
              </w:rPr>
            </w:pPr>
          </w:p>
        </w:tc>
        <w:tc>
          <w:tcPr>
            <w:tcW w:w="1090" w:type="pct"/>
            <w:vAlign w:val="center"/>
          </w:tcPr>
          <w:p w14:paraId="61702DF6">
            <w:pPr>
              <w:pStyle w:val="45"/>
              <w:jc w:val="center"/>
              <w:rPr>
                <w:color w:val="auto"/>
                <w:highlight w:val="none"/>
              </w:rPr>
            </w:pPr>
          </w:p>
        </w:tc>
        <w:tc>
          <w:tcPr>
            <w:tcW w:w="1090" w:type="pct"/>
            <w:vAlign w:val="center"/>
          </w:tcPr>
          <w:p w14:paraId="0CC18FC2">
            <w:pPr>
              <w:pStyle w:val="45"/>
              <w:jc w:val="center"/>
              <w:rPr>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5"/>
              <w:jc w:val="center"/>
              <w:rPr>
                <w:color w:val="auto"/>
                <w:highlight w:val="none"/>
              </w:rPr>
            </w:pPr>
          </w:p>
        </w:tc>
        <w:tc>
          <w:tcPr>
            <w:tcW w:w="1395" w:type="pct"/>
            <w:vAlign w:val="center"/>
          </w:tcPr>
          <w:p w14:paraId="5DDD9937">
            <w:pPr>
              <w:pStyle w:val="45"/>
              <w:jc w:val="center"/>
              <w:rPr>
                <w:color w:val="auto"/>
                <w:highlight w:val="none"/>
              </w:rPr>
            </w:pPr>
          </w:p>
        </w:tc>
        <w:tc>
          <w:tcPr>
            <w:tcW w:w="1002" w:type="pct"/>
            <w:vAlign w:val="center"/>
          </w:tcPr>
          <w:p w14:paraId="0B29A018">
            <w:pPr>
              <w:pStyle w:val="45"/>
              <w:jc w:val="center"/>
              <w:rPr>
                <w:color w:val="auto"/>
                <w:highlight w:val="none"/>
              </w:rPr>
            </w:pPr>
          </w:p>
        </w:tc>
        <w:tc>
          <w:tcPr>
            <w:tcW w:w="1090" w:type="pct"/>
            <w:vAlign w:val="center"/>
          </w:tcPr>
          <w:p w14:paraId="1FA693DE">
            <w:pPr>
              <w:pStyle w:val="45"/>
              <w:jc w:val="center"/>
              <w:rPr>
                <w:color w:val="auto"/>
                <w:highlight w:val="none"/>
              </w:rPr>
            </w:pPr>
          </w:p>
        </w:tc>
        <w:tc>
          <w:tcPr>
            <w:tcW w:w="1090" w:type="pct"/>
            <w:vAlign w:val="center"/>
          </w:tcPr>
          <w:p w14:paraId="3D633AB6">
            <w:pPr>
              <w:pStyle w:val="45"/>
              <w:jc w:val="center"/>
              <w:rPr>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5"/>
              <w:jc w:val="center"/>
              <w:rPr>
                <w:color w:val="auto"/>
                <w:highlight w:val="none"/>
              </w:rPr>
            </w:pPr>
          </w:p>
        </w:tc>
        <w:tc>
          <w:tcPr>
            <w:tcW w:w="1395" w:type="pct"/>
            <w:vAlign w:val="center"/>
          </w:tcPr>
          <w:p w14:paraId="014A297F">
            <w:pPr>
              <w:pStyle w:val="45"/>
              <w:jc w:val="center"/>
              <w:rPr>
                <w:color w:val="auto"/>
                <w:highlight w:val="none"/>
              </w:rPr>
            </w:pPr>
          </w:p>
        </w:tc>
        <w:tc>
          <w:tcPr>
            <w:tcW w:w="1002" w:type="pct"/>
            <w:vAlign w:val="center"/>
          </w:tcPr>
          <w:p w14:paraId="51467013">
            <w:pPr>
              <w:pStyle w:val="45"/>
              <w:jc w:val="center"/>
              <w:rPr>
                <w:color w:val="auto"/>
                <w:highlight w:val="none"/>
              </w:rPr>
            </w:pPr>
          </w:p>
        </w:tc>
        <w:tc>
          <w:tcPr>
            <w:tcW w:w="1090" w:type="pct"/>
            <w:vAlign w:val="center"/>
          </w:tcPr>
          <w:p w14:paraId="011E40CA">
            <w:pPr>
              <w:pStyle w:val="45"/>
              <w:jc w:val="center"/>
              <w:rPr>
                <w:color w:val="auto"/>
                <w:highlight w:val="none"/>
              </w:rPr>
            </w:pPr>
          </w:p>
        </w:tc>
        <w:tc>
          <w:tcPr>
            <w:tcW w:w="1090" w:type="pct"/>
            <w:vAlign w:val="center"/>
          </w:tcPr>
          <w:p w14:paraId="7062C313">
            <w:pPr>
              <w:pStyle w:val="45"/>
              <w:jc w:val="center"/>
              <w:rPr>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5"/>
              <w:jc w:val="center"/>
              <w:rPr>
                <w:color w:val="auto"/>
                <w:highlight w:val="none"/>
              </w:rPr>
            </w:pPr>
          </w:p>
        </w:tc>
        <w:tc>
          <w:tcPr>
            <w:tcW w:w="1395" w:type="pct"/>
            <w:vAlign w:val="center"/>
          </w:tcPr>
          <w:p w14:paraId="010A1BB0">
            <w:pPr>
              <w:pStyle w:val="45"/>
              <w:jc w:val="center"/>
              <w:rPr>
                <w:color w:val="auto"/>
                <w:highlight w:val="none"/>
              </w:rPr>
            </w:pPr>
          </w:p>
        </w:tc>
        <w:tc>
          <w:tcPr>
            <w:tcW w:w="1002" w:type="pct"/>
            <w:vAlign w:val="center"/>
          </w:tcPr>
          <w:p w14:paraId="1EE22C75">
            <w:pPr>
              <w:pStyle w:val="45"/>
              <w:jc w:val="center"/>
              <w:rPr>
                <w:color w:val="auto"/>
                <w:highlight w:val="none"/>
              </w:rPr>
            </w:pPr>
          </w:p>
        </w:tc>
        <w:tc>
          <w:tcPr>
            <w:tcW w:w="1090" w:type="pct"/>
            <w:vAlign w:val="center"/>
          </w:tcPr>
          <w:p w14:paraId="3C86F2CC">
            <w:pPr>
              <w:pStyle w:val="45"/>
              <w:jc w:val="center"/>
              <w:rPr>
                <w:color w:val="auto"/>
                <w:highlight w:val="none"/>
              </w:rPr>
            </w:pPr>
          </w:p>
        </w:tc>
        <w:tc>
          <w:tcPr>
            <w:tcW w:w="1090" w:type="pct"/>
            <w:vAlign w:val="center"/>
          </w:tcPr>
          <w:p w14:paraId="515EA04E">
            <w:pPr>
              <w:pStyle w:val="45"/>
              <w:jc w:val="center"/>
              <w:rPr>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45"/>
              <w:jc w:val="center"/>
              <w:rPr>
                <w:color w:val="auto"/>
                <w:highlight w:val="none"/>
              </w:rPr>
            </w:pPr>
          </w:p>
        </w:tc>
        <w:tc>
          <w:tcPr>
            <w:tcW w:w="1395" w:type="pct"/>
            <w:vAlign w:val="center"/>
          </w:tcPr>
          <w:p w14:paraId="1C7A6406">
            <w:pPr>
              <w:pStyle w:val="45"/>
              <w:jc w:val="center"/>
              <w:rPr>
                <w:color w:val="auto"/>
                <w:highlight w:val="none"/>
              </w:rPr>
            </w:pPr>
          </w:p>
        </w:tc>
        <w:tc>
          <w:tcPr>
            <w:tcW w:w="1002" w:type="pct"/>
            <w:vAlign w:val="center"/>
          </w:tcPr>
          <w:p w14:paraId="7F774DAF">
            <w:pPr>
              <w:pStyle w:val="45"/>
              <w:jc w:val="center"/>
              <w:rPr>
                <w:color w:val="auto"/>
                <w:highlight w:val="none"/>
              </w:rPr>
            </w:pPr>
          </w:p>
        </w:tc>
        <w:tc>
          <w:tcPr>
            <w:tcW w:w="1090" w:type="pct"/>
            <w:vAlign w:val="center"/>
          </w:tcPr>
          <w:p w14:paraId="66A55C54">
            <w:pPr>
              <w:pStyle w:val="45"/>
              <w:jc w:val="center"/>
              <w:rPr>
                <w:color w:val="auto"/>
                <w:highlight w:val="none"/>
              </w:rPr>
            </w:pPr>
          </w:p>
        </w:tc>
        <w:tc>
          <w:tcPr>
            <w:tcW w:w="1090" w:type="pct"/>
            <w:vAlign w:val="center"/>
          </w:tcPr>
          <w:p w14:paraId="6FC3A7DB">
            <w:pPr>
              <w:pStyle w:val="45"/>
              <w:jc w:val="center"/>
              <w:rPr>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45"/>
              <w:jc w:val="center"/>
              <w:rPr>
                <w:color w:val="auto"/>
                <w:highlight w:val="none"/>
              </w:rPr>
            </w:pPr>
          </w:p>
        </w:tc>
        <w:tc>
          <w:tcPr>
            <w:tcW w:w="1395" w:type="pct"/>
            <w:vAlign w:val="center"/>
          </w:tcPr>
          <w:p w14:paraId="5A1690B5">
            <w:pPr>
              <w:pStyle w:val="45"/>
              <w:jc w:val="center"/>
              <w:rPr>
                <w:color w:val="auto"/>
                <w:highlight w:val="none"/>
              </w:rPr>
            </w:pPr>
          </w:p>
        </w:tc>
        <w:tc>
          <w:tcPr>
            <w:tcW w:w="1002" w:type="pct"/>
            <w:vAlign w:val="center"/>
          </w:tcPr>
          <w:p w14:paraId="735418C2">
            <w:pPr>
              <w:pStyle w:val="45"/>
              <w:jc w:val="center"/>
              <w:rPr>
                <w:color w:val="auto"/>
                <w:highlight w:val="none"/>
              </w:rPr>
            </w:pPr>
          </w:p>
        </w:tc>
        <w:tc>
          <w:tcPr>
            <w:tcW w:w="1090" w:type="pct"/>
            <w:vAlign w:val="center"/>
          </w:tcPr>
          <w:p w14:paraId="13F6671D">
            <w:pPr>
              <w:pStyle w:val="45"/>
              <w:jc w:val="center"/>
              <w:rPr>
                <w:color w:val="auto"/>
                <w:highlight w:val="none"/>
              </w:rPr>
            </w:pPr>
          </w:p>
        </w:tc>
        <w:tc>
          <w:tcPr>
            <w:tcW w:w="1090" w:type="pct"/>
            <w:vAlign w:val="center"/>
          </w:tcPr>
          <w:p w14:paraId="3DC0B3BB">
            <w:pPr>
              <w:pStyle w:val="45"/>
              <w:jc w:val="center"/>
              <w:rPr>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5"/>
              <w:jc w:val="center"/>
              <w:rPr>
                <w:color w:val="auto"/>
                <w:highlight w:val="none"/>
              </w:rPr>
            </w:pPr>
            <w:r>
              <w:rPr>
                <w:rFonts w:hint="eastAsia"/>
                <w:color w:val="auto"/>
                <w:highlight w:val="none"/>
              </w:rPr>
              <w:t>……</w:t>
            </w:r>
          </w:p>
        </w:tc>
        <w:tc>
          <w:tcPr>
            <w:tcW w:w="1395" w:type="pct"/>
            <w:vAlign w:val="center"/>
          </w:tcPr>
          <w:p w14:paraId="6324A49D">
            <w:pPr>
              <w:pStyle w:val="45"/>
              <w:jc w:val="center"/>
              <w:rPr>
                <w:color w:val="auto"/>
                <w:highlight w:val="none"/>
              </w:rPr>
            </w:pPr>
            <w:r>
              <w:rPr>
                <w:rFonts w:hint="eastAsia"/>
                <w:color w:val="auto"/>
                <w:highlight w:val="none"/>
              </w:rPr>
              <w:t>…………</w:t>
            </w:r>
          </w:p>
        </w:tc>
        <w:tc>
          <w:tcPr>
            <w:tcW w:w="1002" w:type="pct"/>
            <w:vAlign w:val="center"/>
          </w:tcPr>
          <w:p w14:paraId="0EE83785">
            <w:pPr>
              <w:pStyle w:val="45"/>
              <w:jc w:val="center"/>
              <w:rPr>
                <w:color w:val="auto"/>
                <w:highlight w:val="none"/>
              </w:rPr>
            </w:pPr>
            <w:r>
              <w:rPr>
                <w:rFonts w:hint="eastAsia"/>
                <w:color w:val="auto"/>
                <w:highlight w:val="none"/>
              </w:rPr>
              <w:t>…………</w:t>
            </w:r>
          </w:p>
        </w:tc>
        <w:tc>
          <w:tcPr>
            <w:tcW w:w="1090" w:type="pct"/>
            <w:vAlign w:val="center"/>
          </w:tcPr>
          <w:p w14:paraId="7A24BB2D">
            <w:pPr>
              <w:pStyle w:val="45"/>
              <w:jc w:val="center"/>
              <w:rPr>
                <w:color w:val="auto"/>
                <w:highlight w:val="none"/>
              </w:rPr>
            </w:pPr>
            <w:r>
              <w:rPr>
                <w:rFonts w:hint="eastAsia"/>
                <w:color w:val="auto"/>
                <w:highlight w:val="none"/>
              </w:rPr>
              <w:t>……</w:t>
            </w:r>
          </w:p>
        </w:tc>
        <w:tc>
          <w:tcPr>
            <w:tcW w:w="1090" w:type="pct"/>
            <w:vAlign w:val="center"/>
          </w:tcPr>
          <w:p w14:paraId="7CC08218">
            <w:pPr>
              <w:pStyle w:val="45"/>
              <w:jc w:val="center"/>
              <w:rPr>
                <w:color w:val="auto"/>
                <w:highlight w:val="none"/>
              </w:rPr>
            </w:pPr>
          </w:p>
        </w:tc>
      </w:tr>
    </w:tbl>
    <w:p w14:paraId="5CB06622">
      <w:pPr>
        <w:ind w:firstLine="480" w:firstLineChars="200"/>
        <w:rPr>
          <w:rFonts w:cs="仿宋_GB2312"/>
          <w:color w:val="auto"/>
          <w:szCs w:val="24"/>
          <w:highlight w:val="none"/>
        </w:rPr>
      </w:pPr>
    </w:p>
    <w:p w14:paraId="72A459D6">
      <w:pPr>
        <w:ind w:firstLine="480" w:firstLineChars="200"/>
        <w:rPr>
          <w:rFonts w:cs="仿宋_GB2312"/>
          <w:color w:val="auto"/>
          <w:szCs w:val="24"/>
          <w:highlight w:val="none"/>
        </w:rPr>
      </w:pPr>
    </w:p>
    <w:p w14:paraId="01107FC6">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14E042A5">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61F9C707">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竞争性谈判</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1.“竞争性谈判文件的商务条款”栏应详细列明竞争性谈判文件中的商务要求。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2.“响应文件的响应内容”栏填写供应商对竞争性谈判文件提出的商务条款作出的明确响应，并列明具体响应数值或内容，只注明符合、满足等无具体内容表述的，将视为未实质性满足竞争性谈判文件要求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5.对竞争性谈判文件中的所有商务要求，除本表所列明的所有偏离外，均视作供应商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00" w:name="_Toc21407"/>
      <w:bookmarkStart w:id="601" w:name="_Toc1770"/>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600"/>
      <w:bookmarkEnd w:id="601"/>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cs="仿宋_GB2312"/>
          <w:color w:val="auto"/>
          <w:szCs w:val="24"/>
          <w:highlight w:val="none"/>
          <w:lang w:val="en-US" w:eastAsia="zh-CN"/>
        </w:rPr>
        <w:t>/</w:t>
      </w:r>
      <w:r>
        <w:rPr>
          <w:rFonts w:hint="eastAsia" w:cs="仿宋_GB2312"/>
          <w:color w:val="auto"/>
          <w:szCs w:val="24"/>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28"/>
        <w:tblW w:w="9237"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81"/>
        <w:gridCol w:w="1381"/>
        <w:gridCol w:w="1381"/>
        <w:gridCol w:w="1522"/>
        <w:gridCol w:w="1568"/>
        <w:gridCol w:w="1169"/>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4E9572F9">
            <w:pPr>
              <w:jc w:val="center"/>
              <w:rPr>
                <w:rFonts w:cs="仿宋_GB2312"/>
                <w:color w:val="auto"/>
                <w:sz w:val="24"/>
                <w:szCs w:val="24"/>
                <w:highlight w:val="none"/>
              </w:rPr>
            </w:pPr>
            <w:bookmarkStart w:id="602" w:name="_Hlk46779239"/>
            <w:r>
              <w:rPr>
                <w:rFonts w:hint="eastAsia" w:cs="仿宋_GB2312"/>
                <w:color w:val="auto"/>
                <w:sz w:val="24"/>
                <w:szCs w:val="24"/>
                <w:highlight w:val="none"/>
              </w:rPr>
              <w:t>序号</w:t>
            </w:r>
          </w:p>
        </w:tc>
        <w:tc>
          <w:tcPr>
            <w:tcW w:w="1381"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81"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381"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22"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68" w:type="dxa"/>
            <w:shd w:val="clear" w:color="auto" w:fill="auto"/>
            <w:vAlign w:val="center"/>
          </w:tcPr>
          <w:p w14:paraId="63FA3F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169" w:type="dxa"/>
            <w:shd w:val="clear" w:color="auto" w:fill="auto"/>
            <w:vAlign w:val="center"/>
          </w:tcPr>
          <w:p w14:paraId="01352CB9">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27508E81">
            <w:pPr>
              <w:jc w:val="center"/>
              <w:rPr>
                <w:rFonts w:cs="仿宋_GB2312"/>
                <w:color w:val="auto"/>
                <w:sz w:val="24"/>
                <w:szCs w:val="24"/>
                <w:highlight w:val="none"/>
              </w:rPr>
            </w:pPr>
            <w:r>
              <w:rPr>
                <w:rFonts w:hint="eastAsia" w:cs="仿宋_GB2312"/>
                <w:color w:val="auto"/>
                <w:sz w:val="24"/>
                <w:szCs w:val="24"/>
                <w:highlight w:val="none"/>
              </w:rPr>
              <w:t>1</w:t>
            </w:r>
          </w:p>
        </w:tc>
        <w:tc>
          <w:tcPr>
            <w:tcW w:w="1381" w:type="dxa"/>
            <w:vAlign w:val="center"/>
          </w:tcPr>
          <w:p w14:paraId="27562AF7">
            <w:pPr>
              <w:rPr>
                <w:rFonts w:cs="仿宋_GB2312"/>
                <w:color w:val="auto"/>
                <w:sz w:val="24"/>
                <w:szCs w:val="24"/>
                <w:highlight w:val="none"/>
              </w:rPr>
            </w:pPr>
          </w:p>
        </w:tc>
        <w:tc>
          <w:tcPr>
            <w:tcW w:w="1381" w:type="dxa"/>
            <w:vAlign w:val="center"/>
          </w:tcPr>
          <w:p w14:paraId="02799269">
            <w:pPr>
              <w:rPr>
                <w:rFonts w:cs="仿宋_GB2312"/>
                <w:color w:val="auto"/>
                <w:sz w:val="24"/>
                <w:szCs w:val="24"/>
                <w:highlight w:val="none"/>
              </w:rPr>
            </w:pPr>
          </w:p>
        </w:tc>
        <w:tc>
          <w:tcPr>
            <w:tcW w:w="1381" w:type="dxa"/>
            <w:vAlign w:val="center"/>
          </w:tcPr>
          <w:p w14:paraId="6449ADDF">
            <w:pPr>
              <w:rPr>
                <w:rFonts w:cs="仿宋_GB2312"/>
                <w:color w:val="auto"/>
                <w:sz w:val="24"/>
                <w:szCs w:val="24"/>
                <w:highlight w:val="none"/>
              </w:rPr>
            </w:pPr>
          </w:p>
        </w:tc>
        <w:tc>
          <w:tcPr>
            <w:tcW w:w="1522" w:type="dxa"/>
            <w:vAlign w:val="center"/>
          </w:tcPr>
          <w:p w14:paraId="183C0714">
            <w:pPr>
              <w:rPr>
                <w:rFonts w:cs="仿宋_GB2312"/>
                <w:color w:val="auto"/>
                <w:sz w:val="24"/>
                <w:szCs w:val="24"/>
                <w:highlight w:val="none"/>
              </w:rPr>
            </w:pPr>
          </w:p>
        </w:tc>
        <w:tc>
          <w:tcPr>
            <w:tcW w:w="1568" w:type="dxa"/>
            <w:vAlign w:val="center"/>
          </w:tcPr>
          <w:p w14:paraId="4F169081">
            <w:pPr>
              <w:rPr>
                <w:rFonts w:cs="仿宋_GB2312"/>
                <w:color w:val="auto"/>
                <w:sz w:val="24"/>
                <w:szCs w:val="24"/>
                <w:highlight w:val="none"/>
              </w:rPr>
            </w:pPr>
          </w:p>
        </w:tc>
        <w:tc>
          <w:tcPr>
            <w:tcW w:w="1169" w:type="dxa"/>
            <w:vAlign w:val="center"/>
          </w:tcPr>
          <w:p w14:paraId="64A9DF2C">
            <w:pPr>
              <w:rPr>
                <w:rFonts w:cs="仿宋_GB2312"/>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4A21BB39">
            <w:pPr>
              <w:jc w:val="center"/>
              <w:rPr>
                <w:rFonts w:cs="仿宋_GB2312"/>
                <w:color w:val="auto"/>
                <w:sz w:val="24"/>
                <w:szCs w:val="24"/>
                <w:highlight w:val="none"/>
              </w:rPr>
            </w:pPr>
            <w:r>
              <w:rPr>
                <w:rFonts w:hint="eastAsia" w:cs="仿宋_GB2312"/>
                <w:color w:val="auto"/>
                <w:sz w:val="24"/>
                <w:szCs w:val="24"/>
                <w:highlight w:val="none"/>
              </w:rPr>
              <w:t>2</w:t>
            </w:r>
          </w:p>
        </w:tc>
        <w:tc>
          <w:tcPr>
            <w:tcW w:w="1381" w:type="dxa"/>
            <w:vAlign w:val="center"/>
          </w:tcPr>
          <w:p w14:paraId="7CA4B3F3">
            <w:pPr>
              <w:rPr>
                <w:rFonts w:cs="仿宋_GB2312"/>
                <w:color w:val="auto"/>
                <w:sz w:val="24"/>
                <w:szCs w:val="24"/>
                <w:highlight w:val="none"/>
              </w:rPr>
            </w:pPr>
          </w:p>
        </w:tc>
        <w:tc>
          <w:tcPr>
            <w:tcW w:w="1381" w:type="dxa"/>
            <w:vAlign w:val="center"/>
          </w:tcPr>
          <w:p w14:paraId="59CCECB1">
            <w:pPr>
              <w:rPr>
                <w:rFonts w:cs="仿宋_GB2312"/>
                <w:color w:val="auto"/>
                <w:sz w:val="24"/>
                <w:szCs w:val="24"/>
                <w:highlight w:val="none"/>
              </w:rPr>
            </w:pPr>
          </w:p>
        </w:tc>
        <w:tc>
          <w:tcPr>
            <w:tcW w:w="1381" w:type="dxa"/>
            <w:vAlign w:val="center"/>
          </w:tcPr>
          <w:p w14:paraId="4E8043C4">
            <w:pPr>
              <w:rPr>
                <w:rFonts w:cs="仿宋_GB2312"/>
                <w:color w:val="auto"/>
                <w:sz w:val="24"/>
                <w:szCs w:val="24"/>
                <w:highlight w:val="none"/>
              </w:rPr>
            </w:pPr>
          </w:p>
        </w:tc>
        <w:tc>
          <w:tcPr>
            <w:tcW w:w="1522" w:type="dxa"/>
            <w:vAlign w:val="center"/>
          </w:tcPr>
          <w:p w14:paraId="2E195778">
            <w:pPr>
              <w:rPr>
                <w:rFonts w:cs="仿宋_GB2312"/>
                <w:color w:val="auto"/>
                <w:sz w:val="24"/>
                <w:szCs w:val="24"/>
                <w:highlight w:val="none"/>
              </w:rPr>
            </w:pPr>
          </w:p>
        </w:tc>
        <w:tc>
          <w:tcPr>
            <w:tcW w:w="1568" w:type="dxa"/>
            <w:vAlign w:val="center"/>
          </w:tcPr>
          <w:p w14:paraId="49A8CC13">
            <w:pPr>
              <w:rPr>
                <w:rFonts w:cs="仿宋_GB2312"/>
                <w:color w:val="auto"/>
                <w:sz w:val="24"/>
                <w:szCs w:val="24"/>
                <w:highlight w:val="none"/>
              </w:rPr>
            </w:pPr>
          </w:p>
        </w:tc>
        <w:tc>
          <w:tcPr>
            <w:tcW w:w="1169" w:type="dxa"/>
            <w:vAlign w:val="center"/>
          </w:tcPr>
          <w:p w14:paraId="60A21668">
            <w:pPr>
              <w:rPr>
                <w:rFonts w:cs="仿宋_GB2312"/>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4428D324">
            <w:pPr>
              <w:jc w:val="center"/>
              <w:rPr>
                <w:rFonts w:cs="仿宋_GB2312"/>
                <w:color w:val="auto"/>
                <w:sz w:val="24"/>
                <w:szCs w:val="24"/>
                <w:highlight w:val="none"/>
              </w:rPr>
            </w:pPr>
            <w:r>
              <w:rPr>
                <w:rFonts w:hint="eastAsia" w:cs="仿宋_GB2312"/>
                <w:color w:val="auto"/>
                <w:sz w:val="24"/>
                <w:szCs w:val="24"/>
                <w:highlight w:val="none"/>
              </w:rPr>
              <w:t>3</w:t>
            </w:r>
          </w:p>
        </w:tc>
        <w:tc>
          <w:tcPr>
            <w:tcW w:w="1381" w:type="dxa"/>
            <w:vAlign w:val="center"/>
          </w:tcPr>
          <w:p w14:paraId="46AEF6AC">
            <w:pPr>
              <w:rPr>
                <w:rFonts w:cs="仿宋_GB2312"/>
                <w:color w:val="auto"/>
                <w:sz w:val="24"/>
                <w:szCs w:val="24"/>
                <w:highlight w:val="none"/>
              </w:rPr>
            </w:pPr>
          </w:p>
        </w:tc>
        <w:tc>
          <w:tcPr>
            <w:tcW w:w="1381" w:type="dxa"/>
            <w:vAlign w:val="center"/>
          </w:tcPr>
          <w:p w14:paraId="601B0208">
            <w:pPr>
              <w:rPr>
                <w:rFonts w:cs="仿宋_GB2312"/>
                <w:color w:val="auto"/>
                <w:sz w:val="24"/>
                <w:szCs w:val="24"/>
                <w:highlight w:val="none"/>
              </w:rPr>
            </w:pPr>
          </w:p>
        </w:tc>
        <w:tc>
          <w:tcPr>
            <w:tcW w:w="1381" w:type="dxa"/>
            <w:vAlign w:val="center"/>
          </w:tcPr>
          <w:p w14:paraId="56885EE6">
            <w:pPr>
              <w:rPr>
                <w:rFonts w:cs="仿宋_GB2312"/>
                <w:color w:val="auto"/>
                <w:sz w:val="24"/>
                <w:szCs w:val="24"/>
                <w:highlight w:val="none"/>
              </w:rPr>
            </w:pPr>
          </w:p>
        </w:tc>
        <w:tc>
          <w:tcPr>
            <w:tcW w:w="1522" w:type="dxa"/>
            <w:vAlign w:val="center"/>
          </w:tcPr>
          <w:p w14:paraId="00552B19">
            <w:pPr>
              <w:rPr>
                <w:rFonts w:cs="仿宋_GB2312"/>
                <w:color w:val="auto"/>
                <w:sz w:val="24"/>
                <w:szCs w:val="24"/>
                <w:highlight w:val="none"/>
              </w:rPr>
            </w:pPr>
          </w:p>
        </w:tc>
        <w:tc>
          <w:tcPr>
            <w:tcW w:w="1568" w:type="dxa"/>
            <w:vAlign w:val="center"/>
          </w:tcPr>
          <w:p w14:paraId="77BC6128">
            <w:pPr>
              <w:rPr>
                <w:rFonts w:cs="仿宋_GB2312"/>
                <w:color w:val="auto"/>
                <w:sz w:val="24"/>
                <w:szCs w:val="24"/>
                <w:highlight w:val="none"/>
              </w:rPr>
            </w:pPr>
          </w:p>
        </w:tc>
        <w:tc>
          <w:tcPr>
            <w:tcW w:w="1169" w:type="dxa"/>
            <w:vAlign w:val="center"/>
          </w:tcPr>
          <w:p w14:paraId="26162792">
            <w:pPr>
              <w:rPr>
                <w:rFonts w:cs="仿宋_GB2312"/>
                <w:color w:val="auto"/>
                <w:sz w:val="24"/>
                <w:szCs w:val="24"/>
                <w:highlight w:val="none"/>
              </w:rPr>
            </w:pPr>
          </w:p>
        </w:tc>
      </w:tr>
      <w:tr w14:paraId="3048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514F8ED6">
            <w:pPr>
              <w:jc w:val="center"/>
              <w:rPr>
                <w:rFonts w:hint="eastAsia" w:eastAsia="宋体" w:cs="仿宋_GB2312"/>
                <w:color w:val="auto"/>
                <w:sz w:val="24"/>
                <w:szCs w:val="24"/>
                <w:highlight w:val="none"/>
                <w:lang w:val="en-US" w:eastAsia="zh-CN"/>
              </w:rPr>
            </w:pPr>
            <w:r>
              <w:rPr>
                <w:rFonts w:hint="eastAsia" w:cs="仿宋_GB2312"/>
                <w:color w:val="auto"/>
                <w:sz w:val="24"/>
                <w:szCs w:val="24"/>
                <w:highlight w:val="none"/>
                <w:lang w:val="en-US" w:eastAsia="zh-CN"/>
              </w:rPr>
              <w:t>4</w:t>
            </w:r>
          </w:p>
        </w:tc>
        <w:tc>
          <w:tcPr>
            <w:tcW w:w="1381" w:type="dxa"/>
            <w:vAlign w:val="center"/>
          </w:tcPr>
          <w:p w14:paraId="467454B8">
            <w:pPr>
              <w:rPr>
                <w:rFonts w:cs="仿宋_GB2312"/>
                <w:color w:val="auto"/>
                <w:sz w:val="24"/>
                <w:szCs w:val="24"/>
                <w:highlight w:val="none"/>
              </w:rPr>
            </w:pPr>
          </w:p>
        </w:tc>
        <w:tc>
          <w:tcPr>
            <w:tcW w:w="1381" w:type="dxa"/>
            <w:vAlign w:val="center"/>
          </w:tcPr>
          <w:p w14:paraId="7679D2E2">
            <w:pPr>
              <w:rPr>
                <w:rFonts w:cs="仿宋_GB2312"/>
                <w:color w:val="auto"/>
                <w:sz w:val="24"/>
                <w:szCs w:val="24"/>
                <w:highlight w:val="none"/>
              </w:rPr>
            </w:pPr>
          </w:p>
        </w:tc>
        <w:tc>
          <w:tcPr>
            <w:tcW w:w="1381" w:type="dxa"/>
            <w:vAlign w:val="center"/>
          </w:tcPr>
          <w:p w14:paraId="3BDF674D">
            <w:pPr>
              <w:rPr>
                <w:rFonts w:cs="仿宋_GB2312"/>
                <w:color w:val="auto"/>
                <w:sz w:val="24"/>
                <w:szCs w:val="24"/>
                <w:highlight w:val="none"/>
              </w:rPr>
            </w:pPr>
          </w:p>
        </w:tc>
        <w:tc>
          <w:tcPr>
            <w:tcW w:w="1522" w:type="dxa"/>
            <w:vAlign w:val="center"/>
          </w:tcPr>
          <w:p w14:paraId="4065B09A">
            <w:pPr>
              <w:rPr>
                <w:rFonts w:cs="仿宋_GB2312"/>
                <w:color w:val="auto"/>
                <w:sz w:val="24"/>
                <w:szCs w:val="24"/>
                <w:highlight w:val="none"/>
              </w:rPr>
            </w:pPr>
          </w:p>
        </w:tc>
        <w:tc>
          <w:tcPr>
            <w:tcW w:w="1568" w:type="dxa"/>
            <w:vAlign w:val="center"/>
          </w:tcPr>
          <w:p w14:paraId="62D4892D">
            <w:pPr>
              <w:rPr>
                <w:rFonts w:cs="仿宋_GB2312"/>
                <w:color w:val="auto"/>
                <w:sz w:val="24"/>
                <w:szCs w:val="24"/>
                <w:highlight w:val="none"/>
              </w:rPr>
            </w:pPr>
          </w:p>
        </w:tc>
        <w:tc>
          <w:tcPr>
            <w:tcW w:w="1169" w:type="dxa"/>
            <w:vAlign w:val="center"/>
          </w:tcPr>
          <w:p w14:paraId="1DBBFBF7">
            <w:pPr>
              <w:rPr>
                <w:rFonts w:cs="仿宋_GB2312"/>
                <w:color w:val="auto"/>
                <w:sz w:val="24"/>
                <w:szCs w:val="24"/>
                <w:highlight w:val="none"/>
              </w:rPr>
            </w:pPr>
          </w:p>
        </w:tc>
      </w:tr>
      <w:tr w14:paraId="74CC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64C5CB72">
            <w:pPr>
              <w:jc w:val="center"/>
              <w:rPr>
                <w:rFonts w:hint="default" w:cs="仿宋_GB2312"/>
                <w:color w:val="auto"/>
                <w:sz w:val="24"/>
                <w:szCs w:val="24"/>
                <w:highlight w:val="none"/>
                <w:lang w:val="en-US" w:eastAsia="zh-CN"/>
              </w:rPr>
            </w:pPr>
            <w:r>
              <w:rPr>
                <w:rFonts w:hint="eastAsia" w:cs="仿宋_GB2312"/>
                <w:color w:val="auto"/>
                <w:sz w:val="24"/>
                <w:szCs w:val="24"/>
                <w:highlight w:val="none"/>
                <w:lang w:val="en-US" w:eastAsia="zh-CN"/>
              </w:rPr>
              <w:t>5</w:t>
            </w:r>
          </w:p>
        </w:tc>
        <w:tc>
          <w:tcPr>
            <w:tcW w:w="1381" w:type="dxa"/>
            <w:vAlign w:val="center"/>
          </w:tcPr>
          <w:p w14:paraId="50735F91">
            <w:pPr>
              <w:rPr>
                <w:rFonts w:cs="仿宋_GB2312"/>
                <w:color w:val="auto"/>
                <w:sz w:val="24"/>
                <w:szCs w:val="24"/>
                <w:highlight w:val="none"/>
              </w:rPr>
            </w:pPr>
          </w:p>
        </w:tc>
        <w:tc>
          <w:tcPr>
            <w:tcW w:w="1381" w:type="dxa"/>
            <w:vAlign w:val="center"/>
          </w:tcPr>
          <w:p w14:paraId="35131693">
            <w:pPr>
              <w:rPr>
                <w:rFonts w:cs="仿宋_GB2312"/>
                <w:color w:val="auto"/>
                <w:sz w:val="24"/>
                <w:szCs w:val="24"/>
                <w:highlight w:val="none"/>
              </w:rPr>
            </w:pPr>
          </w:p>
        </w:tc>
        <w:tc>
          <w:tcPr>
            <w:tcW w:w="1381" w:type="dxa"/>
            <w:vAlign w:val="center"/>
          </w:tcPr>
          <w:p w14:paraId="3EE07B6C">
            <w:pPr>
              <w:rPr>
                <w:rFonts w:cs="仿宋_GB2312"/>
                <w:color w:val="auto"/>
                <w:sz w:val="24"/>
                <w:szCs w:val="24"/>
                <w:highlight w:val="none"/>
              </w:rPr>
            </w:pPr>
          </w:p>
        </w:tc>
        <w:tc>
          <w:tcPr>
            <w:tcW w:w="1522" w:type="dxa"/>
            <w:vAlign w:val="center"/>
          </w:tcPr>
          <w:p w14:paraId="315D7F2C">
            <w:pPr>
              <w:rPr>
                <w:rFonts w:cs="仿宋_GB2312"/>
                <w:color w:val="auto"/>
                <w:sz w:val="24"/>
                <w:szCs w:val="24"/>
                <w:highlight w:val="none"/>
              </w:rPr>
            </w:pPr>
          </w:p>
        </w:tc>
        <w:tc>
          <w:tcPr>
            <w:tcW w:w="1568" w:type="dxa"/>
            <w:vAlign w:val="center"/>
          </w:tcPr>
          <w:p w14:paraId="7172B17C">
            <w:pPr>
              <w:rPr>
                <w:rFonts w:cs="仿宋_GB2312"/>
                <w:color w:val="auto"/>
                <w:sz w:val="24"/>
                <w:szCs w:val="24"/>
                <w:highlight w:val="none"/>
              </w:rPr>
            </w:pPr>
          </w:p>
        </w:tc>
        <w:tc>
          <w:tcPr>
            <w:tcW w:w="1169" w:type="dxa"/>
            <w:vAlign w:val="center"/>
          </w:tcPr>
          <w:p w14:paraId="6B39C336">
            <w:pPr>
              <w:rPr>
                <w:rFonts w:cs="仿宋_GB2312"/>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35" w:type="dxa"/>
            <w:vAlign w:val="center"/>
          </w:tcPr>
          <w:p w14:paraId="433A34E7">
            <w:pPr>
              <w:jc w:val="center"/>
              <w:rPr>
                <w:rFonts w:cs="仿宋_GB2312"/>
                <w:color w:val="auto"/>
                <w:sz w:val="24"/>
                <w:szCs w:val="24"/>
                <w:highlight w:val="none"/>
              </w:rPr>
            </w:pPr>
            <w:r>
              <w:rPr>
                <w:rFonts w:hint="eastAsia" w:cs="仿宋_GB2312"/>
                <w:color w:val="auto"/>
                <w:sz w:val="24"/>
                <w:szCs w:val="24"/>
                <w:highlight w:val="none"/>
              </w:rPr>
              <w:t>…</w:t>
            </w:r>
          </w:p>
        </w:tc>
        <w:tc>
          <w:tcPr>
            <w:tcW w:w="1381" w:type="dxa"/>
            <w:vAlign w:val="center"/>
          </w:tcPr>
          <w:p w14:paraId="5D94CAA1">
            <w:pPr>
              <w:rPr>
                <w:rFonts w:cs="仿宋_GB2312"/>
                <w:color w:val="auto"/>
                <w:sz w:val="24"/>
                <w:szCs w:val="24"/>
                <w:highlight w:val="none"/>
              </w:rPr>
            </w:pPr>
          </w:p>
        </w:tc>
        <w:tc>
          <w:tcPr>
            <w:tcW w:w="1381" w:type="dxa"/>
            <w:vAlign w:val="center"/>
          </w:tcPr>
          <w:p w14:paraId="48AC7386">
            <w:pPr>
              <w:rPr>
                <w:rFonts w:cs="仿宋_GB2312"/>
                <w:color w:val="auto"/>
                <w:sz w:val="24"/>
                <w:szCs w:val="24"/>
                <w:highlight w:val="none"/>
              </w:rPr>
            </w:pPr>
          </w:p>
        </w:tc>
        <w:tc>
          <w:tcPr>
            <w:tcW w:w="1381" w:type="dxa"/>
            <w:vAlign w:val="center"/>
          </w:tcPr>
          <w:p w14:paraId="20172F35">
            <w:pPr>
              <w:rPr>
                <w:rFonts w:cs="仿宋_GB2312"/>
                <w:color w:val="auto"/>
                <w:sz w:val="24"/>
                <w:szCs w:val="24"/>
                <w:highlight w:val="none"/>
              </w:rPr>
            </w:pPr>
          </w:p>
        </w:tc>
        <w:tc>
          <w:tcPr>
            <w:tcW w:w="1522" w:type="dxa"/>
            <w:vAlign w:val="center"/>
          </w:tcPr>
          <w:p w14:paraId="75CF74D1">
            <w:pPr>
              <w:rPr>
                <w:rFonts w:cs="仿宋_GB2312"/>
                <w:color w:val="auto"/>
                <w:sz w:val="24"/>
                <w:szCs w:val="24"/>
                <w:highlight w:val="none"/>
              </w:rPr>
            </w:pPr>
          </w:p>
        </w:tc>
        <w:tc>
          <w:tcPr>
            <w:tcW w:w="1568" w:type="dxa"/>
            <w:vAlign w:val="center"/>
          </w:tcPr>
          <w:p w14:paraId="52CF4BF0">
            <w:pPr>
              <w:rPr>
                <w:rFonts w:cs="仿宋_GB2312"/>
                <w:color w:val="auto"/>
                <w:sz w:val="24"/>
                <w:szCs w:val="24"/>
                <w:highlight w:val="none"/>
              </w:rPr>
            </w:pPr>
          </w:p>
        </w:tc>
        <w:tc>
          <w:tcPr>
            <w:tcW w:w="1169" w:type="dxa"/>
            <w:vAlign w:val="center"/>
          </w:tcPr>
          <w:p w14:paraId="77C9A88B">
            <w:pPr>
              <w:rPr>
                <w:rFonts w:cs="仿宋_GB2312"/>
                <w:color w:val="auto"/>
                <w:sz w:val="24"/>
                <w:szCs w:val="24"/>
                <w:highlight w:val="none"/>
              </w:rPr>
            </w:pPr>
          </w:p>
        </w:tc>
      </w:tr>
      <w:bookmarkEnd w:id="602"/>
    </w:tbl>
    <w:p w14:paraId="40AB8FFA">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须按上表提供相应的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24086818">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142B0179">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03" w:name="_Toc13711"/>
      <w:bookmarkStart w:id="604" w:name="_Toc10454"/>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603"/>
      <w:bookmarkEnd w:id="604"/>
    </w:p>
    <w:tbl>
      <w:tblPr>
        <w:tblStyle w:val="28"/>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203"/>
        <w:gridCol w:w="1224"/>
        <w:gridCol w:w="876"/>
        <w:gridCol w:w="1850"/>
        <w:gridCol w:w="1277"/>
        <w:gridCol w:w="816"/>
      </w:tblGrid>
      <w:tr w14:paraId="044E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27A52654">
            <w:pPr>
              <w:pStyle w:val="45"/>
              <w:jc w:val="center"/>
              <w:rPr>
                <w:color w:val="auto"/>
                <w:highlight w:val="none"/>
              </w:rPr>
            </w:pPr>
            <w:r>
              <w:rPr>
                <w:rFonts w:hint="eastAsia"/>
                <w:color w:val="auto"/>
                <w:highlight w:val="none"/>
              </w:rPr>
              <w:t>序号</w:t>
            </w:r>
          </w:p>
        </w:tc>
        <w:tc>
          <w:tcPr>
            <w:tcW w:w="1143" w:type="dxa"/>
            <w:vAlign w:val="center"/>
          </w:tcPr>
          <w:p w14:paraId="06896F70">
            <w:pPr>
              <w:pStyle w:val="45"/>
              <w:jc w:val="center"/>
              <w:rPr>
                <w:color w:val="auto"/>
                <w:highlight w:val="none"/>
              </w:rPr>
            </w:pPr>
            <w:r>
              <w:rPr>
                <w:rFonts w:hint="eastAsia"/>
                <w:color w:val="auto"/>
                <w:highlight w:val="none"/>
                <w:lang w:val="en-US" w:eastAsia="zh-CN"/>
              </w:rPr>
              <w:t>团队成员</w:t>
            </w:r>
          </w:p>
          <w:p w14:paraId="4131E775">
            <w:pPr>
              <w:pStyle w:val="45"/>
              <w:jc w:val="center"/>
              <w:rPr>
                <w:color w:val="auto"/>
                <w:highlight w:val="none"/>
              </w:rPr>
            </w:pPr>
            <w:r>
              <w:rPr>
                <w:rFonts w:hint="eastAsia"/>
                <w:color w:val="auto"/>
                <w:highlight w:val="none"/>
              </w:rPr>
              <w:t>姓名</w:t>
            </w:r>
          </w:p>
        </w:tc>
        <w:tc>
          <w:tcPr>
            <w:tcW w:w="1203" w:type="dxa"/>
            <w:tcBorders>
              <w:right w:val="single" w:color="auto" w:sz="4" w:space="0"/>
            </w:tcBorders>
            <w:vAlign w:val="center"/>
          </w:tcPr>
          <w:p w14:paraId="5B1E627A">
            <w:pPr>
              <w:pStyle w:val="45"/>
              <w:jc w:val="center"/>
              <w:rPr>
                <w:color w:val="auto"/>
                <w:highlight w:val="none"/>
              </w:rPr>
            </w:pPr>
            <w:r>
              <w:rPr>
                <w:rFonts w:hint="eastAsia"/>
                <w:color w:val="auto"/>
                <w:highlight w:val="none"/>
              </w:rPr>
              <w:t>工作单位</w:t>
            </w:r>
          </w:p>
        </w:tc>
        <w:tc>
          <w:tcPr>
            <w:tcW w:w="1224" w:type="dxa"/>
            <w:tcBorders>
              <w:left w:val="single" w:color="auto" w:sz="4" w:space="0"/>
            </w:tcBorders>
            <w:vAlign w:val="center"/>
          </w:tcPr>
          <w:p w14:paraId="566C9824">
            <w:pPr>
              <w:pStyle w:val="45"/>
              <w:jc w:val="center"/>
              <w:rPr>
                <w:color w:val="auto"/>
                <w:highlight w:val="none"/>
              </w:rPr>
            </w:pPr>
            <w:r>
              <w:rPr>
                <w:rFonts w:hint="eastAsia"/>
                <w:color w:val="auto"/>
                <w:highlight w:val="none"/>
              </w:rPr>
              <w:t>身份证号</w:t>
            </w:r>
          </w:p>
        </w:tc>
        <w:tc>
          <w:tcPr>
            <w:tcW w:w="876" w:type="dxa"/>
            <w:tcBorders>
              <w:left w:val="single" w:color="auto" w:sz="4" w:space="0"/>
            </w:tcBorders>
            <w:vAlign w:val="center"/>
          </w:tcPr>
          <w:p w14:paraId="3241822A">
            <w:pPr>
              <w:pStyle w:val="45"/>
              <w:jc w:val="center"/>
              <w:rPr>
                <w:color w:val="auto"/>
                <w:highlight w:val="none"/>
              </w:rPr>
            </w:pPr>
            <w:r>
              <w:rPr>
                <w:rFonts w:hint="eastAsia"/>
                <w:color w:val="auto"/>
                <w:highlight w:val="none"/>
              </w:rPr>
              <w:t>职称</w:t>
            </w:r>
          </w:p>
        </w:tc>
        <w:tc>
          <w:tcPr>
            <w:tcW w:w="1850" w:type="dxa"/>
            <w:vAlign w:val="center"/>
          </w:tcPr>
          <w:p w14:paraId="57503923">
            <w:pPr>
              <w:pStyle w:val="45"/>
              <w:jc w:val="center"/>
              <w:rPr>
                <w:rFonts w:hint="default" w:eastAsia="宋体"/>
                <w:color w:val="auto"/>
                <w:highlight w:val="none"/>
                <w:lang w:val="en-US" w:eastAsia="zh-CN"/>
              </w:rPr>
            </w:pPr>
            <w:r>
              <w:rPr>
                <w:rFonts w:hint="eastAsia"/>
                <w:color w:val="auto"/>
                <w:highlight w:val="none"/>
                <w:lang w:val="en-US" w:eastAsia="zh-CN"/>
              </w:rPr>
              <w:t>注册证书（岗位证书）名称及编号</w:t>
            </w:r>
          </w:p>
        </w:tc>
        <w:tc>
          <w:tcPr>
            <w:tcW w:w="1277" w:type="dxa"/>
            <w:vAlign w:val="center"/>
          </w:tcPr>
          <w:p w14:paraId="726B2B6A">
            <w:pPr>
              <w:pStyle w:val="45"/>
              <w:jc w:val="center"/>
              <w:rPr>
                <w:color w:val="auto"/>
                <w:highlight w:val="none"/>
              </w:rPr>
            </w:pPr>
            <w:r>
              <w:rPr>
                <w:rFonts w:hint="eastAsia" w:eastAsia="宋体"/>
                <w:color w:val="auto"/>
                <w:highlight w:val="none"/>
                <w:lang w:val="en-US" w:eastAsia="zh-CN"/>
              </w:rPr>
              <w:t>在团队中职务（岗位）</w:t>
            </w:r>
          </w:p>
        </w:tc>
        <w:tc>
          <w:tcPr>
            <w:tcW w:w="816" w:type="dxa"/>
            <w:vAlign w:val="center"/>
          </w:tcPr>
          <w:p w14:paraId="3D92204D">
            <w:pPr>
              <w:pStyle w:val="45"/>
              <w:jc w:val="center"/>
              <w:rPr>
                <w:color w:val="auto"/>
                <w:highlight w:val="none"/>
              </w:rPr>
            </w:pPr>
            <w:r>
              <w:rPr>
                <w:rFonts w:hint="eastAsia"/>
                <w:color w:val="auto"/>
                <w:highlight w:val="none"/>
              </w:rPr>
              <w:t>自有</w:t>
            </w:r>
            <w:r>
              <w:rPr>
                <w:color w:val="auto"/>
                <w:highlight w:val="none"/>
              </w:rPr>
              <w:t>/外聘</w:t>
            </w:r>
          </w:p>
        </w:tc>
      </w:tr>
      <w:tr w14:paraId="3171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96F11C3">
            <w:pPr>
              <w:pStyle w:val="45"/>
              <w:jc w:val="center"/>
              <w:rPr>
                <w:color w:val="auto"/>
                <w:highlight w:val="none"/>
              </w:rPr>
            </w:pPr>
            <w:bookmarkStart w:id="605" w:name="_Toc99533292"/>
            <w:bookmarkStart w:id="606" w:name="_Toc100090784"/>
            <w:r>
              <w:rPr>
                <w:rFonts w:hint="eastAsia"/>
                <w:color w:val="auto"/>
                <w:highlight w:val="none"/>
              </w:rPr>
              <w:t>1</w:t>
            </w:r>
            <w:bookmarkEnd w:id="605"/>
            <w:bookmarkEnd w:id="606"/>
          </w:p>
        </w:tc>
        <w:tc>
          <w:tcPr>
            <w:tcW w:w="1143" w:type="dxa"/>
            <w:vAlign w:val="center"/>
          </w:tcPr>
          <w:p w14:paraId="17E08D36">
            <w:pPr>
              <w:pStyle w:val="45"/>
              <w:jc w:val="center"/>
              <w:rPr>
                <w:color w:val="auto"/>
                <w:highlight w:val="none"/>
              </w:rPr>
            </w:pPr>
          </w:p>
        </w:tc>
        <w:tc>
          <w:tcPr>
            <w:tcW w:w="1203" w:type="dxa"/>
            <w:tcBorders>
              <w:right w:val="single" w:color="auto" w:sz="4" w:space="0"/>
            </w:tcBorders>
            <w:vAlign w:val="center"/>
          </w:tcPr>
          <w:p w14:paraId="210B6FB1">
            <w:pPr>
              <w:pStyle w:val="45"/>
              <w:jc w:val="center"/>
              <w:rPr>
                <w:color w:val="auto"/>
                <w:highlight w:val="none"/>
              </w:rPr>
            </w:pPr>
          </w:p>
        </w:tc>
        <w:tc>
          <w:tcPr>
            <w:tcW w:w="1224" w:type="dxa"/>
            <w:tcBorders>
              <w:left w:val="single" w:color="auto" w:sz="4" w:space="0"/>
            </w:tcBorders>
            <w:vAlign w:val="center"/>
          </w:tcPr>
          <w:p w14:paraId="3462C04F">
            <w:pPr>
              <w:pStyle w:val="45"/>
              <w:jc w:val="center"/>
              <w:rPr>
                <w:color w:val="auto"/>
                <w:highlight w:val="none"/>
              </w:rPr>
            </w:pPr>
          </w:p>
        </w:tc>
        <w:tc>
          <w:tcPr>
            <w:tcW w:w="876" w:type="dxa"/>
            <w:tcBorders>
              <w:left w:val="single" w:color="auto" w:sz="4" w:space="0"/>
            </w:tcBorders>
            <w:vAlign w:val="center"/>
          </w:tcPr>
          <w:p w14:paraId="1BA89E69">
            <w:pPr>
              <w:pStyle w:val="45"/>
              <w:jc w:val="center"/>
              <w:rPr>
                <w:color w:val="auto"/>
                <w:highlight w:val="none"/>
              </w:rPr>
            </w:pPr>
          </w:p>
        </w:tc>
        <w:tc>
          <w:tcPr>
            <w:tcW w:w="1850" w:type="dxa"/>
            <w:vAlign w:val="center"/>
          </w:tcPr>
          <w:p w14:paraId="033DBB1F">
            <w:pPr>
              <w:pStyle w:val="45"/>
              <w:jc w:val="center"/>
              <w:rPr>
                <w:color w:val="auto"/>
                <w:highlight w:val="none"/>
              </w:rPr>
            </w:pPr>
          </w:p>
        </w:tc>
        <w:tc>
          <w:tcPr>
            <w:tcW w:w="1277" w:type="dxa"/>
            <w:vAlign w:val="center"/>
          </w:tcPr>
          <w:p w14:paraId="2148FD62">
            <w:pPr>
              <w:pStyle w:val="45"/>
              <w:jc w:val="center"/>
              <w:rPr>
                <w:color w:val="auto"/>
                <w:highlight w:val="none"/>
              </w:rPr>
            </w:pPr>
          </w:p>
        </w:tc>
        <w:tc>
          <w:tcPr>
            <w:tcW w:w="816" w:type="dxa"/>
            <w:vAlign w:val="center"/>
          </w:tcPr>
          <w:p w14:paraId="73D8F053">
            <w:pPr>
              <w:pStyle w:val="45"/>
              <w:jc w:val="center"/>
              <w:rPr>
                <w:color w:val="auto"/>
                <w:highlight w:val="none"/>
              </w:rPr>
            </w:pPr>
          </w:p>
        </w:tc>
      </w:tr>
      <w:tr w14:paraId="4384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46A6AD6">
            <w:pPr>
              <w:pStyle w:val="45"/>
              <w:jc w:val="center"/>
              <w:rPr>
                <w:color w:val="auto"/>
                <w:highlight w:val="none"/>
              </w:rPr>
            </w:pPr>
            <w:bookmarkStart w:id="607" w:name="_Toc99533293"/>
            <w:bookmarkStart w:id="608" w:name="_Toc100090785"/>
            <w:r>
              <w:rPr>
                <w:rFonts w:hint="eastAsia"/>
                <w:color w:val="auto"/>
                <w:highlight w:val="none"/>
              </w:rPr>
              <w:t>2</w:t>
            </w:r>
            <w:bookmarkEnd w:id="607"/>
            <w:bookmarkEnd w:id="608"/>
          </w:p>
        </w:tc>
        <w:tc>
          <w:tcPr>
            <w:tcW w:w="1143" w:type="dxa"/>
            <w:vAlign w:val="center"/>
          </w:tcPr>
          <w:p w14:paraId="3D8D2A32">
            <w:pPr>
              <w:pStyle w:val="45"/>
              <w:jc w:val="center"/>
              <w:rPr>
                <w:color w:val="auto"/>
                <w:highlight w:val="none"/>
              </w:rPr>
            </w:pPr>
          </w:p>
        </w:tc>
        <w:tc>
          <w:tcPr>
            <w:tcW w:w="1203" w:type="dxa"/>
            <w:tcBorders>
              <w:right w:val="single" w:color="auto" w:sz="4" w:space="0"/>
            </w:tcBorders>
            <w:vAlign w:val="center"/>
          </w:tcPr>
          <w:p w14:paraId="2762151A">
            <w:pPr>
              <w:pStyle w:val="45"/>
              <w:jc w:val="center"/>
              <w:rPr>
                <w:color w:val="auto"/>
                <w:highlight w:val="none"/>
              </w:rPr>
            </w:pPr>
          </w:p>
        </w:tc>
        <w:tc>
          <w:tcPr>
            <w:tcW w:w="1224" w:type="dxa"/>
            <w:tcBorders>
              <w:left w:val="single" w:color="auto" w:sz="4" w:space="0"/>
            </w:tcBorders>
            <w:vAlign w:val="center"/>
          </w:tcPr>
          <w:p w14:paraId="372D6CF0">
            <w:pPr>
              <w:pStyle w:val="45"/>
              <w:jc w:val="center"/>
              <w:rPr>
                <w:color w:val="auto"/>
                <w:highlight w:val="none"/>
              </w:rPr>
            </w:pPr>
          </w:p>
        </w:tc>
        <w:tc>
          <w:tcPr>
            <w:tcW w:w="876" w:type="dxa"/>
            <w:tcBorders>
              <w:left w:val="single" w:color="auto" w:sz="4" w:space="0"/>
            </w:tcBorders>
            <w:vAlign w:val="center"/>
          </w:tcPr>
          <w:p w14:paraId="2BCE8297">
            <w:pPr>
              <w:pStyle w:val="45"/>
              <w:jc w:val="center"/>
              <w:rPr>
                <w:color w:val="auto"/>
                <w:highlight w:val="none"/>
              </w:rPr>
            </w:pPr>
          </w:p>
        </w:tc>
        <w:tc>
          <w:tcPr>
            <w:tcW w:w="1850" w:type="dxa"/>
            <w:vAlign w:val="center"/>
          </w:tcPr>
          <w:p w14:paraId="0DB83334">
            <w:pPr>
              <w:pStyle w:val="45"/>
              <w:jc w:val="center"/>
              <w:rPr>
                <w:color w:val="auto"/>
                <w:highlight w:val="none"/>
              </w:rPr>
            </w:pPr>
          </w:p>
        </w:tc>
        <w:tc>
          <w:tcPr>
            <w:tcW w:w="1277" w:type="dxa"/>
            <w:vAlign w:val="center"/>
          </w:tcPr>
          <w:p w14:paraId="77E48E09">
            <w:pPr>
              <w:pStyle w:val="45"/>
              <w:jc w:val="center"/>
              <w:rPr>
                <w:color w:val="auto"/>
                <w:highlight w:val="none"/>
              </w:rPr>
            </w:pPr>
          </w:p>
        </w:tc>
        <w:tc>
          <w:tcPr>
            <w:tcW w:w="816" w:type="dxa"/>
            <w:vAlign w:val="center"/>
          </w:tcPr>
          <w:p w14:paraId="32CE3B63">
            <w:pPr>
              <w:pStyle w:val="45"/>
              <w:jc w:val="center"/>
              <w:rPr>
                <w:color w:val="auto"/>
                <w:highlight w:val="none"/>
              </w:rPr>
            </w:pPr>
          </w:p>
        </w:tc>
      </w:tr>
      <w:tr w14:paraId="5E7F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E23E322">
            <w:pPr>
              <w:pStyle w:val="45"/>
              <w:jc w:val="center"/>
              <w:rPr>
                <w:color w:val="auto"/>
                <w:highlight w:val="none"/>
              </w:rPr>
            </w:pPr>
            <w:bookmarkStart w:id="609" w:name="_Toc100090786"/>
            <w:bookmarkStart w:id="610" w:name="_Toc99533294"/>
            <w:r>
              <w:rPr>
                <w:rFonts w:hint="eastAsia"/>
                <w:color w:val="auto"/>
                <w:highlight w:val="none"/>
              </w:rPr>
              <w:t>3</w:t>
            </w:r>
            <w:bookmarkEnd w:id="609"/>
            <w:bookmarkEnd w:id="610"/>
          </w:p>
        </w:tc>
        <w:tc>
          <w:tcPr>
            <w:tcW w:w="1143" w:type="dxa"/>
            <w:vAlign w:val="center"/>
          </w:tcPr>
          <w:p w14:paraId="5622553E">
            <w:pPr>
              <w:pStyle w:val="45"/>
              <w:jc w:val="center"/>
              <w:rPr>
                <w:color w:val="auto"/>
                <w:highlight w:val="none"/>
              </w:rPr>
            </w:pPr>
          </w:p>
        </w:tc>
        <w:tc>
          <w:tcPr>
            <w:tcW w:w="1203" w:type="dxa"/>
            <w:tcBorders>
              <w:right w:val="single" w:color="auto" w:sz="4" w:space="0"/>
            </w:tcBorders>
            <w:vAlign w:val="center"/>
          </w:tcPr>
          <w:p w14:paraId="145347C3">
            <w:pPr>
              <w:pStyle w:val="45"/>
              <w:jc w:val="center"/>
              <w:rPr>
                <w:color w:val="auto"/>
                <w:highlight w:val="none"/>
              </w:rPr>
            </w:pPr>
          </w:p>
        </w:tc>
        <w:tc>
          <w:tcPr>
            <w:tcW w:w="1224" w:type="dxa"/>
            <w:tcBorders>
              <w:left w:val="single" w:color="auto" w:sz="4" w:space="0"/>
            </w:tcBorders>
            <w:vAlign w:val="center"/>
          </w:tcPr>
          <w:p w14:paraId="78C911C0">
            <w:pPr>
              <w:pStyle w:val="45"/>
              <w:jc w:val="center"/>
              <w:rPr>
                <w:color w:val="auto"/>
                <w:highlight w:val="none"/>
              </w:rPr>
            </w:pPr>
          </w:p>
        </w:tc>
        <w:tc>
          <w:tcPr>
            <w:tcW w:w="876" w:type="dxa"/>
            <w:tcBorders>
              <w:left w:val="single" w:color="auto" w:sz="4" w:space="0"/>
            </w:tcBorders>
            <w:vAlign w:val="center"/>
          </w:tcPr>
          <w:p w14:paraId="1632F2FA">
            <w:pPr>
              <w:pStyle w:val="45"/>
              <w:jc w:val="center"/>
              <w:rPr>
                <w:color w:val="auto"/>
                <w:highlight w:val="none"/>
              </w:rPr>
            </w:pPr>
          </w:p>
        </w:tc>
        <w:tc>
          <w:tcPr>
            <w:tcW w:w="1850" w:type="dxa"/>
            <w:vAlign w:val="center"/>
          </w:tcPr>
          <w:p w14:paraId="4AE50BE4">
            <w:pPr>
              <w:pStyle w:val="45"/>
              <w:jc w:val="center"/>
              <w:rPr>
                <w:color w:val="auto"/>
                <w:highlight w:val="none"/>
              </w:rPr>
            </w:pPr>
          </w:p>
        </w:tc>
        <w:tc>
          <w:tcPr>
            <w:tcW w:w="1277" w:type="dxa"/>
            <w:vAlign w:val="center"/>
          </w:tcPr>
          <w:p w14:paraId="107FDE9E">
            <w:pPr>
              <w:pStyle w:val="45"/>
              <w:jc w:val="center"/>
              <w:rPr>
                <w:color w:val="auto"/>
                <w:highlight w:val="none"/>
              </w:rPr>
            </w:pPr>
          </w:p>
        </w:tc>
        <w:tc>
          <w:tcPr>
            <w:tcW w:w="816" w:type="dxa"/>
            <w:vAlign w:val="center"/>
          </w:tcPr>
          <w:p w14:paraId="0FCF0246">
            <w:pPr>
              <w:pStyle w:val="45"/>
              <w:jc w:val="center"/>
              <w:rPr>
                <w:color w:val="auto"/>
                <w:highlight w:val="none"/>
              </w:rPr>
            </w:pPr>
          </w:p>
        </w:tc>
      </w:tr>
      <w:tr w14:paraId="076A7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85BF670">
            <w:pPr>
              <w:pStyle w:val="45"/>
              <w:jc w:val="center"/>
              <w:rPr>
                <w:color w:val="auto"/>
                <w:highlight w:val="none"/>
              </w:rPr>
            </w:pPr>
            <w:bookmarkStart w:id="611" w:name="_Toc99533295"/>
            <w:bookmarkStart w:id="612" w:name="_Toc100090787"/>
            <w:r>
              <w:rPr>
                <w:rFonts w:hint="eastAsia"/>
                <w:color w:val="auto"/>
                <w:highlight w:val="none"/>
              </w:rPr>
              <w:t>4</w:t>
            </w:r>
            <w:bookmarkEnd w:id="611"/>
            <w:bookmarkEnd w:id="612"/>
          </w:p>
        </w:tc>
        <w:tc>
          <w:tcPr>
            <w:tcW w:w="1143" w:type="dxa"/>
            <w:vAlign w:val="center"/>
          </w:tcPr>
          <w:p w14:paraId="06A33E5B">
            <w:pPr>
              <w:pStyle w:val="45"/>
              <w:jc w:val="center"/>
              <w:rPr>
                <w:color w:val="auto"/>
                <w:highlight w:val="none"/>
              </w:rPr>
            </w:pPr>
          </w:p>
        </w:tc>
        <w:tc>
          <w:tcPr>
            <w:tcW w:w="1203" w:type="dxa"/>
            <w:tcBorders>
              <w:right w:val="single" w:color="auto" w:sz="4" w:space="0"/>
            </w:tcBorders>
            <w:vAlign w:val="center"/>
          </w:tcPr>
          <w:p w14:paraId="7BBB4E02">
            <w:pPr>
              <w:pStyle w:val="45"/>
              <w:jc w:val="center"/>
              <w:rPr>
                <w:color w:val="auto"/>
                <w:highlight w:val="none"/>
              </w:rPr>
            </w:pPr>
          </w:p>
        </w:tc>
        <w:tc>
          <w:tcPr>
            <w:tcW w:w="1224" w:type="dxa"/>
            <w:tcBorders>
              <w:left w:val="single" w:color="auto" w:sz="4" w:space="0"/>
            </w:tcBorders>
            <w:vAlign w:val="center"/>
          </w:tcPr>
          <w:p w14:paraId="260605CA">
            <w:pPr>
              <w:pStyle w:val="45"/>
              <w:jc w:val="center"/>
              <w:rPr>
                <w:color w:val="auto"/>
                <w:highlight w:val="none"/>
              </w:rPr>
            </w:pPr>
          </w:p>
        </w:tc>
        <w:tc>
          <w:tcPr>
            <w:tcW w:w="876" w:type="dxa"/>
            <w:tcBorders>
              <w:left w:val="single" w:color="auto" w:sz="4" w:space="0"/>
            </w:tcBorders>
            <w:vAlign w:val="center"/>
          </w:tcPr>
          <w:p w14:paraId="55F61FA3">
            <w:pPr>
              <w:pStyle w:val="45"/>
              <w:jc w:val="center"/>
              <w:rPr>
                <w:color w:val="auto"/>
                <w:highlight w:val="none"/>
              </w:rPr>
            </w:pPr>
          </w:p>
        </w:tc>
        <w:tc>
          <w:tcPr>
            <w:tcW w:w="1850" w:type="dxa"/>
            <w:vAlign w:val="center"/>
          </w:tcPr>
          <w:p w14:paraId="05E14483">
            <w:pPr>
              <w:pStyle w:val="45"/>
              <w:jc w:val="center"/>
              <w:rPr>
                <w:color w:val="auto"/>
                <w:highlight w:val="none"/>
              </w:rPr>
            </w:pPr>
          </w:p>
        </w:tc>
        <w:tc>
          <w:tcPr>
            <w:tcW w:w="1277" w:type="dxa"/>
            <w:vAlign w:val="center"/>
          </w:tcPr>
          <w:p w14:paraId="7A6D63FA">
            <w:pPr>
              <w:pStyle w:val="45"/>
              <w:jc w:val="center"/>
              <w:rPr>
                <w:color w:val="auto"/>
                <w:highlight w:val="none"/>
              </w:rPr>
            </w:pPr>
          </w:p>
        </w:tc>
        <w:tc>
          <w:tcPr>
            <w:tcW w:w="816" w:type="dxa"/>
            <w:vAlign w:val="center"/>
          </w:tcPr>
          <w:p w14:paraId="20DFABE1">
            <w:pPr>
              <w:pStyle w:val="45"/>
              <w:jc w:val="center"/>
              <w:rPr>
                <w:color w:val="auto"/>
                <w:highlight w:val="none"/>
              </w:rPr>
            </w:pPr>
          </w:p>
        </w:tc>
      </w:tr>
      <w:tr w14:paraId="5F3FD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43CD23">
            <w:pPr>
              <w:pStyle w:val="45"/>
              <w:jc w:val="center"/>
              <w:rPr>
                <w:color w:val="auto"/>
                <w:highlight w:val="none"/>
              </w:rPr>
            </w:pPr>
            <w:bookmarkStart w:id="613" w:name="_Toc100090788"/>
            <w:bookmarkStart w:id="614" w:name="_Toc99533296"/>
            <w:r>
              <w:rPr>
                <w:rFonts w:hint="eastAsia"/>
                <w:color w:val="auto"/>
                <w:highlight w:val="none"/>
              </w:rPr>
              <w:t>5</w:t>
            </w:r>
            <w:bookmarkEnd w:id="613"/>
            <w:bookmarkEnd w:id="614"/>
          </w:p>
        </w:tc>
        <w:tc>
          <w:tcPr>
            <w:tcW w:w="1143" w:type="dxa"/>
            <w:vAlign w:val="center"/>
          </w:tcPr>
          <w:p w14:paraId="1A0773CB">
            <w:pPr>
              <w:pStyle w:val="45"/>
              <w:jc w:val="center"/>
              <w:rPr>
                <w:color w:val="auto"/>
                <w:highlight w:val="none"/>
              </w:rPr>
            </w:pPr>
          </w:p>
        </w:tc>
        <w:tc>
          <w:tcPr>
            <w:tcW w:w="1203" w:type="dxa"/>
            <w:tcBorders>
              <w:right w:val="single" w:color="auto" w:sz="4" w:space="0"/>
            </w:tcBorders>
            <w:vAlign w:val="center"/>
          </w:tcPr>
          <w:p w14:paraId="61787A67">
            <w:pPr>
              <w:pStyle w:val="45"/>
              <w:jc w:val="center"/>
              <w:rPr>
                <w:color w:val="auto"/>
                <w:highlight w:val="none"/>
              </w:rPr>
            </w:pPr>
          </w:p>
        </w:tc>
        <w:tc>
          <w:tcPr>
            <w:tcW w:w="1224" w:type="dxa"/>
            <w:tcBorders>
              <w:left w:val="single" w:color="auto" w:sz="4" w:space="0"/>
            </w:tcBorders>
            <w:vAlign w:val="center"/>
          </w:tcPr>
          <w:p w14:paraId="15BBA932">
            <w:pPr>
              <w:pStyle w:val="45"/>
              <w:jc w:val="center"/>
              <w:rPr>
                <w:color w:val="auto"/>
                <w:highlight w:val="none"/>
              </w:rPr>
            </w:pPr>
          </w:p>
        </w:tc>
        <w:tc>
          <w:tcPr>
            <w:tcW w:w="876" w:type="dxa"/>
            <w:tcBorders>
              <w:left w:val="single" w:color="auto" w:sz="4" w:space="0"/>
            </w:tcBorders>
            <w:vAlign w:val="center"/>
          </w:tcPr>
          <w:p w14:paraId="48AABD5E">
            <w:pPr>
              <w:pStyle w:val="45"/>
              <w:jc w:val="center"/>
              <w:rPr>
                <w:color w:val="auto"/>
                <w:highlight w:val="none"/>
              </w:rPr>
            </w:pPr>
          </w:p>
        </w:tc>
        <w:tc>
          <w:tcPr>
            <w:tcW w:w="1850" w:type="dxa"/>
            <w:vAlign w:val="center"/>
          </w:tcPr>
          <w:p w14:paraId="2BC300D7">
            <w:pPr>
              <w:pStyle w:val="45"/>
              <w:jc w:val="center"/>
              <w:rPr>
                <w:color w:val="auto"/>
                <w:highlight w:val="none"/>
              </w:rPr>
            </w:pPr>
          </w:p>
        </w:tc>
        <w:tc>
          <w:tcPr>
            <w:tcW w:w="1277" w:type="dxa"/>
            <w:vAlign w:val="center"/>
          </w:tcPr>
          <w:p w14:paraId="3943C72A">
            <w:pPr>
              <w:pStyle w:val="45"/>
              <w:jc w:val="center"/>
              <w:rPr>
                <w:color w:val="auto"/>
                <w:highlight w:val="none"/>
              </w:rPr>
            </w:pPr>
          </w:p>
        </w:tc>
        <w:tc>
          <w:tcPr>
            <w:tcW w:w="816" w:type="dxa"/>
            <w:vAlign w:val="center"/>
          </w:tcPr>
          <w:p w14:paraId="04141556">
            <w:pPr>
              <w:pStyle w:val="45"/>
              <w:jc w:val="center"/>
              <w:rPr>
                <w:color w:val="auto"/>
                <w:highlight w:val="none"/>
              </w:rPr>
            </w:pPr>
          </w:p>
        </w:tc>
      </w:tr>
      <w:tr w14:paraId="0EDD6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E74CE0E">
            <w:pPr>
              <w:pStyle w:val="45"/>
              <w:jc w:val="center"/>
              <w:rPr>
                <w:color w:val="auto"/>
                <w:highlight w:val="none"/>
              </w:rPr>
            </w:pPr>
            <w:bookmarkStart w:id="615" w:name="_Toc99533297"/>
            <w:bookmarkStart w:id="616" w:name="_Toc100090789"/>
            <w:r>
              <w:rPr>
                <w:rFonts w:hint="eastAsia"/>
                <w:color w:val="auto"/>
                <w:highlight w:val="none"/>
              </w:rPr>
              <w:t>6</w:t>
            </w:r>
            <w:bookmarkEnd w:id="615"/>
            <w:bookmarkEnd w:id="616"/>
          </w:p>
        </w:tc>
        <w:tc>
          <w:tcPr>
            <w:tcW w:w="1143" w:type="dxa"/>
            <w:vAlign w:val="center"/>
          </w:tcPr>
          <w:p w14:paraId="629198B4">
            <w:pPr>
              <w:pStyle w:val="45"/>
              <w:jc w:val="center"/>
              <w:rPr>
                <w:color w:val="auto"/>
                <w:highlight w:val="none"/>
              </w:rPr>
            </w:pPr>
          </w:p>
        </w:tc>
        <w:tc>
          <w:tcPr>
            <w:tcW w:w="1203" w:type="dxa"/>
            <w:tcBorders>
              <w:right w:val="single" w:color="auto" w:sz="4" w:space="0"/>
            </w:tcBorders>
            <w:vAlign w:val="center"/>
          </w:tcPr>
          <w:p w14:paraId="612B4791">
            <w:pPr>
              <w:pStyle w:val="45"/>
              <w:jc w:val="center"/>
              <w:rPr>
                <w:color w:val="auto"/>
                <w:highlight w:val="none"/>
              </w:rPr>
            </w:pPr>
          </w:p>
        </w:tc>
        <w:tc>
          <w:tcPr>
            <w:tcW w:w="1224" w:type="dxa"/>
            <w:tcBorders>
              <w:left w:val="single" w:color="auto" w:sz="4" w:space="0"/>
            </w:tcBorders>
            <w:vAlign w:val="center"/>
          </w:tcPr>
          <w:p w14:paraId="13596CFC">
            <w:pPr>
              <w:pStyle w:val="45"/>
              <w:jc w:val="center"/>
              <w:rPr>
                <w:color w:val="auto"/>
                <w:highlight w:val="none"/>
              </w:rPr>
            </w:pPr>
          </w:p>
        </w:tc>
        <w:tc>
          <w:tcPr>
            <w:tcW w:w="876" w:type="dxa"/>
            <w:tcBorders>
              <w:left w:val="single" w:color="auto" w:sz="4" w:space="0"/>
            </w:tcBorders>
            <w:vAlign w:val="center"/>
          </w:tcPr>
          <w:p w14:paraId="26E67AC9">
            <w:pPr>
              <w:pStyle w:val="45"/>
              <w:jc w:val="center"/>
              <w:rPr>
                <w:color w:val="auto"/>
                <w:highlight w:val="none"/>
              </w:rPr>
            </w:pPr>
          </w:p>
        </w:tc>
        <w:tc>
          <w:tcPr>
            <w:tcW w:w="1850" w:type="dxa"/>
            <w:vAlign w:val="center"/>
          </w:tcPr>
          <w:p w14:paraId="0134580B">
            <w:pPr>
              <w:pStyle w:val="45"/>
              <w:jc w:val="center"/>
              <w:rPr>
                <w:color w:val="auto"/>
                <w:highlight w:val="none"/>
              </w:rPr>
            </w:pPr>
          </w:p>
        </w:tc>
        <w:tc>
          <w:tcPr>
            <w:tcW w:w="1277" w:type="dxa"/>
            <w:vAlign w:val="center"/>
          </w:tcPr>
          <w:p w14:paraId="6FF03D95">
            <w:pPr>
              <w:pStyle w:val="45"/>
              <w:jc w:val="center"/>
              <w:rPr>
                <w:color w:val="auto"/>
                <w:highlight w:val="none"/>
              </w:rPr>
            </w:pPr>
          </w:p>
        </w:tc>
        <w:tc>
          <w:tcPr>
            <w:tcW w:w="816" w:type="dxa"/>
            <w:vAlign w:val="center"/>
          </w:tcPr>
          <w:p w14:paraId="01F1AED7">
            <w:pPr>
              <w:pStyle w:val="45"/>
              <w:jc w:val="center"/>
              <w:rPr>
                <w:color w:val="auto"/>
                <w:highlight w:val="none"/>
              </w:rPr>
            </w:pPr>
          </w:p>
        </w:tc>
      </w:tr>
      <w:tr w14:paraId="4DB1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34A3A2">
            <w:pPr>
              <w:pStyle w:val="45"/>
              <w:jc w:val="center"/>
              <w:rPr>
                <w:color w:val="auto"/>
                <w:highlight w:val="none"/>
              </w:rPr>
            </w:pPr>
            <w:bookmarkStart w:id="617" w:name="_Toc100090790"/>
            <w:bookmarkStart w:id="618" w:name="_Toc99533298"/>
            <w:r>
              <w:rPr>
                <w:rFonts w:hint="eastAsia"/>
                <w:color w:val="auto"/>
                <w:highlight w:val="none"/>
              </w:rPr>
              <w:t>7</w:t>
            </w:r>
            <w:bookmarkEnd w:id="617"/>
            <w:bookmarkEnd w:id="618"/>
          </w:p>
        </w:tc>
        <w:tc>
          <w:tcPr>
            <w:tcW w:w="1143" w:type="dxa"/>
            <w:vAlign w:val="center"/>
          </w:tcPr>
          <w:p w14:paraId="652A7D64">
            <w:pPr>
              <w:pStyle w:val="45"/>
              <w:jc w:val="center"/>
              <w:rPr>
                <w:color w:val="auto"/>
                <w:highlight w:val="none"/>
              </w:rPr>
            </w:pPr>
          </w:p>
        </w:tc>
        <w:tc>
          <w:tcPr>
            <w:tcW w:w="1203" w:type="dxa"/>
            <w:tcBorders>
              <w:right w:val="single" w:color="auto" w:sz="4" w:space="0"/>
            </w:tcBorders>
            <w:vAlign w:val="center"/>
          </w:tcPr>
          <w:p w14:paraId="05008CFD">
            <w:pPr>
              <w:pStyle w:val="45"/>
              <w:jc w:val="center"/>
              <w:rPr>
                <w:color w:val="auto"/>
                <w:highlight w:val="none"/>
              </w:rPr>
            </w:pPr>
          </w:p>
        </w:tc>
        <w:tc>
          <w:tcPr>
            <w:tcW w:w="1224" w:type="dxa"/>
            <w:tcBorders>
              <w:left w:val="single" w:color="auto" w:sz="4" w:space="0"/>
            </w:tcBorders>
            <w:vAlign w:val="center"/>
          </w:tcPr>
          <w:p w14:paraId="3050402F">
            <w:pPr>
              <w:pStyle w:val="45"/>
              <w:jc w:val="center"/>
              <w:rPr>
                <w:color w:val="auto"/>
                <w:highlight w:val="none"/>
              </w:rPr>
            </w:pPr>
          </w:p>
        </w:tc>
        <w:tc>
          <w:tcPr>
            <w:tcW w:w="876" w:type="dxa"/>
            <w:tcBorders>
              <w:left w:val="single" w:color="auto" w:sz="4" w:space="0"/>
            </w:tcBorders>
            <w:vAlign w:val="center"/>
          </w:tcPr>
          <w:p w14:paraId="358C0B3B">
            <w:pPr>
              <w:pStyle w:val="45"/>
              <w:jc w:val="center"/>
              <w:rPr>
                <w:color w:val="auto"/>
                <w:highlight w:val="none"/>
              </w:rPr>
            </w:pPr>
          </w:p>
        </w:tc>
        <w:tc>
          <w:tcPr>
            <w:tcW w:w="1850" w:type="dxa"/>
            <w:vAlign w:val="center"/>
          </w:tcPr>
          <w:p w14:paraId="706D8915">
            <w:pPr>
              <w:pStyle w:val="45"/>
              <w:jc w:val="center"/>
              <w:rPr>
                <w:color w:val="auto"/>
                <w:highlight w:val="none"/>
              </w:rPr>
            </w:pPr>
          </w:p>
        </w:tc>
        <w:tc>
          <w:tcPr>
            <w:tcW w:w="1277" w:type="dxa"/>
            <w:vAlign w:val="center"/>
          </w:tcPr>
          <w:p w14:paraId="5FBF328E">
            <w:pPr>
              <w:pStyle w:val="45"/>
              <w:jc w:val="center"/>
              <w:rPr>
                <w:color w:val="auto"/>
                <w:highlight w:val="none"/>
              </w:rPr>
            </w:pPr>
          </w:p>
        </w:tc>
        <w:tc>
          <w:tcPr>
            <w:tcW w:w="816" w:type="dxa"/>
            <w:vAlign w:val="center"/>
          </w:tcPr>
          <w:p w14:paraId="1DADAFB4">
            <w:pPr>
              <w:pStyle w:val="45"/>
              <w:jc w:val="center"/>
              <w:rPr>
                <w:color w:val="auto"/>
                <w:highlight w:val="none"/>
              </w:rPr>
            </w:pPr>
          </w:p>
        </w:tc>
      </w:tr>
      <w:tr w14:paraId="736D4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0C2EDAD">
            <w:pPr>
              <w:pStyle w:val="45"/>
              <w:jc w:val="center"/>
              <w:rPr>
                <w:color w:val="auto"/>
                <w:highlight w:val="none"/>
              </w:rPr>
            </w:pPr>
            <w:bookmarkStart w:id="619" w:name="_Toc100090791"/>
            <w:bookmarkStart w:id="620" w:name="_Toc99533299"/>
            <w:r>
              <w:rPr>
                <w:rFonts w:hint="eastAsia"/>
                <w:color w:val="auto"/>
                <w:highlight w:val="none"/>
              </w:rPr>
              <w:t>8</w:t>
            </w:r>
            <w:bookmarkEnd w:id="619"/>
            <w:bookmarkEnd w:id="620"/>
          </w:p>
        </w:tc>
        <w:tc>
          <w:tcPr>
            <w:tcW w:w="1143" w:type="dxa"/>
            <w:vAlign w:val="center"/>
          </w:tcPr>
          <w:p w14:paraId="4937ABBF">
            <w:pPr>
              <w:pStyle w:val="45"/>
              <w:jc w:val="center"/>
              <w:rPr>
                <w:color w:val="auto"/>
                <w:highlight w:val="none"/>
              </w:rPr>
            </w:pPr>
          </w:p>
        </w:tc>
        <w:tc>
          <w:tcPr>
            <w:tcW w:w="1203" w:type="dxa"/>
            <w:tcBorders>
              <w:right w:val="single" w:color="auto" w:sz="4" w:space="0"/>
            </w:tcBorders>
            <w:vAlign w:val="center"/>
          </w:tcPr>
          <w:p w14:paraId="5907D5C6">
            <w:pPr>
              <w:pStyle w:val="45"/>
              <w:jc w:val="center"/>
              <w:rPr>
                <w:color w:val="auto"/>
                <w:highlight w:val="none"/>
              </w:rPr>
            </w:pPr>
          </w:p>
        </w:tc>
        <w:tc>
          <w:tcPr>
            <w:tcW w:w="1224" w:type="dxa"/>
            <w:tcBorders>
              <w:left w:val="single" w:color="auto" w:sz="4" w:space="0"/>
            </w:tcBorders>
            <w:vAlign w:val="center"/>
          </w:tcPr>
          <w:p w14:paraId="397DE284">
            <w:pPr>
              <w:pStyle w:val="45"/>
              <w:jc w:val="center"/>
              <w:rPr>
                <w:color w:val="auto"/>
                <w:highlight w:val="none"/>
              </w:rPr>
            </w:pPr>
          </w:p>
        </w:tc>
        <w:tc>
          <w:tcPr>
            <w:tcW w:w="876" w:type="dxa"/>
            <w:tcBorders>
              <w:left w:val="single" w:color="auto" w:sz="4" w:space="0"/>
            </w:tcBorders>
            <w:vAlign w:val="center"/>
          </w:tcPr>
          <w:p w14:paraId="2E8853F7">
            <w:pPr>
              <w:pStyle w:val="45"/>
              <w:jc w:val="center"/>
              <w:rPr>
                <w:color w:val="auto"/>
                <w:highlight w:val="none"/>
              </w:rPr>
            </w:pPr>
          </w:p>
        </w:tc>
        <w:tc>
          <w:tcPr>
            <w:tcW w:w="1850" w:type="dxa"/>
            <w:vAlign w:val="center"/>
          </w:tcPr>
          <w:p w14:paraId="32E60044">
            <w:pPr>
              <w:pStyle w:val="45"/>
              <w:jc w:val="center"/>
              <w:rPr>
                <w:color w:val="auto"/>
                <w:highlight w:val="none"/>
              </w:rPr>
            </w:pPr>
          </w:p>
        </w:tc>
        <w:tc>
          <w:tcPr>
            <w:tcW w:w="1277" w:type="dxa"/>
            <w:vAlign w:val="center"/>
          </w:tcPr>
          <w:p w14:paraId="7107F6B0">
            <w:pPr>
              <w:pStyle w:val="45"/>
              <w:jc w:val="center"/>
              <w:rPr>
                <w:color w:val="auto"/>
                <w:highlight w:val="none"/>
              </w:rPr>
            </w:pPr>
          </w:p>
        </w:tc>
        <w:tc>
          <w:tcPr>
            <w:tcW w:w="816" w:type="dxa"/>
            <w:vAlign w:val="center"/>
          </w:tcPr>
          <w:p w14:paraId="5E455759">
            <w:pPr>
              <w:pStyle w:val="45"/>
              <w:jc w:val="center"/>
              <w:rPr>
                <w:color w:val="auto"/>
                <w:highlight w:val="none"/>
              </w:rPr>
            </w:pPr>
          </w:p>
        </w:tc>
      </w:tr>
      <w:tr w14:paraId="71A5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C0658B4">
            <w:pPr>
              <w:pStyle w:val="45"/>
              <w:jc w:val="center"/>
              <w:rPr>
                <w:color w:val="auto"/>
                <w:highlight w:val="none"/>
              </w:rPr>
            </w:pPr>
            <w:bookmarkStart w:id="621" w:name="_Toc100090792"/>
            <w:bookmarkStart w:id="622" w:name="_Toc99533300"/>
            <w:r>
              <w:rPr>
                <w:rFonts w:hint="eastAsia"/>
                <w:color w:val="auto"/>
                <w:highlight w:val="none"/>
              </w:rPr>
              <w:t>9</w:t>
            </w:r>
            <w:bookmarkEnd w:id="621"/>
            <w:bookmarkEnd w:id="622"/>
          </w:p>
        </w:tc>
        <w:tc>
          <w:tcPr>
            <w:tcW w:w="1143" w:type="dxa"/>
            <w:vAlign w:val="center"/>
          </w:tcPr>
          <w:p w14:paraId="6A62F423">
            <w:pPr>
              <w:pStyle w:val="45"/>
              <w:jc w:val="center"/>
              <w:rPr>
                <w:color w:val="auto"/>
                <w:highlight w:val="none"/>
              </w:rPr>
            </w:pPr>
          </w:p>
        </w:tc>
        <w:tc>
          <w:tcPr>
            <w:tcW w:w="1203" w:type="dxa"/>
            <w:tcBorders>
              <w:right w:val="single" w:color="auto" w:sz="4" w:space="0"/>
            </w:tcBorders>
            <w:vAlign w:val="center"/>
          </w:tcPr>
          <w:p w14:paraId="651A0213">
            <w:pPr>
              <w:pStyle w:val="45"/>
              <w:jc w:val="center"/>
              <w:rPr>
                <w:color w:val="auto"/>
                <w:highlight w:val="none"/>
              </w:rPr>
            </w:pPr>
          </w:p>
        </w:tc>
        <w:tc>
          <w:tcPr>
            <w:tcW w:w="1224" w:type="dxa"/>
            <w:tcBorders>
              <w:left w:val="single" w:color="auto" w:sz="4" w:space="0"/>
            </w:tcBorders>
            <w:vAlign w:val="center"/>
          </w:tcPr>
          <w:p w14:paraId="4A278517">
            <w:pPr>
              <w:pStyle w:val="45"/>
              <w:jc w:val="center"/>
              <w:rPr>
                <w:color w:val="auto"/>
                <w:highlight w:val="none"/>
              </w:rPr>
            </w:pPr>
          </w:p>
        </w:tc>
        <w:tc>
          <w:tcPr>
            <w:tcW w:w="876" w:type="dxa"/>
            <w:tcBorders>
              <w:left w:val="single" w:color="auto" w:sz="4" w:space="0"/>
            </w:tcBorders>
            <w:vAlign w:val="center"/>
          </w:tcPr>
          <w:p w14:paraId="3F670292">
            <w:pPr>
              <w:pStyle w:val="45"/>
              <w:jc w:val="center"/>
              <w:rPr>
                <w:color w:val="auto"/>
                <w:highlight w:val="none"/>
              </w:rPr>
            </w:pPr>
          </w:p>
        </w:tc>
        <w:tc>
          <w:tcPr>
            <w:tcW w:w="1850" w:type="dxa"/>
            <w:vAlign w:val="center"/>
          </w:tcPr>
          <w:p w14:paraId="00A3D20D">
            <w:pPr>
              <w:pStyle w:val="45"/>
              <w:jc w:val="center"/>
              <w:rPr>
                <w:color w:val="auto"/>
                <w:highlight w:val="none"/>
              </w:rPr>
            </w:pPr>
          </w:p>
        </w:tc>
        <w:tc>
          <w:tcPr>
            <w:tcW w:w="1277" w:type="dxa"/>
            <w:vAlign w:val="center"/>
          </w:tcPr>
          <w:p w14:paraId="6968EA5F">
            <w:pPr>
              <w:pStyle w:val="45"/>
              <w:jc w:val="center"/>
              <w:rPr>
                <w:color w:val="auto"/>
                <w:highlight w:val="none"/>
              </w:rPr>
            </w:pPr>
          </w:p>
        </w:tc>
        <w:tc>
          <w:tcPr>
            <w:tcW w:w="816" w:type="dxa"/>
            <w:vAlign w:val="center"/>
          </w:tcPr>
          <w:p w14:paraId="6E89C893">
            <w:pPr>
              <w:pStyle w:val="45"/>
              <w:jc w:val="center"/>
              <w:rPr>
                <w:color w:val="auto"/>
                <w:highlight w:val="none"/>
              </w:rPr>
            </w:pPr>
          </w:p>
        </w:tc>
      </w:tr>
      <w:tr w14:paraId="06369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07A94533">
            <w:pPr>
              <w:pStyle w:val="45"/>
              <w:jc w:val="center"/>
              <w:rPr>
                <w:color w:val="auto"/>
                <w:highlight w:val="none"/>
              </w:rPr>
            </w:pPr>
            <w:bookmarkStart w:id="623" w:name="_Toc100090793"/>
            <w:bookmarkStart w:id="624" w:name="_Toc99533301"/>
            <w:r>
              <w:rPr>
                <w:rFonts w:hint="eastAsia"/>
                <w:color w:val="auto"/>
                <w:highlight w:val="none"/>
              </w:rPr>
              <w:t>10</w:t>
            </w:r>
            <w:bookmarkEnd w:id="623"/>
            <w:bookmarkEnd w:id="624"/>
          </w:p>
        </w:tc>
        <w:tc>
          <w:tcPr>
            <w:tcW w:w="1143" w:type="dxa"/>
            <w:vAlign w:val="center"/>
          </w:tcPr>
          <w:p w14:paraId="3DA04C3D">
            <w:pPr>
              <w:pStyle w:val="45"/>
              <w:jc w:val="center"/>
              <w:rPr>
                <w:color w:val="auto"/>
                <w:highlight w:val="none"/>
              </w:rPr>
            </w:pPr>
          </w:p>
        </w:tc>
        <w:tc>
          <w:tcPr>
            <w:tcW w:w="1203" w:type="dxa"/>
            <w:tcBorders>
              <w:right w:val="single" w:color="auto" w:sz="4" w:space="0"/>
            </w:tcBorders>
            <w:vAlign w:val="center"/>
          </w:tcPr>
          <w:p w14:paraId="4BA13044">
            <w:pPr>
              <w:pStyle w:val="45"/>
              <w:jc w:val="center"/>
              <w:rPr>
                <w:color w:val="auto"/>
                <w:highlight w:val="none"/>
              </w:rPr>
            </w:pPr>
          </w:p>
        </w:tc>
        <w:tc>
          <w:tcPr>
            <w:tcW w:w="1224" w:type="dxa"/>
            <w:tcBorders>
              <w:left w:val="single" w:color="auto" w:sz="4" w:space="0"/>
            </w:tcBorders>
            <w:vAlign w:val="center"/>
          </w:tcPr>
          <w:p w14:paraId="16B84266">
            <w:pPr>
              <w:pStyle w:val="45"/>
              <w:jc w:val="center"/>
              <w:rPr>
                <w:color w:val="auto"/>
                <w:highlight w:val="none"/>
              </w:rPr>
            </w:pPr>
          </w:p>
        </w:tc>
        <w:tc>
          <w:tcPr>
            <w:tcW w:w="876" w:type="dxa"/>
            <w:tcBorders>
              <w:left w:val="single" w:color="auto" w:sz="4" w:space="0"/>
            </w:tcBorders>
            <w:vAlign w:val="center"/>
          </w:tcPr>
          <w:p w14:paraId="71FC8978">
            <w:pPr>
              <w:pStyle w:val="45"/>
              <w:jc w:val="center"/>
              <w:rPr>
                <w:color w:val="auto"/>
                <w:highlight w:val="none"/>
              </w:rPr>
            </w:pPr>
          </w:p>
        </w:tc>
        <w:tc>
          <w:tcPr>
            <w:tcW w:w="1850" w:type="dxa"/>
            <w:vAlign w:val="center"/>
          </w:tcPr>
          <w:p w14:paraId="737A59E9">
            <w:pPr>
              <w:pStyle w:val="45"/>
              <w:jc w:val="center"/>
              <w:rPr>
                <w:color w:val="auto"/>
                <w:highlight w:val="none"/>
              </w:rPr>
            </w:pPr>
          </w:p>
        </w:tc>
        <w:tc>
          <w:tcPr>
            <w:tcW w:w="1277" w:type="dxa"/>
            <w:vAlign w:val="center"/>
          </w:tcPr>
          <w:p w14:paraId="292E64B7">
            <w:pPr>
              <w:pStyle w:val="45"/>
              <w:jc w:val="center"/>
              <w:rPr>
                <w:color w:val="auto"/>
                <w:highlight w:val="none"/>
              </w:rPr>
            </w:pPr>
          </w:p>
        </w:tc>
        <w:tc>
          <w:tcPr>
            <w:tcW w:w="816" w:type="dxa"/>
            <w:vAlign w:val="center"/>
          </w:tcPr>
          <w:p w14:paraId="44A42518">
            <w:pPr>
              <w:pStyle w:val="45"/>
              <w:jc w:val="center"/>
              <w:rPr>
                <w:color w:val="auto"/>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注：按竞争性谈判文件要求在本表后附相关人员证书。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color w:val="auto"/>
          <w:highlight w:val="none"/>
        </w:rPr>
      </w:pPr>
      <w:r>
        <w:rPr>
          <w:rFonts w:hint="eastAsia" w:cs="仿宋_GB2312"/>
          <w:color w:val="auto"/>
          <w:sz w:val="21"/>
          <w:szCs w:val="21"/>
          <w:highlight w:val="none"/>
          <w:lang w:val="en-US" w:eastAsia="zh-CN"/>
        </w:rPr>
        <w:t>2.如供应商成交，须按本表项目组成人员操作，不得随意更换。</w:t>
      </w: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5" w:name="_Toc4226"/>
      <w:bookmarkStart w:id="626" w:name="_Toc22364"/>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625"/>
      <w:bookmarkEnd w:id="626"/>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cs="仿宋_GB2312"/>
          <w:color w:val="auto"/>
          <w:szCs w:val="24"/>
          <w:highlight w:val="none"/>
          <w:lang w:val="en-US" w:eastAsia="zh-CN"/>
        </w:rPr>
        <w:t>/</w:t>
      </w:r>
      <w:r>
        <w:rPr>
          <w:rFonts w:hint="eastAsia" w:cs="仿宋_GB2312"/>
          <w:color w:val="auto"/>
          <w:szCs w:val="24"/>
          <w:highlight w:val="none"/>
          <w:lang w:val="zh-CN"/>
        </w:rPr>
        <w:t>包号</w:t>
      </w:r>
      <w:r>
        <w:rPr>
          <w:rFonts w:hint="eastAsia" w:cs="仿宋_GB2312"/>
          <w:color w:val="auto"/>
          <w:szCs w:val="24"/>
          <w:highlight w:val="none"/>
        </w:rPr>
        <w:t xml:space="preserve">：         </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175"/>
        <w:gridCol w:w="1555"/>
        <w:gridCol w:w="2189"/>
        <w:gridCol w:w="1901"/>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45"/>
              <w:jc w:val="center"/>
              <w:rPr>
                <w:color w:val="auto"/>
                <w:highlight w:val="none"/>
              </w:rPr>
            </w:pPr>
            <w:r>
              <w:rPr>
                <w:rFonts w:hint="eastAsia"/>
                <w:color w:val="auto"/>
                <w:highlight w:val="none"/>
              </w:rPr>
              <w:t>序号</w:t>
            </w:r>
          </w:p>
        </w:tc>
        <w:tc>
          <w:tcPr>
            <w:tcW w:w="1277" w:type="pct"/>
            <w:vAlign w:val="center"/>
          </w:tcPr>
          <w:p w14:paraId="0C5608DB">
            <w:pPr>
              <w:pStyle w:val="45"/>
              <w:jc w:val="center"/>
              <w:rPr>
                <w:color w:val="auto"/>
                <w:highlight w:val="none"/>
              </w:rPr>
            </w:pPr>
            <w:r>
              <w:rPr>
                <w:rFonts w:hint="eastAsia"/>
                <w:color w:val="auto"/>
                <w:highlight w:val="none"/>
                <w:lang w:val="en-US" w:eastAsia="zh-CN"/>
              </w:rPr>
              <w:t>竞争性谈判</w:t>
            </w:r>
            <w:r>
              <w:rPr>
                <w:rFonts w:hint="eastAsia"/>
                <w:color w:val="auto"/>
                <w:highlight w:val="none"/>
              </w:rPr>
              <w:t>文件技术要求条款</w:t>
            </w:r>
          </w:p>
        </w:tc>
        <w:tc>
          <w:tcPr>
            <w:tcW w:w="913" w:type="pct"/>
            <w:vAlign w:val="center"/>
          </w:tcPr>
          <w:p w14:paraId="0B845CF1">
            <w:pPr>
              <w:pStyle w:val="45"/>
              <w:jc w:val="center"/>
              <w:rPr>
                <w:color w:val="auto"/>
                <w:highlight w:val="none"/>
              </w:rPr>
            </w:pPr>
            <w:r>
              <w:rPr>
                <w:rFonts w:hint="eastAsia"/>
                <w:color w:val="auto"/>
                <w:highlight w:val="none"/>
                <w:lang w:val="en-US" w:eastAsia="zh-CN"/>
              </w:rPr>
              <w:t>响应</w:t>
            </w:r>
            <w:r>
              <w:rPr>
                <w:rFonts w:hint="eastAsia"/>
                <w:color w:val="auto"/>
                <w:highlight w:val="none"/>
              </w:rPr>
              <w:t>文件内容</w:t>
            </w:r>
          </w:p>
          <w:p w14:paraId="4F79E073">
            <w:pPr>
              <w:pStyle w:val="45"/>
              <w:jc w:val="center"/>
              <w:rPr>
                <w:color w:val="auto"/>
                <w:highlight w:val="none"/>
              </w:rPr>
            </w:pPr>
            <w:r>
              <w:rPr>
                <w:rFonts w:hint="eastAsia"/>
                <w:color w:val="auto"/>
                <w:highlight w:val="none"/>
              </w:rPr>
              <w:t>对应简述</w:t>
            </w:r>
          </w:p>
        </w:tc>
        <w:tc>
          <w:tcPr>
            <w:tcW w:w="1285" w:type="pct"/>
            <w:vAlign w:val="center"/>
          </w:tcPr>
          <w:p w14:paraId="4AB4E9C3">
            <w:pPr>
              <w:pStyle w:val="45"/>
              <w:jc w:val="center"/>
              <w:rPr>
                <w:color w:val="auto"/>
                <w:highlight w:val="none"/>
              </w:rPr>
            </w:pPr>
            <w:r>
              <w:rPr>
                <w:rFonts w:hint="eastAsia"/>
                <w:color w:val="auto"/>
                <w:highlight w:val="none"/>
              </w:rPr>
              <w:t>响应情况</w:t>
            </w:r>
          </w:p>
        </w:tc>
        <w:tc>
          <w:tcPr>
            <w:tcW w:w="1116" w:type="pct"/>
            <w:vAlign w:val="center"/>
          </w:tcPr>
          <w:p w14:paraId="09D725B9">
            <w:pPr>
              <w:pStyle w:val="45"/>
              <w:jc w:val="center"/>
              <w:rPr>
                <w:color w:val="auto"/>
                <w:highlight w:val="none"/>
              </w:rPr>
            </w:pPr>
            <w:r>
              <w:rPr>
                <w:rFonts w:hint="eastAsia"/>
                <w:color w:val="auto"/>
                <w:highlight w:val="none"/>
                <w:lang w:val="en-US" w:eastAsia="zh-CN"/>
              </w:rPr>
              <w:t>证明资料</w:t>
            </w:r>
            <w:r>
              <w:rPr>
                <w:rFonts w:hint="eastAsia"/>
                <w:color w:val="auto"/>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45"/>
              <w:jc w:val="center"/>
              <w:rPr>
                <w:color w:val="auto"/>
                <w:highlight w:val="none"/>
              </w:rPr>
            </w:pPr>
            <w:r>
              <w:rPr>
                <w:rFonts w:hint="eastAsia"/>
                <w:color w:val="auto"/>
                <w:highlight w:val="none"/>
              </w:rPr>
              <w:t>1</w:t>
            </w:r>
          </w:p>
        </w:tc>
        <w:tc>
          <w:tcPr>
            <w:tcW w:w="1277" w:type="pct"/>
            <w:vAlign w:val="center"/>
          </w:tcPr>
          <w:p w14:paraId="69B288A0">
            <w:pPr>
              <w:pStyle w:val="45"/>
              <w:jc w:val="center"/>
              <w:rPr>
                <w:color w:val="auto"/>
                <w:highlight w:val="none"/>
              </w:rPr>
            </w:pPr>
            <w:r>
              <w:rPr>
                <w:rFonts w:hint="eastAsia"/>
                <w:color w:val="auto"/>
                <w:highlight w:val="none"/>
              </w:rPr>
              <w:t>*</w:t>
            </w:r>
            <w:r>
              <w:rPr>
                <w:color w:val="auto"/>
                <w:highlight w:val="none"/>
              </w:rPr>
              <w:t>*******</w:t>
            </w:r>
          </w:p>
        </w:tc>
        <w:tc>
          <w:tcPr>
            <w:tcW w:w="913" w:type="pct"/>
            <w:vAlign w:val="center"/>
          </w:tcPr>
          <w:p w14:paraId="0E04AD72">
            <w:pPr>
              <w:pStyle w:val="45"/>
              <w:jc w:val="center"/>
              <w:rPr>
                <w:color w:val="auto"/>
                <w:highlight w:val="none"/>
              </w:rPr>
            </w:pPr>
            <w:r>
              <w:rPr>
                <w:rFonts w:hint="eastAsia"/>
                <w:color w:val="auto"/>
                <w:highlight w:val="none"/>
              </w:rPr>
              <w:t>*</w:t>
            </w:r>
            <w:r>
              <w:rPr>
                <w:color w:val="auto"/>
                <w:highlight w:val="none"/>
              </w:rPr>
              <w:t>*****</w:t>
            </w:r>
          </w:p>
        </w:tc>
        <w:tc>
          <w:tcPr>
            <w:tcW w:w="1285" w:type="pct"/>
            <w:vAlign w:val="center"/>
          </w:tcPr>
          <w:p w14:paraId="585AEA1C">
            <w:pPr>
              <w:pStyle w:val="45"/>
              <w:jc w:val="center"/>
              <w:rPr>
                <w:color w:val="auto"/>
                <w:highlight w:val="none"/>
              </w:rPr>
            </w:pPr>
            <w:r>
              <w:rPr>
                <w:rFonts w:hint="eastAsia"/>
                <w:color w:val="auto"/>
                <w:highlight w:val="none"/>
              </w:rPr>
              <w:t>响应/正偏离/负偏离</w:t>
            </w:r>
          </w:p>
        </w:tc>
        <w:tc>
          <w:tcPr>
            <w:tcW w:w="1116" w:type="pct"/>
            <w:vAlign w:val="center"/>
          </w:tcPr>
          <w:p w14:paraId="02D97874">
            <w:pPr>
              <w:pStyle w:val="45"/>
              <w:jc w:val="center"/>
              <w:rPr>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45"/>
              <w:jc w:val="center"/>
              <w:rPr>
                <w:color w:val="auto"/>
                <w:highlight w:val="none"/>
              </w:rPr>
            </w:pPr>
            <w:r>
              <w:rPr>
                <w:rFonts w:hint="eastAsia"/>
                <w:color w:val="auto"/>
                <w:highlight w:val="none"/>
              </w:rPr>
              <w:t>2</w:t>
            </w:r>
          </w:p>
        </w:tc>
        <w:tc>
          <w:tcPr>
            <w:tcW w:w="1277" w:type="pct"/>
            <w:vAlign w:val="center"/>
          </w:tcPr>
          <w:p w14:paraId="30E52A7F">
            <w:pPr>
              <w:pStyle w:val="45"/>
              <w:jc w:val="center"/>
              <w:rPr>
                <w:color w:val="auto"/>
                <w:highlight w:val="none"/>
              </w:rPr>
            </w:pPr>
            <w:r>
              <w:rPr>
                <w:rFonts w:hint="eastAsia"/>
                <w:color w:val="auto"/>
                <w:highlight w:val="none"/>
              </w:rPr>
              <w:t>*</w:t>
            </w:r>
            <w:r>
              <w:rPr>
                <w:color w:val="auto"/>
                <w:highlight w:val="none"/>
              </w:rPr>
              <w:t>*******</w:t>
            </w:r>
          </w:p>
        </w:tc>
        <w:tc>
          <w:tcPr>
            <w:tcW w:w="913" w:type="pct"/>
            <w:vAlign w:val="center"/>
          </w:tcPr>
          <w:p w14:paraId="29A6C1E1">
            <w:pPr>
              <w:pStyle w:val="45"/>
              <w:jc w:val="center"/>
              <w:rPr>
                <w:color w:val="auto"/>
                <w:highlight w:val="none"/>
              </w:rPr>
            </w:pPr>
            <w:r>
              <w:rPr>
                <w:rFonts w:hint="eastAsia"/>
                <w:color w:val="auto"/>
                <w:highlight w:val="none"/>
              </w:rPr>
              <w:t>*</w:t>
            </w:r>
            <w:r>
              <w:rPr>
                <w:color w:val="auto"/>
                <w:highlight w:val="none"/>
              </w:rPr>
              <w:t>*****</w:t>
            </w:r>
          </w:p>
        </w:tc>
        <w:tc>
          <w:tcPr>
            <w:tcW w:w="1285" w:type="pct"/>
            <w:vAlign w:val="center"/>
          </w:tcPr>
          <w:p w14:paraId="5D92E460">
            <w:pPr>
              <w:pStyle w:val="45"/>
              <w:jc w:val="center"/>
              <w:rPr>
                <w:color w:val="auto"/>
                <w:highlight w:val="none"/>
              </w:rPr>
            </w:pPr>
            <w:r>
              <w:rPr>
                <w:rFonts w:hint="eastAsia"/>
                <w:color w:val="auto"/>
                <w:highlight w:val="none"/>
              </w:rPr>
              <w:t>响应/正偏离/负偏离</w:t>
            </w:r>
          </w:p>
        </w:tc>
        <w:tc>
          <w:tcPr>
            <w:tcW w:w="1116" w:type="pct"/>
            <w:vAlign w:val="center"/>
          </w:tcPr>
          <w:p w14:paraId="63E16449">
            <w:pPr>
              <w:pStyle w:val="45"/>
              <w:jc w:val="center"/>
              <w:rPr>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shd w:val="clear" w:color="auto" w:fill="auto"/>
            <w:vAlign w:val="center"/>
          </w:tcPr>
          <w:p w14:paraId="4C45FE18">
            <w:pPr>
              <w:pStyle w:val="45"/>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3</w:t>
            </w:r>
          </w:p>
        </w:tc>
        <w:tc>
          <w:tcPr>
            <w:tcW w:w="1277" w:type="pct"/>
            <w:shd w:val="clear" w:color="auto" w:fill="auto"/>
            <w:vAlign w:val="center"/>
          </w:tcPr>
          <w:p w14:paraId="6D1DD644">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913" w:type="pct"/>
            <w:shd w:val="clear" w:color="auto" w:fill="auto"/>
            <w:vAlign w:val="center"/>
          </w:tcPr>
          <w:p w14:paraId="2982168B">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285" w:type="pct"/>
            <w:shd w:val="clear" w:color="auto" w:fill="auto"/>
            <w:vAlign w:val="center"/>
          </w:tcPr>
          <w:p w14:paraId="78EC7D09">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响应/正偏离/负偏离</w:t>
            </w:r>
          </w:p>
        </w:tc>
        <w:tc>
          <w:tcPr>
            <w:tcW w:w="1116" w:type="pct"/>
            <w:vAlign w:val="center"/>
          </w:tcPr>
          <w:p w14:paraId="46369488">
            <w:pPr>
              <w:pStyle w:val="45"/>
              <w:jc w:val="center"/>
              <w:rPr>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45"/>
              <w:jc w:val="center"/>
              <w:rPr>
                <w:color w:val="auto"/>
                <w:highlight w:val="none"/>
              </w:rPr>
            </w:pPr>
          </w:p>
        </w:tc>
        <w:tc>
          <w:tcPr>
            <w:tcW w:w="1277" w:type="pct"/>
            <w:vAlign w:val="center"/>
          </w:tcPr>
          <w:p w14:paraId="529041E2">
            <w:pPr>
              <w:pStyle w:val="45"/>
              <w:jc w:val="center"/>
              <w:rPr>
                <w:color w:val="auto"/>
                <w:highlight w:val="none"/>
              </w:rPr>
            </w:pPr>
          </w:p>
        </w:tc>
        <w:tc>
          <w:tcPr>
            <w:tcW w:w="913" w:type="pct"/>
            <w:vAlign w:val="center"/>
          </w:tcPr>
          <w:p w14:paraId="301E476D">
            <w:pPr>
              <w:pStyle w:val="45"/>
              <w:jc w:val="center"/>
              <w:rPr>
                <w:color w:val="auto"/>
                <w:highlight w:val="none"/>
              </w:rPr>
            </w:pPr>
          </w:p>
        </w:tc>
        <w:tc>
          <w:tcPr>
            <w:tcW w:w="1285" w:type="pct"/>
            <w:vAlign w:val="center"/>
          </w:tcPr>
          <w:p w14:paraId="06F8AED7">
            <w:pPr>
              <w:pStyle w:val="45"/>
              <w:jc w:val="center"/>
              <w:rPr>
                <w:color w:val="auto"/>
                <w:highlight w:val="none"/>
              </w:rPr>
            </w:pPr>
          </w:p>
        </w:tc>
        <w:tc>
          <w:tcPr>
            <w:tcW w:w="1116" w:type="pct"/>
            <w:vAlign w:val="center"/>
          </w:tcPr>
          <w:p w14:paraId="0CE9DF45">
            <w:pPr>
              <w:pStyle w:val="45"/>
              <w:jc w:val="center"/>
              <w:rPr>
                <w:color w:val="auto"/>
                <w:highlight w:val="none"/>
              </w:rPr>
            </w:pPr>
          </w:p>
        </w:tc>
      </w:tr>
      <w:tr w14:paraId="6C86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ECFDF6B">
            <w:pPr>
              <w:pStyle w:val="45"/>
              <w:jc w:val="center"/>
              <w:rPr>
                <w:color w:val="auto"/>
                <w:highlight w:val="none"/>
              </w:rPr>
            </w:pPr>
          </w:p>
        </w:tc>
        <w:tc>
          <w:tcPr>
            <w:tcW w:w="1277" w:type="pct"/>
            <w:vAlign w:val="center"/>
          </w:tcPr>
          <w:p w14:paraId="2BFBC98E">
            <w:pPr>
              <w:pStyle w:val="45"/>
              <w:jc w:val="center"/>
              <w:rPr>
                <w:color w:val="auto"/>
                <w:highlight w:val="none"/>
              </w:rPr>
            </w:pPr>
          </w:p>
        </w:tc>
        <w:tc>
          <w:tcPr>
            <w:tcW w:w="913" w:type="pct"/>
            <w:vAlign w:val="center"/>
          </w:tcPr>
          <w:p w14:paraId="7B8E769B">
            <w:pPr>
              <w:pStyle w:val="45"/>
              <w:jc w:val="center"/>
              <w:rPr>
                <w:color w:val="auto"/>
                <w:highlight w:val="none"/>
              </w:rPr>
            </w:pPr>
          </w:p>
        </w:tc>
        <w:tc>
          <w:tcPr>
            <w:tcW w:w="1285" w:type="pct"/>
            <w:vAlign w:val="center"/>
          </w:tcPr>
          <w:p w14:paraId="3EBF2A71">
            <w:pPr>
              <w:pStyle w:val="45"/>
              <w:jc w:val="center"/>
              <w:rPr>
                <w:color w:val="auto"/>
                <w:highlight w:val="none"/>
              </w:rPr>
            </w:pPr>
          </w:p>
        </w:tc>
        <w:tc>
          <w:tcPr>
            <w:tcW w:w="1116" w:type="pct"/>
            <w:vAlign w:val="center"/>
          </w:tcPr>
          <w:p w14:paraId="070B01FC">
            <w:pPr>
              <w:pStyle w:val="45"/>
              <w:jc w:val="center"/>
              <w:rPr>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E75B4E6">
            <w:pPr>
              <w:pStyle w:val="45"/>
              <w:jc w:val="center"/>
              <w:rPr>
                <w:color w:val="auto"/>
                <w:highlight w:val="none"/>
              </w:rPr>
            </w:pPr>
          </w:p>
        </w:tc>
        <w:tc>
          <w:tcPr>
            <w:tcW w:w="1277" w:type="pct"/>
            <w:vAlign w:val="center"/>
          </w:tcPr>
          <w:p w14:paraId="77107295">
            <w:pPr>
              <w:pStyle w:val="45"/>
              <w:jc w:val="center"/>
              <w:rPr>
                <w:color w:val="auto"/>
                <w:highlight w:val="none"/>
              </w:rPr>
            </w:pPr>
          </w:p>
        </w:tc>
        <w:tc>
          <w:tcPr>
            <w:tcW w:w="913" w:type="pct"/>
            <w:vAlign w:val="center"/>
          </w:tcPr>
          <w:p w14:paraId="4D01D78E">
            <w:pPr>
              <w:pStyle w:val="45"/>
              <w:jc w:val="center"/>
              <w:rPr>
                <w:color w:val="auto"/>
                <w:highlight w:val="none"/>
              </w:rPr>
            </w:pPr>
          </w:p>
        </w:tc>
        <w:tc>
          <w:tcPr>
            <w:tcW w:w="1285" w:type="pct"/>
            <w:vAlign w:val="center"/>
          </w:tcPr>
          <w:p w14:paraId="6D546857">
            <w:pPr>
              <w:pStyle w:val="45"/>
              <w:jc w:val="center"/>
              <w:rPr>
                <w:color w:val="auto"/>
                <w:highlight w:val="none"/>
              </w:rPr>
            </w:pPr>
          </w:p>
        </w:tc>
        <w:tc>
          <w:tcPr>
            <w:tcW w:w="1116" w:type="pct"/>
            <w:vAlign w:val="center"/>
          </w:tcPr>
          <w:p w14:paraId="2E1B7D0B">
            <w:pPr>
              <w:pStyle w:val="45"/>
              <w:jc w:val="center"/>
              <w:rPr>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45"/>
              <w:jc w:val="center"/>
              <w:rPr>
                <w:color w:val="auto"/>
                <w:highlight w:val="none"/>
              </w:rPr>
            </w:pPr>
          </w:p>
        </w:tc>
        <w:tc>
          <w:tcPr>
            <w:tcW w:w="1277" w:type="pct"/>
            <w:vAlign w:val="center"/>
          </w:tcPr>
          <w:p w14:paraId="5C7E043B">
            <w:pPr>
              <w:pStyle w:val="45"/>
              <w:jc w:val="center"/>
              <w:rPr>
                <w:color w:val="auto"/>
                <w:highlight w:val="none"/>
              </w:rPr>
            </w:pPr>
          </w:p>
        </w:tc>
        <w:tc>
          <w:tcPr>
            <w:tcW w:w="913" w:type="pct"/>
            <w:vAlign w:val="center"/>
          </w:tcPr>
          <w:p w14:paraId="64166C7A">
            <w:pPr>
              <w:pStyle w:val="45"/>
              <w:jc w:val="center"/>
              <w:rPr>
                <w:color w:val="auto"/>
                <w:highlight w:val="none"/>
              </w:rPr>
            </w:pPr>
          </w:p>
        </w:tc>
        <w:tc>
          <w:tcPr>
            <w:tcW w:w="1285" w:type="pct"/>
            <w:vAlign w:val="center"/>
          </w:tcPr>
          <w:p w14:paraId="2817CCE5">
            <w:pPr>
              <w:pStyle w:val="45"/>
              <w:jc w:val="center"/>
              <w:rPr>
                <w:color w:val="auto"/>
                <w:highlight w:val="none"/>
              </w:rPr>
            </w:pPr>
          </w:p>
        </w:tc>
        <w:tc>
          <w:tcPr>
            <w:tcW w:w="1116" w:type="pct"/>
            <w:vAlign w:val="center"/>
          </w:tcPr>
          <w:p w14:paraId="184E3F96">
            <w:pPr>
              <w:pStyle w:val="45"/>
              <w:jc w:val="center"/>
              <w:rPr>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45"/>
              <w:jc w:val="center"/>
              <w:rPr>
                <w:color w:val="auto"/>
                <w:highlight w:val="none"/>
              </w:rPr>
            </w:pPr>
            <w:r>
              <w:rPr>
                <w:rFonts w:hint="eastAsia"/>
                <w:color w:val="auto"/>
                <w:highlight w:val="none"/>
              </w:rPr>
              <w:t>……</w:t>
            </w:r>
          </w:p>
        </w:tc>
        <w:tc>
          <w:tcPr>
            <w:tcW w:w="1277" w:type="pct"/>
            <w:vAlign w:val="center"/>
          </w:tcPr>
          <w:p w14:paraId="7D0AF02A">
            <w:pPr>
              <w:pStyle w:val="45"/>
              <w:jc w:val="center"/>
              <w:rPr>
                <w:color w:val="auto"/>
                <w:highlight w:val="none"/>
              </w:rPr>
            </w:pPr>
            <w:r>
              <w:rPr>
                <w:rFonts w:hint="eastAsia"/>
                <w:color w:val="auto"/>
                <w:highlight w:val="none"/>
              </w:rPr>
              <w:t>…………</w:t>
            </w:r>
          </w:p>
        </w:tc>
        <w:tc>
          <w:tcPr>
            <w:tcW w:w="913" w:type="pct"/>
            <w:vAlign w:val="center"/>
          </w:tcPr>
          <w:p w14:paraId="6EC8C4F3">
            <w:pPr>
              <w:pStyle w:val="45"/>
              <w:jc w:val="center"/>
              <w:rPr>
                <w:color w:val="auto"/>
                <w:highlight w:val="none"/>
              </w:rPr>
            </w:pPr>
            <w:r>
              <w:rPr>
                <w:rFonts w:hint="eastAsia"/>
                <w:color w:val="auto"/>
                <w:highlight w:val="none"/>
              </w:rPr>
              <w:t>………………</w:t>
            </w:r>
          </w:p>
        </w:tc>
        <w:tc>
          <w:tcPr>
            <w:tcW w:w="1285" w:type="pct"/>
            <w:vAlign w:val="center"/>
          </w:tcPr>
          <w:p w14:paraId="59EB3DF9">
            <w:pPr>
              <w:pStyle w:val="45"/>
              <w:jc w:val="center"/>
              <w:rPr>
                <w:color w:val="auto"/>
                <w:highlight w:val="none"/>
              </w:rPr>
            </w:pPr>
            <w:r>
              <w:rPr>
                <w:rFonts w:hint="eastAsia"/>
                <w:color w:val="auto"/>
                <w:highlight w:val="none"/>
              </w:rPr>
              <w:t>…………</w:t>
            </w:r>
          </w:p>
        </w:tc>
        <w:tc>
          <w:tcPr>
            <w:tcW w:w="1116" w:type="pct"/>
            <w:vAlign w:val="center"/>
          </w:tcPr>
          <w:p w14:paraId="1BF96619">
            <w:pPr>
              <w:pStyle w:val="45"/>
              <w:jc w:val="center"/>
              <w:rPr>
                <w:color w:val="auto"/>
                <w:highlight w:val="none"/>
              </w:rPr>
            </w:pPr>
          </w:p>
        </w:tc>
      </w:tr>
    </w:tbl>
    <w:p w14:paraId="12AEBD40">
      <w:pPr>
        <w:ind w:firstLine="480" w:firstLineChars="200"/>
        <w:rPr>
          <w:rFonts w:cs="仿宋_GB2312"/>
          <w:color w:val="auto"/>
          <w:szCs w:val="24"/>
          <w:highlight w:val="none"/>
        </w:rPr>
      </w:pPr>
    </w:p>
    <w:p w14:paraId="71C6318B">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66182CD9">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414C3B01">
      <w:pPr>
        <w:ind w:firstLine="420"/>
        <w:rPr>
          <w:rFonts w:cs="仿宋_GB2312"/>
          <w:color w:val="auto"/>
          <w:szCs w:val="24"/>
          <w:highlight w:val="none"/>
        </w:rPr>
      </w:pPr>
    </w:p>
    <w:p w14:paraId="306D75A1">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竞争性谈判</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32E4AC3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1.“竞争性谈判文件技术要求条款”栏应详细列明竞争性谈判文件中的技术要求。 </w:t>
      </w:r>
    </w:p>
    <w:p w14:paraId="0BA8C5C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2.“响应文件内容对应简述”栏填写供应商对竞争性谈判文件提出的技术条款作出的明确响应，并列明具体响应数值或内容，只注明符合、满足等无具体内容表述的，将视为未实质性满足竞争性谈判文件要求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0BDFC1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3DD5C495">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4.“证明资料及索引”栏可填写证明资料的具体内容及索引。</w:t>
      </w:r>
    </w:p>
    <w:p w14:paraId="49A1A5E5">
      <w:pPr>
        <w:ind w:firstLine="420"/>
        <w:rPr>
          <w:rFonts w:cs="仿宋_GB2312"/>
          <w:color w:val="auto"/>
          <w:sz w:val="21"/>
          <w:szCs w:val="21"/>
          <w:highlight w:val="none"/>
        </w:rPr>
      </w:pPr>
      <w:r>
        <w:rPr>
          <w:rFonts w:hint="eastAsia" w:cs="仿宋_GB2312"/>
          <w:color w:val="auto"/>
          <w:sz w:val="21"/>
          <w:szCs w:val="21"/>
          <w:highlight w:val="none"/>
          <w:lang w:val="en-US" w:eastAsia="zh-CN"/>
        </w:rPr>
        <w:t>5.对竞争性谈判文件中的所有技术要求，除本表所列明的所有偏离外，均视作供应商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color w:val="auto"/>
          <w:sz w:val="21"/>
          <w:szCs w:val="21"/>
          <w:highlight w:val="none"/>
        </w:rPr>
        <w:br w:type="page"/>
      </w:r>
    </w:p>
    <w:p w14:paraId="600EA7EE">
      <w:pPr>
        <w:pStyle w:val="15"/>
        <w:spacing w:line="360" w:lineRule="auto"/>
        <w:jc w:val="center"/>
        <w:rPr>
          <w:rFonts w:hint="eastAsia" w:ascii="方正小标宋_GBK" w:hAnsi="方正小标宋_GBK" w:eastAsia="方正小标宋_GBK" w:cs="方正小标宋_GBK"/>
          <w:bCs/>
          <w:color w:val="auto"/>
          <w:sz w:val="36"/>
          <w:szCs w:val="36"/>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7" w:name="_Toc12534"/>
      <w:bookmarkStart w:id="628" w:name="_Toc29627"/>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627"/>
      <w:bookmarkEnd w:id="628"/>
    </w:p>
    <w:p w14:paraId="3878D3F5">
      <w:pPr>
        <w:pStyle w:val="34"/>
        <w:rPr>
          <w:color w:val="auto"/>
          <w:highlight w:val="none"/>
        </w:rPr>
      </w:pPr>
      <w:r>
        <w:rPr>
          <w:rFonts w:hint="eastAsia"/>
          <w:color w:val="auto"/>
          <w:highlight w:val="none"/>
          <w:lang w:val="en-US" w:eastAsia="zh-CN"/>
        </w:rPr>
        <w:t>供应商</w:t>
      </w:r>
      <w:r>
        <w:rPr>
          <w:rFonts w:hint="eastAsia"/>
          <w:color w:val="auto"/>
          <w:highlight w:val="none"/>
        </w:rPr>
        <w:t>应按照</w:t>
      </w:r>
      <w:r>
        <w:rPr>
          <w:rFonts w:hint="eastAsia"/>
          <w:color w:val="auto"/>
          <w:highlight w:val="none"/>
          <w:lang w:val="en-US" w:eastAsia="zh-CN"/>
        </w:rPr>
        <w:t>竞争性谈判</w:t>
      </w:r>
      <w:r>
        <w:rPr>
          <w:rFonts w:hint="eastAsia"/>
          <w:color w:val="auto"/>
          <w:highlight w:val="none"/>
        </w:rPr>
        <w:t>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7EE77353">
      <w:pPr>
        <w:pStyle w:val="34"/>
        <w:rPr>
          <w:color w:val="auto"/>
          <w:highlight w:val="none"/>
        </w:rPr>
      </w:pPr>
      <w:r>
        <w:rPr>
          <w:color w:val="auto"/>
          <w:highlight w:val="none"/>
        </w:rPr>
        <w:br w:type="page"/>
      </w:r>
    </w:p>
    <w:p w14:paraId="7AD86D6F">
      <w:pPr>
        <w:pStyle w:val="15"/>
        <w:spacing w:line="360" w:lineRule="auto"/>
        <w:jc w:val="center"/>
        <w:rPr>
          <w:rFonts w:hint="eastAsia" w:cstheme="minorBidi"/>
          <w:b/>
          <w:bCs/>
          <w:color w:val="auto"/>
          <w:kern w:val="2"/>
          <w:sz w:val="44"/>
          <w:szCs w:val="44"/>
          <w:highlight w:val="none"/>
          <w:lang w:val="en-US" w:eastAsia="zh-CN" w:bidi="ar-SA"/>
        </w:rPr>
      </w:pP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9" w:name="_Toc18914"/>
      <w:bookmarkStart w:id="630" w:name="_Toc20344"/>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其他文件</w:t>
      </w:r>
      <w:bookmarkEnd w:id="629"/>
      <w:bookmarkEnd w:id="630"/>
    </w:p>
    <w:p w14:paraId="6EF40482">
      <w:pPr>
        <w:pStyle w:val="34"/>
        <w:ind w:left="0" w:leftChars="0" w:firstLine="0" w:firstLineChars="0"/>
        <w:rPr>
          <w:rFonts w:hint="eastAsia"/>
          <w:b/>
          <w:bCs/>
          <w:iCs/>
          <w:color w:val="auto"/>
          <w:sz w:val="24"/>
          <w:szCs w:val="24"/>
          <w:highlight w:val="none"/>
          <w:shd w:val="clear" w:color="auto" w:fill="FFFFFF" w:themeFill="background1"/>
          <w:lang w:val="zh-CN" w:eastAsia="zh-CN"/>
        </w:rPr>
      </w:pPr>
      <w:r>
        <w:rPr>
          <w:rFonts w:hint="eastAsia"/>
          <w:b/>
          <w:bCs/>
          <w:iCs/>
          <w:color w:val="auto"/>
          <w:sz w:val="24"/>
          <w:szCs w:val="24"/>
          <w:highlight w:val="none"/>
          <w:shd w:val="clear" w:color="auto" w:fill="FFFFFF" w:themeFill="background1"/>
          <w:lang w:val="en-US" w:eastAsia="zh-CN"/>
        </w:rPr>
        <w:t>（一）竞争性谈判</w:t>
      </w:r>
      <w:r>
        <w:rPr>
          <w:rFonts w:hint="eastAsia"/>
          <w:b/>
          <w:bCs/>
          <w:iCs/>
          <w:color w:val="auto"/>
          <w:sz w:val="24"/>
          <w:szCs w:val="24"/>
          <w:highlight w:val="none"/>
          <w:shd w:val="clear" w:color="auto" w:fill="FFFFFF" w:themeFill="background1"/>
          <w:lang w:val="zh-CN" w:eastAsia="zh-CN"/>
        </w:rPr>
        <w:t>文件要求提供的其它商务、技术资料和证明材料；</w:t>
      </w:r>
    </w:p>
    <w:p w14:paraId="1AB0431C">
      <w:pPr>
        <w:pStyle w:val="3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1.1供应商信息采集表</w:t>
      </w:r>
    </w:p>
    <w:tbl>
      <w:tblPr>
        <w:tblStyle w:val="29"/>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34"/>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34"/>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34"/>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34"/>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34"/>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34"/>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34"/>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34"/>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34"/>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34"/>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34"/>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34"/>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2.“供应商实际控制人性别”按供应商实际控制人性别划分请填写“男”或“女”，指拥有供应商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4"/>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3.“外商投资类型”请填写“外商单独投资”、“外商部分投资”或“内资”。</w:t>
      </w:r>
    </w:p>
    <w:p w14:paraId="55FB009A">
      <w:pPr>
        <w:pStyle w:val="34"/>
        <w:rPr>
          <w:rFonts w:hint="eastAsia" w:ascii="宋体" w:hAnsi="宋体" w:eastAsia="宋体" w:cs="宋体"/>
          <w:color w:val="auto"/>
          <w:sz w:val="24"/>
          <w:szCs w:val="24"/>
          <w:highlight w:val="none"/>
          <w:lang w:val="en-US" w:eastAsia="zh-CN"/>
        </w:rPr>
      </w:pPr>
    </w:p>
    <w:p w14:paraId="7953C59C">
      <w:pPr>
        <w:pStyle w:val="3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1.2其它商务、技术资料和证明材料</w:t>
      </w:r>
    </w:p>
    <w:p w14:paraId="3A11A162">
      <w:pPr>
        <w:pStyle w:val="34"/>
        <w:rPr>
          <w:rFonts w:hint="default"/>
          <w:color w:val="auto"/>
          <w:sz w:val="28"/>
          <w:szCs w:val="28"/>
          <w:highlight w:val="none"/>
          <w:lang w:val="en-US" w:eastAsia="zh-CN"/>
        </w:rPr>
      </w:pPr>
    </w:p>
    <w:p w14:paraId="7DF13FE9">
      <w:pPr>
        <w:pStyle w:val="34"/>
        <w:ind w:left="0" w:leftChars="0" w:firstLine="0" w:firstLineChars="0"/>
        <w:rPr>
          <w:rFonts w:hint="eastAsia"/>
          <w:b/>
          <w:bCs/>
          <w:iCs/>
          <w:color w:val="auto"/>
          <w:sz w:val="24"/>
          <w:szCs w:val="24"/>
          <w:highlight w:val="none"/>
          <w:shd w:val="clear" w:color="auto" w:fill="FFFFFF" w:themeFill="background1"/>
          <w:lang w:val="en-US" w:eastAsia="zh-CN"/>
        </w:rPr>
      </w:pPr>
      <w:r>
        <w:rPr>
          <w:rFonts w:hint="eastAsia"/>
          <w:b/>
          <w:bCs/>
          <w:iCs/>
          <w:color w:val="auto"/>
          <w:sz w:val="24"/>
          <w:szCs w:val="24"/>
          <w:highlight w:val="none"/>
          <w:shd w:val="clear" w:color="auto" w:fill="FFFFFF" w:themeFill="background1"/>
          <w:lang w:val="en-US" w:eastAsia="zh-CN"/>
        </w:rPr>
        <w:t>（二）供应商认为需要提供的其它商务、技术资料和说明。</w:t>
      </w:r>
    </w:p>
    <w:p w14:paraId="1B27B21C">
      <w:pPr>
        <w:pStyle w:val="34"/>
        <w:rPr>
          <w:rFonts w:hint="eastAsia"/>
          <w:color w:val="auto"/>
          <w:highlight w:val="none"/>
        </w:rPr>
      </w:pPr>
    </w:p>
    <w:p w14:paraId="3352B805">
      <w:pPr>
        <w:pStyle w:val="34"/>
        <w:rPr>
          <w:rFonts w:hint="eastAsia"/>
          <w:color w:val="auto"/>
          <w:highlight w:val="none"/>
        </w:rPr>
      </w:pPr>
    </w:p>
    <w:p w14:paraId="19B7C1E0">
      <w:pPr>
        <w:pStyle w:val="34"/>
        <w:rPr>
          <w:rFonts w:hint="eastAsia"/>
          <w:color w:val="auto"/>
          <w:highlight w:val="none"/>
        </w:rPr>
      </w:pPr>
    </w:p>
    <w:bookmarkEnd w:id="506"/>
    <w:p w14:paraId="7CB0AFFA">
      <w:pPr>
        <w:rPr>
          <w:color w:val="auto"/>
          <w:highlight w:val="none"/>
        </w:rPr>
      </w:pPr>
    </w:p>
    <w:sectPr>
      <w:pgSz w:w="11906" w:h="16838"/>
      <w:pgMar w:top="1440" w:right="1803" w:bottom="1440" w:left="1803" w:header="851" w:footer="992" w:gutter="0"/>
      <w:pgNumType w:fmt="numberInDash"/>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82016" w:usb3="00000000" w:csb0="00040001" w:csb1="00000000"/>
  </w:font>
  <w:font w:name="DejaVuSan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7"/>
      <w:spacing w:line="240" w:lineRule="auto"/>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202"/>
                          </w:sdtPr>
                          <w:sdtContent>
                            <w:p w14:paraId="348BD687">
                              <w:pPr>
                                <w:pStyle w:val="17"/>
                                <w:keepNext w:val="0"/>
                                <w:keepLines w:val="0"/>
                                <w:pageBreakBefore w:val="0"/>
                                <w:widowControl w:val="0"/>
                                <w:kinsoku/>
                                <w:wordWrap/>
                                <w:overflowPunct/>
                                <w:topLinePunct w:val="0"/>
                                <w:bidi w:val="0"/>
                                <w:adjustRightInd/>
                                <w:snapToGrid w:val="0"/>
                                <w:spacing w:line="240" w:lineRule="auto"/>
                                <w:jc w:val="center"/>
                                <w:textAlignment w:val="auto"/>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7011B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2202"/>
                    </w:sdtPr>
                    <w:sdtContent>
                      <w:p w14:paraId="348BD687">
                        <w:pPr>
                          <w:pStyle w:val="17"/>
                          <w:keepNext w:val="0"/>
                          <w:keepLines w:val="0"/>
                          <w:pageBreakBefore w:val="0"/>
                          <w:widowControl w:val="0"/>
                          <w:kinsoku/>
                          <w:wordWrap/>
                          <w:overflowPunct/>
                          <w:topLinePunct w:val="0"/>
                          <w:bidi w:val="0"/>
                          <w:adjustRightInd/>
                          <w:snapToGrid w:val="0"/>
                          <w:spacing w:line="240" w:lineRule="auto"/>
                          <w:jc w:val="center"/>
                          <w:textAlignment w:val="auto"/>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7011BE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1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18"/>
      <w:tabs>
        <w:tab w:val="left" w:pos="3120"/>
      </w:tabs>
      <w:spacing w:line="240" w:lineRule="auto"/>
      <w:jc w:val="right"/>
      <w:rPr>
        <w:sz w:val="18"/>
        <w:szCs w:val="18"/>
      </w:rPr>
    </w:pPr>
    <w:r>
      <w:rPr>
        <w:rFonts w:hint="eastAsia"/>
        <w:sz w:val="18"/>
        <w:szCs w:val="18"/>
        <w:lang w:val="en-US" w:eastAsia="zh-CN"/>
      </w:rPr>
      <w:t>新疆医科大学第一附属医院陶瓷膜过滤膜采购项目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8"/>
      <w:spacing w:line="240" w:lineRule="auto"/>
    </w:pPr>
    <w:r>
      <w:rPr>
        <w:rFonts w:hint="eastAsia"/>
        <w:sz w:val="24"/>
        <w:szCs w:val="24"/>
        <w:lang w:val="en-US" w:eastAsia="zh-CN"/>
      </w:rPr>
      <w:t xml:space="preserve">                                 </w:t>
    </w:r>
    <w:r>
      <w:rPr>
        <w:rFonts w:hint="eastAsia" w:ascii="宋体" w:hAnsi="宋体" w:eastAsia="宋体" w:cs="宋体"/>
        <w:sz w:val="18"/>
        <w:szCs w:val="18"/>
        <w:lang w:val="en-US" w:eastAsia="zh-CN"/>
      </w:rPr>
      <w:t xml:space="preserve"> </w:t>
    </w:r>
    <w:r>
      <w:rPr>
        <w:rFonts w:hint="eastAsia" w:cs="宋体"/>
        <w:sz w:val="18"/>
        <w:szCs w:val="18"/>
        <w:lang w:val="en-US" w:eastAsia="zh-CN"/>
      </w:rPr>
      <w:t xml:space="preserve">   </w:t>
    </w:r>
    <w:r>
      <w:rPr>
        <w:rFonts w:hint="eastAsia"/>
        <w:sz w:val="18"/>
        <w:szCs w:val="18"/>
        <w:lang w:val="en-US" w:eastAsia="zh-CN"/>
      </w:rPr>
      <w:t>新疆医科大学第一附属医院陶瓷膜过滤膜采购项目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18"/>
      <w:pBdr>
        <w:bottom w:val="single" w:color="auto" w:sz="4" w:space="0"/>
      </w:pBdr>
    </w:pPr>
    <w:r>
      <w:rPr>
        <w:rFonts w:hint="eastAsia" w:cs="宋体"/>
        <w:sz w:val="18"/>
        <w:szCs w:val="18"/>
        <w:lang w:val="en-US" w:eastAsia="zh-CN"/>
      </w:rPr>
      <w:t xml:space="preserve">                                              新疆医科大学第一附属医院陶瓷膜过滤膜采购项目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E394D"/>
    <w:multiLevelType w:val="singleLevel"/>
    <w:tmpl w:val="F7EE394D"/>
    <w:lvl w:ilvl="0" w:tentative="0">
      <w:start w:val="1"/>
      <w:numFmt w:val="decimal"/>
      <w:suff w:val="nothing"/>
      <w:lvlText w:val="%1、"/>
      <w:lvlJc w:val="left"/>
    </w:lvl>
  </w:abstractNum>
  <w:abstractNum w:abstractNumId="1">
    <w:nsid w:val="0053208E"/>
    <w:multiLevelType w:val="singleLevel"/>
    <w:tmpl w:val="0053208E"/>
    <w:lvl w:ilvl="0" w:tentative="0">
      <w:start w:val="1"/>
      <w:numFmt w:val="decimal"/>
      <w:suff w:val="nothing"/>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049F403"/>
    <w:multiLevelType w:val="singleLevel"/>
    <w:tmpl w:val="4049F403"/>
    <w:lvl w:ilvl="0" w:tentative="0">
      <w:start w:val="1"/>
      <w:numFmt w:val="chineseCounting"/>
      <w:suff w:val="nothing"/>
      <w:lvlText w:val="%1、"/>
      <w:lvlJc w:val="left"/>
      <w:rPr>
        <w:rFonts w:hint="eastAsia"/>
      </w:rPr>
    </w:lvl>
  </w:abstractNum>
  <w:abstractNum w:abstractNumId="4">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MWZiZDEwOGIwOTVkMGQzNmY2ODNjOTk4ZmQ1MWY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94959"/>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D21B2"/>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0B57"/>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4BC7"/>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074A"/>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CDF"/>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062784"/>
    <w:rsid w:val="01172A03"/>
    <w:rsid w:val="01176EA7"/>
    <w:rsid w:val="011A5E25"/>
    <w:rsid w:val="012A118F"/>
    <w:rsid w:val="014F42C4"/>
    <w:rsid w:val="014F6641"/>
    <w:rsid w:val="01521C8D"/>
    <w:rsid w:val="0168325F"/>
    <w:rsid w:val="016D6AC7"/>
    <w:rsid w:val="01A544B3"/>
    <w:rsid w:val="01AE3368"/>
    <w:rsid w:val="01C506B1"/>
    <w:rsid w:val="01CC7C92"/>
    <w:rsid w:val="01D17056"/>
    <w:rsid w:val="021D673F"/>
    <w:rsid w:val="023B0973"/>
    <w:rsid w:val="025263E9"/>
    <w:rsid w:val="02A468E7"/>
    <w:rsid w:val="02AA4F6F"/>
    <w:rsid w:val="02AE4AFE"/>
    <w:rsid w:val="02C72207"/>
    <w:rsid w:val="0317318F"/>
    <w:rsid w:val="031B2C7F"/>
    <w:rsid w:val="031D69B6"/>
    <w:rsid w:val="03265180"/>
    <w:rsid w:val="034C23ED"/>
    <w:rsid w:val="034F46D6"/>
    <w:rsid w:val="035937A7"/>
    <w:rsid w:val="03597303"/>
    <w:rsid w:val="035E2B6B"/>
    <w:rsid w:val="0387014A"/>
    <w:rsid w:val="03ED7ED6"/>
    <w:rsid w:val="03EF1A15"/>
    <w:rsid w:val="044004C3"/>
    <w:rsid w:val="04561A95"/>
    <w:rsid w:val="047C599F"/>
    <w:rsid w:val="04842AA6"/>
    <w:rsid w:val="049802FF"/>
    <w:rsid w:val="04AB5878"/>
    <w:rsid w:val="04B0389B"/>
    <w:rsid w:val="04DA4474"/>
    <w:rsid w:val="04EC6C63"/>
    <w:rsid w:val="04FF037E"/>
    <w:rsid w:val="05047743"/>
    <w:rsid w:val="05214D81"/>
    <w:rsid w:val="053B7608"/>
    <w:rsid w:val="05465FAD"/>
    <w:rsid w:val="056F2E0E"/>
    <w:rsid w:val="05832D5D"/>
    <w:rsid w:val="05B20F4D"/>
    <w:rsid w:val="05B2719F"/>
    <w:rsid w:val="05B44CC5"/>
    <w:rsid w:val="05B66C8F"/>
    <w:rsid w:val="05DB04A3"/>
    <w:rsid w:val="05E530D0"/>
    <w:rsid w:val="05EF624C"/>
    <w:rsid w:val="05F25272"/>
    <w:rsid w:val="0644429B"/>
    <w:rsid w:val="0659586C"/>
    <w:rsid w:val="067D77AC"/>
    <w:rsid w:val="0688028A"/>
    <w:rsid w:val="068C79F0"/>
    <w:rsid w:val="069C40D7"/>
    <w:rsid w:val="06A0349B"/>
    <w:rsid w:val="06A411DD"/>
    <w:rsid w:val="06C07699"/>
    <w:rsid w:val="06C62167"/>
    <w:rsid w:val="06D80BD5"/>
    <w:rsid w:val="06F537E7"/>
    <w:rsid w:val="070752C8"/>
    <w:rsid w:val="070E75E1"/>
    <w:rsid w:val="07222102"/>
    <w:rsid w:val="073100B5"/>
    <w:rsid w:val="07542E7B"/>
    <w:rsid w:val="07577FFE"/>
    <w:rsid w:val="076B1CFB"/>
    <w:rsid w:val="077840FA"/>
    <w:rsid w:val="079C3C62"/>
    <w:rsid w:val="07B0770E"/>
    <w:rsid w:val="07BA46E0"/>
    <w:rsid w:val="07BE62CF"/>
    <w:rsid w:val="07C531B9"/>
    <w:rsid w:val="07CA07CF"/>
    <w:rsid w:val="07F27D26"/>
    <w:rsid w:val="07FA3E48"/>
    <w:rsid w:val="08002443"/>
    <w:rsid w:val="08027530"/>
    <w:rsid w:val="086230FE"/>
    <w:rsid w:val="08766BA9"/>
    <w:rsid w:val="088272FC"/>
    <w:rsid w:val="088C3CD7"/>
    <w:rsid w:val="08BA08C0"/>
    <w:rsid w:val="08E81CF0"/>
    <w:rsid w:val="092403B3"/>
    <w:rsid w:val="094C3466"/>
    <w:rsid w:val="094F0D3C"/>
    <w:rsid w:val="09694018"/>
    <w:rsid w:val="097924AD"/>
    <w:rsid w:val="097F0C21"/>
    <w:rsid w:val="09931095"/>
    <w:rsid w:val="099864F8"/>
    <w:rsid w:val="09B07E99"/>
    <w:rsid w:val="09C86F91"/>
    <w:rsid w:val="09FC4E8C"/>
    <w:rsid w:val="0A3C34DB"/>
    <w:rsid w:val="0A430BD6"/>
    <w:rsid w:val="0A540824"/>
    <w:rsid w:val="0A73514E"/>
    <w:rsid w:val="0A7F7F97"/>
    <w:rsid w:val="0A8354E5"/>
    <w:rsid w:val="0A9E5F43"/>
    <w:rsid w:val="0AA479FE"/>
    <w:rsid w:val="0ACC485F"/>
    <w:rsid w:val="0ADA3F4C"/>
    <w:rsid w:val="0AF049F1"/>
    <w:rsid w:val="0B0E131B"/>
    <w:rsid w:val="0B116715"/>
    <w:rsid w:val="0B161163"/>
    <w:rsid w:val="0B291CB1"/>
    <w:rsid w:val="0B440899"/>
    <w:rsid w:val="0B48482D"/>
    <w:rsid w:val="0B5A00BC"/>
    <w:rsid w:val="0B6727D9"/>
    <w:rsid w:val="0B680A2B"/>
    <w:rsid w:val="0B7844F0"/>
    <w:rsid w:val="0B7F5D75"/>
    <w:rsid w:val="0B9C06D5"/>
    <w:rsid w:val="0B9C6927"/>
    <w:rsid w:val="0B9D61FB"/>
    <w:rsid w:val="0BB27EF8"/>
    <w:rsid w:val="0BBF2208"/>
    <w:rsid w:val="0BBF61BC"/>
    <w:rsid w:val="0BC47C2C"/>
    <w:rsid w:val="0BCB5C52"/>
    <w:rsid w:val="0BE300B2"/>
    <w:rsid w:val="0C01678A"/>
    <w:rsid w:val="0C060E10"/>
    <w:rsid w:val="0C085D6A"/>
    <w:rsid w:val="0C0A7D34"/>
    <w:rsid w:val="0C124F52"/>
    <w:rsid w:val="0C193AD3"/>
    <w:rsid w:val="0C2661F0"/>
    <w:rsid w:val="0C696B65"/>
    <w:rsid w:val="0C7B29E0"/>
    <w:rsid w:val="0C7D22B4"/>
    <w:rsid w:val="0CD935FB"/>
    <w:rsid w:val="0CE00A95"/>
    <w:rsid w:val="0D156C3F"/>
    <w:rsid w:val="0D3870E2"/>
    <w:rsid w:val="0D3951D6"/>
    <w:rsid w:val="0D416F52"/>
    <w:rsid w:val="0D8C18C1"/>
    <w:rsid w:val="0E0013EF"/>
    <w:rsid w:val="0E2B3F92"/>
    <w:rsid w:val="0E2B5D40"/>
    <w:rsid w:val="0E772D33"/>
    <w:rsid w:val="0E7B7815"/>
    <w:rsid w:val="0E88562B"/>
    <w:rsid w:val="0E8B67DF"/>
    <w:rsid w:val="0E925DBF"/>
    <w:rsid w:val="0EC37B54"/>
    <w:rsid w:val="0EC75A69"/>
    <w:rsid w:val="0EDB7766"/>
    <w:rsid w:val="0EEF3211"/>
    <w:rsid w:val="0EF3685E"/>
    <w:rsid w:val="0EFB1BB6"/>
    <w:rsid w:val="0EFE3455"/>
    <w:rsid w:val="0F29227F"/>
    <w:rsid w:val="0F3375A2"/>
    <w:rsid w:val="0F3F7CF5"/>
    <w:rsid w:val="0F4F5A5E"/>
    <w:rsid w:val="0F6634D4"/>
    <w:rsid w:val="0F7200CA"/>
    <w:rsid w:val="0F7F4595"/>
    <w:rsid w:val="0F8C280E"/>
    <w:rsid w:val="0FB17966"/>
    <w:rsid w:val="0FB35FED"/>
    <w:rsid w:val="0FD97D81"/>
    <w:rsid w:val="0FDC6611"/>
    <w:rsid w:val="10637A13"/>
    <w:rsid w:val="108856CC"/>
    <w:rsid w:val="108D2CE2"/>
    <w:rsid w:val="10944070"/>
    <w:rsid w:val="10A36062"/>
    <w:rsid w:val="10A5627E"/>
    <w:rsid w:val="10A83678"/>
    <w:rsid w:val="10BC7123"/>
    <w:rsid w:val="10BD35C7"/>
    <w:rsid w:val="10CF6E57"/>
    <w:rsid w:val="10D461A4"/>
    <w:rsid w:val="10D95F27"/>
    <w:rsid w:val="10EF574B"/>
    <w:rsid w:val="10F87681"/>
    <w:rsid w:val="1104261B"/>
    <w:rsid w:val="11254CC9"/>
    <w:rsid w:val="11801B30"/>
    <w:rsid w:val="11BD4513"/>
    <w:rsid w:val="11D5049D"/>
    <w:rsid w:val="11E626AA"/>
    <w:rsid w:val="11F50B3F"/>
    <w:rsid w:val="11FC3C7B"/>
    <w:rsid w:val="12096398"/>
    <w:rsid w:val="1218364A"/>
    <w:rsid w:val="12241424"/>
    <w:rsid w:val="122F22A3"/>
    <w:rsid w:val="12505D75"/>
    <w:rsid w:val="125725B2"/>
    <w:rsid w:val="12745F08"/>
    <w:rsid w:val="12863E8D"/>
    <w:rsid w:val="12A8795F"/>
    <w:rsid w:val="12AA36D7"/>
    <w:rsid w:val="12B83BBB"/>
    <w:rsid w:val="12BB58E4"/>
    <w:rsid w:val="12C0739F"/>
    <w:rsid w:val="12CC676F"/>
    <w:rsid w:val="12D6271E"/>
    <w:rsid w:val="12DD62D4"/>
    <w:rsid w:val="12E9012D"/>
    <w:rsid w:val="12F209B1"/>
    <w:rsid w:val="12F9465F"/>
    <w:rsid w:val="12FC7CAB"/>
    <w:rsid w:val="13117BFA"/>
    <w:rsid w:val="13685340"/>
    <w:rsid w:val="136D604A"/>
    <w:rsid w:val="136F6DBA"/>
    <w:rsid w:val="137B1518"/>
    <w:rsid w:val="138008DC"/>
    <w:rsid w:val="138E2FF9"/>
    <w:rsid w:val="13931986"/>
    <w:rsid w:val="13A73607"/>
    <w:rsid w:val="13F54E26"/>
    <w:rsid w:val="13FB7F63"/>
    <w:rsid w:val="140432BB"/>
    <w:rsid w:val="140908D1"/>
    <w:rsid w:val="140E413A"/>
    <w:rsid w:val="1422618B"/>
    <w:rsid w:val="142E20E6"/>
    <w:rsid w:val="14733F9D"/>
    <w:rsid w:val="14742577"/>
    <w:rsid w:val="147C10A3"/>
    <w:rsid w:val="14B655E2"/>
    <w:rsid w:val="14C447F8"/>
    <w:rsid w:val="14F275B8"/>
    <w:rsid w:val="15115C90"/>
    <w:rsid w:val="15175270"/>
    <w:rsid w:val="151B4D60"/>
    <w:rsid w:val="152C2AC9"/>
    <w:rsid w:val="15AF7257"/>
    <w:rsid w:val="15E52C78"/>
    <w:rsid w:val="160752E5"/>
    <w:rsid w:val="16104199"/>
    <w:rsid w:val="16140F28"/>
    <w:rsid w:val="163D4862"/>
    <w:rsid w:val="164E4CC1"/>
    <w:rsid w:val="165247B2"/>
    <w:rsid w:val="1654042C"/>
    <w:rsid w:val="16556050"/>
    <w:rsid w:val="16726D77"/>
    <w:rsid w:val="16820AD6"/>
    <w:rsid w:val="169923E1"/>
    <w:rsid w:val="16994D22"/>
    <w:rsid w:val="169D3553"/>
    <w:rsid w:val="16AC04CA"/>
    <w:rsid w:val="16B84207"/>
    <w:rsid w:val="16BC7E7D"/>
    <w:rsid w:val="16BE59A3"/>
    <w:rsid w:val="16CB6312"/>
    <w:rsid w:val="16DC4224"/>
    <w:rsid w:val="16EB2510"/>
    <w:rsid w:val="16F55828"/>
    <w:rsid w:val="17081314"/>
    <w:rsid w:val="17163A31"/>
    <w:rsid w:val="17326391"/>
    <w:rsid w:val="173739A8"/>
    <w:rsid w:val="1743234C"/>
    <w:rsid w:val="175277E6"/>
    <w:rsid w:val="175C6F6A"/>
    <w:rsid w:val="176C0FBA"/>
    <w:rsid w:val="177B1AE6"/>
    <w:rsid w:val="17AF1790"/>
    <w:rsid w:val="17B153E5"/>
    <w:rsid w:val="17F83137"/>
    <w:rsid w:val="1804388A"/>
    <w:rsid w:val="18226406"/>
    <w:rsid w:val="183A374F"/>
    <w:rsid w:val="183D6D9C"/>
    <w:rsid w:val="183F0D66"/>
    <w:rsid w:val="186407CC"/>
    <w:rsid w:val="186C142F"/>
    <w:rsid w:val="18823AC5"/>
    <w:rsid w:val="18934C0E"/>
    <w:rsid w:val="189A5F9C"/>
    <w:rsid w:val="189B3AC2"/>
    <w:rsid w:val="18D70F9E"/>
    <w:rsid w:val="18F41B50"/>
    <w:rsid w:val="18FE2FBD"/>
    <w:rsid w:val="19006747"/>
    <w:rsid w:val="190B1333"/>
    <w:rsid w:val="191775ED"/>
    <w:rsid w:val="19334F15"/>
    <w:rsid w:val="194523AC"/>
    <w:rsid w:val="196934AD"/>
    <w:rsid w:val="197030A6"/>
    <w:rsid w:val="197E58BE"/>
    <w:rsid w:val="19955F0A"/>
    <w:rsid w:val="199D21E8"/>
    <w:rsid w:val="19A277FE"/>
    <w:rsid w:val="19C72DC1"/>
    <w:rsid w:val="19E45129"/>
    <w:rsid w:val="1A240213"/>
    <w:rsid w:val="1A271AB1"/>
    <w:rsid w:val="1A304579"/>
    <w:rsid w:val="1A5B175B"/>
    <w:rsid w:val="1A705206"/>
    <w:rsid w:val="1A7D3BE9"/>
    <w:rsid w:val="1A7D7923"/>
    <w:rsid w:val="1A8D2B13"/>
    <w:rsid w:val="1AC437A4"/>
    <w:rsid w:val="1AC92B69"/>
    <w:rsid w:val="1ADF238C"/>
    <w:rsid w:val="1AF92BB3"/>
    <w:rsid w:val="1B0A2B9D"/>
    <w:rsid w:val="1B0E451B"/>
    <w:rsid w:val="1B2B2D19"/>
    <w:rsid w:val="1B3C158C"/>
    <w:rsid w:val="1B416BA3"/>
    <w:rsid w:val="1B4E2991"/>
    <w:rsid w:val="1B684130"/>
    <w:rsid w:val="1B697EA8"/>
    <w:rsid w:val="1B6A60FA"/>
    <w:rsid w:val="1B7F6F38"/>
    <w:rsid w:val="1B83540D"/>
    <w:rsid w:val="1BC7354C"/>
    <w:rsid w:val="1BCA303C"/>
    <w:rsid w:val="1C033E58"/>
    <w:rsid w:val="1C071B9A"/>
    <w:rsid w:val="1C0C0F5F"/>
    <w:rsid w:val="1C0F6CA1"/>
    <w:rsid w:val="1C3D380E"/>
    <w:rsid w:val="1C4C3A51"/>
    <w:rsid w:val="1C542906"/>
    <w:rsid w:val="1C6A6B78"/>
    <w:rsid w:val="1C766D20"/>
    <w:rsid w:val="1CB17D58"/>
    <w:rsid w:val="1CB52A2F"/>
    <w:rsid w:val="1CBB5964"/>
    <w:rsid w:val="1CE379B0"/>
    <w:rsid w:val="1CEE68B6"/>
    <w:rsid w:val="1CF0262F"/>
    <w:rsid w:val="1CF37EB8"/>
    <w:rsid w:val="1D110EBE"/>
    <w:rsid w:val="1D2A4350"/>
    <w:rsid w:val="1D320E99"/>
    <w:rsid w:val="1D9531D6"/>
    <w:rsid w:val="1DAB47A7"/>
    <w:rsid w:val="1DAD5D43"/>
    <w:rsid w:val="1DBE44DB"/>
    <w:rsid w:val="1DDC5D1E"/>
    <w:rsid w:val="1DEA1774"/>
    <w:rsid w:val="1E0C793C"/>
    <w:rsid w:val="1E236A34"/>
    <w:rsid w:val="1E252D30"/>
    <w:rsid w:val="1E293FBC"/>
    <w:rsid w:val="1E2A6014"/>
    <w:rsid w:val="1E2B7F73"/>
    <w:rsid w:val="1E3D3153"/>
    <w:rsid w:val="1E42510C"/>
    <w:rsid w:val="1E5E3EF4"/>
    <w:rsid w:val="1E5E7A6C"/>
    <w:rsid w:val="1E6037E4"/>
    <w:rsid w:val="1E9516DF"/>
    <w:rsid w:val="1EDD6BE3"/>
    <w:rsid w:val="1EE77A61"/>
    <w:rsid w:val="1EEE7042"/>
    <w:rsid w:val="1EF74148"/>
    <w:rsid w:val="1F0625DD"/>
    <w:rsid w:val="1F4C5B16"/>
    <w:rsid w:val="1F933745"/>
    <w:rsid w:val="1F973235"/>
    <w:rsid w:val="1FA63478"/>
    <w:rsid w:val="1FBF278C"/>
    <w:rsid w:val="1FE741BD"/>
    <w:rsid w:val="1FEA5A5B"/>
    <w:rsid w:val="20126D60"/>
    <w:rsid w:val="205E01F7"/>
    <w:rsid w:val="20665E37"/>
    <w:rsid w:val="207215AC"/>
    <w:rsid w:val="208F6602"/>
    <w:rsid w:val="20967991"/>
    <w:rsid w:val="20A43E5C"/>
    <w:rsid w:val="20A51982"/>
    <w:rsid w:val="20D02EA3"/>
    <w:rsid w:val="20EF0E4F"/>
    <w:rsid w:val="20F85F56"/>
    <w:rsid w:val="211014F1"/>
    <w:rsid w:val="211663DC"/>
    <w:rsid w:val="21254871"/>
    <w:rsid w:val="212C5BFF"/>
    <w:rsid w:val="215A09BE"/>
    <w:rsid w:val="216B497A"/>
    <w:rsid w:val="2184195C"/>
    <w:rsid w:val="218C0AD3"/>
    <w:rsid w:val="21937A2C"/>
    <w:rsid w:val="21A8155E"/>
    <w:rsid w:val="21C85928"/>
    <w:rsid w:val="21C916A0"/>
    <w:rsid w:val="220426D8"/>
    <w:rsid w:val="22124DF5"/>
    <w:rsid w:val="224F1BA5"/>
    <w:rsid w:val="22642828"/>
    <w:rsid w:val="228D6B72"/>
    <w:rsid w:val="22A2261D"/>
    <w:rsid w:val="22AB6CF5"/>
    <w:rsid w:val="22BD2FB3"/>
    <w:rsid w:val="22CE1AC1"/>
    <w:rsid w:val="22FD3CF7"/>
    <w:rsid w:val="230E1A60"/>
    <w:rsid w:val="23377209"/>
    <w:rsid w:val="2342795C"/>
    <w:rsid w:val="235D44ED"/>
    <w:rsid w:val="23636185"/>
    <w:rsid w:val="239F090A"/>
    <w:rsid w:val="23B56380"/>
    <w:rsid w:val="23C72304"/>
    <w:rsid w:val="23F46EA8"/>
    <w:rsid w:val="241F37F9"/>
    <w:rsid w:val="24561911"/>
    <w:rsid w:val="245E07C6"/>
    <w:rsid w:val="24653902"/>
    <w:rsid w:val="246D27B7"/>
    <w:rsid w:val="248024EA"/>
    <w:rsid w:val="24885842"/>
    <w:rsid w:val="248949DC"/>
    <w:rsid w:val="24AF254A"/>
    <w:rsid w:val="24AF7273"/>
    <w:rsid w:val="24B108F5"/>
    <w:rsid w:val="24B30B11"/>
    <w:rsid w:val="24C32F15"/>
    <w:rsid w:val="24C525F3"/>
    <w:rsid w:val="24CA19B7"/>
    <w:rsid w:val="24E24F53"/>
    <w:rsid w:val="25096983"/>
    <w:rsid w:val="25270BB7"/>
    <w:rsid w:val="253F23A5"/>
    <w:rsid w:val="254259F1"/>
    <w:rsid w:val="256B7396"/>
    <w:rsid w:val="25853B30"/>
    <w:rsid w:val="25950217"/>
    <w:rsid w:val="25A20B86"/>
    <w:rsid w:val="25BD32CA"/>
    <w:rsid w:val="25C40AFC"/>
    <w:rsid w:val="25CE197B"/>
    <w:rsid w:val="25D0124F"/>
    <w:rsid w:val="25EE7927"/>
    <w:rsid w:val="2628108B"/>
    <w:rsid w:val="26667E05"/>
    <w:rsid w:val="26771661"/>
    <w:rsid w:val="26976211"/>
    <w:rsid w:val="271B0BF0"/>
    <w:rsid w:val="271C2272"/>
    <w:rsid w:val="27230BFF"/>
    <w:rsid w:val="27254D96"/>
    <w:rsid w:val="272F1FA5"/>
    <w:rsid w:val="27392ACF"/>
    <w:rsid w:val="27433CA3"/>
    <w:rsid w:val="274C0C22"/>
    <w:rsid w:val="2751016E"/>
    <w:rsid w:val="2767173F"/>
    <w:rsid w:val="27673D60"/>
    <w:rsid w:val="277327DA"/>
    <w:rsid w:val="2787443F"/>
    <w:rsid w:val="27AE55C0"/>
    <w:rsid w:val="27B5694E"/>
    <w:rsid w:val="27C13D12"/>
    <w:rsid w:val="27C76682"/>
    <w:rsid w:val="27D8263D"/>
    <w:rsid w:val="27E72880"/>
    <w:rsid w:val="27EB6814"/>
    <w:rsid w:val="27FE7638"/>
    <w:rsid w:val="280B5E71"/>
    <w:rsid w:val="28177609"/>
    <w:rsid w:val="281C077C"/>
    <w:rsid w:val="281C2BC6"/>
    <w:rsid w:val="281C4C20"/>
    <w:rsid w:val="28235FAE"/>
    <w:rsid w:val="28327F9F"/>
    <w:rsid w:val="285C0DA0"/>
    <w:rsid w:val="285F4B0C"/>
    <w:rsid w:val="28757E8C"/>
    <w:rsid w:val="288B3B53"/>
    <w:rsid w:val="28956780"/>
    <w:rsid w:val="28AD1D1C"/>
    <w:rsid w:val="28AD3ACA"/>
    <w:rsid w:val="28B22E8E"/>
    <w:rsid w:val="28BA1D43"/>
    <w:rsid w:val="28BA67C3"/>
    <w:rsid w:val="28BD003F"/>
    <w:rsid w:val="28C037FD"/>
    <w:rsid w:val="28D41056"/>
    <w:rsid w:val="28DC5807"/>
    <w:rsid w:val="28DC7F0B"/>
    <w:rsid w:val="28F416F8"/>
    <w:rsid w:val="28F811E9"/>
    <w:rsid w:val="29001E4B"/>
    <w:rsid w:val="290F0C0E"/>
    <w:rsid w:val="291F68C4"/>
    <w:rsid w:val="29210894"/>
    <w:rsid w:val="292F6A67"/>
    <w:rsid w:val="294855A0"/>
    <w:rsid w:val="2976210D"/>
    <w:rsid w:val="298F1421"/>
    <w:rsid w:val="29AE7AF9"/>
    <w:rsid w:val="29C91AA7"/>
    <w:rsid w:val="29D62BAC"/>
    <w:rsid w:val="29DD3F3B"/>
    <w:rsid w:val="29E32356"/>
    <w:rsid w:val="29EC0622"/>
    <w:rsid w:val="2A11217A"/>
    <w:rsid w:val="2A225DF1"/>
    <w:rsid w:val="2A32072A"/>
    <w:rsid w:val="2A391AB9"/>
    <w:rsid w:val="2A4B359A"/>
    <w:rsid w:val="2A635B27"/>
    <w:rsid w:val="2A8329A5"/>
    <w:rsid w:val="2A950CB9"/>
    <w:rsid w:val="2A9D2605"/>
    <w:rsid w:val="2ADE440E"/>
    <w:rsid w:val="2AE80DE9"/>
    <w:rsid w:val="2AE8703B"/>
    <w:rsid w:val="2B147E30"/>
    <w:rsid w:val="2B1B4930"/>
    <w:rsid w:val="2B2D2CA0"/>
    <w:rsid w:val="2B306E7A"/>
    <w:rsid w:val="2B3202B6"/>
    <w:rsid w:val="2B512E32"/>
    <w:rsid w:val="2B683CD8"/>
    <w:rsid w:val="2B76279E"/>
    <w:rsid w:val="2B786611"/>
    <w:rsid w:val="2B7938DE"/>
    <w:rsid w:val="2B797C93"/>
    <w:rsid w:val="2B7D59D5"/>
    <w:rsid w:val="2BB46F1D"/>
    <w:rsid w:val="2BD25682"/>
    <w:rsid w:val="2BD55811"/>
    <w:rsid w:val="2BE27F2E"/>
    <w:rsid w:val="2BE5357A"/>
    <w:rsid w:val="2C1125C1"/>
    <w:rsid w:val="2C153E60"/>
    <w:rsid w:val="2C210A56"/>
    <w:rsid w:val="2C3D33B6"/>
    <w:rsid w:val="2C414C55"/>
    <w:rsid w:val="2C475FE3"/>
    <w:rsid w:val="2C4907B9"/>
    <w:rsid w:val="2C672A69"/>
    <w:rsid w:val="2C81364F"/>
    <w:rsid w:val="2C9A4365"/>
    <w:rsid w:val="2CC633AC"/>
    <w:rsid w:val="2CD05FD9"/>
    <w:rsid w:val="2CDE6947"/>
    <w:rsid w:val="2CE45586"/>
    <w:rsid w:val="2CEF7A50"/>
    <w:rsid w:val="2CF75313"/>
    <w:rsid w:val="2D3227EF"/>
    <w:rsid w:val="2D32459D"/>
    <w:rsid w:val="2D3565B5"/>
    <w:rsid w:val="2D39592C"/>
    <w:rsid w:val="2D3E2F42"/>
    <w:rsid w:val="2D850CA0"/>
    <w:rsid w:val="2D8868B3"/>
    <w:rsid w:val="2D9B2143"/>
    <w:rsid w:val="2DA03BFD"/>
    <w:rsid w:val="2DA336ED"/>
    <w:rsid w:val="2DC01BA9"/>
    <w:rsid w:val="2DE81100"/>
    <w:rsid w:val="2DEA4E78"/>
    <w:rsid w:val="2E2A1718"/>
    <w:rsid w:val="2E310CF9"/>
    <w:rsid w:val="2E3F6F72"/>
    <w:rsid w:val="2E7330BF"/>
    <w:rsid w:val="2E756E38"/>
    <w:rsid w:val="2E933762"/>
    <w:rsid w:val="2EB536D8"/>
    <w:rsid w:val="2EC851B9"/>
    <w:rsid w:val="2ECD0A22"/>
    <w:rsid w:val="2ECD316E"/>
    <w:rsid w:val="2EDA313F"/>
    <w:rsid w:val="2F1C6FCF"/>
    <w:rsid w:val="2F5C7FF7"/>
    <w:rsid w:val="2F5E167A"/>
    <w:rsid w:val="2F650C5A"/>
    <w:rsid w:val="2F880DEC"/>
    <w:rsid w:val="2F917CA1"/>
    <w:rsid w:val="3034062C"/>
    <w:rsid w:val="30396AEC"/>
    <w:rsid w:val="304C544B"/>
    <w:rsid w:val="30536D05"/>
    <w:rsid w:val="305F1B4D"/>
    <w:rsid w:val="30705B08"/>
    <w:rsid w:val="30A63CC6"/>
    <w:rsid w:val="30C0743E"/>
    <w:rsid w:val="30E56588"/>
    <w:rsid w:val="30E91417"/>
    <w:rsid w:val="31271F3F"/>
    <w:rsid w:val="31293F09"/>
    <w:rsid w:val="31433A7F"/>
    <w:rsid w:val="3159659D"/>
    <w:rsid w:val="31684A32"/>
    <w:rsid w:val="31727D49"/>
    <w:rsid w:val="31771119"/>
    <w:rsid w:val="317E24A7"/>
    <w:rsid w:val="319A0E2B"/>
    <w:rsid w:val="319C292D"/>
    <w:rsid w:val="319E0EF8"/>
    <w:rsid w:val="31AA504A"/>
    <w:rsid w:val="31B41A25"/>
    <w:rsid w:val="320504D2"/>
    <w:rsid w:val="32144BB9"/>
    <w:rsid w:val="324803BF"/>
    <w:rsid w:val="32513718"/>
    <w:rsid w:val="326A47D9"/>
    <w:rsid w:val="32840F7B"/>
    <w:rsid w:val="32B1065A"/>
    <w:rsid w:val="32E4458C"/>
    <w:rsid w:val="33024A12"/>
    <w:rsid w:val="33150BE9"/>
    <w:rsid w:val="332D26D2"/>
    <w:rsid w:val="33443C83"/>
    <w:rsid w:val="335D1C8B"/>
    <w:rsid w:val="337136E8"/>
    <w:rsid w:val="339715FE"/>
    <w:rsid w:val="33997124"/>
    <w:rsid w:val="33B43F5E"/>
    <w:rsid w:val="33E83C08"/>
    <w:rsid w:val="33EA3E24"/>
    <w:rsid w:val="3402116D"/>
    <w:rsid w:val="34256C0A"/>
    <w:rsid w:val="343230D5"/>
    <w:rsid w:val="34B65664"/>
    <w:rsid w:val="34CE1050"/>
    <w:rsid w:val="34E16FD5"/>
    <w:rsid w:val="34EB1C02"/>
    <w:rsid w:val="34FD1935"/>
    <w:rsid w:val="35571045"/>
    <w:rsid w:val="355754E9"/>
    <w:rsid w:val="355D23D3"/>
    <w:rsid w:val="3566572C"/>
    <w:rsid w:val="3571636E"/>
    <w:rsid w:val="358362DE"/>
    <w:rsid w:val="358F4AB7"/>
    <w:rsid w:val="35973F37"/>
    <w:rsid w:val="35C506A4"/>
    <w:rsid w:val="35C8047F"/>
    <w:rsid w:val="35CB558F"/>
    <w:rsid w:val="36021D61"/>
    <w:rsid w:val="36213401"/>
    <w:rsid w:val="36392E40"/>
    <w:rsid w:val="364F7F6E"/>
    <w:rsid w:val="365D5425"/>
    <w:rsid w:val="36794FEB"/>
    <w:rsid w:val="3687595A"/>
    <w:rsid w:val="368816D2"/>
    <w:rsid w:val="368C11C2"/>
    <w:rsid w:val="36AC716F"/>
    <w:rsid w:val="36D6243D"/>
    <w:rsid w:val="36D87F64"/>
    <w:rsid w:val="36F32FEF"/>
    <w:rsid w:val="36F40B16"/>
    <w:rsid w:val="371A057C"/>
    <w:rsid w:val="373553B6"/>
    <w:rsid w:val="373B6744"/>
    <w:rsid w:val="37490E61"/>
    <w:rsid w:val="37692862"/>
    <w:rsid w:val="37695060"/>
    <w:rsid w:val="377D0B0B"/>
    <w:rsid w:val="37A662B4"/>
    <w:rsid w:val="37AA2584"/>
    <w:rsid w:val="37B56400"/>
    <w:rsid w:val="37BE35FD"/>
    <w:rsid w:val="37BF7375"/>
    <w:rsid w:val="37C4673A"/>
    <w:rsid w:val="37D72911"/>
    <w:rsid w:val="37DF17C6"/>
    <w:rsid w:val="381A45AC"/>
    <w:rsid w:val="382C0B0E"/>
    <w:rsid w:val="383B4C4E"/>
    <w:rsid w:val="386555A5"/>
    <w:rsid w:val="38795776"/>
    <w:rsid w:val="38AA1DD4"/>
    <w:rsid w:val="38C17267"/>
    <w:rsid w:val="38C5276A"/>
    <w:rsid w:val="38CE5AC2"/>
    <w:rsid w:val="38D34E86"/>
    <w:rsid w:val="38D97FC3"/>
    <w:rsid w:val="38DE382B"/>
    <w:rsid w:val="38F31B98"/>
    <w:rsid w:val="38FC0C25"/>
    <w:rsid w:val="391A2AB5"/>
    <w:rsid w:val="391C5EDB"/>
    <w:rsid w:val="392C27E9"/>
    <w:rsid w:val="39610CA2"/>
    <w:rsid w:val="39BC1DBE"/>
    <w:rsid w:val="39C742BF"/>
    <w:rsid w:val="3A1C0AAF"/>
    <w:rsid w:val="3A500759"/>
    <w:rsid w:val="3A557B1D"/>
    <w:rsid w:val="3A8408A1"/>
    <w:rsid w:val="3A905C8A"/>
    <w:rsid w:val="3A916DA7"/>
    <w:rsid w:val="3A961B24"/>
    <w:rsid w:val="3AA36ADA"/>
    <w:rsid w:val="3AEE274E"/>
    <w:rsid w:val="3B091033"/>
    <w:rsid w:val="3B0F23C2"/>
    <w:rsid w:val="3B111A40"/>
    <w:rsid w:val="3B3360B0"/>
    <w:rsid w:val="3B4B53E2"/>
    <w:rsid w:val="3B60677A"/>
    <w:rsid w:val="3B636954"/>
    <w:rsid w:val="3B862684"/>
    <w:rsid w:val="3B967B1B"/>
    <w:rsid w:val="3B9E60AB"/>
    <w:rsid w:val="3BB15227"/>
    <w:rsid w:val="3BD11425"/>
    <w:rsid w:val="3BDD7DCA"/>
    <w:rsid w:val="3BEB698B"/>
    <w:rsid w:val="3BF515B8"/>
    <w:rsid w:val="3C2A0F73"/>
    <w:rsid w:val="3C552056"/>
    <w:rsid w:val="3C574020"/>
    <w:rsid w:val="3CA8662A"/>
    <w:rsid w:val="3CAA23A2"/>
    <w:rsid w:val="3CB7243C"/>
    <w:rsid w:val="3CB72D11"/>
    <w:rsid w:val="3CBA010B"/>
    <w:rsid w:val="3CC22E8D"/>
    <w:rsid w:val="3CC33464"/>
    <w:rsid w:val="3CF33D49"/>
    <w:rsid w:val="3D0870C9"/>
    <w:rsid w:val="3D1160FD"/>
    <w:rsid w:val="3D4A5E08"/>
    <w:rsid w:val="3D5B019B"/>
    <w:rsid w:val="3D6372EC"/>
    <w:rsid w:val="3D69400B"/>
    <w:rsid w:val="3D7724B9"/>
    <w:rsid w:val="3D8C7CFA"/>
    <w:rsid w:val="3DAC5CA6"/>
    <w:rsid w:val="3DC56D68"/>
    <w:rsid w:val="3DDF03A6"/>
    <w:rsid w:val="3E016501"/>
    <w:rsid w:val="3E10092B"/>
    <w:rsid w:val="3E18333B"/>
    <w:rsid w:val="3E29379B"/>
    <w:rsid w:val="3E3E7246"/>
    <w:rsid w:val="3E4B1963"/>
    <w:rsid w:val="3E75253C"/>
    <w:rsid w:val="3E774506"/>
    <w:rsid w:val="3E7C7D6E"/>
    <w:rsid w:val="3E8135D7"/>
    <w:rsid w:val="3E8978EB"/>
    <w:rsid w:val="3E9E1A93"/>
    <w:rsid w:val="3EB94B1E"/>
    <w:rsid w:val="3ECB6600"/>
    <w:rsid w:val="3ED74FA5"/>
    <w:rsid w:val="3EDB4A95"/>
    <w:rsid w:val="3EE218BB"/>
    <w:rsid w:val="3F150636"/>
    <w:rsid w:val="3F204B9E"/>
    <w:rsid w:val="3F367F1D"/>
    <w:rsid w:val="3F4848D4"/>
    <w:rsid w:val="3F6525B0"/>
    <w:rsid w:val="3F6A7BC7"/>
    <w:rsid w:val="3F9133A5"/>
    <w:rsid w:val="3F980BD8"/>
    <w:rsid w:val="3FA806EF"/>
    <w:rsid w:val="3FB11C9A"/>
    <w:rsid w:val="3FCE0156"/>
    <w:rsid w:val="3FD31124"/>
    <w:rsid w:val="3FEE07F8"/>
    <w:rsid w:val="401B1A9A"/>
    <w:rsid w:val="401C35B7"/>
    <w:rsid w:val="40354679"/>
    <w:rsid w:val="404C3770"/>
    <w:rsid w:val="404E573A"/>
    <w:rsid w:val="40580367"/>
    <w:rsid w:val="406B009A"/>
    <w:rsid w:val="40703903"/>
    <w:rsid w:val="40833636"/>
    <w:rsid w:val="408D0011"/>
    <w:rsid w:val="40AF442B"/>
    <w:rsid w:val="40D43E92"/>
    <w:rsid w:val="40E0482E"/>
    <w:rsid w:val="40E109B7"/>
    <w:rsid w:val="40E67721"/>
    <w:rsid w:val="40EC5587"/>
    <w:rsid w:val="4101455B"/>
    <w:rsid w:val="410C362B"/>
    <w:rsid w:val="41456B3D"/>
    <w:rsid w:val="415A12B2"/>
    <w:rsid w:val="41662610"/>
    <w:rsid w:val="418F600A"/>
    <w:rsid w:val="41911D83"/>
    <w:rsid w:val="41AA69A0"/>
    <w:rsid w:val="41B25855"/>
    <w:rsid w:val="41C21F3C"/>
    <w:rsid w:val="41CA2B9F"/>
    <w:rsid w:val="41EA1493"/>
    <w:rsid w:val="41FF6CEC"/>
    <w:rsid w:val="421D7172"/>
    <w:rsid w:val="422B7AE1"/>
    <w:rsid w:val="425F3C2F"/>
    <w:rsid w:val="42786A9F"/>
    <w:rsid w:val="427C033D"/>
    <w:rsid w:val="42A87384"/>
    <w:rsid w:val="42B850ED"/>
    <w:rsid w:val="42E63A08"/>
    <w:rsid w:val="431762B8"/>
    <w:rsid w:val="431C6AC6"/>
    <w:rsid w:val="43210EE4"/>
    <w:rsid w:val="432A0910"/>
    <w:rsid w:val="432A5FEB"/>
    <w:rsid w:val="43421586"/>
    <w:rsid w:val="43544E16"/>
    <w:rsid w:val="4374738E"/>
    <w:rsid w:val="43831019"/>
    <w:rsid w:val="43866F99"/>
    <w:rsid w:val="43B27D8E"/>
    <w:rsid w:val="43DD4E0B"/>
    <w:rsid w:val="43E738FD"/>
    <w:rsid w:val="43E77A38"/>
    <w:rsid w:val="43E93761"/>
    <w:rsid w:val="43EC32A0"/>
    <w:rsid w:val="43F62371"/>
    <w:rsid w:val="43FF1225"/>
    <w:rsid w:val="444C01E3"/>
    <w:rsid w:val="447137A5"/>
    <w:rsid w:val="44727838"/>
    <w:rsid w:val="448C6831"/>
    <w:rsid w:val="449000D0"/>
    <w:rsid w:val="44BD69EB"/>
    <w:rsid w:val="44C24001"/>
    <w:rsid w:val="44DA57EF"/>
    <w:rsid w:val="44DC50C3"/>
    <w:rsid w:val="44EB79FC"/>
    <w:rsid w:val="45050ABD"/>
    <w:rsid w:val="4508235C"/>
    <w:rsid w:val="450D7972"/>
    <w:rsid w:val="45126D36"/>
    <w:rsid w:val="452623BD"/>
    <w:rsid w:val="452B4BB5"/>
    <w:rsid w:val="452B604A"/>
    <w:rsid w:val="452F2776"/>
    <w:rsid w:val="45344C8A"/>
    <w:rsid w:val="454F3AE7"/>
    <w:rsid w:val="45504460"/>
    <w:rsid w:val="456C6734"/>
    <w:rsid w:val="457B0D80"/>
    <w:rsid w:val="45A76173"/>
    <w:rsid w:val="45C06792"/>
    <w:rsid w:val="45D40490"/>
    <w:rsid w:val="45EF323D"/>
    <w:rsid w:val="45F14B9E"/>
    <w:rsid w:val="45F63CE4"/>
    <w:rsid w:val="45FD79E7"/>
    <w:rsid w:val="460D74FE"/>
    <w:rsid w:val="46144D30"/>
    <w:rsid w:val="46317690"/>
    <w:rsid w:val="46445615"/>
    <w:rsid w:val="46477F15"/>
    <w:rsid w:val="46511AE0"/>
    <w:rsid w:val="46755612"/>
    <w:rsid w:val="46A460B4"/>
    <w:rsid w:val="46B53E1D"/>
    <w:rsid w:val="46D5626E"/>
    <w:rsid w:val="47072D52"/>
    <w:rsid w:val="47134FE8"/>
    <w:rsid w:val="47460F19"/>
    <w:rsid w:val="475F3D89"/>
    <w:rsid w:val="47632D59"/>
    <w:rsid w:val="47857C94"/>
    <w:rsid w:val="478B4B7E"/>
    <w:rsid w:val="479223B1"/>
    <w:rsid w:val="47B02DD5"/>
    <w:rsid w:val="47B73BC5"/>
    <w:rsid w:val="47EB386F"/>
    <w:rsid w:val="47EC39BF"/>
    <w:rsid w:val="47FB1D04"/>
    <w:rsid w:val="47FB7F56"/>
    <w:rsid w:val="47FE35A2"/>
    <w:rsid w:val="48396CD0"/>
    <w:rsid w:val="483D40CA"/>
    <w:rsid w:val="483E7E42"/>
    <w:rsid w:val="48660E58"/>
    <w:rsid w:val="48741AB6"/>
    <w:rsid w:val="488241D3"/>
    <w:rsid w:val="48961A2D"/>
    <w:rsid w:val="48B85E47"/>
    <w:rsid w:val="48D30B46"/>
    <w:rsid w:val="48EE2BC9"/>
    <w:rsid w:val="49364C33"/>
    <w:rsid w:val="495C4A24"/>
    <w:rsid w:val="49830203"/>
    <w:rsid w:val="49A44BB2"/>
    <w:rsid w:val="49B06B1E"/>
    <w:rsid w:val="49B72A97"/>
    <w:rsid w:val="49C425C9"/>
    <w:rsid w:val="49E54A1A"/>
    <w:rsid w:val="49E8275C"/>
    <w:rsid w:val="4A0B36CD"/>
    <w:rsid w:val="4A477482"/>
    <w:rsid w:val="4A4F4589"/>
    <w:rsid w:val="4A600544"/>
    <w:rsid w:val="4A630034"/>
    <w:rsid w:val="4A69564B"/>
    <w:rsid w:val="4A913A8A"/>
    <w:rsid w:val="4AA30431"/>
    <w:rsid w:val="4ABB39CC"/>
    <w:rsid w:val="4ACA1E61"/>
    <w:rsid w:val="4ACE1952"/>
    <w:rsid w:val="4AD66A58"/>
    <w:rsid w:val="4ADD3943"/>
    <w:rsid w:val="4B2F2992"/>
    <w:rsid w:val="4B3A7B4E"/>
    <w:rsid w:val="4B3D2633"/>
    <w:rsid w:val="4B490FD8"/>
    <w:rsid w:val="4B555BCF"/>
    <w:rsid w:val="4B614574"/>
    <w:rsid w:val="4B6776B0"/>
    <w:rsid w:val="4B6B71A0"/>
    <w:rsid w:val="4B771FE9"/>
    <w:rsid w:val="4B9A1834"/>
    <w:rsid w:val="4B9A5CD8"/>
    <w:rsid w:val="4BB451DE"/>
    <w:rsid w:val="4BCE772F"/>
    <w:rsid w:val="4C511FFD"/>
    <w:rsid w:val="4C516396"/>
    <w:rsid w:val="4C6A56AA"/>
    <w:rsid w:val="4C8A5D4C"/>
    <w:rsid w:val="4C8F3363"/>
    <w:rsid w:val="4CAD5597"/>
    <w:rsid w:val="4CCC0113"/>
    <w:rsid w:val="4CCE3E8B"/>
    <w:rsid w:val="4CDD5E7C"/>
    <w:rsid w:val="4CFB4554"/>
    <w:rsid w:val="4D365E4F"/>
    <w:rsid w:val="4D3A5B11"/>
    <w:rsid w:val="4D3D691B"/>
    <w:rsid w:val="4D6148E2"/>
    <w:rsid w:val="4D6B792C"/>
    <w:rsid w:val="4D7A36CB"/>
    <w:rsid w:val="4D891114"/>
    <w:rsid w:val="4DC44E80"/>
    <w:rsid w:val="4DD252B5"/>
    <w:rsid w:val="4DD74FC1"/>
    <w:rsid w:val="4DFC0584"/>
    <w:rsid w:val="4E0631B0"/>
    <w:rsid w:val="4E0B07C7"/>
    <w:rsid w:val="4E2A50F1"/>
    <w:rsid w:val="4E342F84"/>
    <w:rsid w:val="4E4F6905"/>
    <w:rsid w:val="4E4F7A0A"/>
    <w:rsid w:val="4E65214E"/>
    <w:rsid w:val="4E656129"/>
    <w:rsid w:val="4E8A5B90"/>
    <w:rsid w:val="4E9B7735"/>
    <w:rsid w:val="4EA00E22"/>
    <w:rsid w:val="4EA76741"/>
    <w:rsid w:val="4ED17C62"/>
    <w:rsid w:val="4ED80FF1"/>
    <w:rsid w:val="4ED92673"/>
    <w:rsid w:val="4EE74D90"/>
    <w:rsid w:val="4EEB576A"/>
    <w:rsid w:val="4EFB4CDF"/>
    <w:rsid w:val="4EFE6E10"/>
    <w:rsid w:val="4F3302E1"/>
    <w:rsid w:val="4F391364"/>
    <w:rsid w:val="4F42290E"/>
    <w:rsid w:val="4F4C1097"/>
    <w:rsid w:val="4F7F321A"/>
    <w:rsid w:val="4F895E47"/>
    <w:rsid w:val="4F90367A"/>
    <w:rsid w:val="4F9D5D96"/>
    <w:rsid w:val="4FB725A9"/>
    <w:rsid w:val="4FC60E49"/>
    <w:rsid w:val="4FF9121F"/>
    <w:rsid w:val="50033E4B"/>
    <w:rsid w:val="50062B38"/>
    <w:rsid w:val="500D4CCA"/>
    <w:rsid w:val="50236859"/>
    <w:rsid w:val="50666188"/>
    <w:rsid w:val="507146DC"/>
    <w:rsid w:val="50744D49"/>
    <w:rsid w:val="50964CC0"/>
    <w:rsid w:val="50B52C6C"/>
    <w:rsid w:val="50BB64D4"/>
    <w:rsid w:val="50BD049E"/>
    <w:rsid w:val="50CF3D2E"/>
    <w:rsid w:val="50EE68AA"/>
    <w:rsid w:val="512322CB"/>
    <w:rsid w:val="5134567A"/>
    <w:rsid w:val="5139564B"/>
    <w:rsid w:val="516C62F1"/>
    <w:rsid w:val="51894824"/>
    <w:rsid w:val="51937451"/>
    <w:rsid w:val="51986815"/>
    <w:rsid w:val="51CD2963"/>
    <w:rsid w:val="51EB4B97"/>
    <w:rsid w:val="520774F7"/>
    <w:rsid w:val="526B3F2A"/>
    <w:rsid w:val="52775DEE"/>
    <w:rsid w:val="527E3C5D"/>
    <w:rsid w:val="527F3531"/>
    <w:rsid w:val="5290573F"/>
    <w:rsid w:val="52AF3E17"/>
    <w:rsid w:val="52BA27BB"/>
    <w:rsid w:val="52D95337"/>
    <w:rsid w:val="52DD4E28"/>
    <w:rsid w:val="52E02860"/>
    <w:rsid w:val="52E166C3"/>
    <w:rsid w:val="52E864CC"/>
    <w:rsid w:val="53035F10"/>
    <w:rsid w:val="531620E8"/>
    <w:rsid w:val="53226CDE"/>
    <w:rsid w:val="53285977"/>
    <w:rsid w:val="532E5683"/>
    <w:rsid w:val="53394B05"/>
    <w:rsid w:val="534C3D5B"/>
    <w:rsid w:val="5382152B"/>
    <w:rsid w:val="5385101B"/>
    <w:rsid w:val="538C23AA"/>
    <w:rsid w:val="53B17155"/>
    <w:rsid w:val="53B61F77"/>
    <w:rsid w:val="53C5766A"/>
    <w:rsid w:val="53D210FD"/>
    <w:rsid w:val="53D77AC9"/>
    <w:rsid w:val="53E46B80"/>
    <w:rsid w:val="53E775E0"/>
    <w:rsid w:val="53EE2FD4"/>
    <w:rsid w:val="541A79B6"/>
    <w:rsid w:val="541B5774"/>
    <w:rsid w:val="543A6EAD"/>
    <w:rsid w:val="54422A68"/>
    <w:rsid w:val="544467E1"/>
    <w:rsid w:val="544E11C2"/>
    <w:rsid w:val="544E765F"/>
    <w:rsid w:val="54617548"/>
    <w:rsid w:val="5463310B"/>
    <w:rsid w:val="546E1AAF"/>
    <w:rsid w:val="54770964"/>
    <w:rsid w:val="54964C34"/>
    <w:rsid w:val="54A51975"/>
    <w:rsid w:val="54BE3514"/>
    <w:rsid w:val="54E3249D"/>
    <w:rsid w:val="54F71AA5"/>
    <w:rsid w:val="551E7032"/>
    <w:rsid w:val="55432450"/>
    <w:rsid w:val="555E38D2"/>
    <w:rsid w:val="55747599"/>
    <w:rsid w:val="55985036"/>
    <w:rsid w:val="55AE2AAB"/>
    <w:rsid w:val="55B06922"/>
    <w:rsid w:val="55CA0F67"/>
    <w:rsid w:val="55F304BE"/>
    <w:rsid w:val="563805C7"/>
    <w:rsid w:val="56694C24"/>
    <w:rsid w:val="566B1984"/>
    <w:rsid w:val="5675655C"/>
    <w:rsid w:val="56950B3F"/>
    <w:rsid w:val="56A1160C"/>
    <w:rsid w:val="56B04601"/>
    <w:rsid w:val="56BD287A"/>
    <w:rsid w:val="56C43C09"/>
    <w:rsid w:val="56D57BC4"/>
    <w:rsid w:val="56DB78D0"/>
    <w:rsid w:val="56ED7603"/>
    <w:rsid w:val="56F3629C"/>
    <w:rsid w:val="56F72230"/>
    <w:rsid w:val="56FC7846"/>
    <w:rsid w:val="571444FF"/>
    <w:rsid w:val="571479EE"/>
    <w:rsid w:val="5721105B"/>
    <w:rsid w:val="57672F12"/>
    <w:rsid w:val="57741E27"/>
    <w:rsid w:val="57917F8F"/>
    <w:rsid w:val="579E776A"/>
    <w:rsid w:val="57AD737E"/>
    <w:rsid w:val="57B343A9"/>
    <w:rsid w:val="57C32112"/>
    <w:rsid w:val="57C57C38"/>
    <w:rsid w:val="57CC7219"/>
    <w:rsid w:val="57D1482F"/>
    <w:rsid w:val="57D63BF4"/>
    <w:rsid w:val="57EA3B43"/>
    <w:rsid w:val="5803016F"/>
    <w:rsid w:val="5818420C"/>
    <w:rsid w:val="5822508B"/>
    <w:rsid w:val="582708F3"/>
    <w:rsid w:val="583C7C96"/>
    <w:rsid w:val="584E7C2E"/>
    <w:rsid w:val="58711B6E"/>
    <w:rsid w:val="5875340D"/>
    <w:rsid w:val="58856AF7"/>
    <w:rsid w:val="588C69A8"/>
    <w:rsid w:val="589A2E73"/>
    <w:rsid w:val="589C308F"/>
    <w:rsid w:val="58BA19B2"/>
    <w:rsid w:val="58CD149A"/>
    <w:rsid w:val="58F72073"/>
    <w:rsid w:val="58FA6008"/>
    <w:rsid w:val="58FC3B2E"/>
    <w:rsid w:val="590D1897"/>
    <w:rsid w:val="593432C8"/>
    <w:rsid w:val="593C217C"/>
    <w:rsid w:val="5943175D"/>
    <w:rsid w:val="594D25DB"/>
    <w:rsid w:val="594E4DC3"/>
    <w:rsid w:val="59561490"/>
    <w:rsid w:val="5959467B"/>
    <w:rsid w:val="595C45CC"/>
    <w:rsid w:val="59705BA9"/>
    <w:rsid w:val="597E09E7"/>
    <w:rsid w:val="598D700C"/>
    <w:rsid w:val="598F04FE"/>
    <w:rsid w:val="59A0095D"/>
    <w:rsid w:val="59C77C98"/>
    <w:rsid w:val="59CC10D9"/>
    <w:rsid w:val="5A105AE3"/>
    <w:rsid w:val="5A2A0227"/>
    <w:rsid w:val="5A382944"/>
    <w:rsid w:val="5A3B4BCC"/>
    <w:rsid w:val="5A584D94"/>
    <w:rsid w:val="5A7B74D4"/>
    <w:rsid w:val="5A83592C"/>
    <w:rsid w:val="5A930F89"/>
    <w:rsid w:val="5AB9459A"/>
    <w:rsid w:val="5AD15BF9"/>
    <w:rsid w:val="5AEB20AC"/>
    <w:rsid w:val="5B1C66FD"/>
    <w:rsid w:val="5B2829B8"/>
    <w:rsid w:val="5B663971"/>
    <w:rsid w:val="5B9B5880"/>
    <w:rsid w:val="5BA67D81"/>
    <w:rsid w:val="5BC533DA"/>
    <w:rsid w:val="5BCD17B1"/>
    <w:rsid w:val="5BED775E"/>
    <w:rsid w:val="5BF907F8"/>
    <w:rsid w:val="5C106064"/>
    <w:rsid w:val="5C162C69"/>
    <w:rsid w:val="5C403D4D"/>
    <w:rsid w:val="5C464A56"/>
    <w:rsid w:val="5C4E644E"/>
    <w:rsid w:val="5C502193"/>
    <w:rsid w:val="5C5872CD"/>
    <w:rsid w:val="5C6A7000"/>
    <w:rsid w:val="5C71038F"/>
    <w:rsid w:val="5C7B120D"/>
    <w:rsid w:val="5C920267"/>
    <w:rsid w:val="5CAC13C7"/>
    <w:rsid w:val="5CB14C2F"/>
    <w:rsid w:val="5CCC1A69"/>
    <w:rsid w:val="5D2E4FDA"/>
    <w:rsid w:val="5D5201C0"/>
    <w:rsid w:val="5D7243BE"/>
    <w:rsid w:val="5D7B36EF"/>
    <w:rsid w:val="5D865832"/>
    <w:rsid w:val="5D9E4E29"/>
    <w:rsid w:val="5DB744C7"/>
    <w:rsid w:val="5DB84221"/>
    <w:rsid w:val="5E135D11"/>
    <w:rsid w:val="5E6E2F22"/>
    <w:rsid w:val="5E84014A"/>
    <w:rsid w:val="5E9B59CB"/>
    <w:rsid w:val="5EB10F16"/>
    <w:rsid w:val="5EC46E9C"/>
    <w:rsid w:val="5ECE6AE2"/>
    <w:rsid w:val="5EF07C91"/>
    <w:rsid w:val="5EFA0B0F"/>
    <w:rsid w:val="5EFB03E4"/>
    <w:rsid w:val="5F0977E5"/>
    <w:rsid w:val="5F0B4ACB"/>
    <w:rsid w:val="5F0C439F"/>
    <w:rsid w:val="5F1B5C08"/>
    <w:rsid w:val="5F313E05"/>
    <w:rsid w:val="5F385194"/>
    <w:rsid w:val="5F645F89"/>
    <w:rsid w:val="5F6C2999"/>
    <w:rsid w:val="5F824661"/>
    <w:rsid w:val="5F8D1984"/>
    <w:rsid w:val="5F961333"/>
    <w:rsid w:val="5FB52C88"/>
    <w:rsid w:val="5FC058B5"/>
    <w:rsid w:val="5FC30F01"/>
    <w:rsid w:val="5FC52ECB"/>
    <w:rsid w:val="5FE07D05"/>
    <w:rsid w:val="600F3677"/>
    <w:rsid w:val="602B6AA7"/>
    <w:rsid w:val="60363DC9"/>
    <w:rsid w:val="60433DF0"/>
    <w:rsid w:val="604C539B"/>
    <w:rsid w:val="60636240"/>
    <w:rsid w:val="6065645C"/>
    <w:rsid w:val="60681AA9"/>
    <w:rsid w:val="609F196E"/>
    <w:rsid w:val="60A26D69"/>
    <w:rsid w:val="60B62814"/>
    <w:rsid w:val="60BD3BA3"/>
    <w:rsid w:val="60DD6049"/>
    <w:rsid w:val="61007F33"/>
    <w:rsid w:val="610C4B2A"/>
    <w:rsid w:val="6131633F"/>
    <w:rsid w:val="61446072"/>
    <w:rsid w:val="6171498D"/>
    <w:rsid w:val="618B118B"/>
    <w:rsid w:val="619012B7"/>
    <w:rsid w:val="619E438F"/>
    <w:rsid w:val="61A86601"/>
    <w:rsid w:val="61AD3E67"/>
    <w:rsid w:val="61B64F19"/>
    <w:rsid w:val="61CD7F83"/>
    <w:rsid w:val="61D7354F"/>
    <w:rsid w:val="61ED495B"/>
    <w:rsid w:val="61EE5FDE"/>
    <w:rsid w:val="61EF4230"/>
    <w:rsid w:val="61FA0313"/>
    <w:rsid w:val="6200643D"/>
    <w:rsid w:val="620D2908"/>
    <w:rsid w:val="62377985"/>
    <w:rsid w:val="623E6F65"/>
    <w:rsid w:val="624626D0"/>
    <w:rsid w:val="62516C98"/>
    <w:rsid w:val="62522A10"/>
    <w:rsid w:val="625D388F"/>
    <w:rsid w:val="626F5370"/>
    <w:rsid w:val="627B5AC3"/>
    <w:rsid w:val="62A74B0A"/>
    <w:rsid w:val="62B249B4"/>
    <w:rsid w:val="62EA49F7"/>
    <w:rsid w:val="630930CF"/>
    <w:rsid w:val="630A6E47"/>
    <w:rsid w:val="632A1297"/>
    <w:rsid w:val="63462575"/>
    <w:rsid w:val="63471E49"/>
    <w:rsid w:val="63513DAB"/>
    <w:rsid w:val="635E019B"/>
    <w:rsid w:val="63732C3E"/>
    <w:rsid w:val="637A221F"/>
    <w:rsid w:val="63804284"/>
    <w:rsid w:val="63A177AC"/>
    <w:rsid w:val="63CC234F"/>
    <w:rsid w:val="63E038EF"/>
    <w:rsid w:val="640D6BEF"/>
    <w:rsid w:val="64356146"/>
    <w:rsid w:val="646B1B68"/>
    <w:rsid w:val="646D1D84"/>
    <w:rsid w:val="647A41FA"/>
    <w:rsid w:val="649E3CEB"/>
    <w:rsid w:val="64A62BA0"/>
    <w:rsid w:val="64BB1BF4"/>
    <w:rsid w:val="64F77491"/>
    <w:rsid w:val="65046244"/>
    <w:rsid w:val="651A39E8"/>
    <w:rsid w:val="652A5B5F"/>
    <w:rsid w:val="653D3504"/>
    <w:rsid w:val="654B6723"/>
    <w:rsid w:val="654E5711"/>
    <w:rsid w:val="65554CF2"/>
    <w:rsid w:val="65741C3D"/>
    <w:rsid w:val="65907AD8"/>
    <w:rsid w:val="65982E30"/>
    <w:rsid w:val="65984BDE"/>
    <w:rsid w:val="65B23EF2"/>
    <w:rsid w:val="65E17F2C"/>
    <w:rsid w:val="65F6721C"/>
    <w:rsid w:val="66145EEA"/>
    <w:rsid w:val="6618187B"/>
    <w:rsid w:val="662B07CB"/>
    <w:rsid w:val="662D17CA"/>
    <w:rsid w:val="664B39FF"/>
    <w:rsid w:val="6659611C"/>
    <w:rsid w:val="66650F64"/>
    <w:rsid w:val="667E2026"/>
    <w:rsid w:val="66A15D14"/>
    <w:rsid w:val="66A219E9"/>
    <w:rsid w:val="66B25244"/>
    <w:rsid w:val="66BC2B4E"/>
    <w:rsid w:val="66C37A39"/>
    <w:rsid w:val="66CF2882"/>
    <w:rsid w:val="66E300DB"/>
    <w:rsid w:val="66FA497B"/>
    <w:rsid w:val="67226E55"/>
    <w:rsid w:val="672524A2"/>
    <w:rsid w:val="6759039D"/>
    <w:rsid w:val="67784CC7"/>
    <w:rsid w:val="67BF46A4"/>
    <w:rsid w:val="67D87514"/>
    <w:rsid w:val="67E60BCD"/>
    <w:rsid w:val="67FA1A5E"/>
    <w:rsid w:val="6804655B"/>
    <w:rsid w:val="68381AF2"/>
    <w:rsid w:val="683C1B91"/>
    <w:rsid w:val="68525518"/>
    <w:rsid w:val="68686AEA"/>
    <w:rsid w:val="688A2F04"/>
    <w:rsid w:val="68907DEF"/>
    <w:rsid w:val="68E05094"/>
    <w:rsid w:val="69083E29"/>
    <w:rsid w:val="690A5DF3"/>
    <w:rsid w:val="69112CDD"/>
    <w:rsid w:val="69194288"/>
    <w:rsid w:val="69354EFB"/>
    <w:rsid w:val="6937396B"/>
    <w:rsid w:val="693966D8"/>
    <w:rsid w:val="697119CE"/>
    <w:rsid w:val="69BD0841"/>
    <w:rsid w:val="69C75B99"/>
    <w:rsid w:val="69FD14B4"/>
    <w:rsid w:val="6A211646"/>
    <w:rsid w:val="6A3550F2"/>
    <w:rsid w:val="6A570BC4"/>
    <w:rsid w:val="6A627569"/>
    <w:rsid w:val="6A841BD5"/>
    <w:rsid w:val="6AA33862"/>
    <w:rsid w:val="6AB53B3C"/>
    <w:rsid w:val="6AF24D91"/>
    <w:rsid w:val="6B036F9E"/>
    <w:rsid w:val="6B1B6095"/>
    <w:rsid w:val="6B321631"/>
    <w:rsid w:val="6B562347"/>
    <w:rsid w:val="6B947BF6"/>
    <w:rsid w:val="6B9B71D6"/>
    <w:rsid w:val="6BD6020E"/>
    <w:rsid w:val="6C3F4006"/>
    <w:rsid w:val="6C4E4249"/>
    <w:rsid w:val="6C841DBF"/>
    <w:rsid w:val="6C8C6B1F"/>
    <w:rsid w:val="6CA83959"/>
    <w:rsid w:val="6CAB51F7"/>
    <w:rsid w:val="6CC62031"/>
    <w:rsid w:val="6CCF5389"/>
    <w:rsid w:val="6CE00AAF"/>
    <w:rsid w:val="6D0668D1"/>
    <w:rsid w:val="6D081BFA"/>
    <w:rsid w:val="6D142D9C"/>
    <w:rsid w:val="6D156B14"/>
    <w:rsid w:val="6D1E3C1B"/>
    <w:rsid w:val="6D2C27DC"/>
    <w:rsid w:val="6D2F7BD6"/>
    <w:rsid w:val="6D4573FA"/>
    <w:rsid w:val="6D4A4A10"/>
    <w:rsid w:val="6D5B4E6F"/>
    <w:rsid w:val="6D604233"/>
    <w:rsid w:val="6D785A21"/>
    <w:rsid w:val="6DA82F46"/>
    <w:rsid w:val="6DAF51BB"/>
    <w:rsid w:val="6DD8026E"/>
    <w:rsid w:val="6DDB7D5E"/>
    <w:rsid w:val="6DEE7A91"/>
    <w:rsid w:val="6DF8446C"/>
    <w:rsid w:val="6E0252EB"/>
    <w:rsid w:val="6E1F649C"/>
    <w:rsid w:val="6E3B6A4F"/>
    <w:rsid w:val="6E4C47B8"/>
    <w:rsid w:val="6E6A5F15"/>
    <w:rsid w:val="6E751F61"/>
    <w:rsid w:val="6E9D3265"/>
    <w:rsid w:val="6EA6036C"/>
    <w:rsid w:val="6EA939B8"/>
    <w:rsid w:val="6EAA49ED"/>
    <w:rsid w:val="6EC47C66"/>
    <w:rsid w:val="6ED8604B"/>
    <w:rsid w:val="6EE829FC"/>
    <w:rsid w:val="6EF015E7"/>
    <w:rsid w:val="6F047DDC"/>
    <w:rsid w:val="6F060E0B"/>
    <w:rsid w:val="6F0B4673"/>
    <w:rsid w:val="6F0F4163"/>
    <w:rsid w:val="6F1B2B08"/>
    <w:rsid w:val="6F2A4AF9"/>
    <w:rsid w:val="6F4162E7"/>
    <w:rsid w:val="6F4B2CC1"/>
    <w:rsid w:val="6F525DFE"/>
    <w:rsid w:val="6F5C6C7D"/>
    <w:rsid w:val="6F795A80"/>
    <w:rsid w:val="6F863CF9"/>
    <w:rsid w:val="6F9208F0"/>
    <w:rsid w:val="6F944668"/>
    <w:rsid w:val="6F9B37DF"/>
    <w:rsid w:val="6FAF18CA"/>
    <w:rsid w:val="6FB940CF"/>
    <w:rsid w:val="6FDF4162"/>
    <w:rsid w:val="6FE54EC4"/>
    <w:rsid w:val="6FE56C72"/>
    <w:rsid w:val="6FE729EA"/>
    <w:rsid w:val="7012394F"/>
    <w:rsid w:val="7020414E"/>
    <w:rsid w:val="70473489"/>
    <w:rsid w:val="70775C47"/>
    <w:rsid w:val="70791FDC"/>
    <w:rsid w:val="70BB28C7"/>
    <w:rsid w:val="70C64CF5"/>
    <w:rsid w:val="70CB230C"/>
    <w:rsid w:val="70EE7DA8"/>
    <w:rsid w:val="710D6480"/>
    <w:rsid w:val="71290DE0"/>
    <w:rsid w:val="71306613"/>
    <w:rsid w:val="714F4CEB"/>
    <w:rsid w:val="71526589"/>
    <w:rsid w:val="715916C6"/>
    <w:rsid w:val="71630796"/>
    <w:rsid w:val="716342F2"/>
    <w:rsid w:val="71685DAD"/>
    <w:rsid w:val="717A163C"/>
    <w:rsid w:val="71B44B4E"/>
    <w:rsid w:val="71B763EC"/>
    <w:rsid w:val="71C254BD"/>
    <w:rsid w:val="71C50B09"/>
    <w:rsid w:val="71D90A58"/>
    <w:rsid w:val="71E76CD1"/>
    <w:rsid w:val="72231CD3"/>
    <w:rsid w:val="723C3FAF"/>
    <w:rsid w:val="72C9533D"/>
    <w:rsid w:val="72D54D7C"/>
    <w:rsid w:val="72D57472"/>
    <w:rsid w:val="72E90D7F"/>
    <w:rsid w:val="72FD42D3"/>
    <w:rsid w:val="73261A7B"/>
    <w:rsid w:val="733107D8"/>
    <w:rsid w:val="733B15C3"/>
    <w:rsid w:val="735D2FC3"/>
    <w:rsid w:val="737C169B"/>
    <w:rsid w:val="73974727"/>
    <w:rsid w:val="73A62BBC"/>
    <w:rsid w:val="73BB6668"/>
    <w:rsid w:val="73E51C2F"/>
    <w:rsid w:val="73E80675"/>
    <w:rsid w:val="73EA0CFB"/>
    <w:rsid w:val="73FE47A6"/>
    <w:rsid w:val="74030593"/>
    <w:rsid w:val="740873D3"/>
    <w:rsid w:val="740B2A1F"/>
    <w:rsid w:val="744321B9"/>
    <w:rsid w:val="745D6531"/>
    <w:rsid w:val="74600FBD"/>
    <w:rsid w:val="74640AAD"/>
    <w:rsid w:val="74732A9E"/>
    <w:rsid w:val="748A603A"/>
    <w:rsid w:val="74AE3AD6"/>
    <w:rsid w:val="74D21844"/>
    <w:rsid w:val="74DD362F"/>
    <w:rsid w:val="74EE06F3"/>
    <w:rsid w:val="74FA2AD6"/>
    <w:rsid w:val="750E6C6B"/>
    <w:rsid w:val="751E11CC"/>
    <w:rsid w:val="758F1B5A"/>
    <w:rsid w:val="75BC66C7"/>
    <w:rsid w:val="75D91027"/>
    <w:rsid w:val="760342F6"/>
    <w:rsid w:val="761553FC"/>
    <w:rsid w:val="761E2EDE"/>
    <w:rsid w:val="76437692"/>
    <w:rsid w:val="764A5A81"/>
    <w:rsid w:val="7671125F"/>
    <w:rsid w:val="7671300D"/>
    <w:rsid w:val="767326C2"/>
    <w:rsid w:val="76DD06A3"/>
    <w:rsid w:val="76E539FB"/>
    <w:rsid w:val="76EB7264"/>
    <w:rsid w:val="76FB321F"/>
    <w:rsid w:val="772067E2"/>
    <w:rsid w:val="77342D4E"/>
    <w:rsid w:val="77364257"/>
    <w:rsid w:val="775E5A5C"/>
    <w:rsid w:val="776112D4"/>
    <w:rsid w:val="77664B3C"/>
    <w:rsid w:val="777C4360"/>
    <w:rsid w:val="777D1373"/>
    <w:rsid w:val="77882D05"/>
    <w:rsid w:val="77BF7A05"/>
    <w:rsid w:val="77D45F4A"/>
    <w:rsid w:val="77E141C3"/>
    <w:rsid w:val="77E37F3B"/>
    <w:rsid w:val="77E431A6"/>
    <w:rsid w:val="77FA7033"/>
    <w:rsid w:val="78082C12"/>
    <w:rsid w:val="7819395D"/>
    <w:rsid w:val="785C1A9B"/>
    <w:rsid w:val="78746DE5"/>
    <w:rsid w:val="78782D79"/>
    <w:rsid w:val="78A376CA"/>
    <w:rsid w:val="78EA5EF2"/>
    <w:rsid w:val="79183C14"/>
    <w:rsid w:val="791A5BDE"/>
    <w:rsid w:val="791B3704"/>
    <w:rsid w:val="7924080B"/>
    <w:rsid w:val="79256331"/>
    <w:rsid w:val="794964C4"/>
    <w:rsid w:val="795A422D"/>
    <w:rsid w:val="795F5CE7"/>
    <w:rsid w:val="79805B7D"/>
    <w:rsid w:val="79823784"/>
    <w:rsid w:val="799314ED"/>
    <w:rsid w:val="79B66426"/>
    <w:rsid w:val="79BA191D"/>
    <w:rsid w:val="79BA4CCB"/>
    <w:rsid w:val="79C1605A"/>
    <w:rsid w:val="79D12015"/>
    <w:rsid w:val="79E306C6"/>
    <w:rsid w:val="79F3642F"/>
    <w:rsid w:val="79F857F4"/>
    <w:rsid w:val="7A275176"/>
    <w:rsid w:val="7A320D06"/>
    <w:rsid w:val="7A664E53"/>
    <w:rsid w:val="7A6A04A0"/>
    <w:rsid w:val="7A765096"/>
    <w:rsid w:val="7A7C01D3"/>
    <w:rsid w:val="7AB23BF5"/>
    <w:rsid w:val="7ACF29F8"/>
    <w:rsid w:val="7AD149C3"/>
    <w:rsid w:val="7B0A68E9"/>
    <w:rsid w:val="7B18439F"/>
    <w:rsid w:val="7B220D7A"/>
    <w:rsid w:val="7B227779"/>
    <w:rsid w:val="7B31720F"/>
    <w:rsid w:val="7B334D35"/>
    <w:rsid w:val="7B3B1E3C"/>
    <w:rsid w:val="7B6431B4"/>
    <w:rsid w:val="7B666459"/>
    <w:rsid w:val="7BB33FCE"/>
    <w:rsid w:val="7BCA6135"/>
    <w:rsid w:val="7C0C5586"/>
    <w:rsid w:val="7C240B22"/>
    <w:rsid w:val="7C43544C"/>
    <w:rsid w:val="7C4F2043"/>
    <w:rsid w:val="7C694787"/>
    <w:rsid w:val="7C6E6F3C"/>
    <w:rsid w:val="7C7E0232"/>
    <w:rsid w:val="7CAB4D9F"/>
    <w:rsid w:val="7CBE4AD3"/>
    <w:rsid w:val="7CC55E61"/>
    <w:rsid w:val="7CCD4D16"/>
    <w:rsid w:val="7CD442F6"/>
    <w:rsid w:val="7CD460A4"/>
    <w:rsid w:val="7D056BA5"/>
    <w:rsid w:val="7D08288D"/>
    <w:rsid w:val="7D252DA4"/>
    <w:rsid w:val="7D397EFB"/>
    <w:rsid w:val="7D3D5EB1"/>
    <w:rsid w:val="7D3F0F13"/>
    <w:rsid w:val="7D4F0E01"/>
    <w:rsid w:val="7D5471E5"/>
    <w:rsid w:val="7D586CD5"/>
    <w:rsid w:val="7D6722A4"/>
    <w:rsid w:val="7D692C90"/>
    <w:rsid w:val="7D853842"/>
    <w:rsid w:val="7D8555F0"/>
    <w:rsid w:val="7DA4016C"/>
    <w:rsid w:val="7DA77C5D"/>
    <w:rsid w:val="7DB859C6"/>
    <w:rsid w:val="7DB879A9"/>
    <w:rsid w:val="7DC9372F"/>
    <w:rsid w:val="7DE40569"/>
    <w:rsid w:val="7DEC4B84"/>
    <w:rsid w:val="7DF12C86"/>
    <w:rsid w:val="7DF74740"/>
    <w:rsid w:val="7E114D79"/>
    <w:rsid w:val="7E1939E8"/>
    <w:rsid w:val="7E1C7D03"/>
    <w:rsid w:val="7E1F3C97"/>
    <w:rsid w:val="7E2B6198"/>
    <w:rsid w:val="7E350DC4"/>
    <w:rsid w:val="7E4F632A"/>
    <w:rsid w:val="7E682F48"/>
    <w:rsid w:val="7E747B3F"/>
    <w:rsid w:val="7E7A2C7B"/>
    <w:rsid w:val="7E801D18"/>
    <w:rsid w:val="7E90249F"/>
    <w:rsid w:val="7EBC14E6"/>
    <w:rsid w:val="7EC108AA"/>
    <w:rsid w:val="7ED93E46"/>
    <w:rsid w:val="7EED306E"/>
    <w:rsid w:val="7F032C71"/>
    <w:rsid w:val="7F0D7F93"/>
    <w:rsid w:val="7F21759B"/>
    <w:rsid w:val="7F280963"/>
    <w:rsid w:val="7F511C2E"/>
    <w:rsid w:val="7F8567C3"/>
    <w:rsid w:val="7F86582B"/>
    <w:rsid w:val="7F8C516B"/>
    <w:rsid w:val="7FA77AA0"/>
    <w:rsid w:val="7FB328E9"/>
    <w:rsid w:val="7FDB599C"/>
    <w:rsid w:val="7FE72592"/>
    <w:rsid w:val="7FF64583"/>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7"/>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6"/>
    <w:qFormat/>
    <w:uiPriority w:val="0"/>
    <w:pPr>
      <w:spacing w:line="240" w:lineRule="auto"/>
    </w:pPr>
    <w:rPr>
      <w:rFonts w:asciiTheme="minorHAnsi" w:hAnsiTheme="minorHAnsi" w:eastAsiaTheme="minorEastAsia"/>
      <w:sz w:val="21"/>
      <w:szCs w:val="24"/>
    </w:rPr>
  </w:style>
  <w:style w:type="paragraph" w:styleId="10">
    <w:name w:val="Body Text 3"/>
    <w:basedOn w:val="1"/>
    <w:link w:val="42"/>
    <w:semiHidden/>
    <w:unhideWhenUsed/>
    <w:qFormat/>
    <w:uiPriority w:val="99"/>
    <w:pPr>
      <w:spacing w:after="120"/>
    </w:pPr>
    <w:rPr>
      <w:sz w:val="16"/>
      <w:szCs w:val="16"/>
    </w:rPr>
  </w:style>
  <w:style w:type="paragraph" w:styleId="11">
    <w:name w:val="Body Text"/>
    <w:basedOn w:val="1"/>
    <w:link w:val="41"/>
    <w:unhideWhenUsed/>
    <w:qFormat/>
    <w:uiPriority w:val="99"/>
    <w:pPr>
      <w:spacing w:after="120" w:line="240" w:lineRule="auto"/>
      <w:jc w:val="both"/>
    </w:pPr>
    <w:rPr>
      <w:rFonts w:ascii="Times New Roman" w:hAnsi="Times New Roman" w:cs="Times New Roman"/>
      <w:kern w:val="0"/>
      <w:sz w:val="20"/>
      <w:szCs w:val="20"/>
    </w:rPr>
  </w:style>
  <w:style w:type="paragraph" w:styleId="12">
    <w:name w:val="Body Text Indent"/>
    <w:basedOn w:val="1"/>
    <w:unhideWhenUsed/>
    <w:qFormat/>
    <w:uiPriority w:val="0"/>
    <w:pPr>
      <w:ind w:firstLine="630"/>
    </w:pPr>
    <w:rPr>
      <w:rFonts w:eastAsia="仿宋_GB2312"/>
      <w:kern w:val="0"/>
      <w:sz w:val="32"/>
      <w:szCs w:val="20"/>
    </w:rPr>
  </w:style>
  <w:style w:type="paragraph" w:styleId="13">
    <w:name w:val="toc 5"/>
    <w:basedOn w:val="1"/>
    <w:next w:val="1"/>
    <w:autoRedefine/>
    <w:unhideWhenUsed/>
    <w:qFormat/>
    <w:uiPriority w:val="39"/>
    <w:pPr>
      <w:ind w:left="960"/>
    </w:pPr>
    <w:rPr>
      <w:rFonts w:asciiTheme="minorHAnsi" w:eastAsiaTheme="minorHAnsi"/>
      <w:sz w:val="18"/>
      <w:szCs w:val="18"/>
    </w:rPr>
  </w:style>
  <w:style w:type="paragraph" w:styleId="14">
    <w:name w:val="toc 3"/>
    <w:basedOn w:val="1"/>
    <w:next w:val="1"/>
    <w:autoRedefine/>
    <w:unhideWhenUsed/>
    <w:qFormat/>
    <w:uiPriority w:val="39"/>
    <w:pPr>
      <w:ind w:left="480"/>
    </w:pPr>
    <w:rPr>
      <w:rFonts w:asciiTheme="minorHAnsi" w:eastAsiaTheme="minorHAnsi"/>
      <w:i/>
      <w:iCs/>
      <w:sz w:val="20"/>
      <w:szCs w:val="20"/>
    </w:rPr>
  </w:style>
  <w:style w:type="paragraph" w:styleId="15">
    <w:name w:val="Plain Text"/>
    <w:basedOn w:val="1"/>
    <w:unhideWhenUsed/>
    <w:qFormat/>
    <w:uiPriority w:val="0"/>
    <w:rPr>
      <w:rFonts w:ascii="宋体" w:hAnsi="Courier New"/>
      <w:kern w:val="0"/>
      <w:sz w:val="20"/>
      <w:szCs w:val="20"/>
    </w:rPr>
  </w:style>
  <w:style w:type="paragraph" w:styleId="16">
    <w:name w:val="toc 8"/>
    <w:basedOn w:val="1"/>
    <w:next w:val="1"/>
    <w:autoRedefine/>
    <w:unhideWhenUsed/>
    <w:qFormat/>
    <w:uiPriority w:val="39"/>
    <w:pPr>
      <w:ind w:left="1680"/>
    </w:pPr>
    <w:rPr>
      <w:rFonts w:asciiTheme="minorHAnsi" w:eastAsiaTheme="minorHAnsi"/>
      <w:sz w:val="18"/>
      <w:szCs w:val="18"/>
    </w:rPr>
  </w:style>
  <w:style w:type="paragraph" w:styleId="17">
    <w:name w:val="footer"/>
    <w:basedOn w:val="1"/>
    <w:link w:val="36"/>
    <w:unhideWhenUsed/>
    <w:qFormat/>
    <w:uiPriority w:val="99"/>
    <w:pPr>
      <w:tabs>
        <w:tab w:val="center" w:pos="4153"/>
        <w:tab w:val="right" w:pos="8306"/>
      </w:tabs>
      <w:snapToGrid w:val="0"/>
    </w:pPr>
    <w:rPr>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0">
    <w:name w:val="toc 4"/>
    <w:basedOn w:val="1"/>
    <w:next w:val="1"/>
    <w:autoRedefine/>
    <w:unhideWhenUsed/>
    <w:qFormat/>
    <w:uiPriority w:val="39"/>
    <w:pPr>
      <w:ind w:left="720"/>
    </w:pPr>
    <w:rPr>
      <w:rFonts w:asciiTheme="minorHAnsi" w:eastAsiaTheme="minorHAnsi"/>
      <w:sz w:val="18"/>
      <w:szCs w:val="18"/>
    </w:rPr>
  </w:style>
  <w:style w:type="paragraph" w:styleId="21">
    <w:name w:val="footnote text"/>
    <w:basedOn w:val="1"/>
    <w:qFormat/>
    <w:uiPriority w:val="0"/>
    <w:pPr>
      <w:widowControl/>
      <w:jc w:val="left"/>
    </w:pPr>
    <w:rPr>
      <w:kern w:val="0"/>
      <w:sz w:val="20"/>
      <w:szCs w:val="20"/>
      <w:lang w:val="de-DE"/>
    </w:rPr>
  </w:style>
  <w:style w:type="paragraph" w:styleId="22">
    <w:name w:val="toc 6"/>
    <w:basedOn w:val="1"/>
    <w:next w:val="1"/>
    <w:autoRedefine/>
    <w:unhideWhenUsed/>
    <w:qFormat/>
    <w:uiPriority w:val="39"/>
    <w:pPr>
      <w:ind w:left="1200"/>
    </w:pPr>
    <w:rPr>
      <w:rFonts w:asciiTheme="minorHAnsi" w:eastAsiaTheme="minorHAnsi"/>
      <w:sz w:val="18"/>
      <w:szCs w:val="18"/>
    </w:rPr>
  </w:style>
  <w:style w:type="paragraph" w:styleId="23">
    <w:name w:val="toc 2"/>
    <w:basedOn w:val="1"/>
    <w:next w:val="1"/>
    <w:autoRedefine/>
    <w:unhideWhenUsed/>
    <w:qFormat/>
    <w:uiPriority w:val="39"/>
    <w:pPr>
      <w:ind w:left="240"/>
    </w:pPr>
    <w:rPr>
      <w:rFonts w:asciiTheme="minorHAnsi" w:eastAsiaTheme="minorHAnsi"/>
      <w:smallCaps/>
      <w:sz w:val="20"/>
      <w:szCs w:val="20"/>
    </w:rPr>
  </w:style>
  <w:style w:type="paragraph" w:styleId="24">
    <w:name w:val="toc 9"/>
    <w:basedOn w:val="1"/>
    <w:next w:val="1"/>
    <w:autoRedefine/>
    <w:unhideWhenUsed/>
    <w:qFormat/>
    <w:uiPriority w:val="39"/>
    <w:pPr>
      <w:ind w:left="1920"/>
    </w:pPr>
    <w:rPr>
      <w:rFonts w:asciiTheme="minorHAnsi" w:eastAsiaTheme="minorHAnsi"/>
      <w:sz w:val="18"/>
      <w:szCs w:val="18"/>
    </w:rPr>
  </w:style>
  <w:style w:type="paragraph" w:styleId="25">
    <w:name w:val="Normal (Web)"/>
    <w:basedOn w:val="1"/>
    <w:qFormat/>
    <w:uiPriority w:val="0"/>
    <w:pPr>
      <w:widowControl/>
      <w:spacing w:before="100" w:beforeAutospacing="1" w:after="100" w:afterAutospacing="1" w:line="240" w:lineRule="auto"/>
    </w:pPr>
    <w:rPr>
      <w:rFonts w:cs="宋体"/>
      <w:kern w:val="0"/>
      <w:szCs w:val="20"/>
    </w:rPr>
  </w:style>
  <w:style w:type="paragraph" w:styleId="26">
    <w:name w:val="annotation subject"/>
    <w:basedOn w:val="9"/>
    <w:next w:val="9"/>
    <w:link w:val="51"/>
    <w:semiHidden/>
    <w:unhideWhenUsed/>
    <w:qFormat/>
    <w:uiPriority w:val="99"/>
    <w:pPr>
      <w:spacing w:line="360" w:lineRule="auto"/>
    </w:pPr>
    <w:rPr>
      <w:rFonts w:ascii="宋体" w:hAnsi="宋体" w:eastAsia="宋体"/>
      <w:b/>
      <w:bCs/>
      <w:sz w:val="24"/>
      <w:szCs w:val="22"/>
    </w:rPr>
  </w:style>
  <w:style w:type="paragraph" w:styleId="27">
    <w:name w:val="Body Text First Indent"/>
    <w:basedOn w:val="11"/>
    <w:qFormat/>
    <w:uiPriority w:val="99"/>
    <w:pPr>
      <w:spacing w:after="120"/>
      <w:ind w:firstLine="420" w:firstLineChars="1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paragraph" w:customStyle="1" w:styleId="34">
    <w:name w:val="正文缩进2"/>
    <w:basedOn w:val="1"/>
    <w:qFormat/>
    <w:uiPriority w:val="0"/>
    <w:pPr>
      <w:wordWrap w:val="0"/>
      <w:ind w:firstLine="200" w:firstLineChars="200"/>
    </w:pPr>
  </w:style>
  <w:style w:type="character" w:customStyle="1" w:styleId="35">
    <w:name w:val="页眉 字符"/>
    <w:basedOn w:val="30"/>
    <w:link w:val="18"/>
    <w:qFormat/>
    <w:uiPriority w:val="99"/>
    <w:rPr>
      <w:rFonts w:eastAsia="宋体"/>
      <w:sz w:val="18"/>
      <w:szCs w:val="18"/>
    </w:rPr>
  </w:style>
  <w:style w:type="character" w:customStyle="1" w:styleId="36">
    <w:name w:val="页脚 字符"/>
    <w:basedOn w:val="30"/>
    <w:link w:val="17"/>
    <w:qFormat/>
    <w:uiPriority w:val="99"/>
    <w:rPr>
      <w:rFonts w:eastAsia="宋体"/>
      <w:sz w:val="18"/>
      <w:szCs w:val="18"/>
    </w:rPr>
  </w:style>
  <w:style w:type="character" w:customStyle="1" w:styleId="37">
    <w:name w:val="标题 1 字符"/>
    <w:basedOn w:val="30"/>
    <w:link w:val="2"/>
    <w:qFormat/>
    <w:uiPriority w:val="9"/>
    <w:rPr>
      <w:rFonts w:ascii="宋体" w:hAnsi="宋体" w:eastAsia="黑体"/>
      <w:b/>
      <w:bCs/>
      <w:kern w:val="44"/>
      <w:sz w:val="44"/>
      <w:szCs w:val="44"/>
    </w:rPr>
  </w:style>
  <w:style w:type="paragraph" w:styleId="38">
    <w:name w:val="List Paragraph"/>
    <w:basedOn w:val="1"/>
    <w:link w:val="47"/>
    <w:qFormat/>
    <w:uiPriority w:val="34"/>
    <w:pPr>
      <w:ind w:firstLine="420" w:firstLineChars="200"/>
    </w:pPr>
  </w:style>
  <w:style w:type="character" w:customStyle="1" w:styleId="39">
    <w:name w:val="标题 2 字符"/>
    <w:basedOn w:val="30"/>
    <w:link w:val="3"/>
    <w:qFormat/>
    <w:uiPriority w:val="9"/>
    <w:rPr>
      <w:rFonts w:eastAsia="宋体" w:asciiTheme="majorHAnsi" w:hAnsiTheme="majorHAnsi" w:cstheme="majorBidi"/>
      <w:b/>
      <w:bCs/>
      <w:sz w:val="32"/>
      <w:szCs w:val="32"/>
    </w:rPr>
  </w:style>
  <w:style w:type="character" w:customStyle="1" w:styleId="40">
    <w:name w:val="未处理的提及1"/>
    <w:basedOn w:val="30"/>
    <w:semiHidden/>
    <w:unhideWhenUsed/>
    <w:qFormat/>
    <w:uiPriority w:val="99"/>
    <w:rPr>
      <w:color w:val="605E5C"/>
      <w:shd w:val="clear" w:color="auto" w:fill="E1DFDD"/>
    </w:rPr>
  </w:style>
  <w:style w:type="character" w:customStyle="1" w:styleId="41">
    <w:name w:val="正文文本 字符"/>
    <w:basedOn w:val="30"/>
    <w:link w:val="11"/>
    <w:qFormat/>
    <w:uiPriority w:val="99"/>
    <w:rPr>
      <w:rFonts w:ascii="Times New Roman" w:hAnsi="Times New Roman" w:eastAsia="宋体" w:cs="Times New Roman"/>
      <w:kern w:val="0"/>
      <w:sz w:val="20"/>
      <w:szCs w:val="20"/>
    </w:rPr>
  </w:style>
  <w:style w:type="character" w:customStyle="1" w:styleId="42">
    <w:name w:val="正文文本 3 字符"/>
    <w:basedOn w:val="30"/>
    <w:link w:val="10"/>
    <w:semiHidden/>
    <w:qFormat/>
    <w:uiPriority w:val="99"/>
    <w:rPr>
      <w:rFonts w:ascii="宋体" w:hAnsi="宋体" w:eastAsia="宋体"/>
      <w:sz w:val="16"/>
      <w:szCs w:val="16"/>
    </w:rPr>
  </w:style>
  <w:style w:type="paragraph" w:customStyle="1" w:styleId="43">
    <w:name w:val="Default"/>
    <w:link w:val="44"/>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Default Char Char"/>
    <w:link w:val="43"/>
    <w:qFormat/>
    <w:uiPriority w:val="0"/>
    <w:rPr>
      <w:rFonts w:ascii=".." w:hAnsi="Times New Roman" w:eastAsia=".." w:cs="Times New Roman"/>
      <w:color w:val="000000"/>
      <w:kern w:val="0"/>
      <w:sz w:val="24"/>
      <w:szCs w:val="24"/>
    </w:rPr>
  </w:style>
  <w:style w:type="paragraph" w:styleId="45">
    <w:name w:val="No Spacing"/>
    <w:link w:val="50"/>
    <w:qFormat/>
    <w:uiPriority w:val="1"/>
    <w:pPr>
      <w:widowControl w:val="0"/>
    </w:pPr>
    <w:rPr>
      <w:rFonts w:ascii="宋体" w:hAnsi="宋体" w:eastAsia="宋体" w:cstheme="minorBidi"/>
      <w:kern w:val="2"/>
      <w:sz w:val="21"/>
      <w:szCs w:val="22"/>
      <w:lang w:val="en-US" w:eastAsia="zh-CN" w:bidi="ar-SA"/>
    </w:rPr>
  </w:style>
  <w:style w:type="character" w:customStyle="1" w:styleId="46">
    <w:name w:val="批注文字 字符"/>
    <w:basedOn w:val="30"/>
    <w:link w:val="9"/>
    <w:qFormat/>
    <w:uiPriority w:val="0"/>
    <w:rPr>
      <w:szCs w:val="24"/>
    </w:rPr>
  </w:style>
  <w:style w:type="character" w:customStyle="1" w:styleId="47">
    <w:name w:val="列表段落 字符"/>
    <w:link w:val="38"/>
    <w:qFormat/>
    <w:uiPriority w:val="34"/>
    <w:rPr>
      <w:rFonts w:ascii="宋体" w:hAnsi="宋体" w:eastAsia="宋体"/>
      <w:sz w:val="24"/>
    </w:rPr>
  </w:style>
  <w:style w:type="character" w:customStyle="1" w:styleId="48">
    <w:name w:val="标题 3 字符"/>
    <w:basedOn w:val="30"/>
    <w:link w:val="4"/>
    <w:autoRedefine/>
    <w:qFormat/>
    <w:uiPriority w:val="9"/>
    <w:rPr>
      <w:rFonts w:ascii="宋体" w:hAnsi="宋体" w:eastAsia="宋体"/>
      <w:b/>
      <w:bCs/>
      <w:sz w:val="32"/>
      <w:szCs w:val="32"/>
    </w:rPr>
  </w:style>
  <w:style w:type="character" w:customStyle="1" w:styleId="49">
    <w:name w:val="标题 4 字符"/>
    <w:basedOn w:val="30"/>
    <w:link w:val="5"/>
    <w:autoRedefine/>
    <w:qFormat/>
    <w:uiPriority w:val="9"/>
    <w:rPr>
      <w:rFonts w:eastAsia="宋体" w:asciiTheme="majorHAnsi" w:hAnsiTheme="majorHAnsi" w:cstheme="majorBidi"/>
      <w:b/>
      <w:bCs/>
      <w:sz w:val="28"/>
      <w:szCs w:val="28"/>
    </w:rPr>
  </w:style>
  <w:style w:type="character" w:customStyle="1" w:styleId="50">
    <w:name w:val="无间隔 字符"/>
    <w:link w:val="45"/>
    <w:qFormat/>
    <w:uiPriority w:val="1"/>
    <w:rPr>
      <w:rFonts w:ascii="宋体" w:hAnsi="宋体" w:eastAsia="宋体"/>
    </w:rPr>
  </w:style>
  <w:style w:type="character" w:customStyle="1" w:styleId="51">
    <w:name w:val="批注主题 字符"/>
    <w:basedOn w:val="46"/>
    <w:link w:val="26"/>
    <w:semiHidden/>
    <w:qFormat/>
    <w:uiPriority w:val="99"/>
    <w:rPr>
      <w:rFonts w:ascii="宋体" w:hAnsi="宋体" w:eastAsia="宋体"/>
      <w:b/>
      <w:bCs/>
      <w:kern w:val="2"/>
      <w:sz w:val="24"/>
      <w:szCs w:val="22"/>
    </w:rPr>
  </w:style>
  <w:style w:type="paragraph" w:customStyle="1" w:styleId="5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4">
    <w:name w:val="正文1"/>
    <w:autoRedefine/>
    <w:qFormat/>
    <w:uiPriority w:val="0"/>
    <w:pPr>
      <w:widowControl w:val="0"/>
      <w:jc w:val="both"/>
    </w:pPr>
    <w:rPr>
      <w:rFonts w:ascii="Calibri" w:hAnsi="Calibri" w:eastAsia="宋体" w:cs="Times New Roman"/>
      <w:lang w:val="en-US" w:eastAsia="zh-CN" w:bidi="ar-SA"/>
    </w:rPr>
  </w:style>
  <w:style w:type="paragraph" w:customStyle="1" w:styleId="55">
    <w:name w:val="正文_2"/>
    <w:autoRedefine/>
    <w:qFormat/>
    <w:uiPriority w:val="0"/>
    <w:pPr>
      <w:widowControl w:val="0"/>
      <w:jc w:val="both"/>
    </w:pPr>
    <w:rPr>
      <w:rFonts w:ascii="Calibri" w:hAnsi="Calibri" w:eastAsia="宋体" w:cs="Times New Roman"/>
      <w:lang w:val="en-US" w:eastAsia="zh-CN" w:bidi="ar-SA"/>
    </w:rPr>
  </w:style>
  <w:style w:type="paragraph" w:customStyle="1" w:styleId="56">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9">
    <w:name w:val="列出段落1"/>
    <w:basedOn w:val="1"/>
    <w:autoRedefine/>
    <w:qFormat/>
    <w:uiPriority w:val="0"/>
    <w:pPr>
      <w:ind w:firstLine="420" w:firstLineChars="200"/>
    </w:pPr>
    <w:rPr>
      <w:szCs w:val="21"/>
    </w:rPr>
  </w:style>
  <w:style w:type="paragraph" w:customStyle="1" w:styleId="60">
    <w:name w:val="Normal_22"/>
    <w:autoRedefine/>
    <w:qFormat/>
    <w:uiPriority w:val="0"/>
    <w:rPr>
      <w:rFonts w:ascii="Times New Roman" w:hAnsi="Times New Roman" w:eastAsia="Times New Roman" w:cs="Times New Roman"/>
      <w:sz w:val="24"/>
      <w:szCs w:val="24"/>
      <w:lang w:bidi="ar-SA"/>
    </w:rPr>
  </w:style>
  <w:style w:type="paragraph" w:customStyle="1" w:styleId="61">
    <w:name w:val="Char Char Char Char Char Char Char1 Char"/>
    <w:basedOn w:val="1"/>
    <w:autoRedefine/>
    <w:qFormat/>
    <w:uiPriority w:val="0"/>
    <w:rPr>
      <w:rFonts w:ascii="Arial" w:hAnsi="Arial" w:eastAsia="宋体" w:cs="Arial"/>
      <w:sz w:val="24"/>
    </w:rPr>
  </w:style>
  <w:style w:type="paragraph" w:customStyle="1" w:styleId="62">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3">
    <w:name w:val="Default Text"/>
    <w:basedOn w:val="1"/>
    <w:qFormat/>
    <w:uiPriority w:val="0"/>
    <w:pPr>
      <w:autoSpaceDE w:val="0"/>
      <w:autoSpaceDN w:val="0"/>
      <w:adjustRightInd w:val="0"/>
      <w:jc w:val="left"/>
    </w:pPr>
    <w:rPr>
      <w:rFonts w:ascii="Helvetica" w:hAnsi="Helvetica"/>
      <w:kern w:val="0"/>
      <w:sz w:val="22"/>
    </w:rPr>
  </w:style>
  <w:style w:type="paragraph" w:customStyle="1" w:styleId="64">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66">
    <w:name w:val="Normal_3"/>
    <w:autoRedefine/>
    <w:qFormat/>
    <w:uiPriority w:val="0"/>
    <w:rPr>
      <w:rFonts w:ascii="黑体" w:hAnsi="黑体" w:eastAsia="黑体" w:cs="Times New Roman"/>
      <w:b/>
      <w:sz w:val="32"/>
      <w:szCs w:val="24"/>
      <w:lang w:val="en-US" w:eastAsia="zh-CN" w:bidi="ar-SA"/>
    </w:rPr>
  </w:style>
  <w:style w:type="paragraph" w:customStyle="1" w:styleId="67">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0_0_0"/>
    <w:autoRedefine/>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13413</Words>
  <Characters>14539</Characters>
  <Lines>294</Lines>
  <Paragraphs>82</Paragraphs>
  <TotalTime>0</TotalTime>
  <ScaleCrop>false</ScaleCrop>
  <LinksUpToDate>false</LinksUpToDate>
  <CharactersWithSpaces>15349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天亮了</cp:lastModifiedBy>
  <cp:lastPrinted>2025-03-18T03:27:00Z</cp:lastPrinted>
  <dcterms:modified xsi:type="dcterms:W3CDTF">2026-06-04T08:57:04Z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004F7C0D4A764284A8AE01A75DAA14D2_13</vt:lpwstr>
  </property>
  <property fmtid="{D5CDD505-2E9C-101B-9397-08002B2CF9AE}" pid="4" name="KSOTemplateDocerSaveRecord">
    <vt:lpwstr>eyJoZGlkIjoiNjcyNGM0ZWQ4YjEwMDE1MjU4OWFlOGU0MjA3MjFiZjEiLCJ1c2VySWQiOiIyODk0OTk0OTUifQ==</vt:lpwstr>
  </property>
</Properties>
</file>